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DE7A4" w14:textId="11AC6CA2" w:rsidR="00CE64A4" w:rsidRPr="00224B36" w:rsidRDefault="009914B8" w:rsidP="00BE0C75">
      <w:pPr>
        <w:pStyle w:val="Title"/>
        <w:rPr>
          <w:rFonts w:ascii="Garamond" w:hAnsi="Garamond"/>
          <w:sz w:val="36"/>
          <w:szCs w:val="36"/>
        </w:rPr>
      </w:pPr>
      <w:r w:rsidRPr="00224B36">
        <w:rPr>
          <w:rFonts w:ascii="Garamond" w:hAnsi="Garamond"/>
          <w:sz w:val="36"/>
          <w:szCs w:val="36"/>
        </w:rPr>
        <w:t>Aesthetic Contestation</w:t>
      </w:r>
      <w:r w:rsidR="00ED718E">
        <w:rPr>
          <w:rFonts w:ascii="Garamond" w:hAnsi="Garamond"/>
          <w:sz w:val="36"/>
          <w:szCs w:val="36"/>
        </w:rPr>
        <w:t xml:space="preserve"> and the Archive</w:t>
      </w:r>
      <w:r w:rsidRPr="00224B36">
        <w:rPr>
          <w:rFonts w:ascii="Garamond" w:hAnsi="Garamond"/>
          <w:sz w:val="36"/>
          <w:szCs w:val="36"/>
        </w:rPr>
        <w:t xml:space="preserve">: </w:t>
      </w:r>
      <w:bookmarkStart w:id="0" w:name="_Hlk529263519"/>
      <w:r w:rsidRPr="00224B36">
        <w:rPr>
          <w:rFonts w:ascii="Garamond" w:hAnsi="Garamond"/>
          <w:sz w:val="36"/>
          <w:szCs w:val="36"/>
        </w:rPr>
        <w:t>Vladimir Miladinović</w:t>
      </w:r>
      <w:bookmarkEnd w:id="0"/>
      <w:r w:rsidRPr="00224B36">
        <w:rPr>
          <w:rFonts w:ascii="Garamond" w:hAnsi="Garamond"/>
          <w:sz w:val="36"/>
          <w:szCs w:val="36"/>
        </w:rPr>
        <w:t xml:space="preserve">’s </w:t>
      </w:r>
      <w:r w:rsidR="00A16AE2" w:rsidRPr="00224B36">
        <w:rPr>
          <w:rFonts w:ascii="Garamond" w:hAnsi="Garamond"/>
          <w:i/>
          <w:sz w:val="36"/>
          <w:szCs w:val="36"/>
        </w:rPr>
        <w:t xml:space="preserve">The </w:t>
      </w:r>
      <w:r w:rsidR="004A19C4">
        <w:rPr>
          <w:rFonts w:ascii="Garamond" w:hAnsi="Garamond"/>
          <w:i/>
          <w:sz w:val="36"/>
          <w:szCs w:val="36"/>
        </w:rPr>
        <w:t>Notebook</w:t>
      </w:r>
    </w:p>
    <w:p w14:paraId="21201539" w14:textId="66DB0120" w:rsidR="008D1CC4" w:rsidRPr="000A3FF9" w:rsidRDefault="008D1CC4" w:rsidP="008D1CC4">
      <w:pPr>
        <w:jc w:val="center"/>
        <w:rPr>
          <w:rFonts w:ascii="Garamond" w:hAnsi="Garamond"/>
          <w:u w:val="single"/>
        </w:rPr>
      </w:pPr>
    </w:p>
    <w:p w14:paraId="77711E00" w14:textId="76B18B7A" w:rsidR="00CB3CB8" w:rsidRPr="000A3FF9" w:rsidRDefault="00224B36" w:rsidP="00CB3CB8">
      <w:pPr>
        <w:pStyle w:val="Heading1"/>
        <w:rPr>
          <w:rFonts w:ascii="Garamond" w:hAnsi="Garamond"/>
        </w:rPr>
      </w:pPr>
      <w:r>
        <w:rPr>
          <w:rFonts w:ascii="Garamond" w:hAnsi="Garamond"/>
        </w:rPr>
        <w:t>Archival Power</w:t>
      </w:r>
    </w:p>
    <w:p w14:paraId="4681AA5A" w14:textId="77777777" w:rsidR="00CB3CB8" w:rsidRDefault="00CB3CB8" w:rsidP="00CB3CB8">
      <w:pPr>
        <w:rPr>
          <w:rFonts w:ascii="Garamond" w:hAnsi="Garamond"/>
        </w:rPr>
      </w:pPr>
    </w:p>
    <w:p w14:paraId="0B5B9B8C" w14:textId="58660698" w:rsidR="00224B36" w:rsidRDefault="00CB3CB8" w:rsidP="00CB3CB8">
      <w:pPr>
        <w:rPr>
          <w:rFonts w:ascii="Garamond" w:hAnsi="Garamond"/>
        </w:rPr>
      </w:pPr>
      <w:r>
        <w:rPr>
          <w:rFonts w:ascii="Garamond" w:hAnsi="Garamond"/>
        </w:rPr>
        <w:t xml:space="preserve">The power of the archive lies in its ability to determine the contours of what constitutes legitimate knowledge. </w:t>
      </w:r>
      <w:r w:rsidR="002E12A1">
        <w:rPr>
          <w:rFonts w:ascii="Garamond" w:hAnsi="Garamond"/>
        </w:rPr>
        <w:t xml:space="preserve">Since </w:t>
      </w:r>
      <w:r w:rsidR="007860AF">
        <w:rPr>
          <w:rFonts w:ascii="Garamond" w:hAnsi="Garamond"/>
        </w:rPr>
        <w:t>their</w:t>
      </w:r>
      <w:r w:rsidR="002E12A1">
        <w:rPr>
          <w:rFonts w:ascii="Garamond" w:hAnsi="Garamond"/>
        </w:rPr>
        <w:t xml:space="preserve"> </w:t>
      </w:r>
      <w:r w:rsidR="007860AF">
        <w:rPr>
          <w:rFonts w:ascii="Garamond" w:hAnsi="Garamond"/>
        </w:rPr>
        <w:t>emergence</w:t>
      </w:r>
      <w:r w:rsidR="002E12A1">
        <w:rPr>
          <w:rFonts w:ascii="Garamond" w:hAnsi="Garamond"/>
        </w:rPr>
        <w:t xml:space="preserve"> </w:t>
      </w:r>
      <w:r w:rsidR="003C0A94">
        <w:rPr>
          <w:rFonts w:ascii="Garamond" w:hAnsi="Garamond"/>
        </w:rPr>
        <w:t>in Ancient Greece</w:t>
      </w:r>
      <w:r w:rsidR="00185B57">
        <w:rPr>
          <w:rFonts w:ascii="Garamond" w:hAnsi="Garamond"/>
        </w:rPr>
        <w:t>,</w:t>
      </w:r>
      <w:r w:rsidR="005574D5">
        <w:rPr>
          <w:rFonts w:ascii="Garamond" w:hAnsi="Garamond"/>
        </w:rPr>
        <w:t xml:space="preserve"> archive</w:t>
      </w:r>
      <w:r w:rsidR="002E12A1">
        <w:rPr>
          <w:rFonts w:ascii="Garamond" w:hAnsi="Garamond"/>
        </w:rPr>
        <w:t>s</w:t>
      </w:r>
      <w:r w:rsidR="00365AED">
        <w:rPr>
          <w:rFonts w:ascii="Garamond" w:hAnsi="Garamond"/>
        </w:rPr>
        <w:t xml:space="preserve"> </w:t>
      </w:r>
      <w:r w:rsidR="002E12A1">
        <w:rPr>
          <w:rFonts w:ascii="Garamond" w:hAnsi="Garamond"/>
        </w:rPr>
        <w:t>have</w:t>
      </w:r>
      <w:r>
        <w:rPr>
          <w:rFonts w:ascii="Garamond" w:hAnsi="Garamond"/>
        </w:rPr>
        <w:t xml:space="preserve"> performed a crucial role in the governance of society, helping produce a sense of </w:t>
      </w:r>
      <w:r w:rsidR="0098045D">
        <w:rPr>
          <w:rFonts w:ascii="Garamond" w:hAnsi="Garamond"/>
        </w:rPr>
        <w:t xml:space="preserve">a </w:t>
      </w:r>
      <w:r w:rsidR="002E12A1">
        <w:rPr>
          <w:rFonts w:ascii="Garamond" w:hAnsi="Garamond"/>
        </w:rPr>
        <w:t xml:space="preserve">shared </w:t>
      </w:r>
      <w:r w:rsidR="00ED718E">
        <w:rPr>
          <w:rFonts w:ascii="Garamond" w:hAnsi="Garamond"/>
        </w:rPr>
        <w:t>past</w:t>
      </w:r>
      <w:r>
        <w:rPr>
          <w:rFonts w:ascii="Garamond" w:hAnsi="Garamond"/>
        </w:rPr>
        <w:t xml:space="preserve">, and rendering different subjects knowable and hence governable. </w:t>
      </w:r>
      <w:r w:rsidR="00224B36">
        <w:rPr>
          <w:rFonts w:ascii="Garamond" w:hAnsi="Garamond"/>
        </w:rPr>
        <w:t>It is for this reason that archives have always been closely linked with nationalist projects</w:t>
      </w:r>
      <w:r w:rsidR="00ED718E">
        <w:rPr>
          <w:rFonts w:ascii="Garamond" w:hAnsi="Garamond"/>
        </w:rPr>
        <w:t xml:space="preserve">. It </w:t>
      </w:r>
      <w:r w:rsidR="00224B36">
        <w:rPr>
          <w:rFonts w:ascii="Garamond" w:hAnsi="Garamond"/>
        </w:rPr>
        <w:t>is telling</w:t>
      </w:r>
      <w:r w:rsidR="00ED718E">
        <w:rPr>
          <w:rFonts w:ascii="Garamond" w:hAnsi="Garamond"/>
        </w:rPr>
        <w:t xml:space="preserve">, </w:t>
      </w:r>
      <w:r w:rsidR="00224B36">
        <w:rPr>
          <w:rFonts w:ascii="Garamond" w:hAnsi="Garamond"/>
        </w:rPr>
        <w:t xml:space="preserve">in this </w:t>
      </w:r>
      <w:r w:rsidR="00ED718E">
        <w:rPr>
          <w:rFonts w:ascii="Garamond" w:hAnsi="Garamond"/>
        </w:rPr>
        <w:t xml:space="preserve">respect, </w:t>
      </w:r>
      <w:r w:rsidR="00224B36">
        <w:rPr>
          <w:rFonts w:ascii="Garamond" w:hAnsi="Garamond"/>
        </w:rPr>
        <w:t>that national archives sprung up across Europe in the mid</w:t>
      </w:r>
      <w:r w:rsidR="00ED718E">
        <w:rPr>
          <w:rFonts w:ascii="Garamond" w:hAnsi="Garamond"/>
        </w:rPr>
        <w:t>-</w:t>
      </w:r>
      <w:r w:rsidR="00224B36">
        <w:rPr>
          <w:rFonts w:ascii="Garamond" w:hAnsi="Garamond"/>
        </w:rPr>
        <w:t>nineteenth century, at the moment when the modern nation state emerged</w:t>
      </w:r>
      <w:r w:rsidR="002E12A1">
        <w:rPr>
          <w:rFonts w:ascii="Garamond" w:hAnsi="Garamond"/>
        </w:rPr>
        <w:t xml:space="preserve"> </w:t>
      </w:r>
      <w:r w:rsidR="00224B36">
        <w:rPr>
          <w:rFonts w:ascii="Garamond" w:hAnsi="Garamond"/>
        </w:rPr>
        <w:t>and grappled with how to manage a more connected, yet increasingly secular, society</w:t>
      </w:r>
      <w:r w:rsidR="003C0A94">
        <w:rPr>
          <w:rFonts w:ascii="Garamond" w:hAnsi="Garamond"/>
        </w:rPr>
        <w:t xml:space="preserve">, </w:t>
      </w:r>
      <w:r w:rsidR="00224B36">
        <w:rPr>
          <w:rFonts w:ascii="Garamond" w:hAnsi="Garamond"/>
        </w:rPr>
        <w:t>where the divinity of the sovereign was no longer automatically accept</w:t>
      </w:r>
      <w:r w:rsidR="002E12A1">
        <w:rPr>
          <w:rFonts w:ascii="Garamond" w:hAnsi="Garamond"/>
        </w:rPr>
        <w:t>ed.</w:t>
      </w:r>
      <w:r w:rsidR="00224B36">
        <w:rPr>
          <w:rFonts w:ascii="Garamond" w:hAnsi="Garamond"/>
        </w:rPr>
        <w:t xml:space="preserve"> </w:t>
      </w:r>
      <w:r w:rsidR="00224B36" w:rsidRPr="000A3FF9">
        <w:rPr>
          <w:rFonts w:ascii="Garamond" w:hAnsi="Garamond"/>
        </w:rPr>
        <w:t xml:space="preserve">As this suggests, in constructing </w:t>
      </w:r>
      <w:r w:rsidR="0098045D">
        <w:rPr>
          <w:rFonts w:ascii="Garamond" w:hAnsi="Garamond"/>
        </w:rPr>
        <w:t>records</w:t>
      </w:r>
      <w:r w:rsidR="00224B36" w:rsidRPr="000A3FF9">
        <w:rPr>
          <w:rFonts w:ascii="Garamond" w:hAnsi="Garamond"/>
        </w:rPr>
        <w:t xml:space="preserve"> in particular ways</w:t>
      </w:r>
      <w:r w:rsidR="0098045D">
        <w:rPr>
          <w:rFonts w:ascii="Garamond" w:hAnsi="Garamond"/>
        </w:rPr>
        <w:t xml:space="preserve">, </w:t>
      </w:r>
      <w:r w:rsidR="00224B36" w:rsidRPr="000A3FF9">
        <w:rPr>
          <w:rFonts w:ascii="Garamond" w:hAnsi="Garamond"/>
        </w:rPr>
        <w:t xml:space="preserve">the archive is productive both in the sense that it </w:t>
      </w:r>
      <w:r w:rsidR="00224B36" w:rsidRPr="000A3FF9">
        <w:rPr>
          <w:rFonts w:ascii="Garamond" w:hAnsi="Garamond"/>
          <w:i/>
        </w:rPr>
        <w:t xml:space="preserve">produces </w:t>
      </w:r>
      <w:r w:rsidR="00224B36" w:rsidRPr="000A3FF9">
        <w:rPr>
          <w:rFonts w:ascii="Garamond" w:hAnsi="Garamond"/>
        </w:rPr>
        <w:t>a particular account of the social, but also because i</w:t>
      </w:r>
      <w:r w:rsidR="005574D5">
        <w:rPr>
          <w:rFonts w:ascii="Garamond" w:hAnsi="Garamond"/>
        </w:rPr>
        <w:t xml:space="preserve">t </w:t>
      </w:r>
      <w:r w:rsidR="00224B36" w:rsidRPr="000A3FF9">
        <w:rPr>
          <w:rFonts w:ascii="Garamond" w:hAnsi="Garamond"/>
        </w:rPr>
        <w:t>contributes towards particular orderings within society.</w:t>
      </w:r>
      <w:r w:rsidR="002E12A1" w:rsidRPr="002E12A1">
        <w:rPr>
          <w:rStyle w:val="FootnoteReference"/>
          <w:rFonts w:ascii="Garamond" w:hAnsi="Garamond"/>
        </w:rPr>
        <w:t xml:space="preserve"> </w:t>
      </w:r>
      <w:r w:rsidR="00E44621">
        <w:rPr>
          <w:rStyle w:val="EndnoteReference"/>
          <w:rFonts w:ascii="Garamond" w:hAnsi="Garamond"/>
        </w:rPr>
        <w:endnoteReference w:id="1"/>
      </w:r>
      <w:r w:rsidR="002E12A1">
        <w:rPr>
          <w:rFonts w:ascii="Garamond" w:hAnsi="Garamond"/>
        </w:rPr>
        <w:t xml:space="preserve"> </w:t>
      </w:r>
      <w:r w:rsidR="00224B36" w:rsidRPr="000A3FF9">
        <w:rPr>
          <w:rFonts w:ascii="Garamond" w:hAnsi="Garamond"/>
        </w:rPr>
        <w:t xml:space="preserve"> </w:t>
      </w:r>
    </w:p>
    <w:p w14:paraId="2569363B" w14:textId="77777777" w:rsidR="00224B36" w:rsidRDefault="00224B36" w:rsidP="00CB3CB8">
      <w:pPr>
        <w:rPr>
          <w:rFonts w:ascii="Garamond" w:hAnsi="Garamond"/>
        </w:rPr>
      </w:pPr>
    </w:p>
    <w:p w14:paraId="1869127A" w14:textId="21AAFA77" w:rsidR="00224B36" w:rsidRDefault="00ED718E" w:rsidP="00CB3CB8">
      <w:pPr>
        <w:rPr>
          <w:rFonts w:ascii="Garamond" w:hAnsi="Garamond"/>
        </w:rPr>
      </w:pPr>
      <w:r>
        <w:rPr>
          <w:rFonts w:ascii="Garamond" w:hAnsi="Garamond"/>
        </w:rPr>
        <w:t>The connection between archives</w:t>
      </w:r>
      <w:r w:rsidR="002E12A1">
        <w:rPr>
          <w:rFonts w:ascii="Garamond" w:hAnsi="Garamond"/>
        </w:rPr>
        <w:t xml:space="preserve">, </w:t>
      </w:r>
      <w:r>
        <w:rPr>
          <w:rFonts w:ascii="Garamond" w:hAnsi="Garamond"/>
        </w:rPr>
        <w:t>governance</w:t>
      </w:r>
      <w:r w:rsidR="005574D5">
        <w:rPr>
          <w:rFonts w:ascii="Garamond" w:hAnsi="Garamond"/>
        </w:rPr>
        <w:t xml:space="preserve"> </w:t>
      </w:r>
      <w:r w:rsidR="002E12A1">
        <w:rPr>
          <w:rFonts w:ascii="Garamond" w:hAnsi="Garamond"/>
        </w:rPr>
        <w:t xml:space="preserve">and nationalism </w:t>
      </w:r>
      <w:r w:rsidR="005574D5">
        <w:rPr>
          <w:rFonts w:ascii="Garamond" w:hAnsi="Garamond"/>
        </w:rPr>
        <w:t>extends yet further still. A</w:t>
      </w:r>
      <w:r w:rsidR="005574D5" w:rsidRPr="000A3FF9">
        <w:rPr>
          <w:rFonts w:ascii="Garamond" w:hAnsi="Garamond"/>
        </w:rPr>
        <w:t xml:space="preserve">s Derrida argues, </w:t>
      </w:r>
      <w:r w:rsidR="00224B36" w:rsidRPr="000A3FF9">
        <w:rPr>
          <w:rFonts w:ascii="Garamond" w:hAnsi="Garamond"/>
        </w:rPr>
        <w:t>the archival drive (the process of producing, ordering, fixing, excluding records for the archive</w:t>
      </w:r>
      <w:r w:rsidR="00D95C1D">
        <w:rPr>
          <w:rFonts w:ascii="Garamond" w:hAnsi="Garamond"/>
        </w:rPr>
        <w:t xml:space="preserve">, and reifying the existence of particular </w:t>
      </w:r>
      <w:r w:rsidR="005574D5">
        <w:rPr>
          <w:rFonts w:ascii="Garamond" w:hAnsi="Garamond"/>
        </w:rPr>
        <w:t>subjects</w:t>
      </w:r>
      <w:r w:rsidR="003C0A94">
        <w:rPr>
          <w:rFonts w:ascii="Garamond" w:hAnsi="Garamond"/>
        </w:rPr>
        <w:t xml:space="preserve"> and objects</w:t>
      </w:r>
      <w:r w:rsidR="00224B36" w:rsidRPr="000A3FF9">
        <w:rPr>
          <w:rFonts w:ascii="Garamond" w:hAnsi="Garamond"/>
        </w:rPr>
        <w:t>) very much mirror</w:t>
      </w:r>
      <w:r w:rsidR="005574D5">
        <w:rPr>
          <w:rFonts w:ascii="Garamond" w:hAnsi="Garamond"/>
        </w:rPr>
        <w:t xml:space="preserve">s </w:t>
      </w:r>
      <w:r w:rsidR="00224B36" w:rsidRPr="000A3FF9">
        <w:rPr>
          <w:rFonts w:ascii="Garamond" w:hAnsi="Garamond"/>
        </w:rPr>
        <w:t>the</w:t>
      </w:r>
      <w:r>
        <w:rPr>
          <w:rFonts w:ascii="Garamond" w:hAnsi="Garamond"/>
        </w:rPr>
        <w:t xml:space="preserve"> </w:t>
      </w:r>
      <w:r w:rsidR="00224B36" w:rsidRPr="000A3FF9">
        <w:rPr>
          <w:rFonts w:ascii="Garamond" w:hAnsi="Garamond"/>
        </w:rPr>
        <w:t>logics and process</w:t>
      </w:r>
      <w:r w:rsidR="003C0A94">
        <w:rPr>
          <w:rFonts w:ascii="Garamond" w:hAnsi="Garamond"/>
        </w:rPr>
        <w:t>es</w:t>
      </w:r>
      <w:r w:rsidR="00224B36" w:rsidRPr="000A3FF9">
        <w:rPr>
          <w:rFonts w:ascii="Garamond" w:hAnsi="Garamond"/>
        </w:rPr>
        <w:t xml:space="preserve"> of nationalis</w:t>
      </w:r>
      <w:r w:rsidR="00224B36">
        <w:rPr>
          <w:rFonts w:ascii="Garamond" w:hAnsi="Garamond"/>
        </w:rPr>
        <w:t>m</w:t>
      </w:r>
      <w:r w:rsidR="00224B36" w:rsidRPr="000A3FF9">
        <w:rPr>
          <w:rFonts w:ascii="Garamond" w:hAnsi="Garamond"/>
        </w:rPr>
        <w:t xml:space="preserve">. </w:t>
      </w:r>
      <w:r w:rsidR="00EE3157">
        <w:rPr>
          <w:rFonts w:ascii="Garamond" w:hAnsi="Garamond"/>
        </w:rPr>
        <w:t xml:space="preserve">Underneath the clamours of this </w:t>
      </w:r>
      <w:r w:rsidR="00C52C7D">
        <w:rPr>
          <w:rFonts w:ascii="Garamond" w:hAnsi="Garamond"/>
        </w:rPr>
        <w:t>‘</w:t>
      </w:r>
      <w:r w:rsidR="00EE3157">
        <w:rPr>
          <w:rFonts w:ascii="Garamond" w:hAnsi="Garamond"/>
        </w:rPr>
        <w:t>total history</w:t>
      </w:r>
      <w:r w:rsidR="00C52C7D">
        <w:rPr>
          <w:rFonts w:ascii="Garamond" w:hAnsi="Garamond"/>
        </w:rPr>
        <w:t>’</w:t>
      </w:r>
      <w:r w:rsidR="00EE3157">
        <w:rPr>
          <w:rFonts w:ascii="Garamond" w:hAnsi="Garamond"/>
        </w:rPr>
        <w:t xml:space="preserve">, not dissimilar in many respects to ‘total war’, lies a need to catagories, to name, and therefore </w:t>
      </w:r>
      <w:r w:rsidR="005574D5">
        <w:rPr>
          <w:rFonts w:ascii="Garamond" w:hAnsi="Garamond"/>
        </w:rPr>
        <w:t xml:space="preserve">also </w:t>
      </w:r>
      <w:r w:rsidR="00EE3157">
        <w:rPr>
          <w:rFonts w:ascii="Garamond" w:hAnsi="Garamond"/>
        </w:rPr>
        <w:t>to exclude and to render unknowable</w:t>
      </w:r>
      <w:r w:rsidR="005574D5">
        <w:rPr>
          <w:rFonts w:ascii="Garamond" w:hAnsi="Garamond"/>
        </w:rPr>
        <w:t xml:space="preserve">. As a </w:t>
      </w:r>
      <w:r w:rsidR="0081004B">
        <w:rPr>
          <w:rFonts w:ascii="Garamond" w:hAnsi="Garamond"/>
        </w:rPr>
        <w:t>result,</w:t>
      </w:r>
      <w:r w:rsidR="00D95C1D">
        <w:rPr>
          <w:rFonts w:ascii="Garamond" w:hAnsi="Garamond"/>
        </w:rPr>
        <w:t xml:space="preserve"> </w:t>
      </w:r>
      <w:r w:rsidR="005574D5">
        <w:rPr>
          <w:rFonts w:ascii="Garamond" w:hAnsi="Garamond"/>
        </w:rPr>
        <w:t>at</w:t>
      </w:r>
      <w:r w:rsidR="00D95C1D">
        <w:rPr>
          <w:rFonts w:ascii="Garamond" w:hAnsi="Garamond"/>
        </w:rPr>
        <w:t xml:space="preserve"> its extreme, these logics</w:t>
      </w:r>
      <w:r>
        <w:rPr>
          <w:rFonts w:ascii="Garamond" w:hAnsi="Garamond"/>
        </w:rPr>
        <w:t xml:space="preserve"> – an obsessiveness for </w:t>
      </w:r>
      <w:r w:rsidR="0081004B">
        <w:rPr>
          <w:rFonts w:ascii="Garamond" w:hAnsi="Garamond"/>
        </w:rPr>
        <w:t>categorising</w:t>
      </w:r>
      <w:r>
        <w:rPr>
          <w:rFonts w:ascii="Garamond" w:hAnsi="Garamond"/>
        </w:rPr>
        <w:t xml:space="preserve">, ordering and excluding - </w:t>
      </w:r>
      <w:r w:rsidR="00D95C1D">
        <w:rPr>
          <w:rFonts w:ascii="Garamond" w:hAnsi="Garamond"/>
        </w:rPr>
        <w:t xml:space="preserve"> </w:t>
      </w:r>
      <w:r w:rsidR="00EE3157">
        <w:rPr>
          <w:rFonts w:ascii="Garamond" w:hAnsi="Garamond"/>
        </w:rPr>
        <w:t xml:space="preserve">also </w:t>
      </w:r>
      <w:r w:rsidR="00D95C1D">
        <w:rPr>
          <w:rFonts w:ascii="Garamond" w:hAnsi="Garamond"/>
        </w:rPr>
        <w:t xml:space="preserve">unpin acts of </w:t>
      </w:r>
      <w:r w:rsidR="00224B36" w:rsidRPr="000A3FF9">
        <w:rPr>
          <w:rFonts w:ascii="Garamond" w:hAnsi="Garamond"/>
        </w:rPr>
        <w:t>violence</w:t>
      </w:r>
      <w:r w:rsidR="002E12A1">
        <w:rPr>
          <w:rFonts w:ascii="Garamond" w:hAnsi="Garamond"/>
        </w:rPr>
        <w:t xml:space="preserve"> such as </w:t>
      </w:r>
      <w:r w:rsidR="00EE3157">
        <w:rPr>
          <w:rFonts w:ascii="Garamond" w:hAnsi="Garamond"/>
        </w:rPr>
        <w:t>genocide. It is for this reason that</w:t>
      </w:r>
      <w:r>
        <w:rPr>
          <w:rFonts w:ascii="Garamond" w:hAnsi="Garamond"/>
        </w:rPr>
        <w:t xml:space="preserve"> Derrida sees that</w:t>
      </w:r>
      <w:r w:rsidR="00EE3157">
        <w:rPr>
          <w:rFonts w:ascii="Garamond" w:hAnsi="Garamond"/>
        </w:rPr>
        <w:t xml:space="preserve"> </w:t>
      </w:r>
      <w:r w:rsidR="00224B36">
        <w:rPr>
          <w:rFonts w:ascii="Garamond" w:hAnsi="Garamond"/>
        </w:rPr>
        <w:t>there is a sort of sickness within the heart of the archive.</w:t>
      </w:r>
      <w:r w:rsidR="00920BF5" w:rsidRPr="00920BF5">
        <w:rPr>
          <w:rStyle w:val="FootnoteReference"/>
          <w:rFonts w:ascii="Garamond" w:hAnsi="Garamond"/>
        </w:rPr>
        <w:t xml:space="preserve"> </w:t>
      </w:r>
      <w:r w:rsidR="00DB3E5E">
        <w:rPr>
          <w:rStyle w:val="EndnoteReference"/>
          <w:rFonts w:ascii="Garamond" w:hAnsi="Garamond"/>
        </w:rPr>
        <w:endnoteReference w:id="2"/>
      </w:r>
      <w:r w:rsidR="00920BF5" w:rsidRPr="000A3FF9">
        <w:rPr>
          <w:rFonts w:ascii="Garamond" w:hAnsi="Garamond"/>
        </w:rPr>
        <w:t xml:space="preserve"> </w:t>
      </w:r>
      <w:r w:rsidR="00224B36">
        <w:rPr>
          <w:rFonts w:ascii="Garamond" w:hAnsi="Garamond"/>
        </w:rPr>
        <w:t xml:space="preserve"> </w:t>
      </w:r>
    </w:p>
    <w:p w14:paraId="1EB7DDD4" w14:textId="77777777" w:rsidR="00224B36" w:rsidRDefault="00224B36" w:rsidP="00CB3CB8">
      <w:pPr>
        <w:rPr>
          <w:rFonts w:ascii="Garamond" w:hAnsi="Garamond"/>
        </w:rPr>
      </w:pPr>
    </w:p>
    <w:p w14:paraId="60DEFB5C" w14:textId="77777777" w:rsidR="00C52C7D" w:rsidRDefault="00EE3157" w:rsidP="00CB3CB8">
      <w:pPr>
        <w:rPr>
          <w:rFonts w:ascii="Garamond" w:hAnsi="Garamond"/>
        </w:rPr>
      </w:pPr>
      <w:r>
        <w:rPr>
          <w:rFonts w:ascii="Garamond" w:hAnsi="Garamond"/>
        </w:rPr>
        <w:t xml:space="preserve">But </w:t>
      </w:r>
      <w:r w:rsidR="00CB3CB8">
        <w:rPr>
          <w:rFonts w:ascii="Garamond" w:hAnsi="Garamond"/>
        </w:rPr>
        <w:t xml:space="preserve">despites </w:t>
      </w:r>
      <w:r w:rsidR="002E12A1">
        <w:rPr>
          <w:rFonts w:ascii="Garamond" w:hAnsi="Garamond"/>
        </w:rPr>
        <w:t xml:space="preserve">this </w:t>
      </w:r>
      <w:r w:rsidR="00CB3CB8">
        <w:rPr>
          <w:rFonts w:ascii="Garamond" w:hAnsi="Garamond"/>
        </w:rPr>
        <w:t>attempt</w:t>
      </w:r>
      <w:r w:rsidR="002E12A1">
        <w:rPr>
          <w:rFonts w:ascii="Garamond" w:hAnsi="Garamond"/>
        </w:rPr>
        <w:t xml:space="preserve"> </w:t>
      </w:r>
      <w:r w:rsidR="00CB3CB8">
        <w:rPr>
          <w:rFonts w:ascii="Garamond" w:hAnsi="Garamond"/>
        </w:rPr>
        <w:t xml:space="preserve">to fix and make stable, </w:t>
      </w:r>
      <w:r>
        <w:rPr>
          <w:rFonts w:ascii="Garamond" w:hAnsi="Garamond"/>
        </w:rPr>
        <w:t>archive</w:t>
      </w:r>
      <w:r w:rsidR="002E12A1">
        <w:rPr>
          <w:rFonts w:ascii="Garamond" w:hAnsi="Garamond"/>
        </w:rPr>
        <w:t>s</w:t>
      </w:r>
      <w:r>
        <w:rPr>
          <w:rFonts w:ascii="Garamond" w:hAnsi="Garamond"/>
        </w:rPr>
        <w:t xml:space="preserve"> </w:t>
      </w:r>
      <w:r w:rsidR="002E12A1">
        <w:rPr>
          <w:rFonts w:ascii="Garamond" w:hAnsi="Garamond"/>
        </w:rPr>
        <w:t xml:space="preserve">are </w:t>
      </w:r>
      <w:r w:rsidR="00CB3CB8">
        <w:rPr>
          <w:rFonts w:ascii="Garamond" w:hAnsi="Garamond"/>
        </w:rPr>
        <w:t xml:space="preserve">never static, but </w:t>
      </w:r>
      <w:r w:rsidR="002E12A1">
        <w:rPr>
          <w:rFonts w:ascii="Garamond" w:hAnsi="Garamond"/>
        </w:rPr>
        <w:t>are</w:t>
      </w:r>
      <w:r w:rsidR="00185B57">
        <w:rPr>
          <w:rFonts w:ascii="Garamond" w:hAnsi="Garamond"/>
        </w:rPr>
        <w:t xml:space="preserve"> always </w:t>
      </w:r>
      <w:r w:rsidR="00CB3CB8">
        <w:rPr>
          <w:rFonts w:ascii="Garamond" w:hAnsi="Garamond"/>
        </w:rPr>
        <w:t xml:space="preserve">in a constant </w:t>
      </w:r>
      <w:r>
        <w:rPr>
          <w:rFonts w:ascii="Garamond" w:hAnsi="Garamond"/>
        </w:rPr>
        <w:t xml:space="preserve"> state of becoming</w:t>
      </w:r>
      <w:r w:rsidR="005574D5">
        <w:rPr>
          <w:rFonts w:ascii="Garamond" w:hAnsi="Garamond"/>
        </w:rPr>
        <w:t xml:space="preserve"> </w:t>
      </w:r>
      <w:r w:rsidR="00CB3CB8">
        <w:rPr>
          <w:rFonts w:ascii="Garamond" w:hAnsi="Garamond"/>
        </w:rPr>
        <w:t xml:space="preserve">as </w:t>
      </w:r>
      <w:r w:rsidR="002E12A1">
        <w:rPr>
          <w:rFonts w:ascii="Garamond" w:hAnsi="Garamond"/>
        </w:rPr>
        <w:t>they</w:t>
      </w:r>
      <w:r w:rsidR="00CB3CB8">
        <w:rPr>
          <w:rFonts w:ascii="Garamond" w:hAnsi="Garamond"/>
        </w:rPr>
        <w:t xml:space="preserve"> claims new objects, and </w:t>
      </w:r>
      <w:r w:rsidR="002E12A1">
        <w:rPr>
          <w:rFonts w:ascii="Garamond" w:hAnsi="Garamond"/>
        </w:rPr>
        <w:t>are</w:t>
      </w:r>
      <w:r w:rsidR="00CB3CB8">
        <w:rPr>
          <w:rFonts w:ascii="Garamond" w:hAnsi="Garamond"/>
        </w:rPr>
        <w:t xml:space="preserve"> read (and therefore produced) anew by </w:t>
      </w:r>
      <w:r w:rsidR="002E12A1">
        <w:rPr>
          <w:rFonts w:ascii="Garamond" w:hAnsi="Garamond"/>
        </w:rPr>
        <w:t>their</w:t>
      </w:r>
      <w:r w:rsidR="00CB3CB8">
        <w:rPr>
          <w:rFonts w:ascii="Garamond" w:hAnsi="Garamond"/>
        </w:rPr>
        <w:t xml:space="preserve"> users </w:t>
      </w:r>
      <w:r w:rsidR="005574D5">
        <w:rPr>
          <w:rFonts w:ascii="Garamond" w:hAnsi="Garamond"/>
        </w:rPr>
        <w:t xml:space="preserve">- </w:t>
      </w:r>
      <w:r w:rsidR="00CB3CB8">
        <w:rPr>
          <w:rFonts w:ascii="Garamond" w:hAnsi="Garamond"/>
        </w:rPr>
        <w:t xml:space="preserve">who perhaps </w:t>
      </w:r>
      <w:r w:rsidR="005574D5">
        <w:rPr>
          <w:rFonts w:ascii="Garamond" w:hAnsi="Garamond"/>
        </w:rPr>
        <w:t xml:space="preserve">should </w:t>
      </w:r>
      <w:r w:rsidR="00CB3CB8">
        <w:rPr>
          <w:rFonts w:ascii="Garamond" w:hAnsi="Garamond"/>
        </w:rPr>
        <w:t>be considered</w:t>
      </w:r>
      <w:r w:rsidR="00920BF5">
        <w:rPr>
          <w:rFonts w:ascii="Garamond" w:hAnsi="Garamond"/>
        </w:rPr>
        <w:t>, in this light,</w:t>
      </w:r>
      <w:r w:rsidR="00CB3CB8">
        <w:rPr>
          <w:rFonts w:ascii="Garamond" w:hAnsi="Garamond"/>
        </w:rPr>
        <w:t xml:space="preserve"> as archivists. </w:t>
      </w:r>
    </w:p>
    <w:p w14:paraId="3EE36FCE" w14:textId="2B9A38E6" w:rsidR="00EE3157" w:rsidRDefault="00C52C7D" w:rsidP="00CB3CB8">
      <w:pPr>
        <w:rPr>
          <w:rFonts w:ascii="Garamond" w:hAnsi="Garamond"/>
        </w:rPr>
      </w:pPr>
      <w:r>
        <w:rPr>
          <w:rFonts w:ascii="Garamond" w:hAnsi="Garamond"/>
        </w:rPr>
        <w:t>Through engaging with the archive</w:t>
      </w:r>
      <w:r w:rsidR="002E12A1">
        <w:rPr>
          <w:rFonts w:ascii="Garamond" w:hAnsi="Garamond"/>
        </w:rPr>
        <w:t xml:space="preserve">, </w:t>
      </w:r>
      <w:r>
        <w:rPr>
          <w:rFonts w:ascii="Garamond" w:hAnsi="Garamond"/>
        </w:rPr>
        <w:t xml:space="preserve">then, </w:t>
      </w:r>
      <w:r w:rsidR="002E12A1">
        <w:rPr>
          <w:rFonts w:ascii="Garamond" w:hAnsi="Garamond"/>
        </w:rPr>
        <w:t>t</w:t>
      </w:r>
      <w:r w:rsidR="00EE3157">
        <w:rPr>
          <w:rFonts w:ascii="Garamond" w:hAnsi="Garamond"/>
        </w:rPr>
        <w:t>here is the potential</w:t>
      </w:r>
      <w:r w:rsidR="002E12A1">
        <w:rPr>
          <w:rFonts w:ascii="Garamond" w:hAnsi="Garamond"/>
        </w:rPr>
        <w:t xml:space="preserve"> to </w:t>
      </w:r>
      <w:r w:rsidR="00EE3157">
        <w:rPr>
          <w:rFonts w:ascii="Garamond" w:hAnsi="Garamond"/>
        </w:rPr>
        <w:t xml:space="preserve">challenge </w:t>
      </w:r>
      <w:r w:rsidR="002E12A1">
        <w:rPr>
          <w:rFonts w:ascii="Garamond" w:hAnsi="Garamond"/>
        </w:rPr>
        <w:t>an</w:t>
      </w:r>
      <w:r w:rsidR="00EE3157">
        <w:rPr>
          <w:rFonts w:ascii="Garamond" w:hAnsi="Garamond"/>
        </w:rPr>
        <w:t xml:space="preserve"> archive’s grammars and logics and, indeed, to turn </w:t>
      </w:r>
      <w:r w:rsidR="005574D5">
        <w:rPr>
          <w:rFonts w:ascii="Garamond" w:hAnsi="Garamond"/>
        </w:rPr>
        <w:t xml:space="preserve">the </w:t>
      </w:r>
      <w:r w:rsidR="003C0A94">
        <w:rPr>
          <w:rFonts w:ascii="Garamond" w:hAnsi="Garamond"/>
        </w:rPr>
        <w:t>archival drive</w:t>
      </w:r>
      <w:r w:rsidR="00EE3157">
        <w:rPr>
          <w:rFonts w:ascii="Garamond" w:hAnsi="Garamond"/>
        </w:rPr>
        <w:t xml:space="preserve"> against itself. </w:t>
      </w:r>
    </w:p>
    <w:p w14:paraId="139B497A" w14:textId="77777777" w:rsidR="00EE3157" w:rsidRDefault="00EE3157" w:rsidP="00CB3CB8">
      <w:pPr>
        <w:rPr>
          <w:rFonts w:ascii="Garamond" w:hAnsi="Garamond"/>
        </w:rPr>
      </w:pPr>
    </w:p>
    <w:p w14:paraId="4BFC6451" w14:textId="79B02B34" w:rsidR="00224B36" w:rsidRDefault="00A22E76" w:rsidP="00CB3CB8">
      <w:pPr>
        <w:rPr>
          <w:rFonts w:ascii="Garamond" w:hAnsi="Garamond"/>
        </w:rPr>
      </w:pPr>
      <w:r>
        <w:rPr>
          <w:rFonts w:ascii="Garamond" w:hAnsi="Garamond"/>
          <w:i/>
        </w:rPr>
        <w:t>The Notebook</w:t>
      </w:r>
      <w:r w:rsidR="00EE3157">
        <w:rPr>
          <w:rFonts w:ascii="Garamond" w:hAnsi="Garamond"/>
        </w:rPr>
        <w:t xml:space="preserve"> </w:t>
      </w:r>
      <w:r w:rsidR="00224B36">
        <w:rPr>
          <w:rFonts w:ascii="Garamond" w:hAnsi="Garamond"/>
        </w:rPr>
        <w:t xml:space="preserve">can be viewed </w:t>
      </w:r>
      <w:r w:rsidR="00CB3CB8">
        <w:rPr>
          <w:rFonts w:ascii="Garamond" w:hAnsi="Garamond"/>
        </w:rPr>
        <w:t>in this light</w:t>
      </w:r>
      <w:r w:rsidR="00EE3157">
        <w:rPr>
          <w:rFonts w:ascii="Garamond" w:hAnsi="Garamond"/>
        </w:rPr>
        <w:t xml:space="preserve">. </w:t>
      </w:r>
      <w:r w:rsidR="002E12A1">
        <w:rPr>
          <w:rFonts w:ascii="Garamond" w:hAnsi="Garamond"/>
        </w:rPr>
        <w:t xml:space="preserve">Working from one of </w:t>
      </w:r>
      <w:r w:rsidR="00920BF5">
        <w:rPr>
          <w:rFonts w:ascii="Garamond" w:hAnsi="Garamond"/>
        </w:rPr>
        <w:t xml:space="preserve">General </w:t>
      </w:r>
      <w:r w:rsidR="003C0A94">
        <w:rPr>
          <w:rFonts w:ascii="Garamond" w:hAnsi="Garamond"/>
        </w:rPr>
        <w:t xml:space="preserve">Ratko </w:t>
      </w:r>
      <w:r w:rsidR="00633089">
        <w:rPr>
          <w:rFonts w:ascii="Garamond" w:hAnsi="Garamond"/>
        </w:rPr>
        <w:t>Mladić</w:t>
      </w:r>
      <w:r w:rsidR="003C0A94">
        <w:rPr>
          <w:rFonts w:ascii="Garamond" w:hAnsi="Garamond"/>
        </w:rPr>
        <w:t>’s</w:t>
      </w:r>
      <w:r w:rsidR="00EE3157">
        <w:rPr>
          <w:rFonts w:ascii="Garamond" w:hAnsi="Garamond"/>
        </w:rPr>
        <w:t xml:space="preserve"> </w:t>
      </w:r>
      <w:r w:rsidR="00920BF5">
        <w:rPr>
          <w:rFonts w:ascii="Garamond" w:hAnsi="Garamond"/>
        </w:rPr>
        <w:t>wartime diaries</w:t>
      </w:r>
      <w:r w:rsidR="003C0A94">
        <w:rPr>
          <w:rFonts w:ascii="Garamond" w:hAnsi="Garamond"/>
        </w:rPr>
        <w:t>,</w:t>
      </w:r>
      <w:r w:rsidR="00920BF5">
        <w:rPr>
          <w:rFonts w:ascii="Garamond" w:hAnsi="Garamond"/>
        </w:rPr>
        <w:t xml:space="preserve"> which form</w:t>
      </w:r>
      <w:r w:rsidR="002E12A1">
        <w:rPr>
          <w:rFonts w:ascii="Garamond" w:hAnsi="Garamond"/>
        </w:rPr>
        <w:t>s</w:t>
      </w:r>
      <w:r w:rsidR="00920BF5">
        <w:rPr>
          <w:rFonts w:ascii="Garamond" w:hAnsi="Garamond"/>
        </w:rPr>
        <w:t xml:space="preserve"> part of </w:t>
      </w:r>
      <w:r w:rsidR="00EE3157">
        <w:rPr>
          <w:rFonts w:ascii="Garamond" w:hAnsi="Garamond"/>
        </w:rPr>
        <w:t xml:space="preserve">the International Criminal Tribunal for the Former Yugoslavia’s </w:t>
      </w:r>
      <w:r w:rsidR="00A60586">
        <w:rPr>
          <w:rFonts w:ascii="Garamond" w:hAnsi="Garamond"/>
        </w:rPr>
        <w:t xml:space="preserve">(ICTY) </w:t>
      </w:r>
      <w:r w:rsidR="00EE3157">
        <w:rPr>
          <w:rFonts w:ascii="Garamond" w:hAnsi="Garamond"/>
        </w:rPr>
        <w:t xml:space="preserve">archive, </w:t>
      </w:r>
      <w:r w:rsidR="003C0A94">
        <w:rPr>
          <w:rFonts w:ascii="Garamond" w:hAnsi="Garamond"/>
        </w:rPr>
        <w:t xml:space="preserve">Vladimir </w:t>
      </w:r>
      <w:r w:rsidR="00920BF5">
        <w:rPr>
          <w:rFonts w:ascii="Garamond" w:hAnsi="Garamond"/>
        </w:rPr>
        <w:t>Miladinović</w:t>
      </w:r>
      <w:r w:rsidR="003C0A94">
        <w:rPr>
          <w:rFonts w:ascii="Garamond" w:hAnsi="Garamond"/>
        </w:rPr>
        <w:t xml:space="preserve"> </w:t>
      </w:r>
      <w:r w:rsidR="00EE3157">
        <w:rPr>
          <w:rFonts w:ascii="Garamond" w:hAnsi="Garamond"/>
        </w:rPr>
        <w:t>not only challenges the logic of the ICTY’s arc</w:t>
      </w:r>
      <w:r>
        <w:rPr>
          <w:rFonts w:ascii="Garamond" w:hAnsi="Garamond"/>
        </w:rPr>
        <w:t>h</w:t>
      </w:r>
      <w:r w:rsidR="00EE3157">
        <w:rPr>
          <w:rFonts w:ascii="Garamond" w:hAnsi="Garamond"/>
        </w:rPr>
        <w:t>ive, but the archival drive more generally</w:t>
      </w:r>
      <w:r w:rsidR="0098045D">
        <w:rPr>
          <w:rFonts w:ascii="Garamond" w:hAnsi="Garamond"/>
        </w:rPr>
        <w:t xml:space="preserve">, </w:t>
      </w:r>
      <w:r w:rsidR="00EE3157">
        <w:rPr>
          <w:rFonts w:ascii="Garamond" w:hAnsi="Garamond"/>
        </w:rPr>
        <w:t>as he opens the archive to new encounters and new imaginative possibilities. This is made possible</w:t>
      </w:r>
      <w:r w:rsidR="003C0A94">
        <w:rPr>
          <w:rFonts w:ascii="Garamond" w:hAnsi="Garamond"/>
        </w:rPr>
        <w:t xml:space="preserve"> </w:t>
      </w:r>
      <w:r w:rsidR="00EE3157">
        <w:rPr>
          <w:rFonts w:ascii="Garamond" w:hAnsi="Garamond"/>
        </w:rPr>
        <w:t xml:space="preserve">through the aesthetic politics located in </w:t>
      </w:r>
      <w:r w:rsidR="00920BF5">
        <w:rPr>
          <w:rFonts w:ascii="Garamond" w:hAnsi="Garamond"/>
        </w:rPr>
        <w:t>Miladinović’s</w:t>
      </w:r>
      <w:r w:rsidR="00EE3157">
        <w:rPr>
          <w:rFonts w:ascii="Garamond" w:hAnsi="Garamond"/>
        </w:rPr>
        <w:t xml:space="preserve"> practice. </w:t>
      </w:r>
      <w:r w:rsidR="00CB3CB8">
        <w:rPr>
          <w:rFonts w:ascii="Garamond" w:hAnsi="Garamond"/>
        </w:rPr>
        <w:t xml:space="preserve"> </w:t>
      </w:r>
    </w:p>
    <w:p w14:paraId="428C15FB" w14:textId="77777777" w:rsidR="00041998" w:rsidRDefault="00041998" w:rsidP="00041998">
      <w:pPr>
        <w:rPr>
          <w:rFonts w:ascii="Garamond" w:hAnsi="Garamond"/>
        </w:rPr>
      </w:pPr>
    </w:p>
    <w:p w14:paraId="6EC6ADFB" w14:textId="1A0C9B32" w:rsidR="00041998" w:rsidRDefault="0098045D" w:rsidP="00041998">
      <w:pPr>
        <w:rPr>
          <w:rFonts w:ascii="Garamond" w:hAnsi="Garamond"/>
        </w:rPr>
      </w:pPr>
      <w:r>
        <w:rPr>
          <w:rFonts w:ascii="Garamond" w:hAnsi="Garamond"/>
        </w:rPr>
        <w:t>Miladinović’s</w:t>
      </w:r>
      <w:r w:rsidR="00041998">
        <w:rPr>
          <w:rFonts w:ascii="Garamond" w:hAnsi="Garamond"/>
        </w:rPr>
        <w:t xml:space="preserve"> practice revolves around this question of archival power. His </w:t>
      </w:r>
      <w:r w:rsidR="00041998" w:rsidRPr="000A3FF9">
        <w:rPr>
          <w:rFonts w:ascii="Garamond" w:hAnsi="Garamond"/>
        </w:rPr>
        <w:t>work meticulously reproduces the archival records of silenced or contested aspects of the former Yugoslavia’s</w:t>
      </w:r>
      <w:r w:rsidR="00041998">
        <w:rPr>
          <w:rFonts w:ascii="Garamond" w:hAnsi="Garamond"/>
        </w:rPr>
        <w:t xml:space="preserve"> </w:t>
      </w:r>
      <w:r w:rsidR="00041998" w:rsidRPr="000A3FF9">
        <w:rPr>
          <w:rFonts w:ascii="Garamond" w:hAnsi="Garamond"/>
        </w:rPr>
        <w:t>past in ink wash. This draws attention to the logics and drivers that led to the exclusion of these records from popular imagination – frequently linked to the systems and processes that contributed to the violence in the first place, such as nationalism</w:t>
      </w:r>
      <w:r w:rsidR="00041998">
        <w:rPr>
          <w:rFonts w:ascii="Garamond" w:hAnsi="Garamond"/>
          <w:color w:val="FF0000"/>
        </w:rPr>
        <w:t xml:space="preserve"> </w:t>
      </w:r>
      <w:r w:rsidR="00041998" w:rsidRPr="00A22E76">
        <w:rPr>
          <w:rFonts w:ascii="Garamond" w:hAnsi="Garamond"/>
          <w:color w:val="000000" w:themeColor="text1"/>
        </w:rPr>
        <w:t xml:space="preserve">and the shift from socialist to capitalist economies. In </w:t>
      </w:r>
      <w:r w:rsidR="00041998" w:rsidRPr="000A3FF9">
        <w:rPr>
          <w:rFonts w:ascii="Garamond" w:hAnsi="Garamond"/>
        </w:rPr>
        <w:t>resituating these records,</w:t>
      </w:r>
      <w:r w:rsidR="00041998">
        <w:rPr>
          <w:rFonts w:ascii="Garamond" w:hAnsi="Garamond"/>
        </w:rPr>
        <w:t xml:space="preserve"> </w:t>
      </w:r>
      <w:r w:rsidR="00920BF5">
        <w:rPr>
          <w:rFonts w:ascii="Garamond" w:hAnsi="Garamond"/>
        </w:rPr>
        <w:t>Miladinović</w:t>
      </w:r>
      <w:r w:rsidR="00920BF5" w:rsidRPr="000A3FF9">
        <w:rPr>
          <w:rFonts w:ascii="Garamond" w:hAnsi="Garamond"/>
        </w:rPr>
        <w:t xml:space="preserve"> </w:t>
      </w:r>
      <w:r w:rsidR="00041998">
        <w:rPr>
          <w:rFonts w:ascii="Garamond" w:hAnsi="Garamond"/>
        </w:rPr>
        <w:t xml:space="preserve">disrupts the ‘disruption of the sensible’ </w:t>
      </w:r>
      <w:r w:rsidR="00C52C7D">
        <w:rPr>
          <w:rFonts w:ascii="Garamond" w:hAnsi="Garamond"/>
        </w:rPr>
        <w:t xml:space="preserve">in the present, </w:t>
      </w:r>
      <w:r w:rsidR="00041998">
        <w:rPr>
          <w:rFonts w:ascii="Garamond" w:hAnsi="Garamond"/>
        </w:rPr>
        <w:t xml:space="preserve">which renders certain knowledges ‘common sense’ whilst other are </w:t>
      </w:r>
      <w:r>
        <w:rPr>
          <w:rFonts w:ascii="Garamond" w:hAnsi="Garamond"/>
        </w:rPr>
        <w:t>made</w:t>
      </w:r>
      <w:r w:rsidR="00041998">
        <w:rPr>
          <w:rFonts w:ascii="Garamond" w:hAnsi="Garamond"/>
        </w:rPr>
        <w:t xml:space="preserve"> illegitimate.</w:t>
      </w:r>
      <w:r w:rsidR="00DB3E5E">
        <w:rPr>
          <w:rStyle w:val="EndnoteReference"/>
          <w:rFonts w:ascii="Garamond" w:hAnsi="Garamond"/>
        </w:rPr>
        <w:endnoteReference w:id="3"/>
      </w:r>
      <w:r w:rsidR="00041998" w:rsidRPr="000A3FF9">
        <w:rPr>
          <w:rFonts w:ascii="Garamond" w:hAnsi="Garamond"/>
        </w:rPr>
        <w:t xml:space="preserve"> His work has drawn on numerous archive</w:t>
      </w:r>
      <w:r w:rsidR="00041998">
        <w:rPr>
          <w:rFonts w:ascii="Garamond" w:hAnsi="Garamond"/>
        </w:rPr>
        <w:t>s</w:t>
      </w:r>
      <w:r w:rsidR="00041998" w:rsidRPr="000A3FF9">
        <w:rPr>
          <w:rFonts w:ascii="Garamond" w:hAnsi="Garamond"/>
        </w:rPr>
        <w:t xml:space="preserve">, </w:t>
      </w:r>
      <w:r w:rsidR="00041998">
        <w:rPr>
          <w:rFonts w:ascii="Garamond" w:hAnsi="Garamond"/>
        </w:rPr>
        <w:t xml:space="preserve">including </w:t>
      </w:r>
      <w:r w:rsidR="00041998" w:rsidRPr="000A3FF9">
        <w:rPr>
          <w:rFonts w:ascii="Garamond" w:hAnsi="Garamond"/>
        </w:rPr>
        <w:t>newspaper</w:t>
      </w:r>
      <w:r w:rsidR="00041998">
        <w:rPr>
          <w:rFonts w:ascii="Garamond" w:hAnsi="Garamond"/>
        </w:rPr>
        <w:t xml:space="preserve"> archives</w:t>
      </w:r>
      <w:r w:rsidR="00041998" w:rsidRPr="000A3FF9">
        <w:rPr>
          <w:rFonts w:ascii="Garamond" w:hAnsi="Garamond"/>
        </w:rPr>
        <w:t xml:space="preserve"> and museums </w:t>
      </w:r>
      <w:r w:rsidR="00041998">
        <w:rPr>
          <w:rFonts w:ascii="Garamond" w:hAnsi="Garamond"/>
        </w:rPr>
        <w:t xml:space="preserve">archives, and within these </w:t>
      </w:r>
      <w:r w:rsidR="002E12A1">
        <w:rPr>
          <w:rFonts w:ascii="Garamond" w:hAnsi="Garamond"/>
        </w:rPr>
        <w:t>he</w:t>
      </w:r>
      <w:r w:rsidR="00041998">
        <w:rPr>
          <w:rFonts w:ascii="Garamond" w:hAnsi="Garamond"/>
        </w:rPr>
        <w:t xml:space="preserve"> has focused </w:t>
      </w:r>
      <w:r w:rsidR="00041998" w:rsidRPr="00A22E76">
        <w:rPr>
          <w:rFonts w:ascii="Garamond" w:hAnsi="Garamond"/>
          <w:color w:val="000000" w:themeColor="text1"/>
        </w:rPr>
        <w:t xml:space="preserve">on different types of documents, such as </w:t>
      </w:r>
      <w:r w:rsidR="00041998" w:rsidRPr="00A22E76">
        <w:rPr>
          <w:rFonts w:ascii="Garamond" w:hAnsi="Garamond"/>
          <w:color w:val="000000" w:themeColor="text1"/>
        </w:rPr>
        <w:lastRenderedPageBreak/>
        <w:t>lists, maps, posters, pamphlets and photographs</w:t>
      </w:r>
      <w:r w:rsidR="00041998" w:rsidRPr="000A3FF9">
        <w:rPr>
          <w:rFonts w:ascii="Garamond" w:hAnsi="Garamond"/>
        </w:rPr>
        <w:t>.</w:t>
      </w:r>
      <w:r w:rsidR="00041998">
        <w:rPr>
          <w:rFonts w:ascii="Garamond" w:hAnsi="Garamond"/>
        </w:rPr>
        <w:t xml:space="preserve"> However, a reoccurring archive in </w:t>
      </w:r>
      <w:r w:rsidR="002E12A1">
        <w:rPr>
          <w:rFonts w:ascii="Garamond" w:hAnsi="Garamond"/>
        </w:rPr>
        <w:t>Miladinović’s</w:t>
      </w:r>
      <w:r w:rsidR="00041998">
        <w:rPr>
          <w:rFonts w:ascii="Garamond" w:hAnsi="Garamond"/>
        </w:rPr>
        <w:t xml:space="preserve"> work, and which underpins </w:t>
      </w:r>
      <w:r w:rsidR="00041998">
        <w:rPr>
          <w:rFonts w:ascii="Garamond" w:hAnsi="Garamond"/>
          <w:i/>
        </w:rPr>
        <w:t>The Notebook</w:t>
      </w:r>
      <w:r w:rsidR="00041998">
        <w:rPr>
          <w:rFonts w:ascii="Garamond" w:hAnsi="Garamond"/>
        </w:rPr>
        <w:t xml:space="preserve">, is the </w:t>
      </w:r>
      <w:r w:rsidR="00041998" w:rsidRPr="000A3FF9">
        <w:rPr>
          <w:rFonts w:ascii="Garamond" w:hAnsi="Garamond"/>
        </w:rPr>
        <w:t>ICTY</w:t>
      </w:r>
      <w:r w:rsidR="00041998">
        <w:rPr>
          <w:rFonts w:ascii="Garamond" w:hAnsi="Garamond"/>
        </w:rPr>
        <w:t xml:space="preserve">’s archive. </w:t>
      </w:r>
    </w:p>
    <w:p w14:paraId="4F5C416B" w14:textId="77777777" w:rsidR="00041998" w:rsidRPr="000A3FF9" w:rsidRDefault="00041998" w:rsidP="00041998">
      <w:pPr>
        <w:rPr>
          <w:rFonts w:ascii="Garamond" w:hAnsi="Garamond"/>
        </w:rPr>
      </w:pPr>
    </w:p>
    <w:p w14:paraId="3D44FF28" w14:textId="75AFE95D" w:rsidR="00D34272" w:rsidRDefault="00224B36" w:rsidP="008D1CC4">
      <w:pPr>
        <w:rPr>
          <w:rFonts w:ascii="Garamond" w:eastAsiaTheme="majorEastAsia" w:hAnsi="Garamond" w:cstheme="majorBidi"/>
          <w:color w:val="2F5496" w:themeColor="accent1" w:themeShade="BF"/>
          <w:sz w:val="32"/>
          <w:szCs w:val="32"/>
        </w:rPr>
      </w:pPr>
      <w:r w:rsidRPr="00224B36">
        <w:rPr>
          <w:rFonts w:ascii="Garamond" w:eastAsiaTheme="majorEastAsia" w:hAnsi="Garamond" w:cstheme="majorBidi"/>
          <w:color w:val="2F5496" w:themeColor="accent1" w:themeShade="BF"/>
          <w:sz w:val="32"/>
          <w:szCs w:val="32"/>
        </w:rPr>
        <w:t>Vladimir Miladinović</w:t>
      </w:r>
      <w:r>
        <w:rPr>
          <w:rFonts w:ascii="Garamond" w:eastAsiaTheme="majorEastAsia" w:hAnsi="Garamond" w:cstheme="majorBidi"/>
          <w:color w:val="2F5496" w:themeColor="accent1" w:themeShade="BF"/>
          <w:sz w:val="32"/>
          <w:szCs w:val="32"/>
        </w:rPr>
        <w:t xml:space="preserve"> and the </w:t>
      </w:r>
      <w:r w:rsidR="00633089">
        <w:rPr>
          <w:rFonts w:ascii="Garamond" w:eastAsiaTheme="majorEastAsia" w:hAnsi="Garamond" w:cstheme="majorBidi"/>
          <w:color w:val="2F5496" w:themeColor="accent1" w:themeShade="BF"/>
          <w:sz w:val="32"/>
          <w:szCs w:val="32"/>
        </w:rPr>
        <w:t>Mladić</w:t>
      </w:r>
      <w:r>
        <w:rPr>
          <w:rFonts w:ascii="Garamond" w:eastAsiaTheme="majorEastAsia" w:hAnsi="Garamond" w:cstheme="majorBidi"/>
          <w:color w:val="2F5496" w:themeColor="accent1" w:themeShade="BF"/>
          <w:sz w:val="32"/>
          <w:szCs w:val="32"/>
        </w:rPr>
        <w:t xml:space="preserve"> Diaries</w:t>
      </w:r>
    </w:p>
    <w:p w14:paraId="21A5FE6D" w14:textId="781E6D57" w:rsidR="00224B36" w:rsidRDefault="00224B36" w:rsidP="008D1CC4">
      <w:pPr>
        <w:rPr>
          <w:rFonts w:ascii="Garamond" w:eastAsiaTheme="majorEastAsia" w:hAnsi="Garamond" w:cstheme="majorBidi"/>
          <w:color w:val="2F5496" w:themeColor="accent1" w:themeShade="BF"/>
          <w:sz w:val="32"/>
          <w:szCs w:val="32"/>
        </w:rPr>
      </w:pPr>
    </w:p>
    <w:p w14:paraId="4255A954" w14:textId="494D58FA" w:rsidR="00224B36" w:rsidRDefault="00224B36" w:rsidP="008D1CC4">
      <w:pPr>
        <w:rPr>
          <w:rFonts w:ascii="Garamond" w:eastAsiaTheme="majorEastAsia" w:hAnsi="Garamond" w:cstheme="majorBidi"/>
          <w:color w:val="2F5496" w:themeColor="accent1" w:themeShade="BF"/>
          <w:sz w:val="32"/>
          <w:szCs w:val="32"/>
        </w:rPr>
      </w:pPr>
      <w:r>
        <w:rPr>
          <w:rFonts w:ascii="Garamond" w:eastAsiaTheme="majorEastAsia" w:hAnsi="Garamond" w:cstheme="majorBidi"/>
          <w:color w:val="2F5496" w:themeColor="accent1" w:themeShade="BF"/>
          <w:sz w:val="32"/>
          <w:szCs w:val="32"/>
        </w:rPr>
        <w:t>The Archive</w:t>
      </w:r>
    </w:p>
    <w:p w14:paraId="38F30557" w14:textId="5E20ADD9" w:rsidR="004C718F" w:rsidRPr="000A3FF9" w:rsidRDefault="004C718F" w:rsidP="008D1CC4">
      <w:pPr>
        <w:rPr>
          <w:rFonts w:ascii="Garamond" w:hAnsi="Garamond"/>
        </w:rPr>
      </w:pPr>
    </w:p>
    <w:p w14:paraId="73D4C0A9" w14:textId="6E15AE19" w:rsidR="00E34DF0" w:rsidRDefault="007F78B3" w:rsidP="008D1CC4">
      <w:pPr>
        <w:rPr>
          <w:rFonts w:ascii="Garamond" w:hAnsi="Garamond"/>
        </w:rPr>
      </w:pPr>
      <w:r>
        <w:rPr>
          <w:rFonts w:ascii="Garamond" w:hAnsi="Garamond"/>
        </w:rPr>
        <w:t>In 1992, t</w:t>
      </w:r>
      <w:r w:rsidR="00A60586">
        <w:rPr>
          <w:rFonts w:ascii="Garamond" w:hAnsi="Garamond"/>
        </w:rPr>
        <w:t xml:space="preserve">he UN security council </w:t>
      </w:r>
      <w:r w:rsidR="00FB6ED6">
        <w:rPr>
          <w:rFonts w:ascii="Garamond" w:hAnsi="Garamond"/>
        </w:rPr>
        <w:t xml:space="preserve">created the </w:t>
      </w:r>
      <w:r w:rsidR="00C9144C">
        <w:rPr>
          <w:rFonts w:ascii="Garamond" w:hAnsi="Garamond"/>
        </w:rPr>
        <w:t xml:space="preserve">ICTY </w:t>
      </w:r>
      <w:r w:rsidR="00FB6ED6">
        <w:rPr>
          <w:rFonts w:ascii="Garamond" w:hAnsi="Garamond"/>
        </w:rPr>
        <w:t xml:space="preserve">to </w:t>
      </w:r>
      <w:r w:rsidR="00C9144C">
        <w:rPr>
          <w:rFonts w:ascii="Garamond" w:hAnsi="Garamond"/>
        </w:rPr>
        <w:t>help resolve the conflict</w:t>
      </w:r>
      <w:r w:rsidR="00A60586">
        <w:rPr>
          <w:rFonts w:ascii="Garamond" w:hAnsi="Garamond"/>
        </w:rPr>
        <w:t xml:space="preserve"> that was unfolding</w:t>
      </w:r>
      <w:r w:rsidR="00C9144C">
        <w:rPr>
          <w:rFonts w:ascii="Garamond" w:hAnsi="Garamond"/>
        </w:rPr>
        <w:t xml:space="preserve"> across the Western Balkans</w:t>
      </w:r>
      <w:r w:rsidR="005B7A98">
        <w:rPr>
          <w:rFonts w:ascii="Garamond" w:hAnsi="Garamond"/>
        </w:rPr>
        <w:t xml:space="preserve">, </w:t>
      </w:r>
      <w:r w:rsidR="00C9144C">
        <w:rPr>
          <w:rFonts w:ascii="Garamond" w:hAnsi="Garamond"/>
        </w:rPr>
        <w:t>as Yugoslavia</w:t>
      </w:r>
      <w:r>
        <w:rPr>
          <w:rFonts w:ascii="Garamond" w:hAnsi="Garamond"/>
        </w:rPr>
        <w:t xml:space="preserve"> - </w:t>
      </w:r>
      <w:r w:rsidR="00C9144C">
        <w:rPr>
          <w:rFonts w:ascii="Garamond" w:hAnsi="Garamond"/>
        </w:rPr>
        <w:t>as a political, economic, and cultural project</w:t>
      </w:r>
      <w:r>
        <w:rPr>
          <w:rFonts w:ascii="Garamond" w:hAnsi="Garamond"/>
        </w:rPr>
        <w:t xml:space="preserve"> - </w:t>
      </w:r>
      <w:r w:rsidR="00C9144C">
        <w:rPr>
          <w:rFonts w:ascii="Garamond" w:hAnsi="Garamond"/>
        </w:rPr>
        <w:t xml:space="preserve">disintegrated in the face of rising ethno-nationalism and </w:t>
      </w:r>
      <w:r>
        <w:rPr>
          <w:rFonts w:ascii="Garamond" w:hAnsi="Garamond"/>
        </w:rPr>
        <w:t>the</w:t>
      </w:r>
      <w:r w:rsidR="00041998">
        <w:rPr>
          <w:rFonts w:ascii="Garamond" w:hAnsi="Garamond"/>
        </w:rPr>
        <w:t xml:space="preserve"> shift from </w:t>
      </w:r>
      <w:r w:rsidR="007D6185">
        <w:rPr>
          <w:rFonts w:ascii="Garamond" w:hAnsi="Garamond"/>
        </w:rPr>
        <w:t>socialism to capitalism</w:t>
      </w:r>
      <w:r w:rsidR="00FB6ED6">
        <w:rPr>
          <w:rFonts w:ascii="Garamond" w:hAnsi="Garamond"/>
        </w:rPr>
        <w:t>.</w:t>
      </w:r>
      <w:r w:rsidR="00C9144C">
        <w:rPr>
          <w:rFonts w:ascii="Garamond" w:hAnsi="Garamond"/>
        </w:rPr>
        <w:t xml:space="preserve"> The ICTY reflect</w:t>
      </w:r>
      <w:r w:rsidR="00FB6ED6">
        <w:rPr>
          <w:rFonts w:ascii="Garamond" w:hAnsi="Garamond"/>
        </w:rPr>
        <w:t>ed</w:t>
      </w:r>
      <w:r w:rsidR="00C9144C">
        <w:rPr>
          <w:rFonts w:ascii="Garamond" w:hAnsi="Garamond"/>
        </w:rPr>
        <w:t xml:space="preserve"> </w:t>
      </w:r>
      <w:r w:rsidR="00FB6ED6">
        <w:rPr>
          <w:rFonts w:ascii="Garamond" w:hAnsi="Garamond"/>
        </w:rPr>
        <w:t xml:space="preserve">both </w:t>
      </w:r>
      <w:r w:rsidR="00C9144C">
        <w:rPr>
          <w:rFonts w:ascii="Garamond" w:hAnsi="Garamond"/>
        </w:rPr>
        <w:t>the crisis and potential optimism that marked the end of the Cold War. On the one hand,</w:t>
      </w:r>
      <w:r w:rsidR="007D6185">
        <w:rPr>
          <w:rFonts w:ascii="Garamond" w:hAnsi="Garamond"/>
        </w:rPr>
        <w:t xml:space="preserve"> as seen in the Western Balkans,</w:t>
      </w:r>
      <w:r w:rsidR="00C9144C">
        <w:rPr>
          <w:rFonts w:ascii="Garamond" w:hAnsi="Garamond"/>
        </w:rPr>
        <w:t xml:space="preserve"> th</w:t>
      </w:r>
      <w:r w:rsidR="00A22E76">
        <w:rPr>
          <w:rFonts w:ascii="Garamond" w:hAnsi="Garamond"/>
        </w:rPr>
        <w:t xml:space="preserve">is era </w:t>
      </w:r>
      <w:r>
        <w:rPr>
          <w:rFonts w:ascii="Garamond" w:hAnsi="Garamond"/>
        </w:rPr>
        <w:t>witnessed</w:t>
      </w:r>
      <w:r w:rsidR="00C9144C">
        <w:rPr>
          <w:rFonts w:ascii="Garamond" w:hAnsi="Garamond"/>
        </w:rPr>
        <w:t xml:space="preserve"> </w:t>
      </w:r>
      <w:r w:rsidR="00A22E76">
        <w:rPr>
          <w:rFonts w:ascii="Garamond" w:hAnsi="Garamond"/>
        </w:rPr>
        <w:t xml:space="preserve">a </w:t>
      </w:r>
      <w:r w:rsidR="00041998">
        <w:rPr>
          <w:rFonts w:ascii="Garamond" w:hAnsi="Garamond"/>
        </w:rPr>
        <w:t>significant</w:t>
      </w:r>
      <w:r w:rsidR="00A22E76">
        <w:rPr>
          <w:rFonts w:ascii="Garamond" w:hAnsi="Garamond"/>
        </w:rPr>
        <w:t xml:space="preserve"> number of</w:t>
      </w:r>
      <w:r w:rsidR="00C9144C">
        <w:rPr>
          <w:rFonts w:ascii="Garamond" w:hAnsi="Garamond"/>
        </w:rPr>
        <w:t xml:space="preserve"> high intensity intra-state wars with </w:t>
      </w:r>
      <w:r w:rsidR="00A22E76">
        <w:rPr>
          <w:rFonts w:ascii="Garamond" w:hAnsi="Garamond"/>
        </w:rPr>
        <w:t>large</w:t>
      </w:r>
      <w:r w:rsidR="00C9144C">
        <w:rPr>
          <w:rFonts w:ascii="Garamond" w:hAnsi="Garamond"/>
        </w:rPr>
        <w:t xml:space="preserve"> numbers of civilian victims</w:t>
      </w:r>
      <w:r>
        <w:rPr>
          <w:rFonts w:ascii="Garamond" w:hAnsi="Garamond"/>
        </w:rPr>
        <w:t>. O</w:t>
      </w:r>
      <w:r w:rsidR="00C9144C">
        <w:rPr>
          <w:rFonts w:ascii="Garamond" w:hAnsi="Garamond"/>
        </w:rPr>
        <w:t>n the other</w:t>
      </w:r>
      <w:r w:rsidR="007D6185">
        <w:rPr>
          <w:rFonts w:ascii="Garamond" w:hAnsi="Garamond"/>
        </w:rPr>
        <w:t xml:space="preserve"> hand</w:t>
      </w:r>
      <w:r w:rsidR="00C9144C">
        <w:rPr>
          <w:rFonts w:ascii="Garamond" w:hAnsi="Garamond"/>
        </w:rPr>
        <w:t>,</w:t>
      </w:r>
      <w:r w:rsidR="00041998">
        <w:rPr>
          <w:rFonts w:ascii="Garamond" w:hAnsi="Garamond"/>
        </w:rPr>
        <w:t xml:space="preserve"> </w:t>
      </w:r>
      <w:r w:rsidR="00C9144C">
        <w:rPr>
          <w:rFonts w:ascii="Garamond" w:hAnsi="Garamond"/>
        </w:rPr>
        <w:t xml:space="preserve">the formation of an international court </w:t>
      </w:r>
      <w:r>
        <w:rPr>
          <w:rFonts w:ascii="Garamond" w:hAnsi="Garamond"/>
        </w:rPr>
        <w:t>signalled</w:t>
      </w:r>
      <w:r w:rsidR="00C9144C">
        <w:rPr>
          <w:rFonts w:ascii="Garamond" w:hAnsi="Garamond"/>
        </w:rPr>
        <w:t xml:space="preserve"> </w:t>
      </w:r>
      <w:r>
        <w:rPr>
          <w:rFonts w:ascii="Garamond" w:hAnsi="Garamond"/>
        </w:rPr>
        <w:t>the possible emergence of an international community underpinned by a recognition of the common humanity, and rights, of all people</w:t>
      </w:r>
      <w:r w:rsidR="00C9144C">
        <w:rPr>
          <w:rFonts w:ascii="Garamond" w:hAnsi="Garamond"/>
        </w:rPr>
        <w:t xml:space="preserve">. </w:t>
      </w:r>
      <w:r w:rsidR="00DC21EF">
        <w:rPr>
          <w:rFonts w:ascii="Garamond" w:hAnsi="Garamond"/>
        </w:rPr>
        <w:t>In this respect t</w:t>
      </w:r>
      <w:r w:rsidR="00C9144C">
        <w:rPr>
          <w:rFonts w:ascii="Garamond" w:hAnsi="Garamond"/>
        </w:rPr>
        <w:t>he court</w:t>
      </w:r>
      <w:r w:rsidR="00DC21EF">
        <w:rPr>
          <w:rFonts w:ascii="Garamond" w:hAnsi="Garamond"/>
        </w:rPr>
        <w:t xml:space="preserve"> </w:t>
      </w:r>
      <w:r w:rsidR="00C9144C">
        <w:rPr>
          <w:rFonts w:ascii="Garamond" w:hAnsi="Garamond"/>
        </w:rPr>
        <w:t xml:space="preserve">came to represent </w:t>
      </w:r>
      <w:r w:rsidR="00DC21EF">
        <w:rPr>
          <w:rFonts w:ascii="Garamond" w:hAnsi="Garamond"/>
        </w:rPr>
        <w:t xml:space="preserve">(for some at least) </w:t>
      </w:r>
      <w:r w:rsidR="00C9144C">
        <w:rPr>
          <w:rFonts w:ascii="Garamond" w:hAnsi="Garamond"/>
        </w:rPr>
        <w:t xml:space="preserve">the </w:t>
      </w:r>
      <w:r w:rsidR="0098045D">
        <w:rPr>
          <w:rFonts w:ascii="Garamond" w:hAnsi="Garamond"/>
        </w:rPr>
        <w:t>conscience</w:t>
      </w:r>
      <w:r w:rsidR="00C9144C">
        <w:rPr>
          <w:rFonts w:ascii="Garamond" w:hAnsi="Garamond"/>
        </w:rPr>
        <w:t xml:space="preserve"> of humanity, and its archive became a monument to that </w:t>
      </w:r>
      <w:r w:rsidR="0098045D">
        <w:rPr>
          <w:rFonts w:ascii="Garamond" w:hAnsi="Garamond"/>
        </w:rPr>
        <w:t>conscience</w:t>
      </w:r>
      <w:r w:rsidR="00C9144C">
        <w:rPr>
          <w:rFonts w:ascii="Garamond" w:hAnsi="Garamond"/>
        </w:rPr>
        <w:t>. The archive was important in other ways too</w:t>
      </w:r>
      <w:r w:rsidR="00DC21EF">
        <w:rPr>
          <w:rFonts w:ascii="Garamond" w:hAnsi="Garamond"/>
        </w:rPr>
        <w:t>, a</w:t>
      </w:r>
      <w:r w:rsidR="00C9144C">
        <w:rPr>
          <w:rFonts w:ascii="Garamond" w:hAnsi="Garamond"/>
        </w:rPr>
        <w:t xml:space="preserve">s it became a site where </w:t>
      </w:r>
      <w:r w:rsidR="00920BF5">
        <w:rPr>
          <w:rFonts w:ascii="Garamond" w:hAnsi="Garamond"/>
        </w:rPr>
        <w:t>an adjudicated record</w:t>
      </w:r>
      <w:r w:rsidR="00FB6ED6">
        <w:rPr>
          <w:rFonts w:ascii="Garamond" w:hAnsi="Garamond"/>
        </w:rPr>
        <w:t xml:space="preserve"> - </w:t>
      </w:r>
      <w:r>
        <w:rPr>
          <w:rFonts w:ascii="Garamond" w:hAnsi="Garamond"/>
        </w:rPr>
        <w:t>a ‘truth’</w:t>
      </w:r>
      <w:r w:rsidR="00FB6ED6">
        <w:rPr>
          <w:rFonts w:ascii="Garamond" w:hAnsi="Garamond"/>
        </w:rPr>
        <w:t xml:space="preserve">, of sorts </w:t>
      </w:r>
      <w:r>
        <w:rPr>
          <w:rFonts w:ascii="Garamond" w:hAnsi="Garamond"/>
        </w:rPr>
        <w:t xml:space="preserve">- </w:t>
      </w:r>
      <w:r w:rsidR="00C9144C">
        <w:rPr>
          <w:rFonts w:ascii="Garamond" w:hAnsi="Garamond"/>
        </w:rPr>
        <w:t xml:space="preserve">about the conflict would be preserved, </w:t>
      </w:r>
      <w:r w:rsidR="00DC21EF">
        <w:rPr>
          <w:rFonts w:ascii="Garamond" w:hAnsi="Garamond"/>
        </w:rPr>
        <w:t xml:space="preserve">which would, it was hoped, </w:t>
      </w:r>
      <w:r w:rsidR="00C9144C">
        <w:rPr>
          <w:rFonts w:ascii="Garamond" w:hAnsi="Garamond"/>
        </w:rPr>
        <w:t xml:space="preserve">draw a line under </w:t>
      </w:r>
      <w:r w:rsidR="00041998">
        <w:rPr>
          <w:rFonts w:ascii="Garamond" w:hAnsi="Garamond"/>
        </w:rPr>
        <w:t>this</w:t>
      </w:r>
      <w:r w:rsidR="00C9144C">
        <w:rPr>
          <w:rFonts w:ascii="Garamond" w:hAnsi="Garamond"/>
        </w:rPr>
        <w:t xml:space="preserve"> violen</w:t>
      </w:r>
      <w:r w:rsidR="00DC21EF">
        <w:rPr>
          <w:rFonts w:ascii="Garamond" w:hAnsi="Garamond"/>
        </w:rPr>
        <w:t>t</w:t>
      </w:r>
      <w:r w:rsidR="00C9144C">
        <w:rPr>
          <w:rFonts w:ascii="Garamond" w:hAnsi="Garamond"/>
        </w:rPr>
        <w:t xml:space="preserve"> past and </w:t>
      </w:r>
      <w:r w:rsidR="00DC21EF">
        <w:rPr>
          <w:rFonts w:ascii="Garamond" w:hAnsi="Garamond"/>
        </w:rPr>
        <w:t xml:space="preserve">assist </w:t>
      </w:r>
      <w:r w:rsidR="00041998">
        <w:rPr>
          <w:rFonts w:ascii="Garamond" w:hAnsi="Garamond"/>
        </w:rPr>
        <w:t>the region</w:t>
      </w:r>
      <w:r w:rsidR="00DC21EF">
        <w:rPr>
          <w:rFonts w:ascii="Garamond" w:hAnsi="Garamond"/>
        </w:rPr>
        <w:t xml:space="preserve"> to ‘</w:t>
      </w:r>
      <w:r w:rsidR="00C9144C">
        <w:rPr>
          <w:rFonts w:ascii="Garamond" w:hAnsi="Garamond"/>
        </w:rPr>
        <w:t>move on</w:t>
      </w:r>
      <w:r w:rsidR="00DC21EF">
        <w:rPr>
          <w:rFonts w:ascii="Garamond" w:hAnsi="Garamond"/>
        </w:rPr>
        <w:t>’</w:t>
      </w:r>
      <w:r w:rsidR="00C9144C">
        <w:rPr>
          <w:rFonts w:ascii="Garamond" w:hAnsi="Garamond"/>
        </w:rPr>
        <w:t>.</w:t>
      </w:r>
      <w:r w:rsidR="00DB3E5E">
        <w:rPr>
          <w:rStyle w:val="EndnoteReference"/>
          <w:rFonts w:ascii="Garamond" w:hAnsi="Garamond"/>
        </w:rPr>
        <w:endnoteReference w:id="4"/>
      </w:r>
      <w:r w:rsidR="00DC21EF">
        <w:rPr>
          <w:rFonts w:ascii="Garamond" w:hAnsi="Garamond"/>
        </w:rPr>
        <w:t xml:space="preserve"> </w:t>
      </w:r>
    </w:p>
    <w:p w14:paraId="2155C659" w14:textId="72A703F2" w:rsidR="00DC21EF" w:rsidRDefault="00DC21EF" w:rsidP="008D1CC4">
      <w:pPr>
        <w:rPr>
          <w:rFonts w:ascii="Garamond" w:hAnsi="Garamond"/>
        </w:rPr>
      </w:pPr>
    </w:p>
    <w:p w14:paraId="1C72F459" w14:textId="79759049" w:rsidR="001E4965" w:rsidRDefault="00DC21EF" w:rsidP="008D1CC4">
      <w:pPr>
        <w:rPr>
          <w:rFonts w:ascii="Garamond" w:hAnsi="Garamond"/>
        </w:rPr>
      </w:pPr>
      <w:r w:rsidRPr="00DC21EF">
        <w:rPr>
          <w:rFonts w:ascii="Garamond" w:hAnsi="Garamond"/>
        </w:rPr>
        <w:t>Over the tribunal</w:t>
      </w:r>
      <w:r w:rsidR="00920BF5">
        <w:rPr>
          <w:rFonts w:ascii="Garamond" w:hAnsi="Garamond"/>
        </w:rPr>
        <w:t>’</w:t>
      </w:r>
      <w:r w:rsidRPr="00DC21EF">
        <w:rPr>
          <w:rFonts w:ascii="Garamond" w:hAnsi="Garamond"/>
        </w:rPr>
        <w:t>s 26-year existence</w:t>
      </w:r>
      <w:r w:rsidR="00920BF5">
        <w:rPr>
          <w:rFonts w:ascii="Garamond" w:hAnsi="Garamond"/>
        </w:rPr>
        <w:t xml:space="preserve">, </w:t>
      </w:r>
      <w:r w:rsidRPr="00DC21EF">
        <w:rPr>
          <w:rFonts w:ascii="Garamond" w:hAnsi="Garamond"/>
        </w:rPr>
        <w:t xml:space="preserve">161 persons </w:t>
      </w:r>
      <w:r>
        <w:rPr>
          <w:rFonts w:ascii="Garamond" w:hAnsi="Garamond"/>
        </w:rPr>
        <w:t xml:space="preserve">were </w:t>
      </w:r>
      <w:r w:rsidRPr="00DC21EF">
        <w:rPr>
          <w:rFonts w:ascii="Garamond" w:hAnsi="Garamond"/>
        </w:rPr>
        <w:t>indicted</w:t>
      </w:r>
      <w:r w:rsidR="00FB6ED6">
        <w:rPr>
          <w:rFonts w:ascii="Garamond" w:hAnsi="Garamond"/>
        </w:rPr>
        <w:t xml:space="preserve">, with </w:t>
      </w:r>
      <w:r w:rsidRPr="00DC21EF">
        <w:rPr>
          <w:rFonts w:ascii="Garamond" w:hAnsi="Garamond"/>
        </w:rPr>
        <w:t>90 sentenced</w:t>
      </w:r>
      <w:r w:rsidR="00FB6ED6">
        <w:rPr>
          <w:rFonts w:ascii="Garamond" w:hAnsi="Garamond"/>
        </w:rPr>
        <w:t xml:space="preserve"> and 18 acquitted</w:t>
      </w:r>
      <w:r w:rsidRPr="00DC21EF">
        <w:rPr>
          <w:rFonts w:ascii="Garamond" w:hAnsi="Garamond"/>
        </w:rPr>
        <w:t>.</w:t>
      </w:r>
      <w:r w:rsidR="00DB3E5E">
        <w:rPr>
          <w:rStyle w:val="EndnoteReference"/>
          <w:rFonts w:ascii="Garamond" w:hAnsi="Garamond"/>
        </w:rPr>
        <w:endnoteReference w:id="5"/>
      </w:r>
      <w:r>
        <w:rPr>
          <w:rFonts w:ascii="Garamond" w:hAnsi="Garamond"/>
        </w:rPr>
        <w:t xml:space="preserve"> As a result of </w:t>
      </w:r>
      <w:r w:rsidR="00FB6ED6">
        <w:rPr>
          <w:rFonts w:ascii="Garamond" w:hAnsi="Garamond"/>
        </w:rPr>
        <w:t>these trials,</w:t>
      </w:r>
      <w:r>
        <w:rPr>
          <w:rFonts w:ascii="Garamond" w:hAnsi="Garamond"/>
        </w:rPr>
        <w:t xml:space="preserve"> the ICTY’s archive</w:t>
      </w:r>
      <w:r w:rsidR="005C49CF">
        <w:rPr>
          <w:rFonts w:ascii="Garamond" w:hAnsi="Garamond"/>
        </w:rPr>
        <w:t xml:space="preserve"> </w:t>
      </w:r>
      <w:r w:rsidR="00FB6ED6">
        <w:rPr>
          <w:rFonts w:ascii="Garamond" w:hAnsi="Garamond"/>
        </w:rPr>
        <w:t>holds</w:t>
      </w:r>
      <w:r w:rsidR="005C49CF">
        <w:rPr>
          <w:rFonts w:ascii="Garamond" w:hAnsi="Garamond"/>
        </w:rPr>
        <w:t xml:space="preserve"> a </w:t>
      </w:r>
      <w:r w:rsidR="00FB6ED6">
        <w:rPr>
          <w:rFonts w:ascii="Garamond" w:hAnsi="Garamond"/>
        </w:rPr>
        <w:t>huge</w:t>
      </w:r>
      <w:r w:rsidR="005C49CF">
        <w:rPr>
          <w:rFonts w:ascii="Garamond" w:hAnsi="Garamond"/>
        </w:rPr>
        <w:t xml:space="preserve"> collection of records relating to the conflict in the </w:t>
      </w:r>
      <w:r w:rsidR="00041998">
        <w:rPr>
          <w:rFonts w:ascii="Garamond" w:hAnsi="Garamond"/>
        </w:rPr>
        <w:t>f</w:t>
      </w:r>
      <w:r w:rsidR="005C49CF">
        <w:rPr>
          <w:rFonts w:ascii="Garamond" w:hAnsi="Garamond"/>
        </w:rPr>
        <w:t xml:space="preserve">ormer Yugoslavia, and </w:t>
      </w:r>
      <w:r>
        <w:rPr>
          <w:rFonts w:ascii="Garamond" w:hAnsi="Garamond"/>
        </w:rPr>
        <w:t>is</w:t>
      </w:r>
      <w:r w:rsidR="005C49CF">
        <w:rPr>
          <w:rFonts w:ascii="Garamond" w:hAnsi="Garamond"/>
        </w:rPr>
        <w:t xml:space="preserve"> one of the principle sites of memory in relation to the 1990s wars. Included within </w:t>
      </w:r>
      <w:r w:rsidR="00426AE7">
        <w:rPr>
          <w:rFonts w:ascii="Garamond" w:hAnsi="Garamond"/>
        </w:rPr>
        <w:t>the archive</w:t>
      </w:r>
      <w:r w:rsidR="005C49CF">
        <w:rPr>
          <w:rFonts w:ascii="Garamond" w:hAnsi="Garamond"/>
        </w:rPr>
        <w:t xml:space="preserve"> are thousands of hours of testimony from witnesses</w:t>
      </w:r>
      <w:r w:rsidR="00623637">
        <w:rPr>
          <w:rFonts w:ascii="Garamond" w:hAnsi="Garamond"/>
        </w:rPr>
        <w:t>, vast numbers of artefacts used as evidence</w:t>
      </w:r>
      <w:r w:rsidR="005C49CF">
        <w:rPr>
          <w:rFonts w:ascii="Garamond" w:hAnsi="Garamond"/>
        </w:rPr>
        <w:t>,</w:t>
      </w:r>
      <w:r w:rsidR="00623637">
        <w:rPr>
          <w:rFonts w:ascii="Garamond" w:hAnsi="Garamond"/>
        </w:rPr>
        <w:t xml:space="preserve"> alongside countless records of motions, decisions and judgements. From this </w:t>
      </w:r>
      <w:r w:rsidR="0081004B">
        <w:rPr>
          <w:rFonts w:ascii="Garamond" w:hAnsi="Garamond"/>
        </w:rPr>
        <w:t>enormous</w:t>
      </w:r>
      <w:r w:rsidR="00623637">
        <w:rPr>
          <w:rFonts w:ascii="Garamond" w:hAnsi="Garamond"/>
        </w:rPr>
        <w:t xml:space="preserve"> </w:t>
      </w:r>
      <w:r>
        <w:rPr>
          <w:rFonts w:ascii="Garamond" w:hAnsi="Garamond"/>
        </w:rPr>
        <w:t>record</w:t>
      </w:r>
      <w:r w:rsidR="00623637">
        <w:rPr>
          <w:rFonts w:ascii="Garamond" w:hAnsi="Garamond"/>
        </w:rPr>
        <w:t xml:space="preserve"> of violence, </w:t>
      </w:r>
      <w:r>
        <w:rPr>
          <w:rFonts w:ascii="Garamond" w:hAnsi="Garamond"/>
          <w:i/>
        </w:rPr>
        <w:t xml:space="preserve">The Notebook </w:t>
      </w:r>
      <w:r w:rsidR="00623637">
        <w:rPr>
          <w:rFonts w:ascii="Garamond" w:hAnsi="Garamond"/>
        </w:rPr>
        <w:t xml:space="preserve">focuses on </w:t>
      </w:r>
      <w:r w:rsidR="0033108C">
        <w:rPr>
          <w:rFonts w:ascii="Garamond" w:hAnsi="Garamond"/>
        </w:rPr>
        <w:t>an</w:t>
      </w:r>
      <w:r w:rsidR="00623637">
        <w:rPr>
          <w:rFonts w:ascii="Garamond" w:hAnsi="Garamond"/>
        </w:rPr>
        <w:t xml:space="preserve"> </w:t>
      </w:r>
      <w:r w:rsidR="007D6185">
        <w:rPr>
          <w:rFonts w:ascii="Garamond" w:hAnsi="Garamond"/>
        </w:rPr>
        <w:t>artefact submitted as evidence</w:t>
      </w:r>
      <w:r w:rsidR="004A4722">
        <w:rPr>
          <w:rFonts w:ascii="Garamond" w:hAnsi="Garamond"/>
        </w:rPr>
        <w:t xml:space="preserve"> across </w:t>
      </w:r>
      <w:r w:rsidR="0033108C">
        <w:rPr>
          <w:rFonts w:ascii="Garamond" w:hAnsi="Garamond"/>
        </w:rPr>
        <w:t>four trials</w:t>
      </w:r>
      <w:r w:rsidR="007D6185">
        <w:rPr>
          <w:rFonts w:ascii="Garamond" w:hAnsi="Garamond"/>
        </w:rPr>
        <w:t xml:space="preserve">; </w:t>
      </w:r>
      <w:r w:rsidR="00FB6ED6">
        <w:rPr>
          <w:rFonts w:ascii="Garamond" w:hAnsi="Garamond"/>
        </w:rPr>
        <w:t xml:space="preserve">one of </w:t>
      </w:r>
      <w:r w:rsidR="00633089">
        <w:rPr>
          <w:rFonts w:ascii="Garamond" w:hAnsi="Garamond"/>
        </w:rPr>
        <w:t>Mladić</w:t>
      </w:r>
      <w:r w:rsidR="004D4EB3">
        <w:rPr>
          <w:rFonts w:ascii="Garamond" w:hAnsi="Garamond"/>
        </w:rPr>
        <w:t xml:space="preserve">’s wartime </w:t>
      </w:r>
      <w:r w:rsidR="00FB6ED6">
        <w:rPr>
          <w:rFonts w:ascii="Garamond" w:hAnsi="Garamond"/>
        </w:rPr>
        <w:t>diaries</w:t>
      </w:r>
      <w:r w:rsidR="005C0B74">
        <w:rPr>
          <w:rFonts w:ascii="Garamond" w:hAnsi="Garamond"/>
        </w:rPr>
        <w:t>.</w:t>
      </w:r>
      <w:r w:rsidR="00D13258" w:rsidRPr="00C10F53">
        <w:rPr>
          <w:rFonts w:ascii="Garamond" w:hAnsi="Garamond"/>
        </w:rPr>
        <w:t xml:space="preserve"> </w:t>
      </w:r>
    </w:p>
    <w:p w14:paraId="70747AD4" w14:textId="18D70179" w:rsidR="005C49CF" w:rsidRDefault="005C49CF" w:rsidP="008D1CC4">
      <w:pPr>
        <w:rPr>
          <w:rFonts w:ascii="Garamond" w:hAnsi="Garamond"/>
        </w:rPr>
      </w:pPr>
    </w:p>
    <w:p w14:paraId="05F14D30" w14:textId="5877A0DA" w:rsidR="00623637" w:rsidRPr="007D6185" w:rsidRDefault="00623637" w:rsidP="00623637">
      <w:pPr>
        <w:rPr>
          <w:rFonts w:ascii="Times New Roman" w:hAnsi="Times New Roman" w:cs="Times New Roman"/>
        </w:rPr>
      </w:pPr>
      <w:r w:rsidRPr="000A3FF9">
        <w:rPr>
          <w:rFonts w:ascii="Garamond" w:hAnsi="Garamond"/>
        </w:rPr>
        <w:t xml:space="preserve">When </w:t>
      </w:r>
      <w:r w:rsidR="00633089">
        <w:rPr>
          <w:rFonts w:ascii="Garamond" w:hAnsi="Garamond"/>
        </w:rPr>
        <w:t>Mladić</w:t>
      </w:r>
      <w:r w:rsidRPr="000A3FF9">
        <w:rPr>
          <w:rFonts w:ascii="Garamond" w:hAnsi="Garamond"/>
        </w:rPr>
        <w:t xml:space="preserve">’s </w:t>
      </w:r>
      <w:r w:rsidR="008A13FC">
        <w:rPr>
          <w:rFonts w:ascii="Garamond" w:hAnsi="Garamond"/>
        </w:rPr>
        <w:t>wife</w:t>
      </w:r>
      <w:r w:rsidR="00FB6ED6">
        <w:rPr>
          <w:rFonts w:ascii="Garamond" w:hAnsi="Garamond"/>
        </w:rPr>
        <w:t>’s</w:t>
      </w:r>
      <w:r w:rsidR="008A13FC">
        <w:rPr>
          <w:rFonts w:ascii="Garamond" w:hAnsi="Garamond"/>
        </w:rPr>
        <w:t xml:space="preserve"> </w:t>
      </w:r>
      <w:r w:rsidRPr="000A3FF9">
        <w:rPr>
          <w:rFonts w:ascii="Garamond" w:hAnsi="Garamond"/>
        </w:rPr>
        <w:t xml:space="preserve">Belgrade home was searched in 2010, </w:t>
      </w:r>
      <w:r w:rsidR="00FB6ED6">
        <w:rPr>
          <w:rFonts w:ascii="Garamond" w:hAnsi="Garamond"/>
        </w:rPr>
        <w:t xml:space="preserve">Serbian police </w:t>
      </w:r>
      <w:r w:rsidRPr="000A3FF9">
        <w:rPr>
          <w:rFonts w:ascii="Garamond" w:hAnsi="Garamond"/>
        </w:rPr>
        <w:t>investigators discovered</w:t>
      </w:r>
      <w:r w:rsidR="007D6185">
        <w:rPr>
          <w:rFonts w:ascii="Garamond" w:hAnsi="Garamond"/>
        </w:rPr>
        <w:t xml:space="preserve"> some of</w:t>
      </w:r>
      <w:r w:rsidRPr="000A3FF9">
        <w:rPr>
          <w:rFonts w:ascii="Garamond" w:hAnsi="Garamond"/>
        </w:rPr>
        <w:t xml:space="preserve"> </w:t>
      </w:r>
      <w:r w:rsidR="00633089">
        <w:rPr>
          <w:rFonts w:ascii="Garamond" w:hAnsi="Garamond"/>
        </w:rPr>
        <w:t>Mladić</w:t>
      </w:r>
      <w:r w:rsidRPr="000A3FF9">
        <w:rPr>
          <w:rFonts w:ascii="Garamond" w:hAnsi="Garamond"/>
        </w:rPr>
        <w:t xml:space="preserve">’s personal wartime military records behind a fake wall. </w:t>
      </w:r>
      <w:r w:rsidR="00DE69D8">
        <w:rPr>
          <w:rFonts w:ascii="Garamond" w:hAnsi="Garamond"/>
        </w:rPr>
        <w:t xml:space="preserve">18 </w:t>
      </w:r>
      <w:r w:rsidRPr="00FB6ED6">
        <w:rPr>
          <w:rFonts w:ascii="Garamond" w:hAnsi="Garamond"/>
        </w:rPr>
        <w:t>notebooks, 120</w:t>
      </w:r>
      <w:r w:rsidRPr="000A3FF9">
        <w:rPr>
          <w:rFonts w:ascii="Garamond" w:hAnsi="Garamond"/>
        </w:rPr>
        <w:t xml:space="preserve"> sound recordings, </w:t>
      </w:r>
      <w:r w:rsidR="00FB6ED6">
        <w:rPr>
          <w:rFonts w:ascii="Garamond" w:hAnsi="Garamond"/>
        </w:rPr>
        <w:t xml:space="preserve">sim </w:t>
      </w:r>
      <w:r w:rsidRPr="000A3FF9">
        <w:rPr>
          <w:rFonts w:ascii="Garamond" w:hAnsi="Garamond"/>
        </w:rPr>
        <w:t>cards</w:t>
      </w:r>
      <w:r w:rsidR="00FB6ED6">
        <w:rPr>
          <w:rFonts w:ascii="Garamond" w:hAnsi="Garamond"/>
        </w:rPr>
        <w:t xml:space="preserve">, </w:t>
      </w:r>
      <w:r w:rsidRPr="000A3FF9">
        <w:rPr>
          <w:rFonts w:ascii="Garamond" w:hAnsi="Garamond"/>
        </w:rPr>
        <w:t>computer memory sticks</w:t>
      </w:r>
      <w:r w:rsidR="00FB6ED6">
        <w:rPr>
          <w:rFonts w:ascii="Garamond" w:hAnsi="Garamond"/>
        </w:rPr>
        <w:t xml:space="preserve">, amongst other </w:t>
      </w:r>
      <w:r w:rsidRPr="000A3FF9">
        <w:rPr>
          <w:rFonts w:ascii="Garamond" w:hAnsi="Garamond"/>
        </w:rPr>
        <w:t>documents</w:t>
      </w:r>
      <w:r w:rsidR="000C70DD">
        <w:rPr>
          <w:rFonts w:ascii="Garamond" w:hAnsi="Garamond"/>
        </w:rPr>
        <w:t>, were discovered in this search</w:t>
      </w:r>
      <w:r w:rsidRPr="000A3FF9">
        <w:rPr>
          <w:rFonts w:ascii="Garamond" w:hAnsi="Garamond"/>
        </w:rPr>
        <w:t>.</w:t>
      </w:r>
      <w:r w:rsidR="00DB3E5E">
        <w:rPr>
          <w:rStyle w:val="EndnoteReference"/>
          <w:rFonts w:ascii="Garamond" w:hAnsi="Garamond"/>
        </w:rPr>
        <w:endnoteReference w:id="6"/>
      </w:r>
      <w:r w:rsidRPr="000A3FF9">
        <w:rPr>
          <w:rFonts w:ascii="Garamond" w:hAnsi="Garamond"/>
        </w:rPr>
        <w:t xml:space="preserve"> These </w:t>
      </w:r>
      <w:r w:rsidR="00DC21EF">
        <w:rPr>
          <w:rFonts w:ascii="Garamond" w:hAnsi="Garamond"/>
        </w:rPr>
        <w:t>contained records of</w:t>
      </w:r>
      <w:r w:rsidRPr="000A3FF9">
        <w:rPr>
          <w:rFonts w:ascii="Garamond" w:hAnsi="Garamond"/>
        </w:rPr>
        <w:t xml:space="preserve"> </w:t>
      </w:r>
      <w:r w:rsidR="00633089">
        <w:rPr>
          <w:rFonts w:ascii="Garamond" w:hAnsi="Garamond"/>
        </w:rPr>
        <w:t>Mladić</w:t>
      </w:r>
      <w:r w:rsidRPr="000A3FF9">
        <w:rPr>
          <w:rFonts w:ascii="Garamond" w:hAnsi="Garamond"/>
        </w:rPr>
        <w:t>’s day to day activities throughout the conflict</w:t>
      </w:r>
      <w:r w:rsidR="00FB6ED6">
        <w:rPr>
          <w:rFonts w:ascii="Garamond" w:hAnsi="Garamond"/>
        </w:rPr>
        <w:t>:</w:t>
      </w:r>
      <w:r w:rsidRPr="000A3FF9">
        <w:rPr>
          <w:rFonts w:ascii="Garamond" w:hAnsi="Garamond"/>
        </w:rPr>
        <w:t xml:space="preserve"> who he met and where, who he called and what was said. These were, then, unsurprisingly heralded as a ground breaking find for the ICTY </w:t>
      </w:r>
      <w:r w:rsidRPr="000639BF">
        <w:rPr>
          <w:rFonts w:ascii="Garamond" w:hAnsi="Garamond"/>
        </w:rPr>
        <w:t xml:space="preserve">(despite that </w:t>
      </w:r>
      <w:r w:rsidR="00633089">
        <w:rPr>
          <w:rFonts w:ascii="Garamond" w:hAnsi="Garamond"/>
        </w:rPr>
        <w:t>Mladić</w:t>
      </w:r>
      <w:r w:rsidRPr="000639BF">
        <w:rPr>
          <w:rFonts w:ascii="Garamond" w:hAnsi="Garamond"/>
        </w:rPr>
        <w:t xml:space="preserve">, at </w:t>
      </w:r>
      <w:r w:rsidR="00FB6ED6">
        <w:rPr>
          <w:rFonts w:ascii="Garamond" w:hAnsi="Garamond"/>
        </w:rPr>
        <w:t>that</w:t>
      </w:r>
      <w:r w:rsidRPr="000639BF">
        <w:rPr>
          <w:rFonts w:ascii="Garamond" w:hAnsi="Garamond"/>
        </w:rPr>
        <w:t xml:space="preserve"> moment, continued to avoid arrest</w:t>
      </w:r>
      <w:r w:rsidR="00041998" w:rsidRPr="000639BF">
        <w:rPr>
          <w:rFonts w:ascii="Garamond" w:hAnsi="Garamond"/>
        </w:rPr>
        <w:t>)</w:t>
      </w:r>
      <w:r w:rsidR="005C0B74">
        <w:rPr>
          <w:rFonts w:ascii="Garamond" w:hAnsi="Garamond"/>
        </w:rPr>
        <w:t>.</w:t>
      </w:r>
      <w:r w:rsidR="00041998" w:rsidRPr="000639BF">
        <w:rPr>
          <w:rFonts w:ascii="Garamond" w:hAnsi="Garamond"/>
        </w:rPr>
        <w:t xml:space="preserve"> </w:t>
      </w:r>
      <w:r w:rsidR="005C0B74">
        <w:rPr>
          <w:rFonts w:ascii="Garamond" w:hAnsi="Garamond"/>
        </w:rPr>
        <w:t>T</w:t>
      </w:r>
      <w:r w:rsidRPr="000639BF">
        <w:rPr>
          <w:rFonts w:ascii="Garamond" w:hAnsi="Garamond"/>
        </w:rPr>
        <w:t>he</w:t>
      </w:r>
      <w:r w:rsidR="0098045D">
        <w:rPr>
          <w:rFonts w:ascii="Garamond" w:hAnsi="Garamond"/>
        </w:rPr>
        <w:t xml:space="preserve"> ICTY’s </w:t>
      </w:r>
      <w:r w:rsidRPr="000639BF">
        <w:rPr>
          <w:rFonts w:ascii="Garamond" w:hAnsi="Garamond"/>
        </w:rPr>
        <w:t xml:space="preserve">chief prosecutor </w:t>
      </w:r>
      <w:r w:rsidR="005C0B74">
        <w:rPr>
          <w:rFonts w:ascii="Garamond" w:hAnsi="Garamond"/>
        </w:rPr>
        <w:t>noted</w:t>
      </w:r>
      <w:r w:rsidRPr="000639BF">
        <w:rPr>
          <w:rFonts w:ascii="Garamond" w:hAnsi="Garamond"/>
        </w:rPr>
        <w:t xml:space="preserve"> how rare it was to get this much information from such a senior source</w:t>
      </w:r>
      <w:r w:rsidR="005C0B74">
        <w:rPr>
          <w:rFonts w:ascii="Garamond" w:hAnsi="Garamond"/>
        </w:rPr>
        <w:t xml:space="preserve">, and these records were subsequently used </w:t>
      </w:r>
      <w:r w:rsidR="007D6185">
        <w:rPr>
          <w:rFonts w:ascii="Garamond" w:hAnsi="Garamond"/>
        </w:rPr>
        <w:t>i</w:t>
      </w:r>
      <w:r w:rsidR="005C0B74">
        <w:rPr>
          <w:rFonts w:ascii="Garamond" w:hAnsi="Garamond"/>
        </w:rPr>
        <w:t xml:space="preserve">n </w:t>
      </w:r>
      <w:r w:rsidR="005C0B74" w:rsidRPr="00C10F53">
        <w:rPr>
          <w:rFonts w:ascii="Garamond" w:hAnsi="Garamond"/>
        </w:rPr>
        <w:t xml:space="preserve">the prosecution of five </w:t>
      </w:r>
      <w:r w:rsidR="005C0B74">
        <w:rPr>
          <w:rFonts w:ascii="Garamond" w:hAnsi="Garamond"/>
        </w:rPr>
        <w:t>defendants</w:t>
      </w:r>
      <w:r w:rsidR="0098045D">
        <w:rPr>
          <w:rFonts w:ascii="Garamond" w:hAnsi="Garamond"/>
        </w:rPr>
        <w:t xml:space="preserve"> across four trials</w:t>
      </w:r>
      <w:r w:rsidR="005C0B74" w:rsidRPr="00C10F53">
        <w:rPr>
          <w:rFonts w:ascii="Garamond" w:hAnsi="Garamond"/>
        </w:rPr>
        <w:t xml:space="preserve">, including </w:t>
      </w:r>
      <w:r w:rsidR="00633089">
        <w:rPr>
          <w:rFonts w:ascii="Garamond" w:hAnsi="Garamond"/>
        </w:rPr>
        <w:t>Mladić</w:t>
      </w:r>
      <w:r w:rsidR="005C0B74" w:rsidRPr="00C10F53">
        <w:rPr>
          <w:rFonts w:ascii="Garamond" w:hAnsi="Garamond"/>
        </w:rPr>
        <w:t xml:space="preserve"> himself.</w:t>
      </w:r>
      <w:r w:rsidR="00DB3E5E">
        <w:rPr>
          <w:rStyle w:val="EndnoteReference"/>
          <w:rFonts w:ascii="Garamond" w:hAnsi="Garamond"/>
        </w:rPr>
        <w:endnoteReference w:id="7"/>
      </w:r>
      <w:r w:rsidR="00DE69D8">
        <w:rPr>
          <w:rFonts w:ascii="Garamond" w:hAnsi="Garamond"/>
        </w:rPr>
        <w:t xml:space="preserve"> The artefact that </w:t>
      </w:r>
      <w:r w:rsidR="00DE69D8">
        <w:rPr>
          <w:rFonts w:ascii="Garamond" w:hAnsi="Garamond"/>
          <w:i/>
        </w:rPr>
        <w:t xml:space="preserve">The Notebook </w:t>
      </w:r>
      <w:r w:rsidR="00DE69D8">
        <w:rPr>
          <w:rFonts w:ascii="Garamond" w:hAnsi="Garamond"/>
        </w:rPr>
        <w:t>is based on</w:t>
      </w:r>
      <w:r w:rsidR="005C0B74">
        <w:rPr>
          <w:rFonts w:ascii="Garamond" w:hAnsi="Garamond"/>
        </w:rPr>
        <w:t xml:space="preserve">, </w:t>
      </w:r>
      <w:r w:rsidR="000C70DD">
        <w:rPr>
          <w:rFonts w:ascii="Garamond" w:hAnsi="Garamond"/>
        </w:rPr>
        <w:t xml:space="preserve">is </w:t>
      </w:r>
      <w:r w:rsidR="00DE69D8">
        <w:rPr>
          <w:rFonts w:ascii="Garamond" w:hAnsi="Garamond"/>
        </w:rPr>
        <w:t xml:space="preserve">one of the </w:t>
      </w:r>
      <w:r w:rsidR="00B52ACC">
        <w:rPr>
          <w:rFonts w:ascii="Garamond" w:hAnsi="Garamond"/>
        </w:rPr>
        <w:t>notebooks</w:t>
      </w:r>
      <w:r w:rsidR="00DE69D8">
        <w:rPr>
          <w:rFonts w:ascii="Garamond" w:hAnsi="Garamond"/>
        </w:rPr>
        <w:t xml:space="preserve"> found in this raid</w:t>
      </w:r>
      <w:r w:rsidR="000C70DD">
        <w:rPr>
          <w:rFonts w:ascii="Garamond" w:hAnsi="Garamond"/>
        </w:rPr>
        <w:t xml:space="preserve">, which </w:t>
      </w:r>
      <w:r w:rsidR="00DE69D8">
        <w:rPr>
          <w:rFonts w:ascii="Garamond" w:hAnsi="Garamond"/>
        </w:rPr>
        <w:t xml:space="preserve">detailed </w:t>
      </w:r>
      <w:r w:rsidR="00633089">
        <w:rPr>
          <w:rFonts w:ascii="Garamond" w:hAnsi="Garamond"/>
        </w:rPr>
        <w:t>Mladić</w:t>
      </w:r>
      <w:r w:rsidR="00DE69D8">
        <w:rPr>
          <w:rFonts w:ascii="Garamond" w:hAnsi="Garamond"/>
        </w:rPr>
        <w:t xml:space="preserve">’s activities between </w:t>
      </w:r>
      <w:r w:rsidR="00DE69D8" w:rsidRPr="007D6185">
        <w:rPr>
          <w:rFonts w:ascii="Times New Roman" w:eastAsia="Times New Roman" w:hAnsi="Times New Roman" w:cs="Times New Roman"/>
          <w:sz w:val="22"/>
          <w:szCs w:val="22"/>
        </w:rPr>
        <w:t>27 May 1992 to 31 July 1992</w:t>
      </w:r>
      <w:r w:rsidR="000C70DD" w:rsidRPr="007D6185">
        <w:rPr>
          <w:rFonts w:ascii="Times New Roman" w:eastAsia="Times New Roman" w:hAnsi="Times New Roman" w:cs="Times New Roman"/>
          <w:sz w:val="22"/>
          <w:szCs w:val="22"/>
        </w:rPr>
        <w:t>.</w:t>
      </w:r>
      <w:r w:rsidR="00DB3E5E">
        <w:rPr>
          <w:rStyle w:val="EndnoteReference"/>
          <w:rFonts w:ascii="Times New Roman" w:eastAsia="Times New Roman" w:hAnsi="Times New Roman" w:cs="Times New Roman"/>
          <w:sz w:val="22"/>
          <w:szCs w:val="22"/>
        </w:rPr>
        <w:endnoteReference w:id="8"/>
      </w:r>
      <w:r w:rsidR="000C70DD" w:rsidRPr="007D6185">
        <w:rPr>
          <w:rFonts w:ascii="Times New Roman" w:hAnsi="Times New Roman" w:cs="Times New Roman"/>
        </w:rPr>
        <w:t xml:space="preserve"> </w:t>
      </w:r>
    </w:p>
    <w:p w14:paraId="152ADED1" w14:textId="77777777" w:rsidR="00623637" w:rsidRPr="000A3FF9" w:rsidRDefault="00623637" w:rsidP="00623637">
      <w:pPr>
        <w:rPr>
          <w:rFonts w:ascii="Garamond" w:hAnsi="Garamond"/>
        </w:rPr>
      </w:pPr>
    </w:p>
    <w:p w14:paraId="2AE5A6AF" w14:textId="049A3B96" w:rsidR="00623637" w:rsidRDefault="00B52ACC" w:rsidP="00623637">
      <w:pPr>
        <w:rPr>
          <w:rFonts w:ascii="Garamond" w:hAnsi="Garamond"/>
        </w:rPr>
      </w:pPr>
      <w:r>
        <w:rPr>
          <w:rFonts w:ascii="Garamond" w:hAnsi="Garamond"/>
        </w:rPr>
        <w:t>Whilst the value of this</w:t>
      </w:r>
      <w:r w:rsidR="005C0B74">
        <w:rPr>
          <w:rFonts w:ascii="Garamond" w:hAnsi="Garamond"/>
        </w:rPr>
        <w:t xml:space="preserve"> </w:t>
      </w:r>
      <w:r>
        <w:rPr>
          <w:rFonts w:ascii="Garamond" w:hAnsi="Garamond"/>
        </w:rPr>
        <w:t xml:space="preserve">notebook </w:t>
      </w:r>
      <w:r w:rsidR="005C0B74">
        <w:rPr>
          <w:rFonts w:ascii="Garamond" w:hAnsi="Garamond"/>
        </w:rPr>
        <w:t xml:space="preserve">(and indeed all those records found </w:t>
      </w:r>
      <w:r w:rsidR="0033108C">
        <w:rPr>
          <w:rFonts w:ascii="Garamond" w:hAnsi="Garamond"/>
        </w:rPr>
        <w:t>in the 2010 raid</w:t>
      </w:r>
      <w:r w:rsidR="005C0B74">
        <w:rPr>
          <w:rFonts w:ascii="Garamond" w:hAnsi="Garamond"/>
        </w:rPr>
        <w:t xml:space="preserve">) </w:t>
      </w:r>
      <w:r>
        <w:rPr>
          <w:rFonts w:ascii="Garamond" w:hAnsi="Garamond"/>
        </w:rPr>
        <w:t xml:space="preserve">might appear obvious, </w:t>
      </w:r>
      <w:r w:rsidR="00623637">
        <w:rPr>
          <w:rFonts w:ascii="Garamond" w:hAnsi="Garamond"/>
        </w:rPr>
        <w:t xml:space="preserve">rendering </w:t>
      </w:r>
      <w:r>
        <w:rPr>
          <w:rFonts w:ascii="Garamond" w:hAnsi="Garamond"/>
        </w:rPr>
        <w:t xml:space="preserve">it </w:t>
      </w:r>
      <w:r w:rsidR="00192602">
        <w:rPr>
          <w:rFonts w:ascii="Garamond" w:hAnsi="Garamond"/>
        </w:rPr>
        <w:t>as</w:t>
      </w:r>
      <w:r w:rsidR="00623637">
        <w:rPr>
          <w:rFonts w:ascii="Garamond" w:hAnsi="Garamond"/>
        </w:rPr>
        <w:t xml:space="preserve"> ‘evidence’ </w:t>
      </w:r>
      <w:r w:rsidR="00192602">
        <w:rPr>
          <w:rFonts w:ascii="Garamond" w:hAnsi="Garamond"/>
        </w:rPr>
        <w:t xml:space="preserve">within the </w:t>
      </w:r>
      <w:r w:rsidR="00FB6ED6">
        <w:rPr>
          <w:rFonts w:ascii="Garamond" w:hAnsi="Garamond"/>
        </w:rPr>
        <w:t xml:space="preserve">ICTY’s </w:t>
      </w:r>
      <w:r w:rsidR="00192602">
        <w:rPr>
          <w:rFonts w:ascii="Garamond" w:hAnsi="Garamond"/>
        </w:rPr>
        <w:t xml:space="preserve">archive </w:t>
      </w:r>
      <w:r>
        <w:rPr>
          <w:rFonts w:ascii="Garamond" w:hAnsi="Garamond"/>
        </w:rPr>
        <w:t>was</w:t>
      </w:r>
      <w:r w:rsidR="00623637">
        <w:rPr>
          <w:rFonts w:ascii="Garamond" w:hAnsi="Garamond"/>
        </w:rPr>
        <w:t xml:space="preserve"> not</w:t>
      </w:r>
      <w:r w:rsidR="006D772A">
        <w:rPr>
          <w:rFonts w:ascii="Garamond" w:hAnsi="Garamond"/>
        </w:rPr>
        <w:t xml:space="preserve"> </w:t>
      </w:r>
      <w:r w:rsidR="00FB6ED6">
        <w:rPr>
          <w:rFonts w:ascii="Garamond" w:hAnsi="Garamond"/>
        </w:rPr>
        <w:t>necessarily</w:t>
      </w:r>
      <w:r w:rsidR="00623637">
        <w:rPr>
          <w:rFonts w:ascii="Garamond" w:hAnsi="Garamond"/>
        </w:rPr>
        <w:t xml:space="preserve"> a straightforward process. </w:t>
      </w:r>
      <w:r w:rsidR="00DC21EF">
        <w:rPr>
          <w:rFonts w:ascii="Garamond" w:hAnsi="Garamond"/>
        </w:rPr>
        <w:t xml:space="preserve">For </w:t>
      </w:r>
      <w:r>
        <w:rPr>
          <w:rFonts w:ascii="Garamond" w:hAnsi="Garamond"/>
        </w:rPr>
        <w:t>it</w:t>
      </w:r>
      <w:r w:rsidR="00DE69D8">
        <w:rPr>
          <w:rFonts w:ascii="Garamond" w:hAnsi="Garamond"/>
        </w:rPr>
        <w:t xml:space="preserve"> to</w:t>
      </w:r>
      <w:r w:rsidR="00DC21EF">
        <w:rPr>
          <w:rFonts w:ascii="Garamond" w:hAnsi="Garamond"/>
        </w:rPr>
        <w:t xml:space="preserve"> form a legitimate part of the archive – and hence contribute to the proof of what happened - t</w:t>
      </w:r>
      <w:r w:rsidR="00623637">
        <w:rPr>
          <w:rFonts w:ascii="Garamond" w:hAnsi="Garamond"/>
        </w:rPr>
        <w:t xml:space="preserve">hree important </w:t>
      </w:r>
      <w:r w:rsidR="00DC21EF">
        <w:rPr>
          <w:rFonts w:ascii="Garamond" w:hAnsi="Garamond"/>
        </w:rPr>
        <w:t>issues</w:t>
      </w:r>
      <w:r w:rsidR="00041998">
        <w:rPr>
          <w:rFonts w:ascii="Garamond" w:hAnsi="Garamond"/>
        </w:rPr>
        <w:t xml:space="preserve"> need</w:t>
      </w:r>
      <w:r w:rsidR="00FB6ED6">
        <w:rPr>
          <w:rFonts w:ascii="Garamond" w:hAnsi="Garamond"/>
        </w:rPr>
        <w:t xml:space="preserve">ed </w:t>
      </w:r>
      <w:r w:rsidR="00041998">
        <w:rPr>
          <w:rFonts w:ascii="Garamond" w:hAnsi="Garamond"/>
        </w:rPr>
        <w:t>to be addressed</w:t>
      </w:r>
      <w:r w:rsidR="00FB6ED6">
        <w:rPr>
          <w:rFonts w:ascii="Garamond" w:hAnsi="Garamond"/>
        </w:rPr>
        <w:t xml:space="preserve">. This </w:t>
      </w:r>
      <w:r w:rsidR="00192602">
        <w:rPr>
          <w:rFonts w:ascii="Garamond" w:hAnsi="Garamond"/>
        </w:rPr>
        <w:t>were</w:t>
      </w:r>
      <w:r w:rsidR="00623637">
        <w:rPr>
          <w:rFonts w:ascii="Garamond" w:hAnsi="Garamond"/>
        </w:rPr>
        <w:t xml:space="preserve">: </w:t>
      </w:r>
      <w:r w:rsidR="00920BF5">
        <w:rPr>
          <w:rFonts w:ascii="Garamond" w:hAnsi="Garamond"/>
        </w:rPr>
        <w:t>probative value</w:t>
      </w:r>
      <w:r w:rsidR="00623637">
        <w:rPr>
          <w:rFonts w:ascii="Garamond" w:hAnsi="Garamond"/>
        </w:rPr>
        <w:t xml:space="preserve">; authenticity and </w:t>
      </w:r>
      <w:r w:rsidR="00041998">
        <w:rPr>
          <w:rFonts w:ascii="Garamond" w:hAnsi="Garamond"/>
        </w:rPr>
        <w:t>the technical submission of evidence, including translation</w:t>
      </w:r>
      <w:r w:rsidR="00DC21EF">
        <w:rPr>
          <w:rFonts w:ascii="Garamond" w:hAnsi="Garamond"/>
        </w:rPr>
        <w:t>.</w:t>
      </w:r>
      <w:r w:rsidR="00DB3E5E">
        <w:rPr>
          <w:rStyle w:val="EndnoteReference"/>
          <w:rFonts w:ascii="Garamond" w:hAnsi="Garamond"/>
        </w:rPr>
        <w:endnoteReference w:id="9"/>
      </w:r>
      <w:r w:rsidR="00DC21EF">
        <w:rPr>
          <w:rFonts w:ascii="Garamond" w:hAnsi="Garamond"/>
        </w:rPr>
        <w:t xml:space="preserve"> </w:t>
      </w:r>
    </w:p>
    <w:p w14:paraId="69358249" w14:textId="77777777" w:rsidR="00623637" w:rsidRPr="000A3FF9" w:rsidRDefault="00623637" w:rsidP="00623637">
      <w:pPr>
        <w:rPr>
          <w:rFonts w:ascii="Garamond" w:hAnsi="Garamond"/>
        </w:rPr>
      </w:pPr>
    </w:p>
    <w:p w14:paraId="6728970F" w14:textId="785722AC" w:rsidR="00AC434D" w:rsidRPr="00A449EA" w:rsidRDefault="00DE69D8" w:rsidP="008B299A">
      <w:pPr>
        <w:rPr>
          <w:rFonts w:ascii="Garamond" w:hAnsi="Garamond"/>
          <w:i/>
          <w:highlight w:val="yellow"/>
        </w:rPr>
      </w:pPr>
      <w:r>
        <w:rPr>
          <w:rFonts w:ascii="Garamond" w:hAnsi="Garamond"/>
        </w:rPr>
        <w:t xml:space="preserve">The probative value of </w:t>
      </w:r>
      <w:r w:rsidR="00B52ACC">
        <w:rPr>
          <w:rFonts w:ascii="Garamond" w:hAnsi="Garamond"/>
        </w:rPr>
        <w:t xml:space="preserve">the each of </w:t>
      </w:r>
      <w:r w:rsidR="007D6185">
        <w:rPr>
          <w:rFonts w:ascii="Garamond" w:hAnsi="Garamond"/>
        </w:rPr>
        <w:t>the</w:t>
      </w:r>
      <w:r w:rsidR="00B52ACC">
        <w:rPr>
          <w:rFonts w:ascii="Garamond" w:hAnsi="Garamond"/>
        </w:rPr>
        <w:t xml:space="preserve"> notebooks seized </w:t>
      </w:r>
      <w:r w:rsidR="0033108C">
        <w:rPr>
          <w:rFonts w:ascii="Garamond" w:hAnsi="Garamond"/>
        </w:rPr>
        <w:t>in 2010</w:t>
      </w:r>
      <w:r w:rsidR="00B52ACC">
        <w:rPr>
          <w:rFonts w:ascii="Garamond" w:hAnsi="Garamond"/>
        </w:rPr>
        <w:t xml:space="preserve"> </w:t>
      </w:r>
      <w:r>
        <w:rPr>
          <w:rFonts w:ascii="Garamond" w:hAnsi="Garamond"/>
        </w:rPr>
        <w:t xml:space="preserve">was never really in question, given that they contained a detailed record of </w:t>
      </w:r>
      <w:r w:rsidR="00633089">
        <w:rPr>
          <w:rFonts w:ascii="Garamond" w:hAnsi="Garamond"/>
        </w:rPr>
        <w:t>Mladić</w:t>
      </w:r>
      <w:r>
        <w:rPr>
          <w:rFonts w:ascii="Garamond" w:hAnsi="Garamond"/>
        </w:rPr>
        <w:t xml:space="preserve">’s </w:t>
      </w:r>
      <w:r w:rsidR="00B52ACC">
        <w:rPr>
          <w:rFonts w:ascii="Garamond" w:hAnsi="Garamond"/>
        </w:rPr>
        <w:t xml:space="preserve">wartime </w:t>
      </w:r>
      <w:r>
        <w:rPr>
          <w:rFonts w:ascii="Garamond" w:hAnsi="Garamond"/>
        </w:rPr>
        <w:t xml:space="preserve">activities. </w:t>
      </w:r>
      <w:r w:rsidR="00D13258" w:rsidRPr="00D75DF3">
        <w:rPr>
          <w:rFonts w:ascii="Garamond" w:hAnsi="Garamond"/>
        </w:rPr>
        <w:t>The issue of authenticity was addressed with varying degrees of intensity</w:t>
      </w:r>
      <w:r w:rsidR="004D4EB3">
        <w:rPr>
          <w:rFonts w:ascii="Garamond" w:hAnsi="Garamond"/>
        </w:rPr>
        <w:t xml:space="preserve"> in the trials that </w:t>
      </w:r>
      <w:r>
        <w:rPr>
          <w:rFonts w:ascii="Garamond" w:hAnsi="Garamond"/>
        </w:rPr>
        <w:t>drew on</w:t>
      </w:r>
      <w:r w:rsidR="004D4EB3">
        <w:rPr>
          <w:rFonts w:ascii="Garamond" w:hAnsi="Garamond"/>
        </w:rPr>
        <w:t xml:space="preserve"> the </w:t>
      </w:r>
      <w:r w:rsidR="004D4EB3">
        <w:rPr>
          <w:rFonts w:ascii="Garamond" w:hAnsi="Garamond"/>
        </w:rPr>
        <w:lastRenderedPageBreak/>
        <w:t>notebooks as evidence</w:t>
      </w:r>
      <w:r w:rsidR="00D13258" w:rsidRPr="00D75DF3">
        <w:rPr>
          <w:rFonts w:ascii="Garamond" w:hAnsi="Garamond"/>
        </w:rPr>
        <w:t xml:space="preserve">. The majority </w:t>
      </w:r>
      <w:r w:rsidR="004D4EB3">
        <w:rPr>
          <w:rFonts w:ascii="Garamond" w:hAnsi="Garamond"/>
        </w:rPr>
        <w:t>in this regard</w:t>
      </w:r>
      <w:r w:rsidR="00D13258" w:rsidRPr="00D75DF3">
        <w:rPr>
          <w:rFonts w:ascii="Garamond" w:hAnsi="Garamond"/>
        </w:rPr>
        <w:t xml:space="preserve"> found that the provenance of the diary</w:t>
      </w:r>
      <w:r w:rsidR="00192602" w:rsidRPr="00D75DF3">
        <w:rPr>
          <w:rFonts w:ascii="Garamond" w:hAnsi="Garamond"/>
        </w:rPr>
        <w:t xml:space="preserve"> -</w:t>
      </w:r>
      <w:r w:rsidR="009970E1" w:rsidRPr="00D75DF3">
        <w:rPr>
          <w:rFonts w:ascii="Garamond" w:hAnsi="Garamond"/>
        </w:rPr>
        <w:t xml:space="preserve"> found</w:t>
      </w:r>
      <w:r w:rsidR="00D13258" w:rsidRPr="00D75DF3">
        <w:rPr>
          <w:rFonts w:ascii="Garamond" w:hAnsi="Garamond"/>
        </w:rPr>
        <w:t xml:space="preserve"> in </w:t>
      </w:r>
      <w:r w:rsidR="00633089">
        <w:rPr>
          <w:rFonts w:ascii="Garamond" w:hAnsi="Garamond"/>
        </w:rPr>
        <w:t>Mladić</w:t>
      </w:r>
      <w:r w:rsidR="00D13258" w:rsidRPr="00D75DF3">
        <w:rPr>
          <w:rFonts w:ascii="Garamond" w:hAnsi="Garamond"/>
        </w:rPr>
        <w:t>’s</w:t>
      </w:r>
      <w:r w:rsidR="007D6185">
        <w:rPr>
          <w:rFonts w:ascii="Garamond" w:hAnsi="Garamond"/>
        </w:rPr>
        <w:t xml:space="preserve"> wife’s</w:t>
      </w:r>
      <w:r w:rsidR="00D13258" w:rsidRPr="00D75DF3">
        <w:rPr>
          <w:rFonts w:ascii="Garamond" w:hAnsi="Garamond"/>
        </w:rPr>
        <w:t xml:space="preserve"> home</w:t>
      </w:r>
      <w:r w:rsidR="00192602" w:rsidRPr="00D75DF3">
        <w:rPr>
          <w:rFonts w:ascii="Garamond" w:hAnsi="Garamond"/>
        </w:rPr>
        <w:t xml:space="preserve"> - </w:t>
      </w:r>
      <w:r w:rsidR="00D13258" w:rsidRPr="00D75DF3">
        <w:rPr>
          <w:rFonts w:ascii="Garamond" w:hAnsi="Garamond"/>
        </w:rPr>
        <w:t>was sufficient</w:t>
      </w:r>
      <w:r w:rsidR="00192602" w:rsidRPr="00D75DF3">
        <w:rPr>
          <w:rFonts w:ascii="Garamond" w:hAnsi="Garamond"/>
        </w:rPr>
        <w:t xml:space="preserve"> to prove it’s ‘authenticity’.</w:t>
      </w:r>
      <w:r w:rsidR="00D7013A" w:rsidRPr="00D7013A">
        <w:rPr>
          <w:rStyle w:val="FootnoteReference"/>
          <w:rFonts w:ascii="Garamond" w:hAnsi="Garamond"/>
        </w:rPr>
        <w:t xml:space="preserve"> </w:t>
      </w:r>
      <w:r w:rsidR="00DB3E5E">
        <w:rPr>
          <w:rStyle w:val="EndnoteReference"/>
          <w:rFonts w:ascii="Garamond" w:hAnsi="Garamond"/>
        </w:rPr>
        <w:endnoteReference w:id="10"/>
      </w:r>
      <w:r w:rsidR="00D13258" w:rsidRPr="00D75DF3">
        <w:rPr>
          <w:rFonts w:ascii="Garamond" w:hAnsi="Garamond"/>
        </w:rPr>
        <w:t xml:space="preserve"> However, in </w:t>
      </w:r>
      <w:r w:rsidR="00D13258" w:rsidRPr="00D75DF3">
        <w:rPr>
          <w:rFonts w:ascii="Garamond" w:hAnsi="Garamond"/>
          <w:i/>
        </w:rPr>
        <w:t xml:space="preserve">Prosecutor </w:t>
      </w:r>
      <w:r w:rsidR="00D13258" w:rsidRPr="00D75DF3">
        <w:rPr>
          <w:rFonts w:ascii="Garamond" w:hAnsi="Garamond"/>
        </w:rPr>
        <w:t xml:space="preserve">vs. </w:t>
      </w:r>
      <w:r w:rsidR="008B299A" w:rsidRPr="00B52ACC">
        <w:rPr>
          <w:rFonts w:ascii="Garamond" w:hAnsi="Garamond"/>
          <w:bCs/>
          <w:i/>
        </w:rPr>
        <w:t>Šešelj</w:t>
      </w:r>
      <w:r w:rsidR="007D6185">
        <w:rPr>
          <w:rFonts w:ascii="Garamond" w:hAnsi="Garamond"/>
          <w:bCs/>
        </w:rPr>
        <w:t>,</w:t>
      </w:r>
      <w:r w:rsidR="008B299A" w:rsidRPr="00D75DF3">
        <w:rPr>
          <w:rFonts w:ascii="Garamond" w:hAnsi="Garamond"/>
          <w:i/>
        </w:rPr>
        <w:t xml:space="preserve"> </w:t>
      </w:r>
      <w:r w:rsidR="00192602" w:rsidRPr="00D75DF3">
        <w:rPr>
          <w:rFonts w:ascii="Garamond" w:hAnsi="Garamond"/>
        </w:rPr>
        <w:t>the notebooks’ authenticity</w:t>
      </w:r>
      <w:r w:rsidR="00D13258" w:rsidRPr="00D75DF3">
        <w:rPr>
          <w:rFonts w:ascii="Garamond" w:hAnsi="Garamond"/>
        </w:rPr>
        <w:t xml:space="preserve"> </w:t>
      </w:r>
      <w:r w:rsidR="00D56D09">
        <w:rPr>
          <w:rFonts w:ascii="Garamond" w:hAnsi="Garamond"/>
        </w:rPr>
        <w:t>were</w:t>
      </w:r>
      <w:r w:rsidR="00D13258" w:rsidRPr="00D75DF3">
        <w:rPr>
          <w:rFonts w:ascii="Garamond" w:hAnsi="Garamond"/>
        </w:rPr>
        <w:t xml:space="preserve"> questioned to a greater degree</w:t>
      </w:r>
      <w:r w:rsidR="00D56D09">
        <w:rPr>
          <w:rFonts w:ascii="Garamond" w:hAnsi="Garamond"/>
        </w:rPr>
        <w:t xml:space="preserve"> (with Judge </w:t>
      </w:r>
      <w:r w:rsidR="00B52ACC">
        <w:rPr>
          <w:rFonts w:ascii="Garamond" w:hAnsi="Garamond"/>
        </w:rPr>
        <w:t xml:space="preserve">Antonetti </w:t>
      </w:r>
      <w:r w:rsidR="00D56D09">
        <w:rPr>
          <w:rFonts w:ascii="Garamond" w:hAnsi="Garamond"/>
        </w:rPr>
        <w:t xml:space="preserve">taking particular issue with </w:t>
      </w:r>
      <w:r w:rsidR="00B52ACC">
        <w:rPr>
          <w:rFonts w:ascii="Garamond" w:hAnsi="Garamond"/>
        </w:rPr>
        <w:t>them</w:t>
      </w:r>
      <w:r w:rsidR="00D56D09">
        <w:rPr>
          <w:rFonts w:ascii="Garamond" w:hAnsi="Garamond"/>
        </w:rPr>
        <w:t>)</w:t>
      </w:r>
      <w:r w:rsidR="007D6185">
        <w:rPr>
          <w:rFonts w:ascii="Garamond" w:hAnsi="Garamond"/>
        </w:rPr>
        <w:t>. As such,</w:t>
      </w:r>
      <w:r w:rsidR="00D13258" w:rsidRPr="00D75DF3">
        <w:rPr>
          <w:rFonts w:ascii="Garamond" w:hAnsi="Garamond"/>
        </w:rPr>
        <w:t xml:space="preserve"> an expert witness was called to verify that the notebook was in </w:t>
      </w:r>
      <w:r w:rsidR="00633089">
        <w:rPr>
          <w:rFonts w:ascii="Garamond" w:hAnsi="Garamond"/>
        </w:rPr>
        <w:t>Mladić</w:t>
      </w:r>
      <w:r w:rsidR="00D13258" w:rsidRPr="00D75DF3">
        <w:rPr>
          <w:rFonts w:ascii="Garamond" w:hAnsi="Garamond"/>
        </w:rPr>
        <w:t xml:space="preserve">’s own handwriting – something that </w:t>
      </w:r>
      <w:r w:rsidR="007D6185">
        <w:rPr>
          <w:rFonts w:ascii="Garamond" w:hAnsi="Garamond"/>
        </w:rPr>
        <w:t>seemed to resolve the authenticity issue in that case</w:t>
      </w:r>
      <w:r w:rsidR="00D13258" w:rsidRPr="00D75DF3">
        <w:rPr>
          <w:rFonts w:ascii="Garamond" w:hAnsi="Garamond"/>
        </w:rPr>
        <w:t>.</w:t>
      </w:r>
      <w:r w:rsidR="00DB3E5E">
        <w:rPr>
          <w:rStyle w:val="EndnoteReference"/>
          <w:rFonts w:ascii="Garamond" w:hAnsi="Garamond"/>
        </w:rPr>
        <w:endnoteReference w:id="11"/>
      </w:r>
      <w:r w:rsidR="00D13258" w:rsidRPr="00D75DF3">
        <w:rPr>
          <w:rFonts w:ascii="Garamond" w:hAnsi="Garamond"/>
        </w:rPr>
        <w:t xml:space="preserve"> </w:t>
      </w:r>
      <w:r w:rsidR="007D6185">
        <w:rPr>
          <w:rFonts w:ascii="Garamond" w:hAnsi="Garamond"/>
        </w:rPr>
        <w:t>This question</w:t>
      </w:r>
      <w:r w:rsidR="00B52ACC">
        <w:rPr>
          <w:rFonts w:ascii="Garamond" w:hAnsi="Garamond"/>
        </w:rPr>
        <w:t xml:space="preserve"> was</w:t>
      </w:r>
      <w:r w:rsidR="00AC434D" w:rsidRPr="000A3FF9">
        <w:rPr>
          <w:rFonts w:ascii="Garamond" w:hAnsi="Garamond"/>
        </w:rPr>
        <w:t xml:space="preserve">, however, </w:t>
      </w:r>
      <w:r w:rsidR="00B52ACC">
        <w:rPr>
          <w:rFonts w:ascii="Garamond" w:hAnsi="Garamond"/>
        </w:rPr>
        <w:t xml:space="preserve">unequivocally resolved at </w:t>
      </w:r>
      <w:r w:rsidR="00633089">
        <w:rPr>
          <w:rFonts w:ascii="Garamond" w:hAnsi="Garamond"/>
        </w:rPr>
        <w:t>Mladić</w:t>
      </w:r>
      <w:r w:rsidR="006F7F2A">
        <w:rPr>
          <w:rFonts w:ascii="Garamond" w:hAnsi="Garamond"/>
        </w:rPr>
        <w:t xml:space="preserve">’s </w:t>
      </w:r>
      <w:r w:rsidR="00AC434D" w:rsidRPr="000A3FF9">
        <w:rPr>
          <w:rFonts w:ascii="Garamond" w:hAnsi="Garamond"/>
        </w:rPr>
        <w:t>trial</w:t>
      </w:r>
      <w:r w:rsidR="00B52ACC">
        <w:rPr>
          <w:rFonts w:ascii="Garamond" w:hAnsi="Garamond"/>
        </w:rPr>
        <w:t xml:space="preserve">. During this trial, </w:t>
      </w:r>
      <w:r w:rsidR="00AC434D" w:rsidRPr="000A3FF9">
        <w:rPr>
          <w:rFonts w:ascii="Garamond" w:hAnsi="Garamond"/>
        </w:rPr>
        <w:t>the judges took judicial notice of the authenticity of the diary</w:t>
      </w:r>
      <w:r w:rsidR="00C26D36">
        <w:rPr>
          <w:rFonts w:ascii="Garamond" w:hAnsi="Garamond"/>
        </w:rPr>
        <w:t xml:space="preserve"> (which meant </w:t>
      </w:r>
      <w:r w:rsidR="00AC434D" w:rsidRPr="000A3FF9">
        <w:rPr>
          <w:rFonts w:ascii="Garamond" w:hAnsi="Garamond"/>
        </w:rPr>
        <w:t xml:space="preserve">that </w:t>
      </w:r>
      <w:r w:rsidR="0033108C">
        <w:rPr>
          <w:rFonts w:ascii="Garamond" w:hAnsi="Garamond"/>
        </w:rPr>
        <w:t xml:space="preserve">this </w:t>
      </w:r>
      <w:r w:rsidR="00AC434D" w:rsidRPr="000A3FF9">
        <w:rPr>
          <w:rFonts w:ascii="Garamond" w:hAnsi="Garamond"/>
        </w:rPr>
        <w:t xml:space="preserve">was beyond doubt </w:t>
      </w:r>
      <w:r w:rsidR="00C26D36">
        <w:rPr>
          <w:rFonts w:ascii="Garamond" w:hAnsi="Garamond"/>
        </w:rPr>
        <w:t xml:space="preserve"> - at least to</w:t>
      </w:r>
      <w:r w:rsidR="00AC434D" w:rsidRPr="000A3FF9">
        <w:rPr>
          <w:rFonts w:ascii="Garamond" w:hAnsi="Garamond"/>
        </w:rPr>
        <w:t xml:space="preserve"> ‘any reasonable person’).</w:t>
      </w:r>
      <w:r w:rsidR="00DB3E5E">
        <w:rPr>
          <w:rStyle w:val="EndnoteReference"/>
          <w:rFonts w:ascii="Garamond" w:hAnsi="Garamond"/>
        </w:rPr>
        <w:endnoteReference w:id="12"/>
      </w:r>
    </w:p>
    <w:p w14:paraId="176A5D81" w14:textId="77777777" w:rsidR="00AC434D" w:rsidRPr="000A3FF9" w:rsidRDefault="00AC434D" w:rsidP="00AC434D">
      <w:pPr>
        <w:rPr>
          <w:rFonts w:ascii="Garamond" w:hAnsi="Garamond"/>
        </w:rPr>
      </w:pPr>
    </w:p>
    <w:p w14:paraId="44D4239B" w14:textId="227A7A49" w:rsidR="00623637" w:rsidRPr="000A3FF9" w:rsidRDefault="0033108C" w:rsidP="00623637">
      <w:pPr>
        <w:rPr>
          <w:rFonts w:ascii="Garamond" w:hAnsi="Garamond"/>
        </w:rPr>
      </w:pPr>
      <w:r>
        <w:rPr>
          <w:rFonts w:ascii="Garamond" w:hAnsi="Garamond"/>
        </w:rPr>
        <w:t>As part of the submission, t</w:t>
      </w:r>
      <w:r w:rsidR="00FB6ED6">
        <w:rPr>
          <w:rFonts w:ascii="Garamond" w:hAnsi="Garamond"/>
        </w:rPr>
        <w:t>he</w:t>
      </w:r>
      <w:r w:rsidR="00C26D36">
        <w:rPr>
          <w:rFonts w:ascii="Garamond" w:hAnsi="Garamond"/>
        </w:rPr>
        <w:t xml:space="preserve"> notebooks </w:t>
      </w:r>
      <w:r w:rsidR="00FB6ED6">
        <w:rPr>
          <w:rFonts w:ascii="Garamond" w:hAnsi="Garamond"/>
        </w:rPr>
        <w:t>were translated</w:t>
      </w:r>
      <w:r>
        <w:rPr>
          <w:rFonts w:ascii="Garamond" w:hAnsi="Garamond"/>
        </w:rPr>
        <w:t xml:space="preserve"> from Serbian Cyrillic </w:t>
      </w:r>
      <w:r w:rsidR="00FB6ED6">
        <w:rPr>
          <w:rFonts w:ascii="Garamond" w:hAnsi="Garamond"/>
        </w:rPr>
        <w:t xml:space="preserve">into the two </w:t>
      </w:r>
      <w:r w:rsidR="00FB6ED6" w:rsidRPr="000A3FF9">
        <w:rPr>
          <w:rFonts w:ascii="Garamond" w:hAnsi="Garamond"/>
        </w:rPr>
        <w:t>official languages of the court</w:t>
      </w:r>
      <w:r w:rsidR="00FB6ED6">
        <w:rPr>
          <w:rFonts w:ascii="Garamond" w:hAnsi="Garamond"/>
        </w:rPr>
        <w:t xml:space="preserve">, </w:t>
      </w:r>
      <w:r w:rsidR="00FB6ED6" w:rsidRPr="000A3FF9">
        <w:rPr>
          <w:rFonts w:ascii="Garamond" w:hAnsi="Garamond"/>
        </w:rPr>
        <w:t xml:space="preserve">French </w:t>
      </w:r>
      <w:r w:rsidR="00FB6ED6">
        <w:rPr>
          <w:rFonts w:ascii="Garamond" w:hAnsi="Garamond"/>
        </w:rPr>
        <w:t>and</w:t>
      </w:r>
      <w:r w:rsidR="00FB6ED6" w:rsidRPr="000A3FF9">
        <w:rPr>
          <w:rFonts w:ascii="Garamond" w:hAnsi="Garamond"/>
        </w:rPr>
        <w:t xml:space="preserve"> English.</w:t>
      </w:r>
      <w:r w:rsidR="00D13258" w:rsidRPr="00D75DF3">
        <w:rPr>
          <w:rFonts w:ascii="Garamond" w:hAnsi="Garamond"/>
        </w:rPr>
        <w:t xml:space="preserve"> With the exception of some</w:t>
      </w:r>
      <w:r w:rsidR="007D6185">
        <w:rPr>
          <w:rFonts w:ascii="Garamond" w:hAnsi="Garamond"/>
        </w:rPr>
        <w:t xml:space="preserve"> - </w:t>
      </w:r>
      <w:r w:rsidR="00D13258" w:rsidRPr="00D75DF3">
        <w:rPr>
          <w:rFonts w:ascii="Garamond" w:hAnsi="Garamond"/>
        </w:rPr>
        <w:t>perhaps typically circuitous</w:t>
      </w:r>
      <w:r w:rsidR="007D6185">
        <w:rPr>
          <w:rFonts w:ascii="Garamond" w:hAnsi="Garamond"/>
        </w:rPr>
        <w:t xml:space="preserve"> - </w:t>
      </w:r>
      <w:r w:rsidR="00D13258" w:rsidRPr="00D75DF3">
        <w:rPr>
          <w:rFonts w:ascii="Garamond" w:hAnsi="Garamond"/>
        </w:rPr>
        <w:t xml:space="preserve">questioning by </w:t>
      </w:r>
      <w:r w:rsidR="00633089" w:rsidRPr="00633089">
        <w:rPr>
          <w:rFonts w:ascii="Garamond" w:hAnsi="Garamond"/>
        </w:rPr>
        <w:t xml:space="preserve">Karadžić </w:t>
      </w:r>
      <w:r w:rsidR="00D13258" w:rsidRPr="00D75DF3">
        <w:rPr>
          <w:rFonts w:ascii="Garamond" w:hAnsi="Garamond"/>
        </w:rPr>
        <w:t xml:space="preserve">over the </w:t>
      </w:r>
      <w:r>
        <w:rPr>
          <w:rFonts w:ascii="Garamond" w:hAnsi="Garamond"/>
        </w:rPr>
        <w:t>accuracy</w:t>
      </w:r>
      <w:r w:rsidR="004D4EB3">
        <w:rPr>
          <w:rFonts w:ascii="Garamond" w:hAnsi="Garamond"/>
        </w:rPr>
        <w:t xml:space="preserve"> of </w:t>
      </w:r>
      <w:r>
        <w:rPr>
          <w:rFonts w:ascii="Garamond" w:hAnsi="Garamond"/>
        </w:rPr>
        <w:t xml:space="preserve">parts of </w:t>
      </w:r>
      <w:r w:rsidR="004D4EB3">
        <w:rPr>
          <w:rFonts w:ascii="Garamond" w:hAnsi="Garamond"/>
        </w:rPr>
        <w:t>the</w:t>
      </w:r>
      <w:r w:rsidR="00D13258" w:rsidRPr="00D75DF3">
        <w:rPr>
          <w:rFonts w:ascii="Garamond" w:hAnsi="Garamond"/>
        </w:rPr>
        <w:t xml:space="preserve"> translation, this was a relatively uncontentious process</w:t>
      </w:r>
      <w:r>
        <w:rPr>
          <w:rFonts w:ascii="Garamond" w:hAnsi="Garamond"/>
        </w:rPr>
        <w:t xml:space="preserve"> in each of the trials that used the notebooks as evidence</w:t>
      </w:r>
      <w:r w:rsidR="00D13258" w:rsidRPr="00D75DF3">
        <w:rPr>
          <w:rFonts w:ascii="Garamond" w:hAnsi="Garamond"/>
        </w:rPr>
        <w:t>.</w:t>
      </w:r>
      <w:r w:rsidR="00DB3E5E">
        <w:rPr>
          <w:rStyle w:val="EndnoteReference"/>
          <w:rFonts w:ascii="Garamond" w:hAnsi="Garamond"/>
        </w:rPr>
        <w:endnoteReference w:id="13"/>
      </w:r>
      <w:r w:rsidR="00D13258" w:rsidRPr="00D75DF3">
        <w:rPr>
          <w:rFonts w:ascii="Garamond" w:hAnsi="Garamond"/>
        </w:rPr>
        <w:t xml:space="preserve"> What, however, went completely undiscussed, and is more important for </w:t>
      </w:r>
      <w:r w:rsidR="00D13258" w:rsidRPr="00D75DF3">
        <w:rPr>
          <w:rFonts w:ascii="Garamond" w:hAnsi="Garamond"/>
          <w:i/>
        </w:rPr>
        <w:t>The Notebook</w:t>
      </w:r>
      <w:r w:rsidR="007D6185">
        <w:rPr>
          <w:rFonts w:ascii="Garamond" w:hAnsi="Garamond"/>
          <w:i/>
        </w:rPr>
        <w:t xml:space="preserve">, </w:t>
      </w:r>
      <w:r w:rsidR="00D13258" w:rsidRPr="00D75DF3">
        <w:rPr>
          <w:rFonts w:ascii="Garamond" w:hAnsi="Garamond"/>
        </w:rPr>
        <w:t>is the second translation that too</w:t>
      </w:r>
      <w:r w:rsidR="00D56D09">
        <w:rPr>
          <w:rFonts w:ascii="Garamond" w:hAnsi="Garamond"/>
        </w:rPr>
        <w:t>k</w:t>
      </w:r>
      <w:r w:rsidR="00D13258" w:rsidRPr="00D75DF3">
        <w:rPr>
          <w:rFonts w:ascii="Garamond" w:hAnsi="Garamond"/>
        </w:rPr>
        <w:t xml:space="preserve"> </w:t>
      </w:r>
      <w:r w:rsidR="00623637" w:rsidRPr="000A3FF9">
        <w:rPr>
          <w:rFonts w:ascii="Garamond" w:hAnsi="Garamond"/>
        </w:rPr>
        <w:t>place</w:t>
      </w:r>
      <w:r w:rsidR="00AC434D">
        <w:rPr>
          <w:rFonts w:ascii="Garamond" w:hAnsi="Garamond"/>
        </w:rPr>
        <w:t xml:space="preserve"> as the paper diary was converted into a digital version. </w:t>
      </w:r>
      <w:r w:rsidR="00623637" w:rsidRPr="000A3FF9">
        <w:rPr>
          <w:rFonts w:ascii="Garamond" w:hAnsi="Garamond"/>
        </w:rPr>
        <w:t>This digitisation produced an ‘exact’ replica of the</w:t>
      </w:r>
      <w:r w:rsidR="00C26D36">
        <w:rPr>
          <w:rFonts w:ascii="Garamond" w:hAnsi="Garamond"/>
        </w:rPr>
        <w:t xml:space="preserve"> notebooks </w:t>
      </w:r>
      <w:r w:rsidR="00623637" w:rsidRPr="000A3FF9">
        <w:rPr>
          <w:rFonts w:ascii="Garamond" w:hAnsi="Garamond"/>
        </w:rPr>
        <w:t xml:space="preserve">as it copied each page in turn, and transferred the original markings of </w:t>
      </w:r>
      <w:r w:rsidR="00C26D36">
        <w:rPr>
          <w:rFonts w:ascii="Garamond" w:hAnsi="Garamond"/>
        </w:rPr>
        <w:t>these records</w:t>
      </w:r>
      <w:r w:rsidR="00623637" w:rsidRPr="000A3FF9">
        <w:rPr>
          <w:rFonts w:ascii="Garamond" w:hAnsi="Garamond"/>
        </w:rPr>
        <w:t xml:space="preserve"> over </w:t>
      </w:r>
      <w:r w:rsidR="00AC434D">
        <w:rPr>
          <w:rFonts w:ascii="Garamond" w:hAnsi="Garamond"/>
        </w:rPr>
        <w:t>into</w:t>
      </w:r>
      <w:r w:rsidR="00623637" w:rsidRPr="000A3FF9">
        <w:rPr>
          <w:rFonts w:ascii="Garamond" w:hAnsi="Garamond"/>
        </w:rPr>
        <w:t xml:space="preserve"> </w:t>
      </w:r>
      <w:r w:rsidR="00C26D36">
        <w:rPr>
          <w:rFonts w:ascii="Garamond" w:hAnsi="Garamond"/>
        </w:rPr>
        <w:t>a</w:t>
      </w:r>
      <w:r w:rsidR="00623637" w:rsidRPr="000A3FF9">
        <w:rPr>
          <w:rFonts w:ascii="Garamond" w:hAnsi="Garamond"/>
        </w:rPr>
        <w:t xml:space="preserve"> new digitised version.  Where </w:t>
      </w:r>
      <w:r w:rsidR="00633089">
        <w:rPr>
          <w:rFonts w:ascii="Garamond" w:hAnsi="Garamond"/>
        </w:rPr>
        <w:t>Mladić</w:t>
      </w:r>
      <w:r w:rsidR="00623637" w:rsidRPr="000A3FF9">
        <w:rPr>
          <w:rFonts w:ascii="Garamond" w:hAnsi="Garamond"/>
        </w:rPr>
        <w:t xml:space="preserve"> had circled something in </w:t>
      </w:r>
      <w:r w:rsidR="00C26D36">
        <w:rPr>
          <w:rFonts w:ascii="Garamond" w:hAnsi="Garamond"/>
        </w:rPr>
        <w:t>one of the</w:t>
      </w:r>
      <w:r w:rsidR="00623637" w:rsidRPr="000A3FF9">
        <w:rPr>
          <w:rFonts w:ascii="Garamond" w:hAnsi="Garamond"/>
        </w:rPr>
        <w:t xml:space="preserve"> notebook</w:t>
      </w:r>
      <w:r w:rsidR="00C26D36">
        <w:rPr>
          <w:rFonts w:ascii="Garamond" w:hAnsi="Garamond"/>
        </w:rPr>
        <w:t>s</w:t>
      </w:r>
      <w:r w:rsidR="00623637" w:rsidRPr="000A3FF9">
        <w:rPr>
          <w:rFonts w:ascii="Garamond" w:hAnsi="Garamond"/>
        </w:rPr>
        <w:t xml:space="preserve">, a neat computerised circle </w:t>
      </w:r>
      <w:r w:rsidR="00DC21EF">
        <w:rPr>
          <w:rFonts w:ascii="Garamond" w:hAnsi="Garamond"/>
        </w:rPr>
        <w:t>was</w:t>
      </w:r>
      <w:r w:rsidR="00623637" w:rsidRPr="000A3FF9">
        <w:rPr>
          <w:rFonts w:ascii="Garamond" w:hAnsi="Garamond"/>
        </w:rPr>
        <w:t xml:space="preserve"> replicated in the digitised version. This was, as with all translation, to a degree an interpretation, as the original record did not remain as it was but, rather</w:t>
      </w:r>
      <w:r w:rsidR="007D6185">
        <w:rPr>
          <w:rFonts w:ascii="Garamond" w:hAnsi="Garamond"/>
        </w:rPr>
        <w:t xml:space="preserve">, </w:t>
      </w:r>
      <w:r w:rsidR="00623637" w:rsidRPr="000A3FF9">
        <w:rPr>
          <w:rFonts w:ascii="Garamond" w:hAnsi="Garamond"/>
        </w:rPr>
        <w:t>conformed to the digital format it was translated into.</w:t>
      </w:r>
      <w:r w:rsidR="00DB3E5E">
        <w:rPr>
          <w:rStyle w:val="EndnoteReference"/>
          <w:rFonts w:ascii="Garamond" w:hAnsi="Garamond"/>
        </w:rPr>
        <w:endnoteReference w:id="14"/>
      </w:r>
      <w:r w:rsidR="00623637" w:rsidRPr="000A3FF9">
        <w:rPr>
          <w:rFonts w:ascii="Garamond" w:hAnsi="Garamond"/>
        </w:rPr>
        <w:t xml:space="preserve"> Circles were neatened, </w:t>
      </w:r>
      <w:r w:rsidR="006F7F2A">
        <w:rPr>
          <w:rFonts w:ascii="Garamond" w:hAnsi="Garamond"/>
        </w:rPr>
        <w:t>scruff</w:t>
      </w:r>
      <w:r w:rsidR="00DC21EF">
        <w:rPr>
          <w:rFonts w:ascii="Garamond" w:hAnsi="Garamond"/>
        </w:rPr>
        <w:t>y</w:t>
      </w:r>
      <w:r w:rsidR="006F7F2A">
        <w:rPr>
          <w:rFonts w:ascii="Garamond" w:hAnsi="Garamond"/>
        </w:rPr>
        <w:t xml:space="preserve"> </w:t>
      </w:r>
      <w:r w:rsidR="00623637" w:rsidRPr="000A3FF9">
        <w:rPr>
          <w:rFonts w:ascii="Garamond" w:hAnsi="Garamond"/>
        </w:rPr>
        <w:t>writing became clear, and it was this orderly and highly legible record that formed the bases of the future usage and decisions at the ICTY.</w:t>
      </w:r>
    </w:p>
    <w:p w14:paraId="18DBD5F4" w14:textId="77777777" w:rsidR="00623637" w:rsidRPr="000A3FF9" w:rsidRDefault="00623637" w:rsidP="00623637">
      <w:pPr>
        <w:rPr>
          <w:rFonts w:ascii="Garamond" w:hAnsi="Garamond"/>
        </w:rPr>
      </w:pPr>
    </w:p>
    <w:p w14:paraId="44ABB2AE" w14:textId="43EA5556" w:rsidR="00623637" w:rsidRPr="000A3FF9" w:rsidRDefault="006F7F2A" w:rsidP="00623637">
      <w:pPr>
        <w:rPr>
          <w:rFonts w:ascii="Garamond" w:hAnsi="Garamond"/>
        </w:rPr>
      </w:pPr>
      <w:r>
        <w:rPr>
          <w:rFonts w:ascii="Garamond" w:hAnsi="Garamond"/>
        </w:rPr>
        <w:t xml:space="preserve">Through this process the diary was rendered in a way that meant it could contribute towards the court’s </w:t>
      </w:r>
      <w:r w:rsidR="00623637" w:rsidRPr="000A3FF9">
        <w:rPr>
          <w:rFonts w:ascii="Garamond" w:hAnsi="Garamond"/>
        </w:rPr>
        <w:t xml:space="preserve">‘truth’ seeking function, as </w:t>
      </w:r>
      <w:r w:rsidR="009C33F4">
        <w:rPr>
          <w:rFonts w:ascii="Garamond" w:hAnsi="Garamond"/>
        </w:rPr>
        <w:t>the ICTY</w:t>
      </w:r>
      <w:r w:rsidR="00623637" w:rsidRPr="000A3FF9">
        <w:rPr>
          <w:rFonts w:ascii="Garamond" w:hAnsi="Garamond"/>
        </w:rPr>
        <w:t xml:space="preserve"> tried to ascertain </w:t>
      </w:r>
      <w:r w:rsidR="00633089">
        <w:rPr>
          <w:rFonts w:ascii="Garamond" w:hAnsi="Garamond"/>
        </w:rPr>
        <w:t>Mladić</w:t>
      </w:r>
      <w:r w:rsidR="00623637" w:rsidRPr="000A3FF9">
        <w:rPr>
          <w:rFonts w:ascii="Garamond" w:hAnsi="Garamond"/>
        </w:rPr>
        <w:t xml:space="preserve">’s </w:t>
      </w:r>
      <w:r>
        <w:rPr>
          <w:rFonts w:ascii="Garamond" w:hAnsi="Garamond"/>
        </w:rPr>
        <w:t xml:space="preserve">and other senior figure’s </w:t>
      </w:r>
      <w:r w:rsidR="00623637" w:rsidRPr="000A3FF9">
        <w:rPr>
          <w:rFonts w:ascii="Garamond" w:hAnsi="Garamond"/>
        </w:rPr>
        <w:t xml:space="preserve">criminal responsible for violations of international humanitarian law. </w:t>
      </w:r>
      <w:r w:rsidR="00D13258">
        <w:rPr>
          <w:rFonts w:ascii="Garamond" w:hAnsi="Garamond"/>
        </w:rPr>
        <w:t xml:space="preserve">In this respect </w:t>
      </w:r>
      <w:r w:rsidR="00C26D36">
        <w:rPr>
          <w:rFonts w:ascii="Garamond" w:hAnsi="Garamond"/>
        </w:rPr>
        <w:t xml:space="preserve">these notebooks were </w:t>
      </w:r>
      <w:r w:rsidR="00D13258">
        <w:rPr>
          <w:rFonts w:ascii="Garamond" w:hAnsi="Garamond"/>
        </w:rPr>
        <w:t>used to determine the structures of governance and command of the Bosnian</w:t>
      </w:r>
      <w:r w:rsidR="00192602">
        <w:rPr>
          <w:rFonts w:ascii="Garamond" w:hAnsi="Garamond"/>
        </w:rPr>
        <w:t>-</w:t>
      </w:r>
      <w:r w:rsidR="00D13258">
        <w:rPr>
          <w:rFonts w:ascii="Garamond" w:hAnsi="Garamond"/>
        </w:rPr>
        <w:t>Serb military and political machine, the details of particular incidents and crimes, and also the motivations and mentality that underpinned the accused</w:t>
      </w:r>
      <w:r w:rsidR="00162B37">
        <w:rPr>
          <w:rFonts w:ascii="Garamond" w:hAnsi="Garamond"/>
        </w:rPr>
        <w:t>’s</w:t>
      </w:r>
      <w:r w:rsidR="00D13258">
        <w:rPr>
          <w:rFonts w:ascii="Garamond" w:hAnsi="Garamond"/>
        </w:rPr>
        <w:t xml:space="preserve"> actions.</w:t>
      </w:r>
      <w:r w:rsidR="00DB3E5E">
        <w:rPr>
          <w:rStyle w:val="EndnoteReference"/>
          <w:rFonts w:ascii="Garamond" w:hAnsi="Garamond"/>
        </w:rPr>
        <w:endnoteReference w:id="15"/>
      </w:r>
      <w:r w:rsidR="00D13258">
        <w:rPr>
          <w:rFonts w:ascii="Garamond" w:hAnsi="Garamond"/>
        </w:rPr>
        <w:t xml:space="preserve"> </w:t>
      </w:r>
      <w:r w:rsidR="00623637" w:rsidRPr="000A3FF9">
        <w:rPr>
          <w:rFonts w:ascii="Garamond" w:hAnsi="Garamond"/>
        </w:rPr>
        <w:t xml:space="preserve">In </w:t>
      </w:r>
      <w:r w:rsidR="004D4EB3">
        <w:rPr>
          <w:rFonts w:ascii="Garamond" w:hAnsi="Garamond"/>
        </w:rPr>
        <w:t>this wa</w:t>
      </w:r>
      <w:r w:rsidR="00D56D09">
        <w:rPr>
          <w:rFonts w:ascii="Garamond" w:hAnsi="Garamond"/>
        </w:rPr>
        <w:t>y</w:t>
      </w:r>
      <w:r w:rsidR="00623637" w:rsidRPr="000A3FF9">
        <w:rPr>
          <w:rFonts w:ascii="Garamond" w:hAnsi="Garamond"/>
        </w:rPr>
        <w:t xml:space="preserve"> </w:t>
      </w:r>
      <w:r w:rsidR="00633089">
        <w:rPr>
          <w:rFonts w:ascii="Garamond" w:hAnsi="Garamond"/>
        </w:rPr>
        <w:t>Mladić</w:t>
      </w:r>
      <w:r w:rsidR="00623637" w:rsidRPr="000A3FF9">
        <w:rPr>
          <w:rFonts w:ascii="Garamond" w:hAnsi="Garamond"/>
        </w:rPr>
        <w:t xml:space="preserve">’s </w:t>
      </w:r>
      <w:r w:rsidR="004D4EB3">
        <w:rPr>
          <w:rFonts w:ascii="Garamond" w:hAnsi="Garamond"/>
        </w:rPr>
        <w:t xml:space="preserve">own </w:t>
      </w:r>
      <w:r w:rsidR="00623637" w:rsidRPr="000A3FF9">
        <w:rPr>
          <w:rFonts w:ascii="Garamond" w:hAnsi="Garamond"/>
        </w:rPr>
        <w:t xml:space="preserve">records – </w:t>
      </w:r>
      <w:r w:rsidR="00DC21EF">
        <w:rPr>
          <w:rFonts w:ascii="Garamond" w:hAnsi="Garamond"/>
        </w:rPr>
        <w:t xml:space="preserve">which in many </w:t>
      </w:r>
      <w:r w:rsidR="007B0E34">
        <w:rPr>
          <w:rFonts w:ascii="Garamond" w:hAnsi="Garamond"/>
        </w:rPr>
        <w:t>respects</w:t>
      </w:r>
      <w:r w:rsidR="00DC21EF">
        <w:rPr>
          <w:rFonts w:ascii="Garamond" w:hAnsi="Garamond"/>
        </w:rPr>
        <w:t xml:space="preserve"> </w:t>
      </w:r>
      <w:r w:rsidR="007B0E34">
        <w:rPr>
          <w:rFonts w:ascii="Garamond" w:hAnsi="Garamond"/>
        </w:rPr>
        <w:t xml:space="preserve">was an example </w:t>
      </w:r>
      <w:r w:rsidR="00623637" w:rsidRPr="000A3FF9">
        <w:rPr>
          <w:rFonts w:ascii="Garamond" w:hAnsi="Garamond"/>
        </w:rPr>
        <w:t>of good military</w:t>
      </w:r>
      <w:r w:rsidR="004D4EB3">
        <w:rPr>
          <w:rFonts w:ascii="Garamond" w:hAnsi="Garamond"/>
        </w:rPr>
        <w:t xml:space="preserve">/ </w:t>
      </w:r>
      <w:r w:rsidR="00D56D09">
        <w:rPr>
          <w:rFonts w:ascii="Garamond" w:hAnsi="Garamond"/>
        </w:rPr>
        <w:t>bureaucratic</w:t>
      </w:r>
      <w:r w:rsidR="00623637" w:rsidRPr="000A3FF9">
        <w:rPr>
          <w:rFonts w:ascii="Garamond" w:hAnsi="Garamond"/>
        </w:rPr>
        <w:t xml:space="preserve"> </w:t>
      </w:r>
      <w:r w:rsidR="00DC21EF">
        <w:rPr>
          <w:rFonts w:ascii="Garamond" w:hAnsi="Garamond"/>
        </w:rPr>
        <w:t>recording keeping</w:t>
      </w:r>
      <w:r w:rsidR="00623637" w:rsidRPr="000A3FF9">
        <w:rPr>
          <w:rFonts w:ascii="Garamond" w:hAnsi="Garamond"/>
        </w:rPr>
        <w:t xml:space="preserve">– came to </w:t>
      </w:r>
      <w:r w:rsidR="00D56D09">
        <w:rPr>
          <w:rFonts w:ascii="Garamond" w:hAnsi="Garamond"/>
        </w:rPr>
        <w:t>shine a light on</w:t>
      </w:r>
      <w:r w:rsidR="00623637" w:rsidRPr="000A3FF9">
        <w:rPr>
          <w:rFonts w:ascii="Garamond" w:hAnsi="Garamond"/>
        </w:rPr>
        <w:t xml:space="preserve"> his </w:t>
      </w:r>
      <w:r w:rsidR="00162B37">
        <w:rPr>
          <w:rFonts w:ascii="Garamond" w:hAnsi="Garamond"/>
        </w:rPr>
        <w:t xml:space="preserve">and other senior figure’s </w:t>
      </w:r>
      <w:r w:rsidR="00623637" w:rsidRPr="000A3FF9">
        <w:rPr>
          <w:rFonts w:ascii="Garamond" w:hAnsi="Garamond"/>
        </w:rPr>
        <w:t xml:space="preserve">past </w:t>
      </w:r>
      <w:r w:rsidR="00DC21EF">
        <w:rPr>
          <w:rFonts w:ascii="Garamond" w:hAnsi="Garamond"/>
        </w:rPr>
        <w:t>and</w:t>
      </w:r>
      <w:r w:rsidR="00623637" w:rsidRPr="000A3FF9">
        <w:rPr>
          <w:rFonts w:ascii="Garamond" w:hAnsi="Garamond"/>
        </w:rPr>
        <w:t xml:space="preserve"> reveal its criminal nature. </w:t>
      </w:r>
    </w:p>
    <w:p w14:paraId="09F28A2A" w14:textId="77777777" w:rsidR="00623637" w:rsidRPr="000A3FF9" w:rsidRDefault="00623637" w:rsidP="00623637">
      <w:pPr>
        <w:rPr>
          <w:rFonts w:ascii="Garamond" w:hAnsi="Garamond"/>
        </w:rPr>
      </w:pPr>
    </w:p>
    <w:p w14:paraId="38AB35A4" w14:textId="5ADAA195" w:rsidR="00623637" w:rsidRPr="000A3FF9" w:rsidRDefault="006F7F2A" w:rsidP="00623637">
      <w:pPr>
        <w:rPr>
          <w:rFonts w:ascii="Garamond" w:hAnsi="Garamond"/>
        </w:rPr>
      </w:pPr>
      <w:r>
        <w:rPr>
          <w:rFonts w:ascii="Garamond" w:hAnsi="Garamond"/>
        </w:rPr>
        <w:t>T</w:t>
      </w:r>
      <w:r w:rsidR="00623637" w:rsidRPr="000A3FF9">
        <w:rPr>
          <w:rFonts w:ascii="Garamond" w:hAnsi="Garamond"/>
        </w:rPr>
        <w:t xml:space="preserve">he way in which </w:t>
      </w:r>
      <w:r w:rsidR="0033108C">
        <w:rPr>
          <w:rFonts w:ascii="Garamond" w:hAnsi="Garamond"/>
        </w:rPr>
        <w:t xml:space="preserve">the notebooks were </w:t>
      </w:r>
      <w:r w:rsidR="00623637" w:rsidRPr="000A3FF9">
        <w:rPr>
          <w:rFonts w:ascii="Garamond" w:hAnsi="Garamond"/>
        </w:rPr>
        <w:t xml:space="preserve">rendered as evidence, and then put to use, is indicative of how </w:t>
      </w:r>
      <w:r w:rsidR="00D56D09">
        <w:rPr>
          <w:rFonts w:ascii="Garamond" w:hAnsi="Garamond"/>
        </w:rPr>
        <w:t xml:space="preserve">international </w:t>
      </w:r>
      <w:r w:rsidR="00623637" w:rsidRPr="000A3FF9">
        <w:rPr>
          <w:rFonts w:ascii="Garamond" w:hAnsi="Garamond"/>
        </w:rPr>
        <w:t>court</w:t>
      </w:r>
      <w:r>
        <w:rPr>
          <w:rFonts w:ascii="Garamond" w:hAnsi="Garamond"/>
        </w:rPr>
        <w:t xml:space="preserve">s more generally </w:t>
      </w:r>
      <w:r w:rsidR="00623637" w:rsidRPr="000A3FF9">
        <w:rPr>
          <w:rFonts w:ascii="Garamond" w:hAnsi="Garamond"/>
        </w:rPr>
        <w:t xml:space="preserve">produce knowledge about conflict. </w:t>
      </w:r>
      <w:r w:rsidR="009C33F4">
        <w:rPr>
          <w:rFonts w:ascii="Garamond" w:hAnsi="Garamond"/>
        </w:rPr>
        <w:t xml:space="preserve">With </w:t>
      </w:r>
      <w:r w:rsidR="0033108C">
        <w:rPr>
          <w:rFonts w:ascii="Garamond" w:hAnsi="Garamond"/>
        </w:rPr>
        <w:t>the notebooks</w:t>
      </w:r>
      <w:r w:rsidR="009C33F4">
        <w:rPr>
          <w:rFonts w:ascii="Garamond" w:hAnsi="Garamond"/>
        </w:rPr>
        <w:t>, j</w:t>
      </w:r>
      <w:r w:rsidR="00623637" w:rsidRPr="000A3FF9">
        <w:rPr>
          <w:rFonts w:ascii="Garamond" w:hAnsi="Garamond"/>
        </w:rPr>
        <w:t xml:space="preserve">ust like its treatment of witness testimony, </w:t>
      </w:r>
      <w:r>
        <w:rPr>
          <w:rFonts w:ascii="Garamond" w:hAnsi="Garamond"/>
        </w:rPr>
        <w:t xml:space="preserve">the court took </w:t>
      </w:r>
      <w:r w:rsidR="00623637" w:rsidRPr="000A3FF9">
        <w:rPr>
          <w:rFonts w:ascii="Garamond" w:hAnsi="Garamond"/>
        </w:rPr>
        <w:t xml:space="preserve">something that was personal and subjective and made it into an ‘authentic’ and ‘objective’ record of the violence that could be used to establish a defendant’s individual criminal responsibility. There </w:t>
      </w:r>
      <w:r w:rsidR="007B0E34">
        <w:rPr>
          <w:rFonts w:ascii="Garamond" w:hAnsi="Garamond"/>
        </w:rPr>
        <w:t xml:space="preserve">is </w:t>
      </w:r>
      <w:r w:rsidR="00623637" w:rsidRPr="000A3FF9">
        <w:rPr>
          <w:rFonts w:ascii="Garamond" w:hAnsi="Garamond"/>
        </w:rPr>
        <w:t xml:space="preserve">a link between the way </w:t>
      </w:r>
      <w:r w:rsidR="007B0E34">
        <w:rPr>
          <w:rFonts w:ascii="Garamond" w:hAnsi="Garamond"/>
        </w:rPr>
        <w:t xml:space="preserve">that </w:t>
      </w:r>
      <w:r w:rsidR="007D6185">
        <w:rPr>
          <w:rFonts w:ascii="Garamond" w:hAnsi="Garamond"/>
        </w:rPr>
        <w:t xml:space="preserve">the court </w:t>
      </w:r>
      <w:r w:rsidR="0033108C">
        <w:rPr>
          <w:rFonts w:ascii="Garamond" w:hAnsi="Garamond"/>
        </w:rPr>
        <w:t>sought</w:t>
      </w:r>
      <w:r w:rsidR="007D6185">
        <w:rPr>
          <w:rFonts w:ascii="Garamond" w:hAnsi="Garamond"/>
        </w:rPr>
        <w:t xml:space="preserve"> to </w:t>
      </w:r>
      <w:r w:rsidR="00623637" w:rsidRPr="000A3FF9">
        <w:rPr>
          <w:rFonts w:ascii="Garamond" w:hAnsi="Garamond"/>
        </w:rPr>
        <w:t>stabilise and neutralise fragments of the past</w:t>
      </w:r>
      <w:r w:rsidR="007B0E34">
        <w:rPr>
          <w:rFonts w:ascii="Garamond" w:hAnsi="Garamond"/>
        </w:rPr>
        <w:t xml:space="preserve"> </w:t>
      </w:r>
      <w:r w:rsidR="00767B13">
        <w:rPr>
          <w:rFonts w:ascii="Garamond" w:hAnsi="Garamond"/>
        </w:rPr>
        <w:t xml:space="preserve">and </w:t>
      </w:r>
      <w:r w:rsidR="007D6185">
        <w:rPr>
          <w:rFonts w:ascii="Garamond" w:hAnsi="Garamond"/>
        </w:rPr>
        <w:t xml:space="preserve">its </w:t>
      </w:r>
      <w:r w:rsidR="00112893">
        <w:rPr>
          <w:rFonts w:ascii="Garamond" w:hAnsi="Garamond"/>
        </w:rPr>
        <w:t>role</w:t>
      </w:r>
      <w:r w:rsidR="007D6185">
        <w:rPr>
          <w:rFonts w:ascii="Garamond" w:hAnsi="Garamond"/>
        </w:rPr>
        <w:t xml:space="preserve"> </w:t>
      </w:r>
      <w:r w:rsidR="00767B13">
        <w:rPr>
          <w:rFonts w:ascii="Garamond" w:hAnsi="Garamond"/>
        </w:rPr>
        <w:t xml:space="preserve">of determining </w:t>
      </w:r>
      <w:r w:rsidR="007B0E34">
        <w:rPr>
          <w:rFonts w:ascii="Garamond" w:hAnsi="Garamond"/>
        </w:rPr>
        <w:t>an</w:t>
      </w:r>
      <w:r w:rsidR="00623637" w:rsidRPr="000A3FF9">
        <w:rPr>
          <w:rFonts w:ascii="Garamond" w:hAnsi="Garamond"/>
        </w:rPr>
        <w:t xml:space="preserve"> </w:t>
      </w:r>
      <w:r w:rsidR="00767B13">
        <w:rPr>
          <w:rFonts w:ascii="Garamond" w:hAnsi="Garamond"/>
        </w:rPr>
        <w:t>accused’s guilt</w:t>
      </w:r>
      <w:r w:rsidR="00623637" w:rsidRPr="000A3FF9">
        <w:rPr>
          <w:rFonts w:ascii="Garamond" w:hAnsi="Garamond"/>
        </w:rPr>
        <w:t>.</w:t>
      </w:r>
      <w:r w:rsidR="00767B13">
        <w:rPr>
          <w:rFonts w:ascii="Garamond" w:hAnsi="Garamond"/>
        </w:rPr>
        <w:t xml:space="preserve"> Without this </w:t>
      </w:r>
      <w:r w:rsidR="007B0E34">
        <w:rPr>
          <w:rFonts w:ascii="Garamond" w:hAnsi="Garamond"/>
        </w:rPr>
        <w:t>level of</w:t>
      </w:r>
      <w:r w:rsidR="00767B13">
        <w:rPr>
          <w:rFonts w:ascii="Garamond" w:hAnsi="Garamond"/>
        </w:rPr>
        <w:t xml:space="preserve"> certainty, the legitimacy and morality of punishing an individual</w:t>
      </w:r>
      <w:r w:rsidR="00623637" w:rsidRPr="000A3FF9">
        <w:rPr>
          <w:rFonts w:ascii="Garamond" w:hAnsi="Garamond"/>
        </w:rPr>
        <w:t xml:space="preserve"> </w:t>
      </w:r>
      <w:r w:rsidR="00767B13">
        <w:rPr>
          <w:rFonts w:ascii="Garamond" w:hAnsi="Garamond"/>
        </w:rPr>
        <w:t xml:space="preserve">for their crimes comes into doubt. </w:t>
      </w:r>
    </w:p>
    <w:p w14:paraId="063727D9" w14:textId="77777777" w:rsidR="00623637" w:rsidRPr="000A3FF9" w:rsidRDefault="00623637" w:rsidP="00623637">
      <w:pPr>
        <w:rPr>
          <w:rFonts w:ascii="Garamond" w:hAnsi="Garamond"/>
        </w:rPr>
      </w:pPr>
    </w:p>
    <w:p w14:paraId="1030AAFA" w14:textId="0FD89D69" w:rsidR="004937A7" w:rsidRDefault="006F7F2A" w:rsidP="004937A7">
      <w:pPr>
        <w:rPr>
          <w:rFonts w:ascii="Garamond" w:hAnsi="Garamond"/>
        </w:rPr>
      </w:pPr>
      <w:r>
        <w:rPr>
          <w:rFonts w:ascii="Garamond" w:hAnsi="Garamond"/>
        </w:rPr>
        <w:t xml:space="preserve">At this point a number of questions are opened up about what </w:t>
      </w:r>
      <w:r w:rsidR="00D56D09">
        <w:rPr>
          <w:rFonts w:ascii="Garamond" w:hAnsi="Garamond"/>
        </w:rPr>
        <w:t xml:space="preserve">Miladinović’s </w:t>
      </w:r>
      <w:r>
        <w:rPr>
          <w:rFonts w:ascii="Garamond" w:hAnsi="Garamond"/>
        </w:rPr>
        <w:t xml:space="preserve">acquisition of these records does, politically and aesthetically. </w:t>
      </w:r>
      <w:r w:rsidR="00623637" w:rsidRPr="000A3FF9">
        <w:rPr>
          <w:rFonts w:ascii="Garamond" w:hAnsi="Garamond"/>
        </w:rPr>
        <w:t xml:space="preserve">What happens to this logic and drive (to truth, accusation, and </w:t>
      </w:r>
      <w:r w:rsidR="007B0E34">
        <w:rPr>
          <w:rFonts w:ascii="Garamond" w:hAnsi="Garamond"/>
        </w:rPr>
        <w:t xml:space="preserve">the </w:t>
      </w:r>
      <w:r w:rsidR="00623637" w:rsidRPr="000A3FF9">
        <w:rPr>
          <w:rFonts w:ascii="Garamond" w:hAnsi="Garamond"/>
        </w:rPr>
        <w:t>determination of individual guilt) when these records are appropriated a</w:t>
      </w:r>
      <w:r w:rsidR="009C33F4">
        <w:rPr>
          <w:rFonts w:ascii="Garamond" w:hAnsi="Garamond"/>
        </w:rPr>
        <w:t>nd</w:t>
      </w:r>
      <w:r w:rsidR="00623637" w:rsidRPr="000A3FF9">
        <w:rPr>
          <w:rFonts w:ascii="Garamond" w:hAnsi="Garamond"/>
        </w:rPr>
        <w:t xml:space="preserve"> put to use? Does the logic continue to shape the encounter and the type of politics produced? Or are there particular ways in which these </w:t>
      </w:r>
      <w:r w:rsidR="007B0E34">
        <w:rPr>
          <w:rFonts w:ascii="Garamond" w:hAnsi="Garamond"/>
        </w:rPr>
        <w:t>can</w:t>
      </w:r>
      <w:r w:rsidR="00623637" w:rsidRPr="000A3FF9">
        <w:rPr>
          <w:rFonts w:ascii="Garamond" w:hAnsi="Garamond"/>
        </w:rPr>
        <w:t xml:space="preserve"> be undermined, challenged or re-framed? </w:t>
      </w:r>
      <w:r w:rsidR="007B463B" w:rsidRPr="000A3FF9">
        <w:rPr>
          <w:rFonts w:ascii="Garamond" w:hAnsi="Garamond"/>
        </w:rPr>
        <w:t>What happens when a discipline, such as the arts engages with these essentially legal objects? What politics is opened up through this process? How is the archival drive disrupted?</w:t>
      </w:r>
    </w:p>
    <w:p w14:paraId="041B7E78" w14:textId="77777777" w:rsidR="00DB3E5E" w:rsidRPr="000A3FF9" w:rsidRDefault="00DB3E5E" w:rsidP="004937A7">
      <w:pPr>
        <w:rPr>
          <w:rFonts w:ascii="Garamond" w:hAnsi="Garamond"/>
        </w:rPr>
      </w:pPr>
    </w:p>
    <w:p w14:paraId="0C74772A" w14:textId="6D00028F" w:rsidR="004937A7" w:rsidRDefault="00224B36" w:rsidP="00BE0C75">
      <w:pPr>
        <w:pStyle w:val="Heading1"/>
        <w:rPr>
          <w:rFonts w:ascii="Garamond" w:hAnsi="Garamond"/>
        </w:rPr>
      </w:pPr>
      <w:r>
        <w:rPr>
          <w:rFonts w:ascii="Garamond" w:hAnsi="Garamond"/>
        </w:rPr>
        <w:lastRenderedPageBreak/>
        <w:t xml:space="preserve">An Aesthetic Archive. </w:t>
      </w:r>
    </w:p>
    <w:p w14:paraId="346F12DF" w14:textId="2433D6A5" w:rsidR="007B463B" w:rsidRDefault="007B463B" w:rsidP="007B463B"/>
    <w:p w14:paraId="6579ECAA" w14:textId="2D84A813" w:rsidR="007B463B" w:rsidRPr="000A3FF9" w:rsidRDefault="004A5696" w:rsidP="007B463B">
      <w:pPr>
        <w:rPr>
          <w:rFonts w:ascii="Garamond" w:hAnsi="Garamond"/>
        </w:rPr>
      </w:pPr>
      <w:r>
        <w:rPr>
          <w:rFonts w:ascii="Garamond" w:hAnsi="Garamond"/>
        </w:rPr>
        <w:t xml:space="preserve">As mentioned, </w:t>
      </w:r>
      <w:r w:rsidR="002A25E9" w:rsidRPr="002A25E9">
        <w:rPr>
          <w:rFonts w:ascii="Garamond" w:hAnsi="Garamond"/>
          <w:i/>
        </w:rPr>
        <w:t xml:space="preserve">The Notebook </w:t>
      </w:r>
      <w:r w:rsidR="002A25E9" w:rsidRPr="002A25E9">
        <w:rPr>
          <w:rFonts w:ascii="Garamond" w:hAnsi="Garamond"/>
        </w:rPr>
        <w:t xml:space="preserve">includes a series of 400 drawings, handmade </w:t>
      </w:r>
      <w:r w:rsidR="002A25E9">
        <w:rPr>
          <w:rFonts w:ascii="Garamond" w:hAnsi="Garamond"/>
        </w:rPr>
        <w:t>using</w:t>
      </w:r>
      <w:r w:rsidR="002A25E9" w:rsidRPr="002A25E9">
        <w:rPr>
          <w:rFonts w:ascii="Garamond" w:hAnsi="Garamond"/>
        </w:rPr>
        <w:t xml:space="preserve"> ink on paper</w:t>
      </w:r>
      <w:r w:rsidR="002A25E9">
        <w:rPr>
          <w:rFonts w:ascii="Garamond" w:hAnsi="Garamond"/>
        </w:rPr>
        <w:t>,</w:t>
      </w:r>
      <w:bookmarkStart w:id="1" w:name="_GoBack"/>
      <w:bookmarkEnd w:id="1"/>
      <w:r w:rsidR="002A25E9" w:rsidRPr="002A25E9">
        <w:rPr>
          <w:rFonts w:ascii="Garamond" w:hAnsi="Garamond"/>
        </w:rPr>
        <w:t xml:space="preserve"> based on one of Mladić’s wartime diaries.</w:t>
      </w:r>
      <w:r w:rsidR="007B463B">
        <w:rPr>
          <w:rFonts w:ascii="Garamond" w:hAnsi="Garamond"/>
        </w:rPr>
        <w:t xml:space="preserve"> </w:t>
      </w:r>
      <w:r w:rsidR="00767B13">
        <w:rPr>
          <w:rFonts w:ascii="Garamond" w:hAnsi="Garamond"/>
        </w:rPr>
        <w:t>Importantly</w:t>
      </w:r>
      <w:r w:rsidR="007B463B">
        <w:rPr>
          <w:rFonts w:ascii="Garamond" w:hAnsi="Garamond"/>
        </w:rPr>
        <w:t xml:space="preserve">, for what this work does politically, </w:t>
      </w:r>
      <w:r w:rsidR="00D56D09">
        <w:rPr>
          <w:rFonts w:ascii="Garamond" w:hAnsi="Garamond"/>
        </w:rPr>
        <w:t xml:space="preserve">Miladinović worked from </w:t>
      </w:r>
      <w:r w:rsidR="007B463B">
        <w:rPr>
          <w:rFonts w:ascii="Garamond" w:hAnsi="Garamond"/>
        </w:rPr>
        <w:t>the final ‘proof material</w:t>
      </w:r>
      <w:r w:rsidR="00D56D09">
        <w:rPr>
          <w:rFonts w:ascii="Garamond" w:hAnsi="Garamond"/>
        </w:rPr>
        <w:t>’</w:t>
      </w:r>
      <w:r w:rsidR="007B463B">
        <w:rPr>
          <w:rFonts w:ascii="Garamond" w:hAnsi="Garamond"/>
        </w:rPr>
        <w:t xml:space="preserve"> used in the trial, rather than the ‘original’ diaries. The basis for this work </w:t>
      </w:r>
      <w:r w:rsidR="00034B56">
        <w:rPr>
          <w:rFonts w:ascii="Garamond" w:hAnsi="Garamond"/>
        </w:rPr>
        <w:t>was</w:t>
      </w:r>
      <w:r w:rsidR="007B463B">
        <w:rPr>
          <w:rFonts w:ascii="Garamond" w:hAnsi="Garamond"/>
        </w:rPr>
        <w:t xml:space="preserve">, then, </w:t>
      </w:r>
      <w:r w:rsidR="00767B13">
        <w:rPr>
          <w:rFonts w:ascii="Garamond" w:hAnsi="Garamond"/>
        </w:rPr>
        <w:t xml:space="preserve">the </w:t>
      </w:r>
      <w:r w:rsidR="007B463B">
        <w:rPr>
          <w:rFonts w:ascii="Garamond" w:hAnsi="Garamond"/>
        </w:rPr>
        <w:t xml:space="preserve">digitised English language version of the diary. The question is, what is the politics underpinning this work, and how does </w:t>
      </w:r>
      <w:r>
        <w:rPr>
          <w:rFonts w:ascii="Garamond" w:hAnsi="Garamond"/>
        </w:rPr>
        <w:t xml:space="preserve">Miladinović’s </w:t>
      </w:r>
      <w:r w:rsidR="007B463B">
        <w:rPr>
          <w:rFonts w:ascii="Garamond" w:hAnsi="Garamond"/>
        </w:rPr>
        <w:t xml:space="preserve">approach open up </w:t>
      </w:r>
      <w:r w:rsidR="009C33F4">
        <w:rPr>
          <w:rFonts w:ascii="Garamond" w:hAnsi="Garamond"/>
        </w:rPr>
        <w:t xml:space="preserve">and challenge the </w:t>
      </w:r>
      <w:r>
        <w:rPr>
          <w:rFonts w:ascii="Garamond" w:hAnsi="Garamond"/>
        </w:rPr>
        <w:t xml:space="preserve">limits of the </w:t>
      </w:r>
      <w:r w:rsidR="009C33F4">
        <w:rPr>
          <w:rFonts w:ascii="Garamond" w:hAnsi="Garamond"/>
        </w:rPr>
        <w:t>archive</w:t>
      </w:r>
      <w:r w:rsidR="007B463B">
        <w:rPr>
          <w:rFonts w:ascii="Garamond" w:hAnsi="Garamond"/>
        </w:rPr>
        <w:t xml:space="preserve">? </w:t>
      </w:r>
    </w:p>
    <w:p w14:paraId="6125EC68" w14:textId="77777777" w:rsidR="00D56D09" w:rsidRDefault="00D56D09" w:rsidP="007B463B">
      <w:pPr>
        <w:rPr>
          <w:rFonts w:ascii="Garamond" w:hAnsi="Garamond"/>
        </w:rPr>
      </w:pPr>
    </w:p>
    <w:p w14:paraId="707442EB" w14:textId="32EE2853" w:rsidR="007B463B" w:rsidRPr="000A3FF9" w:rsidRDefault="00D56D09" w:rsidP="007B463B">
      <w:pPr>
        <w:rPr>
          <w:rFonts w:ascii="Garamond" w:hAnsi="Garamond"/>
        </w:rPr>
      </w:pPr>
      <w:r>
        <w:rPr>
          <w:rFonts w:ascii="Garamond" w:hAnsi="Garamond"/>
        </w:rPr>
        <w:t>In Miladinović’s practice</w:t>
      </w:r>
      <w:r w:rsidR="00767B13">
        <w:rPr>
          <w:rFonts w:ascii="Garamond" w:hAnsi="Garamond"/>
        </w:rPr>
        <w:t xml:space="preserve">, </w:t>
      </w:r>
      <w:r w:rsidR="007B463B" w:rsidRPr="000A3FF9">
        <w:rPr>
          <w:rFonts w:ascii="Garamond" w:hAnsi="Garamond"/>
        </w:rPr>
        <w:t xml:space="preserve">process is as central to the </w:t>
      </w:r>
      <w:r w:rsidR="00D60232">
        <w:rPr>
          <w:rFonts w:ascii="Garamond" w:hAnsi="Garamond"/>
        </w:rPr>
        <w:t>work</w:t>
      </w:r>
      <w:r w:rsidR="007B463B" w:rsidRPr="000A3FF9">
        <w:rPr>
          <w:rFonts w:ascii="Garamond" w:hAnsi="Garamond"/>
        </w:rPr>
        <w:t xml:space="preserve"> as outcome</w:t>
      </w:r>
      <w:r w:rsidR="00D60232">
        <w:rPr>
          <w:rFonts w:ascii="Garamond" w:hAnsi="Garamond"/>
        </w:rPr>
        <w:t>;</w:t>
      </w:r>
      <w:r w:rsidR="007B463B" w:rsidRPr="000A3FF9">
        <w:rPr>
          <w:rFonts w:ascii="Garamond" w:hAnsi="Garamond"/>
        </w:rPr>
        <w:t xml:space="preserve"> </w:t>
      </w:r>
      <w:r w:rsidR="00D60232">
        <w:rPr>
          <w:rFonts w:ascii="Garamond" w:hAnsi="Garamond"/>
        </w:rPr>
        <w:t xml:space="preserve">in many respects, the process </w:t>
      </w:r>
      <w:r w:rsidR="00D60232" w:rsidRPr="00D60232">
        <w:rPr>
          <w:rFonts w:ascii="Garamond" w:hAnsi="Garamond"/>
          <w:i/>
        </w:rPr>
        <w:t>i</w:t>
      </w:r>
      <w:r w:rsidR="00D60232">
        <w:rPr>
          <w:rFonts w:ascii="Garamond" w:hAnsi="Garamond"/>
          <w:i/>
        </w:rPr>
        <w:t xml:space="preserve">s </w:t>
      </w:r>
      <w:r w:rsidR="007B463B" w:rsidRPr="000A3FF9">
        <w:rPr>
          <w:rFonts w:ascii="Garamond" w:hAnsi="Garamond"/>
        </w:rPr>
        <w:t xml:space="preserve">the outcome. </w:t>
      </w:r>
      <w:r w:rsidR="00B53A96">
        <w:rPr>
          <w:rFonts w:ascii="Garamond" w:hAnsi="Garamond"/>
        </w:rPr>
        <w:t>This</w:t>
      </w:r>
      <w:r w:rsidR="00112893">
        <w:rPr>
          <w:rFonts w:ascii="Garamond" w:hAnsi="Garamond"/>
        </w:rPr>
        <w:t xml:space="preserve"> </w:t>
      </w:r>
      <w:r w:rsidR="009C33F4">
        <w:rPr>
          <w:rFonts w:ascii="Garamond" w:hAnsi="Garamond"/>
        </w:rPr>
        <w:t xml:space="preserve">represents </w:t>
      </w:r>
      <w:r>
        <w:rPr>
          <w:rFonts w:ascii="Garamond" w:hAnsi="Garamond"/>
        </w:rPr>
        <w:t xml:space="preserve">Miladinović’s </w:t>
      </w:r>
      <w:r w:rsidR="004A5696">
        <w:rPr>
          <w:rFonts w:ascii="Garamond" w:hAnsi="Garamond"/>
        </w:rPr>
        <w:t xml:space="preserve">personal </w:t>
      </w:r>
      <w:r w:rsidR="009C33F4">
        <w:rPr>
          <w:rFonts w:ascii="Garamond" w:hAnsi="Garamond"/>
        </w:rPr>
        <w:t xml:space="preserve">process of </w:t>
      </w:r>
      <w:r w:rsidR="004A5696">
        <w:rPr>
          <w:rFonts w:ascii="Garamond" w:hAnsi="Garamond"/>
        </w:rPr>
        <w:t xml:space="preserve">interrogating </w:t>
      </w:r>
      <w:r w:rsidR="007B463B" w:rsidRPr="000A3FF9">
        <w:rPr>
          <w:rFonts w:ascii="Garamond" w:hAnsi="Garamond"/>
        </w:rPr>
        <w:t xml:space="preserve">how </w:t>
      </w:r>
      <w:r w:rsidR="007B463B" w:rsidRPr="000A3FF9">
        <w:rPr>
          <w:rFonts w:ascii="Garamond" w:hAnsi="Garamond"/>
          <w:i/>
        </w:rPr>
        <w:t xml:space="preserve">he </w:t>
      </w:r>
      <w:r w:rsidR="007B463B" w:rsidRPr="000A3FF9">
        <w:rPr>
          <w:rFonts w:ascii="Garamond" w:hAnsi="Garamond"/>
        </w:rPr>
        <w:t xml:space="preserve">personally came to know (or not know) about various aspects of the </w:t>
      </w:r>
      <w:r w:rsidR="009C33F4">
        <w:rPr>
          <w:rFonts w:ascii="Garamond" w:hAnsi="Garamond"/>
        </w:rPr>
        <w:t>conflict</w:t>
      </w:r>
      <w:r w:rsidR="004A5696">
        <w:rPr>
          <w:rFonts w:ascii="Garamond" w:hAnsi="Garamond"/>
        </w:rPr>
        <w:t>, and to disturb that assumed knowledge</w:t>
      </w:r>
      <w:r w:rsidR="00767B13">
        <w:rPr>
          <w:rFonts w:ascii="Garamond" w:hAnsi="Garamond"/>
        </w:rPr>
        <w:t>. But this is</w:t>
      </w:r>
      <w:r w:rsidR="009C33F4">
        <w:rPr>
          <w:rFonts w:ascii="Garamond" w:hAnsi="Garamond"/>
        </w:rPr>
        <w:t>,</w:t>
      </w:r>
      <w:r w:rsidR="00767B13">
        <w:rPr>
          <w:rFonts w:ascii="Garamond" w:hAnsi="Garamond"/>
        </w:rPr>
        <w:t xml:space="preserve"> more generally</w:t>
      </w:r>
      <w:r w:rsidR="009C33F4">
        <w:rPr>
          <w:rFonts w:ascii="Garamond" w:hAnsi="Garamond"/>
        </w:rPr>
        <w:t>,</w:t>
      </w:r>
      <w:r w:rsidR="00767B13">
        <w:rPr>
          <w:rFonts w:ascii="Garamond" w:hAnsi="Garamond"/>
        </w:rPr>
        <w:t xml:space="preserve"> also about</w:t>
      </w:r>
      <w:r w:rsidR="004A5696">
        <w:rPr>
          <w:rFonts w:ascii="Garamond" w:hAnsi="Garamond"/>
        </w:rPr>
        <w:t xml:space="preserve"> exploring</w:t>
      </w:r>
      <w:r w:rsidR="00767B13">
        <w:rPr>
          <w:rFonts w:ascii="Garamond" w:hAnsi="Garamond"/>
        </w:rPr>
        <w:t xml:space="preserve"> how </w:t>
      </w:r>
      <w:r w:rsidR="007B463B" w:rsidRPr="000A3FF9">
        <w:rPr>
          <w:rFonts w:ascii="Garamond" w:hAnsi="Garamond"/>
        </w:rPr>
        <w:t>the process of writing back in</w:t>
      </w:r>
      <w:r w:rsidR="00D60232">
        <w:rPr>
          <w:rFonts w:ascii="Garamond" w:hAnsi="Garamond"/>
        </w:rPr>
        <w:t xml:space="preserve"> fragments of an archive concealed from view </w:t>
      </w:r>
      <w:r w:rsidR="004A5696">
        <w:rPr>
          <w:rFonts w:ascii="Garamond" w:hAnsi="Garamond"/>
        </w:rPr>
        <w:t xml:space="preserve">can </w:t>
      </w:r>
      <w:r w:rsidR="007B463B" w:rsidRPr="000A3FF9">
        <w:rPr>
          <w:rFonts w:ascii="Garamond" w:hAnsi="Garamond"/>
        </w:rPr>
        <w:t>draw</w:t>
      </w:r>
      <w:r w:rsidR="004A5696">
        <w:rPr>
          <w:rFonts w:ascii="Garamond" w:hAnsi="Garamond"/>
        </w:rPr>
        <w:t xml:space="preserve"> </w:t>
      </w:r>
      <w:r w:rsidR="007B463B" w:rsidRPr="000A3FF9">
        <w:rPr>
          <w:rFonts w:ascii="Garamond" w:hAnsi="Garamond"/>
        </w:rPr>
        <w:t>attention to the processes</w:t>
      </w:r>
      <w:r w:rsidR="004A5696">
        <w:rPr>
          <w:rFonts w:ascii="Garamond" w:hAnsi="Garamond"/>
        </w:rPr>
        <w:t>, structures and ideologies</w:t>
      </w:r>
      <w:r w:rsidR="007B463B" w:rsidRPr="000A3FF9">
        <w:rPr>
          <w:rFonts w:ascii="Garamond" w:hAnsi="Garamond"/>
        </w:rPr>
        <w:t xml:space="preserve"> that excluded these narratives in the first place.</w:t>
      </w:r>
      <w:r w:rsidR="00767B13">
        <w:rPr>
          <w:rFonts w:ascii="Garamond" w:hAnsi="Garamond"/>
        </w:rPr>
        <w:t xml:space="preserve"> </w:t>
      </w:r>
      <w:r w:rsidR="00112893">
        <w:rPr>
          <w:rFonts w:ascii="Garamond" w:hAnsi="Garamond"/>
        </w:rPr>
        <w:t>It</w:t>
      </w:r>
      <w:r w:rsidR="004A5696">
        <w:rPr>
          <w:rFonts w:ascii="Garamond" w:hAnsi="Garamond"/>
        </w:rPr>
        <w:t xml:space="preserve"> </w:t>
      </w:r>
      <w:r w:rsidR="00767B13">
        <w:rPr>
          <w:rFonts w:ascii="Garamond" w:hAnsi="Garamond"/>
        </w:rPr>
        <w:t xml:space="preserve">forces a confrontation with </w:t>
      </w:r>
      <w:r w:rsidR="004A5696">
        <w:rPr>
          <w:rFonts w:ascii="Garamond" w:hAnsi="Garamond"/>
        </w:rPr>
        <w:t xml:space="preserve">the question of a society’s </w:t>
      </w:r>
      <w:r w:rsidR="00767B13">
        <w:rPr>
          <w:rFonts w:ascii="Garamond" w:hAnsi="Garamond"/>
        </w:rPr>
        <w:t>perceived knowledge and encourages a reflection on what conditions of possibility (the distribution of the sensible) frames that knowledge.</w:t>
      </w:r>
      <w:r w:rsidR="007B463B" w:rsidRPr="000A3FF9">
        <w:rPr>
          <w:rFonts w:ascii="Garamond" w:hAnsi="Garamond"/>
        </w:rPr>
        <w:t xml:space="preserve"> </w:t>
      </w:r>
      <w:r w:rsidR="00CE1D93">
        <w:rPr>
          <w:rFonts w:ascii="Garamond" w:hAnsi="Garamond"/>
        </w:rPr>
        <w:t>This</w:t>
      </w:r>
      <w:r w:rsidR="00767B13">
        <w:rPr>
          <w:rFonts w:ascii="Garamond" w:hAnsi="Garamond"/>
        </w:rPr>
        <w:t xml:space="preserve"> p</w:t>
      </w:r>
      <w:r w:rsidR="007B463B" w:rsidRPr="000A3FF9">
        <w:rPr>
          <w:rFonts w:ascii="Garamond" w:hAnsi="Garamond"/>
        </w:rPr>
        <w:t xml:space="preserve">rocess </w:t>
      </w:r>
      <w:r w:rsidR="00CE1D93">
        <w:rPr>
          <w:rFonts w:ascii="Garamond" w:hAnsi="Garamond"/>
        </w:rPr>
        <w:t xml:space="preserve">of discovery and writing back in </w:t>
      </w:r>
      <w:r w:rsidR="007B463B" w:rsidRPr="000A3FF9">
        <w:rPr>
          <w:rFonts w:ascii="Garamond" w:hAnsi="Garamond"/>
        </w:rPr>
        <w:t xml:space="preserve">is </w:t>
      </w:r>
      <w:r w:rsidR="00D60232">
        <w:rPr>
          <w:rFonts w:ascii="Garamond" w:hAnsi="Garamond"/>
        </w:rPr>
        <w:t xml:space="preserve">embedded in the </w:t>
      </w:r>
      <w:r w:rsidR="009C33F4">
        <w:rPr>
          <w:rFonts w:ascii="Garamond" w:hAnsi="Garamond"/>
        </w:rPr>
        <w:t xml:space="preserve">very </w:t>
      </w:r>
      <w:r w:rsidR="00D60232">
        <w:rPr>
          <w:rFonts w:ascii="Garamond" w:hAnsi="Garamond"/>
        </w:rPr>
        <w:t xml:space="preserve">aesthetics of the work. </w:t>
      </w:r>
      <w:r w:rsidR="007B463B" w:rsidRPr="000A3FF9">
        <w:rPr>
          <w:rFonts w:ascii="Garamond" w:hAnsi="Garamond"/>
        </w:rPr>
        <w:t xml:space="preserve">The work is beautifully crafted, and the ink wash leaves a clear </w:t>
      </w:r>
      <w:r w:rsidR="007B463B" w:rsidRPr="009C33F4">
        <w:rPr>
          <w:rFonts w:ascii="Garamond" w:hAnsi="Garamond"/>
        </w:rPr>
        <w:t>trace</w:t>
      </w:r>
      <w:r w:rsidR="007B463B" w:rsidRPr="000A3FF9">
        <w:rPr>
          <w:rFonts w:ascii="Garamond" w:hAnsi="Garamond"/>
          <w:i/>
        </w:rPr>
        <w:t xml:space="preserve"> </w:t>
      </w:r>
      <w:r w:rsidR="007B463B" w:rsidRPr="000A3FF9">
        <w:rPr>
          <w:rFonts w:ascii="Garamond" w:hAnsi="Garamond"/>
        </w:rPr>
        <w:t>of the vast amount of labour</w:t>
      </w:r>
      <w:r w:rsidR="00112893">
        <w:rPr>
          <w:rFonts w:ascii="Garamond" w:hAnsi="Garamond"/>
        </w:rPr>
        <w:t xml:space="preserve">, and discovery, </w:t>
      </w:r>
      <w:r w:rsidR="007B463B" w:rsidRPr="000A3FF9">
        <w:rPr>
          <w:rFonts w:ascii="Garamond" w:hAnsi="Garamond"/>
        </w:rPr>
        <w:t xml:space="preserve">that </w:t>
      </w:r>
      <w:r w:rsidR="00D60232">
        <w:rPr>
          <w:rFonts w:ascii="Garamond" w:hAnsi="Garamond"/>
        </w:rPr>
        <w:t>went</w:t>
      </w:r>
      <w:r w:rsidR="007B463B" w:rsidRPr="000A3FF9">
        <w:rPr>
          <w:rFonts w:ascii="Garamond" w:hAnsi="Garamond"/>
        </w:rPr>
        <w:t xml:space="preserve"> into the work. </w:t>
      </w:r>
      <w:r w:rsidR="00B53A96">
        <w:rPr>
          <w:rFonts w:ascii="Garamond" w:hAnsi="Garamond"/>
        </w:rPr>
        <w:t>In this respect, t</w:t>
      </w:r>
      <w:r w:rsidR="00CE1D93">
        <w:rPr>
          <w:rFonts w:ascii="Garamond" w:hAnsi="Garamond"/>
        </w:rPr>
        <w:t>he aesthetics of the work</w:t>
      </w:r>
      <w:r w:rsidR="00112893">
        <w:rPr>
          <w:rFonts w:ascii="Garamond" w:hAnsi="Garamond"/>
        </w:rPr>
        <w:t xml:space="preserve"> and the idea of process</w:t>
      </w:r>
      <w:r w:rsidR="00CE1D93">
        <w:rPr>
          <w:rFonts w:ascii="Garamond" w:hAnsi="Garamond"/>
        </w:rPr>
        <w:t xml:space="preserve"> </w:t>
      </w:r>
      <w:r w:rsidR="00B53A96">
        <w:rPr>
          <w:rFonts w:ascii="Garamond" w:hAnsi="Garamond"/>
        </w:rPr>
        <w:t xml:space="preserve">is important in other ways too. </w:t>
      </w:r>
      <w:r w:rsidR="00112893">
        <w:rPr>
          <w:rFonts w:ascii="Garamond" w:hAnsi="Garamond"/>
        </w:rPr>
        <w:t>The aesthetic quality</w:t>
      </w:r>
      <w:r w:rsidR="00B53A96">
        <w:rPr>
          <w:rFonts w:ascii="Garamond" w:hAnsi="Garamond"/>
        </w:rPr>
        <w:t xml:space="preserve"> </w:t>
      </w:r>
      <w:r w:rsidR="007B463B" w:rsidRPr="000A3FF9">
        <w:rPr>
          <w:rFonts w:ascii="Garamond" w:hAnsi="Garamond"/>
        </w:rPr>
        <w:t>draw</w:t>
      </w:r>
      <w:r w:rsidR="00D60232">
        <w:rPr>
          <w:rFonts w:ascii="Garamond" w:hAnsi="Garamond"/>
        </w:rPr>
        <w:t>s</w:t>
      </w:r>
      <w:r w:rsidR="007B463B" w:rsidRPr="000A3FF9">
        <w:rPr>
          <w:rFonts w:ascii="Garamond" w:hAnsi="Garamond"/>
        </w:rPr>
        <w:t xml:space="preserve"> the viewer in to engage with the texts</w:t>
      </w:r>
      <w:r w:rsidR="00CE1D93">
        <w:rPr>
          <w:rFonts w:ascii="Garamond" w:hAnsi="Garamond"/>
        </w:rPr>
        <w:t>.</w:t>
      </w:r>
      <w:r w:rsidR="009C33F4">
        <w:rPr>
          <w:rFonts w:ascii="Garamond" w:hAnsi="Garamond"/>
        </w:rPr>
        <w:t xml:space="preserve"> </w:t>
      </w:r>
      <w:r w:rsidR="00CE1D93">
        <w:rPr>
          <w:rFonts w:ascii="Garamond" w:hAnsi="Garamond"/>
        </w:rPr>
        <w:t>B</w:t>
      </w:r>
      <w:r w:rsidR="009C33F4">
        <w:rPr>
          <w:rFonts w:ascii="Garamond" w:hAnsi="Garamond"/>
        </w:rPr>
        <w:t xml:space="preserve">ut there </w:t>
      </w:r>
      <w:r w:rsidR="007B463B" w:rsidRPr="000A3FF9">
        <w:rPr>
          <w:rFonts w:ascii="Garamond" w:hAnsi="Garamond"/>
        </w:rPr>
        <w:t>is no clear singular meaning to the work</w:t>
      </w:r>
      <w:r w:rsidR="009C33F4">
        <w:rPr>
          <w:rFonts w:ascii="Garamond" w:hAnsi="Garamond"/>
        </w:rPr>
        <w:t>. Rather,</w:t>
      </w:r>
      <w:r w:rsidR="007B463B" w:rsidRPr="000A3FF9">
        <w:rPr>
          <w:rFonts w:ascii="Garamond" w:hAnsi="Garamond"/>
        </w:rPr>
        <w:t xml:space="preserve"> after pulling the viewer in</w:t>
      </w:r>
      <w:r w:rsidR="00112893">
        <w:rPr>
          <w:rFonts w:ascii="Garamond" w:hAnsi="Garamond"/>
        </w:rPr>
        <w:t>,</w:t>
      </w:r>
      <w:r w:rsidR="007B463B" w:rsidRPr="000A3FF9">
        <w:rPr>
          <w:rFonts w:ascii="Garamond" w:hAnsi="Garamond"/>
        </w:rPr>
        <w:t xml:space="preserve"> a space opens up between </w:t>
      </w:r>
      <w:r w:rsidR="00D60232" w:rsidRPr="000A3FF9">
        <w:rPr>
          <w:rFonts w:ascii="Garamond" w:hAnsi="Garamond"/>
        </w:rPr>
        <w:t xml:space="preserve">the original image </w:t>
      </w:r>
      <w:r w:rsidR="00D60232" w:rsidRPr="000A3FF9">
        <w:rPr>
          <w:rFonts w:ascii="Garamond" w:hAnsi="Garamond"/>
          <w:i/>
        </w:rPr>
        <w:t xml:space="preserve">as </w:t>
      </w:r>
      <w:r w:rsidR="00D60232">
        <w:rPr>
          <w:rFonts w:ascii="Garamond" w:hAnsi="Garamond"/>
          <w:i/>
        </w:rPr>
        <w:t>proof</w:t>
      </w:r>
      <w:r w:rsidR="00D60232" w:rsidRPr="000A3FF9">
        <w:rPr>
          <w:rFonts w:ascii="Garamond" w:hAnsi="Garamond"/>
          <w:i/>
        </w:rPr>
        <w:t xml:space="preserve"> </w:t>
      </w:r>
      <w:r w:rsidR="00D60232">
        <w:rPr>
          <w:rFonts w:ascii="Garamond" w:hAnsi="Garamond"/>
        </w:rPr>
        <w:t xml:space="preserve">and </w:t>
      </w:r>
      <w:r w:rsidR="007B463B" w:rsidRPr="000A3FF9">
        <w:rPr>
          <w:rFonts w:ascii="Garamond" w:hAnsi="Garamond"/>
        </w:rPr>
        <w:t>the reproduction</w:t>
      </w:r>
      <w:r w:rsidR="00D60232">
        <w:rPr>
          <w:rFonts w:ascii="Garamond" w:hAnsi="Garamond"/>
        </w:rPr>
        <w:t xml:space="preserve">. This </w:t>
      </w:r>
      <w:r w:rsidR="007B463B" w:rsidRPr="000A3FF9">
        <w:rPr>
          <w:rFonts w:ascii="Garamond" w:hAnsi="Garamond"/>
        </w:rPr>
        <w:t xml:space="preserve">creates a space of imaginative contemplation, </w:t>
      </w:r>
      <w:r w:rsidR="00D60232">
        <w:rPr>
          <w:rFonts w:ascii="Garamond" w:hAnsi="Garamond"/>
        </w:rPr>
        <w:t>the production of</w:t>
      </w:r>
      <w:r w:rsidR="007B463B" w:rsidRPr="000A3FF9">
        <w:rPr>
          <w:rFonts w:ascii="Garamond" w:hAnsi="Garamond"/>
        </w:rPr>
        <w:t xml:space="preserve"> a ‘third image’.</w:t>
      </w:r>
      <w:r w:rsidRPr="00D56D09">
        <w:rPr>
          <w:rStyle w:val="FootnoteReference"/>
          <w:rFonts w:ascii="Garamond" w:hAnsi="Garamond"/>
        </w:rPr>
        <w:t xml:space="preserve"> </w:t>
      </w:r>
      <w:r w:rsidR="00DB3E5E">
        <w:rPr>
          <w:rStyle w:val="EndnoteReference"/>
          <w:rFonts w:ascii="Garamond" w:hAnsi="Garamond"/>
        </w:rPr>
        <w:endnoteReference w:id="16"/>
      </w:r>
      <w:r w:rsidR="007B463B" w:rsidRPr="000A3FF9">
        <w:rPr>
          <w:rFonts w:ascii="Garamond" w:hAnsi="Garamond"/>
        </w:rPr>
        <w:t xml:space="preserve"> The </w:t>
      </w:r>
      <w:r w:rsidR="00034B56">
        <w:rPr>
          <w:rFonts w:ascii="Garamond" w:hAnsi="Garamond"/>
        </w:rPr>
        <w:t>hope</w:t>
      </w:r>
      <w:r w:rsidR="007B463B" w:rsidRPr="000A3FF9">
        <w:rPr>
          <w:rFonts w:ascii="Garamond" w:hAnsi="Garamond"/>
        </w:rPr>
        <w:t xml:space="preserve"> is</w:t>
      </w:r>
      <w:r w:rsidR="00034B56">
        <w:rPr>
          <w:rFonts w:ascii="Garamond" w:hAnsi="Garamond"/>
        </w:rPr>
        <w:t xml:space="preserve"> </w:t>
      </w:r>
      <w:r w:rsidR="007B463B" w:rsidRPr="000A3FF9">
        <w:rPr>
          <w:rFonts w:ascii="Garamond" w:hAnsi="Garamond"/>
        </w:rPr>
        <w:t xml:space="preserve">that the engagement with the image then encourages the viewer to embark on their </w:t>
      </w:r>
      <w:r w:rsidR="007B463B" w:rsidRPr="000A3FF9">
        <w:rPr>
          <w:rFonts w:ascii="Garamond" w:hAnsi="Garamond"/>
          <w:i/>
        </w:rPr>
        <w:t xml:space="preserve">own process </w:t>
      </w:r>
      <w:r w:rsidR="007B463B" w:rsidRPr="000A3FF9">
        <w:rPr>
          <w:rFonts w:ascii="Garamond" w:hAnsi="Garamond"/>
        </w:rPr>
        <w:t>of self-examination and</w:t>
      </w:r>
      <w:r w:rsidR="00034B56">
        <w:rPr>
          <w:rFonts w:ascii="Garamond" w:hAnsi="Garamond"/>
        </w:rPr>
        <w:t xml:space="preserve"> continued</w:t>
      </w:r>
      <w:r w:rsidR="007B463B" w:rsidRPr="000A3FF9">
        <w:rPr>
          <w:rFonts w:ascii="Garamond" w:hAnsi="Garamond"/>
        </w:rPr>
        <w:t xml:space="preserve"> exploration. </w:t>
      </w:r>
    </w:p>
    <w:p w14:paraId="373824FC" w14:textId="77777777" w:rsidR="007B463B" w:rsidRPr="000A3FF9" w:rsidRDefault="007B463B" w:rsidP="007B463B">
      <w:pPr>
        <w:rPr>
          <w:rFonts w:ascii="Garamond" w:hAnsi="Garamond"/>
        </w:rPr>
      </w:pPr>
    </w:p>
    <w:p w14:paraId="7FEFBBDF" w14:textId="57A29163" w:rsidR="007B463B" w:rsidRPr="000A3FF9" w:rsidRDefault="00D60232" w:rsidP="007B463B">
      <w:pPr>
        <w:rPr>
          <w:rFonts w:ascii="Garamond" w:hAnsi="Garamond"/>
        </w:rPr>
      </w:pPr>
      <w:r>
        <w:rPr>
          <w:rFonts w:ascii="Garamond" w:hAnsi="Garamond"/>
        </w:rPr>
        <w:t xml:space="preserve">Whilst this approach defines much of </w:t>
      </w:r>
      <w:r w:rsidR="00D56D09">
        <w:rPr>
          <w:rFonts w:ascii="Garamond" w:hAnsi="Garamond"/>
        </w:rPr>
        <w:t>Miladinović’s practice</w:t>
      </w:r>
      <w:r>
        <w:rPr>
          <w:rFonts w:ascii="Garamond" w:hAnsi="Garamond"/>
        </w:rPr>
        <w:t xml:space="preserve">, this is equally </w:t>
      </w:r>
      <w:r w:rsidR="00CE1D93">
        <w:rPr>
          <w:rFonts w:ascii="Garamond" w:hAnsi="Garamond"/>
        </w:rPr>
        <w:t xml:space="preserve">important in </w:t>
      </w:r>
      <w:r w:rsidR="00070A73">
        <w:rPr>
          <w:rFonts w:ascii="Garamond" w:hAnsi="Garamond"/>
          <w:i/>
        </w:rPr>
        <w:t>The Notebook</w:t>
      </w:r>
      <w:r w:rsidR="007B463B" w:rsidRPr="000A3FF9">
        <w:rPr>
          <w:rFonts w:ascii="Garamond" w:hAnsi="Garamond"/>
        </w:rPr>
        <w:t xml:space="preserve">. </w:t>
      </w:r>
      <w:r w:rsidR="009C33F4">
        <w:rPr>
          <w:rFonts w:ascii="Garamond" w:hAnsi="Garamond"/>
        </w:rPr>
        <w:t xml:space="preserve">This </w:t>
      </w:r>
      <w:r w:rsidR="00CE1D93">
        <w:rPr>
          <w:rFonts w:ascii="Garamond" w:hAnsi="Garamond"/>
        </w:rPr>
        <w:t xml:space="preserve">work </w:t>
      </w:r>
      <w:r w:rsidR="007B463B" w:rsidRPr="000A3FF9">
        <w:rPr>
          <w:rFonts w:ascii="Garamond" w:hAnsi="Garamond"/>
        </w:rPr>
        <w:t xml:space="preserve">renders the process through which evidence is produced in the courtroom visible, and </w:t>
      </w:r>
      <w:r w:rsidR="00CE1D93">
        <w:rPr>
          <w:rFonts w:ascii="Garamond" w:hAnsi="Garamond"/>
        </w:rPr>
        <w:t>shows it for its peculiarity, an importantly for what this excludes</w:t>
      </w:r>
      <w:r w:rsidR="007B463B" w:rsidRPr="000A3FF9">
        <w:rPr>
          <w:rFonts w:ascii="Garamond" w:hAnsi="Garamond"/>
        </w:rPr>
        <w:t xml:space="preserve">. In re-drawing by hand each page of the notebook, </w:t>
      </w:r>
      <w:r w:rsidR="00D56D09">
        <w:rPr>
          <w:rFonts w:ascii="Garamond" w:hAnsi="Garamond"/>
        </w:rPr>
        <w:t xml:space="preserve">Miladinović </w:t>
      </w:r>
      <w:r w:rsidR="007B463B" w:rsidRPr="000A3FF9">
        <w:rPr>
          <w:rFonts w:ascii="Garamond" w:hAnsi="Garamond"/>
          <w:i/>
        </w:rPr>
        <w:t xml:space="preserve">returns </w:t>
      </w:r>
      <w:r w:rsidR="007B463B" w:rsidRPr="000A3FF9">
        <w:rPr>
          <w:rFonts w:ascii="Garamond" w:hAnsi="Garamond"/>
        </w:rPr>
        <w:t xml:space="preserve">the evidence to its </w:t>
      </w:r>
      <w:r w:rsidR="00D56D09">
        <w:rPr>
          <w:rFonts w:ascii="Garamond" w:hAnsi="Garamond"/>
        </w:rPr>
        <w:t>‘</w:t>
      </w:r>
      <w:r w:rsidR="007B463B" w:rsidRPr="000A3FF9">
        <w:rPr>
          <w:rFonts w:ascii="Garamond" w:hAnsi="Garamond"/>
        </w:rPr>
        <w:t>original state</w:t>
      </w:r>
      <w:r w:rsidR="00D56D09">
        <w:rPr>
          <w:rFonts w:ascii="Garamond" w:hAnsi="Garamond"/>
        </w:rPr>
        <w:t>’</w:t>
      </w:r>
      <w:r w:rsidR="007B463B" w:rsidRPr="000A3FF9">
        <w:rPr>
          <w:rFonts w:ascii="Garamond" w:hAnsi="Garamond"/>
        </w:rPr>
        <w:t xml:space="preserve"> – as a hand</w:t>
      </w:r>
      <w:r w:rsidR="000E0B3F">
        <w:rPr>
          <w:rFonts w:ascii="Garamond" w:hAnsi="Garamond"/>
        </w:rPr>
        <w:t>-</w:t>
      </w:r>
      <w:r w:rsidR="007B463B" w:rsidRPr="000A3FF9">
        <w:rPr>
          <w:rFonts w:ascii="Garamond" w:hAnsi="Garamond"/>
        </w:rPr>
        <w:t>written and personal object. But the personal reproduction</w:t>
      </w:r>
      <w:r w:rsidR="00D56D09">
        <w:rPr>
          <w:rFonts w:ascii="Garamond" w:hAnsi="Garamond"/>
        </w:rPr>
        <w:t xml:space="preserve"> </w:t>
      </w:r>
      <w:r w:rsidR="00070A73">
        <w:rPr>
          <w:rFonts w:ascii="Garamond" w:hAnsi="Garamond"/>
        </w:rPr>
        <w:t xml:space="preserve">- </w:t>
      </w:r>
      <w:r w:rsidR="007B463B" w:rsidRPr="000A3FF9">
        <w:rPr>
          <w:rFonts w:ascii="Garamond" w:hAnsi="Garamond"/>
        </w:rPr>
        <w:t xml:space="preserve">gesturing towards the </w:t>
      </w:r>
      <w:r w:rsidR="00070A73">
        <w:rPr>
          <w:rFonts w:ascii="Garamond" w:hAnsi="Garamond"/>
        </w:rPr>
        <w:t xml:space="preserve">notebooks original form  - </w:t>
      </w:r>
      <w:r w:rsidR="007B463B" w:rsidRPr="000A3FF9">
        <w:rPr>
          <w:rFonts w:ascii="Garamond" w:hAnsi="Garamond"/>
        </w:rPr>
        <w:t xml:space="preserve">jars against the </w:t>
      </w:r>
      <w:r w:rsidR="00CE1D93">
        <w:rPr>
          <w:rFonts w:ascii="Garamond" w:hAnsi="Garamond"/>
        </w:rPr>
        <w:t xml:space="preserve">court’s </w:t>
      </w:r>
      <w:r w:rsidR="007B463B" w:rsidRPr="000A3FF9">
        <w:rPr>
          <w:rFonts w:ascii="Garamond" w:hAnsi="Garamond"/>
        </w:rPr>
        <w:t xml:space="preserve">attempts to tame the pages of </w:t>
      </w:r>
      <w:r w:rsidR="00CE1D93">
        <w:rPr>
          <w:rFonts w:ascii="Garamond" w:hAnsi="Garamond"/>
        </w:rPr>
        <w:t>the record</w:t>
      </w:r>
      <w:r w:rsidR="007B463B" w:rsidRPr="000A3FF9">
        <w:rPr>
          <w:rFonts w:ascii="Garamond" w:hAnsi="Garamond"/>
        </w:rPr>
        <w:t xml:space="preserve"> </w:t>
      </w:r>
      <w:r w:rsidR="007B463B" w:rsidRPr="000A3FF9">
        <w:rPr>
          <w:rFonts w:ascii="Garamond" w:hAnsi="Garamond"/>
          <w:i/>
        </w:rPr>
        <w:t xml:space="preserve">as </w:t>
      </w:r>
      <w:r w:rsidR="007B463B" w:rsidRPr="00CE1D93">
        <w:rPr>
          <w:rFonts w:ascii="Garamond" w:hAnsi="Garamond"/>
        </w:rPr>
        <w:t>evidence</w:t>
      </w:r>
      <w:r w:rsidR="00CE1D93">
        <w:rPr>
          <w:rFonts w:ascii="Garamond" w:hAnsi="Garamond"/>
        </w:rPr>
        <w:t xml:space="preserve">, </w:t>
      </w:r>
      <w:r w:rsidR="007B463B" w:rsidRPr="00CE1D93">
        <w:rPr>
          <w:rFonts w:ascii="Garamond" w:hAnsi="Garamond"/>
        </w:rPr>
        <w:t>which</w:t>
      </w:r>
      <w:r w:rsidR="007B463B" w:rsidRPr="000A3FF9">
        <w:rPr>
          <w:rFonts w:ascii="Garamond" w:hAnsi="Garamond"/>
        </w:rPr>
        <w:t xml:space="preserve"> remain visible within the digitised reproduction (then reproduced by </w:t>
      </w:r>
      <w:r w:rsidR="00D56D09">
        <w:rPr>
          <w:rFonts w:ascii="Garamond" w:hAnsi="Garamond"/>
        </w:rPr>
        <w:t>Miladinović</w:t>
      </w:r>
      <w:r w:rsidR="007B463B" w:rsidRPr="000A3FF9">
        <w:rPr>
          <w:rFonts w:ascii="Garamond" w:hAnsi="Garamond"/>
        </w:rPr>
        <w:t xml:space="preserve">). The </w:t>
      </w:r>
      <w:r w:rsidR="005C4A63">
        <w:rPr>
          <w:rFonts w:ascii="Garamond" w:hAnsi="Garamond"/>
        </w:rPr>
        <w:t>o</w:t>
      </w:r>
      <w:r w:rsidR="007B463B" w:rsidRPr="000A3FF9">
        <w:rPr>
          <w:rFonts w:ascii="Garamond" w:hAnsi="Garamond"/>
        </w:rPr>
        <w:t>ddly neat circles, the double underlined passages</w:t>
      </w:r>
      <w:r w:rsidR="000E0B3F">
        <w:rPr>
          <w:rFonts w:ascii="Garamond" w:hAnsi="Garamond"/>
        </w:rPr>
        <w:t>,</w:t>
      </w:r>
      <w:r w:rsidR="00E10453">
        <w:rPr>
          <w:rFonts w:ascii="Garamond" w:hAnsi="Garamond"/>
        </w:rPr>
        <w:t xml:space="preserve"> </w:t>
      </w:r>
      <w:r w:rsidR="007B463B" w:rsidRPr="000A3FF9">
        <w:rPr>
          <w:rFonts w:ascii="Garamond" w:hAnsi="Garamond"/>
        </w:rPr>
        <w:t>all of which evidence the court</w:t>
      </w:r>
      <w:r w:rsidR="00D56D09">
        <w:rPr>
          <w:rFonts w:ascii="Garamond" w:hAnsi="Garamond"/>
        </w:rPr>
        <w:t>’</w:t>
      </w:r>
      <w:r w:rsidR="007B463B" w:rsidRPr="000A3FF9">
        <w:rPr>
          <w:rFonts w:ascii="Garamond" w:hAnsi="Garamond"/>
        </w:rPr>
        <w:t xml:space="preserve">s concern with objectivity, authenticity and accuracy, are all reproduced in Vladimir’s work in a manner that puts a mirror up to </w:t>
      </w:r>
      <w:r w:rsidR="00034B56">
        <w:rPr>
          <w:rFonts w:ascii="Garamond" w:hAnsi="Garamond"/>
        </w:rPr>
        <w:t xml:space="preserve">court’s treatment of </w:t>
      </w:r>
      <w:r w:rsidR="00F92795">
        <w:rPr>
          <w:rFonts w:ascii="Garamond" w:hAnsi="Garamond"/>
        </w:rPr>
        <w:t>evidence</w:t>
      </w:r>
      <w:r w:rsidR="00034B56">
        <w:rPr>
          <w:rFonts w:ascii="Garamond" w:hAnsi="Garamond"/>
        </w:rPr>
        <w:t xml:space="preserve"> to </w:t>
      </w:r>
      <w:r w:rsidR="007B463B" w:rsidRPr="000A3FF9">
        <w:rPr>
          <w:rFonts w:ascii="Garamond" w:hAnsi="Garamond"/>
        </w:rPr>
        <w:t xml:space="preserve">show it for its peculiarity. </w:t>
      </w:r>
    </w:p>
    <w:p w14:paraId="2B076288" w14:textId="77777777" w:rsidR="007B463B" w:rsidRPr="000A3FF9" w:rsidRDefault="007B463B" w:rsidP="007B463B">
      <w:pPr>
        <w:rPr>
          <w:rFonts w:ascii="Garamond" w:hAnsi="Garamond"/>
        </w:rPr>
      </w:pPr>
    </w:p>
    <w:p w14:paraId="7452B2A5" w14:textId="5E359674" w:rsidR="00E10453" w:rsidRDefault="007B463B" w:rsidP="007B463B">
      <w:pPr>
        <w:rPr>
          <w:rFonts w:ascii="Garamond" w:hAnsi="Garamond"/>
        </w:rPr>
      </w:pPr>
      <w:r w:rsidRPr="000A3FF9">
        <w:rPr>
          <w:rFonts w:ascii="Garamond" w:hAnsi="Garamond"/>
        </w:rPr>
        <w:t xml:space="preserve">As </w:t>
      </w:r>
      <w:r w:rsidR="00D56D09">
        <w:rPr>
          <w:rFonts w:ascii="Garamond" w:hAnsi="Garamond"/>
        </w:rPr>
        <w:t xml:space="preserve">Miladinović </w:t>
      </w:r>
      <w:r w:rsidRPr="000A3FF9">
        <w:rPr>
          <w:rFonts w:ascii="Garamond" w:hAnsi="Garamond"/>
        </w:rPr>
        <w:t>notes so much is lost through this process</w:t>
      </w:r>
      <w:r w:rsidR="00F92795">
        <w:rPr>
          <w:rFonts w:ascii="Garamond" w:hAnsi="Garamond"/>
        </w:rPr>
        <w:t xml:space="preserve"> of producing evidence</w:t>
      </w:r>
      <w:r w:rsidRPr="000A3FF9">
        <w:rPr>
          <w:rFonts w:ascii="Garamond" w:hAnsi="Garamond"/>
        </w:rPr>
        <w:t xml:space="preserve">. Spending a great deal of time also with the original diary, </w:t>
      </w:r>
      <w:r w:rsidR="00D56D09">
        <w:rPr>
          <w:rFonts w:ascii="Garamond" w:hAnsi="Garamond"/>
        </w:rPr>
        <w:t>Miladinović’s</w:t>
      </w:r>
      <w:r w:rsidR="00D56D09" w:rsidRPr="000A3FF9">
        <w:rPr>
          <w:rFonts w:ascii="Garamond" w:hAnsi="Garamond"/>
        </w:rPr>
        <w:t xml:space="preserve"> </w:t>
      </w:r>
      <w:r w:rsidR="00D56D09">
        <w:rPr>
          <w:rFonts w:ascii="Garamond" w:hAnsi="Garamond"/>
        </w:rPr>
        <w:t>spoke of</w:t>
      </w:r>
      <w:r w:rsidRPr="000A3FF9">
        <w:rPr>
          <w:rFonts w:ascii="Garamond" w:hAnsi="Garamond"/>
        </w:rPr>
        <w:t xml:space="preserve"> how it </w:t>
      </w:r>
      <w:r w:rsidR="00D56D09">
        <w:rPr>
          <w:rFonts w:ascii="Garamond" w:hAnsi="Garamond"/>
        </w:rPr>
        <w:t>was</w:t>
      </w:r>
      <w:r w:rsidRPr="000A3FF9">
        <w:rPr>
          <w:rFonts w:ascii="Garamond" w:hAnsi="Garamond"/>
        </w:rPr>
        <w:t xml:space="preserve"> possible to get a sense of the emotional and psychological state of </w:t>
      </w:r>
      <w:r w:rsidR="00633089">
        <w:rPr>
          <w:rFonts w:ascii="Garamond" w:hAnsi="Garamond"/>
        </w:rPr>
        <w:t>Mladić</w:t>
      </w:r>
      <w:r w:rsidRPr="000A3FF9">
        <w:rPr>
          <w:rFonts w:ascii="Garamond" w:hAnsi="Garamond"/>
        </w:rPr>
        <w:t xml:space="preserve"> when looking at the writing: when he was frantic, when he was irritated</w:t>
      </w:r>
      <w:r w:rsidR="00B53A96">
        <w:rPr>
          <w:rFonts w:ascii="Garamond" w:hAnsi="Garamond"/>
        </w:rPr>
        <w:t>, for instance</w:t>
      </w:r>
      <w:r w:rsidRPr="000A3FF9">
        <w:rPr>
          <w:rFonts w:ascii="Garamond" w:hAnsi="Garamond"/>
        </w:rPr>
        <w:t xml:space="preserve">. This type of subjective interpretation is not only shunned by the court, but also is deliberately excluded </w:t>
      </w:r>
      <w:r w:rsidR="00034B56">
        <w:rPr>
          <w:rFonts w:ascii="Garamond" w:hAnsi="Garamond"/>
        </w:rPr>
        <w:t xml:space="preserve">in the diary </w:t>
      </w:r>
      <w:r w:rsidR="00B53A96">
        <w:rPr>
          <w:rFonts w:ascii="Garamond" w:hAnsi="Garamond"/>
        </w:rPr>
        <w:t>when</w:t>
      </w:r>
      <w:r w:rsidR="00034B56">
        <w:rPr>
          <w:rFonts w:ascii="Garamond" w:hAnsi="Garamond"/>
        </w:rPr>
        <w:t xml:space="preserve"> used as evidence,</w:t>
      </w:r>
      <w:r w:rsidR="00E10453">
        <w:rPr>
          <w:rFonts w:ascii="Garamond" w:hAnsi="Garamond"/>
        </w:rPr>
        <w:t xml:space="preserve"> </w:t>
      </w:r>
      <w:r w:rsidRPr="000A3FF9">
        <w:rPr>
          <w:rFonts w:ascii="Garamond" w:hAnsi="Garamond"/>
        </w:rPr>
        <w:t xml:space="preserve">as the handwriting is, in the digitised version, rendered </w:t>
      </w:r>
      <w:r w:rsidR="00070A73">
        <w:rPr>
          <w:rFonts w:ascii="Garamond" w:hAnsi="Garamond"/>
        </w:rPr>
        <w:t>‘neutral’</w:t>
      </w:r>
      <w:r w:rsidR="009C33F4">
        <w:rPr>
          <w:rFonts w:ascii="Garamond" w:hAnsi="Garamond"/>
        </w:rPr>
        <w:t xml:space="preserve"> and placid </w:t>
      </w:r>
      <w:r w:rsidRPr="000A3FF9">
        <w:rPr>
          <w:rFonts w:ascii="Garamond" w:hAnsi="Garamond"/>
        </w:rPr>
        <w:t xml:space="preserve">in size 10 </w:t>
      </w:r>
      <w:r w:rsidR="004370F4">
        <w:rPr>
          <w:rFonts w:ascii="Garamond" w:hAnsi="Garamond"/>
        </w:rPr>
        <w:t>Times New Roman</w:t>
      </w:r>
      <w:r w:rsidRPr="000A3FF9">
        <w:rPr>
          <w:rFonts w:ascii="Garamond" w:hAnsi="Garamond"/>
        </w:rPr>
        <w:t xml:space="preserve"> font. </w:t>
      </w:r>
      <w:r w:rsidR="005C4A63">
        <w:rPr>
          <w:rFonts w:ascii="Garamond" w:hAnsi="Garamond"/>
        </w:rPr>
        <w:t>In many respects</w:t>
      </w:r>
      <w:r w:rsidR="004370F4">
        <w:rPr>
          <w:rFonts w:ascii="Garamond" w:hAnsi="Garamond"/>
        </w:rPr>
        <w:t xml:space="preserve">, </w:t>
      </w:r>
      <w:r w:rsidR="004370F4">
        <w:rPr>
          <w:rFonts w:ascii="Garamond" w:hAnsi="Garamond"/>
          <w:i/>
        </w:rPr>
        <w:t>The Notebook</w:t>
      </w:r>
      <w:r w:rsidR="005C4A63">
        <w:rPr>
          <w:rFonts w:ascii="Garamond" w:hAnsi="Garamond"/>
        </w:rPr>
        <w:t xml:space="preserve"> </w:t>
      </w:r>
      <w:r w:rsidR="00034B56">
        <w:rPr>
          <w:rFonts w:ascii="Garamond" w:hAnsi="Garamond"/>
        </w:rPr>
        <w:t xml:space="preserve">reinserts this </w:t>
      </w:r>
      <w:r w:rsidR="005C4A63">
        <w:rPr>
          <w:rFonts w:ascii="Garamond" w:hAnsi="Garamond"/>
        </w:rPr>
        <w:t xml:space="preserve">subjectivity (though clearly not as in the ‘original’) as the </w:t>
      </w:r>
      <w:r w:rsidR="00034B56">
        <w:rPr>
          <w:rFonts w:ascii="Garamond" w:hAnsi="Garamond"/>
        </w:rPr>
        <w:t>work</w:t>
      </w:r>
      <w:r w:rsidR="005C4A63">
        <w:rPr>
          <w:rFonts w:ascii="Garamond" w:hAnsi="Garamond"/>
        </w:rPr>
        <w:t xml:space="preserve"> also records </w:t>
      </w:r>
      <w:r w:rsidR="000E0B3F">
        <w:rPr>
          <w:rFonts w:ascii="Garamond" w:hAnsi="Garamond"/>
        </w:rPr>
        <w:t>Miladinović’s</w:t>
      </w:r>
      <w:r w:rsidR="005C4A63">
        <w:rPr>
          <w:rFonts w:ascii="Garamond" w:hAnsi="Garamond"/>
        </w:rPr>
        <w:t xml:space="preserve"> </w:t>
      </w:r>
      <w:r w:rsidR="005C4A63">
        <w:rPr>
          <w:rFonts w:ascii="Garamond" w:hAnsi="Garamond"/>
          <w:i/>
        </w:rPr>
        <w:t xml:space="preserve">personal </w:t>
      </w:r>
      <w:r w:rsidR="005C4A63">
        <w:rPr>
          <w:rFonts w:ascii="Garamond" w:hAnsi="Garamond"/>
        </w:rPr>
        <w:t xml:space="preserve">encounter with </w:t>
      </w:r>
      <w:r w:rsidR="004370F4">
        <w:rPr>
          <w:rFonts w:ascii="Garamond" w:hAnsi="Garamond"/>
        </w:rPr>
        <w:t xml:space="preserve">this </w:t>
      </w:r>
      <w:r w:rsidR="000E0B3F">
        <w:rPr>
          <w:rFonts w:ascii="Garamond" w:hAnsi="Garamond"/>
        </w:rPr>
        <w:t>artefact</w:t>
      </w:r>
      <w:r w:rsidR="00CE1D93">
        <w:rPr>
          <w:rFonts w:ascii="Garamond" w:hAnsi="Garamond"/>
        </w:rPr>
        <w:t xml:space="preserve"> and the </w:t>
      </w:r>
      <w:r w:rsidR="004370F4">
        <w:rPr>
          <w:rFonts w:ascii="Garamond" w:hAnsi="Garamond"/>
        </w:rPr>
        <w:t>history</w:t>
      </w:r>
      <w:r w:rsidR="00CE1D93">
        <w:rPr>
          <w:rFonts w:ascii="Garamond" w:hAnsi="Garamond"/>
        </w:rPr>
        <w:t xml:space="preserve"> it contains</w:t>
      </w:r>
      <w:r w:rsidR="005C4A63">
        <w:rPr>
          <w:rFonts w:ascii="Garamond" w:hAnsi="Garamond"/>
        </w:rPr>
        <w:t xml:space="preserve">. </w:t>
      </w:r>
      <w:r w:rsidR="0081004B">
        <w:rPr>
          <w:rFonts w:ascii="Garamond" w:hAnsi="Garamond"/>
        </w:rPr>
        <w:t>Again,</w:t>
      </w:r>
      <w:r w:rsidR="005C4A63">
        <w:rPr>
          <w:rFonts w:ascii="Garamond" w:hAnsi="Garamond"/>
        </w:rPr>
        <w:t xml:space="preserve"> this is rendered visible through the ‘mistakes’, slight inaccuracies, and smudges that dot throughout the work. How these are read are down to the viewer, but for me these </w:t>
      </w:r>
      <w:r w:rsidR="00070A73">
        <w:rPr>
          <w:rFonts w:ascii="Garamond" w:hAnsi="Garamond"/>
        </w:rPr>
        <w:t xml:space="preserve">record </w:t>
      </w:r>
      <w:r w:rsidR="004370F4">
        <w:rPr>
          <w:rFonts w:ascii="Garamond" w:hAnsi="Garamond"/>
        </w:rPr>
        <w:t xml:space="preserve">Miladinović’s </w:t>
      </w:r>
      <w:r w:rsidR="005C4A63">
        <w:rPr>
          <w:rFonts w:ascii="Garamond" w:hAnsi="Garamond"/>
        </w:rPr>
        <w:t>affective engagement with the work</w:t>
      </w:r>
      <w:r w:rsidR="00070A73">
        <w:rPr>
          <w:rFonts w:ascii="Garamond" w:hAnsi="Garamond"/>
        </w:rPr>
        <w:t xml:space="preserve">, </w:t>
      </w:r>
      <w:r w:rsidR="009C33F4">
        <w:rPr>
          <w:rFonts w:ascii="Garamond" w:hAnsi="Garamond"/>
        </w:rPr>
        <w:t xml:space="preserve">the emotional and intellectual labour involved, and his varying states of </w:t>
      </w:r>
      <w:r w:rsidR="005C4A63">
        <w:rPr>
          <w:rFonts w:ascii="Garamond" w:hAnsi="Garamond"/>
        </w:rPr>
        <w:t>contemplation, distraction, surprise, and urgency</w:t>
      </w:r>
      <w:r w:rsidR="00CE1D93">
        <w:rPr>
          <w:rFonts w:ascii="Garamond" w:hAnsi="Garamond"/>
        </w:rPr>
        <w:t xml:space="preserve"> as he too ‘re-learns’ the past, and comes to question the limits of that learning</w:t>
      </w:r>
      <w:r w:rsidR="005C4A63">
        <w:rPr>
          <w:rFonts w:ascii="Garamond" w:hAnsi="Garamond"/>
        </w:rPr>
        <w:t>.</w:t>
      </w:r>
      <w:r w:rsidR="00034B56" w:rsidRPr="00034B56">
        <w:rPr>
          <w:rFonts w:ascii="Garamond" w:hAnsi="Garamond"/>
        </w:rPr>
        <w:t xml:space="preserve"> </w:t>
      </w:r>
      <w:r w:rsidR="00E10453" w:rsidRPr="000A3FF9">
        <w:rPr>
          <w:rFonts w:ascii="Garamond" w:hAnsi="Garamond"/>
        </w:rPr>
        <w:t>Vladimir’s work re-</w:t>
      </w:r>
      <w:r w:rsidR="00E10453" w:rsidRPr="000A3FF9">
        <w:rPr>
          <w:rFonts w:ascii="Garamond" w:hAnsi="Garamond"/>
        </w:rPr>
        <w:lastRenderedPageBreak/>
        <w:t xml:space="preserve">injects this personal connection that pushes these absences and exclusions to the fore. In returning the diary to its ‘original form’, then, </w:t>
      </w:r>
      <w:r w:rsidR="000E0B3F">
        <w:rPr>
          <w:rFonts w:ascii="Garamond" w:hAnsi="Garamond"/>
        </w:rPr>
        <w:t>Miladinović’s</w:t>
      </w:r>
      <w:r w:rsidR="00E10453" w:rsidRPr="000A3FF9">
        <w:rPr>
          <w:rFonts w:ascii="Garamond" w:hAnsi="Garamond"/>
        </w:rPr>
        <w:t xml:space="preserve"> work </w:t>
      </w:r>
      <w:r w:rsidR="00E10453">
        <w:rPr>
          <w:rFonts w:ascii="Garamond" w:hAnsi="Garamond"/>
        </w:rPr>
        <w:t>fights against</w:t>
      </w:r>
      <w:r w:rsidR="00E10453" w:rsidRPr="000A3FF9">
        <w:rPr>
          <w:rFonts w:ascii="Garamond" w:hAnsi="Garamond"/>
        </w:rPr>
        <w:t xml:space="preserve"> the logic of the archive.</w:t>
      </w:r>
    </w:p>
    <w:p w14:paraId="3ECBA6AA" w14:textId="77777777" w:rsidR="007B463B" w:rsidRPr="000A3FF9" w:rsidRDefault="007B463B" w:rsidP="007B463B">
      <w:pPr>
        <w:rPr>
          <w:rFonts w:ascii="Garamond" w:hAnsi="Garamond"/>
        </w:rPr>
      </w:pPr>
    </w:p>
    <w:p w14:paraId="578CD8F3" w14:textId="1814AF3B" w:rsidR="00D95C1D" w:rsidRDefault="007B463B" w:rsidP="007B463B">
      <w:pPr>
        <w:rPr>
          <w:rFonts w:ascii="Garamond" w:hAnsi="Garamond"/>
        </w:rPr>
      </w:pPr>
      <w:r w:rsidRPr="000A3FF9">
        <w:rPr>
          <w:rFonts w:ascii="Garamond" w:hAnsi="Garamond"/>
        </w:rPr>
        <w:t xml:space="preserve">As this suggests, in shining a light on the processes of knowledge production, </w:t>
      </w:r>
      <w:r w:rsidR="00070A73">
        <w:rPr>
          <w:rFonts w:ascii="Garamond" w:hAnsi="Garamond"/>
          <w:i/>
        </w:rPr>
        <w:t>The Notebook</w:t>
      </w:r>
      <w:r w:rsidRPr="000A3FF9">
        <w:rPr>
          <w:rFonts w:ascii="Garamond" w:hAnsi="Garamond"/>
        </w:rPr>
        <w:t xml:space="preserve"> also explores a potentially different post-conflict politics to that pursued at the ICTY. The drive to fix, render neutral and objective, which is visible in the ICTY’s treatment of the </w:t>
      </w:r>
      <w:r w:rsidR="00633089">
        <w:rPr>
          <w:rFonts w:ascii="Garamond" w:hAnsi="Garamond"/>
        </w:rPr>
        <w:t>Mladić</w:t>
      </w:r>
      <w:r w:rsidR="00E10453">
        <w:rPr>
          <w:rFonts w:ascii="Garamond" w:hAnsi="Garamond"/>
        </w:rPr>
        <w:t>’s notebooks</w:t>
      </w:r>
      <w:r w:rsidR="00C569E1">
        <w:rPr>
          <w:rFonts w:ascii="Garamond" w:hAnsi="Garamond"/>
        </w:rPr>
        <w:t>,</w:t>
      </w:r>
      <w:r w:rsidRPr="000A3FF9">
        <w:rPr>
          <w:rFonts w:ascii="Garamond" w:hAnsi="Garamond"/>
        </w:rPr>
        <w:t xml:space="preserve"> is in </w:t>
      </w:r>
      <w:r w:rsidR="000E0B3F">
        <w:rPr>
          <w:rFonts w:ascii="Garamond" w:hAnsi="Garamond"/>
        </w:rPr>
        <w:t>Miladinović’s</w:t>
      </w:r>
      <w:r w:rsidRPr="000A3FF9">
        <w:rPr>
          <w:rFonts w:ascii="Garamond" w:hAnsi="Garamond"/>
        </w:rPr>
        <w:t xml:space="preserve"> work </w:t>
      </w:r>
      <w:r w:rsidR="000E0B3F">
        <w:rPr>
          <w:rFonts w:ascii="Garamond" w:hAnsi="Garamond"/>
        </w:rPr>
        <w:t>replaced with a concern of subjectivity, indeterminacy and imagination</w:t>
      </w:r>
      <w:r w:rsidRPr="000A3FF9">
        <w:rPr>
          <w:rFonts w:ascii="Garamond" w:hAnsi="Garamond"/>
        </w:rPr>
        <w:t xml:space="preserve">. This is very much not about producing </w:t>
      </w:r>
      <w:r w:rsidRPr="000A3FF9">
        <w:rPr>
          <w:rFonts w:ascii="Garamond" w:hAnsi="Garamond"/>
          <w:i/>
        </w:rPr>
        <w:t xml:space="preserve">the </w:t>
      </w:r>
      <w:r w:rsidRPr="000A3FF9">
        <w:rPr>
          <w:rFonts w:ascii="Garamond" w:hAnsi="Garamond"/>
        </w:rPr>
        <w:t xml:space="preserve">truth about </w:t>
      </w:r>
      <w:r w:rsidR="00633089">
        <w:rPr>
          <w:rFonts w:ascii="Garamond" w:hAnsi="Garamond"/>
        </w:rPr>
        <w:t>Mladić</w:t>
      </w:r>
      <w:r w:rsidRPr="000A3FF9">
        <w:rPr>
          <w:rFonts w:ascii="Garamond" w:hAnsi="Garamond"/>
        </w:rPr>
        <w:t xml:space="preserve"> or the war crimes associated with him,</w:t>
      </w:r>
      <w:r w:rsidR="00F92795">
        <w:rPr>
          <w:rFonts w:ascii="Garamond" w:hAnsi="Garamond"/>
        </w:rPr>
        <w:t xml:space="preserve"> or even the trial itself,</w:t>
      </w:r>
      <w:r w:rsidRPr="000A3FF9">
        <w:rPr>
          <w:rFonts w:ascii="Garamond" w:hAnsi="Garamond"/>
        </w:rPr>
        <w:t xml:space="preserve"> but starting a process of inquiry and imagination. </w:t>
      </w:r>
      <w:r w:rsidR="00B53A96">
        <w:rPr>
          <w:rFonts w:ascii="Garamond" w:hAnsi="Garamond"/>
        </w:rPr>
        <w:t xml:space="preserve">In this way the work gestures towards the inability of taming the memory of violence </w:t>
      </w:r>
      <w:r w:rsidR="00B53A96">
        <w:rPr>
          <w:rFonts w:ascii="Garamond" w:hAnsi="Garamond"/>
          <w:i/>
        </w:rPr>
        <w:t>per se</w:t>
      </w:r>
      <w:r w:rsidR="00B53A96">
        <w:rPr>
          <w:rFonts w:ascii="Garamond" w:hAnsi="Garamond"/>
        </w:rPr>
        <w:t xml:space="preserve">, and in this sense, the </w:t>
      </w:r>
      <w:r w:rsidR="00B53A96" w:rsidRPr="000A3FF9">
        <w:rPr>
          <w:rFonts w:ascii="Garamond" w:hAnsi="Garamond"/>
        </w:rPr>
        <w:t>work  - which occup</w:t>
      </w:r>
      <w:r w:rsidR="00B53A96">
        <w:rPr>
          <w:rFonts w:ascii="Garamond" w:hAnsi="Garamond"/>
        </w:rPr>
        <w:t xml:space="preserve">ies </w:t>
      </w:r>
      <w:r w:rsidR="00B53A96" w:rsidRPr="000A3FF9">
        <w:rPr>
          <w:rFonts w:ascii="Garamond" w:hAnsi="Garamond"/>
        </w:rPr>
        <w:t xml:space="preserve"> a </w:t>
      </w:r>
      <w:r w:rsidR="00B53A96" w:rsidRPr="00D56D09">
        <w:rPr>
          <w:rFonts w:ascii="Garamond" w:hAnsi="Garamond"/>
          <w:color w:val="000000" w:themeColor="text1"/>
        </w:rPr>
        <w:t>70 square meters wall</w:t>
      </w:r>
      <w:r w:rsidR="000E0B3F">
        <w:rPr>
          <w:rFonts w:ascii="Garamond" w:hAnsi="Garamond"/>
          <w:color w:val="000000" w:themeColor="text1"/>
        </w:rPr>
        <w:t xml:space="preserve"> when displayed</w:t>
      </w:r>
      <w:r w:rsidR="00B53A96" w:rsidRPr="00D56D09">
        <w:rPr>
          <w:rFonts w:ascii="Garamond" w:hAnsi="Garamond"/>
          <w:color w:val="000000" w:themeColor="text1"/>
        </w:rPr>
        <w:t xml:space="preserve"> </w:t>
      </w:r>
      <w:r w:rsidR="00B53A96" w:rsidRPr="000A3FF9">
        <w:rPr>
          <w:rFonts w:ascii="Garamond" w:hAnsi="Garamond"/>
        </w:rPr>
        <w:t xml:space="preserve">– </w:t>
      </w:r>
      <w:r w:rsidR="00B53A96" w:rsidRPr="000A3FF9">
        <w:rPr>
          <w:rFonts w:ascii="Garamond" w:hAnsi="Garamond"/>
          <w:i/>
        </w:rPr>
        <w:t xml:space="preserve">overwhelms </w:t>
      </w:r>
      <w:r w:rsidR="00B53A96" w:rsidRPr="000A3FF9">
        <w:rPr>
          <w:rFonts w:ascii="Garamond" w:hAnsi="Garamond"/>
        </w:rPr>
        <w:t xml:space="preserve">the viewer in a way that </w:t>
      </w:r>
      <w:r w:rsidR="00B53A96">
        <w:rPr>
          <w:rFonts w:ascii="Garamond" w:hAnsi="Garamond"/>
        </w:rPr>
        <w:t xml:space="preserve">is suggestive of </w:t>
      </w:r>
      <w:r w:rsidR="00B53A96" w:rsidRPr="000A3FF9">
        <w:rPr>
          <w:rFonts w:ascii="Garamond" w:hAnsi="Garamond"/>
        </w:rPr>
        <w:t>the difficult nature of processing and dealing with the past.</w:t>
      </w:r>
      <w:r w:rsidR="00B53A96">
        <w:rPr>
          <w:rFonts w:ascii="Garamond" w:hAnsi="Garamond"/>
        </w:rPr>
        <w:t xml:space="preserve"> </w:t>
      </w:r>
      <w:r w:rsidRPr="000A3FF9">
        <w:rPr>
          <w:rFonts w:ascii="Garamond" w:hAnsi="Garamond"/>
        </w:rPr>
        <w:t>The rejection of truth as a solid tangible entity, is also an attempt to move past the politics of accusation which</w:t>
      </w:r>
      <w:r w:rsidR="00070A73">
        <w:rPr>
          <w:rFonts w:ascii="Garamond" w:hAnsi="Garamond"/>
        </w:rPr>
        <w:t>, as I suggest above, is central to the function of courts such as the ICTY, and</w:t>
      </w:r>
      <w:r w:rsidRPr="000A3FF9">
        <w:rPr>
          <w:rFonts w:ascii="Garamond" w:hAnsi="Garamond"/>
        </w:rPr>
        <w:t xml:space="preserve"> has continued to define the politics of the post-Yugoslav space</w:t>
      </w:r>
      <w:r w:rsidR="00C569E1">
        <w:rPr>
          <w:rFonts w:ascii="Garamond" w:hAnsi="Garamond"/>
        </w:rPr>
        <w:t xml:space="preserve">; </w:t>
      </w:r>
      <w:r w:rsidRPr="000A3FF9">
        <w:rPr>
          <w:rFonts w:ascii="Garamond" w:hAnsi="Garamond"/>
        </w:rPr>
        <w:t xml:space="preserve">a politics which reproduces homogenous senses of ‘us’ and ‘them’. The indeterminacy of </w:t>
      </w:r>
      <w:r w:rsidR="00070A73">
        <w:rPr>
          <w:rFonts w:ascii="Garamond" w:hAnsi="Garamond"/>
          <w:i/>
        </w:rPr>
        <w:t>The Notebook</w:t>
      </w:r>
      <w:r w:rsidRPr="000A3FF9">
        <w:rPr>
          <w:rFonts w:ascii="Garamond" w:hAnsi="Garamond"/>
        </w:rPr>
        <w:t xml:space="preserve"> pushes back against this logic. No one person will gain the same thing from the work, as they traverse the </w:t>
      </w:r>
      <w:r w:rsidR="004370F4">
        <w:rPr>
          <w:rFonts w:ascii="Garamond" w:hAnsi="Garamond"/>
        </w:rPr>
        <w:t>work</w:t>
      </w:r>
      <w:r w:rsidRPr="000A3FF9">
        <w:rPr>
          <w:rFonts w:ascii="Garamond" w:hAnsi="Garamond"/>
        </w:rPr>
        <w:t xml:space="preserve"> in different ways, focus in on different sections, and subsequently search of additional information (or, alternatively, not). In contains not one, but many narratives of the past</w:t>
      </w:r>
      <w:r w:rsidR="00F92795">
        <w:rPr>
          <w:rFonts w:ascii="Garamond" w:hAnsi="Garamond"/>
        </w:rPr>
        <w:t>; t</w:t>
      </w:r>
      <w:r w:rsidR="00D95C1D">
        <w:rPr>
          <w:rFonts w:ascii="Garamond" w:hAnsi="Garamond"/>
        </w:rPr>
        <w:t>here is no truth to be found in this work</w:t>
      </w:r>
      <w:r w:rsidR="00E10453">
        <w:rPr>
          <w:rFonts w:ascii="Garamond" w:hAnsi="Garamond"/>
        </w:rPr>
        <w:t xml:space="preserve">. In this, </w:t>
      </w:r>
      <w:r w:rsidR="00E10453">
        <w:rPr>
          <w:rFonts w:ascii="Garamond" w:hAnsi="Garamond"/>
          <w:i/>
        </w:rPr>
        <w:t xml:space="preserve">The Notebook </w:t>
      </w:r>
      <w:r w:rsidR="00E10453">
        <w:rPr>
          <w:rFonts w:ascii="Garamond" w:hAnsi="Garamond"/>
        </w:rPr>
        <w:t>offers an important critique of not only the ICTY’s archive, but of archival power per se.</w:t>
      </w:r>
    </w:p>
    <w:p w14:paraId="43D70871" w14:textId="4AD6254A" w:rsidR="001857A8" w:rsidRDefault="001857A8" w:rsidP="007B463B">
      <w:pPr>
        <w:rPr>
          <w:rFonts w:ascii="Garamond" w:hAnsi="Garamond"/>
        </w:rPr>
      </w:pPr>
    </w:p>
    <w:p w14:paraId="2AC4F59A" w14:textId="4A61261F" w:rsidR="00E10453" w:rsidRDefault="00E10453" w:rsidP="00E10453">
      <w:pPr>
        <w:rPr>
          <w:rFonts w:ascii="Garamond" w:hAnsi="Garamond"/>
        </w:rPr>
      </w:pPr>
      <w:r w:rsidRPr="00D75DF3">
        <w:rPr>
          <w:rFonts w:ascii="Garamond" w:hAnsi="Garamond"/>
        </w:rPr>
        <w:t xml:space="preserve">In this way, </w:t>
      </w:r>
      <w:r w:rsidRPr="00D75DF3">
        <w:rPr>
          <w:rFonts w:ascii="Garamond" w:hAnsi="Garamond"/>
          <w:i/>
        </w:rPr>
        <w:t xml:space="preserve">The Notebook </w:t>
      </w:r>
      <w:r w:rsidRPr="00D75DF3">
        <w:rPr>
          <w:rFonts w:ascii="Garamond" w:hAnsi="Garamond"/>
        </w:rPr>
        <w:t xml:space="preserve">also responds to </w:t>
      </w:r>
      <w:r w:rsidRPr="00D95C1D">
        <w:rPr>
          <w:rFonts w:ascii="Garamond" w:hAnsi="Garamond"/>
        </w:rPr>
        <w:t>Didi-Huberman</w:t>
      </w:r>
      <w:r>
        <w:rPr>
          <w:rFonts w:ascii="Garamond" w:hAnsi="Garamond"/>
        </w:rPr>
        <w:t>’s</w:t>
      </w:r>
      <w:r w:rsidRPr="00D95C1D">
        <w:rPr>
          <w:rFonts w:ascii="Garamond" w:hAnsi="Garamond"/>
        </w:rPr>
        <w:t xml:space="preserve"> </w:t>
      </w:r>
      <w:r>
        <w:rPr>
          <w:rFonts w:ascii="Garamond" w:hAnsi="Garamond"/>
        </w:rPr>
        <w:t>provocative question</w:t>
      </w:r>
      <w:r w:rsidRPr="00D95C1D">
        <w:rPr>
          <w:rFonts w:ascii="Garamond" w:hAnsi="Garamond"/>
        </w:rPr>
        <w:t xml:space="preserve">, do we need an image to believe </w:t>
      </w:r>
      <w:r w:rsidR="000E0B3F">
        <w:rPr>
          <w:rFonts w:ascii="Garamond" w:hAnsi="Garamond"/>
        </w:rPr>
        <w:t>in the</w:t>
      </w:r>
      <w:r w:rsidRPr="00D95C1D">
        <w:rPr>
          <w:rFonts w:ascii="Garamond" w:hAnsi="Garamond"/>
        </w:rPr>
        <w:t xml:space="preserve"> Shoa</w:t>
      </w:r>
      <w:r>
        <w:rPr>
          <w:rFonts w:ascii="Garamond" w:hAnsi="Garamond"/>
        </w:rPr>
        <w:t>h</w:t>
      </w:r>
      <w:r w:rsidRPr="00D95C1D">
        <w:rPr>
          <w:rFonts w:ascii="Garamond" w:hAnsi="Garamond"/>
        </w:rPr>
        <w:t>?</w:t>
      </w:r>
      <w:r w:rsidR="00DB3E5E">
        <w:rPr>
          <w:rStyle w:val="EndnoteReference"/>
          <w:rFonts w:ascii="Garamond" w:hAnsi="Garamond"/>
        </w:rPr>
        <w:endnoteReference w:id="17"/>
      </w:r>
      <w:r w:rsidRPr="00D95C1D">
        <w:rPr>
          <w:rFonts w:ascii="Garamond" w:hAnsi="Garamond"/>
        </w:rPr>
        <w:t xml:space="preserve"> </w:t>
      </w:r>
      <w:r>
        <w:rPr>
          <w:rFonts w:ascii="Garamond" w:hAnsi="Garamond"/>
        </w:rPr>
        <w:t>Pursuing this provocation</w:t>
      </w:r>
      <w:r w:rsidR="000E0B3F">
        <w:rPr>
          <w:rFonts w:ascii="Garamond" w:hAnsi="Garamond"/>
        </w:rPr>
        <w:t>, Miladinović</w:t>
      </w:r>
      <w:r w:rsidRPr="00D95C1D">
        <w:rPr>
          <w:rFonts w:ascii="Garamond" w:hAnsi="Garamond"/>
        </w:rPr>
        <w:t xml:space="preserve"> opens up a series of questions about the use of ‘proof’ and its value beyond the official legal</w:t>
      </w:r>
      <w:r>
        <w:rPr>
          <w:rFonts w:ascii="Garamond" w:hAnsi="Garamond"/>
        </w:rPr>
        <w:t xml:space="preserve">, </w:t>
      </w:r>
      <w:r w:rsidRPr="00D95C1D">
        <w:rPr>
          <w:rFonts w:ascii="Garamond" w:hAnsi="Garamond"/>
        </w:rPr>
        <w:t xml:space="preserve">bureaucratic </w:t>
      </w:r>
      <w:r>
        <w:rPr>
          <w:rFonts w:ascii="Garamond" w:hAnsi="Garamond"/>
        </w:rPr>
        <w:t xml:space="preserve">and archival </w:t>
      </w:r>
      <w:r w:rsidRPr="00D95C1D">
        <w:rPr>
          <w:rFonts w:ascii="Garamond" w:hAnsi="Garamond"/>
        </w:rPr>
        <w:t>forum. To whom is the proof addressed, especially in light of overwhelming evidence? To the non-believers? To those whom believing is a central facet of their being</w:t>
      </w:r>
      <w:r>
        <w:rPr>
          <w:rFonts w:ascii="Garamond" w:hAnsi="Garamond"/>
        </w:rPr>
        <w:t xml:space="preserve">? </w:t>
      </w:r>
      <w:r w:rsidR="000E0B3F">
        <w:rPr>
          <w:rFonts w:ascii="Garamond" w:hAnsi="Garamond"/>
        </w:rPr>
        <w:t>Miladinović</w:t>
      </w:r>
      <w:r w:rsidR="000E0B3F" w:rsidRPr="00D95C1D">
        <w:rPr>
          <w:rFonts w:ascii="Garamond" w:hAnsi="Garamond"/>
        </w:rPr>
        <w:t xml:space="preserve"> </w:t>
      </w:r>
      <w:r w:rsidRPr="00D95C1D">
        <w:rPr>
          <w:rFonts w:ascii="Garamond" w:hAnsi="Garamond"/>
        </w:rPr>
        <w:t xml:space="preserve">moves beyond looking for proof, in search of an imaginative engagement that brings the past to life in different </w:t>
      </w:r>
      <w:r w:rsidRPr="00D75DF3">
        <w:rPr>
          <w:rFonts w:ascii="Garamond" w:hAnsi="Garamond"/>
        </w:rPr>
        <w:t xml:space="preserve">ways and asks us to reject what we </w:t>
      </w:r>
      <w:r w:rsidRPr="00D75DF3">
        <w:rPr>
          <w:rFonts w:ascii="Garamond" w:hAnsi="Garamond"/>
          <w:i/>
        </w:rPr>
        <w:t xml:space="preserve">think </w:t>
      </w:r>
      <w:r w:rsidRPr="00D75DF3">
        <w:rPr>
          <w:rFonts w:ascii="Garamond" w:hAnsi="Garamond"/>
        </w:rPr>
        <w:t>we know</w:t>
      </w:r>
      <w:r w:rsidRPr="00D95C1D">
        <w:rPr>
          <w:rFonts w:ascii="Garamond" w:hAnsi="Garamond"/>
        </w:rPr>
        <w:t xml:space="preserve">, in order to imagine a new future. </w:t>
      </w:r>
    </w:p>
    <w:p w14:paraId="7691587E" w14:textId="77777777" w:rsidR="00C569E1" w:rsidRPr="00D75DF3" w:rsidRDefault="00C569E1" w:rsidP="00D95C1D">
      <w:pPr>
        <w:rPr>
          <w:rFonts w:ascii="Garamond" w:hAnsi="Garamond"/>
        </w:rPr>
      </w:pPr>
    </w:p>
    <w:p w14:paraId="745C33D6" w14:textId="77777777" w:rsidR="00D95C1D" w:rsidRPr="00D95C1D" w:rsidRDefault="00D95C1D" w:rsidP="00D95C1D"/>
    <w:p w14:paraId="10FC0EBB" w14:textId="070C9571" w:rsidR="00CE7897" w:rsidRPr="000A3FF9" w:rsidRDefault="00CE7897" w:rsidP="00CE7897">
      <w:pPr>
        <w:rPr>
          <w:rFonts w:ascii="Garamond" w:hAnsi="Garamond"/>
        </w:rPr>
      </w:pPr>
    </w:p>
    <w:sectPr w:rsidR="00CE7897" w:rsidRPr="000A3FF9" w:rsidSect="00724EE7">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48E56" w14:textId="77777777" w:rsidR="00313190" w:rsidRDefault="00313190" w:rsidP="00CB1533">
      <w:r>
        <w:separator/>
      </w:r>
    </w:p>
  </w:endnote>
  <w:endnote w:type="continuationSeparator" w:id="0">
    <w:p w14:paraId="15721D36" w14:textId="77777777" w:rsidR="00313190" w:rsidRDefault="00313190" w:rsidP="00CB1533">
      <w:r>
        <w:continuationSeparator/>
      </w:r>
    </w:p>
  </w:endnote>
  <w:endnote w:id="1">
    <w:p w14:paraId="5E310F64" w14:textId="6A4B73B3" w:rsidR="00E44621" w:rsidRPr="00BE107E" w:rsidRDefault="00E44621">
      <w:pPr>
        <w:pStyle w:val="EndnoteText"/>
        <w:rPr>
          <w:rFonts w:ascii="Times New Roman" w:hAnsi="Times New Roman" w:cs="Times New Roman"/>
        </w:rPr>
      </w:pPr>
      <w:r w:rsidRPr="00BE107E">
        <w:rPr>
          <w:rStyle w:val="EndnoteReference"/>
          <w:rFonts w:ascii="Times New Roman" w:hAnsi="Times New Roman" w:cs="Times New Roman"/>
        </w:rPr>
        <w:endnoteRef/>
      </w:r>
      <w:r w:rsidRPr="00BE107E">
        <w:rPr>
          <w:rFonts w:ascii="Times New Roman" w:hAnsi="Times New Roman" w:cs="Times New Roman"/>
        </w:rPr>
        <w:t xml:space="preserve"> Ann Stoler, </w:t>
      </w:r>
      <w:r w:rsidRPr="00BE107E">
        <w:rPr>
          <w:rFonts w:ascii="Times New Roman" w:hAnsi="Times New Roman" w:cs="Times New Roman"/>
          <w:i/>
        </w:rPr>
        <w:t xml:space="preserve">Along the Archival Grain: Epistemic Anxiety and Colonial Common Sense </w:t>
      </w:r>
      <w:r w:rsidRPr="00BE107E">
        <w:rPr>
          <w:rFonts w:ascii="Times New Roman" w:hAnsi="Times New Roman" w:cs="Times New Roman"/>
        </w:rPr>
        <w:t>(Princeton: Princeton University Press, 2010)</w:t>
      </w:r>
      <w:r w:rsidR="00DB3E5E" w:rsidRPr="00BE107E">
        <w:rPr>
          <w:rFonts w:ascii="Times New Roman" w:hAnsi="Times New Roman" w:cs="Times New Roman"/>
        </w:rPr>
        <w:t>.</w:t>
      </w:r>
    </w:p>
  </w:endnote>
  <w:endnote w:id="2">
    <w:p w14:paraId="2B6F2C10" w14:textId="1A793253" w:rsidR="00DB3E5E" w:rsidRPr="00BE107E" w:rsidRDefault="00DB3E5E" w:rsidP="00DB3E5E">
      <w:pPr>
        <w:rPr>
          <w:rFonts w:ascii="Times New Roman" w:hAnsi="Times New Roman" w:cs="Times New Roman"/>
          <w:color w:val="000000" w:themeColor="text1"/>
          <w:sz w:val="20"/>
          <w:szCs w:val="20"/>
        </w:rPr>
      </w:pPr>
      <w:r w:rsidRPr="00BE107E">
        <w:rPr>
          <w:rStyle w:val="EndnoteReference"/>
          <w:rFonts w:ascii="Times New Roman" w:hAnsi="Times New Roman" w:cs="Times New Roman"/>
          <w:sz w:val="20"/>
          <w:szCs w:val="20"/>
        </w:rPr>
        <w:endnoteRef/>
      </w:r>
      <w:r w:rsidRPr="00BE107E">
        <w:rPr>
          <w:rFonts w:ascii="Times New Roman" w:hAnsi="Times New Roman" w:cs="Times New Roman"/>
          <w:sz w:val="20"/>
          <w:szCs w:val="20"/>
        </w:rPr>
        <w:t xml:space="preserve"> </w:t>
      </w:r>
      <w:r w:rsidRPr="00BE107E">
        <w:rPr>
          <w:rFonts w:ascii="Times New Roman" w:hAnsi="Times New Roman" w:cs="Times New Roman"/>
          <w:color w:val="000000" w:themeColor="text1"/>
          <w:sz w:val="20"/>
          <w:szCs w:val="20"/>
        </w:rPr>
        <w:t>Jacques Derrida,</w:t>
      </w:r>
      <w:r w:rsidR="00C52C7D" w:rsidRPr="00BE107E">
        <w:rPr>
          <w:rFonts w:ascii="Times New Roman" w:hAnsi="Times New Roman" w:cs="Times New Roman"/>
          <w:color w:val="000000" w:themeColor="text1"/>
          <w:sz w:val="20"/>
          <w:szCs w:val="20"/>
        </w:rPr>
        <w:t xml:space="preserve"> </w:t>
      </w:r>
      <w:r w:rsidRPr="00BE107E">
        <w:rPr>
          <w:rFonts w:ascii="Times New Roman" w:hAnsi="Times New Roman" w:cs="Times New Roman"/>
          <w:color w:val="000000" w:themeColor="text1"/>
          <w:sz w:val="20"/>
          <w:szCs w:val="20"/>
        </w:rPr>
        <w:t xml:space="preserve">‘Archive Fever: A Freudian Impression’. </w:t>
      </w:r>
      <w:r w:rsidRPr="00BE107E">
        <w:rPr>
          <w:rFonts w:ascii="Times New Roman" w:hAnsi="Times New Roman" w:cs="Times New Roman"/>
          <w:i/>
          <w:color w:val="000000" w:themeColor="text1"/>
          <w:sz w:val="20"/>
          <w:szCs w:val="20"/>
        </w:rPr>
        <w:t>Diacritics</w:t>
      </w:r>
      <w:r w:rsidRPr="00BE107E">
        <w:rPr>
          <w:rFonts w:ascii="Times New Roman" w:hAnsi="Times New Roman" w:cs="Times New Roman"/>
          <w:color w:val="000000" w:themeColor="text1"/>
          <w:sz w:val="20"/>
          <w:szCs w:val="20"/>
        </w:rPr>
        <w:t xml:space="preserve"> 25:2 (1995): 9–63. See also Michel Foucault, </w:t>
      </w:r>
      <w:r w:rsidRPr="00BE107E">
        <w:rPr>
          <w:rFonts w:ascii="Times New Roman" w:hAnsi="Times New Roman" w:cs="Times New Roman"/>
          <w:i/>
          <w:color w:val="000000" w:themeColor="text1"/>
          <w:sz w:val="20"/>
          <w:szCs w:val="20"/>
        </w:rPr>
        <w:t>The Archaeology of Knowledge and the Discourse on Language</w:t>
      </w:r>
      <w:r w:rsidRPr="00BE107E">
        <w:rPr>
          <w:rFonts w:ascii="Times New Roman" w:hAnsi="Times New Roman" w:cs="Times New Roman"/>
          <w:color w:val="000000" w:themeColor="text1"/>
          <w:sz w:val="20"/>
          <w:szCs w:val="20"/>
        </w:rPr>
        <w:t xml:space="preserve">, translated by Alan </w:t>
      </w:r>
      <w:r w:rsidR="00B2472F" w:rsidRPr="00BE107E">
        <w:rPr>
          <w:rFonts w:ascii="Times New Roman" w:hAnsi="Times New Roman" w:cs="Times New Roman"/>
          <w:color w:val="000000" w:themeColor="text1"/>
          <w:sz w:val="20"/>
          <w:szCs w:val="20"/>
        </w:rPr>
        <w:t>Sheridan</w:t>
      </w:r>
      <w:r w:rsidRPr="00BE107E">
        <w:rPr>
          <w:rFonts w:ascii="Times New Roman" w:hAnsi="Times New Roman" w:cs="Times New Roman"/>
          <w:color w:val="000000" w:themeColor="text1"/>
          <w:sz w:val="20"/>
          <w:szCs w:val="20"/>
        </w:rPr>
        <w:t xml:space="preserve"> (New York: Pantheon Books, 1972).</w:t>
      </w:r>
    </w:p>
  </w:endnote>
  <w:endnote w:id="3">
    <w:p w14:paraId="57768A52" w14:textId="6F4E581F" w:rsidR="00DB3E5E" w:rsidRPr="00BE107E" w:rsidRDefault="00DB3E5E">
      <w:pPr>
        <w:pStyle w:val="EndnoteText"/>
        <w:rPr>
          <w:rFonts w:ascii="Times New Roman" w:hAnsi="Times New Roman" w:cs="Times New Roman"/>
        </w:rPr>
      </w:pPr>
      <w:r w:rsidRPr="00BE107E">
        <w:rPr>
          <w:rStyle w:val="EndnoteReference"/>
          <w:rFonts w:ascii="Times New Roman" w:hAnsi="Times New Roman" w:cs="Times New Roman"/>
        </w:rPr>
        <w:endnoteRef/>
      </w:r>
      <w:r w:rsidRPr="00BE107E">
        <w:rPr>
          <w:rFonts w:ascii="Times New Roman" w:hAnsi="Times New Roman" w:cs="Times New Roman"/>
        </w:rPr>
        <w:t xml:space="preserve"> </w:t>
      </w:r>
      <w:r w:rsidRPr="00BE107E">
        <w:rPr>
          <w:rFonts w:ascii="Times New Roman" w:hAnsi="Times New Roman" w:cs="Times New Roman"/>
          <w:lang w:val="en-US"/>
        </w:rPr>
        <w:t xml:space="preserve">Jacques Rancière, </w:t>
      </w:r>
      <w:r w:rsidRPr="00BE107E">
        <w:rPr>
          <w:rFonts w:ascii="Times New Roman" w:hAnsi="Times New Roman" w:cs="Times New Roman"/>
          <w:i/>
          <w:lang w:val="en-US"/>
        </w:rPr>
        <w:t>The Politics of Aesthetics</w:t>
      </w:r>
      <w:r w:rsidRPr="00BE107E">
        <w:rPr>
          <w:rFonts w:ascii="Times New Roman" w:hAnsi="Times New Roman" w:cs="Times New Roman"/>
          <w:lang w:val="en-US"/>
        </w:rPr>
        <w:t xml:space="preserve"> (New York: Gabriel Rockhill, 2004).</w:t>
      </w:r>
    </w:p>
  </w:endnote>
  <w:endnote w:id="4">
    <w:p w14:paraId="65FAD715" w14:textId="5E95698D" w:rsidR="00DB3E5E" w:rsidRPr="00BE107E" w:rsidRDefault="00DB3E5E">
      <w:pPr>
        <w:pStyle w:val="EndnoteText"/>
        <w:rPr>
          <w:rFonts w:ascii="Times New Roman" w:hAnsi="Times New Roman" w:cs="Times New Roman"/>
        </w:rPr>
      </w:pPr>
      <w:r w:rsidRPr="00BE107E">
        <w:rPr>
          <w:rStyle w:val="EndnoteReference"/>
          <w:rFonts w:ascii="Times New Roman" w:hAnsi="Times New Roman" w:cs="Times New Roman"/>
        </w:rPr>
        <w:endnoteRef/>
      </w:r>
      <w:r w:rsidRPr="00BE107E">
        <w:rPr>
          <w:rFonts w:ascii="Times New Roman" w:hAnsi="Times New Roman" w:cs="Times New Roman"/>
        </w:rPr>
        <w:t xml:space="preserve"> Richard Goldstone, ‘Justice as a Tool for Peace–Making: Truth Commissions and International Criminal Tribunals’, </w:t>
      </w:r>
      <w:r w:rsidRPr="00BE107E">
        <w:rPr>
          <w:rFonts w:ascii="Times New Roman" w:hAnsi="Times New Roman" w:cs="Times New Roman"/>
          <w:i/>
        </w:rPr>
        <w:t>Journal of International Law and Politics</w:t>
      </w:r>
      <w:r w:rsidRPr="00BE107E">
        <w:rPr>
          <w:rFonts w:ascii="Times New Roman" w:hAnsi="Times New Roman" w:cs="Times New Roman"/>
        </w:rPr>
        <w:t>, 28 (1995), 485–504.</w:t>
      </w:r>
    </w:p>
  </w:endnote>
  <w:endnote w:id="5">
    <w:p w14:paraId="42126FC5" w14:textId="79A1C70F" w:rsidR="00DB3E5E" w:rsidRPr="00BE107E" w:rsidRDefault="00DB3E5E">
      <w:pPr>
        <w:pStyle w:val="EndnoteText"/>
        <w:rPr>
          <w:rFonts w:ascii="Times New Roman" w:hAnsi="Times New Roman" w:cs="Times New Roman"/>
        </w:rPr>
      </w:pPr>
      <w:r w:rsidRPr="00BE107E">
        <w:rPr>
          <w:rStyle w:val="EndnoteReference"/>
          <w:rFonts w:ascii="Times New Roman" w:hAnsi="Times New Roman" w:cs="Times New Roman"/>
        </w:rPr>
        <w:endnoteRef/>
      </w:r>
      <w:r w:rsidRPr="00BE107E">
        <w:rPr>
          <w:rFonts w:ascii="Times New Roman" w:hAnsi="Times New Roman" w:cs="Times New Roman"/>
        </w:rPr>
        <w:t xml:space="preserve"> The defendants were either transferred to other jurisdictions, died prior to the end of their trial, had the indictments withdrawn or their trials are ongoing – as is the case with Mladić.</w:t>
      </w:r>
    </w:p>
  </w:endnote>
  <w:endnote w:id="6">
    <w:p w14:paraId="55C7A686" w14:textId="3E98B6AC" w:rsidR="00DB3E5E" w:rsidRPr="00BE107E" w:rsidRDefault="00DB3E5E">
      <w:pPr>
        <w:pStyle w:val="EndnoteText"/>
        <w:rPr>
          <w:rFonts w:ascii="Times New Roman" w:hAnsi="Times New Roman" w:cs="Times New Roman"/>
        </w:rPr>
      </w:pPr>
      <w:r w:rsidRPr="00BE107E">
        <w:rPr>
          <w:rStyle w:val="EndnoteReference"/>
          <w:rFonts w:ascii="Times New Roman" w:hAnsi="Times New Roman" w:cs="Times New Roman"/>
        </w:rPr>
        <w:endnoteRef/>
      </w:r>
      <w:r w:rsidRPr="00BE107E">
        <w:rPr>
          <w:rFonts w:ascii="Times New Roman" w:hAnsi="Times New Roman" w:cs="Times New Roman"/>
        </w:rPr>
        <w:t xml:space="preserve"> A previous search of his wife’s home in 2008 found 5 similar notebooks.</w:t>
      </w:r>
    </w:p>
  </w:endnote>
  <w:endnote w:id="7">
    <w:p w14:paraId="475B5E39" w14:textId="41AD1297" w:rsidR="00DB3E5E" w:rsidRPr="00BE107E" w:rsidRDefault="00DB3E5E">
      <w:pPr>
        <w:pStyle w:val="EndnoteText"/>
        <w:rPr>
          <w:rFonts w:ascii="Times New Roman" w:hAnsi="Times New Roman" w:cs="Times New Roman"/>
        </w:rPr>
      </w:pPr>
      <w:r w:rsidRPr="00BE107E">
        <w:rPr>
          <w:rStyle w:val="EndnoteReference"/>
          <w:rFonts w:ascii="Times New Roman" w:hAnsi="Times New Roman" w:cs="Times New Roman"/>
        </w:rPr>
        <w:endnoteRef/>
      </w:r>
      <w:r w:rsidRPr="00BE107E">
        <w:rPr>
          <w:rFonts w:ascii="Times New Roman" w:hAnsi="Times New Roman" w:cs="Times New Roman"/>
        </w:rPr>
        <w:t xml:space="preserve"> </w:t>
      </w:r>
      <w:hyperlink r:id="rId1" w:history="1">
        <w:r w:rsidRPr="00BE107E">
          <w:rPr>
            <w:rStyle w:val="Hyperlink"/>
            <w:rFonts w:ascii="Times New Roman" w:hAnsi="Times New Roman" w:cs="Times New Roman"/>
            <w:u w:val="none"/>
          </w:rPr>
          <w:t>https://www.nytimes.com/2010/07/11/world/europe/11Mladić.html</w:t>
        </w:r>
      </w:hyperlink>
      <w:r w:rsidRPr="00BE107E">
        <w:rPr>
          <w:rFonts w:ascii="Times New Roman" w:hAnsi="Times New Roman" w:cs="Times New Roman"/>
        </w:rPr>
        <w:t xml:space="preserve">. I have (so far) found references to the notebooks in the following trials: </w:t>
      </w:r>
      <w:r w:rsidRPr="00BE107E">
        <w:rPr>
          <w:rFonts w:ascii="Times New Roman" w:hAnsi="Times New Roman" w:cs="Times New Roman"/>
          <w:i/>
        </w:rPr>
        <w:t xml:space="preserve">Prosecutor </w:t>
      </w:r>
      <w:r w:rsidRPr="00BE107E">
        <w:rPr>
          <w:rFonts w:ascii="Times New Roman" w:hAnsi="Times New Roman" w:cs="Times New Roman"/>
        </w:rPr>
        <w:t>vs.</w:t>
      </w:r>
      <w:r w:rsidRPr="00BE107E">
        <w:rPr>
          <w:rFonts w:ascii="Times New Roman" w:hAnsi="Times New Roman" w:cs="Times New Roman"/>
          <w:i/>
        </w:rPr>
        <w:t xml:space="preserve"> Karadžić</w:t>
      </w:r>
      <w:r w:rsidRPr="00BE107E">
        <w:rPr>
          <w:rFonts w:ascii="Times New Roman" w:hAnsi="Times New Roman" w:cs="Times New Roman"/>
        </w:rPr>
        <w:t xml:space="preserve">  (IT-95-5/18); </w:t>
      </w:r>
      <w:r w:rsidRPr="00BE107E">
        <w:rPr>
          <w:rFonts w:ascii="Times New Roman" w:hAnsi="Times New Roman" w:cs="Times New Roman"/>
          <w:i/>
        </w:rPr>
        <w:t xml:space="preserve">Prosecutor </w:t>
      </w:r>
      <w:r w:rsidRPr="00BE107E">
        <w:rPr>
          <w:rFonts w:ascii="Times New Roman" w:hAnsi="Times New Roman" w:cs="Times New Roman"/>
        </w:rPr>
        <w:t>vs</w:t>
      </w:r>
      <w:r w:rsidRPr="00BE107E">
        <w:rPr>
          <w:rFonts w:ascii="Times New Roman" w:hAnsi="Times New Roman" w:cs="Times New Roman"/>
          <w:i/>
        </w:rPr>
        <w:t>. Ratko Mladić</w:t>
      </w:r>
      <w:r w:rsidRPr="00BE107E">
        <w:rPr>
          <w:rFonts w:ascii="Times New Roman" w:hAnsi="Times New Roman" w:cs="Times New Roman"/>
        </w:rPr>
        <w:t xml:space="preserve"> (IT-09-92); </w:t>
      </w:r>
      <w:r w:rsidRPr="00BE107E">
        <w:rPr>
          <w:rFonts w:ascii="Times New Roman" w:hAnsi="Times New Roman" w:cs="Times New Roman"/>
          <w:i/>
        </w:rPr>
        <w:t xml:space="preserve">Prosecutor </w:t>
      </w:r>
      <w:r w:rsidRPr="00BE107E">
        <w:rPr>
          <w:rFonts w:ascii="Times New Roman" w:hAnsi="Times New Roman" w:cs="Times New Roman"/>
        </w:rPr>
        <w:t>vs</w:t>
      </w:r>
      <w:r w:rsidRPr="00BE107E">
        <w:rPr>
          <w:rFonts w:ascii="Times New Roman" w:hAnsi="Times New Roman" w:cs="Times New Roman"/>
          <w:i/>
        </w:rPr>
        <w:t>. Jovica Stanišić and Franko Simatović</w:t>
      </w:r>
      <w:r w:rsidRPr="00BE107E">
        <w:rPr>
          <w:rFonts w:ascii="Times New Roman" w:hAnsi="Times New Roman" w:cs="Times New Roman"/>
        </w:rPr>
        <w:t xml:space="preserve"> (</w:t>
      </w:r>
      <w:r w:rsidRPr="00BE107E">
        <w:rPr>
          <w:rFonts w:ascii="Times New Roman" w:hAnsi="Times New Roman" w:cs="Times New Roman"/>
          <w:bCs/>
        </w:rPr>
        <w:t>IT-03-69-T</w:t>
      </w:r>
      <w:r w:rsidRPr="00BE107E">
        <w:rPr>
          <w:rFonts w:ascii="Times New Roman" w:hAnsi="Times New Roman" w:cs="Times New Roman"/>
        </w:rPr>
        <w:t>); and</w:t>
      </w:r>
      <w:r w:rsidRPr="00BE107E">
        <w:rPr>
          <w:rFonts w:ascii="Times New Roman" w:hAnsi="Times New Roman" w:cs="Times New Roman"/>
          <w:i/>
        </w:rPr>
        <w:t xml:space="preserve"> Prosecutor </w:t>
      </w:r>
      <w:r w:rsidRPr="00BE107E">
        <w:rPr>
          <w:rFonts w:ascii="Times New Roman" w:hAnsi="Times New Roman" w:cs="Times New Roman"/>
        </w:rPr>
        <w:t>vs.</w:t>
      </w:r>
      <w:r w:rsidRPr="00BE107E">
        <w:rPr>
          <w:rFonts w:ascii="Times New Roman" w:hAnsi="Times New Roman" w:cs="Times New Roman"/>
          <w:i/>
        </w:rPr>
        <w:t xml:space="preserve"> </w:t>
      </w:r>
      <w:r w:rsidRPr="00BE107E">
        <w:rPr>
          <w:rFonts w:ascii="Times New Roman" w:hAnsi="Times New Roman" w:cs="Times New Roman"/>
          <w:bCs/>
          <w:i/>
        </w:rPr>
        <w:t xml:space="preserve">Vojislav </w:t>
      </w:r>
      <w:r w:rsidR="00B2472F" w:rsidRPr="00BE107E">
        <w:rPr>
          <w:rFonts w:ascii="Times New Roman" w:hAnsi="Times New Roman" w:cs="Times New Roman"/>
          <w:bCs/>
          <w:i/>
        </w:rPr>
        <w:t>Šešelj</w:t>
      </w:r>
      <w:r w:rsidRPr="00BE107E">
        <w:rPr>
          <w:rFonts w:ascii="Times New Roman" w:hAnsi="Times New Roman" w:cs="Times New Roman"/>
          <w:i/>
        </w:rPr>
        <w:t xml:space="preserve"> </w:t>
      </w:r>
      <w:r w:rsidRPr="00BE107E">
        <w:rPr>
          <w:rFonts w:ascii="Times New Roman" w:hAnsi="Times New Roman" w:cs="Times New Roman"/>
        </w:rPr>
        <w:t>(IT-03-67)</w:t>
      </w:r>
      <w:r w:rsidRPr="00BE107E">
        <w:rPr>
          <w:rFonts w:ascii="Times New Roman" w:hAnsi="Times New Roman" w:cs="Times New Roman"/>
          <w:bCs/>
        </w:rPr>
        <w:t>.</w:t>
      </w:r>
      <w:r w:rsidRPr="00BE107E">
        <w:rPr>
          <w:rFonts w:ascii="Times New Roman" w:hAnsi="Times New Roman" w:cs="Times New Roman"/>
        </w:rPr>
        <w:t xml:space="preserve"> </w:t>
      </w:r>
    </w:p>
  </w:endnote>
  <w:endnote w:id="8">
    <w:p w14:paraId="4845F36E" w14:textId="0291DC57" w:rsidR="00DB3E5E" w:rsidRPr="00BE107E" w:rsidRDefault="00DB3E5E">
      <w:pPr>
        <w:pStyle w:val="EndnoteText"/>
        <w:rPr>
          <w:rFonts w:ascii="Times New Roman" w:hAnsi="Times New Roman" w:cs="Times New Roman"/>
        </w:rPr>
      </w:pPr>
      <w:r w:rsidRPr="00BE107E">
        <w:rPr>
          <w:rStyle w:val="EndnoteReference"/>
          <w:rFonts w:ascii="Times New Roman" w:hAnsi="Times New Roman" w:cs="Times New Roman"/>
        </w:rPr>
        <w:endnoteRef/>
      </w:r>
      <w:r w:rsidRPr="00BE107E">
        <w:rPr>
          <w:rFonts w:ascii="Times New Roman" w:hAnsi="Times New Roman" w:cs="Times New Roman"/>
        </w:rPr>
        <w:t xml:space="preserve"> Miladinović notes that he started with a diary from 1992, the beginning of the war, with the idea of possibility of continuing with this practice in the future. Whilst the exhibit number ascribed to the diary change</w:t>
      </w:r>
      <w:r w:rsidR="00A33CCB" w:rsidRPr="00BE107E">
        <w:rPr>
          <w:rFonts w:ascii="Times New Roman" w:hAnsi="Times New Roman" w:cs="Times New Roman"/>
        </w:rPr>
        <w:t>d</w:t>
      </w:r>
      <w:r w:rsidRPr="00BE107E">
        <w:rPr>
          <w:rFonts w:ascii="Times New Roman" w:hAnsi="Times New Roman" w:cs="Times New Roman"/>
        </w:rPr>
        <w:t xml:space="preserve"> in each of these trials, in </w:t>
      </w:r>
      <w:r w:rsidRPr="00BE107E">
        <w:rPr>
          <w:rFonts w:ascii="Times New Roman" w:hAnsi="Times New Roman" w:cs="Times New Roman"/>
          <w:i/>
        </w:rPr>
        <w:t>Prosecutor</w:t>
      </w:r>
      <w:r w:rsidRPr="00BE107E">
        <w:rPr>
          <w:rFonts w:ascii="Times New Roman" w:hAnsi="Times New Roman" w:cs="Times New Roman"/>
        </w:rPr>
        <w:t xml:space="preserve"> vs</w:t>
      </w:r>
      <w:r w:rsidR="00A33CCB" w:rsidRPr="00BE107E">
        <w:rPr>
          <w:rFonts w:ascii="Times New Roman" w:hAnsi="Times New Roman" w:cs="Times New Roman"/>
        </w:rPr>
        <w:t>.</w:t>
      </w:r>
      <w:r w:rsidRPr="00BE107E">
        <w:rPr>
          <w:rFonts w:ascii="Times New Roman" w:hAnsi="Times New Roman" w:cs="Times New Roman"/>
        </w:rPr>
        <w:t xml:space="preserve"> </w:t>
      </w:r>
      <w:r w:rsidRPr="00BE107E">
        <w:rPr>
          <w:rFonts w:ascii="Times New Roman" w:hAnsi="Times New Roman" w:cs="Times New Roman"/>
          <w:i/>
        </w:rPr>
        <w:t>Mladić</w:t>
      </w:r>
      <w:r w:rsidRPr="00BE107E">
        <w:rPr>
          <w:rFonts w:ascii="Times New Roman" w:hAnsi="Times New Roman" w:cs="Times New Roman"/>
        </w:rPr>
        <w:t xml:space="preserve">, </w:t>
      </w:r>
      <w:r w:rsidR="00A33CCB" w:rsidRPr="00BE107E">
        <w:rPr>
          <w:rFonts w:ascii="Times New Roman" w:hAnsi="Times New Roman" w:cs="Times New Roman"/>
        </w:rPr>
        <w:t xml:space="preserve">this diary was </w:t>
      </w:r>
      <w:r w:rsidRPr="00BE107E">
        <w:rPr>
          <w:rFonts w:ascii="Times New Roman" w:hAnsi="Times New Roman" w:cs="Times New Roman"/>
        </w:rPr>
        <w:t>prosecution exhibit P353.</w:t>
      </w:r>
    </w:p>
  </w:endnote>
  <w:endnote w:id="9">
    <w:p w14:paraId="446C8928" w14:textId="440E19ED" w:rsidR="00DB3E5E" w:rsidRPr="00BE107E" w:rsidRDefault="00DB3E5E">
      <w:pPr>
        <w:pStyle w:val="EndnoteText"/>
        <w:rPr>
          <w:rFonts w:ascii="Times New Roman" w:hAnsi="Times New Roman" w:cs="Times New Roman"/>
        </w:rPr>
      </w:pPr>
      <w:r w:rsidRPr="00BE107E">
        <w:rPr>
          <w:rStyle w:val="EndnoteReference"/>
          <w:rFonts w:ascii="Times New Roman" w:hAnsi="Times New Roman" w:cs="Times New Roman"/>
        </w:rPr>
        <w:endnoteRef/>
      </w:r>
      <w:r w:rsidRPr="00BE107E">
        <w:rPr>
          <w:rFonts w:ascii="Times New Roman" w:hAnsi="Times New Roman" w:cs="Times New Roman"/>
        </w:rPr>
        <w:t xml:space="preserve"> See </w:t>
      </w:r>
      <w:r w:rsidR="00BE107E" w:rsidRPr="00BE107E">
        <w:rPr>
          <w:rFonts w:ascii="Times New Roman" w:hAnsi="Times New Roman" w:cs="Times New Roman"/>
        </w:rPr>
        <w:t>R</w:t>
      </w:r>
      <w:r w:rsidRPr="00BE107E">
        <w:rPr>
          <w:rFonts w:ascii="Times New Roman" w:hAnsi="Times New Roman" w:cs="Times New Roman"/>
        </w:rPr>
        <w:t>ules 3 and 89</w:t>
      </w:r>
      <w:r w:rsidR="00A33CCB" w:rsidRPr="00BE107E">
        <w:rPr>
          <w:rFonts w:ascii="Times New Roman" w:hAnsi="Times New Roman" w:cs="Times New Roman"/>
        </w:rPr>
        <w:t xml:space="preserve"> of</w:t>
      </w:r>
      <w:r w:rsidRPr="00BE107E">
        <w:rPr>
          <w:rFonts w:ascii="Times New Roman" w:hAnsi="Times New Roman" w:cs="Times New Roman"/>
        </w:rPr>
        <w:t xml:space="preserve"> ICTY Rules of Evidence and Procedure.</w:t>
      </w:r>
    </w:p>
  </w:endnote>
  <w:endnote w:id="10">
    <w:p w14:paraId="1A65B7B1" w14:textId="749FC319" w:rsidR="00DB3E5E" w:rsidRPr="00BE107E" w:rsidRDefault="00DB3E5E" w:rsidP="00A33CCB">
      <w:pPr>
        <w:pStyle w:val="NormalWeb"/>
        <w:rPr>
          <w:rFonts w:eastAsia="Times New Roman"/>
          <w:sz w:val="20"/>
          <w:szCs w:val="20"/>
        </w:rPr>
      </w:pPr>
      <w:r w:rsidRPr="00BE107E">
        <w:rPr>
          <w:rStyle w:val="EndnoteReference"/>
          <w:sz w:val="20"/>
          <w:szCs w:val="20"/>
        </w:rPr>
        <w:endnoteRef/>
      </w:r>
      <w:r w:rsidRPr="00BE107E">
        <w:rPr>
          <w:sz w:val="20"/>
          <w:szCs w:val="20"/>
        </w:rPr>
        <w:t xml:space="preserve"> In Karadžić, this matter was settled when a prosecution investigator testified as to the conditions that the notebooks were seized and transferred to the tribunal. IT-95-5/18, </w:t>
      </w:r>
      <w:r w:rsidRPr="00BE107E">
        <w:rPr>
          <w:i/>
          <w:sz w:val="20"/>
          <w:szCs w:val="20"/>
        </w:rPr>
        <w:t xml:space="preserve">Prosecutor vs. Karadžić </w:t>
      </w:r>
      <w:r w:rsidRPr="00BE107E">
        <w:rPr>
          <w:sz w:val="20"/>
          <w:szCs w:val="20"/>
        </w:rPr>
        <w:t xml:space="preserve">, </w:t>
      </w:r>
      <w:r w:rsidRPr="00BE107E">
        <w:rPr>
          <w:i/>
          <w:sz w:val="20"/>
          <w:szCs w:val="20"/>
        </w:rPr>
        <w:t>Public Transcript of Hearing dated 20 August 2010</w:t>
      </w:r>
      <w:r w:rsidRPr="00BE107E">
        <w:rPr>
          <w:sz w:val="20"/>
          <w:szCs w:val="20"/>
        </w:rPr>
        <w:t>, 20</w:t>
      </w:r>
      <w:r w:rsidR="00C52C7D" w:rsidRPr="00BE107E">
        <w:rPr>
          <w:sz w:val="20"/>
          <w:szCs w:val="20"/>
        </w:rPr>
        <w:t xml:space="preserve"> August </w:t>
      </w:r>
      <w:r w:rsidRPr="00BE107E">
        <w:rPr>
          <w:sz w:val="20"/>
          <w:szCs w:val="20"/>
        </w:rPr>
        <w:t>2010. Stanišić</w:t>
      </w:r>
      <w:r w:rsidR="00BE107E" w:rsidRPr="00BE107E">
        <w:rPr>
          <w:sz w:val="20"/>
          <w:szCs w:val="20"/>
        </w:rPr>
        <w:t>’s defence</w:t>
      </w:r>
      <w:r w:rsidRPr="00BE107E">
        <w:rPr>
          <w:sz w:val="20"/>
          <w:szCs w:val="20"/>
        </w:rPr>
        <w:t>, did introduce an expert ‘forensic witness’, David Browne, to raise doubt as to the value of the notebook. His report was, however, considered unreliable and did not affect the judge’s use of it in deciding the case.</w:t>
      </w:r>
      <w:r w:rsidR="00A33CCB" w:rsidRPr="00BE107E">
        <w:rPr>
          <w:sz w:val="20"/>
          <w:szCs w:val="20"/>
        </w:rPr>
        <w:t xml:space="preserve"> IT-03-69-T, </w:t>
      </w:r>
      <w:r w:rsidR="00A33CCB" w:rsidRPr="00BE107E">
        <w:rPr>
          <w:i/>
          <w:sz w:val="20"/>
          <w:szCs w:val="20"/>
        </w:rPr>
        <w:t>Prosecutor vs. Jovica Stanišić and Franko Simatović</w:t>
      </w:r>
      <w:r w:rsidR="00A33CCB" w:rsidRPr="00BE107E">
        <w:rPr>
          <w:bCs/>
          <w:i/>
          <w:sz w:val="20"/>
          <w:szCs w:val="20"/>
        </w:rPr>
        <w:t xml:space="preserve"> Public Redacted Version of Judgement</w:t>
      </w:r>
      <w:r w:rsidR="00A33CCB" w:rsidRPr="00BE107E">
        <w:rPr>
          <w:sz w:val="20"/>
          <w:szCs w:val="20"/>
        </w:rPr>
        <w:t xml:space="preserve">, Vol. 1, </w:t>
      </w:r>
      <w:r w:rsidR="00A33CCB" w:rsidRPr="00BE107E">
        <w:rPr>
          <w:bCs/>
          <w:sz w:val="20"/>
          <w:szCs w:val="20"/>
        </w:rPr>
        <w:t>30 May 2013</w:t>
      </w:r>
      <w:r w:rsidRPr="00BE107E">
        <w:rPr>
          <w:sz w:val="20"/>
          <w:szCs w:val="20"/>
        </w:rPr>
        <w:t>, p. 20. See also</w:t>
      </w:r>
      <w:r w:rsidR="00A33CCB" w:rsidRPr="00BE107E">
        <w:rPr>
          <w:sz w:val="20"/>
          <w:szCs w:val="20"/>
        </w:rPr>
        <w:t xml:space="preserve"> IT-03-69-T, </w:t>
      </w:r>
      <w:r w:rsidR="00A33CCB" w:rsidRPr="00BE107E">
        <w:rPr>
          <w:rFonts w:eastAsia="Times New Roman"/>
          <w:i/>
          <w:sz w:val="20"/>
          <w:szCs w:val="20"/>
        </w:rPr>
        <w:t>Decision on Prosecution Motion for Admission of Excerpts from Mladić Notebooks and Second Prosecution Notification of Excerpts From Mladić Notebooks</w:t>
      </w:r>
      <w:r w:rsidR="00A33CCB" w:rsidRPr="00BE107E">
        <w:rPr>
          <w:rFonts w:eastAsia="Times New Roman"/>
          <w:sz w:val="20"/>
          <w:szCs w:val="20"/>
        </w:rPr>
        <w:t xml:space="preserve">, </w:t>
      </w:r>
      <w:r w:rsidRPr="00BE107E">
        <w:rPr>
          <w:rFonts w:eastAsia="Times New Roman"/>
          <w:sz w:val="20"/>
          <w:szCs w:val="20"/>
        </w:rPr>
        <w:t>10 March 2011</w:t>
      </w:r>
      <w:r w:rsidR="00A33CCB" w:rsidRPr="00BE107E">
        <w:rPr>
          <w:rFonts w:eastAsia="Times New Roman"/>
          <w:sz w:val="20"/>
          <w:szCs w:val="20"/>
        </w:rPr>
        <w:t>.</w:t>
      </w:r>
    </w:p>
  </w:endnote>
  <w:endnote w:id="11">
    <w:p w14:paraId="5E6B5DFB" w14:textId="7DE70E44" w:rsidR="00DB3E5E" w:rsidRPr="00BE107E" w:rsidRDefault="00DB3E5E" w:rsidP="00C52C7D">
      <w:pPr>
        <w:pStyle w:val="NormalWeb"/>
        <w:rPr>
          <w:rFonts w:eastAsia="Times New Roman"/>
          <w:sz w:val="20"/>
          <w:szCs w:val="20"/>
        </w:rPr>
      </w:pPr>
      <w:r w:rsidRPr="00BE107E">
        <w:rPr>
          <w:rStyle w:val="EndnoteReference"/>
          <w:sz w:val="20"/>
          <w:szCs w:val="20"/>
        </w:rPr>
        <w:endnoteRef/>
      </w:r>
      <w:r w:rsidRPr="00BE107E">
        <w:rPr>
          <w:sz w:val="20"/>
          <w:szCs w:val="20"/>
        </w:rPr>
        <w:t xml:space="preserve"> </w:t>
      </w:r>
      <w:r w:rsidR="00A33CCB" w:rsidRPr="00BE107E">
        <w:rPr>
          <w:noProof/>
          <w:sz w:val="20"/>
          <w:szCs w:val="20"/>
        </w:rPr>
        <w:t xml:space="preserve"> IT-03-67-T, IT-03-67-T P51093, </w:t>
      </w:r>
      <w:r w:rsidR="00A33CCB" w:rsidRPr="00BE107E">
        <w:rPr>
          <w:i/>
          <w:sz w:val="20"/>
          <w:szCs w:val="20"/>
        </w:rPr>
        <w:t xml:space="preserve">Prosecutor </w:t>
      </w:r>
      <w:r w:rsidR="00A33CCB" w:rsidRPr="00BE107E">
        <w:rPr>
          <w:sz w:val="20"/>
          <w:szCs w:val="20"/>
        </w:rPr>
        <w:t>vs.</w:t>
      </w:r>
      <w:r w:rsidR="00A33CCB" w:rsidRPr="00BE107E">
        <w:rPr>
          <w:i/>
          <w:sz w:val="20"/>
          <w:szCs w:val="20"/>
        </w:rPr>
        <w:t xml:space="preserve"> </w:t>
      </w:r>
      <w:r w:rsidR="00A33CCB" w:rsidRPr="00BE107E">
        <w:rPr>
          <w:bCs/>
          <w:i/>
          <w:sz w:val="20"/>
          <w:szCs w:val="20"/>
        </w:rPr>
        <w:t xml:space="preserve">Vojislav </w:t>
      </w:r>
      <w:r w:rsidR="00B2472F" w:rsidRPr="00BE107E">
        <w:rPr>
          <w:bCs/>
          <w:i/>
          <w:sz w:val="20"/>
          <w:szCs w:val="20"/>
        </w:rPr>
        <w:t>Šešelj</w:t>
      </w:r>
      <w:r w:rsidR="00A33CCB" w:rsidRPr="00BE107E">
        <w:rPr>
          <w:noProof/>
          <w:sz w:val="20"/>
          <w:szCs w:val="20"/>
        </w:rPr>
        <w:t xml:space="preserve">, </w:t>
      </w:r>
      <w:r w:rsidRPr="00BE107E">
        <w:rPr>
          <w:i/>
          <w:noProof/>
          <w:sz w:val="20"/>
          <w:szCs w:val="20"/>
        </w:rPr>
        <w:t>Dorijan Kerzan: Court Expert on Document and Handwriting Analysis: Report</w:t>
      </w:r>
      <w:r w:rsidRPr="00BE107E">
        <w:rPr>
          <w:noProof/>
          <w:sz w:val="20"/>
          <w:szCs w:val="20"/>
        </w:rPr>
        <w:t>, November  2010-Janurary 2011; IT-03-67-T D37 - 1/49867</w:t>
      </w:r>
      <w:r w:rsidR="00A33CCB" w:rsidRPr="00BE107E">
        <w:rPr>
          <w:noProof/>
          <w:sz w:val="20"/>
          <w:szCs w:val="20"/>
        </w:rPr>
        <w:t xml:space="preserve">, </w:t>
      </w:r>
      <w:r w:rsidR="00A33CCB" w:rsidRPr="00BE107E">
        <w:rPr>
          <w:i/>
          <w:noProof/>
          <w:sz w:val="20"/>
          <w:szCs w:val="20"/>
        </w:rPr>
        <w:t>Decision on Prosecution’s Motion for Admission of Evidence Relating To Mladić Notebooks With A Separate Opinion From Presiding Judge Antonetti Attached</w:t>
      </w:r>
      <w:r w:rsidR="00C52C7D" w:rsidRPr="00BE107E">
        <w:rPr>
          <w:i/>
          <w:noProof/>
          <w:sz w:val="20"/>
          <w:szCs w:val="20"/>
        </w:rPr>
        <w:t>,</w:t>
      </w:r>
      <w:r w:rsidR="00C52C7D" w:rsidRPr="00BE107E">
        <w:rPr>
          <w:sz w:val="20"/>
          <w:szCs w:val="20"/>
        </w:rPr>
        <w:t xml:space="preserve"> </w:t>
      </w:r>
      <w:r w:rsidR="00C52C7D" w:rsidRPr="00BE107E">
        <w:rPr>
          <w:noProof/>
          <w:sz w:val="20"/>
          <w:szCs w:val="20"/>
        </w:rPr>
        <w:t>22 October 2010</w:t>
      </w:r>
      <w:r w:rsidRPr="00BE107E">
        <w:rPr>
          <w:noProof/>
          <w:sz w:val="20"/>
          <w:szCs w:val="20"/>
        </w:rPr>
        <w:t xml:space="preserve">; IT-03-67-T, </w:t>
      </w:r>
      <w:r w:rsidR="00A33CCB" w:rsidRPr="00BE107E">
        <w:rPr>
          <w:i/>
          <w:noProof/>
          <w:sz w:val="20"/>
          <w:szCs w:val="20"/>
        </w:rPr>
        <w:t>Decision on Admission of Expert Report Regarding The Mladić Notebooks and on Prosecution Motion for Admission of Evidence Relating to Mladić Notebooks, With Dissenting Opinion Of Presiding Judge Jean-Claude Antonetti In Annex</w:t>
      </w:r>
      <w:r w:rsidR="00A33CCB" w:rsidRPr="00BE107E">
        <w:rPr>
          <w:noProof/>
          <w:sz w:val="20"/>
          <w:szCs w:val="20"/>
        </w:rPr>
        <w:t>,</w:t>
      </w:r>
      <w:r w:rsidR="00A33CCB" w:rsidRPr="00BE107E">
        <w:rPr>
          <w:i/>
          <w:noProof/>
          <w:sz w:val="20"/>
          <w:szCs w:val="20"/>
        </w:rPr>
        <w:t xml:space="preserve"> </w:t>
      </w:r>
      <w:r w:rsidR="00A33CCB" w:rsidRPr="00BE107E">
        <w:rPr>
          <w:noProof/>
          <w:sz w:val="20"/>
          <w:szCs w:val="20"/>
        </w:rPr>
        <w:t>7 March</w:t>
      </w:r>
      <w:r w:rsidR="00C52C7D" w:rsidRPr="00BE107E">
        <w:rPr>
          <w:noProof/>
          <w:sz w:val="20"/>
          <w:szCs w:val="20"/>
        </w:rPr>
        <w:t xml:space="preserve"> </w:t>
      </w:r>
      <w:r w:rsidR="00A33CCB" w:rsidRPr="00BE107E">
        <w:rPr>
          <w:noProof/>
          <w:sz w:val="20"/>
          <w:szCs w:val="20"/>
        </w:rPr>
        <w:t>2011</w:t>
      </w:r>
    </w:p>
  </w:endnote>
  <w:endnote w:id="12">
    <w:p w14:paraId="740E22C4" w14:textId="29C760ED" w:rsidR="00DB3E5E" w:rsidRPr="00BE107E" w:rsidRDefault="00DB3E5E">
      <w:pPr>
        <w:pStyle w:val="EndnoteText"/>
        <w:rPr>
          <w:rFonts w:ascii="Times New Roman" w:hAnsi="Times New Roman" w:cs="Times New Roman"/>
        </w:rPr>
      </w:pPr>
      <w:r w:rsidRPr="00BE107E">
        <w:rPr>
          <w:rStyle w:val="EndnoteReference"/>
          <w:rFonts w:ascii="Times New Roman" w:hAnsi="Times New Roman" w:cs="Times New Roman"/>
        </w:rPr>
        <w:endnoteRef/>
      </w:r>
      <w:r w:rsidRPr="00BE107E">
        <w:rPr>
          <w:rFonts w:ascii="Times New Roman" w:hAnsi="Times New Roman" w:cs="Times New Roman"/>
        </w:rPr>
        <w:t xml:space="preserve"> IT-09-92-T, </w:t>
      </w:r>
      <w:r w:rsidR="00A33CCB" w:rsidRPr="00BE107E">
        <w:rPr>
          <w:rFonts w:ascii="Times New Roman" w:hAnsi="Times New Roman" w:cs="Times New Roman"/>
          <w:i/>
        </w:rPr>
        <w:t xml:space="preserve">Prosecutor </w:t>
      </w:r>
      <w:r w:rsidR="00A33CCB" w:rsidRPr="00BE107E">
        <w:rPr>
          <w:rFonts w:ascii="Times New Roman" w:hAnsi="Times New Roman" w:cs="Times New Roman"/>
        </w:rPr>
        <w:t>vs</w:t>
      </w:r>
      <w:r w:rsidR="00A33CCB" w:rsidRPr="00BE107E">
        <w:rPr>
          <w:rFonts w:ascii="Times New Roman" w:hAnsi="Times New Roman" w:cs="Times New Roman"/>
          <w:i/>
        </w:rPr>
        <w:t>. Ratko Mladić</w:t>
      </w:r>
      <w:r w:rsidR="00A33CCB" w:rsidRPr="00BE107E">
        <w:rPr>
          <w:rFonts w:ascii="Times New Roman" w:hAnsi="Times New Roman" w:cs="Times New Roman"/>
        </w:rPr>
        <w:t xml:space="preserve">, </w:t>
      </w:r>
      <w:r w:rsidR="00A33CCB" w:rsidRPr="00BE107E">
        <w:rPr>
          <w:rFonts w:ascii="Times New Roman" w:hAnsi="Times New Roman" w:cs="Times New Roman"/>
          <w:i/>
        </w:rPr>
        <w:t>Decision on Prosecution First Motion to Admit Evidence from the Bar Table: Mladić Notebooks</w:t>
      </w:r>
      <w:r w:rsidR="00A33CCB" w:rsidRPr="00BE107E">
        <w:rPr>
          <w:rFonts w:ascii="Times New Roman" w:hAnsi="Times New Roman" w:cs="Times New Roman"/>
        </w:rPr>
        <w:t xml:space="preserve">, </w:t>
      </w:r>
      <w:r w:rsidRPr="00BE107E">
        <w:rPr>
          <w:rFonts w:ascii="Times New Roman" w:hAnsi="Times New Roman" w:cs="Times New Roman"/>
        </w:rPr>
        <w:t>25 September 2012</w:t>
      </w:r>
      <w:r w:rsidR="00BE107E">
        <w:rPr>
          <w:rFonts w:ascii="Times New Roman" w:hAnsi="Times New Roman" w:cs="Times New Roman"/>
        </w:rPr>
        <w:t>.</w:t>
      </w:r>
    </w:p>
  </w:endnote>
  <w:endnote w:id="13">
    <w:p w14:paraId="48520629" w14:textId="10FB9D23" w:rsidR="00DB3E5E" w:rsidRPr="00BE107E" w:rsidRDefault="00DB3E5E">
      <w:pPr>
        <w:pStyle w:val="EndnoteText"/>
        <w:rPr>
          <w:rFonts w:ascii="Times New Roman" w:hAnsi="Times New Roman" w:cs="Times New Roman"/>
        </w:rPr>
      </w:pPr>
      <w:r w:rsidRPr="00BE107E">
        <w:rPr>
          <w:rStyle w:val="EndnoteReference"/>
          <w:rFonts w:ascii="Times New Roman" w:hAnsi="Times New Roman" w:cs="Times New Roman"/>
        </w:rPr>
        <w:endnoteRef/>
      </w:r>
      <w:r w:rsidRPr="00BE107E">
        <w:rPr>
          <w:rFonts w:ascii="Times New Roman" w:hAnsi="Times New Roman" w:cs="Times New Roman"/>
        </w:rPr>
        <w:t xml:space="preserve"> IT-95-5/18, </w:t>
      </w:r>
      <w:r w:rsidRPr="00BE107E">
        <w:rPr>
          <w:rFonts w:ascii="Times New Roman" w:hAnsi="Times New Roman" w:cs="Times New Roman"/>
          <w:i/>
        </w:rPr>
        <w:t xml:space="preserve">Prosecutor </w:t>
      </w:r>
      <w:r w:rsidRPr="00BE107E">
        <w:rPr>
          <w:rFonts w:ascii="Times New Roman" w:hAnsi="Times New Roman" w:cs="Times New Roman"/>
        </w:rPr>
        <w:t>vs</w:t>
      </w:r>
      <w:r w:rsidRPr="00BE107E">
        <w:rPr>
          <w:rFonts w:ascii="Times New Roman" w:hAnsi="Times New Roman" w:cs="Times New Roman"/>
          <w:i/>
        </w:rPr>
        <w:t>. Karadžić</w:t>
      </w:r>
      <w:r w:rsidRPr="00BE107E">
        <w:rPr>
          <w:rFonts w:ascii="Times New Roman" w:hAnsi="Times New Roman" w:cs="Times New Roman"/>
        </w:rPr>
        <w:t xml:space="preserve"> , </w:t>
      </w:r>
      <w:r w:rsidRPr="00BE107E">
        <w:rPr>
          <w:rFonts w:ascii="Times New Roman" w:hAnsi="Times New Roman" w:cs="Times New Roman"/>
          <w:i/>
        </w:rPr>
        <w:t>Public Transcript of Hearing dated 20 August 2010</w:t>
      </w:r>
      <w:r w:rsidRPr="00BE107E">
        <w:rPr>
          <w:rFonts w:ascii="Times New Roman" w:hAnsi="Times New Roman" w:cs="Times New Roman"/>
        </w:rPr>
        <w:t>, 20/08/2010, 45-69</w:t>
      </w:r>
    </w:p>
  </w:endnote>
  <w:endnote w:id="14">
    <w:p w14:paraId="0FCF48C8" w14:textId="475744BE" w:rsidR="00DB3E5E" w:rsidRPr="00BE107E" w:rsidRDefault="00DB3E5E">
      <w:pPr>
        <w:pStyle w:val="EndnoteText"/>
        <w:rPr>
          <w:rFonts w:ascii="Times New Roman" w:hAnsi="Times New Roman" w:cs="Times New Roman"/>
        </w:rPr>
      </w:pPr>
      <w:r w:rsidRPr="00BE107E">
        <w:rPr>
          <w:rStyle w:val="EndnoteReference"/>
          <w:rFonts w:ascii="Times New Roman" w:hAnsi="Times New Roman" w:cs="Times New Roman"/>
        </w:rPr>
        <w:endnoteRef/>
      </w:r>
      <w:r w:rsidRPr="00BE107E">
        <w:rPr>
          <w:rFonts w:ascii="Times New Roman" w:hAnsi="Times New Roman" w:cs="Times New Roman"/>
        </w:rPr>
        <w:t xml:space="preserve"> </w:t>
      </w:r>
      <w:r w:rsidRPr="00BE107E">
        <w:rPr>
          <w:rFonts w:ascii="Times New Roman" w:hAnsi="Times New Roman" w:cs="Times New Roman"/>
          <w:lang w:val="en-US"/>
        </w:rPr>
        <w:t xml:space="preserve">James White, </w:t>
      </w:r>
      <w:r w:rsidRPr="00BE107E">
        <w:rPr>
          <w:rFonts w:ascii="Times New Roman" w:hAnsi="Times New Roman" w:cs="Times New Roman"/>
          <w:i/>
          <w:lang w:val="en-US"/>
        </w:rPr>
        <w:t xml:space="preserve">Justice as Translation: </w:t>
      </w:r>
      <w:r w:rsidR="00BE107E">
        <w:rPr>
          <w:rFonts w:ascii="Times New Roman" w:hAnsi="Times New Roman" w:cs="Times New Roman"/>
          <w:i/>
          <w:lang w:val="en-US"/>
        </w:rPr>
        <w:t>A</w:t>
      </w:r>
      <w:r w:rsidRPr="00BE107E">
        <w:rPr>
          <w:rFonts w:ascii="Times New Roman" w:hAnsi="Times New Roman" w:cs="Times New Roman"/>
          <w:i/>
          <w:lang w:val="en-US"/>
        </w:rPr>
        <w:t>n Essay in Cultural and Legal Criticism</w:t>
      </w:r>
      <w:r w:rsidRPr="00BE107E">
        <w:rPr>
          <w:rFonts w:ascii="Times New Roman" w:hAnsi="Times New Roman" w:cs="Times New Roman"/>
          <w:lang w:val="en-US"/>
        </w:rPr>
        <w:t xml:space="preserve"> (Chicago: Chicago University Press, 1990)</w:t>
      </w:r>
      <w:r w:rsidRPr="00BE107E">
        <w:rPr>
          <w:rFonts w:ascii="Times New Roman" w:hAnsi="Times New Roman" w:cs="Times New Roman"/>
        </w:rPr>
        <w:t>.</w:t>
      </w:r>
    </w:p>
  </w:endnote>
  <w:endnote w:id="15">
    <w:p w14:paraId="659A84E4" w14:textId="4695B75B" w:rsidR="00DB3E5E" w:rsidRPr="00BE107E" w:rsidRDefault="00DB3E5E">
      <w:pPr>
        <w:pStyle w:val="EndnoteText"/>
        <w:rPr>
          <w:rFonts w:ascii="Times New Roman" w:hAnsi="Times New Roman" w:cs="Times New Roman"/>
        </w:rPr>
      </w:pPr>
      <w:r w:rsidRPr="00BE107E">
        <w:rPr>
          <w:rStyle w:val="EndnoteReference"/>
          <w:rFonts w:ascii="Times New Roman" w:hAnsi="Times New Roman" w:cs="Times New Roman"/>
        </w:rPr>
        <w:endnoteRef/>
      </w:r>
      <w:r w:rsidRPr="00BE107E">
        <w:rPr>
          <w:rFonts w:ascii="Times New Roman" w:hAnsi="Times New Roman" w:cs="Times New Roman"/>
        </w:rPr>
        <w:t xml:space="preserve"> The way in which the notebooks – including the one that forms the basis of </w:t>
      </w:r>
      <w:r w:rsidRPr="00BE107E">
        <w:rPr>
          <w:rFonts w:ascii="Times New Roman" w:hAnsi="Times New Roman" w:cs="Times New Roman"/>
          <w:i/>
        </w:rPr>
        <w:t>The Notebook -</w:t>
      </w:r>
      <w:r w:rsidRPr="00BE107E">
        <w:rPr>
          <w:rFonts w:ascii="Times New Roman" w:hAnsi="Times New Roman" w:cs="Times New Roman"/>
        </w:rPr>
        <w:t xml:space="preserve"> were used varied case to case, as did the frequency with which it was referenced in the judgements. </w:t>
      </w:r>
      <w:r w:rsidR="00BE107E">
        <w:rPr>
          <w:rFonts w:ascii="Times New Roman" w:hAnsi="Times New Roman" w:cs="Times New Roman"/>
        </w:rPr>
        <w:t>These were</w:t>
      </w:r>
      <w:r w:rsidRPr="00BE107E">
        <w:rPr>
          <w:rFonts w:ascii="Times New Roman" w:hAnsi="Times New Roman" w:cs="Times New Roman"/>
        </w:rPr>
        <w:t xml:space="preserve">, however, particularly significant in the prosecution of Karadžić and Mladić himself. For those interested, these can be easily found by searching for the term ‘notebook’ in these judgments. IT-95-5/18, </w:t>
      </w:r>
      <w:r w:rsidRPr="00BE107E">
        <w:rPr>
          <w:rFonts w:ascii="Times New Roman" w:hAnsi="Times New Roman" w:cs="Times New Roman"/>
          <w:i/>
        </w:rPr>
        <w:t xml:space="preserve">Prosecutor vs Karadžić </w:t>
      </w:r>
      <w:r w:rsidRPr="00BE107E">
        <w:rPr>
          <w:rFonts w:ascii="Times New Roman" w:hAnsi="Times New Roman" w:cs="Times New Roman"/>
        </w:rPr>
        <w:t xml:space="preserve">, </w:t>
      </w:r>
      <w:r w:rsidRPr="00BE107E">
        <w:rPr>
          <w:rFonts w:ascii="Times New Roman" w:hAnsi="Times New Roman" w:cs="Times New Roman"/>
          <w:bCs/>
          <w:i/>
        </w:rPr>
        <w:t>Public Redacted Version of Judgement</w:t>
      </w:r>
      <w:r w:rsidRPr="00BE107E">
        <w:rPr>
          <w:rFonts w:ascii="Times New Roman" w:hAnsi="Times New Roman" w:cs="Times New Roman"/>
          <w:bCs/>
        </w:rPr>
        <w:t>, Volume I-VIII</w:t>
      </w:r>
      <w:r w:rsidR="00C52C7D" w:rsidRPr="00BE107E">
        <w:rPr>
          <w:rFonts w:ascii="Times New Roman" w:hAnsi="Times New Roman" w:cs="Times New Roman"/>
          <w:bCs/>
        </w:rPr>
        <w:t xml:space="preserve">, </w:t>
      </w:r>
      <w:r w:rsidR="00A33CCB" w:rsidRPr="00BE107E">
        <w:rPr>
          <w:rFonts w:ascii="Times New Roman" w:hAnsi="Times New Roman" w:cs="Times New Roman"/>
          <w:bCs/>
        </w:rPr>
        <w:t>24 March 2016</w:t>
      </w:r>
      <w:r w:rsidRPr="00BE107E">
        <w:rPr>
          <w:rFonts w:ascii="Times New Roman" w:hAnsi="Times New Roman" w:cs="Times New Roman"/>
        </w:rPr>
        <w:t xml:space="preserve">; </w:t>
      </w:r>
      <w:r w:rsidR="00A33CCB" w:rsidRPr="00BE107E">
        <w:rPr>
          <w:rFonts w:ascii="Times New Roman" w:hAnsi="Times New Roman" w:cs="Times New Roman"/>
        </w:rPr>
        <w:t xml:space="preserve">IT-09-92-T, </w:t>
      </w:r>
      <w:r w:rsidR="00A33CCB" w:rsidRPr="00BE107E">
        <w:rPr>
          <w:rFonts w:ascii="Times New Roman" w:hAnsi="Times New Roman" w:cs="Times New Roman"/>
          <w:i/>
        </w:rPr>
        <w:t xml:space="preserve">Prosecutor </w:t>
      </w:r>
      <w:r w:rsidR="00A33CCB" w:rsidRPr="00BE107E">
        <w:rPr>
          <w:rFonts w:ascii="Times New Roman" w:hAnsi="Times New Roman" w:cs="Times New Roman"/>
        </w:rPr>
        <w:t>vs</w:t>
      </w:r>
      <w:r w:rsidR="00A33CCB" w:rsidRPr="00BE107E">
        <w:rPr>
          <w:rFonts w:ascii="Times New Roman" w:hAnsi="Times New Roman" w:cs="Times New Roman"/>
          <w:i/>
        </w:rPr>
        <w:t>. Ratko Mladić</w:t>
      </w:r>
      <w:r w:rsidR="00A33CCB" w:rsidRPr="00BE107E">
        <w:rPr>
          <w:rFonts w:ascii="Times New Roman" w:hAnsi="Times New Roman" w:cs="Times New Roman"/>
          <w:bCs/>
          <w:i/>
        </w:rPr>
        <w:t xml:space="preserve">, </w:t>
      </w:r>
      <w:r w:rsidRPr="00BE107E">
        <w:rPr>
          <w:rFonts w:ascii="Times New Roman" w:hAnsi="Times New Roman" w:cs="Times New Roman"/>
          <w:bCs/>
          <w:i/>
        </w:rPr>
        <w:t>Public Redacted Version of Judgement</w:t>
      </w:r>
      <w:r w:rsidR="00A33CCB" w:rsidRPr="00BE107E">
        <w:rPr>
          <w:rFonts w:ascii="Times New Roman" w:hAnsi="Times New Roman" w:cs="Times New Roman"/>
          <w:bCs/>
          <w:i/>
        </w:rPr>
        <w:t xml:space="preserve">, </w:t>
      </w:r>
      <w:r w:rsidRPr="00BE107E">
        <w:rPr>
          <w:rFonts w:ascii="Times New Roman" w:hAnsi="Times New Roman" w:cs="Times New Roman"/>
          <w:bCs/>
        </w:rPr>
        <w:t>Volume I-IV</w:t>
      </w:r>
      <w:r w:rsidR="00A33CCB" w:rsidRPr="00BE107E">
        <w:rPr>
          <w:rFonts w:ascii="Times New Roman" w:hAnsi="Times New Roman" w:cs="Times New Roman"/>
          <w:bCs/>
        </w:rPr>
        <w:t xml:space="preserve">, 24 March 2016 </w:t>
      </w:r>
      <w:r w:rsidRPr="00BE107E">
        <w:rPr>
          <w:rFonts w:ascii="Times New Roman" w:hAnsi="Times New Roman" w:cs="Times New Roman"/>
          <w:bCs/>
        </w:rPr>
        <w:t xml:space="preserve">; </w:t>
      </w:r>
      <w:r w:rsidR="00A33CCB" w:rsidRPr="00BE107E">
        <w:rPr>
          <w:rFonts w:ascii="Times New Roman" w:hAnsi="Times New Roman" w:cs="Times New Roman"/>
          <w:noProof/>
        </w:rPr>
        <w:t xml:space="preserve">IT-03-67-T, </w:t>
      </w:r>
      <w:r w:rsidR="00A33CCB" w:rsidRPr="00BE107E">
        <w:rPr>
          <w:rFonts w:ascii="Times New Roman" w:hAnsi="Times New Roman" w:cs="Times New Roman"/>
          <w:i/>
        </w:rPr>
        <w:t xml:space="preserve">Prosecutor </w:t>
      </w:r>
      <w:r w:rsidR="00A33CCB" w:rsidRPr="00BE107E">
        <w:rPr>
          <w:rFonts w:ascii="Times New Roman" w:hAnsi="Times New Roman" w:cs="Times New Roman"/>
        </w:rPr>
        <w:t>vs.</w:t>
      </w:r>
      <w:r w:rsidR="00A33CCB" w:rsidRPr="00BE107E">
        <w:rPr>
          <w:rFonts w:ascii="Times New Roman" w:hAnsi="Times New Roman" w:cs="Times New Roman"/>
          <w:i/>
        </w:rPr>
        <w:t xml:space="preserve"> </w:t>
      </w:r>
      <w:r w:rsidR="00A33CCB" w:rsidRPr="00BE107E">
        <w:rPr>
          <w:rFonts w:ascii="Times New Roman" w:hAnsi="Times New Roman" w:cs="Times New Roman"/>
          <w:bCs/>
          <w:i/>
        </w:rPr>
        <w:t xml:space="preserve">Vojislav </w:t>
      </w:r>
      <w:r w:rsidR="00B2472F" w:rsidRPr="00BE107E">
        <w:rPr>
          <w:rFonts w:ascii="Times New Roman" w:hAnsi="Times New Roman" w:cs="Times New Roman"/>
          <w:bCs/>
          <w:i/>
        </w:rPr>
        <w:t>Šešelj</w:t>
      </w:r>
      <w:r w:rsidR="00A33CCB" w:rsidRPr="00BE107E">
        <w:rPr>
          <w:rFonts w:ascii="Times New Roman" w:hAnsi="Times New Roman" w:cs="Times New Roman"/>
          <w:bCs/>
        </w:rPr>
        <w:t xml:space="preserve">, </w:t>
      </w:r>
      <w:r w:rsidR="00A33CCB" w:rsidRPr="00BE107E">
        <w:rPr>
          <w:rFonts w:ascii="Times New Roman" w:hAnsi="Times New Roman" w:cs="Times New Roman"/>
          <w:bCs/>
          <w:i/>
        </w:rPr>
        <w:t>Public Redacted Version of Judgement</w:t>
      </w:r>
      <w:r w:rsidR="00A33CCB" w:rsidRPr="00BE107E">
        <w:rPr>
          <w:rFonts w:ascii="Times New Roman" w:hAnsi="Times New Roman" w:cs="Times New Roman"/>
          <w:bCs/>
        </w:rPr>
        <w:t xml:space="preserve">, </w:t>
      </w:r>
      <w:r w:rsidRPr="00BE107E">
        <w:rPr>
          <w:rFonts w:ascii="Times New Roman" w:hAnsi="Times New Roman" w:cs="Times New Roman"/>
          <w:bCs/>
        </w:rPr>
        <w:t xml:space="preserve">31 March 2016. </w:t>
      </w:r>
      <w:r w:rsidRPr="00BE107E">
        <w:rPr>
          <w:rFonts w:ascii="Times New Roman" w:hAnsi="Times New Roman" w:cs="Times New Roman"/>
        </w:rPr>
        <w:t xml:space="preserve">The notebooks were, however, from the prosecution’s perspective, less successful in </w:t>
      </w:r>
      <w:r w:rsidRPr="00BE107E">
        <w:rPr>
          <w:rFonts w:ascii="Times New Roman" w:hAnsi="Times New Roman" w:cs="Times New Roman"/>
          <w:i/>
        </w:rPr>
        <w:t xml:space="preserve">Prosecutor </w:t>
      </w:r>
      <w:r w:rsidRPr="00BE107E">
        <w:rPr>
          <w:rFonts w:ascii="Times New Roman" w:hAnsi="Times New Roman" w:cs="Times New Roman"/>
        </w:rPr>
        <w:t>vs</w:t>
      </w:r>
      <w:r w:rsidRPr="00BE107E">
        <w:rPr>
          <w:rFonts w:ascii="Times New Roman" w:hAnsi="Times New Roman" w:cs="Times New Roman"/>
          <w:i/>
        </w:rPr>
        <w:t>. Stanišić and Simatović</w:t>
      </w:r>
      <w:r w:rsidRPr="00BE107E">
        <w:rPr>
          <w:rFonts w:ascii="Times New Roman" w:hAnsi="Times New Roman" w:cs="Times New Roman"/>
        </w:rPr>
        <w:t xml:space="preserve">. Here, the judges found that the notebooks were inconclusive as to the defendant’s role in the war and in some case added further doubt regarding the prosecution’s case. It should also be noted here that in this judgement there is no specific reference to the artefact used in </w:t>
      </w:r>
      <w:r w:rsidRPr="00BE107E">
        <w:rPr>
          <w:rFonts w:ascii="Times New Roman" w:hAnsi="Times New Roman" w:cs="Times New Roman"/>
          <w:i/>
        </w:rPr>
        <w:t xml:space="preserve">The Notebook. </w:t>
      </w:r>
      <w:r w:rsidRPr="00BE107E">
        <w:rPr>
          <w:rFonts w:ascii="Times New Roman" w:hAnsi="Times New Roman" w:cs="Times New Roman"/>
        </w:rPr>
        <w:t>IT-03-69-T,</w:t>
      </w:r>
      <w:r w:rsidR="00A33CCB" w:rsidRPr="00BE107E">
        <w:rPr>
          <w:rFonts w:ascii="Times New Roman" w:hAnsi="Times New Roman" w:cs="Times New Roman"/>
        </w:rPr>
        <w:t xml:space="preserve"> </w:t>
      </w:r>
      <w:r w:rsidR="00A33CCB" w:rsidRPr="00BE107E">
        <w:rPr>
          <w:rFonts w:ascii="Times New Roman" w:hAnsi="Times New Roman" w:cs="Times New Roman"/>
          <w:i/>
        </w:rPr>
        <w:t>Prosecutor vs. Jovica Stanišić and Franko Simatović</w:t>
      </w:r>
      <w:r w:rsidR="00A33CCB" w:rsidRPr="00BE107E">
        <w:rPr>
          <w:rFonts w:ascii="Times New Roman" w:hAnsi="Times New Roman" w:cs="Times New Roman"/>
          <w:bCs/>
          <w:i/>
        </w:rPr>
        <w:t xml:space="preserve"> Public Redacted Version of Judgement</w:t>
      </w:r>
      <w:r w:rsidRPr="00BE107E">
        <w:rPr>
          <w:rFonts w:ascii="Times New Roman" w:hAnsi="Times New Roman" w:cs="Times New Roman"/>
        </w:rPr>
        <w:t xml:space="preserve">, </w:t>
      </w:r>
      <w:r w:rsidR="00A33CCB" w:rsidRPr="00BE107E">
        <w:rPr>
          <w:rFonts w:ascii="Times New Roman" w:hAnsi="Times New Roman" w:cs="Times New Roman"/>
        </w:rPr>
        <w:t>Vol.</w:t>
      </w:r>
      <w:r w:rsidRPr="00BE107E">
        <w:rPr>
          <w:rFonts w:ascii="Times New Roman" w:hAnsi="Times New Roman" w:cs="Times New Roman"/>
        </w:rPr>
        <w:t xml:space="preserve"> 1-2, </w:t>
      </w:r>
      <w:r w:rsidRPr="00BE107E">
        <w:rPr>
          <w:rFonts w:ascii="Times New Roman" w:hAnsi="Times New Roman" w:cs="Times New Roman"/>
          <w:bCs/>
        </w:rPr>
        <w:t>30 May 2013</w:t>
      </w:r>
      <w:r w:rsidR="00A33CCB" w:rsidRPr="00BE107E">
        <w:rPr>
          <w:rFonts w:ascii="Times New Roman" w:hAnsi="Times New Roman" w:cs="Times New Roman"/>
          <w:bCs/>
        </w:rPr>
        <w:t>.</w:t>
      </w:r>
      <w:r w:rsidRPr="00BE107E">
        <w:rPr>
          <w:rFonts w:ascii="Times New Roman" w:hAnsi="Times New Roman" w:cs="Times New Roman"/>
          <w:bCs/>
        </w:rPr>
        <w:t xml:space="preserve"> </w:t>
      </w:r>
    </w:p>
  </w:endnote>
  <w:endnote w:id="16">
    <w:p w14:paraId="4199C6E8" w14:textId="1A75BE23" w:rsidR="00DB3E5E" w:rsidRPr="00BE107E" w:rsidRDefault="00DB3E5E">
      <w:pPr>
        <w:pStyle w:val="EndnoteText"/>
        <w:rPr>
          <w:rFonts w:ascii="Times New Roman" w:hAnsi="Times New Roman" w:cs="Times New Roman"/>
        </w:rPr>
      </w:pPr>
      <w:r w:rsidRPr="00BE107E">
        <w:rPr>
          <w:rStyle w:val="EndnoteReference"/>
          <w:rFonts w:ascii="Times New Roman" w:hAnsi="Times New Roman" w:cs="Times New Roman"/>
        </w:rPr>
        <w:endnoteRef/>
      </w:r>
      <w:r w:rsidRPr="00BE107E">
        <w:rPr>
          <w:rFonts w:ascii="Times New Roman" w:hAnsi="Times New Roman" w:cs="Times New Roman"/>
        </w:rPr>
        <w:t xml:space="preserve"> A similar concept emerges in the work of W T Mitchell</w:t>
      </w:r>
      <w:r w:rsidR="00BE107E">
        <w:rPr>
          <w:rFonts w:ascii="Times New Roman" w:hAnsi="Times New Roman" w:cs="Times New Roman"/>
        </w:rPr>
        <w:t xml:space="preserve">, </w:t>
      </w:r>
      <w:r w:rsidRPr="00BE107E">
        <w:rPr>
          <w:rFonts w:ascii="Times New Roman" w:hAnsi="Times New Roman" w:cs="Times New Roman"/>
          <w:i/>
          <w:lang w:val="en-US"/>
        </w:rPr>
        <w:t>Picture Theory: Essays on Verbal and Visual Representation</w:t>
      </w:r>
      <w:r w:rsidR="00BE107E">
        <w:rPr>
          <w:rFonts w:ascii="Times New Roman" w:hAnsi="Times New Roman" w:cs="Times New Roman"/>
          <w:lang w:val="en-US"/>
        </w:rPr>
        <w:t xml:space="preserve"> (</w:t>
      </w:r>
      <w:r w:rsidRPr="00BE107E">
        <w:rPr>
          <w:rFonts w:ascii="Times New Roman" w:hAnsi="Times New Roman" w:cs="Times New Roman"/>
          <w:lang w:val="en-US"/>
        </w:rPr>
        <w:t>Chicago: The University of Chicago Press</w:t>
      </w:r>
      <w:r w:rsidR="00BE107E">
        <w:rPr>
          <w:rFonts w:ascii="Times New Roman" w:hAnsi="Times New Roman" w:cs="Times New Roman"/>
          <w:lang w:val="en-US"/>
        </w:rPr>
        <w:t xml:space="preserve">, 1994). </w:t>
      </w:r>
    </w:p>
  </w:endnote>
  <w:endnote w:id="17">
    <w:p w14:paraId="6AD5BCB2" w14:textId="56C2F3BE" w:rsidR="00DB3E5E" w:rsidRPr="00BE107E" w:rsidRDefault="00DB3E5E">
      <w:pPr>
        <w:pStyle w:val="EndnoteText"/>
        <w:rPr>
          <w:rFonts w:ascii="Times New Roman" w:hAnsi="Times New Roman" w:cs="Times New Roman"/>
        </w:rPr>
      </w:pPr>
      <w:r w:rsidRPr="00BE107E">
        <w:rPr>
          <w:rStyle w:val="EndnoteReference"/>
          <w:rFonts w:ascii="Times New Roman" w:hAnsi="Times New Roman" w:cs="Times New Roman"/>
        </w:rPr>
        <w:endnoteRef/>
      </w:r>
      <w:r w:rsidRPr="00BE107E">
        <w:rPr>
          <w:rFonts w:ascii="Times New Roman" w:hAnsi="Times New Roman" w:cs="Times New Roman"/>
        </w:rPr>
        <w:t xml:space="preserve"> Didi-Huberman, Georges. </w:t>
      </w:r>
      <w:r w:rsidRPr="00BE107E">
        <w:rPr>
          <w:rFonts w:ascii="Times New Roman" w:hAnsi="Times New Roman" w:cs="Times New Roman"/>
          <w:i/>
          <w:iCs/>
        </w:rPr>
        <w:t>Images in spite of all: four photographs from Auschwitz</w:t>
      </w:r>
      <w:r w:rsidR="007B6DF8">
        <w:rPr>
          <w:rFonts w:ascii="Times New Roman" w:hAnsi="Times New Roman" w:cs="Times New Roman"/>
        </w:rPr>
        <w:t xml:space="preserve"> (Chicago: </w:t>
      </w:r>
      <w:r w:rsidRPr="00BE107E">
        <w:rPr>
          <w:rFonts w:ascii="Times New Roman" w:hAnsi="Times New Roman" w:cs="Times New Roman"/>
        </w:rPr>
        <w:t>University of Chicago Press, 200</w:t>
      </w:r>
      <w:r w:rsidR="007B6DF8">
        <w:rPr>
          <w:rFonts w:ascii="Times New Roman" w:hAnsi="Times New Roman" w:cs="Times New Roman"/>
        </w:rPr>
        <w:t xml:space="preserve">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5938174"/>
      <w:docPartObj>
        <w:docPartGallery w:val="Page Numbers (Bottom of Page)"/>
        <w:docPartUnique/>
      </w:docPartObj>
    </w:sdtPr>
    <w:sdtEndPr>
      <w:rPr>
        <w:rStyle w:val="PageNumber"/>
      </w:rPr>
    </w:sdtEndPr>
    <w:sdtContent>
      <w:p w14:paraId="4F255A39" w14:textId="7A9F0062" w:rsidR="00426AE7" w:rsidRDefault="00426AE7" w:rsidP="00426A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A54137" w14:textId="77777777" w:rsidR="00426AE7" w:rsidRDefault="00426AE7" w:rsidP="007B46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1710628"/>
      <w:docPartObj>
        <w:docPartGallery w:val="Page Numbers (Bottom of Page)"/>
        <w:docPartUnique/>
      </w:docPartObj>
    </w:sdtPr>
    <w:sdtEndPr>
      <w:rPr>
        <w:rStyle w:val="PageNumber"/>
      </w:rPr>
    </w:sdtEndPr>
    <w:sdtContent>
      <w:p w14:paraId="06941DBC" w14:textId="342F3A70" w:rsidR="00426AE7" w:rsidRDefault="00426AE7" w:rsidP="00426A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663D">
          <w:rPr>
            <w:rStyle w:val="PageNumber"/>
            <w:noProof/>
          </w:rPr>
          <w:t>4</w:t>
        </w:r>
        <w:r>
          <w:rPr>
            <w:rStyle w:val="PageNumber"/>
          </w:rPr>
          <w:fldChar w:fldCharType="end"/>
        </w:r>
      </w:p>
    </w:sdtContent>
  </w:sdt>
  <w:p w14:paraId="3D2FE91B" w14:textId="77777777" w:rsidR="00426AE7" w:rsidRDefault="00426AE7" w:rsidP="007B463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BEFA0" w14:textId="77777777" w:rsidR="00426AE7" w:rsidRDefault="00426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C67A3" w14:textId="77777777" w:rsidR="00313190" w:rsidRDefault="00313190" w:rsidP="00CB1533">
      <w:r>
        <w:separator/>
      </w:r>
    </w:p>
  </w:footnote>
  <w:footnote w:type="continuationSeparator" w:id="0">
    <w:p w14:paraId="5D9B0DFA" w14:textId="77777777" w:rsidR="00313190" w:rsidRDefault="00313190" w:rsidP="00CB1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3ACD" w14:textId="77777777" w:rsidR="00426AE7" w:rsidRDefault="00426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69458" w14:textId="77777777" w:rsidR="00426AE7" w:rsidRDefault="00426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F1D7E" w14:textId="77777777" w:rsidR="00426AE7" w:rsidRDefault="00426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E6CCA"/>
    <w:multiLevelType w:val="hybridMultilevel"/>
    <w:tmpl w:val="9E386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37E06"/>
    <w:multiLevelType w:val="hybridMultilevel"/>
    <w:tmpl w:val="104C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86025"/>
    <w:multiLevelType w:val="hybridMultilevel"/>
    <w:tmpl w:val="6846A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CC4"/>
    <w:rsid w:val="00003457"/>
    <w:rsid w:val="00003902"/>
    <w:rsid w:val="00016CB3"/>
    <w:rsid w:val="00030986"/>
    <w:rsid w:val="00034B56"/>
    <w:rsid w:val="00041998"/>
    <w:rsid w:val="00050520"/>
    <w:rsid w:val="000571BD"/>
    <w:rsid w:val="000639BF"/>
    <w:rsid w:val="00070A73"/>
    <w:rsid w:val="000814FA"/>
    <w:rsid w:val="00090E47"/>
    <w:rsid w:val="000A15D5"/>
    <w:rsid w:val="000A3FF9"/>
    <w:rsid w:val="000C70DD"/>
    <w:rsid w:val="000D0F27"/>
    <w:rsid w:val="000E0B3F"/>
    <w:rsid w:val="000E3BA4"/>
    <w:rsid w:val="000F4138"/>
    <w:rsid w:val="00112893"/>
    <w:rsid w:val="0011539A"/>
    <w:rsid w:val="00120BDA"/>
    <w:rsid w:val="001439FB"/>
    <w:rsid w:val="00147090"/>
    <w:rsid w:val="00162B37"/>
    <w:rsid w:val="001643D8"/>
    <w:rsid w:val="00167C6C"/>
    <w:rsid w:val="00182387"/>
    <w:rsid w:val="001857A8"/>
    <w:rsid w:val="00185B57"/>
    <w:rsid w:val="00192602"/>
    <w:rsid w:val="001A4529"/>
    <w:rsid w:val="001A56A6"/>
    <w:rsid w:val="001A5FA6"/>
    <w:rsid w:val="001B1FDB"/>
    <w:rsid w:val="001B3E0E"/>
    <w:rsid w:val="001B6C77"/>
    <w:rsid w:val="001C19BA"/>
    <w:rsid w:val="001D61F1"/>
    <w:rsid w:val="001E4965"/>
    <w:rsid w:val="001F3586"/>
    <w:rsid w:val="00220BDE"/>
    <w:rsid w:val="00222250"/>
    <w:rsid w:val="00224B36"/>
    <w:rsid w:val="0028718A"/>
    <w:rsid w:val="00291B80"/>
    <w:rsid w:val="002A25E9"/>
    <w:rsid w:val="002B3A6E"/>
    <w:rsid w:val="002C045A"/>
    <w:rsid w:val="002E12A1"/>
    <w:rsid w:val="002E2126"/>
    <w:rsid w:val="002E3955"/>
    <w:rsid w:val="002E57E9"/>
    <w:rsid w:val="002F3F65"/>
    <w:rsid w:val="003023ED"/>
    <w:rsid w:val="00305A64"/>
    <w:rsid w:val="00313190"/>
    <w:rsid w:val="00315880"/>
    <w:rsid w:val="0032558C"/>
    <w:rsid w:val="0033108C"/>
    <w:rsid w:val="003353A0"/>
    <w:rsid w:val="0034064F"/>
    <w:rsid w:val="003659BF"/>
    <w:rsid w:val="00365AED"/>
    <w:rsid w:val="00374BE8"/>
    <w:rsid w:val="003970CC"/>
    <w:rsid w:val="003A51B2"/>
    <w:rsid w:val="003C0A94"/>
    <w:rsid w:val="003D0BAB"/>
    <w:rsid w:val="003E116F"/>
    <w:rsid w:val="003F41FB"/>
    <w:rsid w:val="0042427D"/>
    <w:rsid w:val="00426AE7"/>
    <w:rsid w:val="004370F4"/>
    <w:rsid w:val="0044663D"/>
    <w:rsid w:val="00463973"/>
    <w:rsid w:val="00472C91"/>
    <w:rsid w:val="00474090"/>
    <w:rsid w:val="00482ECC"/>
    <w:rsid w:val="004937A7"/>
    <w:rsid w:val="004A19C4"/>
    <w:rsid w:val="004A4722"/>
    <w:rsid w:val="004A5696"/>
    <w:rsid w:val="004B19DA"/>
    <w:rsid w:val="004B46B6"/>
    <w:rsid w:val="004C0783"/>
    <w:rsid w:val="004C718F"/>
    <w:rsid w:val="004D355A"/>
    <w:rsid w:val="004D4EB3"/>
    <w:rsid w:val="004F4D67"/>
    <w:rsid w:val="005072B9"/>
    <w:rsid w:val="00512BAB"/>
    <w:rsid w:val="005574D5"/>
    <w:rsid w:val="00560605"/>
    <w:rsid w:val="005A27BB"/>
    <w:rsid w:val="005B4602"/>
    <w:rsid w:val="005B7A98"/>
    <w:rsid w:val="005C0B74"/>
    <w:rsid w:val="005C18E4"/>
    <w:rsid w:val="005C49CF"/>
    <w:rsid w:val="005C4A63"/>
    <w:rsid w:val="005D0377"/>
    <w:rsid w:val="005D4C06"/>
    <w:rsid w:val="005E11E2"/>
    <w:rsid w:val="005F24C7"/>
    <w:rsid w:val="00623637"/>
    <w:rsid w:val="00633089"/>
    <w:rsid w:val="00665F29"/>
    <w:rsid w:val="0067264A"/>
    <w:rsid w:val="006743B5"/>
    <w:rsid w:val="00692C27"/>
    <w:rsid w:val="006A063F"/>
    <w:rsid w:val="006A7F56"/>
    <w:rsid w:val="006B255F"/>
    <w:rsid w:val="006B48B2"/>
    <w:rsid w:val="006B7682"/>
    <w:rsid w:val="006D1949"/>
    <w:rsid w:val="006D772A"/>
    <w:rsid w:val="006E6E34"/>
    <w:rsid w:val="006F0BC1"/>
    <w:rsid w:val="006F7F2A"/>
    <w:rsid w:val="00722564"/>
    <w:rsid w:val="00724380"/>
    <w:rsid w:val="00724EE7"/>
    <w:rsid w:val="007350B6"/>
    <w:rsid w:val="007375B8"/>
    <w:rsid w:val="00767B13"/>
    <w:rsid w:val="007860AF"/>
    <w:rsid w:val="007900DC"/>
    <w:rsid w:val="00793DCF"/>
    <w:rsid w:val="007948B0"/>
    <w:rsid w:val="007A250E"/>
    <w:rsid w:val="007A7DC7"/>
    <w:rsid w:val="007B0E34"/>
    <w:rsid w:val="007B463B"/>
    <w:rsid w:val="007B6DF8"/>
    <w:rsid w:val="007D6185"/>
    <w:rsid w:val="007E241E"/>
    <w:rsid w:val="007F78B3"/>
    <w:rsid w:val="0081004B"/>
    <w:rsid w:val="00815F54"/>
    <w:rsid w:val="008262C8"/>
    <w:rsid w:val="00851145"/>
    <w:rsid w:val="00862364"/>
    <w:rsid w:val="008837DD"/>
    <w:rsid w:val="00883D81"/>
    <w:rsid w:val="008909B1"/>
    <w:rsid w:val="008A13FC"/>
    <w:rsid w:val="008A552F"/>
    <w:rsid w:val="008B299A"/>
    <w:rsid w:val="008D1CC4"/>
    <w:rsid w:val="008D7DA9"/>
    <w:rsid w:val="008E55EE"/>
    <w:rsid w:val="008E65DD"/>
    <w:rsid w:val="0091346F"/>
    <w:rsid w:val="00920BF5"/>
    <w:rsid w:val="00923BB5"/>
    <w:rsid w:val="009273DA"/>
    <w:rsid w:val="00932C81"/>
    <w:rsid w:val="009457D0"/>
    <w:rsid w:val="00961DDD"/>
    <w:rsid w:val="00966E47"/>
    <w:rsid w:val="00971B00"/>
    <w:rsid w:val="0098004E"/>
    <w:rsid w:val="0098045D"/>
    <w:rsid w:val="00982E07"/>
    <w:rsid w:val="009914B8"/>
    <w:rsid w:val="00991782"/>
    <w:rsid w:val="009970E1"/>
    <w:rsid w:val="009A1F8A"/>
    <w:rsid w:val="009A6415"/>
    <w:rsid w:val="009C33F4"/>
    <w:rsid w:val="009C5587"/>
    <w:rsid w:val="009D5B0E"/>
    <w:rsid w:val="009F5E04"/>
    <w:rsid w:val="00A16AE2"/>
    <w:rsid w:val="00A22E76"/>
    <w:rsid w:val="00A316BF"/>
    <w:rsid w:val="00A33CCB"/>
    <w:rsid w:val="00A449EA"/>
    <w:rsid w:val="00A60586"/>
    <w:rsid w:val="00A60F1C"/>
    <w:rsid w:val="00A839FA"/>
    <w:rsid w:val="00A878CD"/>
    <w:rsid w:val="00A97DC9"/>
    <w:rsid w:val="00AA0337"/>
    <w:rsid w:val="00AA29C1"/>
    <w:rsid w:val="00AC08E4"/>
    <w:rsid w:val="00AC434D"/>
    <w:rsid w:val="00AE074A"/>
    <w:rsid w:val="00AE2BE7"/>
    <w:rsid w:val="00AE4181"/>
    <w:rsid w:val="00AE7551"/>
    <w:rsid w:val="00AF7F88"/>
    <w:rsid w:val="00B21B12"/>
    <w:rsid w:val="00B2472F"/>
    <w:rsid w:val="00B50421"/>
    <w:rsid w:val="00B52ACC"/>
    <w:rsid w:val="00B53A96"/>
    <w:rsid w:val="00B620AF"/>
    <w:rsid w:val="00B7088E"/>
    <w:rsid w:val="00B709EA"/>
    <w:rsid w:val="00B8185D"/>
    <w:rsid w:val="00BA19EA"/>
    <w:rsid w:val="00BA333F"/>
    <w:rsid w:val="00BE0C75"/>
    <w:rsid w:val="00BE107E"/>
    <w:rsid w:val="00BF7BCE"/>
    <w:rsid w:val="00C10F53"/>
    <w:rsid w:val="00C23134"/>
    <w:rsid w:val="00C2686F"/>
    <w:rsid w:val="00C26D36"/>
    <w:rsid w:val="00C30343"/>
    <w:rsid w:val="00C37AFB"/>
    <w:rsid w:val="00C52C7D"/>
    <w:rsid w:val="00C538D9"/>
    <w:rsid w:val="00C569E1"/>
    <w:rsid w:val="00C64C02"/>
    <w:rsid w:val="00C828A1"/>
    <w:rsid w:val="00C9144C"/>
    <w:rsid w:val="00CB1533"/>
    <w:rsid w:val="00CB3CB8"/>
    <w:rsid w:val="00CB7012"/>
    <w:rsid w:val="00CC0493"/>
    <w:rsid w:val="00CD396B"/>
    <w:rsid w:val="00CD5CDB"/>
    <w:rsid w:val="00CD65E2"/>
    <w:rsid w:val="00CE1D93"/>
    <w:rsid w:val="00CE64A4"/>
    <w:rsid w:val="00CE7897"/>
    <w:rsid w:val="00D04830"/>
    <w:rsid w:val="00D13258"/>
    <w:rsid w:val="00D34272"/>
    <w:rsid w:val="00D366D0"/>
    <w:rsid w:val="00D56D09"/>
    <w:rsid w:val="00D60232"/>
    <w:rsid w:val="00D7013A"/>
    <w:rsid w:val="00D75DF3"/>
    <w:rsid w:val="00D77C11"/>
    <w:rsid w:val="00D92E41"/>
    <w:rsid w:val="00D95C1D"/>
    <w:rsid w:val="00DA01B4"/>
    <w:rsid w:val="00DA6707"/>
    <w:rsid w:val="00DB32C8"/>
    <w:rsid w:val="00DB3E5E"/>
    <w:rsid w:val="00DC21EF"/>
    <w:rsid w:val="00DC7C50"/>
    <w:rsid w:val="00DD7D0D"/>
    <w:rsid w:val="00DE0CD6"/>
    <w:rsid w:val="00DE69D8"/>
    <w:rsid w:val="00DE7894"/>
    <w:rsid w:val="00E04547"/>
    <w:rsid w:val="00E10453"/>
    <w:rsid w:val="00E153F7"/>
    <w:rsid w:val="00E20B56"/>
    <w:rsid w:val="00E34DF0"/>
    <w:rsid w:val="00E379C4"/>
    <w:rsid w:val="00E43DE7"/>
    <w:rsid w:val="00E44621"/>
    <w:rsid w:val="00E47E17"/>
    <w:rsid w:val="00E85B62"/>
    <w:rsid w:val="00EA253D"/>
    <w:rsid w:val="00EA4614"/>
    <w:rsid w:val="00EB5E0C"/>
    <w:rsid w:val="00ED2A18"/>
    <w:rsid w:val="00ED718E"/>
    <w:rsid w:val="00EE0F98"/>
    <w:rsid w:val="00EE3157"/>
    <w:rsid w:val="00EF02C7"/>
    <w:rsid w:val="00F3417A"/>
    <w:rsid w:val="00F4361A"/>
    <w:rsid w:val="00F61266"/>
    <w:rsid w:val="00F6722E"/>
    <w:rsid w:val="00F76A42"/>
    <w:rsid w:val="00F92795"/>
    <w:rsid w:val="00FB6ED6"/>
    <w:rsid w:val="00FC77A9"/>
    <w:rsid w:val="00FD5076"/>
    <w:rsid w:val="00FD778F"/>
    <w:rsid w:val="00FD7E03"/>
    <w:rsid w:val="00FE046C"/>
    <w:rsid w:val="00FE5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44179"/>
  <w15:chartTrackingRefBased/>
  <w15:docId w15:val="{A9E8E0CD-73AC-A44C-9860-E34DE254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0C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0C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6E4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602"/>
    <w:rPr>
      <w:color w:val="0563C1" w:themeColor="hyperlink"/>
      <w:u w:val="single"/>
    </w:rPr>
  </w:style>
  <w:style w:type="character" w:customStyle="1" w:styleId="UnresolvedMention1">
    <w:name w:val="Unresolved Mention1"/>
    <w:basedOn w:val="DefaultParagraphFont"/>
    <w:uiPriority w:val="99"/>
    <w:semiHidden/>
    <w:unhideWhenUsed/>
    <w:rsid w:val="005B4602"/>
    <w:rPr>
      <w:color w:val="605E5C"/>
      <w:shd w:val="clear" w:color="auto" w:fill="E1DFDD"/>
    </w:rPr>
  </w:style>
  <w:style w:type="paragraph" w:styleId="ListParagraph">
    <w:name w:val="List Paragraph"/>
    <w:basedOn w:val="Normal"/>
    <w:uiPriority w:val="34"/>
    <w:qFormat/>
    <w:rsid w:val="00C30343"/>
    <w:pPr>
      <w:ind w:left="720"/>
      <w:contextualSpacing/>
    </w:pPr>
  </w:style>
  <w:style w:type="paragraph" w:styleId="Title">
    <w:name w:val="Title"/>
    <w:basedOn w:val="Normal"/>
    <w:next w:val="Normal"/>
    <w:link w:val="TitleChar"/>
    <w:uiPriority w:val="10"/>
    <w:qFormat/>
    <w:rsid w:val="00BE0C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C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E0C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0C75"/>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CB1533"/>
    <w:rPr>
      <w:sz w:val="20"/>
      <w:szCs w:val="20"/>
    </w:rPr>
  </w:style>
  <w:style w:type="character" w:customStyle="1" w:styleId="FootnoteTextChar">
    <w:name w:val="Footnote Text Char"/>
    <w:basedOn w:val="DefaultParagraphFont"/>
    <w:link w:val="FootnoteText"/>
    <w:uiPriority w:val="99"/>
    <w:rsid w:val="00CB1533"/>
    <w:rPr>
      <w:sz w:val="20"/>
      <w:szCs w:val="20"/>
    </w:rPr>
  </w:style>
  <w:style w:type="character" w:styleId="FootnoteReference">
    <w:name w:val="footnote reference"/>
    <w:basedOn w:val="DefaultParagraphFont"/>
    <w:uiPriority w:val="99"/>
    <w:semiHidden/>
    <w:unhideWhenUsed/>
    <w:rsid w:val="00CB1533"/>
    <w:rPr>
      <w:vertAlign w:val="superscript"/>
    </w:rPr>
  </w:style>
  <w:style w:type="paragraph" w:styleId="Subtitle">
    <w:name w:val="Subtitle"/>
    <w:basedOn w:val="Normal"/>
    <w:next w:val="Normal"/>
    <w:link w:val="SubtitleChar"/>
    <w:uiPriority w:val="11"/>
    <w:qFormat/>
    <w:rsid w:val="009914B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914B8"/>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1B1FDB"/>
    <w:rPr>
      <w:color w:val="954F72" w:themeColor="followedHyperlink"/>
      <w:u w:val="single"/>
    </w:rPr>
  </w:style>
  <w:style w:type="character" w:customStyle="1" w:styleId="Heading3Char">
    <w:name w:val="Heading 3 Char"/>
    <w:basedOn w:val="DefaultParagraphFont"/>
    <w:link w:val="Heading3"/>
    <w:uiPriority w:val="9"/>
    <w:semiHidden/>
    <w:rsid w:val="00966E47"/>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5D4C06"/>
    <w:pPr>
      <w:tabs>
        <w:tab w:val="center" w:pos="4680"/>
        <w:tab w:val="right" w:pos="9360"/>
      </w:tabs>
    </w:pPr>
  </w:style>
  <w:style w:type="character" w:customStyle="1" w:styleId="HeaderChar">
    <w:name w:val="Header Char"/>
    <w:basedOn w:val="DefaultParagraphFont"/>
    <w:link w:val="Header"/>
    <w:uiPriority w:val="99"/>
    <w:rsid w:val="005D4C06"/>
  </w:style>
  <w:style w:type="paragraph" w:styleId="Footer">
    <w:name w:val="footer"/>
    <w:basedOn w:val="Normal"/>
    <w:link w:val="FooterChar"/>
    <w:uiPriority w:val="99"/>
    <w:unhideWhenUsed/>
    <w:rsid w:val="005D4C06"/>
    <w:pPr>
      <w:tabs>
        <w:tab w:val="center" w:pos="4680"/>
        <w:tab w:val="right" w:pos="9360"/>
      </w:tabs>
    </w:pPr>
  </w:style>
  <w:style w:type="character" w:customStyle="1" w:styleId="FooterChar">
    <w:name w:val="Footer Char"/>
    <w:basedOn w:val="DefaultParagraphFont"/>
    <w:link w:val="Footer"/>
    <w:uiPriority w:val="99"/>
    <w:rsid w:val="005D4C06"/>
  </w:style>
  <w:style w:type="character" w:styleId="PageNumber">
    <w:name w:val="page number"/>
    <w:basedOn w:val="DefaultParagraphFont"/>
    <w:uiPriority w:val="99"/>
    <w:semiHidden/>
    <w:unhideWhenUsed/>
    <w:rsid w:val="007B463B"/>
  </w:style>
  <w:style w:type="character" w:styleId="CommentReference">
    <w:name w:val="annotation reference"/>
    <w:basedOn w:val="DefaultParagraphFont"/>
    <w:uiPriority w:val="99"/>
    <w:semiHidden/>
    <w:unhideWhenUsed/>
    <w:rsid w:val="00041998"/>
    <w:rPr>
      <w:sz w:val="16"/>
      <w:szCs w:val="16"/>
    </w:rPr>
  </w:style>
  <w:style w:type="paragraph" w:styleId="CommentText">
    <w:name w:val="annotation text"/>
    <w:basedOn w:val="Normal"/>
    <w:link w:val="CommentTextChar"/>
    <w:uiPriority w:val="99"/>
    <w:semiHidden/>
    <w:unhideWhenUsed/>
    <w:rsid w:val="00041998"/>
    <w:rPr>
      <w:sz w:val="20"/>
      <w:szCs w:val="20"/>
    </w:rPr>
  </w:style>
  <w:style w:type="character" w:customStyle="1" w:styleId="CommentTextChar">
    <w:name w:val="Comment Text Char"/>
    <w:basedOn w:val="DefaultParagraphFont"/>
    <w:link w:val="CommentText"/>
    <w:uiPriority w:val="99"/>
    <w:semiHidden/>
    <w:rsid w:val="00041998"/>
    <w:rPr>
      <w:sz w:val="20"/>
      <w:szCs w:val="20"/>
    </w:rPr>
  </w:style>
  <w:style w:type="paragraph" w:styleId="CommentSubject">
    <w:name w:val="annotation subject"/>
    <w:basedOn w:val="CommentText"/>
    <w:next w:val="CommentText"/>
    <w:link w:val="CommentSubjectChar"/>
    <w:uiPriority w:val="99"/>
    <w:semiHidden/>
    <w:unhideWhenUsed/>
    <w:rsid w:val="00041998"/>
    <w:rPr>
      <w:b/>
      <w:bCs/>
    </w:rPr>
  </w:style>
  <w:style w:type="character" w:customStyle="1" w:styleId="CommentSubjectChar">
    <w:name w:val="Comment Subject Char"/>
    <w:basedOn w:val="CommentTextChar"/>
    <w:link w:val="CommentSubject"/>
    <w:uiPriority w:val="99"/>
    <w:semiHidden/>
    <w:rsid w:val="00041998"/>
    <w:rPr>
      <w:b/>
      <w:bCs/>
      <w:sz w:val="20"/>
      <w:szCs w:val="20"/>
    </w:rPr>
  </w:style>
  <w:style w:type="paragraph" w:styleId="BalloonText">
    <w:name w:val="Balloon Text"/>
    <w:basedOn w:val="Normal"/>
    <w:link w:val="BalloonTextChar"/>
    <w:uiPriority w:val="99"/>
    <w:semiHidden/>
    <w:unhideWhenUsed/>
    <w:rsid w:val="000419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1998"/>
    <w:rPr>
      <w:rFonts w:ascii="Times New Roman" w:hAnsi="Times New Roman" w:cs="Times New Roman"/>
      <w:sz w:val="18"/>
      <w:szCs w:val="18"/>
    </w:rPr>
  </w:style>
  <w:style w:type="character" w:customStyle="1" w:styleId="UnresolvedMention2">
    <w:name w:val="Unresolved Mention2"/>
    <w:basedOn w:val="DefaultParagraphFont"/>
    <w:uiPriority w:val="99"/>
    <w:rsid w:val="00D13258"/>
    <w:rPr>
      <w:color w:val="605E5C"/>
      <w:shd w:val="clear" w:color="auto" w:fill="E1DFDD"/>
    </w:rPr>
  </w:style>
  <w:style w:type="paragraph" w:styleId="NormalWeb">
    <w:name w:val="Normal (Web)"/>
    <w:basedOn w:val="Normal"/>
    <w:uiPriority w:val="99"/>
    <w:unhideWhenUsed/>
    <w:rsid w:val="0032558C"/>
    <w:rPr>
      <w:rFonts w:ascii="Times New Roman" w:hAnsi="Times New Roman" w:cs="Times New Roman"/>
    </w:rPr>
  </w:style>
  <w:style w:type="character" w:customStyle="1" w:styleId="UnresolvedMention3">
    <w:name w:val="Unresolved Mention3"/>
    <w:basedOn w:val="DefaultParagraphFont"/>
    <w:uiPriority w:val="99"/>
    <w:rsid w:val="00315880"/>
    <w:rPr>
      <w:color w:val="605E5C"/>
      <w:shd w:val="clear" w:color="auto" w:fill="E1DFDD"/>
    </w:rPr>
  </w:style>
  <w:style w:type="paragraph" w:styleId="EndnoteText">
    <w:name w:val="endnote text"/>
    <w:basedOn w:val="Normal"/>
    <w:link w:val="EndnoteTextChar"/>
    <w:uiPriority w:val="99"/>
    <w:semiHidden/>
    <w:unhideWhenUsed/>
    <w:rsid w:val="00003902"/>
    <w:rPr>
      <w:sz w:val="20"/>
      <w:szCs w:val="20"/>
    </w:rPr>
  </w:style>
  <w:style w:type="character" w:customStyle="1" w:styleId="EndnoteTextChar">
    <w:name w:val="Endnote Text Char"/>
    <w:basedOn w:val="DefaultParagraphFont"/>
    <w:link w:val="EndnoteText"/>
    <w:uiPriority w:val="99"/>
    <w:semiHidden/>
    <w:rsid w:val="00003902"/>
    <w:rPr>
      <w:sz w:val="20"/>
      <w:szCs w:val="20"/>
    </w:rPr>
  </w:style>
  <w:style w:type="character" w:styleId="EndnoteReference">
    <w:name w:val="endnote reference"/>
    <w:basedOn w:val="DefaultParagraphFont"/>
    <w:uiPriority w:val="99"/>
    <w:semiHidden/>
    <w:unhideWhenUsed/>
    <w:rsid w:val="000039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5835">
      <w:bodyDiv w:val="1"/>
      <w:marLeft w:val="0"/>
      <w:marRight w:val="0"/>
      <w:marTop w:val="0"/>
      <w:marBottom w:val="0"/>
      <w:divBdr>
        <w:top w:val="none" w:sz="0" w:space="0" w:color="auto"/>
        <w:left w:val="none" w:sz="0" w:space="0" w:color="auto"/>
        <w:bottom w:val="none" w:sz="0" w:space="0" w:color="auto"/>
        <w:right w:val="none" w:sz="0" w:space="0" w:color="auto"/>
      </w:divBdr>
      <w:divsChild>
        <w:div w:id="791165819">
          <w:marLeft w:val="0"/>
          <w:marRight w:val="0"/>
          <w:marTop w:val="0"/>
          <w:marBottom w:val="0"/>
          <w:divBdr>
            <w:top w:val="none" w:sz="0" w:space="0" w:color="auto"/>
            <w:left w:val="none" w:sz="0" w:space="0" w:color="auto"/>
            <w:bottom w:val="none" w:sz="0" w:space="0" w:color="auto"/>
            <w:right w:val="none" w:sz="0" w:space="0" w:color="auto"/>
          </w:divBdr>
          <w:divsChild>
            <w:div w:id="1742023564">
              <w:marLeft w:val="0"/>
              <w:marRight w:val="0"/>
              <w:marTop w:val="0"/>
              <w:marBottom w:val="0"/>
              <w:divBdr>
                <w:top w:val="none" w:sz="0" w:space="0" w:color="auto"/>
                <w:left w:val="none" w:sz="0" w:space="0" w:color="auto"/>
                <w:bottom w:val="none" w:sz="0" w:space="0" w:color="auto"/>
                <w:right w:val="none" w:sz="0" w:space="0" w:color="auto"/>
              </w:divBdr>
              <w:divsChild>
                <w:div w:id="18416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6324">
      <w:bodyDiv w:val="1"/>
      <w:marLeft w:val="0"/>
      <w:marRight w:val="0"/>
      <w:marTop w:val="0"/>
      <w:marBottom w:val="0"/>
      <w:divBdr>
        <w:top w:val="none" w:sz="0" w:space="0" w:color="auto"/>
        <w:left w:val="none" w:sz="0" w:space="0" w:color="auto"/>
        <w:bottom w:val="none" w:sz="0" w:space="0" w:color="auto"/>
        <w:right w:val="none" w:sz="0" w:space="0" w:color="auto"/>
      </w:divBdr>
    </w:div>
    <w:div w:id="132333602">
      <w:bodyDiv w:val="1"/>
      <w:marLeft w:val="0"/>
      <w:marRight w:val="0"/>
      <w:marTop w:val="0"/>
      <w:marBottom w:val="0"/>
      <w:divBdr>
        <w:top w:val="none" w:sz="0" w:space="0" w:color="auto"/>
        <w:left w:val="none" w:sz="0" w:space="0" w:color="auto"/>
        <w:bottom w:val="none" w:sz="0" w:space="0" w:color="auto"/>
        <w:right w:val="none" w:sz="0" w:space="0" w:color="auto"/>
      </w:divBdr>
    </w:div>
    <w:div w:id="233466405">
      <w:bodyDiv w:val="1"/>
      <w:marLeft w:val="0"/>
      <w:marRight w:val="0"/>
      <w:marTop w:val="0"/>
      <w:marBottom w:val="0"/>
      <w:divBdr>
        <w:top w:val="none" w:sz="0" w:space="0" w:color="auto"/>
        <w:left w:val="none" w:sz="0" w:space="0" w:color="auto"/>
        <w:bottom w:val="none" w:sz="0" w:space="0" w:color="auto"/>
        <w:right w:val="none" w:sz="0" w:space="0" w:color="auto"/>
      </w:divBdr>
    </w:div>
    <w:div w:id="272901806">
      <w:bodyDiv w:val="1"/>
      <w:marLeft w:val="0"/>
      <w:marRight w:val="0"/>
      <w:marTop w:val="0"/>
      <w:marBottom w:val="0"/>
      <w:divBdr>
        <w:top w:val="none" w:sz="0" w:space="0" w:color="auto"/>
        <w:left w:val="none" w:sz="0" w:space="0" w:color="auto"/>
        <w:bottom w:val="none" w:sz="0" w:space="0" w:color="auto"/>
        <w:right w:val="none" w:sz="0" w:space="0" w:color="auto"/>
      </w:divBdr>
    </w:div>
    <w:div w:id="313145237">
      <w:bodyDiv w:val="1"/>
      <w:marLeft w:val="0"/>
      <w:marRight w:val="0"/>
      <w:marTop w:val="0"/>
      <w:marBottom w:val="0"/>
      <w:divBdr>
        <w:top w:val="none" w:sz="0" w:space="0" w:color="auto"/>
        <w:left w:val="none" w:sz="0" w:space="0" w:color="auto"/>
        <w:bottom w:val="none" w:sz="0" w:space="0" w:color="auto"/>
        <w:right w:val="none" w:sz="0" w:space="0" w:color="auto"/>
      </w:divBdr>
      <w:divsChild>
        <w:div w:id="744230063">
          <w:marLeft w:val="0"/>
          <w:marRight w:val="0"/>
          <w:marTop w:val="0"/>
          <w:marBottom w:val="0"/>
          <w:divBdr>
            <w:top w:val="none" w:sz="0" w:space="0" w:color="auto"/>
            <w:left w:val="none" w:sz="0" w:space="0" w:color="auto"/>
            <w:bottom w:val="none" w:sz="0" w:space="0" w:color="auto"/>
            <w:right w:val="none" w:sz="0" w:space="0" w:color="auto"/>
          </w:divBdr>
          <w:divsChild>
            <w:div w:id="1244294506">
              <w:marLeft w:val="0"/>
              <w:marRight w:val="0"/>
              <w:marTop w:val="0"/>
              <w:marBottom w:val="0"/>
              <w:divBdr>
                <w:top w:val="none" w:sz="0" w:space="0" w:color="auto"/>
                <w:left w:val="none" w:sz="0" w:space="0" w:color="auto"/>
                <w:bottom w:val="none" w:sz="0" w:space="0" w:color="auto"/>
                <w:right w:val="none" w:sz="0" w:space="0" w:color="auto"/>
              </w:divBdr>
              <w:divsChild>
                <w:div w:id="20898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39759">
      <w:bodyDiv w:val="1"/>
      <w:marLeft w:val="0"/>
      <w:marRight w:val="0"/>
      <w:marTop w:val="0"/>
      <w:marBottom w:val="0"/>
      <w:divBdr>
        <w:top w:val="none" w:sz="0" w:space="0" w:color="auto"/>
        <w:left w:val="none" w:sz="0" w:space="0" w:color="auto"/>
        <w:bottom w:val="none" w:sz="0" w:space="0" w:color="auto"/>
        <w:right w:val="none" w:sz="0" w:space="0" w:color="auto"/>
      </w:divBdr>
      <w:divsChild>
        <w:div w:id="1416971516">
          <w:marLeft w:val="0"/>
          <w:marRight w:val="0"/>
          <w:marTop w:val="0"/>
          <w:marBottom w:val="0"/>
          <w:divBdr>
            <w:top w:val="none" w:sz="0" w:space="0" w:color="auto"/>
            <w:left w:val="none" w:sz="0" w:space="0" w:color="auto"/>
            <w:bottom w:val="none" w:sz="0" w:space="0" w:color="auto"/>
            <w:right w:val="none" w:sz="0" w:space="0" w:color="auto"/>
          </w:divBdr>
          <w:divsChild>
            <w:div w:id="1576164497">
              <w:marLeft w:val="0"/>
              <w:marRight w:val="0"/>
              <w:marTop w:val="0"/>
              <w:marBottom w:val="0"/>
              <w:divBdr>
                <w:top w:val="none" w:sz="0" w:space="0" w:color="auto"/>
                <w:left w:val="none" w:sz="0" w:space="0" w:color="auto"/>
                <w:bottom w:val="none" w:sz="0" w:space="0" w:color="auto"/>
                <w:right w:val="none" w:sz="0" w:space="0" w:color="auto"/>
              </w:divBdr>
              <w:divsChild>
                <w:div w:id="5942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41922">
      <w:bodyDiv w:val="1"/>
      <w:marLeft w:val="0"/>
      <w:marRight w:val="0"/>
      <w:marTop w:val="0"/>
      <w:marBottom w:val="0"/>
      <w:divBdr>
        <w:top w:val="none" w:sz="0" w:space="0" w:color="auto"/>
        <w:left w:val="none" w:sz="0" w:space="0" w:color="auto"/>
        <w:bottom w:val="none" w:sz="0" w:space="0" w:color="auto"/>
        <w:right w:val="none" w:sz="0" w:space="0" w:color="auto"/>
      </w:divBdr>
      <w:divsChild>
        <w:div w:id="1131902848">
          <w:marLeft w:val="0"/>
          <w:marRight w:val="0"/>
          <w:marTop w:val="0"/>
          <w:marBottom w:val="0"/>
          <w:divBdr>
            <w:top w:val="none" w:sz="0" w:space="0" w:color="auto"/>
            <w:left w:val="none" w:sz="0" w:space="0" w:color="auto"/>
            <w:bottom w:val="none" w:sz="0" w:space="0" w:color="auto"/>
            <w:right w:val="none" w:sz="0" w:space="0" w:color="auto"/>
          </w:divBdr>
          <w:divsChild>
            <w:div w:id="1878853414">
              <w:marLeft w:val="0"/>
              <w:marRight w:val="0"/>
              <w:marTop w:val="0"/>
              <w:marBottom w:val="0"/>
              <w:divBdr>
                <w:top w:val="none" w:sz="0" w:space="0" w:color="auto"/>
                <w:left w:val="none" w:sz="0" w:space="0" w:color="auto"/>
                <w:bottom w:val="none" w:sz="0" w:space="0" w:color="auto"/>
                <w:right w:val="none" w:sz="0" w:space="0" w:color="auto"/>
              </w:divBdr>
              <w:divsChild>
                <w:div w:id="2543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79340">
      <w:bodyDiv w:val="1"/>
      <w:marLeft w:val="0"/>
      <w:marRight w:val="0"/>
      <w:marTop w:val="0"/>
      <w:marBottom w:val="0"/>
      <w:divBdr>
        <w:top w:val="none" w:sz="0" w:space="0" w:color="auto"/>
        <w:left w:val="none" w:sz="0" w:space="0" w:color="auto"/>
        <w:bottom w:val="none" w:sz="0" w:space="0" w:color="auto"/>
        <w:right w:val="none" w:sz="0" w:space="0" w:color="auto"/>
      </w:divBdr>
      <w:divsChild>
        <w:div w:id="64188531">
          <w:marLeft w:val="0"/>
          <w:marRight w:val="0"/>
          <w:marTop w:val="0"/>
          <w:marBottom w:val="0"/>
          <w:divBdr>
            <w:top w:val="none" w:sz="0" w:space="0" w:color="auto"/>
            <w:left w:val="none" w:sz="0" w:space="0" w:color="auto"/>
            <w:bottom w:val="none" w:sz="0" w:space="0" w:color="auto"/>
            <w:right w:val="none" w:sz="0" w:space="0" w:color="auto"/>
          </w:divBdr>
          <w:divsChild>
            <w:div w:id="1757287068">
              <w:marLeft w:val="0"/>
              <w:marRight w:val="0"/>
              <w:marTop w:val="0"/>
              <w:marBottom w:val="0"/>
              <w:divBdr>
                <w:top w:val="none" w:sz="0" w:space="0" w:color="auto"/>
                <w:left w:val="none" w:sz="0" w:space="0" w:color="auto"/>
                <w:bottom w:val="none" w:sz="0" w:space="0" w:color="auto"/>
                <w:right w:val="none" w:sz="0" w:space="0" w:color="auto"/>
              </w:divBdr>
              <w:divsChild>
                <w:div w:id="14590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1733">
      <w:bodyDiv w:val="1"/>
      <w:marLeft w:val="0"/>
      <w:marRight w:val="0"/>
      <w:marTop w:val="0"/>
      <w:marBottom w:val="0"/>
      <w:divBdr>
        <w:top w:val="none" w:sz="0" w:space="0" w:color="auto"/>
        <w:left w:val="none" w:sz="0" w:space="0" w:color="auto"/>
        <w:bottom w:val="none" w:sz="0" w:space="0" w:color="auto"/>
        <w:right w:val="none" w:sz="0" w:space="0" w:color="auto"/>
      </w:divBdr>
      <w:divsChild>
        <w:div w:id="205720307">
          <w:marLeft w:val="0"/>
          <w:marRight w:val="0"/>
          <w:marTop w:val="0"/>
          <w:marBottom w:val="0"/>
          <w:divBdr>
            <w:top w:val="none" w:sz="0" w:space="0" w:color="auto"/>
            <w:left w:val="none" w:sz="0" w:space="0" w:color="auto"/>
            <w:bottom w:val="none" w:sz="0" w:space="0" w:color="auto"/>
            <w:right w:val="none" w:sz="0" w:space="0" w:color="auto"/>
          </w:divBdr>
          <w:divsChild>
            <w:div w:id="1114441472">
              <w:marLeft w:val="0"/>
              <w:marRight w:val="0"/>
              <w:marTop w:val="0"/>
              <w:marBottom w:val="0"/>
              <w:divBdr>
                <w:top w:val="none" w:sz="0" w:space="0" w:color="auto"/>
                <w:left w:val="none" w:sz="0" w:space="0" w:color="auto"/>
                <w:bottom w:val="none" w:sz="0" w:space="0" w:color="auto"/>
                <w:right w:val="none" w:sz="0" w:space="0" w:color="auto"/>
              </w:divBdr>
              <w:divsChild>
                <w:div w:id="16985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59819">
      <w:bodyDiv w:val="1"/>
      <w:marLeft w:val="0"/>
      <w:marRight w:val="0"/>
      <w:marTop w:val="0"/>
      <w:marBottom w:val="0"/>
      <w:divBdr>
        <w:top w:val="none" w:sz="0" w:space="0" w:color="auto"/>
        <w:left w:val="none" w:sz="0" w:space="0" w:color="auto"/>
        <w:bottom w:val="none" w:sz="0" w:space="0" w:color="auto"/>
        <w:right w:val="none" w:sz="0" w:space="0" w:color="auto"/>
      </w:divBdr>
      <w:divsChild>
        <w:div w:id="1080371107">
          <w:marLeft w:val="0"/>
          <w:marRight w:val="0"/>
          <w:marTop w:val="0"/>
          <w:marBottom w:val="0"/>
          <w:divBdr>
            <w:top w:val="none" w:sz="0" w:space="0" w:color="auto"/>
            <w:left w:val="none" w:sz="0" w:space="0" w:color="auto"/>
            <w:bottom w:val="none" w:sz="0" w:space="0" w:color="auto"/>
            <w:right w:val="none" w:sz="0" w:space="0" w:color="auto"/>
          </w:divBdr>
          <w:divsChild>
            <w:div w:id="1096634889">
              <w:marLeft w:val="0"/>
              <w:marRight w:val="0"/>
              <w:marTop w:val="0"/>
              <w:marBottom w:val="0"/>
              <w:divBdr>
                <w:top w:val="none" w:sz="0" w:space="0" w:color="auto"/>
                <w:left w:val="none" w:sz="0" w:space="0" w:color="auto"/>
                <w:bottom w:val="none" w:sz="0" w:space="0" w:color="auto"/>
                <w:right w:val="none" w:sz="0" w:space="0" w:color="auto"/>
              </w:divBdr>
              <w:divsChild>
                <w:div w:id="16183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2277">
      <w:bodyDiv w:val="1"/>
      <w:marLeft w:val="0"/>
      <w:marRight w:val="0"/>
      <w:marTop w:val="0"/>
      <w:marBottom w:val="0"/>
      <w:divBdr>
        <w:top w:val="none" w:sz="0" w:space="0" w:color="auto"/>
        <w:left w:val="none" w:sz="0" w:space="0" w:color="auto"/>
        <w:bottom w:val="none" w:sz="0" w:space="0" w:color="auto"/>
        <w:right w:val="none" w:sz="0" w:space="0" w:color="auto"/>
      </w:divBdr>
      <w:divsChild>
        <w:div w:id="56437790">
          <w:marLeft w:val="0"/>
          <w:marRight w:val="0"/>
          <w:marTop w:val="0"/>
          <w:marBottom w:val="0"/>
          <w:divBdr>
            <w:top w:val="none" w:sz="0" w:space="0" w:color="auto"/>
            <w:left w:val="none" w:sz="0" w:space="0" w:color="auto"/>
            <w:bottom w:val="none" w:sz="0" w:space="0" w:color="auto"/>
            <w:right w:val="none" w:sz="0" w:space="0" w:color="auto"/>
          </w:divBdr>
          <w:divsChild>
            <w:div w:id="1346327024">
              <w:marLeft w:val="0"/>
              <w:marRight w:val="0"/>
              <w:marTop w:val="0"/>
              <w:marBottom w:val="0"/>
              <w:divBdr>
                <w:top w:val="none" w:sz="0" w:space="0" w:color="auto"/>
                <w:left w:val="none" w:sz="0" w:space="0" w:color="auto"/>
                <w:bottom w:val="none" w:sz="0" w:space="0" w:color="auto"/>
                <w:right w:val="none" w:sz="0" w:space="0" w:color="auto"/>
              </w:divBdr>
              <w:divsChild>
                <w:div w:id="12084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39595">
      <w:bodyDiv w:val="1"/>
      <w:marLeft w:val="0"/>
      <w:marRight w:val="0"/>
      <w:marTop w:val="0"/>
      <w:marBottom w:val="0"/>
      <w:divBdr>
        <w:top w:val="none" w:sz="0" w:space="0" w:color="auto"/>
        <w:left w:val="none" w:sz="0" w:space="0" w:color="auto"/>
        <w:bottom w:val="none" w:sz="0" w:space="0" w:color="auto"/>
        <w:right w:val="none" w:sz="0" w:space="0" w:color="auto"/>
      </w:divBdr>
      <w:divsChild>
        <w:div w:id="956643773">
          <w:marLeft w:val="0"/>
          <w:marRight w:val="0"/>
          <w:marTop w:val="0"/>
          <w:marBottom w:val="0"/>
          <w:divBdr>
            <w:top w:val="none" w:sz="0" w:space="0" w:color="auto"/>
            <w:left w:val="none" w:sz="0" w:space="0" w:color="auto"/>
            <w:bottom w:val="none" w:sz="0" w:space="0" w:color="auto"/>
            <w:right w:val="none" w:sz="0" w:space="0" w:color="auto"/>
          </w:divBdr>
          <w:divsChild>
            <w:div w:id="1531140197">
              <w:marLeft w:val="0"/>
              <w:marRight w:val="0"/>
              <w:marTop w:val="0"/>
              <w:marBottom w:val="0"/>
              <w:divBdr>
                <w:top w:val="none" w:sz="0" w:space="0" w:color="auto"/>
                <w:left w:val="none" w:sz="0" w:space="0" w:color="auto"/>
                <w:bottom w:val="none" w:sz="0" w:space="0" w:color="auto"/>
                <w:right w:val="none" w:sz="0" w:space="0" w:color="auto"/>
              </w:divBdr>
              <w:divsChild>
                <w:div w:id="21007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87490">
      <w:bodyDiv w:val="1"/>
      <w:marLeft w:val="0"/>
      <w:marRight w:val="0"/>
      <w:marTop w:val="0"/>
      <w:marBottom w:val="0"/>
      <w:divBdr>
        <w:top w:val="none" w:sz="0" w:space="0" w:color="auto"/>
        <w:left w:val="none" w:sz="0" w:space="0" w:color="auto"/>
        <w:bottom w:val="none" w:sz="0" w:space="0" w:color="auto"/>
        <w:right w:val="none" w:sz="0" w:space="0" w:color="auto"/>
      </w:divBdr>
    </w:div>
    <w:div w:id="626158972">
      <w:bodyDiv w:val="1"/>
      <w:marLeft w:val="0"/>
      <w:marRight w:val="0"/>
      <w:marTop w:val="0"/>
      <w:marBottom w:val="0"/>
      <w:divBdr>
        <w:top w:val="none" w:sz="0" w:space="0" w:color="auto"/>
        <w:left w:val="none" w:sz="0" w:space="0" w:color="auto"/>
        <w:bottom w:val="none" w:sz="0" w:space="0" w:color="auto"/>
        <w:right w:val="none" w:sz="0" w:space="0" w:color="auto"/>
      </w:divBdr>
      <w:divsChild>
        <w:div w:id="1623338879">
          <w:marLeft w:val="0"/>
          <w:marRight w:val="0"/>
          <w:marTop w:val="0"/>
          <w:marBottom w:val="0"/>
          <w:divBdr>
            <w:top w:val="none" w:sz="0" w:space="0" w:color="auto"/>
            <w:left w:val="none" w:sz="0" w:space="0" w:color="auto"/>
            <w:bottom w:val="none" w:sz="0" w:space="0" w:color="auto"/>
            <w:right w:val="none" w:sz="0" w:space="0" w:color="auto"/>
          </w:divBdr>
          <w:divsChild>
            <w:div w:id="1508406022">
              <w:marLeft w:val="0"/>
              <w:marRight w:val="0"/>
              <w:marTop w:val="0"/>
              <w:marBottom w:val="0"/>
              <w:divBdr>
                <w:top w:val="none" w:sz="0" w:space="0" w:color="auto"/>
                <w:left w:val="none" w:sz="0" w:space="0" w:color="auto"/>
                <w:bottom w:val="none" w:sz="0" w:space="0" w:color="auto"/>
                <w:right w:val="none" w:sz="0" w:space="0" w:color="auto"/>
              </w:divBdr>
              <w:divsChild>
                <w:div w:id="3377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1835">
      <w:bodyDiv w:val="1"/>
      <w:marLeft w:val="0"/>
      <w:marRight w:val="0"/>
      <w:marTop w:val="0"/>
      <w:marBottom w:val="0"/>
      <w:divBdr>
        <w:top w:val="none" w:sz="0" w:space="0" w:color="auto"/>
        <w:left w:val="none" w:sz="0" w:space="0" w:color="auto"/>
        <w:bottom w:val="none" w:sz="0" w:space="0" w:color="auto"/>
        <w:right w:val="none" w:sz="0" w:space="0" w:color="auto"/>
      </w:divBdr>
    </w:div>
    <w:div w:id="647438524">
      <w:bodyDiv w:val="1"/>
      <w:marLeft w:val="0"/>
      <w:marRight w:val="0"/>
      <w:marTop w:val="0"/>
      <w:marBottom w:val="0"/>
      <w:divBdr>
        <w:top w:val="none" w:sz="0" w:space="0" w:color="auto"/>
        <w:left w:val="none" w:sz="0" w:space="0" w:color="auto"/>
        <w:bottom w:val="none" w:sz="0" w:space="0" w:color="auto"/>
        <w:right w:val="none" w:sz="0" w:space="0" w:color="auto"/>
      </w:divBdr>
      <w:divsChild>
        <w:div w:id="531576039">
          <w:marLeft w:val="0"/>
          <w:marRight w:val="0"/>
          <w:marTop w:val="0"/>
          <w:marBottom w:val="0"/>
          <w:divBdr>
            <w:top w:val="none" w:sz="0" w:space="0" w:color="auto"/>
            <w:left w:val="none" w:sz="0" w:space="0" w:color="auto"/>
            <w:bottom w:val="none" w:sz="0" w:space="0" w:color="auto"/>
            <w:right w:val="none" w:sz="0" w:space="0" w:color="auto"/>
          </w:divBdr>
          <w:divsChild>
            <w:div w:id="1662930970">
              <w:marLeft w:val="0"/>
              <w:marRight w:val="0"/>
              <w:marTop w:val="0"/>
              <w:marBottom w:val="0"/>
              <w:divBdr>
                <w:top w:val="none" w:sz="0" w:space="0" w:color="auto"/>
                <w:left w:val="none" w:sz="0" w:space="0" w:color="auto"/>
                <w:bottom w:val="none" w:sz="0" w:space="0" w:color="auto"/>
                <w:right w:val="none" w:sz="0" w:space="0" w:color="auto"/>
              </w:divBdr>
              <w:divsChild>
                <w:div w:id="18471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1174">
      <w:bodyDiv w:val="1"/>
      <w:marLeft w:val="0"/>
      <w:marRight w:val="0"/>
      <w:marTop w:val="0"/>
      <w:marBottom w:val="0"/>
      <w:divBdr>
        <w:top w:val="none" w:sz="0" w:space="0" w:color="auto"/>
        <w:left w:val="none" w:sz="0" w:space="0" w:color="auto"/>
        <w:bottom w:val="none" w:sz="0" w:space="0" w:color="auto"/>
        <w:right w:val="none" w:sz="0" w:space="0" w:color="auto"/>
      </w:divBdr>
      <w:divsChild>
        <w:div w:id="1388530551">
          <w:marLeft w:val="0"/>
          <w:marRight w:val="0"/>
          <w:marTop w:val="0"/>
          <w:marBottom w:val="0"/>
          <w:divBdr>
            <w:top w:val="none" w:sz="0" w:space="0" w:color="auto"/>
            <w:left w:val="none" w:sz="0" w:space="0" w:color="auto"/>
            <w:bottom w:val="none" w:sz="0" w:space="0" w:color="auto"/>
            <w:right w:val="none" w:sz="0" w:space="0" w:color="auto"/>
          </w:divBdr>
          <w:divsChild>
            <w:div w:id="1478105952">
              <w:marLeft w:val="0"/>
              <w:marRight w:val="0"/>
              <w:marTop w:val="0"/>
              <w:marBottom w:val="0"/>
              <w:divBdr>
                <w:top w:val="none" w:sz="0" w:space="0" w:color="auto"/>
                <w:left w:val="none" w:sz="0" w:space="0" w:color="auto"/>
                <w:bottom w:val="none" w:sz="0" w:space="0" w:color="auto"/>
                <w:right w:val="none" w:sz="0" w:space="0" w:color="auto"/>
              </w:divBdr>
              <w:divsChild>
                <w:div w:id="433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01235">
      <w:bodyDiv w:val="1"/>
      <w:marLeft w:val="0"/>
      <w:marRight w:val="0"/>
      <w:marTop w:val="0"/>
      <w:marBottom w:val="0"/>
      <w:divBdr>
        <w:top w:val="none" w:sz="0" w:space="0" w:color="auto"/>
        <w:left w:val="none" w:sz="0" w:space="0" w:color="auto"/>
        <w:bottom w:val="none" w:sz="0" w:space="0" w:color="auto"/>
        <w:right w:val="none" w:sz="0" w:space="0" w:color="auto"/>
      </w:divBdr>
    </w:div>
    <w:div w:id="747312029">
      <w:bodyDiv w:val="1"/>
      <w:marLeft w:val="0"/>
      <w:marRight w:val="0"/>
      <w:marTop w:val="0"/>
      <w:marBottom w:val="0"/>
      <w:divBdr>
        <w:top w:val="none" w:sz="0" w:space="0" w:color="auto"/>
        <w:left w:val="none" w:sz="0" w:space="0" w:color="auto"/>
        <w:bottom w:val="none" w:sz="0" w:space="0" w:color="auto"/>
        <w:right w:val="none" w:sz="0" w:space="0" w:color="auto"/>
      </w:divBdr>
    </w:div>
    <w:div w:id="750152889">
      <w:bodyDiv w:val="1"/>
      <w:marLeft w:val="0"/>
      <w:marRight w:val="0"/>
      <w:marTop w:val="0"/>
      <w:marBottom w:val="0"/>
      <w:divBdr>
        <w:top w:val="none" w:sz="0" w:space="0" w:color="auto"/>
        <w:left w:val="none" w:sz="0" w:space="0" w:color="auto"/>
        <w:bottom w:val="none" w:sz="0" w:space="0" w:color="auto"/>
        <w:right w:val="none" w:sz="0" w:space="0" w:color="auto"/>
      </w:divBdr>
    </w:div>
    <w:div w:id="751467875">
      <w:bodyDiv w:val="1"/>
      <w:marLeft w:val="0"/>
      <w:marRight w:val="0"/>
      <w:marTop w:val="0"/>
      <w:marBottom w:val="0"/>
      <w:divBdr>
        <w:top w:val="none" w:sz="0" w:space="0" w:color="auto"/>
        <w:left w:val="none" w:sz="0" w:space="0" w:color="auto"/>
        <w:bottom w:val="none" w:sz="0" w:space="0" w:color="auto"/>
        <w:right w:val="none" w:sz="0" w:space="0" w:color="auto"/>
      </w:divBdr>
    </w:div>
    <w:div w:id="802889544">
      <w:bodyDiv w:val="1"/>
      <w:marLeft w:val="0"/>
      <w:marRight w:val="0"/>
      <w:marTop w:val="0"/>
      <w:marBottom w:val="0"/>
      <w:divBdr>
        <w:top w:val="none" w:sz="0" w:space="0" w:color="auto"/>
        <w:left w:val="none" w:sz="0" w:space="0" w:color="auto"/>
        <w:bottom w:val="none" w:sz="0" w:space="0" w:color="auto"/>
        <w:right w:val="none" w:sz="0" w:space="0" w:color="auto"/>
      </w:divBdr>
      <w:divsChild>
        <w:div w:id="1003356638">
          <w:marLeft w:val="0"/>
          <w:marRight w:val="0"/>
          <w:marTop w:val="0"/>
          <w:marBottom w:val="0"/>
          <w:divBdr>
            <w:top w:val="none" w:sz="0" w:space="0" w:color="auto"/>
            <w:left w:val="none" w:sz="0" w:space="0" w:color="auto"/>
            <w:bottom w:val="none" w:sz="0" w:space="0" w:color="auto"/>
            <w:right w:val="none" w:sz="0" w:space="0" w:color="auto"/>
          </w:divBdr>
          <w:divsChild>
            <w:div w:id="1101879404">
              <w:marLeft w:val="0"/>
              <w:marRight w:val="0"/>
              <w:marTop w:val="0"/>
              <w:marBottom w:val="0"/>
              <w:divBdr>
                <w:top w:val="none" w:sz="0" w:space="0" w:color="auto"/>
                <w:left w:val="none" w:sz="0" w:space="0" w:color="auto"/>
                <w:bottom w:val="none" w:sz="0" w:space="0" w:color="auto"/>
                <w:right w:val="none" w:sz="0" w:space="0" w:color="auto"/>
              </w:divBdr>
              <w:divsChild>
                <w:div w:id="12330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4660">
      <w:bodyDiv w:val="1"/>
      <w:marLeft w:val="0"/>
      <w:marRight w:val="0"/>
      <w:marTop w:val="0"/>
      <w:marBottom w:val="0"/>
      <w:divBdr>
        <w:top w:val="none" w:sz="0" w:space="0" w:color="auto"/>
        <w:left w:val="none" w:sz="0" w:space="0" w:color="auto"/>
        <w:bottom w:val="none" w:sz="0" w:space="0" w:color="auto"/>
        <w:right w:val="none" w:sz="0" w:space="0" w:color="auto"/>
      </w:divBdr>
      <w:divsChild>
        <w:div w:id="1785925918">
          <w:marLeft w:val="0"/>
          <w:marRight w:val="0"/>
          <w:marTop w:val="0"/>
          <w:marBottom w:val="0"/>
          <w:divBdr>
            <w:top w:val="none" w:sz="0" w:space="0" w:color="auto"/>
            <w:left w:val="none" w:sz="0" w:space="0" w:color="auto"/>
            <w:bottom w:val="none" w:sz="0" w:space="0" w:color="auto"/>
            <w:right w:val="none" w:sz="0" w:space="0" w:color="auto"/>
          </w:divBdr>
          <w:divsChild>
            <w:div w:id="1922180258">
              <w:marLeft w:val="0"/>
              <w:marRight w:val="0"/>
              <w:marTop w:val="0"/>
              <w:marBottom w:val="0"/>
              <w:divBdr>
                <w:top w:val="none" w:sz="0" w:space="0" w:color="auto"/>
                <w:left w:val="none" w:sz="0" w:space="0" w:color="auto"/>
                <w:bottom w:val="none" w:sz="0" w:space="0" w:color="auto"/>
                <w:right w:val="none" w:sz="0" w:space="0" w:color="auto"/>
              </w:divBdr>
              <w:divsChild>
                <w:div w:id="14460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52814">
      <w:bodyDiv w:val="1"/>
      <w:marLeft w:val="0"/>
      <w:marRight w:val="0"/>
      <w:marTop w:val="0"/>
      <w:marBottom w:val="0"/>
      <w:divBdr>
        <w:top w:val="none" w:sz="0" w:space="0" w:color="auto"/>
        <w:left w:val="none" w:sz="0" w:space="0" w:color="auto"/>
        <w:bottom w:val="none" w:sz="0" w:space="0" w:color="auto"/>
        <w:right w:val="none" w:sz="0" w:space="0" w:color="auto"/>
      </w:divBdr>
      <w:divsChild>
        <w:div w:id="1510833569">
          <w:marLeft w:val="0"/>
          <w:marRight w:val="0"/>
          <w:marTop w:val="0"/>
          <w:marBottom w:val="0"/>
          <w:divBdr>
            <w:top w:val="none" w:sz="0" w:space="0" w:color="auto"/>
            <w:left w:val="none" w:sz="0" w:space="0" w:color="auto"/>
            <w:bottom w:val="none" w:sz="0" w:space="0" w:color="auto"/>
            <w:right w:val="none" w:sz="0" w:space="0" w:color="auto"/>
          </w:divBdr>
          <w:divsChild>
            <w:div w:id="1544443092">
              <w:marLeft w:val="0"/>
              <w:marRight w:val="0"/>
              <w:marTop w:val="0"/>
              <w:marBottom w:val="0"/>
              <w:divBdr>
                <w:top w:val="none" w:sz="0" w:space="0" w:color="auto"/>
                <w:left w:val="none" w:sz="0" w:space="0" w:color="auto"/>
                <w:bottom w:val="none" w:sz="0" w:space="0" w:color="auto"/>
                <w:right w:val="none" w:sz="0" w:space="0" w:color="auto"/>
              </w:divBdr>
              <w:divsChild>
                <w:div w:id="17634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61185">
      <w:bodyDiv w:val="1"/>
      <w:marLeft w:val="0"/>
      <w:marRight w:val="0"/>
      <w:marTop w:val="0"/>
      <w:marBottom w:val="0"/>
      <w:divBdr>
        <w:top w:val="none" w:sz="0" w:space="0" w:color="auto"/>
        <w:left w:val="none" w:sz="0" w:space="0" w:color="auto"/>
        <w:bottom w:val="none" w:sz="0" w:space="0" w:color="auto"/>
        <w:right w:val="none" w:sz="0" w:space="0" w:color="auto"/>
      </w:divBdr>
    </w:div>
    <w:div w:id="1021661158">
      <w:bodyDiv w:val="1"/>
      <w:marLeft w:val="0"/>
      <w:marRight w:val="0"/>
      <w:marTop w:val="0"/>
      <w:marBottom w:val="0"/>
      <w:divBdr>
        <w:top w:val="none" w:sz="0" w:space="0" w:color="auto"/>
        <w:left w:val="none" w:sz="0" w:space="0" w:color="auto"/>
        <w:bottom w:val="none" w:sz="0" w:space="0" w:color="auto"/>
        <w:right w:val="none" w:sz="0" w:space="0" w:color="auto"/>
      </w:divBdr>
    </w:div>
    <w:div w:id="1086925061">
      <w:bodyDiv w:val="1"/>
      <w:marLeft w:val="0"/>
      <w:marRight w:val="0"/>
      <w:marTop w:val="0"/>
      <w:marBottom w:val="0"/>
      <w:divBdr>
        <w:top w:val="none" w:sz="0" w:space="0" w:color="auto"/>
        <w:left w:val="none" w:sz="0" w:space="0" w:color="auto"/>
        <w:bottom w:val="none" w:sz="0" w:space="0" w:color="auto"/>
        <w:right w:val="none" w:sz="0" w:space="0" w:color="auto"/>
      </w:divBdr>
    </w:div>
    <w:div w:id="1119493035">
      <w:bodyDiv w:val="1"/>
      <w:marLeft w:val="0"/>
      <w:marRight w:val="0"/>
      <w:marTop w:val="0"/>
      <w:marBottom w:val="0"/>
      <w:divBdr>
        <w:top w:val="none" w:sz="0" w:space="0" w:color="auto"/>
        <w:left w:val="none" w:sz="0" w:space="0" w:color="auto"/>
        <w:bottom w:val="none" w:sz="0" w:space="0" w:color="auto"/>
        <w:right w:val="none" w:sz="0" w:space="0" w:color="auto"/>
      </w:divBdr>
    </w:div>
    <w:div w:id="1176963828">
      <w:bodyDiv w:val="1"/>
      <w:marLeft w:val="0"/>
      <w:marRight w:val="0"/>
      <w:marTop w:val="0"/>
      <w:marBottom w:val="0"/>
      <w:divBdr>
        <w:top w:val="none" w:sz="0" w:space="0" w:color="auto"/>
        <w:left w:val="none" w:sz="0" w:space="0" w:color="auto"/>
        <w:bottom w:val="none" w:sz="0" w:space="0" w:color="auto"/>
        <w:right w:val="none" w:sz="0" w:space="0" w:color="auto"/>
      </w:divBdr>
    </w:div>
    <w:div w:id="1270696254">
      <w:bodyDiv w:val="1"/>
      <w:marLeft w:val="0"/>
      <w:marRight w:val="0"/>
      <w:marTop w:val="0"/>
      <w:marBottom w:val="0"/>
      <w:divBdr>
        <w:top w:val="none" w:sz="0" w:space="0" w:color="auto"/>
        <w:left w:val="none" w:sz="0" w:space="0" w:color="auto"/>
        <w:bottom w:val="none" w:sz="0" w:space="0" w:color="auto"/>
        <w:right w:val="none" w:sz="0" w:space="0" w:color="auto"/>
      </w:divBdr>
    </w:div>
    <w:div w:id="1281499796">
      <w:bodyDiv w:val="1"/>
      <w:marLeft w:val="0"/>
      <w:marRight w:val="0"/>
      <w:marTop w:val="0"/>
      <w:marBottom w:val="0"/>
      <w:divBdr>
        <w:top w:val="none" w:sz="0" w:space="0" w:color="auto"/>
        <w:left w:val="none" w:sz="0" w:space="0" w:color="auto"/>
        <w:bottom w:val="none" w:sz="0" w:space="0" w:color="auto"/>
        <w:right w:val="none" w:sz="0" w:space="0" w:color="auto"/>
      </w:divBdr>
    </w:div>
    <w:div w:id="1332215941">
      <w:bodyDiv w:val="1"/>
      <w:marLeft w:val="0"/>
      <w:marRight w:val="0"/>
      <w:marTop w:val="0"/>
      <w:marBottom w:val="0"/>
      <w:divBdr>
        <w:top w:val="none" w:sz="0" w:space="0" w:color="auto"/>
        <w:left w:val="none" w:sz="0" w:space="0" w:color="auto"/>
        <w:bottom w:val="none" w:sz="0" w:space="0" w:color="auto"/>
        <w:right w:val="none" w:sz="0" w:space="0" w:color="auto"/>
      </w:divBdr>
      <w:divsChild>
        <w:div w:id="2078090688">
          <w:marLeft w:val="0"/>
          <w:marRight w:val="0"/>
          <w:marTop w:val="0"/>
          <w:marBottom w:val="0"/>
          <w:divBdr>
            <w:top w:val="none" w:sz="0" w:space="0" w:color="auto"/>
            <w:left w:val="none" w:sz="0" w:space="0" w:color="auto"/>
            <w:bottom w:val="none" w:sz="0" w:space="0" w:color="auto"/>
            <w:right w:val="none" w:sz="0" w:space="0" w:color="auto"/>
          </w:divBdr>
          <w:divsChild>
            <w:div w:id="1204824430">
              <w:marLeft w:val="0"/>
              <w:marRight w:val="0"/>
              <w:marTop w:val="0"/>
              <w:marBottom w:val="0"/>
              <w:divBdr>
                <w:top w:val="none" w:sz="0" w:space="0" w:color="auto"/>
                <w:left w:val="none" w:sz="0" w:space="0" w:color="auto"/>
                <w:bottom w:val="none" w:sz="0" w:space="0" w:color="auto"/>
                <w:right w:val="none" w:sz="0" w:space="0" w:color="auto"/>
              </w:divBdr>
              <w:divsChild>
                <w:div w:id="2097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5358">
      <w:bodyDiv w:val="1"/>
      <w:marLeft w:val="0"/>
      <w:marRight w:val="0"/>
      <w:marTop w:val="0"/>
      <w:marBottom w:val="0"/>
      <w:divBdr>
        <w:top w:val="none" w:sz="0" w:space="0" w:color="auto"/>
        <w:left w:val="none" w:sz="0" w:space="0" w:color="auto"/>
        <w:bottom w:val="none" w:sz="0" w:space="0" w:color="auto"/>
        <w:right w:val="none" w:sz="0" w:space="0" w:color="auto"/>
      </w:divBdr>
      <w:divsChild>
        <w:div w:id="1941832092">
          <w:marLeft w:val="0"/>
          <w:marRight w:val="0"/>
          <w:marTop w:val="0"/>
          <w:marBottom w:val="0"/>
          <w:divBdr>
            <w:top w:val="none" w:sz="0" w:space="0" w:color="auto"/>
            <w:left w:val="none" w:sz="0" w:space="0" w:color="auto"/>
            <w:bottom w:val="none" w:sz="0" w:space="0" w:color="auto"/>
            <w:right w:val="none" w:sz="0" w:space="0" w:color="auto"/>
          </w:divBdr>
          <w:divsChild>
            <w:div w:id="1314287964">
              <w:marLeft w:val="0"/>
              <w:marRight w:val="0"/>
              <w:marTop w:val="0"/>
              <w:marBottom w:val="0"/>
              <w:divBdr>
                <w:top w:val="none" w:sz="0" w:space="0" w:color="auto"/>
                <w:left w:val="none" w:sz="0" w:space="0" w:color="auto"/>
                <w:bottom w:val="none" w:sz="0" w:space="0" w:color="auto"/>
                <w:right w:val="none" w:sz="0" w:space="0" w:color="auto"/>
              </w:divBdr>
              <w:divsChild>
                <w:div w:id="9904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8434">
      <w:bodyDiv w:val="1"/>
      <w:marLeft w:val="0"/>
      <w:marRight w:val="0"/>
      <w:marTop w:val="0"/>
      <w:marBottom w:val="0"/>
      <w:divBdr>
        <w:top w:val="none" w:sz="0" w:space="0" w:color="auto"/>
        <w:left w:val="none" w:sz="0" w:space="0" w:color="auto"/>
        <w:bottom w:val="none" w:sz="0" w:space="0" w:color="auto"/>
        <w:right w:val="none" w:sz="0" w:space="0" w:color="auto"/>
      </w:divBdr>
      <w:divsChild>
        <w:div w:id="989476633">
          <w:marLeft w:val="0"/>
          <w:marRight w:val="0"/>
          <w:marTop w:val="0"/>
          <w:marBottom w:val="0"/>
          <w:divBdr>
            <w:top w:val="none" w:sz="0" w:space="0" w:color="auto"/>
            <w:left w:val="none" w:sz="0" w:space="0" w:color="auto"/>
            <w:bottom w:val="none" w:sz="0" w:space="0" w:color="auto"/>
            <w:right w:val="none" w:sz="0" w:space="0" w:color="auto"/>
          </w:divBdr>
          <w:divsChild>
            <w:div w:id="2050913893">
              <w:marLeft w:val="0"/>
              <w:marRight w:val="0"/>
              <w:marTop w:val="0"/>
              <w:marBottom w:val="0"/>
              <w:divBdr>
                <w:top w:val="none" w:sz="0" w:space="0" w:color="auto"/>
                <w:left w:val="none" w:sz="0" w:space="0" w:color="auto"/>
                <w:bottom w:val="none" w:sz="0" w:space="0" w:color="auto"/>
                <w:right w:val="none" w:sz="0" w:space="0" w:color="auto"/>
              </w:divBdr>
              <w:divsChild>
                <w:div w:id="17796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1524">
      <w:bodyDiv w:val="1"/>
      <w:marLeft w:val="0"/>
      <w:marRight w:val="0"/>
      <w:marTop w:val="0"/>
      <w:marBottom w:val="0"/>
      <w:divBdr>
        <w:top w:val="none" w:sz="0" w:space="0" w:color="auto"/>
        <w:left w:val="none" w:sz="0" w:space="0" w:color="auto"/>
        <w:bottom w:val="none" w:sz="0" w:space="0" w:color="auto"/>
        <w:right w:val="none" w:sz="0" w:space="0" w:color="auto"/>
      </w:divBdr>
    </w:div>
    <w:div w:id="1654674386">
      <w:bodyDiv w:val="1"/>
      <w:marLeft w:val="0"/>
      <w:marRight w:val="0"/>
      <w:marTop w:val="0"/>
      <w:marBottom w:val="0"/>
      <w:divBdr>
        <w:top w:val="none" w:sz="0" w:space="0" w:color="auto"/>
        <w:left w:val="none" w:sz="0" w:space="0" w:color="auto"/>
        <w:bottom w:val="none" w:sz="0" w:space="0" w:color="auto"/>
        <w:right w:val="none" w:sz="0" w:space="0" w:color="auto"/>
      </w:divBdr>
      <w:divsChild>
        <w:div w:id="1240141057">
          <w:marLeft w:val="0"/>
          <w:marRight w:val="0"/>
          <w:marTop w:val="0"/>
          <w:marBottom w:val="0"/>
          <w:divBdr>
            <w:top w:val="none" w:sz="0" w:space="0" w:color="auto"/>
            <w:left w:val="none" w:sz="0" w:space="0" w:color="auto"/>
            <w:bottom w:val="none" w:sz="0" w:space="0" w:color="auto"/>
            <w:right w:val="none" w:sz="0" w:space="0" w:color="auto"/>
          </w:divBdr>
          <w:divsChild>
            <w:div w:id="130287582">
              <w:marLeft w:val="0"/>
              <w:marRight w:val="0"/>
              <w:marTop w:val="0"/>
              <w:marBottom w:val="0"/>
              <w:divBdr>
                <w:top w:val="none" w:sz="0" w:space="0" w:color="auto"/>
                <w:left w:val="none" w:sz="0" w:space="0" w:color="auto"/>
                <w:bottom w:val="none" w:sz="0" w:space="0" w:color="auto"/>
                <w:right w:val="none" w:sz="0" w:space="0" w:color="auto"/>
              </w:divBdr>
              <w:divsChild>
                <w:div w:id="5332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7634">
      <w:bodyDiv w:val="1"/>
      <w:marLeft w:val="0"/>
      <w:marRight w:val="0"/>
      <w:marTop w:val="0"/>
      <w:marBottom w:val="0"/>
      <w:divBdr>
        <w:top w:val="none" w:sz="0" w:space="0" w:color="auto"/>
        <w:left w:val="none" w:sz="0" w:space="0" w:color="auto"/>
        <w:bottom w:val="none" w:sz="0" w:space="0" w:color="auto"/>
        <w:right w:val="none" w:sz="0" w:space="0" w:color="auto"/>
      </w:divBdr>
    </w:div>
    <w:div w:id="1721636077">
      <w:bodyDiv w:val="1"/>
      <w:marLeft w:val="0"/>
      <w:marRight w:val="0"/>
      <w:marTop w:val="0"/>
      <w:marBottom w:val="0"/>
      <w:divBdr>
        <w:top w:val="none" w:sz="0" w:space="0" w:color="auto"/>
        <w:left w:val="none" w:sz="0" w:space="0" w:color="auto"/>
        <w:bottom w:val="none" w:sz="0" w:space="0" w:color="auto"/>
        <w:right w:val="none" w:sz="0" w:space="0" w:color="auto"/>
      </w:divBdr>
      <w:divsChild>
        <w:div w:id="262685877">
          <w:marLeft w:val="0"/>
          <w:marRight w:val="0"/>
          <w:marTop w:val="0"/>
          <w:marBottom w:val="0"/>
          <w:divBdr>
            <w:top w:val="none" w:sz="0" w:space="0" w:color="auto"/>
            <w:left w:val="none" w:sz="0" w:space="0" w:color="auto"/>
            <w:bottom w:val="none" w:sz="0" w:space="0" w:color="auto"/>
            <w:right w:val="none" w:sz="0" w:space="0" w:color="auto"/>
          </w:divBdr>
          <w:divsChild>
            <w:div w:id="134877109">
              <w:marLeft w:val="0"/>
              <w:marRight w:val="0"/>
              <w:marTop w:val="0"/>
              <w:marBottom w:val="0"/>
              <w:divBdr>
                <w:top w:val="none" w:sz="0" w:space="0" w:color="auto"/>
                <w:left w:val="none" w:sz="0" w:space="0" w:color="auto"/>
                <w:bottom w:val="none" w:sz="0" w:space="0" w:color="auto"/>
                <w:right w:val="none" w:sz="0" w:space="0" w:color="auto"/>
              </w:divBdr>
              <w:divsChild>
                <w:div w:id="6860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3866">
      <w:bodyDiv w:val="1"/>
      <w:marLeft w:val="0"/>
      <w:marRight w:val="0"/>
      <w:marTop w:val="0"/>
      <w:marBottom w:val="0"/>
      <w:divBdr>
        <w:top w:val="none" w:sz="0" w:space="0" w:color="auto"/>
        <w:left w:val="none" w:sz="0" w:space="0" w:color="auto"/>
        <w:bottom w:val="none" w:sz="0" w:space="0" w:color="auto"/>
        <w:right w:val="none" w:sz="0" w:space="0" w:color="auto"/>
      </w:divBdr>
    </w:div>
    <w:div w:id="1801731228">
      <w:bodyDiv w:val="1"/>
      <w:marLeft w:val="0"/>
      <w:marRight w:val="0"/>
      <w:marTop w:val="0"/>
      <w:marBottom w:val="0"/>
      <w:divBdr>
        <w:top w:val="none" w:sz="0" w:space="0" w:color="auto"/>
        <w:left w:val="none" w:sz="0" w:space="0" w:color="auto"/>
        <w:bottom w:val="none" w:sz="0" w:space="0" w:color="auto"/>
        <w:right w:val="none" w:sz="0" w:space="0" w:color="auto"/>
      </w:divBdr>
    </w:div>
    <w:div w:id="1819765675">
      <w:bodyDiv w:val="1"/>
      <w:marLeft w:val="0"/>
      <w:marRight w:val="0"/>
      <w:marTop w:val="0"/>
      <w:marBottom w:val="0"/>
      <w:divBdr>
        <w:top w:val="none" w:sz="0" w:space="0" w:color="auto"/>
        <w:left w:val="none" w:sz="0" w:space="0" w:color="auto"/>
        <w:bottom w:val="none" w:sz="0" w:space="0" w:color="auto"/>
        <w:right w:val="none" w:sz="0" w:space="0" w:color="auto"/>
      </w:divBdr>
    </w:div>
    <w:div w:id="1996686804">
      <w:bodyDiv w:val="1"/>
      <w:marLeft w:val="0"/>
      <w:marRight w:val="0"/>
      <w:marTop w:val="0"/>
      <w:marBottom w:val="0"/>
      <w:divBdr>
        <w:top w:val="none" w:sz="0" w:space="0" w:color="auto"/>
        <w:left w:val="none" w:sz="0" w:space="0" w:color="auto"/>
        <w:bottom w:val="none" w:sz="0" w:space="0" w:color="auto"/>
        <w:right w:val="none" w:sz="0" w:space="0" w:color="auto"/>
      </w:divBdr>
    </w:div>
    <w:div w:id="2007710692">
      <w:bodyDiv w:val="1"/>
      <w:marLeft w:val="0"/>
      <w:marRight w:val="0"/>
      <w:marTop w:val="0"/>
      <w:marBottom w:val="0"/>
      <w:divBdr>
        <w:top w:val="none" w:sz="0" w:space="0" w:color="auto"/>
        <w:left w:val="none" w:sz="0" w:space="0" w:color="auto"/>
        <w:bottom w:val="none" w:sz="0" w:space="0" w:color="auto"/>
        <w:right w:val="none" w:sz="0" w:space="0" w:color="auto"/>
      </w:divBdr>
    </w:div>
    <w:div w:id="2040661264">
      <w:bodyDiv w:val="1"/>
      <w:marLeft w:val="0"/>
      <w:marRight w:val="0"/>
      <w:marTop w:val="0"/>
      <w:marBottom w:val="0"/>
      <w:divBdr>
        <w:top w:val="none" w:sz="0" w:space="0" w:color="auto"/>
        <w:left w:val="none" w:sz="0" w:space="0" w:color="auto"/>
        <w:bottom w:val="none" w:sz="0" w:space="0" w:color="auto"/>
        <w:right w:val="none" w:sz="0" w:space="0" w:color="auto"/>
      </w:divBdr>
    </w:div>
    <w:div w:id="2065331308">
      <w:bodyDiv w:val="1"/>
      <w:marLeft w:val="0"/>
      <w:marRight w:val="0"/>
      <w:marTop w:val="0"/>
      <w:marBottom w:val="0"/>
      <w:divBdr>
        <w:top w:val="none" w:sz="0" w:space="0" w:color="auto"/>
        <w:left w:val="none" w:sz="0" w:space="0" w:color="auto"/>
        <w:bottom w:val="none" w:sz="0" w:space="0" w:color="auto"/>
        <w:right w:val="none" w:sz="0" w:space="0" w:color="auto"/>
      </w:divBdr>
      <w:divsChild>
        <w:div w:id="728041142">
          <w:marLeft w:val="0"/>
          <w:marRight w:val="0"/>
          <w:marTop w:val="0"/>
          <w:marBottom w:val="0"/>
          <w:divBdr>
            <w:top w:val="none" w:sz="0" w:space="0" w:color="auto"/>
            <w:left w:val="none" w:sz="0" w:space="0" w:color="auto"/>
            <w:bottom w:val="none" w:sz="0" w:space="0" w:color="auto"/>
            <w:right w:val="none" w:sz="0" w:space="0" w:color="auto"/>
          </w:divBdr>
          <w:divsChild>
            <w:div w:id="41948509">
              <w:marLeft w:val="0"/>
              <w:marRight w:val="0"/>
              <w:marTop w:val="0"/>
              <w:marBottom w:val="0"/>
              <w:divBdr>
                <w:top w:val="none" w:sz="0" w:space="0" w:color="auto"/>
                <w:left w:val="none" w:sz="0" w:space="0" w:color="auto"/>
                <w:bottom w:val="none" w:sz="0" w:space="0" w:color="auto"/>
                <w:right w:val="none" w:sz="0" w:space="0" w:color="auto"/>
              </w:divBdr>
              <w:divsChild>
                <w:div w:id="14453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6686">
      <w:bodyDiv w:val="1"/>
      <w:marLeft w:val="0"/>
      <w:marRight w:val="0"/>
      <w:marTop w:val="0"/>
      <w:marBottom w:val="0"/>
      <w:divBdr>
        <w:top w:val="none" w:sz="0" w:space="0" w:color="auto"/>
        <w:left w:val="none" w:sz="0" w:space="0" w:color="auto"/>
        <w:bottom w:val="none" w:sz="0" w:space="0" w:color="auto"/>
        <w:right w:val="none" w:sz="0" w:space="0" w:color="auto"/>
      </w:divBdr>
      <w:divsChild>
        <w:div w:id="461458744">
          <w:marLeft w:val="0"/>
          <w:marRight w:val="0"/>
          <w:marTop w:val="0"/>
          <w:marBottom w:val="0"/>
          <w:divBdr>
            <w:top w:val="none" w:sz="0" w:space="0" w:color="auto"/>
            <w:left w:val="none" w:sz="0" w:space="0" w:color="auto"/>
            <w:bottom w:val="none" w:sz="0" w:space="0" w:color="auto"/>
            <w:right w:val="none" w:sz="0" w:space="0" w:color="auto"/>
          </w:divBdr>
          <w:divsChild>
            <w:div w:id="915868146">
              <w:marLeft w:val="0"/>
              <w:marRight w:val="0"/>
              <w:marTop w:val="0"/>
              <w:marBottom w:val="0"/>
              <w:divBdr>
                <w:top w:val="none" w:sz="0" w:space="0" w:color="auto"/>
                <w:left w:val="none" w:sz="0" w:space="0" w:color="auto"/>
                <w:bottom w:val="none" w:sz="0" w:space="0" w:color="auto"/>
                <w:right w:val="none" w:sz="0" w:space="0" w:color="auto"/>
              </w:divBdr>
              <w:divsChild>
                <w:div w:id="21440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3880">
      <w:bodyDiv w:val="1"/>
      <w:marLeft w:val="0"/>
      <w:marRight w:val="0"/>
      <w:marTop w:val="0"/>
      <w:marBottom w:val="0"/>
      <w:divBdr>
        <w:top w:val="none" w:sz="0" w:space="0" w:color="auto"/>
        <w:left w:val="none" w:sz="0" w:space="0" w:color="auto"/>
        <w:bottom w:val="none" w:sz="0" w:space="0" w:color="auto"/>
        <w:right w:val="none" w:sz="0" w:space="0" w:color="auto"/>
      </w:divBdr>
      <w:divsChild>
        <w:div w:id="191189094">
          <w:marLeft w:val="0"/>
          <w:marRight w:val="0"/>
          <w:marTop w:val="0"/>
          <w:marBottom w:val="0"/>
          <w:divBdr>
            <w:top w:val="none" w:sz="0" w:space="0" w:color="auto"/>
            <w:left w:val="none" w:sz="0" w:space="0" w:color="auto"/>
            <w:bottom w:val="none" w:sz="0" w:space="0" w:color="auto"/>
            <w:right w:val="none" w:sz="0" w:space="0" w:color="auto"/>
          </w:divBdr>
          <w:divsChild>
            <w:div w:id="2103724071">
              <w:marLeft w:val="0"/>
              <w:marRight w:val="0"/>
              <w:marTop w:val="0"/>
              <w:marBottom w:val="0"/>
              <w:divBdr>
                <w:top w:val="none" w:sz="0" w:space="0" w:color="auto"/>
                <w:left w:val="none" w:sz="0" w:space="0" w:color="auto"/>
                <w:bottom w:val="none" w:sz="0" w:space="0" w:color="auto"/>
                <w:right w:val="none" w:sz="0" w:space="0" w:color="auto"/>
              </w:divBdr>
              <w:divsChild>
                <w:div w:id="5398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nytimes.com/2010/07/11/world/europe/11Mladi&#2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F4EBC-7052-9D40-96BC-C2DB61C2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3416</Words>
  <Characters>14929</Characters>
  <Application>Microsoft Office Word</Application>
  <DocSecurity>0</DocSecurity>
  <Lines>452</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Redwood, Henry</dc:creator>
  <cp:keywords/>
  <dc:description/>
  <cp:lastModifiedBy>Redwood, Henry</cp:lastModifiedBy>
  <cp:revision>2</cp:revision>
  <dcterms:created xsi:type="dcterms:W3CDTF">2020-06-01T08:53:00Z</dcterms:created>
  <dcterms:modified xsi:type="dcterms:W3CDTF">2020-06-01T08:53:00Z</dcterms:modified>
</cp:coreProperties>
</file>