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191170" w14:textId="77777777" w:rsidR="00AA3E3D" w:rsidRPr="00E70FC8" w:rsidRDefault="00AA3E3D" w:rsidP="00AA3E3D">
      <w:pPr>
        <w:pStyle w:val="Text"/>
        <w:ind w:firstLine="0"/>
        <w:rPr>
          <w:sz w:val="18"/>
          <w:szCs w:val="18"/>
        </w:rPr>
      </w:pPr>
      <w:r w:rsidRPr="00E70FC8">
        <w:rPr>
          <w:sz w:val="18"/>
          <w:szCs w:val="18"/>
        </w:rPr>
        <w:footnoteReference w:customMarkFollows="1" w:id="1"/>
        <w:sym w:font="Symbol" w:char="F020"/>
      </w:r>
    </w:p>
    <w:p w14:paraId="61D8058D" w14:textId="30F43CEA" w:rsidR="000D5BE9" w:rsidRPr="00E70FC8" w:rsidRDefault="008C5BCF" w:rsidP="000D5BE9">
      <w:pPr>
        <w:pStyle w:val="Title"/>
        <w:framePr w:wrap="notBeside"/>
      </w:pPr>
      <w:r w:rsidRPr="00E70FC8">
        <w:t>Suitability of Anthill soil as a Supplementary Cementitious Material</w:t>
      </w:r>
    </w:p>
    <w:p w14:paraId="3A77D5E7" w14:textId="1DC828BB" w:rsidR="00AA3E3D" w:rsidRPr="00E70FC8" w:rsidRDefault="000D5BE9" w:rsidP="00AA3E3D">
      <w:pPr>
        <w:pStyle w:val="Authors"/>
        <w:framePr w:wrap="notBeside"/>
        <w:rPr>
          <w:rFonts w:eastAsia="SimSun"/>
          <w:lang w:eastAsia="zh-CN"/>
        </w:rPr>
      </w:pPr>
      <w:r w:rsidRPr="00E70FC8">
        <w:t>J. Kamau, A. Ahmed, P. Hirst and J. Kangwa</w:t>
      </w:r>
    </w:p>
    <w:p w14:paraId="01320C42" w14:textId="77777777" w:rsidR="008C5BCF" w:rsidRPr="00E70FC8" w:rsidRDefault="00AA3E3D" w:rsidP="008C5BCF">
      <w:pPr>
        <w:pStyle w:val="Default"/>
        <w:rPr>
          <w:color w:val="auto"/>
        </w:rPr>
      </w:pPr>
      <w:r w:rsidRPr="00E70FC8">
        <w:rPr>
          <w:b/>
          <w:i/>
          <w:iCs/>
          <w:color w:val="auto"/>
        </w:rPr>
        <w:t>Abstract</w:t>
      </w:r>
      <w:r w:rsidRPr="00E70FC8">
        <w:rPr>
          <w:b/>
          <w:color w:val="auto"/>
        </w:rPr>
        <w:t>—</w:t>
      </w:r>
      <w:r w:rsidR="000D5BE9" w:rsidRPr="00E70FC8">
        <w:rPr>
          <w:color w:val="auto"/>
        </w:rPr>
        <w:t xml:space="preserve"> </w:t>
      </w:r>
    </w:p>
    <w:p w14:paraId="5A22C6D0" w14:textId="1CB7BC1F" w:rsidR="000D5BE9" w:rsidRPr="00E70FC8" w:rsidRDefault="008C5BCF" w:rsidP="008C5BCF">
      <w:pPr>
        <w:jc w:val="both"/>
      </w:pPr>
      <w:r w:rsidRPr="00E70FC8">
        <w:t xml:space="preserve"> </w:t>
      </w:r>
      <w:r w:rsidRPr="00E70FC8">
        <w:rPr>
          <w:b/>
          <w:bCs/>
          <w:sz w:val="18"/>
          <w:szCs w:val="18"/>
        </w:rPr>
        <w:t xml:space="preserve">Cement is the most </w:t>
      </w:r>
      <w:proofErr w:type="spellStart"/>
      <w:r w:rsidRPr="00E70FC8">
        <w:rPr>
          <w:b/>
          <w:bCs/>
          <w:sz w:val="18"/>
          <w:szCs w:val="18"/>
        </w:rPr>
        <w:t>utilised</w:t>
      </w:r>
      <w:proofErr w:type="spellEnd"/>
      <w:r w:rsidRPr="00E70FC8">
        <w:rPr>
          <w:b/>
          <w:bCs/>
          <w:sz w:val="18"/>
          <w:szCs w:val="18"/>
        </w:rPr>
        <w:t xml:space="preserve"> construction material and the second most consumed commodity in the world after water. It has been reported that the heavily energy-intensive processes that are involved in its production contribute about 7 to 10% to the total global anthropogenic carbon dioxide (CO</w:t>
      </w:r>
      <w:r w:rsidRPr="00E70FC8">
        <w:rPr>
          <w:b/>
          <w:bCs/>
          <w:sz w:val="12"/>
          <w:szCs w:val="12"/>
        </w:rPr>
        <w:t>2</w:t>
      </w:r>
      <w:r w:rsidRPr="00E70FC8">
        <w:rPr>
          <w:b/>
          <w:bCs/>
          <w:sz w:val="18"/>
          <w:szCs w:val="18"/>
        </w:rPr>
        <w:t>), which is the main cause of global warming; and are expensive economically. It is however possible, that energy and cost efficiency can be achieved by reducing on the amount of cement, and in its place utilizing Supplementary Cementitious Materials (SCMs), which require less process heating and emit fewer levels of CO</w:t>
      </w:r>
      <w:r w:rsidRPr="00E70FC8">
        <w:rPr>
          <w:b/>
          <w:bCs/>
          <w:sz w:val="12"/>
          <w:szCs w:val="12"/>
        </w:rPr>
        <w:t>2</w:t>
      </w:r>
      <w:r w:rsidRPr="00E70FC8">
        <w:rPr>
          <w:b/>
          <w:bCs/>
          <w:sz w:val="18"/>
          <w:szCs w:val="18"/>
        </w:rPr>
        <w:t xml:space="preserve">. This work aimed to provide an original contribution to the body of knowledge by investigating the suitability of Anthill Soil (AHS) as an SCM by testing for </w:t>
      </w:r>
      <w:proofErr w:type="spellStart"/>
      <w:r w:rsidRPr="00E70FC8">
        <w:rPr>
          <w:b/>
          <w:bCs/>
          <w:sz w:val="18"/>
          <w:szCs w:val="18"/>
        </w:rPr>
        <w:t>pozzolanic</w:t>
      </w:r>
      <w:proofErr w:type="spellEnd"/>
      <w:r w:rsidRPr="00E70FC8">
        <w:rPr>
          <w:b/>
          <w:bCs/>
          <w:sz w:val="18"/>
          <w:szCs w:val="18"/>
        </w:rPr>
        <w:t xml:space="preserve"> or hydraulic properties. Cement was replaced in concrete with AHS by weight at 0%, 5%, 7.5%, 10%, 15%, 20%, 25%, and 30% steps at the point of need. The 0% replacement was used as the reference point from which performances were measured. The chemical composition analysis by X-ray diffraction (XRD) showed that AHS contained the required chemical composition for </w:t>
      </w:r>
      <w:proofErr w:type="spellStart"/>
      <w:r w:rsidRPr="00E70FC8">
        <w:rPr>
          <w:b/>
          <w:bCs/>
          <w:sz w:val="18"/>
          <w:szCs w:val="18"/>
        </w:rPr>
        <w:t>pozzolans</w:t>
      </w:r>
      <w:proofErr w:type="spellEnd"/>
      <w:r w:rsidRPr="00E70FC8">
        <w:rPr>
          <w:b/>
          <w:bCs/>
          <w:sz w:val="18"/>
          <w:szCs w:val="18"/>
        </w:rPr>
        <w:t>, while the compressive strengths achieved were above strength classes that are specified as being suitable for structural applications. The increase in compressive strength over time, density and workability behaviors of AHS were consistent with the characteristics of SCMs. All results across the tests showed good repeatability, highlighting the potential of using AHS as an SCM in concrete to enhance the sustainability and economic aspect of concrete, while at the same time improving its properties in both the wet and hardened states.</w:t>
      </w:r>
    </w:p>
    <w:p w14:paraId="2255D8C2" w14:textId="089F162F" w:rsidR="00AA3E3D" w:rsidRPr="00E70FC8" w:rsidRDefault="00AA3E3D" w:rsidP="00AA3E3D">
      <w:pPr>
        <w:pStyle w:val="Abstract"/>
      </w:pPr>
    </w:p>
    <w:p w14:paraId="52695C26" w14:textId="77777777" w:rsidR="00AA3E3D" w:rsidRPr="00E70FC8" w:rsidRDefault="00AA3E3D" w:rsidP="00AA3E3D"/>
    <w:p w14:paraId="2F00F732" w14:textId="40AB683A" w:rsidR="00AA3E3D" w:rsidRPr="00E70FC8" w:rsidRDefault="00AA3E3D" w:rsidP="008C5BCF">
      <w:pPr>
        <w:pStyle w:val="Default"/>
        <w:rPr>
          <w:color w:val="auto"/>
        </w:rPr>
      </w:pPr>
      <w:bookmarkStart w:id="0" w:name="OLE_LINK1"/>
      <w:bookmarkStart w:id="1" w:name="OLE_LINK2"/>
      <w:bookmarkStart w:id="2" w:name="OLE_LINK5"/>
      <w:bookmarkStart w:id="3" w:name="PointTmp"/>
      <w:r w:rsidRPr="00E70FC8">
        <w:rPr>
          <w:i/>
          <w:iCs/>
          <w:color w:val="auto"/>
        </w:rPr>
        <w:t>Index Terms</w:t>
      </w:r>
      <w:r w:rsidRPr="00E70FC8">
        <w:rPr>
          <w:color w:val="auto"/>
        </w:rPr>
        <w:t>—</w:t>
      </w:r>
      <w:bookmarkEnd w:id="0"/>
      <w:bookmarkEnd w:id="1"/>
      <w:bookmarkEnd w:id="2"/>
      <w:r w:rsidR="008C5BCF" w:rsidRPr="00E70FC8">
        <w:rPr>
          <w:color w:val="auto"/>
        </w:rPr>
        <w:t xml:space="preserve"> </w:t>
      </w:r>
      <w:r w:rsidR="008C5BCF" w:rsidRPr="00E70FC8">
        <w:rPr>
          <w:b/>
          <w:bCs/>
          <w:color w:val="auto"/>
          <w:sz w:val="18"/>
          <w:szCs w:val="18"/>
        </w:rPr>
        <w:t xml:space="preserve">Anthill Soil; Supplementary Cementitious Materials; Partial Cement Replacements; </w:t>
      </w:r>
      <w:proofErr w:type="spellStart"/>
      <w:r w:rsidR="008C5BCF" w:rsidRPr="00E70FC8">
        <w:rPr>
          <w:b/>
          <w:bCs/>
          <w:color w:val="auto"/>
          <w:sz w:val="18"/>
          <w:szCs w:val="18"/>
        </w:rPr>
        <w:t>Pozzolans</w:t>
      </w:r>
      <w:proofErr w:type="spellEnd"/>
      <w:r w:rsidR="008C5BCF" w:rsidRPr="00E70FC8">
        <w:rPr>
          <w:b/>
          <w:bCs/>
          <w:color w:val="auto"/>
          <w:sz w:val="18"/>
          <w:szCs w:val="18"/>
        </w:rPr>
        <w:t>,</w:t>
      </w:r>
      <w:r w:rsidR="00BF08FE" w:rsidRPr="00E70FC8">
        <w:rPr>
          <w:color w:val="auto"/>
        </w:rPr>
        <w:t xml:space="preserve"> </w:t>
      </w:r>
    </w:p>
    <w:p w14:paraId="53180763" w14:textId="77777777" w:rsidR="00AA3E3D" w:rsidRPr="00E70FC8" w:rsidRDefault="00AA3E3D" w:rsidP="00AA3E3D"/>
    <w:bookmarkEnd w:id="3"/>
    <w:p w14:paraId="5BE05314" w14:textId="77777777" w:rsidR="00AA3E3D" w:rsidRPr="00E70FC8" w:rsidRDefault="00AA3E3D" w:rsidP="00AA3E3D">
      <w:pPr>
        <w:pStyle w:val="Heading1"/>
      </w:pPr>
      <w:r w:rsidRPr="00E70FC8">
        <w:t>Introduction</w:t>
      </w:r>
    </w:p>
    <w:p w14:paraId="08E47248" w14:textId="77777777" w:rsidR="008C5BCF" w:rsidRPr="00E70FC8" w:rsidRDefault="008C5BCF" w:rsidP="008C5BCF">
      <w:pPr>
        <w:pStyle w:val="Default"/>
        <w:rPr>
          <w:color w:val="auto"/>
        </w:rPr>
      </w:pPr>
    </w:p>
    <w:p w14:paraId="3F00E1B7" w14:textId="77777777" w:rsidR="008C5BCF" w:rsidRPr="00E70FC8" w:rsidRDefault="008C5BCF" w:rsidP="008C5BCF">
      <w:pPr>
        <w:pStyle w:val="Default"/>
        <w:rPr>
          <w:color w:val="auto"/>
          <w:sz w:val="20"/>
          <w:szCs w:val="20"/>
        </w:rPr>
      </w:pPr>
      <w:r w:rsidRPr="00E70FC8">
        <w:rPr>
          <w:color w:val="auto"/>
        </w:rPr>
        <w:t xml:space="preserve"> </w:t>
      </w:r>
      <w:r w:rsidRPr="00E70FC8">
        <w:rPr>
          <w:color w:val="auto"/>
          <w:sz w:val="20"/>
          <w:szCs w:val="20"/>
        </w:rPr>
        <w:t>Global warming is a phenomenon that brings about a rise in global temperatures due to the presence of excessive carbon dioxide (CO</w:t>
      </w:r>
      <w:r w:rsidRPr="00E70FC8">
        <w:rPr>
          <w:color w:val="auto"/>
          <w:sz w:val="13"/>
          <w:szCs w:val="13"/>
        </w:rPr>
        <w:t>2</w:t>
      </w:r>
      <w:r w:rsidRPr="00E70FC8">
        <w:rPr>
          <w:color w:val="auto"/>
          <w:sz w:val="20"/>
          <w:szCs w:val="20"/>
        </w:rPr>
        <w:t xml:space="preserve">) in the atmosphere, and is cumulative and irreversible over timescales of centuries [1], [2]. </w:t>
      </w:r>
    </w:p>
    <w:p w14:paraId="712664C0" w14:textId="77777777" w:rsidR="008C5BCF" w:rsidRPr="00E70FC8" w:rsidRDefault="008C5BCF" w:rsidP="008C5BCF">
      <w:pPr>
        <w:pStyle w:val="Default"/>
        <w:rPr>
          <w:color w:val="auto"/>
        </w:rPr>
      </w:pPr>
      <w:r w:rsidRPr="00E70FC8">
        <w:rPr>
          <w:color w:val="auto"/>
          <w:sz w:val="20"/>
          <w:szCs w:val="20"/>
        </w:rPr>
        <w:t>Cement is heavily energy intensive and has a considerably high carbon footprint, contributing immensely to global anthropogenic CO</w:t>
      </w:r>
      <w:r w:rsidRPr="00E70FC8">
        <w:rPr>
          <w:color w:val="auto"/>
          <w:sz w:val="13"/>
          <w:szCs w:val="13"/>
        </w:rPr>
        <w:t xml:space="preserve">2 </w:t>
      </w:r>
      <w:r w:rsidRPr="00E70FC8">
        <w:rPr>
          <w:color w:val="auto"/>
          <w:sz w:val="20"/>
          <w:szCs w:val="20"/>
        </w:rPr>
        <w:t xml:space="preserve">through the burning of fossil fuels that power the processes of its production [3]. It is the main ingredient of concrete, constituting between 7 to 15% of the total mass of concrete [4]. Its yearly global </w:t>
      </w:r>
    </w:p>
    <w:p w14:paraId="68F41EF8" w14:textId="77777777" w:rsidR="008C5BCF" w:rsidRPr="00E70FC8" w:rsidRDefault="008C5BCF" w:rsidP="008C5BCF">
      <w:pPr>
        <w:pStyle w:val="Default"/>
        <w:rPr>
          <w:color w:val="auto"/>
          <w:sz w:val="20"/>
          <w:szCs w:val="20"/>
        </w:rPr>
      </w:pPr>
      <w:r w:rsidRPr="00E70FC8">
        <w:rPr>
          <w:color w:val="auto"/>
        </w:rPr>
        <w:t xml:space="preserve"> </w:t>
      </w:r>
      <w:r w:rsidRPr="00E70FC8">
        <w:rPr>
          <w:color w:val="auto"/>
          <w:sz w:val="20"/>
          <w:szCs w:val="20"/>
        </w:rPr>
        <w:t>was 1.6 billion tonnes over 10 years ago, and accounted for about 7% of the total global CO</w:t>
      </w:r>
      <w:r w:rsidRPr="00E70FC8">
        <w:rPr>
          <w:color w:val="auto"/>
          <w:sz w:val="13"/>
          <w:szCs w:val="13"/>
        </w:rPr>
        <w:t xml:space="preserve">2 </w:t>
      </w:r>
      <w:r w:rsidRPr="00E70FC8">
        <w:rPr>
          <w:color w:val="auto"/>
          <w:sz w:val="20"/>
          <w:szCs w:val="20"/>
        </w:rPr>
        <w:t>loading in the atmosphere, a considerably high volume of emissions compared with only 2% of the total global CO</w:t>
      </w:r>
      <w:r w:rsidRPr="00E70FC8">
        <w:rPr>
          <w:color w:val="auto"/>
          <w:sz w:val="13"/>
          <w:szCs w:val="13"/>
        </w:rPr>
        <w:t xml:space="preserve">2 </w:t>
      </w:r>
      <w:r w:rsidRPr="00E70FC8">
        <w:rPr>
          <w:color w:val="auto"/>
          <w:sz w:val="20"/>
          <w:szCs w:val="20"/>
        </w:rPr>
        <w:t xml:space="preserve">emissions that is attributed to aviation [2], [5]. </w:t>
      </w:r>
    </w:p>
    <w:p w14:paraId="3ED41104" w14:textId="77777777" w:rsidR="002424D9" w:rsidRPr="00E70FC8" w:rsidRDefault="008C5BCF" w:rsidP="008C5BCF">
      <w:pPr>
        <w:pStyle w:val="Text"/>
      </w:pPr>
      <w:r w:rsidRPr="00E70FC8">
        <w:t xml:space="preserve">It has been suggested that the production of a </w:t>
      </w:r>
      <w:proofErr w:type="spellStart"/>
      <w:r w:rsidRPr="00E70FC8">
        <w:t>tonne</w:t>
      </w:r>
      <w:proofErr w:type="spellEnd"/>
      <w:r w:rsidRPr="00E70FC8">
        <w:t xml:space="preserve"> of cement emits approximately a corresponding </w:t>
      </w:r>
      <w:proofErr w:type="spellStart"/>
      <w:r w:rsidRPr="00E70FC8">
        <w:t>tonne</w:t>
      </w:r>
      <w:proofErr w:type="spellEnd"/>
      <w:r w:rsidRPr="00E70FC8">
        <w:t xml:space="preserve"> of CO</w:t>
      </w:r>
      <w:r w:rsidRPr="00E70FC8">
        <w:rPr>
          <w:sz w:val="13"/>
          <w:szCs w:val="13"/>
        </w:rPr>
        <w:t>2</w:t>
      </w:r>
      <w:r w:rsidRPr="00E70FC8">
        <w:t xml:space="preserve">, making it the most energy-intensive material produced after steel and </w:t>
      </w:r>
      <w:proofErr w:type="spellStart"/>
      <w:r w:rsidRPr="00E70FC8">
        <w:t>aluminium</w:t>
      </w:r>
      <w:proofErr w:type="spellEnd"/>
      <w:r w:rsidRPr="00E70FC8">
        <w:t xml:space="preserve"> [6]. CO</w:t>
      </w:r>
      <w:r w:rsidRPr="00E70FC8">
        <w:rPr>
          <w:sz w:val="13"/>
          <w:szCs w:val="13"/>
        </w:rPr>
        <w:t xml:space="preserve">2 </w:t>
      </w:r>
      <w:r w:rsidRPr="00E70FC8">
        <w:t xml:space="preserve">that is emitted during the production of cement comes from the raw materials, fossil fuels and electric power used as was </w:t>
      </w:r>
      <w:proofErr w:type="spellStart"/>
      <w:r w:rsidRPr="00E70FC8">
        <w:t>summarised</w:t>
      </w:r>
      <w:proofErr w:type="spellEnd"/>
      <w:r w:rsidRPr="00E70FC8">
        <w:t xml:space="preserve"> by [7] in (1), </w:t>
      </w:r>
    </w:p>
    <w:p w14:paraId="03CA5B86" w14:textId="7BA56A44" w:rsidR="002424D9" w:rsidRPr="00E70FC8" w:rsidRDefault="002424D9" w:rsidP="002424D9">
      <w:pPr>
        <w:pStyle w:val="Text"/>
      </w:pPr>
      <w:r w:rsidRPr="00E70FC8">
        <w:t xml:space="preserve"> CO</w:t>
      </w:r>
      <w:r w:rsidRPr="00E70FC8">
        <w:rPr>
          <w:sz w:val="13"/>
          <w:szCs w:val="13"/>
        </w:rPr>
        <w:t xml:space="preserve">2 total </w:t>
      </w:r>
      <w:r w:rsidRPr="00E70FC8">
        <w:t>= CO</w:t>
      </w:r>
      <w:r w:rsidRPr="00E70FC8">
        <w:rPr>
          <w:sz w:val="13"/>
          <w:szCs w:val="13"/>
        </w:rPr>
        <w:t xml:space="preserve">2 raw materials </w:t>
      </w:r>
      <w:r w:rsidRPr="00E70FC8">
        <w:t>+ CO</w:t>
      </w:r>
      <w:r w:rsidRPr="00E70FC8">
        <w:rPr>
          <w:sz w:val="13"/>
          <w:szCs w:val="13"/>
        </w:rPr>
        <w:t xml:space="preserve">2 fuels </w:t>
      </w:r>
      <w:r w:rsidRPr="00E70FC8">
        <w:t>+ CO</w:t>
      </w:r>
      <w:r w:rsidRPr="00E70FC8">
        <w:rPr>
          <w:sz w:val="13"/>
          <w:szCs w:val="13"/>
        </w:rPr>
        <w:t xml:space="preserve">2 electric power </w:t>
      </w:r>
      <w:r w:rsidRPr="00E70FC8">
        <w:t>(1)</w:t>
      </w:r>
    </w:p>
    <w:p w14:paraId="0B352D89" w14:textId="77777777" w:rsidR="002424D9" w:rsidRPr="00E70FC8" w:rsidRDefault="002424D9" w:rsidP="002424D9">
      <w:pPr>
        <w:pStyle w:val="Default"/>
        <w:rPr>
          <w:color w:val="auto"/>
        </w:rPr>
      </w:pPr>
    </w:p>
    <w:p w14:paraId="1220A542" w14:textId="77777777" w:rsidR="002424D9" w:rsidRPr="00E70FC8" w:rsidRDefault="002424D9" w:rsidP="002424D9">
      <w:pPr>
        <w:pStyle w:val="Default"/>
        <w:rPr>
          <w:color w:val="auto"/>
          <w:sz w:val="20"/>
          <w:szCs w:val="20"/>
        </w:rPr>
      </w:pPr>
      <w:r w:rsidRPr="00E70FC8">
        <w:rPr>
          <w:color w:val="auto"/>
        </w:rPr>
        <w:t xml:space="preserve"> </w:t>
      </w:r>
      <w:r w:rsidRPr="00E70FC8">
        <w:rPr>
          <w:color w:val="auto"/>
          <w:sz w:val="20"/>
          <w:szCs w:val="20"/>
        </w:rPr>
        <w:t>A study conducted by [8] reported that the embodied carbon dioxide (ECO</w:t>
      </w:r>
      <w:r w:rsidRPr="00E70FC8">
        <w:rPr>
          <w:color w:val="auto"/>
          <w:sz w:val="13"/>
          <w:szCs w:val="13"/>
        </w:rPr>
        <w:t>2</w:t>
      </w:r>
      <w:r w:rsidRPr="00E70FC8">
        <w:rPr>
          <w:color w:val="auto"/>
          <w:sz w:val="20"/>
          <w:szCs w:val="20"/>
        </w:rPr>
        <w:t>) of cement from cradle to factory gate was 930kg CO</w:t>
      </w:r>
      <w:r w:rsidRPr="00E70FC8">
        <w:rPr>
          <w:color w:val="auto"/>
          <w:sz w:val="13"/>
          <w:szCs w:val="13"/>
        </w:rPr>
        <w:t>2</w:t>
      </w:r>
      <w:r w:rsidRPr="00E70FC8">
        <w:rPr>
          <w:color w:val="auto"/>
          <w:sz w:val="20"/>
          <w:szCs w:val="20"/>
        </w:rPr>
        <w:t xml:space="preserve">/tonne on average. </w:t>
      </w:r>
    </w:p>
    <w:p w14:paraId="353976DC" w14:textId="77777777" w:rsidR="002424D9" w:rsidRPr="00E70FC8" w:rsidRDefault="002424D9" w:rsidP="002424D9">
      <w:pPr>
        <w:pStyle w:val="Text"/>
      </w:pPr>
      <w:r w:rsidRPr="00E70FC8">
        <w:t xml:space="preserve">According to [9], the extent of the problem is compounded by the amount of cement that is consumed globally, with [10] describing it as the most </w:t>
      </w:r>
      <w:proofErr w:type="spellStart"/>
      <w:r w:rsidRPr="00E70FC8">
        <w:t>utilised</w:t>
      </w:r>
      <w:proofErr w:type="spellEnd"/>
      <w:r w:rsidRPr="00E70FC8">
        <w:t xml:space="preserve"> construction material in the world, its global consumption only seconding that of water. Reference [11] argued that the development of a nation is directly proportional to its consumption of concrete. </w:t>
      </w:r>
    </w:p>
    <w:p w14:paraId="4E991B62" w14:textId="77777777" w:rsidR="002424D9" w:rsidRPr="00E70FC8" w:rsidRDefault="002424D9" w:rsidP="002424D9">
      <w:pPr>
        <w:pStyle w:val="Default"/>
        <w:rPr>
          <w:color w:val="auto"/>
        </w:rPr>
      </w:pPr>
    </w:p>
    <w:p w14:paraId="62BC5571" w14:textId="77777777" w:rsidR="002424D9" w:rsidRPr="00E70FC8" w:rsidRDefault="002424D9" w:rsidP="002424D9">
      <w:pPr>
        <w:pStyle w:val="Default"/>
        <w:rPr>
          <w:color w:val="auto"/>
          <w:sz w:val="20"/>
          <w:szCs w:val="20"/>
        </w:rPr>
      </w:pPr>
      <w:r w:rsidRPr="00E70FC8">
        <w:rPr>
          <w:color w:val="auto"/>
        </w:rPr>
        <w:t xml:space="preserve"> </w:t>
      </w:r>
      <w:r w:rsidRPr="00E70FC8">
        <w:rPr>
          <w:color w:val="auto"/>
          <w:sz w:val="20"/>
          <w:szCs w:val="20"/>
        </w:rPr>
        <w:t xml:space="preserve">One tonne of concrete on average is produced every year for each human being in the world, a population that is currently standing above 7 billion [12], [13]. The ever-growing population that is matched by a corresponding increase in demand for socio-economic infrastructure that is aimed at creating affluent societies, especially in the developing world and former socialite countries, has brought about a steady increase in the demand for cement in the past few decades [11], [14]. As a result, construction investment has been directly linked to higher gross domestic product (GDP), and a suspension in this investment is referred to as a recession [11], [14]. </w:t>
      </w:r>
    </w:p>
    <w:p w14:paraId="6E26BDE5" w14:textId="77777777" w:rsidR="002424D9" w:rsidRPr="00E70FC8" w:rsidRDefault="002424D9" w:rsidP="002424D9">
      <w:pPr>
        <w:pStyle w:val="Default"/>
        <w:rPr>
          <w:color w:val="auto"/>
          <w:sz w:val="20"/>
          <w:szCs w:val="20"/>
        </w:rPr>
      </w:pPr>
      <w:r w:rsidRPr="00E70FC8">
        <w:rPr>
          <w:color w:val="auto"/>
          <w:sz w:val="20"/>
          <w:szCs w:val="20"/>
        </w:rPr>
        <w:t xml:space="preserve">In as much as development is required to match increasing populations, it should also be sustainable [15]. Steele, et al. [15]defined sustainability as a road for society advancement in which progress must be in harmony with the natural world rather than in conflict with it, whereas Reference [6], termed it as a regime in which </w:t>
      </w:r>
      <w:proofErr w:type="spellStart"/>
      <w:r w:rsidRPr="00E70FC8">
        <w:rPr>
          <w:color w:val="auto"/>
          <w:sz w:val="20"/>
          <w:szCs w:val="20"/>
        </w:rPr>
        <w:t>endeavors</w:t>
      </w:r>
      <w:proofErr w:type="spellEnd"/>
      <w:r w:rsidRPr="00E70FC8">
        <w:rPr>
          <w:color w:val="auto"/>
          <w:sz w:val="20"/>
          <w:szCs w:val="20"/>
        </w:rPr>
        <w:t xml:space="preserve"> are towards meeting the needs of the present generation, without compromising those of future generations. The underlying principles of sustainability lie in the appropriate balance of economic, social and environmental impacts [16].</w:t>
      </w:r>
    </w:p>
    <w:p w14:paraId="66D59878" w14:textId="02C6C741" w:rsidR="00793A13" w:rsidRPr="00E70FC8" w:rsidRDefault="002424D9" w:rsidP="002424D9">
      <w:pPr>
        <w:pStyle w:val="Text"/>
      </w:pPr>
      <w:r w:rsidRPr="00E70FC8">
        <w:t xml:space="preserve">With a heavy demand for concrete in the developing world and other major and equally populous economies such as China and India predicted, cement producing companies have </w:t>
      </w:r>
      <w:r w:rsidRPr="00E70FC8">
        <w:lastRenderedPageBreak/>
        <w:t xml:space="preserve">not anticipated in the foreseeable future any major changes in production that will reduce on emissions [17]. However, energy efficiency and improved properties of concrete can be achieved by reducing on the amount of clinker and </w:t>
      </w:r>
      <w:proofErr w:type="spellStart"/>
      <w:r w:rsidRPr="00E70FC8">
        <w:t>utilising</w:t>
      </w:r>
      <w:proofErr w:type="spellEnd"/>
      <w:r w:rsidRPr="00E70FC8">
        <w:t xml:space="preserve"> Supplementary Cementitious Materials (SCMs) such as Pulverized Fuel Ash (PFA), Ground Granulated Blast Furnace Slag (GGBS), Silica Fume (SF), Rice Husk Ash (RHA) and Corncob Ash (CCA), which require less process heating and emit fewer levels of CO</w:t>
      </w:r>
      <w:r w:rsidRPr="00E70FC8">
        <w:rPr>
          <w:sz w:val="13"/>
          <w:szCs w:val="13"/>
        </w:rPr>
        <w:t>2</w:t>
      </w:r>
      <w:r w:rsidRPr="00E70FC8">
        <w:t>[6], [17].</w:t>
      </w:r>
    </w:p>
    <w:p w14:paraId="7535A711" w14:textId="6C08820C" w:rsidR="00793A13" w:rsidRPr="00E70FC8" w:rsidRDefault="002424D9" w:rsidP="00793A13">
      <w:pPr>
        <w:pStyle w:val="Text"/>
      </w:pPr>
      <w:r w:rsidRPr="00E70FC8">
        <w:t xml:space="preserve">It has also been argued that cement is the most expensive constituent of concrete, its prices bearing the characteristic of an astronomical increase annually, and thereby becoming a constraint to the delivery of affordable housing and other essential development [18]. As prices continue to increase, the need for low-cost but functional construction materials that are capable of being sourced locally for use by low-income earners cannot be </w:t>
      </w:r>
      <w:proofErr w:type="spellStart"/>
      <w:r w:rsidRPr="00E70FC8">
        <w:t>emphasised</w:t>
      </w:r>
      <w:proofErr w:type="spellEnd"/>
      <w:r w:rsidRPr="00E70FC8">
        <w:t xml:space="preserve"> enough [19]. The successive use of SCMs in concrete could be a potentially large market for their </w:t>
      </w:r>
      <w:proofErr w:type="spellStart"/>
      <w:r w:rsidRPr="00E70FC8">
        <w:t>utilisation</w:t>
      </w:r>
      <w:proofErr w:type="spellEnd"/>
      <w:r w:rsidRPr="00E70FC8">
        <w:t xml:space="preserve"> in the construction of low cost buildings [17].</w:t>
      </w:r>
    </w:p>
    <w:p w14:paraId="0C7D3711" w14:textId="3C74323B" w:rsidR="00C22B83" w:rsidRPr="00E70FC8" w:rsidRDefault="00C22B83" w:rsidP="00793A13">
      <w:pPr>
        <w:pStyle w:val="Text"/>
      </w:pPr>
      <w:r w:rsidRPr="00E70FC8">
        <w:rPr>
          <w:noProof/>
          <w:lang w:val="en-GB" w:eastAsia="en-GB"/>
        </w:rPr>
        <w:drawing>
          <wp:anchor distT="0" distB="0" distL="114300" distR="114300" simplePos="0" relativeHeight="251662336" behindDoc="0" locked="0" layoutInCell="1" allowOverlap="1" wp14:anchorId="4E55D47A" wp14:editId="50B7D607">
            <wp:simplePos x="0" y="0"/>
            <wp:positionH relativeFrom="margin">
              <wp:align>left</wp:align>
            </wp:positionH>
            <wp:positionV relativeFrom="paragraph">
              <wp:posOffset>880110</wp:posOffset>
            </wp:positionV>
            <wp:extent cx="2847975" cy="2266950"/>
            <wp:effectExtent l="0" t="0" r="952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7975"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FC8">
        <w:t xml:space="preserve">Anthills, shown in Fig.1 are natural clay soils that are very cohesive in nature, and therefore must have a high plasticity index [20]. They are made up of soil grains that are coated with sticky rapidly hardening secretions from the recta and mouths of ants [21]. </w:t>
      </w:r>
    </w:p>
    <w:p w14:paraId="7EF467CE" w14:textId="6B47FFDB" w:rsidR="00C22B83" w:rsidRPr="00E70FC8" w:rsidRDefault="00C22B83" w:rsidP="00793A13">
      <w:pPr>
        <w:pStyle w:val="Text"/>
      </w:pPr>
    </w:p>
    <w:p w14:paraId="1D71F5B5" w14:textId="379AA728" w:rsidR="00C22B83" w:rsidRPr="00E70FC8" w:rsidRDefault="00C22B83" w:rsidP="00793A13">
      <w:pPr>
        <w:pStyle w:val="Text"/>
      </w:pPr>
      <w:r w:rsidRPr="00E70FC8">
        <w:rPr>
          <w:sz w:val="16"/>
          <w:szCs w:val="16"/>
        </w:rPr>
        <w:t xml:space="preserve">Fig 1. Anthill soil in </w:t>
      </w:r>
      <w:proofErr w:type="spellStart"/>
      <w:r w:rsidRPr="00E70FC8">
        <w:rPr>
          <w:sz w:val="16"/>
          <w:szCs w:val="16"/>
        </w:rPr>
        <w:t>Tsavo</w:t>
      </w:r>
      <w:proofErr w:type="spellEnd"/>
      <w:r w:rsidRPr="00E70FC8">
        <w:rPr>
          <w:sz w:val="16"/>
          <w:szCs w:val="16"/>
        </w:rPr>
        <w:t xml:space="preserve"> National Park West (picture by authors) </w:t>
      </w:r>
    </w:p>
    <w:p w14:paraId="7E49D3DD" w14:textId="61C0C206" w:rsidR="000E02F8" w:rsidRPr="00E70FC8" w:rsidRDefault="00C22B83" w:rsidP="000E02F8">
      <w:pPr>
        <w:pStyle w:val="Heading1"/>
      </w:pPr>
      <w:r w:rsidRPr="00E70FC8">
        <w:t>CHARACTERISTICS OF SCMs</w:t>
      </w:r>
    </w:p>
    <w:p w14:paraId="083E01B8" w14:textId="77777777" w:rsidR="00C22B83" w:rsidRPr="00E70FC8" w:rsidRDefault="00C22B83" w:rsidP="00C22B83">
      <w:pPr>
        <w:pStyle w:val="Default"/>
        <w:rPr>
          <w:color w:val="auto"/>
          <w:sz w:val="20"/>
          <w:szCs w:val="20"/>
        </w:rPr>
      </w:pPr>
      <w:r w:rsidRPr="00E70FC8">
        <w:rPr>
          <w:color w:val="auto"/>
          <w:sz w:val="20"/>
          <w:szCs w:val="20"/>
        </w:rPr>
        <w:t>The right chemical composition is essential for a material to be an effective SCM. The American Society for Testing and Materials [22], [23] recommendations are that the chemical composition should constitute of a sum of at least 70% silicon dioxide (SiO</w:t>
      </w:r>
      <w:r w:rsidRPr="00E70FC8">
        <w:rPr>
          <w:color w:val="auto"/>
          <w:sz w:val="13"/>
          <w:szCs w:val="13"/>
        </w:rPr>
        <w:t>2</w:t>
      </w:r>
      <w:r w:rsidRPr="00E70FC8">
        <w:rPr>
          <w:color w:val="auto"/>
          <w:sz w:val="20"/>
          <w:szCs w:val="20"/>
        </w:rPr>
        <w:t>), Aluminium oxide (Al</w:t>
      </w:r>
      <w:r w:rsidRPr="00E70FC8">
        <w:rPr>
          <w:color w:val="auto"/>
          <w:sz w:val="13"/>
          <w:szCs w:val="13"/>
        </w:rPr>
        <w:t>2</w:t>
      </w:r>
      <w:r w:rsidRPr="00E70FC8">
        <w:rPr>
          <w:color w:val="auto"/>
          <w:sz w:val="20"/>
          <w:szCs w:val="20"/>
        </w:rPr>
        <w:t>O</w:t>
      </w:r>
      <w:r w:rsidRPr="00E70FC8">
        <w:rPr>
          <w:color w:val="auto"/>
          <w:sz w:val="13"/>
          <w:szCs w:val="13"/>
        </w:rPr>
        <w:t>3</w:t>
      </w:r>
      <w:r w:rsidRPr="00E70FC8">
        <w:rPr>
          <w:color w:val="auto"/>
          <w:sz w:val="20"/>
          <w:szCs w:val="20"/>
        </w:rPr>
        <w:t>) and Iron oxide (Fe</w:t>
      </w:r>
      <w:r w:rsidRPr="00E70FC8">
        <w:rPr>
          <w:color w:val="auto"/>
          <w:sz w:val="13"/>
          <w:szCs w:val="13"/>
        </w:rPr>
        <w:t>2</w:t>
      </w:r>
      <w:r w:rsidRPr="00E70FC8">
        <w:rPr>
          <w:color w:val="auto"/>
          <w:sz w:val="20"/>
          <w:szCs w:val="20"/>
        </w:rPr>
        <w:t>O</w:t>
      </w:r>
      <w:r w:rsidRPr="00E70FC8">
        <w:rPr>
          <w:color w:val="auto"/>
          <w:sz w:val="13"/>
          <w:szCs w:val="13"/>
        </w:rPr>
        <w:t>3</w:t>
      </w:r>
      <w:r w:rsidRPr="00E70FC8">
        <w:rPr>
          <w:color w:val="auto"/>
          <w:sz w:val="20"/>
          <w:szCs w:val="20"/>
        </w:rPr>
        <w:t>), a maximum of 10% calcium oxide (</w:t>
      </w:r>
      <w:proofErr w:type="spellStart"/>
      <w:r w:rsidRPr="00E70FC8">
        <w:rPr>
          <w:color w:val="auto"/>
          <w:sz w:val="20"/>
          <w:szCs w:val="20"/>
        </w:rPr>
        <w:t>CaO</w:t>
      </w:r>
      <w:proofErr w:type="spellEnd"/>
      <w:r w:rsidRPr="00E70FC8">
        <w:rPr>
          <w:color w:val="auto"/>
          <w:sz w:val="20"/>
          <w:szCs w:val="20"/>
        </w:rPr>
        <w:t xml:space="preserve">) and a loss on ignition (LOI) of between 5% and 10% for </w:t>
      </w:r>
      <w:proofErr w:type="spellStart"/>
      <w:r w:rsidRPr="00E70FC8">
        <w:rPr>
          <w:color w:val="auto"/>
          <w:sz w:val="20"/>
          <w:szCs w:val="20"/>
        </w:rPr>
        <w:t>pozzolanic</w:t>
      </w:r>
      <w:proofErr w:type="spellEnd"/>
      <w:r w:rsidRPr="00E70FC8">
        <w:rPr>
          <w:color w:val="auto"/>
          <w:sz w:val="20"/>
          <w:szCs w:val="20"/>
        </w:rPr>
        <w:t xml:space="preserve"> materials. According to [17], gain in compressive strength after 28 days and at a higher rate than 100% cement specimens over time is a major characteristic of SCMs. The author explained this characteristic as being a result of the reaction of silicone dioxide (SiO</w:t>
      </w:r>
      <w:r w:rsidRPr="00E70FC8">
        <w:rPr>
          <w:color w:val="auto"/>
          <w:sz w:val="13"/>
          <w:szCs w:val="13"/>
        </w:rPr>
        <w:t>2</w:t>
      </w:r>
      <w:r w:rsidRPr="00E70FC8">
        <w:rPr>
          <w:color w:val="auto"/>
          <w:sz w:val="20"/>
          <w:szCs w:val="20"/>
        </w:rPr>
        <w:t>) present in SCMs with calcium hydroxide [Ca(OH)</w:t>
      </w:r>
      <w:r w:rsidRPr="00E70FC8">
        <w:rPr>
          <w:color w:val="auto"/>
          <w:sz w:val="13"/>
          <w:szCs w:val="13"/>
        </w:rPr>
        <w:t>2</w:t>
      </w:r>
      <w:r w:rsidRPr="00E70FC8">
        <w:rPr>
          <w:color w:val="auto"/>
          <w:sz w:val="20"/>
          <w:szCs w:val="20"/>
        </w:rPr>
        <w:t xml:space="preserve">] that is released during the early hydration of cement, to produce strength giving compounds such as calcium silicate hydrate (C-S-H). </w:t>
      </w:r>
    </w:p>
    <w:p w14:paraId="42F5750F" w14:textId="4DD4B501" w:rsidR="00ED3E67" w:rsidRPr="00E70FC8" w:rsidRDefault="00C22B83" w:rsidP="00C22B83">
      <w:pPr>
        <w:pStyle w:val="Text"/>
        <w:rPr>
          <w:rFonts w:eastAsia="Times New Roman"/>
        </w:rPr>
      </w:pPr>
      <w:r w:rsidRPr="00E70FC8">
        <w:t xml:space="preserve">SCMs reduce the width of the transition zone, porosity and the amount of free </w:t>
      </w:r>
      <w:proofErr w:type="gramStart"/>
      <w:r w:rsidRPr="00E70FC8">
        <w:t>Ca(</w:t>
      </w:r>
      <w:proofErr w:type="gramEnd"/>
      <w:r w:rsidRPr="00E70FC8">
        <w:t>OH)</w:t>
      </w:r>
      <w:r w:rsidRPr="00E70FC8">
        <w:rPr>
          <w:sz w:val="13"/>
          <w:szCs w:val="13"/>
        </w:rPr>
        <w:t xml:space="preserve">2 </w:t>
      </w:r>
      <w:r w:rsidRPr="00E70FC8">
        <w:t xml:space="preserve">between cement and aggregates, </w:t>
      </w:r>
      <w:r w:rsidRPr="00E70FC8">
        <w:lastRenderedPageBreak/>
        <w:t>thereby contributing to enhanced strength and durability with time [17]. Lower densities than cement are also another characteristic of SCMs and are facilitated by their lower particle specific gravity [17]</w:t>
      </w:r>
      <w:proofErr w:type="gramStart"/>
      <w:r w:rsidRPr="00E70FC8">
        <w:t>.</w:t>
      </w:r>
      <w:r w:rsidR="000E02F8" w:rsidRPr="00E70FC8">
        <w:rPr>
          <w:rFonts w:eastAsia="Times New Roman"/>
        </w:rPr>
        <w:t>.</w:t>
      </w:r>
      <w:proofErr w:type="gramEnd"/>
      <w:r w:rsidR="000E02F8" w:rsidRPr="00E70FC8">
        <w:rPr>
          <w:rFonts w:eastAsia="Times New Roman"/>
        </w:rPr>
        <w:t xml:space="preserve"> </w:t>
      </w:r>
    </w:p>
    <w:p w14:paraId="599CAF2F" w14:textId="77777777" w:rsidR="00C22B83" w:rsidRPr="00E70FC8" w:rsidRDefault="00C22B83" w:rsidP="00C22B83">
      <w:pPr>
        <w:pStyle w:val="Default"/>
        <w:rPr>
          <w:color w:val="auto"/>
          <w:sz w:val="20"/>
          <w:szCs w:val="20"/>
        </w:rPr>
      </w:pPr>
    </w:p>
    <w:p w14:paraId="3E1EC630" w14:textId="2CC340E0" w:rsidR="00C22B83" w:rsidRPr="00E70FC8" w:rsidRDefault="00C22B83" w:rsidP="00C22B83">
      <w:pPr>
        <w:pStyle w:val="Default"/>
        <w:rPr>
          <w:color w:val="auto"/>
          <w:sz w:val="20"/>
          <w:szCs w:val="20"/>
        </w:rPr>
      </w:pPr>
      <w:r w:rsidRPr="00E70FC8">
        <w:rPr>
          <w:color w:val="auto"/>
          <w:sz w:val="20"/>
          <w:szCs w:val="20"/>
        </w:rPr>
        <w:t xml:space="preserve">Improving the workability of concrete is another characteristic of SCMs [17]. The high slumps that result from the use of SCMs are attributed to the their lower densities which lead to an increased volume of mixes per unit mass, their prevention of the block formation of cement particles, and by the filler effect their reduction of friction between particles, facilitating a better flow of concrete [24]. </w:t>
      </w:r>
    </w:p>
    <w:p w14:paraId="2657276C" w14:textId="3DA60411" w:rsidR="00793A13" w:rsidRPr="00E70FC8" w:rsidRDefault="00C22B83" w:rsidP="00C22B83">
      <w:pPr>
        <w:pStyle w:val="Text"/>
      </w:pPr>
      <w:r w:rsidRPr="00E70FC8">
        <w:t>In investigating for the suitability of AHS as an SCM, this study assessed the performance of Anthill Soil (AHS) against these major characteristics, alongside compressive strength, which is relied upon by concrete to perform under load, and tensile strength, as it is essential that structural integrity of the resultant concrete is not compromised [25]</w:t>
      </w:r>
    </w:p>
    <w:p w14:paraId="1E078558" w14:textId="2AA8CC61" w:rsidR="00F3418E" w:rsidRPr="00E70FC8" w:rsidRDefault="00C22B83" w:rsidP="00F3418E">
      <w:pPr>
        <w:pStyle w:val="Heading1"/>
      </w:pPr>
      <w:r w:rsidRPr="00E70FC8">
        <w:t>RESEARCH SIGNIFICANCE</w:t>
      </w:r>
    </w:p>
    <w:p w14:paraId="6DE6D54B" w14:textId="77777777" w:rsidR="00C22B83" w:rsidRPr="00E70FC8" w:rsidRDefault="00C22B83" w:rsidP="00C22B83">
      <w:pPr>
        <w:pStyle w:val="Default"/>
        <w:rPr>
          <w:color w:val="auto"/>
          <w:sz w:val="20"/>
          <w:szCs w:val="20"/>
        </w:rPr>
      </w:pPr>
      <w:r w:rsidRPr="00E70FC8">
        <w:rPr>
          <w:color w:val="auto"/>
          <w:sz w:val="20"/>
          <w:szCs w:val="20"/>
        </w:rPr>
        <w:t>This work investigated the suitability of using AHS as an SCM in concrete for the purposes of enhancing the sustainability of cement in concrete, while at the same time improving the properties of both fresh and hardened concrete through improved workability and enhanced durability, which are the characteristics of SCMs [17].</w:t>
      </w:r>
    </w:p>
    <w:p w14:paraId="330183D5" w14:textId="4B918679" w:rsidR="009C5B44" w:rsidRPr="00E70FC8" w:rsidRDefault="00C22B83" w:rsidP="00C22B83">
      <w:pPr>
        <w:pStyle w:val="Text"/>
      </w:pPr>
      <w:r w:rsidRPr="00E70FC8">
        <w:t>Anthills have been observed to endure extremely hot daytime tropical temperatures and very low night temperatures, as well as heavy tropical rainfall. People in rural areas of Africa have also been known to use anthill soil on paths that carry heavy human traffic and on plinths of huts as additional mountings or footings to houses. Anthills, being coated with sticky rapidly hardening secretions from the recta and mouths of ants [21], are cohesive, and an informed guess could be that they contain the same chemicals as those found in cement, such as calcium oxide (</w:t>
      </w:r>
      <w:proofErr w:type="spellStart"/>
      <w:r w:rsidRPr="00E70FC8">
        <w:t>CaO</w:t>
      </w:r>
      <w:proofErr w:type="spellEnd"/>
      <w:r w:rsidRPr="00E70FC8">
        <w:t>), silicon dioxide (SiO</w:t>
      </w:r>
      <w:r w:rsidRPr="00E70FC8">
        <w:rPr>
          <w:sz w:val="13"/>
          <w:szCs w:val="13"/>
        </w:rPr>
        <w:t>2</w:t>
      </w:r>
      <w:r w:rsidRPr="00E70FC8">
        <w:t xml:space="preserve">), </w:t>
      </w:r>
      <w:proofErr w:type="spellStart"/>
      <w:r w:rsidRPr="00E70FC8">
        <w:t>aluminium</w:t>
      </w:r>
      <w:proofErr w:type="spellEnd"/>
      <w:r w:rsidRPr="00E70FC8">
        <w:t xml:space="preserve"> oxide (Al</w:t>
      </w:r>
      <w:r w:rsidRPr="00E70FC8">
        <w:rPr>
          <w:sz w:val="13"/>
          <w:szCs w:val="13"/>
        </w:rPr>
        <w:t>2</w:t>
      </w:r>
      <w:r w:rsidRPr="00E70FC8">
        <w:t>O</w:t>
      </w:r>
      <w:r w:rsidRPr="00E70FC8">
        <w:rPr>
          <w:sz w:val="13"/>
          <w:szCs w:val="13"/>
        </w:rPr>
        <w:t>3</w:t>
      </w:r>
      <w:r w:rsidRPr="00E70FC8">
        <w:t>) and magnesium oxide (</w:t>
      </w:r>
      <w:proofErr w:type="spellStart"/>
      <w:r w:rsidRPr="00E70FC8">
        <w:t>MgO</w:t>
      </w:r>
      <w:proofErr w:type="spellEnd"/>
      <w:r w:rsidRPr="00E70FC8">
        <w:t>) among others.</w:t>
      </w:r>
    </w:p>
    <w:p w14:paraId="5F7A54DA" w14:textId="77777777" w:rsidR="00C22B83" w:rsidRPr="00E70FC8" w:rsidRDefault="00C22B83" w:rsidP="009C5B44">
      <w:pPr>
        <w:pStyle w:val="Text"/>
      </w:pPr>
    </w:p>
    <w:p w14:paraId="41FE0308" w14:textId="3054BF8F" w:rsidR="00C22B83" w:rsidRPr="00E70FC8" w:rsidRDefault="00C22B83" w:rsidP="00C22B83">
      <w:pPr>
        <w:pStyle w:val="Default"/>
        <w:rPr>
          <w:color w:val="auto"/>
          <w:sz w:val="20"/>
          <w:szCs w:val="20"/>
        </w:rPr>
      </w:pPr>
      <w:r w:rsidRPr="00E70FC8">
        <w:rPr>
          <w:color w:val="auto"/>
          <w:sz w:val="20"/>
          <w:szCs w:val="20"/>
        </w:rPr>
        <w:t xml:space="preserve">Should a significant presence of </w:t>
      </w:r>
      <w:proofErr w:type="spellStart"/>
      <w:r w:rsidRPr="00E70FC8">
        <w:rPr>
          <w:color w:val="auto"/>
          <w:sz w:val="20"/>
          <w:szCs w:val="20"/>
        </w:rPr>
        <w:t>pozzolanic</w:t>
      </w:r>
      <w:proofErr w:type="spellEnd"/>
      <w:r w:rsidRPr="00E70FC8">
        <w:rPr>
          <w:color w:val="auto"/>
          <w:sz w:val="20"/>
          <w:szCs w:val="20"/>
        </w:rPr>
        <w:t xml:space="preserve"> properties be found in AHS, their use in concrete would serve in enhancing the sustainability of concrete by reducing on the CO</w:t>
      </w:r>
      <w:r w:rsidRPr="00E70FC8">
        <w:rPr>
          <w:color w:val="auto"/>
          <w:sz w:val="13"/>
          <w:szCs w:val="13"/>
        </w:rPr>
        <w:t>2</w:t>
      </w:r>
      <w:r w:rsidRPr="00E70FC8">
        <w:rPr>
          <w:color w:val="auto"/>
          <w:sz w:val="20"/>
          <w:szCs w:val="20"/>
        </w:rPr>
        <w:t xml:space="preserve">that is emitted by cement production processes, replace scarce natural resources by reducing the mining and quarrying of limestone, clay and coal, and </w:t>
      </w:r>
      <w:r w:rsidR="00C669CB" w:rsidRPr="00E70FC8">
        <w:rPr>
          <w:color w:val="auto"/>
          <w:sz w:val="20"/>
          <w:szCs w:val="20"/>
        </w:rPr>
        <w:t>improving the</w:t>
      </w:r>
      <w:r w:rsidRPr="00E70FC8">
        <w:rPr>
          <w:color w:val="auto"/>
          <w:sz w:val="20"/>
          <w:szCs w:val="20"/>
        </w:rPr>
        <w:t xml:space="preserve"> properties of fresh and hardened concrete [17]. This </w:t>
      </w:r>
      <w:r w:rsidR="00C669CB" w:rsidRPr="00E70FC8">
        <w:rPr>
          <w:color w:val="auto"/>
          <w:sz w:val="20"/>
          <w:szCs w:val="20"/>
        </w:rPr>
        <w:t>could in</w:t>
      </w:r>
      <w:r w:rsidRPr="00E70FC8">
        <w:rPr>
          <w:color w:val="auto"/>
          <w:sz w:val="20"/>
          <w:szCs w:val="20"/>
        </w:rPr>
        <w:t xml:space="preserve"> turn lead to enhanced service life of structures and a decrease in ownership costs [17]. </w:t>
      </w:r>
    </w:p>
    <w:p w14:paraId="136798B3" w14:textId="77777777" w:rsidR="00C22B83" w:rsidRPr="00E70FC8" w:rsidRDefault="00C22B83" w:rsidP="00C22B83">
      <w:pPr>
        <w:pStyle w:val="Text"/>
      </w:pPr>
      <w:r w:rsidRPr="00E70FC8">
        <w:t>The use of AHS in concrete could also lead to the reduction on the overall cost of construction and stimulate growth in the construction industry through the lowering of material costs, and provide affordable housing, social amenities and other infrastructure, thereby creating jobs and providing safety and security [26]. Limited work was found on the use of anthill soil as an SCM.</w:t>
      </w:r>
    </w:p>
    <w:p w14:paraId="6F2B7FA4" w14:textId="77777777" w:rsidR="00C22B83" w:rsidRPr="00E70FC8" w:rsidRDefault="00C22B83" w:rsidP="00C22B83">
      <w:pPr>
        <w:pStyle w:val="Default"/>
        <w:rPr>
          <w:color w:val="auto"/>
          <w:sz w:val="20"/>
          <w:szCs w:val="20"/>
        </w:rPr>
      </w:pPr>
    </w:p>
    <w:p w14:paraId="315C361D" w14:textId="77777777" w:rsidR="00C22B83" w:rsidRPr="00E70FC8" w:rsidRDefault="00C22B83">
      <w:pPr>
        <w:autoSpaceDE/>
        <w:autoSpaceDN/>
        <w:spacing w:after="200" w:line="276" w:lineRule="auto"/>
        <w:rPr>
          <w:rFonts w:eastAsiaTheme="minorHAnsi"/>
          <w:lang w:val="en-GB"/>
        </w:rPr>
      </w:pPr>
      <w:r w:rsidRPr="00E70FC8">
        <w:br w:type="page"/>
      </w:r>
    </w:p>
    <w:p w14:paraId="2E2AF359" w14:textId="3994BF71" w:rsidR="00C22B83" w:rsidRPr="00E70FC8" w:rsidRDefault="00C22B83" w:rsidP="00C22B83">
      <w:pPr>
        <w:pStyle w:val="Default"/>
        <w:jc w:val="center"/>
        <w:rPr>
          <w:color w:val="auto"/>
          <w:sz w:val="16"/>
          <w:szCs w:val="16"/>
        </w:rPr>
      </w:pPr>
      <w:r w:rsidRPr="00E70FC8">
        <w:rPr>
          <w:color w:val="auto"/>
          <w:sz w:val="20"/>
          <w:szCs w:val="20"/>
        </w:rPr>
        <w:lastRenderedPageBreak/>
        <w:t>IV. M</w:t>
      </w:r>
      <w:r w:rsidRPr="00E70FC8">
        <w:rPr>
          <w:color w:val="auto"/>
          <w:sz w:val="16"/>
          <w:szCs w:val="16"/>
        </w:rPr>
        <w:t>ETHODS</w:t>
      </w:r>
    </w:p>
    <w:p w14:paraId="40C67154" w14:textId="77777777" w:rsidR="00C22B83" w:rsidRPr="00E70FC8" w:rsidRDefault="00C22B83" w:rsidP="00C22B83">
      <w:pPr>
        <w:pStyle w:val="Default"/>
        <w:rPr>
          <w:color w:val="auto"/>
          <w:sz w:val="20"/>
          <w:szCs w:val="20"/>
        </w:rPr>
      </w:pPr>
      <w:r w:rsidRPr="00E70FC8">
        <w:rPr>
          <w:color w:val="auto"/>
          <w:sz w:val="20"/>
          <w:szCs w:val="20"/>
        </w:rPr>
        <w:t xml:space="preserve">AHS was sourced from Kenya and transported to the United Kingdom (UK) under license. </w:t>
      </w:r>
      <w:proofErr w:type="spellStart"/>
      <w:r w:rsidRPr="00E70FC8">
        <w:rPr>
          <w:color w:val="auto"/>
          <w:sz w:val="20"/>
          <w:szCs w:val="20"/>
        </w:rPr>
        <w:t>Snowcrete</w:t>
      </w:r>
      <w:proofErr w:type="spellEnd"/>
      <w:r w:rsidRPr="00E70FC8">
        <w:rPr>
          <w:color w:val="auto"/>
          <w:sz w:val="20"/>
          <w:szCs w:val="20"/>
        </w:rPr>
        <w:t xml:space="preserve"> cement type CEM 1 52.5 N conforming to [27] was used. </w:t>
      </w:r>
    </w:p>
    <w:p w14:paraId="64AAEBAE" w14:textId="77777777" w:rsidR="00C22B83" w:rsidRPr="00E70FC8" w:rsidRDefault="00C22B83" w:rsidP="00C22B83">
      <w:pPr>
        <w:pStyle w:val="Text"/>
      </w:pPr>
      <w:r w:rsidRPr="00E70FC8">
        <w:t xml:space="preserve">Apparent density (AD) (defined by [28] as the mass in grams of a powder which occupies a volume of one </w:t>
      </w:r>
      <w:proofErr w:type="spellStart"/>
      <w:r w:rsidRPr="00E70FC8">
        <w:t>millilitre</w:t>
      </w:r>
      <w:proofErr w:type="spellEnd"/>
      <w:r w:rsidRPr="00E70FC8">
        <w:t xml:space="preserve"> (ml) under standardized conditions), of AHS and cement were obtained conforming to [28]. The apparatus were a stainless steel lockable funnel, a 500ml receiver and a stand. The receiver was weighed before and after it was filled with powder through the funnel. A total of two measurements were taken and the arithmetic mean of the two was used to calculate the apparent density using (2) [28], [29]. </w:t>
      </w:r>
    </w:p>
    <w:p w14:paraId="2210BDC5" w14:textId="26461646" w:rsidR="00CF5D5D" w:rsidRPr="00E70FC8" w:rsidRDefault="00CF5D5D" w:rsidP="009C5B44">
      <w:pPr>
        <w:pStyle w:val="Text"/>
      </w:pPr>
    </w:p>
    <w:p w14:paraId="3B24D8AC" w14:textId="0FA2E7B4" w:rsidR="00300F28" w:rsidRPr="00E70FC8" w:rsidRDefault="00300F28" w:rsidP="00300F28">
      <w:pPr>
        <w:pStyle w:val="Text"/>
      </w:pPr>
      <m:oMath>
        <m:r>
          <m:rPr>
            <m:sty m:val="p"/>
          </m:rPr>
          <w:rPr>
            <w:rFonts w:ascii="Cambria Math" w:eastAsia="Times New Roman" w:hAnsi="Cambria Math"/>
          </w:rPr>
          <m:t>AD=</m:t>
        </m:r>
        <m:f>
          <m:fPr>
            <m:ctrlPr>
              <w:rPr>
                <w:rFonts w:ascii="Cambria Math" w:hAnsi="Cambria Math"/>
              </w:rPr>
            </m:ctrlPr>
          </m:fPr>
          <m:num>
            <m:sSub>
              <m:sSubPr>
                <m:ctrlPr>
                  <w:rPr>
                    <w:rFonts w:ascii="Cambria Math" w:hAnsi="Cambria Math"/>
                  </w:rPr>
                </m:ctrlPr>
              </m:sSubPr>
              <m:e>
                <m:r>
                  <m:rPr>
                    <m:sty m:val="p"/>
                  </m:rPr>
                  <w:rPr>
                    <w:rFonts w:ascii="Cambria Math" w:hAnsi="Cambria Math"/>
                  </w:rPr>
                  <m:t>M</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0</m:t>
                </m:r>
              </m:sub>
            </m:sSub>
          </m:num>
          <m:den>
            <m:r>
              <m:rPr>
                <m:sty m:val="p"/>
              </m:rPr>
              <w:rPr>
                <w:rFonts w:ascii="Cambria Math" w:hAnsi="Cambria Math"/>
              </w:rPr>
              <m:t>V</m:t>
            </m:r>
          </m:den>
        </m:f>
      </m:oMath>
      <w:r w:rsidRPr="00E70FC8">
        <w:t xml:space="preserve">  </w:t>
      </w:r>
      <w:r w:rsidRPr="00E70FC8">
        <w:tab/>
      </w:r>
      <w:r w:rsidRPr="00E70FC8">
        <w:tab/>
      </w:r>
      <w:r w:rsidRPr="00E70FC8">
        <w:tab/>
      </w:r>
      <w:r w:rsidRPr="00E70FC8">
        <w:tab/>
      </w:r>
      <w:r w:rsidRPr="00E70FC8">
        <w:tab/>
        <w:t>(2)</w:t>
      </w:r>
    </w:p>
    <w:p w14:paraId="5CC8D52D" w14:textId="77777777" w:rsidR="00EC6E7C" w:rsidRDefault="00EC6E7C" w:rsidP="00EC6E7C">
      <w:pPr>
        <w:tabs>
          <w:tab w:val="left" w:pos="1460"/>
        </w:tabs>
        <w:ind w:left="357" w:hanging="357"/>
        <w:jc w:val="both"/>
        <w:rPr>
          <w:rFonts w:eastAsia="Times New Roman"/>
          <w:sz w:val="16"/>
          <w:lang w:val="en-GB"/>
        </w:rPr>
      </w:pPr>
      <w:r w:rsidRPr="00F776A1">
        <w:rPr>
          <w:rFonts w:eastAsia="Times New Roman"/>
          <w:sz w:val="16"/>
          <w:lang w:val="en-GB"/>
        </w:rPr>
        <w:t>Where M</w:t>
      </w:r>
      <w:r w:rsidRPr="00F776A1">
        <w:rPr>
          <w:rFonts w:eastAsia="Times New Roman"/>
          <w:sz w:val="16"/>
          <w:vertAlign w:val="subscript"/>
          <w:lang w:val="en-GB"/>
        </w:rPr>
        <w:t>3</w:t>
      </w:r>
      <w:r w:rsidRPr="00F776A1">
        <w:rPr>
          <w:rFonts w:eastAsia="Times New Roman"/>
          <w:sz w:val="16"/>
          <w:lang w:val="en-GB"/>
        </w:rPr>
        <w:t xml:space="preserve"> is the mass in grams (g) o</w:t>
      </w:r>
      <w:r>
        <w:rPr>
          <w:rFonts w:eastAsia="Times New Roman"/>
          <w:sz w:val="16"/>
          <w:lang w:val="en-GB"/>
        </w:rPr>
        <w:t>f the receiver with the powder,</w:t>
      </w:r>
    </w:p>
    <w:p w14:paraId="1FA6F9B7" w14:textId="77777777" w:rsidR="00EC6E7C" w:rsidRDefault="00EC6E7C" w:rsidP="00EC6E7C">
      <w:pPr>
        <w:tabs>
          <w:tab w:val="left" w:pos="1460"/>
        </w:tabs>
        <w:ind w:left="357" w:hanging="357"/>
        <w:jc w:val="both"/>
        <w:rPr>
          <w:rFonts w:eastAsia="Times New Roman"/>
          <w:sz w:val="16"/>
          <w:lang w:val="en-GB"/>
        </w:rPr>
      </w:pPr>
      <w:r w:rsidRPr="00F776A1">
        <w:rPr>
          <w:rFonts w:eastAsia="Times New Roman"/>
          <w:sz w:val="16"/>
          <w:lang w:val="en-GB"/>
        </w:rPr>
        <w:t>M</w:t>
      </w:r>
      <w:r w:rsidRPr="00F776A1">
        <w:rPr>
          <w:rFonts w:eastAsia="Times New Roman"/>
          <w:sz w:val="16"/>
          <w:vertAlign w:val="subscript"/>
          <w:lang w:val="en-GB"/>
        </w:rPr>
        <w:t xml:space="preserve">0 </w:t>
      </w:r>
      <w:r w:rsidRPr="00F776A1">
        <w:rPr>
          <w:rFonts w:eastAsia="Times New Roman"/>
          <w:sz w:val="16"/>
          <w:lang w:val="en-GB"/>
        </w:rPr>
        <w:t>is the mass in grams of the empty receiver</w:t>
      </w:r>
    </w:p>
    <w:p w14:paraId="63C69734" w14:textId="77777777" w:rsidR="00EC6E7C" w:rsidRPr="00F776A1" w:rsidRDefault="00EC6E7C" w:rsidP="00EC6E7C">
      <w:pPr>
        <w:tabs>
          <w:tab w:val="left" w:pos="1460"/>
        </w:tabs>
        <w:ind w:left="357" w:hanging="357"/>
        <w:jc w:val="both"/>
        <w:rPr>
          <w:rFonts w:ascii="Arial" w:eastAsia="Times New Roman" w:hAnsi="Arial" w:cs="Arial"/>
          <w:sz w:val="16"/>
          <w:lang w:val="en-GB"/>
        </w:rPr>
      </w:pPr>
      <w:r w:rsidRPr="00F776A1">
        <w:rPr>
          <w:rFonts w:eastAsia="Times New Roman"/>
          <w:sz w:val="16"/>
          <w:lang w:val="en-GB"/>
        </w:rPr>
        <w:t>V is the volume of the receiver in millilitres (ml).</w:t>
      </w:r>
    </w:p>
    <w:p w14:paraId="128105B5" w14:textId="77777777" w:rsidR="00EC6E7C" w:rsidRDefault="00EC6E7C" w:rsidP="00300F28">
      <w:pPr>
        <w:pStyle w:val="Default"/>
        <w:rPr>
          <w:color w:val="auto"/>
          <w:sz w:val="16"/>
          <w:szCs w:val="16"/>
        </w:rPr>
      </w:pPr>
    </w:p>
    <w:p w14:paraId="59C03A0B" w14:textId="54C8144E" w:rsidR="00300F28" w:rsidRPr="00E70FC8" w:rsidRDefault="00300F28" w:rsidP="000F5788">
      <w:pPr>
        <w:pStyle w:val="Text"/>
      </w:pPr>
      <w:r w:rsidRPr="00E70FC8">
        <w:t xml:space="preserve">Cube and cylinder </w:t>
      </w:r>
      <w:proofErr w:type="spellStart"/>
      <w:r w:rsidRPr="00E70FC8">
        <w:t>moulds</w:t>
      </w:r>
      <w:proofErr w:type="spellEnd"/>
      <w:r w:rsidRPr="00E70FC8">
        <w:t xml:space="preserve"> that were used to make specimens measured 100mm x 100mm x 100mm, and 150mm diameter x 300mm height respectively conforming to [30] and the specimens were cast conforming to [31]. The target mix of the study was strength grade C40 (which was converted to a mean strength of 48N/mm</w:t>
      </w:r>
      <w:r w:rsidRPr="00E70FC8">
        <w:rPr>
          <w:sz w:val="13"/>
          <w:szCs w:val="13"/>
        </w:rPr>
        <w:t xml:space="preserve">2 </w:t>
      </w:r>
      <w:r w:rsidRPr="00E70FC8">
        <w:t xml:space="preserve">using (2) after [32]) at mix proportions of 1: 2: 3 (cement: sand: aggregates). </w:t>
      </w:r>
    </w:p>
    <w:p w14:paraId="4C29DDB9" w14:textId="5D492293" w:rsidR="000F5788" w:rsidRPr="00E70FC8" w:rsidRDefault="005C0324" w:rsidP="000F5788">
      <w:pPr>
        <w:pStyle w:val="Text"/>
        <w:rPr>
          <w:rFonts w:eastAsia="Times New Roman"/>
        </w:rPr>
      </w:pPr>
      <w:r w:rsidRPr="00E70FC8">
        <w:rPr>
          <w:rFonts w:eastAsia="Times New Roman"/>
        </w:rPr>
        <w:t xml:space="preserve"> </w:t>
      </w:r>
    </w:p>
    <w:p w14:paraId="2ACD286A" w14:textId="1B9426E7" w:rsidR="00300F28" w:rsidRPr="00E70FC8" w:rsidRDefault="00300F28" w:rsidP="000F5788">
      <w:pPr>
        <w:pStyle w:val="Text"/>
      </w:pPr>
      <w:r w:rsidRPr="00E70FC8">
        <w:t xml:space="preserve">Cement was substituted with AHS by weight in percentages of 0%, 5%, 7.5%, 10%, 15%, 20%, 25%, and 30%. The 0% replacement also referred to as the ‘control specimen’ was used as the reference from which the performances of all replacements were measured [33]. </w:t>
      </w:r>
    </w:p>
    <w:p w14:paraId="1DA52ED5" w14:textId="65025CB8" w:rsidR="00300F28" w:rsidRPr="00E70FC8" w:rsidRDefault="00300F28" w:rsidP="000F5788">
      <w:pPr>
        <w:pStyle w:val="Text"/>
      </w:pPr>
    </w:p>
    <w:p w14:paraId="10A0C8EE" w14:textId="7E064492" w:rsidR="00300F28" w:rsidRPr="00E70FC8" w:rsidRDefault="00EC6E7C" w:rsidP="00300F28">
      <w:pPr>
        <w:pStyle w:val="Text"/>
      </w:pPr>
      <w:proofErr w:type="spellStart"/>
      <w:proofErr w:type="gramStart"/>
      <w:r w:rsidRPr="00F776A1">
        <w:t>f</w:t>
      </w:r>
      <w:r w:rsidRPr="00F776A1">
        <w:rPr>
          <w:vertAlign w:val="subscript"/>
        </w:rPr>
        <w:t>cm</w:t>
      </w:r>
      <w:proofErr w:type="spellEnd"/>
      <w:proofErr w:type="gramEnd"/>
      <w:r w:rsidRPr="00F776A1">
        <w:t xml:space="preserve"> =f</w:t>
      </w:r>
      <w:r w:rsidRPr="00F776A1">
        <w:rPr>
          <w:vertAlign w:val="subscript"/>
        </w:rPr>
        <w:t>cu</w:t>
      </w:r>
      <w:r w:rsidRPr="00F776A1">
        <w:t>+8 (N/mm</w:t>
      </w:r>
      <w:r w:rsidRPr="00F776A1">
        <w:rPr>
          <w:vertAlign w:val="superscript"/>
        </w:rPr>
        <w:t>2</w:t>
      </w:r>
      <w:r w:rsidRPr="00F776A1">
        <w:t xml:space="preserve">)                           </w:t>
      </w:r>
      <w:r w:rsidR="00D93C99" w:rsidRPr="00E70FC8">
        <w:tab/>
      </w:r>
      <w:r w:rsidR="00D93C99" w:rsidRPr="00E70FC8">
        <w:tab/>
        <w:t>(3)</w:t>
      </w:r>
    </w:p>
    <w:p w14:paraId="3162C560" w14:textId="77777777" w:rsidR="0021011D" w:rsidRDefault="0021011D" w:rsidP="000F5788">
      <w:pPr>
        <w:pStyle w:val="Text"/>
      </w:pPr>
    </w:p>
    <w:p w14:paraId="6CA01BA6" w14:textId="77777777" w:rsidR="00EC6E7C" w:rsidRDefault="00EC6E7C" w:rsidP="00EC6E7C">
      <w:pPr>
        <w:tabs>
          <w:tab w:val="left" w:pos="1460"/>
        </w:tabs>
        <w:ind w:left="357" w:hanging="357"/>
        <w:jc w:val="both"/>
        <w:rPr>
          <w:rFonts w:eastAsia="Times New Roman"/>
          <w:sz w:val="16"/>
          <w:lang w:val="en-GB"/>
        </w:rPr>
      </w:pPr>
      <w:r w:rsidRPr="00F776A1">
        <w:rPr>
          <w:rFonts w:eastAsia="Times New Roman"/>
          <w:sz w:val="16"/>
          <w:lang w:val="en-GB"/>
        </w:rPr>
        <w:t xml:space="preserve">Where </w:t>
      </w:r>
      <w:proofErr w:type="spellStart"/>
      <w:r w:rsidRPr="00F776A1">
        <w:rPr>
          <w:rFonts w:eastAsia="Times New Roman"/>
          <w:sz w:val="16"/>
          <w:lang w:val="en-GB"/>
        </w:rPr>
        <w:t>f</w:t>
      </w:r>
      <w:r w:rsidRPr="00F776A1">
        <w:rPr>
          <w:rFonts w:eastAsia="Times New Roman"/>
          <w:sz w:val="16"/>
          <w:vertAlign w:val="subscript"/>
          <w:lang w:val="en-GB"/>
        </w:rPr>
        <w:t>cm</w:t>
      </w:r>
      <w:proofErr w:type="spellEnd"/>
      <w:r w:rsidRPr="00F776A1">
        <w:rPr>
          <w:rFonts w:eastAsia="Times New Roman"/>
          <w:sz w:val="16"/>
          <w:lang w:val="en-GB"/>
        </w:rPr>
        <w:t xml:space="preserve"> is mean compressive strength</w:t>
      </w:r>
    </w:p>
    <w:p w14:paraId="55519F06" w14:textId="77777777" w:rsidR="00EC6E7C" w:rsidRPr="00F776A1" w:rsidRDefault="00EC6E7C" w:rsidP="00EC6E7C">
      <w:pPr>
        <w:tabs>
          <w:tab w:val="left" w:pos="1460"/>
        </w:tabs>
        <w:ind w:left="357" w:hanging="357"/>
        <w:jc w:val="both"/>
        <w:rPr>
          <w:rFonts w:eastAsia="Times New Roman"/>
          <w:sz w:val="16"/>
          <w:lang w:val="en-GB"/>
        </w:rPr>
      </w:pPr>
      <w:proofErr w:type="spellStart"/>
      <w:proofErr w:type="gramStart"/>
      <w:r w:rsidRPr="00F776A1">
        <w:rPr>
          <w:rFonts w:eastAsia="Times New Roman"/>
          <w:sz w:val="16"/>
          <w:lang w:val="en-GB"/>
        </w:rPr>
        <w:t>f</w:t>
      </w:r>
      <w:r w:rsidRPr="00F776A1">
        <w:rPr>
          <w:rFonts w:eastAsia="Times New Roman"/>
          <w:sz w:val="16"/>
          <w:vertAlign w:val="subscript"/>
          <w:lang w:val="en-GB"/>
        </w:rPr>
        <w:t>cu</w:t>
      </w:r>
      <w:proofErr w:type="spellEnd"/>
      <w:proofErr w:type="gramEnd"/>
      <w:r w:rsidRPr="00F776A1">
        <w:rPr>
          <w:rFonts w:eastAsia="Times New Roman"/>
          <w:sz w:val="16"/>
          <w:lang w:val="en-GB"/>
        </w:rPr>
        <w:t xml:space="preserve"> is characteristic compressive strength</w:t>
      </w:r>
    </w:p>
    <w:p w14:paraId="5F315ECC" w14:textId="02399EE6" w:rsidR="005C0324" w:rsidRPr="00E70FC8" w:rsidRDefault="005C0324" w:rsidP="005C0324">
      <w:pPr>
        <w:adjustRightInd w:val="0"/>
        <w:jc w:val="both"/>
        <w:rPr>
          <w:rFonts w:eastAsia="Times New Roman"/>
        </w:rPr>
      </w:pPr>
    </w:p>
    <w:p w14:paraId="77918EEE" w14:textId="4A898CB8" w:rsidR="00D93C99" w:rsidRPr="00E70FC8" w:rsidRDefault="00D93C99" w:rsidP="00D93C99">
      <w:pPr>
        <w:adjustRightInd w:val="0"/>
        <w:jc w:val="both"/>
        <w:rPr>
          <w:rFonts w:eastAsia="Times New Roman"/>
        </w:rPr>
      </w:pPr>
      <w:r w:rsidRPr="00E70FC8">
        <w:t>The concrete mixing process conformed to [34]. The concrete mixer was run for a total of eight minutes, with a three-minute rest in between the mixing, after cement, aggregates and water had been introduced. A Water Cement Ratio (WCR) of 0.5 was used to ensure a good balance of workability and strength in line with Abram’s law which states that the strength of a concrete mix is determined by the WCR, with lower WCRs spelling higher strengths and vice-versa [35]. It is also possible to target the slump of a mix based on the weight of cement and total aggregate proportions from the specifications in [36] and free water specifications in [37]. However, this method was not used as the study aimed to test the effect of AHS on the workability of concrete.</w:t>
      </w:r>
    </w:p>
    <w:p w14:paraId="7C76D64B" w14:textId="77777777" w:rsidR="00D93C99" w:rsidRPr="00E70FC8" w:rsidRDefault="00D93C99" w:rsidP="005C0324">
      <w:pPr>
        <w:adjustRightInd w:val="0"/>
        <w:jc w:val="both"/>
        <w:rPr>
          <w:rFonts w:eastAsia="Times New Roman"/>
        </w:rPr>
      </w:pPr>
    </w:p>
    <w:p w14:paraId="28DFC539" w14:textId="60428352" w:rsidR="005C0324" w:rsidRPr="00E70FC8" w:rsidRDefault="00D93C99" w:rsidP="00D93C99">
      <w:pPr>
        <w:pStyle w:val="Text"/>
      </w:pPr>
      <w:r w:rsidRPr="00E70FC8">
        <w:t xml:space="preserve">The insides of the </w:t>
      </w:r>
      <w:proofErr w:type="spellStart"/>
      <w:r w:rsidRPr="00E70FC8">
        <w:t>moulds</w:t>
      </w:r>
      <w:proofErr w:type="spellEnd"/>
      <w:r w:rsidRPr="00E70FC8">
        <w:t xml:space="preserve"> were sprayed with a thin film of non-reactive release material. Cube </w:t>
      </w:r>
      <w:proofErr w:type="spellStart"/>
      <w:r w:rsidRPr="00E70FC8">
        <w:t>moulds</w:t>
      </w:r>
      <w:proofErr w:type="spellEnd"/>
      <w:r w:rsidRPr="00E70FC8">
        <w:t xml:space="preserve"> were then filled with concrete and firmly secured on to a mechanical vibrating table to commence the compaction process. Full compaction was deemed to have been achieved when there were no further appearances of large bubbles on the surface of the concrete, and the surface became smooth with glazed appearance as is specified by [31]. To ensure repeatability, a total of three cubes were cast for each test and the average compressive strength was reported [38].</w:t>
      </w:r>
    </w:p>
    <w:p w14:paraId="72B4C783" w14:textId="2D768C5F" w:rsidR="00D93C99" w:rsidRPr="00E70FC8" w:rsidRDefault="00D93C99" w:rsidP="00D93C99">
      <w:pPr>
        <w:pStyle w:val="Text"/>
      </w:pPr>
      <w:r w:rsidRPr="00E70FC8">
        <w:t xml:space="preserve">The cubes were left in the </w:t>
      </w:r>
      <w:proofErr w:type="spellStart"/>
      <w:r w:rsidRPr="00E70FC8">
        <w:t>moulds</w:t>
      </w:r>
      <w:proofErr w:type="spellEnd"/>
      <w:r w:rsidRPr="00E70FC8">
        <w:t xml:space="preserve"> for 24 hours, before </w:t>
      </w:r>
      <w:r w:rsidRPr="00E70FC8">
        <w:lastRenderedPageBreak/>
        <w:t>being stripped, marked and submerged in a water tank at temperatures of 20</w:t>
      </w:r>
      <w:r w:rsidRPr="00E70FC8">
        <w:rPr>
          <w:sz w:val="13"/>
          <w:szCs w:val="13"/>
        </w:rPr>
        <w:t xml:space="preserve">0 </w:t>
      </w:r>
      <w:r w:rsidRPr="00E70FC8">
        <w:t xml:space="preserve">±2 until their testing age. Compressive strength tests conformed to [39] at 7, 28, 56, and 91 days. For the splitting tensile strength specimens, the cylinders were filled with three equal layers of concrete and compacted using 25 uniform, vertical strokes of the tamping rod along the whole surface of each layer. The sides of the </w:t>
      </w:r>
      <w:proofErr w:type="spellStart"/>
      <w:r w:rsidRPr="00E70FC8">
        <w:t>moulds</w:t>
      </w:r>
      <w:proofErr w:type="spellEnd"/>
      <w:r w:rsidRPr="00E70FC8">
        <w:t xml:space="preserve"> were tapped with a mallet for each layer after compaction to remove air bubbles. The specimens were stripped from the </w:t>
      </w:r>
      <w:proofErr w:type="spellStart"/>
      <w:r w:rsidRPr="00E70FC8">
        <w:t>moulds</w:t>
      </w:r>
      <w:proofErr w:type="spellEnd"/>
      <w:r w:rsidRPr="00E70FC8">
        <w:t xml:space="preserve"> after 24 hours and cured in a water tank at temperatures of 20</w:t>
      </w:r>
      <w:r w:rsidRPr="00E70FC8">
        <w:rPr>
          <w:sz w:val="13"/>
          <w:szCs w:val="13"/>
        </w:rPr>
        <w:t xml:space="preserve">0 </w:t>
      </w:r>
      <w:r w:rsidRPr="00E70FC8">
        <w:t>±2 for 91 days, with tests conforming to [40].</w:t>
      </w:r>
    </w:p>
    <w:p w14:paraId="47F89AAB" w14:textId="4BE30CE6" w:rsidR="00D73D5A" w:rsidRPr="00E70FC8" w:rsidRDefault="00D73D5A" w:rsidP="00D73D5A">
      <w:pPr>
        <w:pStyle w:val="Heading1"/>
        <w:rPr>
          <w:b/>
        </w:rPr>
      </w:pPr>
      <w:proofErr w:type="spellStart"/>
      <w:r w:rsidRPr="00E70FC8">
        <w:t>esults</w:t>
      </w:r>
      <w:proofErr w:type="spellEnd"/>
      <w:r w:rsidRPr="00E70FC8">
        <w:t xml:space="preserve"> and discussion</w:t>
      </w:r>
    </w:p>
    <w:p w14:paraId="03A4C8E9" w14:textId="63BC4286" w:rsidR="00D93C99" w:rsidRPr="00E70FC8" w:rsidRDefault="00D93C99" w:rsidP="00D93C99">
      <w:pPr>
        <w:pStyle w:val="Heading2"/>
      </w:pPr>
      <w:r w:rsidRPr="00E70FC8">
        <w:t xml:space="preserve">Chemical composition </w:t>
      </w:r>
    </w:p>
    <w:p w14:paraId="483945AB" w14:textId="77777777" w:rsidR="00D93C99" w:rsidRPr="00E70FC8" w:rsidRDefault="00D93C99" w:rsidP="00896746">
      <w:pPr>
        <w:pStyle w:val="Text"/>
      </w:pPr>
      <w:r w:rsidRPr="00E70FC8">
        <w:t xml:space="preserve">The values in Table I were obtained using X-ray diffraction (XRD) on a sample of AHS that was used for this research. </w:t>
      </w:r>
    </w:p>
    <w:p w14:paraId="2637CEF9" w14:textId="77777777" w:rsidR="00D93C99" w:rsidRPr="00E70FC8" w:rsidRDefault="00D93C99" w:rsidP="00896746">
      <w:pPr>
        <w:pStyle w:val="Text"/>
      </w:pPr>
    </w:p>
    <w:p w14:paraId="398A91A6" w14:textId="0E5CA362" w:rsidR="003407B0" w:rsidRPr="00E70FC8" w:rsidRDefault="003407B0" w:rsidP="003407B0">
      <w:pPr>
        <w:pStyle w:val="TableTitle"/>
      </w:pPr>
      <w:r w:rsidRPr="00E70FC8">
        <w:t xml:space="preserve">Table I. Percentage </w:t>
      </w:r>
      <w:r w:rsidR="00D93C99" w:rsidRPr="00E70FC8">
        <w:t xml:space="preserve">oxide </w:t>
      </w:r>
      <w:r w:rsidRPr="00E70FC8">
        <w:t xml:space="preserve">composition </w:t>
      </w:r>
      <w:r w:rsidR="0058113D" w:rsidRPr="00E70FC8">
        <w:t xml:space="preserve">in ahs </w:t>
      </w:r>
    </w:p>
    <w:tbl>
      <w:tblPr>
        <w:tblW w:w="4612" w:type="dxa"/>
        <w:tblInd w:w="93" w:type="dxa"/>
        <w:tblLook w:val="04A0" w:firstRow="1" w:lastRow="0" w:firstColumn="1" w:lastColumn="0" w:noHBand="0" w:noVBand="1"/>
      </w:tblPr>
      <w:tblGrid>
        <w:gridCol w:w="2283"/>
        <w:gridCol w:w="2329"/>
      </w:tblGrid>
      <w:tr w:rsidR="00E70FC8" w:rsidRPr="00E70FC8" w14:paraId="29C011CF" w14:textId="77777777" w:rsidTr="0058113D">
        <w:trPr>
          <w:trHeight w:val="413"/>
        </w:trPr>
        <w:tc>
          <w:tcPr>
            <w:tcW w:w="2283" w:type="dxa"/>
            <w:tcBorders>
              <w:top w:val="double" w:sz="6" w:space="0" w:color="auto"/>
              <w:bottom w:val="single" w:sz="4" w:space="0" w:color="auto"/>
              <w:right w:val="single" w:sz="4" w:space="0" w:color="FFFFFF" w:themeColor="background1"/>
            </w:tcBorders>
            <w:shd w:val="clear" w:color="auto" w:fill="auto"/>
            <w:vAlign w:val="center"/>
            <w:hideMark/>
          </w:tcPr>
          <w:p w14:paraId="02B3999B" w14:textId="77777777" w:rsidR="0058113D" w:rsidRPr="00E70FC8" w:rsidRDefault="0058113D" w:rsidP="003407B0">
            <w:pPr>
              <w:autoSpaceDE/>
              <w:autoSpaceDN/>
              <w:rPr>
                <w:rFonts w:eastAsia="Times New Roman"/>
                <w:sz w:val="16"/>
                <w:szCs w:val="16"/>
                <w:lang w:val="en-GB"/>
              </w:rPr>
            </w:pPr>
            <w:r w:rsidRPr="00E70FC8">
              <w:rPr>
                <w:rFonts w:eastAsia="Times New Roman"/>
                <w:sz w:val="16"/>
                <w:szCs w:val="16"/>
                <w:lang w:val="en-GB"/>
              </w:rPr>
              <w:t>Chemical</w:t>
            </w:r>
          </w:p>
        </w:tc>
        <w:tc>
          <w:tcPr>
            <w:tcW w:w="2329" w:type="dxa"/>
            <w:tcBorders>
              <w:top w:val="double" w:sz="6" w:space="0" w:color="auto"/>
              <w:left w:val="single" w:sz="4" w:space="0" w:color="FFFFFF" w:themeColor="background1"/>
              <w:bottom w:val="single" w:sz="4" w:space="0" w:color="auto"/>
              <w:right w:val="single" w:sz="4" w:space="0" w:color="FFFFFF" w:themeColor="background1"/>
            </w:tcBorders>
            <w:shd w:val="clear" w:color="auto" w:fill="auto"/>
            <w:vAlign w:val="center"/>
            <w:hideMark/>
          </w:tcPr>
          <w:p w14:paraId="3F187EAA" w14:textId="77777777" w:rsidR="0058113D" w:rsidRPr="00E70FC8" w:rsidRDefault="0058113D" w:rsidP="003407B0">
            <w:pPr>
              <w:autoSpaceDE/>
              <w:autoSpaceDN/>
              <w:jc w:val="center"/>
              <w:rPr>
                <w:rFonts w:eastAsia="Times New Roman"/>
                <w:sz w:val="16"/>
                <w:szCs w:val="16"/>
                <w:lang w:val="en-GB"/>
              </w:rPr>
            </w:pPr>
            <w:r w:rsidRPr="00E70FC8">
              <w:rPr>
                <w:rFonts w:eastAsia="Times New Roman"/>
                <w:sz w:val="16"/>
                <w:szCs w:val="16"/>
                <w:lang w:val="en-GB"/>
              </w:rPr>
              <w:t>Percentage Composition</w:t>
            </w:r>
          </w:p>
        </w:tc>
      </w:tr>
      <w:tr w:rsidR="00E70FC8" w:rsidRPr="00E70FC8" w14:paraId="50B3FA11" w14:textId="77777777" w:rsidTr="0058113D">
        <w:trPr>
          <w:trHeight w:val="220"/>
        </w:trPr>
        <w:tc>
          <w:tcPr>
            <w:tcW w:w="2283" w:type="dxa"/>
            <w:tcBorders>
              <w:top w:val="single" w:sz="4" w:space="0" w:color="auto"/>
              <w:bottom w:val="single" w:sz="4" w:space="0" w:color="FFFFFF" w:themeColor="background1"/>
              <w:right w:val="single" w:sz="4" w:space="0" w:color="FFFFFF" w:themeColor="background1"/>
            </w:tcBorders>
            <w:shd w:val="clear" w:color="auto" w:fill="auto"/>
            <w:vAlign w:val="center"/>
            <w:hideMark/>
          </w:tcPr>
          <w:p w14:paraId="5F551BA9" w14:textId="77777777" w:rsidR="0058113D" w:rsidRPr="00E70FC8" w:rsidRDefault="0058113D" w:rsidP="003407B0">
            <w:pPr>
              <w:autoSpaceDE/>
              <w:autoSpaceDN/>
              <w:rPr>
                <w:rFonts w:eastAsia="Times New Roman"/>
                <w:sz w:val="16"/>
                <w:szCs w:val="16"/>
                <w:lang w:val="en-GB"/>
              </w:rPr>
            </w:pPr>
            <w:r w:rsidRPr="00E70FC8">
              <w:rPr>
                <w:rFonts w:eastAsia="Times New Roman"/>
                <w:sz w:val="16"/>
                <w:szCs w:val="16"/>
                <w:lang w:val="en-GB"/>
              </w:rPr>
              <w:t>Silicon dioxide (SiO</w:t>
            </w:r>
            <w:r w:rsidRPr="00E70FC8">
              <w:rPr>
                <w:rFonts w:eastAsia="Times New Roman"/>
                <w:sz w:val="16"/>
                <w:szCs w:val="16"/>
                <w:vertAlign w:val="subscript"/>
                <w:lang w:val="en-GB"/>
              </w:rPr>
              <w:t>2</w:t>
            </w:r>
            <w:r w:rsidRPr="00E70FC8">
              <w:rPr>
                <w:rFonts w:eastAsia="Times New Roman"/>
                <w:sz w:val="16"/>
                <w:szCs w:val="16"/>
                <w:lang w:val="en-GB"/>
              </w:rPr>
              <w:t>)</w:t>
            </w:r>
          </w:p>
        </w:tc>
        <w:tc>
          <w:tcPr>
            <w:tcW w:w="2329"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79CAD5E" w14:textId="018F4685" w:rsidR="0058113D" w:rsidRPr="00E70FC8" w:rsidRDefault="0058113D" w:rsidP="0058113D">
            <w:pPr>
              <w:pStyle w:val="Default"/>
              <w:jc w:val="center"/>
              <w:rPr>
                <w:rFonts w:eastAsia="Times New Roman"/>
                <w:color w:val="auto"/>
                <w:sz w:val="16"/>
                <w:szCs w:val="16"/>
              </w:rPr>
            </w:pPr>
            <w:r w:rsidRPr="00E70FC8">
              <w:rPr>
                <w:color w:val="auto"/>
                <w:sz w:val="16"/>
                <w:szCs w:val="16"/>
              </w:rPr>
              <w:t xml:space="preserve">51.9 </w:t>
            </w:r>
          </w:p>
        </w:tc>
      </w:tr>
      <w:tr w:rsidR="00E70FC8" w:rsidRPr="00E70FC8" w14:paraId="2B38DB6C" w14:textId="77777777" w:rsidTr="0058113D">
        <w:trPr>
          <w:trHeight w:val="220"/>
        </w:trPr>
        <w:tc>
          <w:tcPr>
            <w:tcW w:w="2283" w:type="dxa"/>
            <w:tcBorders>
              <w:top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238D2F07" w14:textId="77777777" w:rsidR="0058113D" w:rsidRPr="00E70FC8" w:rsidRDefault="0058113D" w:rsidP="003407B0">
            <w:pPr>
              <w:autoSpaceDE/>
              <w:autoSpaceDN/>
              <w:rPr>
                <w:rFonts w:eastAsia="Times New Roman"/>
                <w:sz w:val="16"/>
                <w:szCs w:val="16"/>
                <w:lang w:val="en-GB"/>
              </w:rPr>
            </w:pPr>
            <w:r w:rsidRPr="00E70FC8">
              <w:rPr>
                <w:rFonts w:eastAsia="Times New Roman"/>
                <w:sz w:val="16"/>
                <w:szCs w:val="16"/>
                <w:lang w:val="en-GB"/>
              </w:rPr>
              <w:t>Aluminium oxide (Al</w:t>
            </w:r>
            <w:r w:rsidRPr="00E70FC8">
              <w:rPr>
                <w:rFonts w:eastAsia="Times New Roman"/>
                <w:sz w:val="16"/>
                <w:szCs w:val="16"/>
                <w:vertAlign w:val="subscript"/>
                <w:lang w:val="en-GB"/>
              </w:rPr>
              <w:t>2</w:t>
            </w:r>
            <w:r w:rsidRPr="00E70FC8">
              <w:rPr>
                <w:rFonts w:eastAsia="Times New Roman"/>
                <w:sz w:val="16"/>
                <w:szCs w:val="16"/>
                <w:lang w:val="en-GB"/>
              </w:rPr>
              <w:t>O</w:t>
            </w:r>
            <w:r w:rsidRPr="00E70FC8">
              <w:rPr>
                <w:rFonts w:eastAsia="Times New Roman"/>
                <w:sz w:val="16"/>
                <w:szCs w:val="16"/>
                <w:vertAlign w:val="subscript"/>
                <w:lang w:val="en-GB"/>
              </w:rPr>
              <w:t>3</w:t>
            </w:r>
            <w:r w:rsidRPr="00E70FC8">
              <w:rPr>
                <w:rFonts w:eastAsia="Times New Roman"/>
                <w:sz w:val="16"/>
                <w:szCs w:val="16"/>
                <w:lang w:val="en-GB"/>
              </w:rPr>
              <w:t>)</w:t>
            </w:r>
          </w:p>
        </w:tc>
        <w:tc>
          <w:tcPr>
            <w:tcW w:w="23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00AD923" w14:textId="3D9157CE" w:rsidR="0058113D" w:rsidRPr="00E70FC8" w:rsidRDefault="0058113D" w:rsidP="003407B0">
            <w:pPr>
              <w:autoSpaceDE/>
              <w:autoSpaceDN/>
              <w:jc w:val="center"/>
              <w:rPr>
                <w:rFonts w:eastAsia="Times New Roman"/>
                <w:sz w:val="16"/>
                <w:szCs w:val="16"/>
                <w:lang w:val="en-GB"/>
              </w:rPr>
            </w:pPr>
            <w:r w:rsidRPr="00E70FC8">
              <w:rPr>
                <w:rFonts w:eastAsia="Times New Roman"/>
                <w:sz w:val="16"/>
                <w:szCs w:val="16"/>
                <w:lang w:val="en-GB"/>
              </w:rPr>
              <w:t>23.4</w:t>
            </w:r>
          </w:p>
        </w:tc>
      </w:tr>
      <w:tr w:rsidR="00E70FC8" w:rsidRPr="00E70FC8" w14:paraId="5616CA54" w14:textId="77777777" w:rsidTr="0058113D">
        <w:trPr>
          <w:trHeight w:val="147"/>
        </w:trPr>
        <w:tc>
          <w:tcPr>
            <w:tcW w:w="2283" w:type="dxa"/>
            <w:tcBorders>
              <w:top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3F46918E" w14:textId="77777777" w:rsidR="0058113D" w:rsidRPr="00E70FC8" w:rsidRDefault="0058113D" w:rsidP="003407B0">
            <w:pPr>
              <w:autoSpaceDE/>
              <w:autoSpaceDN/>
              <w:rPr>
                <w:rFonts w:eastAsia="Times New Roman"/>
                <w:sz w:val="16"/>
                <w:szCs w:val="16"/>
                <w:lang w:val="en-GB"/>
              </w:rPr>
            </w:pPr>
            <w:r w:rsidRPr="00E70FC8">
              <w:rPr>
                <w:rFonts w:eastAsia="Times New Roman"/>
                <w:sz w:val="16"/>
                <w:szCs w:val="16"/>
                <w:lang w:val="en-GB"/>
              </w:rPr>
              <w:t>Iron oxide (Fe</w:t>
            </w:r>
            <w:r w:rsidRPr="00E70FC8">
              <w:rPr>
                <w:rFonts w:eastAsia="Times New Roman"/>
                <w:sz w:val="16"/>
                <w:szCs w:val="16"/>
                <w:vertAlign w:val="subscript"/>
                <w:lang w:val="en-GB"/>
              </w:rPr>
              <w:t>2</w:t>
            </w:r>
            <w:r w:rsidRPr="00E70FC8">
              <w:rPr>
                <w:rFonts w:eastAsia="Times New Roman"/>
                <w:sz w:val="16"/>
                <w:szCs w:val="16"/>
                <w:lang w:val="en-GB"/>
              </w:rPr>
              <w:t>O</w:t>
            </w:r>
            <w:r w:rsidRPr="00E70FC8">
              <w:rPr>
                <w:rFonts w:eastAsia="Times New Roman"/>
                <w:sz w:val="16"/>
                <w:szCs w:val="16"/>
                <w:vertAlign w:val="subscript"/>
                <w:lang w:val="en-GB"/>
              </w:rPr>
              <w:t>3</w:t>
            </w:r>
            <w:r w:rsidRPr="00E70FC8">
              <w:rPr>
                <w:rFonts w:eastAsia="Times New Roman"/>
                <w:sz w:val="16"/>
                <w:szCs w:val="16"/>
                <w:lang w:val="en-GB"/>
              </w:rPr>
              <w:t>)</w:t>
            </w:r>
          </w:p>
        </w:tc>
        <w:tc>
          <w:tcPr>
            <w:tcW w:w="23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DC6FE4D" w14:textId="058B5BB2" w:rsidR="0058113D" w:rsidRPr="00E70FC8" w:rsidRDefault="0058113D" w:rsidP="003407B0">
            <w:pPr>
              <w:autoSpaceDE/>
              <w:autoSpaceDN/>
              <w:jc w:val="center"/>
              <w:rPr>
                <w:rFonts w:eastAsia="Times New Roman"/>
                <w:sz w:val="16"/>
                <w:szCs w:val="16"/>
                <w:lang w:val="en-GB"/>
              </w:rPr>
            </w:pPr>
            <w:r w:rsidRPr="00E70FC8">
              <w:rPr>
                <w:rFonts w:eastAsia="Times New Roman"/>
                <w:sz w:val="16"/>
                <w:szCs w:val="16"/>
                <w:lang w:val="en-GB"/>
              </w:rPr>
              <w:t>7</w:t>
            </w:r>
          </w:p>
        </w:tc>
      </w:tr>
      <w:tr w:rsidR="00E70FC8" w:rsidRPr="00E70FC8" w14:paraId="69210FDB" w14:textId="77777777" w:rsidTr="0058113D">
        <w:trPr>
          <w:trHeight w:val="220"/>
        </w:trPr>
        <w:tc>
          <w:tcPr>
            <w:tcW w:w="2283" w:type="dxa"/>
            <w:tcBorders>
              <w:top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435CEA2F" w14:textId="77777777" w:rsidR="0058113D" w:rsidRPr="00E70FC8" w:rsidRDefault="0058113D" w:rsidP="003407B0">
            <w:pPr>
              <w:autoSpaceDE/>
              <w:autoSpaceDN/>
              <w:rPr>
                <w:rFonts w:eastAsia="Times New Roman"/>
                <w:sz w:val="16"/>
                <w:szCs w:val="16"/>
                <w:lang w:val="en-GB"/>
              </w:rPr>
            </w:pPr>
            <w:r w:rsidRPr="00E70FC8">
              <w:rPr>
                <w:rFonts w:eastAsia="Times New Roman"/>
                <w:sz w:val="16"/>
                <w:szCs w:val="16"/>
                <w:lang w:val="en-GB"/>
              </w:rPr>
              <w:t>Calcium oxide (</w:t>
            </w:r>
            <w:proofErr w:type="spellStart"/>
            <w:r w:rsidRPr="00E70FC8">
              <w:rPr>
                <w:rFonts w:eastAsia="Times New Roman"/>
                <w:sz w:val="16"/>
                <w:szCs w:val="16"/>
                <w:lang w:val="en-GB"/>
              </w:rPr>
              <w:t>CaO</w:t>
            </w:r>
            <w:proofErr w:type="spellEnd"/>
            <w:r w:rsidRPr="00E70FC8">
              <w:rPr>
                <w:rFonts w:eastAsia="Times New Roman"/>
                <w:sz w:val="16"/>
                <w:szCs w:val="16"/>
                <w:lang w:val="en-GB"/>
              </w:rPr>
              <w:t>)</w:t>
            </w:r>
          </w:p>
        </w:tc>
        <w:tc>
          <w:tcPr>
            <w:tcW w:w="23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55F6E8D" w14:textId="5E485521" w:rsidR="0058113D" w:rsidRPr="00E70FC8" w:rsidRDefault="0058113D" w:rsidP="003407B0">
            <w:pPr>
              <w:autoSpaceDE/>
              <w:autoSpaceDN/>
              <w:jc w:val="center"/>
              <w:rPr>
                <w:rFonts w:eastAsia="Times New Roman"/>
                <w:sz w:val="16"/>
                <w:szCs w:val="16"/>
                <w:lang w:val="en-GB"/>
              </w:rPr>
            </w:pPr>
            <w:r w:rsidRPr="00E70FC8">
              <w:rPr>
                <w:rFonts w:eastAsia="Times New Roman"/>
                <w:sz w:val="16"/>
                <w:szCs w:val="16"/>
                <w:lang w:val="en-GB"/>
              </w:rPr>
              <w:t>1.6</w:t>
            </w:r>
          </w:p>
        </w:tc>
      </w:tr>
      <w:tr w:rsidR="00E70FC8" w:rsidRPr="00E70FC8" w14:paraId="0A08F1D4" w14:textId="77777777" w:rsidTr="0058113D">
        <w:trPr>
          <w:trHeight w:val="220"/>
        </w:trPr>
        <w:tc>
          <w:tcPr>
            <w:tcW w:w="2283" w:type="dxa"/>
            <w:tcBorders>
              <w:top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346A2F7B" w14:textId="77777777" w:rsidR="0058113D" w:rsidRPr="00E70FC8" w:rsidRDefault="0058113D" w:rsidP="003407B0">
            <w:pPr>
              <w:autoSpaceDE/>
              <w:autoSpaceDN/>
              <w:rPr>
                <w:rFonts w:eastAsia="Times New Roman"/>
                <w:sz w:val="16"/>
                <w:szCs w:val="16"/>
                <w:lang w:val="en-GB"/>
              </w:rPr>
            </w:pPr>
            <w:r w:rsidRPr="00E70FC8">
              <w:rPr>
                <w:rFonts w:eastAsia="Times New Roman"/>
                <w:sz w:val="16"/>
                <w:szCs w:val="16"/>
                <w:lang w:val="en-GB"/>
              </w:rPr>
              <w:t>Magnesium oxide (</w:t>
            </w:r>
            <w:proofErr w:type="spellStart"/>
            <w:r w:rsidRPr="00E70FC8">
              <w:rPr>
                <w:rFonts w:eastAsia="Times New Roman"/>
                <w:sz w:val="16"/>
                <w:szCs w:val="16"/>
                <w:lang w:val="en-GB"/>
              </w:rPr>
              <w:t>MgO</w:t>
            </w:r>
            <w:proofErr w:type="spellEnd"/>
            <w:r w:rsidRPr="00E70FC8">
              <w:rPr>
                <w:rFonts w:eastAsia="Times New Roman"/>
                <w:sz w:val="16"/>
                <w:szCs w:val="16"/>
                <w:lang w:val="en-GB"/>
              </w:rPr>
              <w:t>)</w:t>
            </w:r>
          </w:p>
        </w:tc>
        <w:tc>
          <w:tcPr>
            <w:tcW w:w="23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8680808" w14:textId="686073A6" w:rsidR="0058113D" w:rsidRPr="00E70FC8" w:rsidRDefault="0058113D" w:rsidP="003407B0">
            <w:pPr>
              <w:autoSpaceDE/>
              <w:autoSpaceDN/>
              <w:jc w:val="center"/>
              <w:rPr>
                <w:rFonts w:eastAsia="Times New Roman"/>
                <w:sz w:val="16"/>
                <w:szCs w:val="16"/>
                <w:lang w:val="en-GB"/>
              </w:rPr>
            </w:pPr>
            <w:r w:rsidRPr="00E70FC8">
              <w:rPr>
                <w:rFonts w:eastAsia="Times New Roman"/>
                <w:sz w:val="16"/>
                <w:szCs w:val="16"/>
                <w:lang w:val="en-GB"/>
              </w:rPr>
              <w:t>2.4</w:t>
            </w:r>
          </w:p>
        </w:tc>
      </w:tr>
      <w:tr w:rsidR="00E70FC8" w:rsidRPr="00E70FC8" w14:paraId="48FC283E" w14:textId="77777777" w:rsidTr="0058113D">
        <w:trPr>
          <w:trHeight w:val="220"/>
        </w:trPr>
        <w:tc>
          <w:tcPr>
            <w:tcW w:w="2283" w:type="dxa"/>
            <w:tcBorders>
              <w:top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1431FA1B" w14:textId="77777777" w:rsidR="0058113D" w:rsidRPr="00E70FC8" w:rsidRDefault="0058113D" w:rsidP="003407B0">
            <w:pPr>
              <w:autoSpaceDE/>
              <w:autoSpaceDN/>
              <w:rPr>
                <w:rFonts w:eastAsia="Times New Roman"/>
                <w:sz w:val="16"/>
                <w:szCs w:val="16"/>
                <w:lang w:val="en-GB"/>
              </w:rPr>
            </w:pPr>
            <w:r w:rsidRPr="00E70FC8">
              <w:rPr>
                <w:rFonts w:eastAsia="Times New Roman"/>
                <w:sz w:val="16"/>
                <w:szCs w:val="16"/>
                <w:lang w:val="en-GB"/>
              </w:rPr>
              <w:t>Sodium oxide (Na</w:t>
            </w:r>
            <w:r w:rsidRPr="00E70FC8">
              <w:rPr>
                <w:rFonts w:eastAsia="Times New Roman"/>
                <w:sz w:val="16"/>
                <w:szCs w:val="16"/>
                <w:vertAlign w:val="subscript"/>
                <w:lang w:val="en-GB"/>
              </w:rPr>
              <w:t>2</w:t>
            </w:r>
            <w:r w:rsidRPr="00E70FC8">
              <w:rPr>
                <w:rFonts w:eastAsia="Times New Roman"/>
                <w:sz w:val="16"/>
                <w:szCs w:val="16"/>
                <w:lang w:val="en-GB"/>
              </w:rPr>
              <w:t>O)</w:t>
            </w:r>
          </w:p>
        </w:tc>
        <w:tc>
          <w:tcPr>
            <w:tcW w:w="23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45C036C" w14:textId="77777777" w:rsidR="0058113D" w:rsidRPr="00E70FC8" w:rsidRDefault="0058113D" w:rsidP="003407B0">
            <w:pPr>
              <w:autoSpaceDE/>
              <w:autoSpaceDN/>
              <w:jc w:val="center"/>
              <w:rPr>
                <w:rFonts w:eastAsia="Times New Roman"/>
                <w:sz w:val="16"/>
                <w:szCs w:val="16"/>
                <w:lang w:val="en-GB"/>
              </w:rPr>
            </w:pPr>
            <w:r w:rsidRPr="00E70FC8">
              <w:rPr>
                <w:rFonts w:eastAsia="Times New Roman"/>
                <w:sz w:val="16"/>
                <w:szCs w:val="16"/>
                <w:lang w:val="en-GB"/>
              </w:rPr>
              <w:t>0.4</w:t>
            </w:r>
          </w:p>
        </w:tc>
      </w:tr>
      <w:tr w:rsidR="00E70FC8" w:rsidRPr="00E70FC8" w14:paraId="4D6DD66E" w14:textId="77777777" w:rsidTr="0058113D">
        <w:trPr>
          <w:trHeight w:val="220"/>
        </w:trPr>
        <w:tc>
          <w:tcPr>
            <w:tcW w:w="2283" w:type="dxa"/>
            <w:tcBorders>
              <w:top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0CA09C7B" w14:textId="77777777" w:rsidR="0058113D" w:rsidRPr="00E70FC8" w:rsidRDefault="0058113D" w:rsidP="003407B0">
            <w:pPr>
              <w:autoSpaceDE/>
              <w:autoSpaceDN/>
              <w:rPr>
                <w:rFonts w:eastAsia="Times New Roman"/>
                <w:sz w:val="16"/>
                <w:szCs w:val="16"/>
                <w:lang w:val="en-GB"/>
              </w:rPr>
            </w:pPr>
            <w:r w:rsidRPr="00E70FC8">
              <w:rPr>
                <w:rFonts w:eastAsia="Times New Roman"/>
                <w:sz w:val="16"/>
                <w:szCs w:val="16"/>
                <w:lang w:val="en-GB"/>
              </w:rPr>
              <w:t>Potassium oxide (K</w:t>
            </w:r>
            <w:r w:rsidRPr="00E70FC8">
              <w:rPr>
                <w:rFonts w:eastAsia="Times New Roman"/>
                <w:sz w:val="16"/>
                <w:szCs w:val="16"/>
                <w:vertAlign w:val="subscript"/>
                <w:lang w:val="en-GB"/>
              </w:rPr>
              <w:t>2</w:t>
            </w:r>
            <w:r w:rsidRPr="00E70FC8">
              <w:rPr>
                <w:rFonts w:eastAsia="Times New Roman"/>
                <w:sz w:val="16"/>
                <w:szCs w:val="16"/>
                <w:lang w:val="en-GB"/>
              </w:rPr>
              <w:t>O)</w:t>
            </w:r>
          </w:p>
        </w:tc>
        <w:tc>
          <w:tcPr>
            <w:tcW w:w="2329"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auto"/>
            <w:vAlign w:val="center"/>
          </w:tcPr>
          <w:p w14:paraId="231B7EB9" w14:textId="798FF907" w:rsidR="0058113D" w:rsidRPr="00E70FC8" w:rsidRDefault="0058113D" w:rsidP="003407B0">
            <w:pPr>
              <w:autoSpaceDE/>
              <w:autoSpaceDN/>
              <w:jc w:val="center"/>
              <w:rPr>
                <w:rFonts w:eastAsia="Times New Roman"/>
                <w:sz w:val="16"/>
                <w:szCs w:val="16"/>
                <w:lang w:val="en-GB"/>
              </w:rPr>
            </w:pPr>
            <w:r w:rsidRPr="00E70FC8">
              <w:rPr>
                <w:rFonts w:eastAsia="Times New Roman"/>
                <w:sz w:val="16"/>
                <w:szCs w:val="16"/>
                <w:lang w:val="en-GB"/>
              </w:rPr>
              <w:t>1.9</w:t>
            </w:r>
          </w:p>
          <w:p w14:paraId="774FDA12" w14:textId="05C02F13" w:rsidR="0058113D" w:rsidRPr="00E70FC8" w:rsidRDefault="0058113D" w:rsidP="003407B0">
            <w:pPr>
              <w:jc w:val="center"/>
              <w:rPr>
                <w:rFonts w:eastAsia="Times New Roman"/>
                <w:sz w:val="16"/>
                <w:szCs w:val="16"/>
                <w:lang w:val="en-GB"/>
              </w:rPr>
            </w:pPr>
            <w:r w:rsidRPr="00E70FC8">
              <w:rPr>
                <w:rFonts w:eastAsia="Times New Roman"/>
                <w:sz w:val="16"/>
                <w:szCs w:val="16"/>
                <w:lang w:val="en-GB"/>
              </w:rPr>
              <w:t>9.3</w:t>
            </w:r>
          </w:p>
        </w:tc>
      </w:tr>
      <w:tr w:rsidR="00E70FC8" w:rsidRPr="00E70FC8" w14:paraId="62D3D056" w14:textId="77777777" w:rsidTr="0058113D">
        <w:trPr>
          <w:trHeight w:val="220"/>
        </w:trPr>
        <w:tc>
          <w:tcPr>
            <w:tcW w:w="2283" w:type="dxa"/>
            <w:tcBorders>
              <w:top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09C81766" w14:textId="77777777" w:rsidR="0058113D" w:rsidRPr="00E70FC8" w:rsidRDefault="0058113D" w:rsidP="003407B0">
            <w:pPr>
              <w:autoSpaceDE/>
              <w:autoSpaceDN/>
              <w:rPr>
                <w:rFonts w:eastAsia="Times New Roman"/>
                <w:sz w:val="16"/>
                <w:szCs w:val="16"/>
                <w:lang w:val="en-GB"/>
              </w:rPr>
            </w:pPr>
            <w:r w:rsidRPr="00E70FC8">
              <w:rPr>
                <w:rFonts w:eastAsia="Times New Roman"/>
                <w:sz w:val="16"/>
                <w:szCs w:val="16"/>
                <w:lang w:val="en-GB"/>
              </w:rPr>
              <w:t>Loss on ignition (LOI)</w:t>
            </w:r>
          </w:p>
        </w:tc>
        <w:tc>
          <w:tcPr>
            <w:tcW w:w="2329" w:type="dxa"/>
            <w:vMerge/>
            <w:tcBorders>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EB14C96" w14:textId="21966E8B" w:rsidR="0058113D" w:rsidRPr="00E70FC8" w:rsidRDefault="0058113D" w:rsidP="003407B0">
            <w:pPr>
              <w:autoSpaceDE/>
              <w:autoSpaceDN/>
              <w:jc w:val="center"/>
              <w:rPr>
                <w:rFonts w:eastAsia="Times New Roman"/>
                <w:sz w:val="16"/>
                <w:szCs w:val="16"/>
                <w:lang w:val="en-GB"/>
              </w:rPr>
            </w:pPr>
          </w:p>
        </w:tc>
      </w:tr>
      <w:tr w:rsidR="00E70FC8" w:rsidRPr="00E70FC8" w14:paraId="33EC3C59" w14:textId="77777777" w:rsidTr="0058113D">
        <w:trPr>
          <w:trHeight w:val="226"/>
        </w:trPr>
        <w:tc>
          <w:tcPr>
            <w:tcW w:w="2283" w:type="dxa"/>
            <w:tcBorders>
              <w:top w:val="single" w:sz="4" w:space="0" w:color="FFFFFF" w:themeColor="background1"/>
              <w:bottom w:val="double" w:sz="4" w:space="0" w:color="auto"/>
              <w:right w:val="single" w:sz="4" w:space="0" w:color="FFFFFF" w:themeColor="background1"/>
            </w:tcBorders>
            <w:shd w:val="clear" w:color="auto" w:fill="auto"/>
            <w:vAlign w:val="center"/>
            <w:hideMark/>
          </w:tcPr>
          <w:p w14:paraId="72EC55C5" w14:textId="77777777" w:rsidR="0058113D" w:rsidRPr="00E70FC8" w:rsidRDefault="0058113D" w:rsidP="003407B0">
            <w:pPr>
              <w:autoSpaceDE/>
              <w:autoSpaceDN/>
              <w:rPr>
                <w:rFonts w:eastAsia="Times New Roman"/>
                <w:sz w:val="16"/>
                <w:szCs w:val="16"/>
                <w:lang w:val="en-GB"/>
              </w:rPr>
            </w:pPr>
            <w:r w:rsidRPr="00E70FC8">
              <w:rPr>
                <w:rFonts w:eastAsia="Times New Roman"/>
                <w:sz w:val="16"/>
                <w:szCs w:val="16"/>
                <w:lang w:val="en-GB"/>
              </w:rPr>
              <w:t>Sulphur trioxide (SO</w:t>
            </w:r>
            <w:r w:rsidRPr="00E70FC8">
              <w:rPr>
                <w:rFonts w:eastAsia="Times New Roman"/>
                <w:sz w:val="16"/>
                <w:szCs w:val="16"/>
                <w:vertAlign w:val="subscript"/>
                <w:lang w:val="en-GB"/>
              </w:rPr>
              <w:t>3</w:t>
            </w:r>
            <w:r w:rsidRPr="00E70FC8">
              <w:rPr>
                <w:rFonts w:eastAsia="Times New Roman"/>
                <w:sz w:val="16"/>
                <w:szCs w:val="16"/>
                <w:lang w:val="en-GB"/>
              </w:rPr>
              <w:t>)</w:t>
            </w:r>
          </w:p>
        </w:tc>
        <w:tc>
          <w:tcPr>
            <w:tcW w:w="2329" w:type="dxa"/>
            <w:tcBorders>
              <w:top w:val="single" w:sz="4" w:space="0" w:color="FFFFFF" w:themeColor="background1"/>
              <w:left w:val="single" w:sz="4" w:space="0" w:color="FFFFFF" w:themeColor="background1"/>
              <w:bottom w:val="double" w:sz="4" w:space="0" w:color="auto"/>
              <w:right w:val="single" w:sz="4" w:space="0" w:color="FFFFFF" w:themeColor="background1"/>
            </w:tcBorders>
            <w:shd w:val="clear" w:color="auto" w:fill="auto"/>
            <w:vAlign w:val="center"/>
          </w:tcPr>
          <w:p w14:paraId="69D88ED4" w14:textId="1796C826" w:rsidR="0058113D" w:rsidRPr="00E70FC8" w:rsidRDefault="0058113D" w:rsidP="003407B0">
            <w:pPr>
              <w:autoSpaceDE/>
              <w:autoSpaceDN/>
              <w:jc w:val="center"/>
              <w:rPr>
                <w:rFonts w:eastAsia="Times New Roman"/>
                <w:sz w:val="16"/>
                <w:szCs w:val="16"/>
                <w:lang w:val="en-GB"/>
              </w:rPr>
            </w:pPr>
            <w:r w:rsidRPr="00E70FC8">
              <w:rPr>
                <w:rFonts w:eastAsia="Times New Roman"/>
                <w:sz w:val="16"/>
                <w:szCs w:val="16"/>
                <w:lang w:val="en-GB"/>
              </w:rPr>
              <w:t>0.1</w:t>
            </w:r>
          </w:p>
        </w:tc>
      </w:tr>
    </w:tbl>
    <w:p w14:paraId="0CA909A1" w14:textId="77777777" w:rsidR="00EC6E7C" w:rsidRDefault="00EC6E7C" w:rsidP="0058113D">
      <w:pPr>
        <w:pStyle w:val="Default"/>
        <w:rPr>
          <w:color w:val="auto"/>
          <w:sz w:val="20"/>
          <w:szCs w:val="20"/>
        </w:rPr>
      </w:pPr>
    </w:p>
    <w:p w14:paraId="34974D2F" w14:textId="15DE4FD3" w:rsidR="0058113D" w:rsidRPr="00E70FC8" w:rsidRDefault="0058113D" w:rsidP="0058113D">
      <w:pPr>
        <w:pStyle w:val="Default"/>
        <w:rPr>
          <w:color w:val="auto"/>
          <w:sz w:val="20"/>
          <w:szCs w:val="20"/>
        </w:rPr>
      </w:pPr>
      <w:r w:rsidRPr="00E70FC8">
        <w:rPr>
          <w:color w:val="auto"/>
          <w:sz w:val="20"/>
          <w:szCs w:val="20"/>
        </w:rPr>
        <w:t>The apparent densities of AHS and cement were calculated to be 1325 kg/m</w:t>
      </w:r>
      <w:r w:rsidRPr="00E70FC8">
        <w:rPr>
          <w:color w:val="auto"/>
          <w:sz w:val="13"/>
          <w:szCs w:val="13"/>
        </w:rPr>
        <w:t xml:space="preserve">3 </w:t>
      </w:r>
      <w:r w:rsidRPr="00E70FC8">
        <w:rPr>
          <w:color w:val="auto"/>
          <w:sz w:val="20"/>
          <w:szCs w:val="20"/>
        </w:rPr>
        <w:t>and 1093 kg/m</w:t>
      </w:r>
      <w:r w:rsidRPr="00E70FC8">
        <w:rPr>
          <w:color w:val="auto"/>
          <w:sz w:val="13"/>
          <w:szCs w:val="13"/>
        </w:rPr>
        <w:t xml:space="preserve">3 </w:t>
      </w:r>
      <w:r w:rsidRPr="00E70FC8">
        <w:rPr>
          <w:color w:val="auto"/>
          <w:sz w:val="20"/>
          <w:szCs w:val="20"/>
        </w:rPr>
        <w:t xml:space="preserve">respectively using (1). </w:t>
      </w:r>
    </w:p>
    <w:p w14:paraId="70C31CE1" w14:textId="4E8CA345" w:rsidR="00511A1E" w:rsidRPr="00E70FC8" w:rsidRDefault="0058113D" w:rsidP="0058113D">
      <w:pPr>
        <w:adjustRightInd w:val="0"/>
        <w:contextualSpacing/>
        <w:jc w:val="both"/>
      </w:pPr>
      <w:r w:rsidRPr="00E70FC8">
        <w:t xml:space="preserve">The chemical composition of AHS was assessed against the requirements of natural </w:t>
      </w:r>
      <w:proofErr w:type="spellStart"/>
      <w:r w:rsidRPr="00E70FC8">
        <w:t>pozzolans</w:t>
      </w:r>
      <w:proofErr w:type="spellEnd"/>
      <w:r w:rsidRPr="00E70FC8">
        <w:t xml:space="preserve"> to [22], [27], which are that natural </w:t>
      </w:r>
      <w:proofErr w:type="spellStart"/>
      <w:r w:rsidRPr="00E70FC8">
        <w:t>pozzolans</w:t>
      </w:r>
      <w:proofErr w:type="spellEnd"/>
      <w:r w:rsidRPr="00E70FC8">
        <w:t xml:space="preserve"> should contain a combined sum of SiO</w:t>
      </w:r>
      <w:r w:rsidRPr="00E70FC8">
        <w:rPr>
          <w:sz w:val="13"/>
          <w:szCs w:val="13"/>
        </w:rPr>
        <w:t>2</w:t>
      </w:r>
      <w:r w:rsidRPr="00E70FC8">
        <w:t>, Al</w:t>
      </w:r>
      <w:r w:rsidRPr="00E70FC8">
        <w:rPr>
          <w:sz w:val="13"/>
          <w:szCs w:val="13"/>
        </w:rPr>
        <w:t>2</w:t>
      </w:r>
      <w:r w:rsidRPr="00E70FC8">
        <w:t>O</w:t>
      </w:r>
      <w:r w:rsidRPr="00E70FC8">
        <w:rPr>
          <w:sz w:val="13"/>
          <w:szCs w:val="13"/>
        </w:rPr>
        <w:t xml:space="preserve">3 </w:t>
      </w:r>
      <w:r w:rsidRPr="00E70FC8">
        <w:t>and Fe</w:t>
      </w:r>
      <w:r w:rsidRPr="00E70FC8">
        <w:rPr>
          <w:sz w:val="13"/>
          <w:szCs w:val="13"/>
        </w:rPr>
        <w:t>2</w:t>
      </w:r>
      <w:r w:rsidRPr="00E70FC8">
        <w:t>O</w:t>
      </w:r>
      <w:r w:rsidRPr="00E70FC8">
        <w:rPr>
          <w:sz w:val="13"/>
          <w:szCs w:val="13"/>
        </w:rPr>
        <w:t xml:space="preserve">3 </w:t>
      </w:r>
      <w:r w:rsidRPr="00E70FC8">
        <w:t>of at least 70% of the total mass and a LOI of between 5% and 10%. LOI is a measure to control unburned materials from the furnace, which influences water demand in concrete for standard consistencies and does not contribute in chemical reactions [17].</w:t>
      </w:r>
    </w:p>
    <w:p w14:paraId="2E485D96" w14:textId="77777777" w:rsidR="0058113D" w:rsidRPr="00E70FC8" w:rsidRDefault="0058113D" w:rsidP="0058113D">
      <w:pPr>
        <w:adjustRightInd w:val="0"/>
        <w:contextualSpacing/>
        <w:jc w:val="both"/>
      </w:pPr>
    </w:p>
    <w:p w14:paraId="04606C41" w14:textId="00BEAEE6" w:rsidR="0058113D" w:rsidRPr="00E70FC8" w:rsidRDefault="0058113D" w:rsidP="0058113D">
      <w:pPr>
        <w:adjustRightInd w:val="0"/>
        <w:contextualSpacing/>
        <w:jc w:val="both"/>
        <w:rPr>
          <w:rFonts w:ascii="Arial" w:eastAsia="Times New Roman" w:hAnsi="Arial" w:cs="Arial"/>
          <w:b/>
        </w:rPr>
      </w:pPr>
      <w:r w:rsidRPr="00E70FC8">
        <w:t>The analysis showed a sum of SiO</w:t>
      </w:r>
      <w:r w:rsidRPr="00E70FC8">
        <w:rPr>
          <w:sz w:val="13"/>
          <w:szCs w:val="13"/>
        </w:rPr>
        <w:t xml:space="preserve">2 </w:t>
      </w:r>
      <w:r w:rsidRPr="00E70FC8">
        <w:t>+ Al</w:t>
      </w:r>
      <w:r w:rsidRPr="00E70FC8">
        <w:rPr>
          <w:sz w:val="13"/>
          <w:szCs w:val="13"/>
        </w:rPr>
        <w:t>2</w:t>
      </w:r>
      <w:r w:rsidRPr="00E70FC8">
        <w:t>O</w:t>
      </w:r>
      <w:r w:rsidRPr="00E70FC8">
        <w:rPr>
          <w:sz w:val="13"/>
          <w:szCs w:val="13"/>
        </w:rPr>
        <w:t xml:space="preserve">3 </w:t>
      </w:r>
      <w:r w:rsidRPr="00E70FC8">
        <w:t>+ Fe</w:t>
      </w:r>
      <w:r w:rsidRPr="00E70FC8">
        <w:rPr>
          <w:sz w:val="13"/>
          <w:szCs w:val="13"/>
        </w:rPr>
        <w:t>2</w:t>
      </w:r>
      <w:r w:rsidRPr="00E70FC8">
        <w:t>O</w:t>
      </w:r>
      <w:r w:rsidRPr="00E70FC8">
        <w:rPr>
          <w:sz w:val="13"/>
          <w:szCs w:val="13"/>
        </w:rPr>
        <w:t xml:space="preserve">3 </w:t>
      </w:r>
      <w:r w:rsidRPr="00E70FC8">
        <w:t xml:space="preserve">of 82.3%, a </w:t>
      </w:r>
      <w:proofErr w:type="spellStart"/>
      <w:r w:rsidRPr="00E70FC8">
        <w:t>CaO</w:t>
      </w:r>
      <w:proofErr w:type="spellEnd"/>
      <w:r w:rsidRPr="00E70FC8">
        <w:t xml:space="preserve"> of 1.6% and a LOI of 9.3%, evidence that the AHS tested contained the required chemical composition for </w:t>
      </w:r>
      <w:proofErr w:type="spellStart"/>
      <w:r w:rsidRPr="00E70FC8">
        <w:t>pozzolans</w:t>
      </w:r>
      <w:proofErr w:type="spellEnd"/>
      <w:r w:rsidRPr="00E70FC8">
        <w:t xml:space="preserve"> and could therefore be suitable for use as a </w:t>
      </w:r>
      <w:proofErr w:type="spellStart"/>
      <w:r w:rsidRPr="00E70FC8">
        <w:t>pozzolanic</w:t>
      </w:r>
      <w:proofErr w:type="spellEnd"/>
      <w:r w:rsidRPr="00E70FC8">
        <w:t xml:space="preserve"> material.</w:t>
      </w:r>
    </w:p>
    <w:p w14:paraId="283D8AAF" w14:textId="77777777" w:rsidR="00083BAE" w:rsidRPr="00E70FC8" w:rsidRDefault="00083BAE" w:rsidP="00511A1E">
      <w:pPr>
        <w:pStyle w:val="Heading2"/>
        <w:ind w:left="144"/>
      </w:pPr>
      <w:r w:rsidRPr="00E70FC8">
        <w:t xml:space="preserve">Workability </w:t>
      </w:r>
    </w:p>
    <w:p w14:paraId="5BC7896F" w14:textId="77777777" w:rsidR="0058113D" w:rsidRPr="00E70FC8" w:rsidRDefault="0058113D" w:rsidP="005B53BA">
      <w:pPr>
        <w:pStyle w:val="Text"/>
      </w:pPr>
      <w:r w:rsidRPr="00E70FC8">
        <w:t xml:space="preserve">Table II and Fig. 2 show the workability of AHS replaced mixes. AHS was observed to reduce workability for the 5% replacement but improve it with further replacement. The high slumps achieved can be attributed to the lower density of AHS, which leads to an increased volume of mixes, the prevention of block formation of cement particles, and the reduction of friction between particles through the filler effect, thereby facilitating a better flow of concrete [41]. </w:t>
      </w:r>
    </w:p>
    <w:p w14:paraId="6D76691D" w14:textId="77777777" w:rsidR="0058113D" w:rsidRPr="00E70FC8" w:rsidRDefault="0058113D" w:rsidP="005B53BA">
      <w:pPr>
        <w:pStyle w:val="Text"/>
      </w:pPr>
    </w:p>
    <w:p w14:paraId="4D29D385" w14:textId="77777777" w:rsidR="0058113D" w:rsidRPr="00E70FC8" w:rsidRDefault="0058113D" w:rsidP="005B53BA">
      <w:pPr>
        <w:pStyle w:val="Text"/>
      </w:pPr>
      <w:r w:rsidRPr="00E70FC8">
        <w:t xml:space="preserve">As a result of this evidence, it can be concluded that AHS could be used as a SCM since it emulates the properties of SCMs in improving the workability of concrete. These results on workability also highlight the possibility of using AHS in </w:t>
      </w:r>
      <w:r w:rsidRPr="00E70FC8">
        <w:lastRenderedPageBreak/>
        <w:t xml:space="preserve">concrete to reduce the WCR and </w:t>
      </w:r>
      <w:proofErr w:type="spellStart"/>
      <w:r w:rsidRPr="00E70FC8">
        <w:t>optimise</w:t>
      </w:r>
      <w:proofErr w:type="spellEnd"/>
      <w:r w:rsidRPr="00E70FC8">
        <w:t xml:space="preserve"> on strength in line with Abram’s law which states that the strength of a concrete mix is determined by the WCR, with lower WCRs spelling higher strengths and vice-versa [35]. </w:t>
      </w:r>
    </w:p>
    <w:p w14:paraId="37ECFBD5" w14:textId="1C6D07CB" w:rsidR="0058113D" w:rsidRPr="00E70FC8" w:rsidRDefault="0058113D" w:rsidP="005B53BA">
      <w:pPr>
        <w:pStyle w:val="Text"/>
      </w:pPr>
    </w:p>
    <w:p w14:paraId="03D06D51" w14:textId="77777777" w:rsidR="00E117CB" w:rsidRPr="00E70FC8" w:rsidRDefault="00E117CB" w:rsidP="005B53BA">
      <w:pPr>
        <w:pStyle w:val="Text"/>
        <w:rPr>
          <w:rFonts w:eastAsia="Times New Roman"/>
        </w:rPr>
      </w:pPr>
    </w:p>
    <w:p w14:paraId="034C923D" w14:textId="0A54BDDE" w:rsidR="003407B0" w:rsidRPr="00E70FC8" w:rsidRDefault="00E41120" w:rsidP="00E117CB">
      <w:pPr>
        <w:pStyle w:val="TableTitle"/>
      </w:pPr>
      <w:r w:rsidRPr="00E70FC8">
        <w:t>Table II</w:t>
      </w:r>
      <w:r w:rsidR="00E117CB" w:rsidRPr="00E70FC8">
        <w:t xml:space="preserve">. Slumps of </w:t>
      </w:r>
      <w:r w:rsidR="00A213FB" w:rsidRPr="00E70FC8">
        <w:t xml:space="preserve">AHS </w:t>
      </w:r>
      <w:r w:rsidR="00E117CB" w:rsidRPr="00E70FC8">
        <w:t>-replaced mixes (mm)</w:t>
      </w:r>
    </w:p>
    <w:tbl>
      <w:tblPr>
        <w:tblW w:w="5107" w:type="dxa"/>
        <w:tblInd w:w="93" w:type="dxa"/>
        <w:tblLayout w:type="fixed"/>
        <w:tblLook w:val="04A0" w:firstRow="1" w:lastRow="0" w:firstColumn="1" w:lastColumn="0" w:noHBand="0" w:noVBand="1"/>
      </w:tblPr>
      <w:tblGrid>
        <w:gridCol w:w="866"/>
        <w:gridCol w:w="510"/>
        <w:gridCol w:w="482"/>
        <w:gridCol w:w="567"/>
        <w:gridCol w:w="510"/>
        <w:gridCol w:w="510"/>
        <w:gridCol w:w="510"/>
        <w:gridCol w:w="642"/>
        <w:gridCol w:w="510"/>
      </w:tblGrid>
      <w:tr w:rsidR="00E70FC8" w:rsidRPr="00E70FC8" w14:paraId="3020C5FD" w14:textId="77777777" w:rsidTr="00E41120">
        <w:trPr>
          <w:trHeight w:val="158"/>
        </w:trPr>
        <w:tc>
          <w:tcPr>
            <w:tcW w:w="866" w:type="dxa"/>
            <w:vMerge w:val="restart"/>
            <w:tcBorders>
              <w:top w:val="double" w:sz="6" w:space="0" w:color="auto"/>
              <w:left w:val="nil"/>
              <w:bottom w:val="single" w:sz="4" w:space="0" w:color="auto"/>
              <w:right w:val="nil"/>
            </w:tcBorders>
            <w:shd w:val="clear" w:color="auto" w:fill="auto"/>
            <w:vAlign w:val="center"/>
            <w:hideMark/>
          </w:tcPr>
          <w:p w14:paraId="339102D7" w14:textId="08A297B1" w:rsidR="00E117CB" w:rsidRPr="00E70FC8" w:rsidRDefault="00A213FB" w:rsidP="00E117CB">
            <w:pPr>
              <w:autoSpaceDE/>
              <w:autoSpaceDN/>
              <w:jc w:val="center"/>
              <w:rPr>
                <w:rFonts w:eastAsia="Times New Roman"/>
                <w:sz w:val="16"/>
                <w:szCs w:val="16"/>
                <w:lang w:val="en-GB"/>
              </w:rPr>
            </w:pPr>
            <w:r w:rsidRPr="00E70FC8">
              <w:rPr>
                <w:rFonts w:eastAsia="Times New Roman"/>
                <w:sz w:val="16"/>
                <w:szCs w:val="16"/>
                <w:lang w:val="en-GB"/>
              </w:rPr>
              <w:t>Specimen</w:t>
            </w:r>
          </w:p>
        </w:tc>
        <w:tc>
          <w:tcPr>
            <w:tcW w:w="4241" w:type="dxa"/>
            <w:gridSpan w:val="8"/>
            <w:tcBorders>
              <w:top w:val="double" w:sz="6" w:space="0" w:color="auto"/>
              <w:left w:val="nil"/>
              <w:bottom w:val="single" w:sz="4" w:space="0" w:color="auto"/>
              <w:right w:val="nil"/>
            </w:tcBorders>
            <w:shd w:val="clear" w:color="auto" w:fill="auto"/>
            <w:noWrap/>
            <w:vAlign w:val="center"/>
            <w:hideMark/>
          </w:tcPr>
          <w:p w14:paraId="5D26AF52" w14:textId="77777777" w:rsidR="00E117CB" w:rsidRPr="00E70FC8" w:rsidRDefault="00E117CB" w:rsidP="00E117CB">
            <w:pPr>
              <w:autoSpaceDE/>
              <w:autoSpaceDN/>
              <w:jc w:val="center"/>
              <w:rPr>
                <w:rFonts w:eastAsia="Times New Roman"/>
                <w:sz w:val="16"/>
                <w:szCs w:val="16"/>
                <w:lang w:val="en-GB"/>
              </w:rPr>
            </w:pPr>
            <w:r w:rsidRPr="00E70FC8">
              <w:rPr>
                <w:rFonts w:eastAsia="Times New Roman"/>
                <w:sz w:val="16"/>
                <w:szCs w:val="16"/>
                <w:lang w:val="en-GB"/>
              </w:rPr>
              <w:t>Slumps at percentage replacements (mm)</w:t>
            </w:r>
          </w:p>
        </w:tc>
      </w:tr>
      <w:tr w:rsidR="00E70FC8" w:rsidRPr="00E70FC8" w14:paraId="23536622" w14:textId="77777777" w:rsidTr="00E41120">
        <w:trPr>
          <w:trHeight w:val="147"/>
        </w:trPr>
        <w:tc>
          <w:tcPr>
            <w:tcW w:w="866" w:type="dxa"/>
            <w:vMerge/>
            <w:tcBorders>
              <w:top w:val="double" w:sz="6" w:space="0" w:color="auto"/>
              <w:left w:val="nil"/>
              <w:bottom w:val="single" w:sz="4" w:space="0" w:color="auto"/>
              <w:right w:val="nil"/>
            </w:tcBorders>
            <w:vAlign w:val="center"/>
            <w:hideMark/>
          </w:tcPr>
          <w:p w14:paraId="745855A5" w14:textId="77777777" w:rsidR="00E117CB" w:rsidRPr="00E70FC8" w:rsidRDefault="00E117CB" w:rsidP="00E117CB">
            <w:pPr>
              <w:autoSpaceDE/>
              <w:autoSpaceDN/>
              <w:rPr>
                <w:rFonts w:eastAsia="Times New Roman"/>
                <w:sz w:val="16"/>
                <w:szCs w:val="16"/>
                <w:lang w:val="en-GB"/>
              </w:rPr>
            </w:pPr>
          </w:p>
        </w:tc>
        <w:tc>
          <w:tcPr>
            <w:tcW w:w="510" w:type="dxa"/>
            <w:tcBorders>
              <w:top w:val="nil"/>
              <w:left w:val="nil"/>
              <w:bottom w:val="single" w:sz="4" w:space="0" w:color="auto"/>
              <w:right w:val="nil"/>
            </w:tcBorders>
            <w:shd w:val="clear" w:color="auto" w:fill="auto"/>
            <w:noWrap/>
            <w:vAlign w:val="center"/>
            <w:hideMark/>
          </w:tcPr>
          <w:p w14:paraId="7BDA99DE" w14:textId="77777777" w:rsidR="00E117CB" w:rsidRPr="00E70FC8" w:rsidRDefault="00E117CB" w:rsidP="00E117CB">
            <w:pPr>
              <w:autoSpaceDE/>
              <w:autoSpaceDN/>
              <w:jc w:val="center"/>
              <w:rPr>
                <w:rFonts w:eastAsia="Times New Roman"/>
                <w:sz w:val="16"/>
                <w:szCs w:val="16"/>
                <w:lang w:val="en-GB"/>
              </w:rPr>
            </w:pPr>
            <w:r w:rsidRPr="00E70FC8">
              <w:rPr>
                <w:rFonts w:eastAsia="Times New Roman"/>
                <w:sz w:val="16"/>
                <w:szCs w:val="16"/>
                <w:lang w:val="en-GB"/>
              </w:rPr>
              <w:t>0%</w:t>
            </w:r>
          </w:p>
        </w:tc>
        <w:tc>
          <w:tcPr>
            <w:tcW w:w="482" w:type="dxa"/>
            <w:tcBorders>
              <w:top w:val="nil"/>
              <w:left w:val="nil"/>
              <w:bottom w:val="single" w:sz="4" w:space="0" w:color="auto"/>
              <w:right w:val="nil"/>
            </w:tcBorders>
            <w:shd w:val="clear" w:color="auto" w:fill="auto"/>
            <w:noWrap/>
            <w:vAlign w:val="center"/>
            <w:hideMark/>
          </w:tcPr>
          <w:p w14:paraId="0C4DCE77" w14:textId="77777777" w:rsidR="00E117CB" w:rsidRPr="00E70FC8" w:rsidRDefault="00E117CB" w:rsidP="00E117CB">
            <w:pPr>
              <w:autoSpaceDE/>
              <w:autoSpaceDN/>
              <w:jc w:val="center"/>
              <w:rPr>
                <w:rFonts w:eastAsia="Times New Roman"/>
                <w:sz w:val="16"/>
                <w:szCs w:val="16"/>
                <w:lang w:val="en-GB"/>
              </w:rPr>
            </w:pPr>
            <w:r w:rsidRPr="00E70FC8">
              <w:rPr>
                <w:rFonts w:eastAsia="Times New Roman"/>
                <w:sz w:val="16"/>
                <w:szCs w:val="16"/>
                <w:lang w:val="en-GB"/>
              </w:rPr>
              <w:t>5%</w:t>
            </w:r>
          </w:p>
        </w:tc>
        <w:tc>
          <w:tcPr>
            <w:tcW w:w="567" w:type="dxa"/>
            <w:tcBorders>
              <w:top w:val="nil"/>
              <w:left w:val="nil"/>
              <w:bottom w:val="single" w:sz="4" w:space="0" w:color="auto"/>
              <w:right w:val="nil"/>
            </w:tcBorders>
            <w:shd w:val="clear" w:color="auto" w:fill="auto"/>
            <w:noWrap/>
            <w:vAlign w:val="center"/>
            <w:hideMark/>
          </w:tcPr>
          <w:p w14:paraId="1FF6659A" w14:textId="6A56C625" w:rsidR="00E117CB" w:rsidRPr="00E70FC8" w:rsidRDefault="00E117CB" w:rsidP="00E117CB">
            <w:pPr>
              <w:autoSpaceDE/>
              <w:autoSpaceDN/>
              <w:jc w:val="center"/>
              <w:rPr>
                <w:rFonts w:eastAsia="Times New Roman"/>
                <w:sz w:val="16"/>
                <w:szCs w:val="16"/>
                <w:lang w:val="en-GB"/>
              </w:rPr>
            </w:pPr>
            <w:r w:rsidRPr="00E70FC8">
              <w:rPr>
                <w:rFonts w:eastAsia="Times New Roman"/>
                <w:sz w:val="16"/>
                <w:szCs w:val="16"/>
                <w:lang w:val="en-GB"/>
              </w:rPr>
              <w:t>7.5%</w:t>
            </w:r>
          </w:p>
        </w:tc>
        <w:tc>
          <w:tcPr>
            <w:tcW w:w="510" w:type="dxa"/>
            <w:tcBorders>
              <w:top w:val="nil"/>
              <w:left w:val="nil"/>
              <w:bottom w:val="single" w:sz="4" w:space="0" w:color="auto"/>
              <w:right w:val="nil"/>
            </w:tcBorders>
            <w:shd w:val="clear" w:color="auto" w:fill="auto"/>
            <w:noWrap/>
            <w:vAlign w:val="center"/>
            <w:hideMark/>
          </w:tcPr>
          <w:p w14:paraId="4AA48B87" w14:textId="77777777" w:rsidR="00E117CB" w:rsidRPr="00E70FC8" w:rsidRDefault="00E117CB" w:rsidP="00E117CB">
            <w:pPr>
              <w:autoSpaceDE/>
              <w:autoSpaceDN/>
              <w:jc w:val="center"/>
              <w:rPr>
                <w:rFonts w:eastAsia="Times New Roman"/>
                <w:sz w:val="16"/>
                <w:szCs w:val="16"/>
                <w:lang w:val="en-GB"/>
              </w:rPr>
            </w:pPr>
            <w:r w:rsidRPr="00E70FC8">
              <w:rPr>
                <w:rFonts w:eastAsia="Times New Roman"/>
                <w:sz w:val="16"/>
                <w:szCs w:val="16"/>
                <w:lang w:val="en-GB"/>
              </w:rPr>
              <w:t>10%</w:t>
            </w:r>
          </w:p>
        </w:tc>
        <w:tc>
          <w:tcPr>
            <w:tcW w:w="510" w:type="dxa"/>
            <w:tcBorders>
              <w:top w:val="nil"/>
              <w:left w:val="nil"/>
              <w:bottom w:val="single" w:sz="4" w:space="0" w:color="auto"/>
              <w:right w:val="nil"/>
            </w:tcBorders>
            <w:shd w:val="clear" w:color="auto" w:fill="auto"/>
            <w:noWrap/>
            <w:vAlign w:val="center"/>
            <w:hideMark/>
          </w:tcPr>
          <w:p w14:paraId="258997EE" w14:textId="77777777" w:rsidR="00E117CB" w:rsidRPr="00E70FC8" w:rsidRDefault="00E117CB" w:rsidP="00E117CB">
            <w:pPr>
              <w:autoSpaceDE/>
              <w:autoSpaceDN/>
              <w:jc w:val="center"/>
              <w:rPr>
                <w:rFonts w:eastAsia="Times New Roman"/>
                <w:sz w:val="16"/>
                <w:szCs w:val="16"/>
                <w:lang w:val="en-GB"/>
              </w:rPr>
            </w:pPr>
            <w:r w:rsidRPr="00E70FC8">
              <w:rPr>
                <w:rFonts w:eastAsia="Times New Roman"/>
                <w:sz w:val="16"/>
                <w:szCs w:val="16"/>
                <w:lang w:val="en-GB"/>
              </w:rPr>
              <w:t>15%</w:t>
            </w:r>
          </w:p>
        </w:tc>
        <w:tc>
          <w:tcPr>
            <w:tcW w:w="510" w:type="dxa"/>
            <w:tcBorders>
              <w:top w:val="nil"/>
              <w:left w:val="nil"/>
              <w:bottom w:val="single" w:sz="4" w:space="0" w:color="auto"/>
              <w:right w:val="nil"/>
            </w:tcBorders>
            <w:shd w:val="clear" w:color="auto" w:fill="auto"/>
            <w:noWrap/>
            <w:vAlign w:val="center"/>
            <w:hideMark/>
          </w:tcPr>
          <w:p w14:paraId="2A964FCB" w14:textId="77777777" w:rsidR="00E117CB" w:rsidRPr="00E70FC8" w:rsidRDefault="00E117CB" w:rsidP="00E117CB">
            <w:pPr>
              <w:autoSpaceDE/>
              <w:autoSpaceDN/>
              <w:jc w:val="center"/>
              <w:rPr>
                <w:rFonts w:eastAsia="Times New Roman"/>
                <w:sz w:val="16"/>
                <w:szCs w:val="16"/>
                <w:lang w:val="en-GB"/>
              </w:rPr>
            </w:pPr>
            <w:r w:rsidRPr="00E70FC8">
              <w:rPr>
                <w:rFonts w:eastAsia="Times New Roman"/>
                <w:sz w:val="16"/>
                <w:szCs w:val="16"/>
                <w:lang w:val="en-GB"/>
              </w:rPr>
              <w:t>20%</w:t>
            </w:r>
          </w:p>
        </w:tc>
        <w:tc>
          <w:tcPr>
            <w:tcW w:w="642" w:type="dxa"/>
            <w:tcBorders>
              <w:top w:val="nil"/>
              <w:left w:val="nil"/>
              <w:bottom w:val="single" w:sz="4" w:space="0" w:color="auto"/>
              <w:right w:val="nil"/>
            </w:tcBorders>
            <w:shd w:val="clear" w:color="auto" w:fill="auto"/>
            <w:noWrap/>
            <w:vAlign w:val="center"/>
            <w:hideMark/>
          </w:tcPr>
          <w:p w14:paraId="637FD96A" w14:textId="77777777" w:rsidR="00E117CB" w:rsidRPr="00E70FC8" w:rsidRDefault="00E117CB" w:rsidP="00E117CB">
            <w:pPr>
              <w:autoSpaceDE/>
              <w:autoSpaceDN/>
              <w:jc w:val="center"/>
              <w:rPr>
                <w:rFonts w:eastAsia="Times New Roman"/>
                <w:sz w:val="16"/>
                <w:szCs w:val="16"/>
                <w:lang w:val="en-GB"/>
              </w:rPr>
            </w:pPr>
            <w:r w:rsidRPr="00E70FC8">
              <w:rPr>
                <w:rFonts w:eastAsia="Times New Roman"/>
                <w:sz w:val="16"/>
                <w:szCs w:val="16"/>
                <w:lang w:val="en-GB"/>
              </w:rPr>
              <w:t>25%</w:t>
            </w:r>
          </w:p>
        </w:tc>
        <w:tc>
          <w:tcPr>
            <w:tcW w:w="510" w:type="dxa"/>
            <w:tcBorders>
              <w:top w:val="nil"/>
              <w:left w:val="nil"/>
              <w:bottom w:val="single" w:sz="4" w:space="0" w:color="auto"/>
              <w:right w:val="nil"/>
            </w:tcBorders>
            <w:shd w:val="clear" w:color="auto" w:fill="auto"/>
            <w:noWrap/>
            <w:vAlign w:val="center"/>
            <w:hideMark/>
          </w:tcPr>
          <w:p w14:paraId="3AC499F7" w14:textId="77777777" w:rsidR="00E117CB" w:rsidRPr="00E70FC8" w:rsidRDefault="00E117CB" w:rsidP="00E117CB">
            <w:pPr>
              <w:autoSpaceDE/>
              <w:autoSpaceDN/>
              <w:jc w:val="center"/>
              <w:rPr>
                <w:rFonts w:eastAsia="Times New Roman"/>
                <w:sz w:val="16"/>
                <w:szCs w:val="16"/>
                <w:lang w:val="en-GB"/>
              </w:rPr>
            </w:pPr>
            <w:r w:rsidRPr="00E70FC8">
              <w:rPr>
                <w:rFonts w:eastAsia="Times New Roman"/>
                <w:sz w:val="16"/>
                <w:szCs w:val="16"/>
                <w:lang w:val="en-GB"/>
              </w:rPr>
              <w:t>30%</w:t>
            </w:r>
          </w:p>
        </w:tc>
      </w:tr>
      <w:tr w:rsidR="00E70FC8" w:rsidRPr="00E70FC8" w14:paraId="2C933C68" w14:textId="77777777" w:rsidTr="00E41120">
        <w:trPr>
          <w:trHeight w:val="453"/>
        </w:trPr>
        <w:tc>
          <w:tcPr>
            <w:tcW w:w="866" w:type="dxa"/>
            <w:tcBorders>
              <w:top w:val="nil"/>
              <w:left w:val="nil"/>
              <w:bottom w:val="double" w:sz="6" w:space="0" w:color="auto"/>
              <w:right w:val="nil"/>
            </w:tcBorders>
            <w:shd w:val="clear" w:color="auto" w:fill="auto"/>
            <w:vAlign w:val="center"/>
            <w:hideMark/>
          </w:tcPr>
          <w:p w14:paraId="4D93898D" w14:textId="62CDA52E" w:rsidR="00E117CB" w:rsidRPr="00E70FC8" w:rsidRDefault="00A213FB" w:rsidP="00E117CB">
            <w:pPr>
              <w:autoSpaceDE/>
              <w:autoSpaceDN/>
              <w:rPr>
                <w:rFonts w:eastAsia="Times New Roman"/>
                <w:sz w:val="16"/>
                <w:szCs w:val="16"/>
                <w:lang w:val="en-GB"/>
              </w:rPr>
            </w:pPr>
            <w:r w:rsidRPr="00E70FC8">
              <w:rPr>
                <w:rFonts w:eastAsia="Times New Roman"/>
                <w:sz w:val="16"/>
                <w:szCs w:val="16"/>
                <w:lang w:val="en-GB"/>
              </w:rPr>
              <w:t>ASH</w:t>
            </w:r>
          </w:p>
        </w:tc>
        <w:tc>
          <w:tcPr>
            <w:tcW w:w="510" w:type="dxa"/>
            <w:tcBorders>
              <w:top w:val="nil"/>
              <w:left w:val="nil"/>
              <w:bottom w:val="double" w:sz="6" w:space="0" w:color="auto"/>
              <w:right w:val="nil"/>
            </w:tcBorders>
            <w:shd w:val="clear" w:color="auto" w:fill="auto"/>
            <w:noWrap/>
            <w:vAlign w:val="center"/>
            <w:hideMark/>
          </w:tcPr>
          <w:p w14:paraId="3010C8D4" w14:textId="77777777" w:rsidR="00E117CB" w:rsidRPr="00E70FC8" w:rsidRDefault="00E117CB" w:rsidP="00E117CB">
            <w:pPr>
              <w:autoSpaceDE/>
              <w:autoSpaceDN/>
              <w:jc w:val="center"/>
              <w:rPr>
                <w:rFonts w:eastAsia="Times New Roman"/>
                <w:sz w:val="16"/>
                <w:szCs w:val="16"/>
                <w:lang w:val="en-GB"/>
              </w:rPr>
            </w:pPr>
            <w:r w:rsidRPr="00E70FC8">
              <w:rPr>
                <w:rFonts w:eastAsia="Times New Roman"/>
                <w:sz w:val="16"/>
                <w:szCs w:val="16"/>
                <w:lang w:val="en-GB"/>
              </w:rPr>
              <w:t>30</w:t>
            </w:r>
          </w:p>
        </w:tc>
        <w:tc>
          <w:tcPr>
            <w:tcW w:w="482" w:type="dxa"/>
            <w:tcBorders>
              <w:top w:val="nil"/>
              <w:left w:val="nil"/>
              <w:bottom w:val="double" w:sz="6" w:space="0" w:color="auto"/>
              <w:right w:val="nil"/>
            </w:tcBorders>
            <w:shd w:val="clear" w:color="auto" w:fill="auto"/>
            <w:noWrap/>
            <w:vAlign w:val="center"/>
            <w:hideMark/>
          </w:tcPr>
          <w:p w14:paraId="0EF5485B" w14:textId="79F3C58C" w:rsidR="00E117CB" w:rsidRPr="00E70FC8" w:rsidRDefault="00A213FB" w:rsidP="00E117CB">
            <w:pPr>
              <w:autoSpaceDE/>
              <w:autoSpaceDN/>
              <w:jc w:val="center"/>
              <w:rPr>
                <w:rFonts w:eastAsia="Times New Roman"/>
                <w:sz w:val="16"/>
                <w:szCs w:val="16"/>
                <w:lang w:val="en-GB"/>
              </w:rPr>
            </w:pPr>
            <w:r w:rsidRPr="00E70FC8">
              <w:rPr>
                <w:rFonts w:eastAsia="Times New Roman"/>
                <w:sz w:val="16"/>
                <w:szCs w:val="16"/>
                <w:lang w:val="en-GB"/>
              </w:rPr>
              <w:t>28</w:t>
            </w:r>
          </w:p>
        </w:tc>
        <w:tc>
          <w:tcPr>
            <w:tcW w:w="567" w:type="dxa"/>
            <w:tcBorders>
              <w:top w:val="nil"/>
              <w:left w:val="nil"/>
              <w:bottom w:val="double" w:sz="6" w:space="0" w:color="auto"/>
              <w:right w:val="nil"/>
            </w:tcBorders>
            <w:shd w:val="clear" w:color="auto" w:fill="auto"/>
            <w:noWrap/>
            <w:vAlign w:val="center"/>
            <w:hideMark/>
          </w:tcPr>
          <w:p w14:paraId="72E58EA4" w14:textId="375DBC5C" w:rsidR="00E117CB" w:rsidRPr="00E70FC8" w:rsidRDefault="00A213FB" w:rsidP="00E117CB">
            <w:pPr>
              <w:autoSpaceDE/>
              <w:autoSpaceDN/>
              <w:jc w:val="center"/>
              <w:rPr>
                <w:rFonts w:eastAsia="Times New Roman"/>
                <w:sz w:val="16"/>
                <w:szCs w:val="16"/>
                <w:lang w:val="en-GB"/>
              </w:rPr>
            </w:pPr>
            <w:r w:rsidRPr="00E70FC8">
              <w:rPr>
                <w:rFonts w:eastAsia="Times New Roman"/>
                <w:sz w:val="16"/>
                <w:szCs w:val="16"/>
                <w:lang w:val="en-GB"/>
              </w:rPr>
              <w:t>31</w:t>
            </w:r>
          </w:p>
        </w:tc>
        <w:tc>
          <w:tcPr>
            <w:tcW w:w="510" w:type="dxa"/>
            <w:tcBorders>
              <w:top w:val="nil"/>
              <w:left w:val="nil"/>
              <w:bottom w:val="double" w:sz="6" w:space="0" w:color="auto"/>
              <w:right w:val="nil"/>
            </w:tcBorders>
            <w:shd w:val="clear" w:color="auto" w:fill="auto"/>
            <w:noWrap/>
            <w:vAlign w:val="center"/>
            <w:hideMark/>
          </w:tcPr>
          <w:p w14:paraId="6B9E23A2" w14:textId="2C1DFDC2" w:rsidR="00E117CB" w:rsidRPr="00E70FC8" w:rsidRDefault="00A213FB" w:rsidP="00E117CB">
            <w:pPr>
              <w:autoSpaceDE/>
              <w:autoSpaceDN/>
              <w:jc w:val="center"/>
              <w:rPr>
                <w:rFonts w:eastAsia="Times New Roman"/>
                <w:sz w:val="16"/>
                <w:szCs w:val="16"/>
                <w:lang w:val="en-GB"/>
              </w:rPr>
            </w:pPr>
            <w:r w:rsidRPr="00E70FC8">
              <w:rPr>
                <w:rFonts w:eastAsia="Times New Roman"/>
                <w:sz w:val="16"/>
                <w:szCs w:val="16"/>
                <w:lang w:val="en-GB"/>
              </w:rPr>
              <w:t>33</w:t>
            </w:r>
          </w:p>
        </w:tc>
        <w:tc>
          <w:tcPr>
            <w:tcW w:w="510" w:type="dxa"/>
            <w:tcBorders>
              <w:top w:val="nil"/>
              <w:left w:val="nil"/>
              <w:bottom w:val="double" w:sz="6" w:space="0" w:color="auto"/>
              <w:right w:val="nil"/>
            </w:tcBorders>
            <w:shd w:val="clear" w:color="auto" w:fill="auto"/>
            <w:noWrap/>
            <w:vAlign w:val="center"/>
            <w:hideMark/>
          </w:tcPr>
          <w:p w14:paraId="2CC9FA02" w14:textId="26CF18D4" w:rsidR="00E117CB" w:rsidRPr="00E70FC8" w:rsidRDefault="00A213FB" w:rsidP="00E117CB">
            <w:pPr>
              <w:autoSpaceDE/>
              <w:autoSpaceDN/>
              <w:jc w:val="center"/>
              <w:rPr>
                <w:rFonts w:eastAsia="Times New Roman"/>
                <w:sz w:val="16"/>
                <w:szCs w:val="16"/>
                <w:lang w:val="en-GB"/>
              </w:rPr>
            </w:pPr>
            <w:r w:rsidRPr="00E70FC8">
              <w:rPr>
                <w:rFonts w:eastAsia="Times New Roman"/>
                <w:sz w:val="16"/>
                <w:szCs w:val="16"/>
                <w:lang w:val="en-GB"/>
              </w:rPr>
              <w:t>38</w:t>
            </w:r>
          </w:p>
        </w:tc>
        <w:tc>
          <w:tcPr>
            <w:tcW w:w="510" w:type="dxa"/>
            <w:tcBorders>
              <w:top w:val="nil"/>
              <w:left w:val="nil"/>
              <w:bottom w:val="double" w:sz="6" w:space="0" w:color="auto"/>
              <w:right w:val="nil"/>
            </w:tcBorders>
            <w:shd w:val="clear" w:color="auto" w:fill="auto"/>
            <w:noWrap/>
            <w:vAlign w:val="center"/>
            <w:hideMark/>
          </w:tcPr>
          <w:p w14:paraId="5B88F7D1" w14:textId="5CD2FC21" w:rsidR="00E117CB" w:rsidRPr="00E70FC8" w:rsidRDefault="00A213FB" w:rsidP="00E117CB">
            <w:pPr>
              <w:autoSpaceDE/>
              <w:autoSpaceDN/>
              <w:jc w:val="center"/>
              <w:rPr>
                <w:rFonts w:eastAsia="Times New Roman"/>
                <w:sz w:val="16"/>
                <w:szCs w:val="16"/>
                <w:lang w:val="en-GB"/>
              </w:rPr>
            </w:pPr>
            <w:r w:rsidRPr="00E70FC8">
              <w:rPr>
                <w:rFonts w:eastAsia="Times New Roman"/>
                <w:sz w:val="16"/>
                <w:szCs w:val="16"/>
                <w:lang w:val="en-GB"/>
              </w:rPr>
              <w:t>4</w:t>
            </w:r>
            <w:r w:rsidR="00E117CB" w:rsidRPr="00E70FC8">
              <w:rPr>
                <w:rFonts w:eastAsia="Times New Roman"/>
                <w:sz w:val="16"/>
                <w:szCs w:val="16"/>
                <w:lang w:val="en-GB"/>
              </w:rPr>
              <w:t>0</w:t>
            </w:r>
          </w:p>
        </w:tc>
        <w:tc>
          <w:tcPr>
            <w:tcW w:w="642" w:type="dxa"/>
            <w:tcBorders>
              <w:top w:val="nil"/>
              <w:left w:val="nil"/>
              <w:bottom w:val="double" w:sz="6" w:space="0" w:color="auto"/>
              <w:right w:val="nil"/>
            </w:tcBorders>
            <w:shd w:val="clear" w:color="auto" w:fill="auto"/>
            <w:noWrap/>
            <w:vAlign w:val="center"/>
            <w:hideMark/>
          </w:tcPr>
          <w:p w14:paraId="3097E5A4" w14:textId="77777777" w:rsidR="00E117CB" w:rsidRPr="00E70FC8" w:rsidRDefault="00E117CB" w:rsidP="00E41120">
            <w:pPr>
              <w:autoSpaceDE/>
              <w:autoSpaceDN/>
              <w:ind w:left="-392" w:firstLine="65"/>
              <w:jc w:val="center"/>
              <w:rPr>
                <w:rFonts w:eastAsia="Times New Roman"/>
                <w:sz w:val="16"/>
                <w:szCs w:val="16"/>
                <w:lang w:val="en-GB"/>
              </w:rPr>
            </w:pPr>
            <w:r w:rsidRPr="00E70FC8">
              <w:rPr>
                <w:rFonts w:eastAsia="Times New Roman"/>
                <w:sz w:val="16"/>
                <w:szCs w:val="16"/>
                <w:lang w:val="en-GB"/>
              </w:rPr>
              <w:t>60</w:t>
            </w:r>
          </w:p>
        </w:tc>
        <w:tc>
          <w:tcPr>
            <w:tcW w:w="510" w:type="dxa"/>
            <w:tcBorders>
              <w:top w:val="nil"/>
              <w:left w:val="nil"/>
              <w:bottom w:val="double" w:sz="6" w:space="0" w:color="auto"/>
              <w:right w:val="nil"/>
            </w:tcBorders>
            <w:shd w:val="clear" w:color="auto" w:fill="auto"/>
            <w:noWrap/>
            <w:vAlign w:val="center"/>
            <w:hideMark/>
          </w:tcPr>
          <w:p w14:paraId="4E51A0D0" w14:textId="40679B72" w:rsidR="00E117CB" w:rsidRPr="00E70FC8" w:rsidRDefault="00A213FB" w:rsidP="00E117CB">
            <w:pPr>
              <w:autoSpaceDE/>
              <w:autoSpaceDN/>
              <w:jc w:val="center"/>
              <w:rPr>
                <w:rFonts w:eastAsia="Times New Roman"/>
                <w:sz w:val="16"/>
                <w:szCs w:val="16"/>
                <w:lang w:val="en-GB"/>
              </w:rPr>
            </w:pPr>
            <w:r w:rsidRPr="00E70FC8">
              <w:rPr>
                <w:rFonts w:eastAsia="Times New Roman"/>
                <w:sz w:val="16"/>
                <w:szCs w:val="16"/>
                <w:lang w:val="en-GB"/>
              </w:rPr>
              <w:t>8</w:t>
            </w:r>
            <w:r w:rsidR="00E117CB" w:rsidRPr="00E70FC8">
              <w:rPr>
                <w:rFonts w:eastAsia="Times New Roman"/>
                <w:sz w:val="16"/>
                <w:szCs w:val="16"/>
                <w:lang w:val="en-GB"/>
              </w:rPr>
              <w:t>0</w:t>
            </w:r>
          </w:p>
        </w:tc>
      </w:tr>
    </w:tbl>
    <w:p w14:paraId="2B92E888" w14:textId="67BCB192" w:rsidR="003407B0" w:rsidRPr="00E70FC8" w:rsidRDefault="003407B0" w:rsidP="007153B5">
      <w:pPr>
        <w:pStyle w:val="Text"/>
        <w:ind w:left="851" w:right="762" w:firstLine="567"/>
        <w:jc w:val="left"/>
      </w:pPr>
    </w:p>
    <w:p w14:paraId="465D43EB" w14:textId="76BB5225" w:rsidR="00E41120" w:rsidRPr="00E70FC8" w:rsidRDefault="00E41120" w:rsidP="00E41120">
      <w:pPr>
        <w:pStyle w:val="figurecaption0"/>
      </w:pPr>
      <w:r w:rsidRPr="00E70FC8">
        <w:t xml:space="preserve">Fig. </w:t>
      </w:r>
      <w:r w:rsidR="00720054" w:rsidRPr="00E70FC8">
        <w:t>2</w:t>
      </w:r>
      <w:r w:rsidRPr="00E70FC8">
        <w:t xml:space="preserve">. Slumps of </w:t>
      </w:r>
      <w:r w:rsidR="00720054" w:rsidRPr="00E70FC8">
        <w:t xml:space="preserve">AHS </w:t>
      </w:r>
      <w:r w:rsidRPr="00E70FC8">
        <w:t xml:space="preserve">replaced </w:t>
      </w:r>
      <w:proofErr w:type="gramStart"/>
      <w:r w:rsidRPr="00E70FC8">
        <w:t>mixes  (</w:t>
      </w:r>
      <w:proofErr w:type="gramEnd"/>
      <w:r w:rsidRPr="00E70FC8">
        <w:t>mm)</w:t>
      </w:r>
    </w:p>
    <w:p w14:paraId="408B46BC" w14:textId="67F304F4" w:rsidR="003407B0" w:rsidRPr="00E70FC8" w:rsidRDefault="007153B5" w:rsidP="00AA3E3D">
      <w:pPr>
        <w:pStyle w:val="Text"/>
      </w:pPr>
      <w:r w:rsidRPr="00F776A1">
        <w:rPr>
          <w:noProof/>
          <w:lang w:val="en-GB" w:eastAsia="en-GB"/>
        </w:rPr>
        <w:drawing>
          <wp:inline distT="0" distB="0" distL="0" distR="0" wp14:anchorId="7111E1EC" wp14:editId="18A0A181">
            <wp:extent cx="2771775" cy="14859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7657DD7" w14:textId="77777777" w:rsidR="006A4B2B" w:rsidRPr="00E70FC8" w:rsidRDefault="006A4B2B" w:rsidP="006A4B2B">
      <w:pPr>
        <w:pStyle w:val="Heading2"/>
        <w:ind w:left="144"/>
      </w:pPr>
      <w:r w:rsidRPr="00E70FC8">
        <w:t xml:space="preserve">Densities </w:t>
      </w:r>
    </w:p>
    <w:p w14:paraId="1846996D" w14:textId="77777777" w:rsidR="00720054" w:rsidRPr="00E70FC8" w:rsidRDefault="00720054" w:rsidP="00E76375">
      <w:pPr>
        <w:pStyle w:val="Text"/>
      </w:pPr>
      <w:r w:rsidRPr="00E70FC8">
        <w:t xml:space="preserve">Table III and Fig. 3 show the densities of AHS replaced specimens over a curing period of 91 days. Even though the apparent density of AHS was found to be higher than that of OPC, the densities of AHS replaced specimens were lower than those of the control specimens throughout all replacements and decreased with further replacement. </w:t>
      </w:r>
      <w:proofErr w:type="spellStart"/>
      <w:r w:rsidRPr="00E70FC8">
        <w:t>Bapat</w:t>
      </w:r>
      <w:proofErr w:type="spellEnd"/>
      <w:r w:rsidRPr="00E70FC8">
        <w:t xml:space="preserve"> [17] posited that the lower particle specific gravity of SCMs increase the volume of mixes per unit mass. </w:t>
      </w:r>
    </w:p>
    <w:p w14:paraId="5ACFB228" w14:textId="77777777" w:rsidR="00720054" w:rsidRPr="00E70FC8" w:rsidRDefault="00720054" w:rsidP="00E76375">
      <w:pPr>
        <w:pStyle w:val="Text"/>
      </w:pPr>
      <w:r w:rsidRPr="00E70FC8">
        <w:t xml:space="preserve">The densities of AHS replaced specimens were observed to decrease with curing age, a </w:t>
      </w:r>
      <w:proofErr w:type="spellStart"/>
      <w:r w:rsidRPr="00E70FC8">
        <w:t>behaviour</w:t>
      </w:r>
      <w:proofErr w:type="spellEnd"/>
      <w:r w:rsidRPr="00E70FC8">
        <w:t xml:space="preserve"> which was explained by [17] as being a result of the eventual consumption of </w:t>
      </w:r>
      <w:proofErr w:type="gramStart"/>
      <w:r w:rsidRPr="00E70FC8">
        <w:t>Ca(</w:t>
      </w:r>
      <w:proofErr w:type="gramEnd"/>
      <w:r w:rsidRPr="00E70FC8">
        <w:t>OH)</w:t>
      </w:r>
      <w:r w:rsidRPr="00E70FC8">
        <w:rPr>
          <w:sz w:val="13"/>
          <w:szCs w:val="13"/>
        </w:rPr>
        <w:t xml:space="preserve">2 </w:t>
      </w:r>
      <w:r w:rsidRPr="00E70FC8">
        <w:t xml:space="preserve">by the reaction that involves SCMs during secondary hydration to form the less dense C-S-H. From this evidence, it can also be concluded that the density </w:t>
      </w:r>
      <w:proofErr w:type="spellStart"/>
      <w:r w:rsidRPr="00E70FC8">
        <w:t>behaviour</w:t>
      </w:r>
      <w:proofErr w:type="spellEnd"/>
      <w:r w:rsidRPr="00E70FC8">
        <w:t xml:space="preserve"> of AHS emulates that of SCMs, and it could therefore be suitable to be used as one. </w:t>
      </w:r>
    </w:p>
    <w:p w14:paraId="2E3B4B4A" w14:textId="77777777" w:rsidR="00720054" w:rsidRPr="00E70FC8" w:rsidRDefault="00720054" w:rsidP="00E76375">
      <w:pPr>
        <w:pStyle w:val="Text"/>
      </w:pPr>
    </w:p>
    <w:p w14:paraId="0BB4CF9A" w14:textId="293F7BAC" w:rsidR="00E76375" w:rsidRPr="00E70FC8" w:rsidRDefault="006B26D3" w:rsidP="006B26D3">
      <w:pPr>
        <w:pStyle w:val="TableTitle"/>
      </w:pPr>
      <w:r w:rsidRPr="00E70FC8">
        <w:t xml:space="preserve">Table III. Densities of </w:t>
      </w:r>
      <w:r w:rsidR="00720054" w:rsidRPr="00E70FC8">
        <w:t xml:space="preserve">AHS -replaced specimens </w:t>
      </w:r>
      <w:r w:rsidRPr="00E70FC8">
        <w:t>(kg/m</w:t>
      </w:r>
      <w:r w:rsidRPr="00E70FC8">
        <w:rPr>
          <w:vertAlign w:val="superscript"/>
        </w:rPr>
        <w:t>3</w:t>
      </w:r>
      <w:r w:rsidRPr="00E70FC8">
        <w:t>)</w:t>
      </w:r>
    </w:p>
    <w:tbl>
      <w:tblPr>
        <w:tblW w:w="5128" w:type="dxa"/>
        <w:tblInd w:w="-34" w:type="dxa"/>
        <w:tblLayout w:type="fixed"/>
        <w:tblLook w:val="04A0" w:firstRow="1" w:lastRow="0" w:firstColumn="1" w:lastColumn="0" w:noHBand="0" w:noVBand="1"/>
      </w:tblPr>
      <w:tblGrid>
        <w:gridCol w:w="688"/>
        <w:gridCol w:w="539"/>
        <w:gridCol w:w="539"/>
        <w:gridCol w:w="636"/>
        <w:gridCol w:w="539"/>
        <w:gridCol w:w="539"/>
        <w:gridCol w:w="539"/>
        <w:gridCol w:w="539"/>
        <w:gridCol w:w="570"/>
      </w:tblGrid>
      <w:tr w:rsidR="00E70FC8" w:rsidRPr="00E70FC8" w14:paraId="7A3A1375" w14:textId="77777777" w:rsidTr="0009205A">
        <w:trPr>
          <w:trHeight w:val="257"/>
        </w:trPr>
        <w:tc>
          <w:tcPr>
            <w:tcW w:w="688" w:type="dxa"/>
            <w:vMerge w:val="restart"/>
            <w:tcBorders>
              <w:top w:val="double" w:sz="6" w:space="0" w:color="auto"/>
              <w:left w:val="nil"/>
              <w:bottom w:val="single" w:sz="4" w:space="0" w:color="auto"/>
              <w:right w:val="nil"/>
            </w:tcBorders>
            <w:shd w:val="clear" w:color="auto" w:fill="auto"/>
            <w:noWrap/>
            <w:vAlign w:val="center"/>
            <w:hideMark/>
          </w:tcPr>
          <w:p w14:paraId="7A92A2BE" w14:textId="6AAA88B4" w:rsidR="00E76375" w:rsidRPr="00E70FC8" w:rsidRDefault="00720054" w:rsidP="00DC3A9A">
            <w:pPr>
              <w:autoSpaceDE/>
              <w:autoSpaceDN/>
              <w:ind w:left="-108"/>
              <w:jc w:val="center"/>
              <w:rPr>
                <w:rFonts w:eastAsia="Times New Roman"/>
                <w:sz w:val="16"/>
                <w:szCs w:val="16"/>
                <w:lang w:val="en-GB"/>
              </w:rPr>
            </w:pPr>
            <w:r w:rsidRPr="00E70FC8">
              <w:rPr>
                <w:rFonts w:eastAsia="Times New Roman"/>
                <w:sz w:val="16"/>
                <w:szCs w:val="16"/>
                <w:lang w:val="en-GB"/>
              </w:rPr>
              <w:t xml:space="preserve">Curing </w:t>
            </w:r>
            <w:r w:rsidR="00E76375" w:rsidRPr="00E70FC8">
              <w:rPr>
                <w:rFonts w:eastAsia="Times New Roman"/>
                <w:sz w:val="16"/>
                <w:szCs w:val="16"/>
                <w:lang w:val="en-GB"/>
              </w:rPr>
              <w:t xml:space="preserve">Age </w:t>
            </w:r>
            <w:r w:rsidR="006B26D3" w:rsidRPr="00E70FC8">
              <w:rPr>
                <w:rFonts w:eastAsia="Times New Roman"/>
                <w:sz w:val="16"/>
                <w:szCs w:val="16"/>
                <w:lang w:val="en-GB"/>
              </w:rPr>
              <w:t xml:space="preserve">     </w:t>
            </w:r>
            <w:r w:rsidR="00E76375" w:rsidRPr="00E70FC8">
              <w:rPr>
                <w:rFonts w:eastAsia="Times New Roman"/>
                <w:sz w:val="16"/>
                <w:szCs w:val="16"/>
                <w:lang w:val="en-GB"/>
              </w:rPr>
              <w:t>(days)</w:t>
            </w:r>
          </w:p>
        </w:tc>
        <w:tc>
          <w:tcPr>
            <w:tcW w:w="4440" w:type="dxa"/>
            <w:gridSpan w:val="8"/>
            <w:tcBorders>
              <w:top w:val="double" w:sz="6" w:space="0" w:color="auto"/>
              <w:left w:val="nil"/>
              <w:bottom w:val="single" w:sz="4" w:space="0" w:color="auto"/>
              <w:right w:val="nil"/>
            </w:tcBorders>
            <w:shd w:val="clear" w:color="auto" w:fill="auto"/>
            <w:noWrap/>
            <w:vAlign w:val="center"/>
            <w:hideMark/>
          </w:tcPr>
          <w:p w14:paraId="667A3B19" w14:textId="525F5159" w:rsidR="00E76375" w:rsidRPr="00E70FC8" w:rsidRDefault="00E76375" w:rsidP="0009205A">
            <w:pPr>
              <w:autoSpaceDE/>
              <w:autoSpaceDN/>
              <w:jc w:val="center"/>
              <w:rPr>
                <w:rFonts w:eastAsia="Times New Roman"/>
                <w:sz w:val="16"/>
                <w:szCs w:val="16"/>
                <w:lang w:val="en-GB"/>
              </w:rPr>
            </w:pPr>
            <w:r w:rsidRPr="00E70FC8">
              <w:rPr>
                <w:rFonts w:eastAsia="Times New Roman"/>
                <w:sz w:val="16"/>
                <w:szCs w:val="16"/>
                <w:lang w:val="en-GB"/>
              </w:rPr>
              <w:t xml:space="preserve">Densities at </w:t>
            </w:r>
            <w:r w:rsidR="0009205A" w:rsidRPr="00E70FC8">
              <w:rPr>
                <w:rFonts w:eastAsia="Times New Roman"/>
                <w:sz w:val="16"/>
                <w:szCs w:val="16"/>
                <w:lang w:val="en-GB"/>
              </w:rPr>
              <w:t xml:space="preserve">percentage </w:t>
            </w:r>
            <w:r w:rsidRPr="00E70FC8">
              <w:rPr>
                <w:rFonts w:eastAsia="Times New Roman"/>
                <w:sz w:val="16"/>
                <w:szCs w:val="16"/>
                <w:lang w:val="en-GB"/>
              </w:rPr>
              <w:t>replacement (kg/m</w:t>
            </w:r>
            <w:r w:rsidRPr="00E70FC8">
              <w:rPr>
                <w:rFonts w:eastAsia="Times New Roman"/>
                <w:sz w:val="16"/>
                <w:szCs w:val="16"/>
                <w:vertAlign w:val="superscript"/>
                <w:lang w:val="en-GB"/>
              </w:rPr>
              <w:t>3</w:t>
            </w:r>
            <w:r w:rsidRPr="00E70FC8">
              <w:rPr>
                <w:rFonts w:eastAsia="Times New Roman"/>
                <w:sz w:val="16"/>
                <w:szCs w:val="16"/>
                <w:lang w:val="en-GB"/>
              </w:rPr>
              <w:t>)</w:t>
            </w:r>
          </w:p>
        </w:tc>
      </w:tr>
      <w:tr w:rsidR="00E70FC8" w:rsidRPr="00E70FC8" w14:paraId="6BD8D654" w14:textId="77777777" w:rsidTr="0009205A">
        <w:trPr>
          <w:trHeight w:val="238"/>
        </w:trPr>
        <w:tc>
          <w:tcPr>
            <w:tcW w:w="688" w:type="dxa"/>
            <w:vMerge/>
            <w:tcBorders>
              <w:top w:val="double" w:sz="6" w:space="0" w:color="auto"/>
              <w:left w:val="nil"/>
              <w:bottom w:val="single" w:sz="4" w:space="0" w:color="auto"/>
              <w:right w:val="nil"/>
            </w:tcBorders>
            <w:vAlign w:val="center"/>
            <w:hideMark/>
          </w:tcPr>
          <w:p w14:paraId="2109667E" w14:textId="77777777" w:rsidR="00E76375" w:rsidRPr="00E70FC8" w:rsidRDefault="00E76375" w:rsidP="00DC3A9A">
            <w:pPr>
              <w:autoSpaceDE/>
              <w:autoSpaceDN/>
              <w:jc w:val="center"/>
              <w:rPr>
                <w:rFonts w:eastAsia="Times New Roman"/>
                <w:sz w:val="16"/>
                <w:szCs w:val="16"/>
                <w:lang w:val="en-GB"/>
              </w:rPr>
            </w:pPr>
          </w:p>
        </w:tc>
        <w:tc>
          <w:tcPr>
            <w:tcW w:w="539" w:type="dxa"/>
            <w:tcBorders>
              <w:top w:val="nil"/>
              <w:left w:val="nil"/>
              <w:bottom w:val="single" w:sz="4" w:space="0" w:color="auto"/>
              <w:right w:val="nil"/>
            </w:tcBorders>
            <w:shd w:val="clear" w:color="auto" w:fill="auto"/>
            <w:noWrap/>
            <w:vAlign w:val="center"/>
            <w:hideMark/>
          </w:tcPr>
          <w:p w14:paraId="00ADB456" w14:textId="77777777" w:rsidR="00E76375" w:rsidRPr="00E70FC8" w:rsidRDefault="00E76375" w:rsidP="00DC3A9A">
            <w:pPr>
              <w:autoSpaceDE/>
              <w:autoSpaceDN/>
              <w:jc w:val="center"/>
              <w:rPr>
                <w:rFonts w:eastAsia="Times New Roman"/>
                <w:sz w:val="16"/>
                <w:szCs w:val="16"/>
                <w:lang w:val="en-GB"/>
              </w:rPr>
            </w:pPr>
            <w:r w:rsidRPr="00E70FC8">
              <w:rPr>
                <w:rFonts w:eastAsia="Times New Roman"/>
                <w:sz w:val="16"/>
                <w:szCs w:val="16"/>
                <w:lang w:val="en-GB"/>
              </w:rPr>
              <w:t>0%</w:t>
            </w:r>
          </w:p>
        </w:tc>
        <w:tc>
          <w:tcPr>
            <w:tcW w:w="539" w:type="dxa"/>
            <w:tcBorders>
              <w:top w:val="nil"/>
              <w:left w:val="nil"/>
              <w:bottom w:val="single" w:sz="4" w:space="0" w:color="auto"/>
              <w:right w:val="nil"/>
            </w:tcBorders>
            <w:shd w:val="clear" w:color="auto" w:fill="auto"/>
            <w:noWrap/>
            <w:vAlign w:val="center"/>
            <w:hideMark/>
          </w:tcPr>
          <w:p w14:paraId="22EC0270" w14:textId="77777777" w:rsidR="00E76375" w:rsidRPr="00E70FC8" w:rsidRDefault="00E76375" w:rsidP="00DC3A9A">
            <w:pPr>
              <w:autoSpaceDE/>
              <w:autoSpaceDN/>
              <w:ind w:left="-423" w:right="-77" w:firstLine="423"/>
              <w:jc w:val="center"/>
              <w:rPr>
                <w:rFonts w:eastAsia="Times New Roman"/>
                <w:sz w:val="16"/>
                <w:szCs w:val="16"/>
                <w:lang w:val="en-GB"/>
              </w:rPr>
            </w:pPr>
            <w:r w:rsidRPr="00E70FC8">
              <w:rPr>
                <w:rFonts w:eastAsia="Times New Roman"/>
                <w:sz w:val="16"/>
                <w:szCs w:val="16"/>
                <w:lang w:val="en-GB"/>
              </w:rPr>
              <w:t>5%</w:t>
            </w:r>
          </w:p>
        </w:tc>
        <w:tc>
          <w:tcPr>
            <w:tcW w:w="636" w:type="dxa"/>
            <w:tcBorders>
              <w:top w:val="nil"/>
              <w:left w:val="nil"/>
              <w:bottom w:val="single" w:sz="4" w:space="0" w:color="auto"/>
              <w:right w:val="nil"/>
            </w:tcBorders>
            <w:shd w:val="clear" w:color="auto" w:fill="auto"/>
            <w:noWrap/>
            <w:vAlign w:val="center"/>
            <w:hideMark/>
          </w:tcPr>
          <w:p w14:paraId="53264932" w14:textId="09432D22" w:rsidR="00E76375" w:rsidRPr="00E70FC8" w:rsidRDefault="00E76375" w:rsidP="00DC3A9A">
            <w:pPr>
              <w:autoSpaceDE/>
              <w:autoSpaceDN/>
              <w:jc w:val="center"/>
              <w:rPr>
                <w:rFonts w:eastAsia="Times New Roman"/>
                <w:sz w:val="16"/>
                <w:szCs w:val="16"/>
                <w:lang w:val="en-GB"/>
              </w:rPr>
            </w:pPr>
            <w:r w:rsidRPr="00E70FC8">
              <w:rPr>
                <w:rFonts w:eastAsia="Times New Roman"/>
                <w:sz w:val="16"/>
                <w:szCs w:val="16"/>
                <w:lang w:val="en-GB"/>
              </w:rPr>
              <w:t>7.5%</w:t>
            </w:r>
          </w:p>
        </w:tc>
        <w:tc>
          <w:tcPr>
            <w:tcW w:w="539" w:type="dxa"/>
            <w:tcBorders>
              <w:top w:val="nil"/>
              <w:left w:val="nil"/>
              <w:bottom w:val="single" w:sz="4" w:space="0" w:color="auto"/>
              <w:right w:val="nil"/>
            </w:tcBorders>
            <w:shd w:val="clear" w:color="auto" w:fill="auto"/>
            <w:noWrap/>
            <w:vAlign w:val="center"/>
            <w:hideMark/>
          </w:tcPr>
          <w:p w14:paraId="7ED2E594" w14:textId="77777777" w:rsidR="00E76375" w:rsidRPr="00E70FC8" w:rsidRDefault="00E76375" w:rsidP="00DC3A9A">
            <w:pPr>
              <w:autoSpaceDE/>
              <w:autoSpaceDN/>
              <w:jc w:val="center"/>
              <w:rPr>
                <w:rFonts w:eastAsia="Times New Roman"/>
                <w:sz w:val="16"/>
                <w:szCs w:val="16"/>
                <w:lang w:val="en-GB"/>
              </w:rPr>
            </w:pPr>
            <w:r w:rsidRPr="00E70FC8">
              <w:rPr>
                <w:rFonts w:eastAsia="Times New Roman"/>
                <w:sz w:val="16"/>
                <w:szCs w:val="16"/>
                <w:lang w:val="en-GB"/>
              </w:rPr>
              <w:t>10%</w:t>
            </w:r>
          </w:p>
        </w:tc>
        <w:tc>
          <w:tcPr>
            <w:tcW w:w="539" w:type="dxa"/>
            <w:tcBorders>
              <w:top w:val="nil"/>
              <w:left w:val="nil"/>
              <w:bottom w:val="single" w:sz="4" w:space="0" w:color="auto"/>
              <w:right w:val="nil"/>
            </w:tcBorders>
            <w:shd w:val="clear" w:color="auto" w:fill="auto"/>
            <w:noWrap/>
            <w:vAlign w:val="center"/>
            <w:hideMark/>
          </w:tcPr>
          <w:p w14:paraId="7BBE6230" w14:textId="77777777" w:rsidR="00E76375" w:rsidRPr="00E70FC8" w:rsidRDefault="00E76375" w:rsidP="00DC3A9A">
            <w:pPr>
              <w:autoSpaceDE/>
              <w:autoSpaceDN/>
              <w:jc w:val="center"/>
              <w:rPr>
                <w:rFonts w:eastAsia="Times New Roman"/>
                <w:sz w:val="16"/>
                <w:szCs w:val="16"/>
                <w:lang w:val="en-GB"/>
              </w:rPr>
            </w:pPr>
            <w:r w:rsidRPr="00E70FC8">
              <w:rPr>
                <w:rFonts w:eastAsia="Times New Roman"/>
                <w:sz w:val="16"/>
                <w:szCs w:val="16"/>
                <w:lang w:val="en-GB"/>
              </w:rPr>
              <w:t>15%</w:t>
            </w:r>
          </w:p>
        </w:tc>
        <w:tc>
          <w:tcPr>
            <w:tcW w:w="539" w:type="dxa"/>
            <w:tcBorders>
              <w:top w:val="nil"/>
              <w:left w:val="nil"/>
              <w:bottom w:val="single" w:sz="4" w:space="0" w:color="auto"/>
              <w:right w:val="nil"/>
            </w:tcBorders>
            <w:shd w:val="clear" w:color="auto" w:fill="auto"/>
            <w:noWrap/>
            <w:vAlign w:val="center"/>
            <w:hideMark/>
          </w:tcPr>
          <w:p w14:paraId="51C9BC5B" w14:textId="77777777" w:rsidR="00E76375" w:rsidRPr="00E70FC8" w:rsidRDefault="00E76375" w:rsidP="00DC3A9A">
            <w:pPr>
              <w:autoSpaceDE/>
              <w:autoSpaceDN/>
              <w:jc w:val="center"/>
              <w:rPr>
                <w:rFonts w:eastAsia="Times New Roman"/>
                <w:sz w:val="16"/>
                <w:szCs w:val="16"/>
                <w:lang w:val="en-GB"/>
              </w:rPr>
            </w:pPr>
            <w:r w:rsidRPr="00E70FC8">
              <w:rPr>
                <w:rFonts w:eastAsia="Times New Roman"/>
                <w:sz w:val="16"/>
                <w:szCs w:val="16"/>
                <w:lang w:val="en-GB"/>
              </w:rPr>
              <w:t>20%</w:t>
            </w:r>
          </w:p>
        </w:tc>
        <w:tc>
          <w:tcPr>
            <w:tcW w:w="539" w:type="dxa"/>
            <w:tcBorders>
              <w:top w:val="nil"/>
              <w:left w:val="nil"/>
              <w:bottom w:val="single" w:sz="4" w:space="0" w:color="auto"/>
              <w:right w:val="nil"/>
            </w:tcBorders>
            <w:shd w:val="clear" w:color="auto" w:fill="auto"/>
            <w:noWrap/>
            <w:vAlign w:val="center"/>
            <w:hideMark/>
          </w:tcPr>
          <w:p w14:paraId="434BBEB5" w14:textId="77777777" w:rsidR="00E76375" w:rsidRPr="00E70FC8" w:rsidRDefault="00E76375" w:rsidP="00DC3A9A">
            <w:pPr>
              <w:autoSpaceDE/>
              <w:autoSpaceDN/>
              <w:jc w:val="center"/>
              <w:rPr>
                <w:rFonts w:eastAsia="Times New Roman"/>
                <w:sz w:val="16"/>
                <w:szCs w:val="16"/>
                <w:lang w:val="en-GB"/>
              </w:rPr>
            </w:pPr>
            <w:r w:rsidRPr="00E70FC8">
              <w:rPr>
                <w:rFonts w:eastAsia="Times New Roman"/>
                <w:sz w:val="16"/>
                <w:szCs w:val="16"/>
                <w:lang w:val="en-GB"/>
              </w:rPr>
              <w:t>25%</w:t>
            </w:r>
          </w:p>
        </w:tc>
        <w:tc>
          <w:tcPr>
            <w:tcW w:w="569" w:type="dxa"/>
            <w:tcBorders>
              <w:top w:val="nil"/>
              <w:left w:val="nil"/>
              <w:bottom w:val="single" w:sz="4" w:space="0" w:color="auto"/>
              <w:right w:val="nil"/>
            </w:tcBorders>
            <w:shd w:val="clear" w:color="auto" w:fill="auto"/>
            <w:noWrap/>
            <w:vAlign w:val="center"/>
            <w:hideMark/>
          </w:tcPr>
          <w:p w14:paraId="4BE002D0" w14:textId="77777777" w:rsidR="00E76375" w:rsidRPr="00E70FC8" w:rsidRDefault="00E76375" w:rsidP="00DC3A9A">
            <w:pPr>
              <w:autoSpaceDE/>
              <w:autoSpaceDN/>
              <w:ind w:left="-158" w:firstLine="158"/>
              <w:jc w:val="center"/>
              <w:rPr>
                <w:rFonts w:eastAsia="Times New Roman"/>
                <w:sz w:val="16"/>
                <w:szCs w:val="16"/>
                <w:lang w:val="en-GB"/>
              </w:rPr>
            </w:pPr>
            <w:r w:rsidRPr="00E70FC8">
              <w:rPr>
                <w:rFonts w:eastAsia="Times New Roman"/>
                <w:sz w:val="16"/>
                <w:szCs w:val="16"/>
                <w:lang w:val="en-GB"/>
              </w:rPr>
              <w:t>30%</w:t>
            </w:r>
          </w:p>
        </w:tc>
      </w:tr>
      <w:tr w:rsidR="00E70FC8" w:rsidRPr="00E70FC8" w14:paraId="31170BC7" w14:textId="77777777" w:rsidTr="0009205A">
        <w:trPr>
          <w:trHeight w:val="238"/>
        </w:trPr>
        <w:tc>
          <w:tcPr>
            <w:tcW w:w="688" w:type="dxa"/>
            <w:tcBorders>
              <w:top w:val="nil"/>
              <w:left w:val="nil"/>
              <w:bottom w:val="single" w:sz="4" w:space="0" w:color="auto"/>
              <w:right w:val="nil"/>
            </w:tcBorders>
            <w:shd w:val="clear" w:color="auto" w:fill="auto"/>
            <w:noWrap/>
            <w:vAlign w:val="center"/>
            <w:hideMark/>
          </w:tcPr>
          <w:p w14:paraId="78A33C83" w14:textId="77777777" w:rsidR="00E76375" w:rsidRPr="00E70FC8" w:rsidRDefault="00E76375" w:rsidP="00DC3A9A">
            <w:pPr>
              <w:autoSpaceDE/>
              <w:autoSpaceDN/>
              <w:ind w:left="34" w:hanging="34"/>
              <w:jc w:val="center"/>
              <w:rPr>
                <w:rFonts w:eastAsia="Times New Roman"/>
                <w:sz w:val="16"/>
                <w:szCs w:val="16"/>
                <w:lang w:val="en-GB"/>
              </w:rPr>
            </w:pPr>
            <w:r w:rsidRPr="00E70FC8">
              <w:rPr>
                <w:rFonts w:eastAsia="Times New Roman"/>
                <w:sz w:val="16"/>
                <w:szCs w:val="16"/>
                <w:lang w:val="en-GB"/>
              </w:rPr>
              <w:t>7</w:t>
            </w:r>
          </w:p>
        </w:tc>
        <w:tc>
          <w:tcPr>
            <w:tcW w:w="539" w:type="dxa"/>
            <w:tcBorders>
              <w:top w:val="nil"/>
              <w:left w:val="nil"/>
              <w:bottom w:val="single" w:sz="4" w:space="0" w:color="auto"/>
              <w:right w:val="nil"/>
            </w:tcBorders>
            <w:shd w:val="clear" w:color="auto" w:fill="auto"/>
            <w:noWrap/>
            <w:vAlign w:val="center"/>
            <w:hideMark/>
          </w:tcPr>
          <w:p w14:paraId="2955724A" w14:textId="77777777" w:rsidR="00E76375" w:rsidRPr="00E70FC8" w:rsidRDefault="00E76375" w:rsidP="00DC3A9A">
            <w:pPr>
              <w:autoSpaceDE/>
              <w:autoSpaceDN/>
              <w:jc w:val="center"/>
              <w:rPr>
                <w:rFonts w:eastAsia="Times New Roman"/>
                <w:sz w:val="16"/>
                <w:szCs w:val="16"/>
                <w:lang w:val="en-GB"/>
              </w:rPr>
            </w:pPr>
            <w:r w:rsidRPr="00E70FC8">
              <w:rPr>
                <w:rFonts w:eastAsia="Times New Roman"/>
                <w:sz w:val="16"/>
                <w:szCs w:val="16"/>
                <w:lang w:val="en-GB"/>
              </w:rPr>
              <w:t>2350</w:t>
            </w:r>
          </w:p>
        </w:tc>
        <w:tc>
          <w:tcPr>
            <w:tcW w:w="539" w:type="dxa"/>
            <w:tcBorders>
              <w:top w:val="nil"/>
              <w:left w:val="nil"/>
              <w:bottom w:val="single" w:sz="4" w:space="0" w:color="auto"/>
              <w:right w:val="nil"/>
            </w:tcBorders>
            <w:shd w:val="clear" w:color="auto" w:fill="auto"/>
            <w:noWrap/>
            <w:vAlign w:val="center"/>
            <w:hideMark/>
          </w:tcPr>
          <w:p w14:paraId="4E0E4EBC" w14:textId="66EE98ED" w:rsidR="00E76375" w:rsidRPr="00E70FC8" w:rsidRDefault="00720054" w:rsidP="00DC3A9A">
            <w:pPr>
              <w:autoSpaceDE/>
              <w:autoSpaceDN/>
              <w:jc w:val="center"/>
              <w:rPr>
                <w:rFonts w:eastAsia="Times New Roman"/>
                <w:sz w:val="16"/>
                <w:szCs w:val="16"/>
                <w:lang w:val="en-GB"/>
              </w:rPr>
            </w:pPr>
            <w:r w:rsidRPr="00E70FC8">
              <w:rPr>
                <w:rFonts w:eastAsia="Times New Roman"/>
                <w:sz w:val="16"/>
                <w:szCs w:val="16"/>
                <w:lang w:val="en-GB"/>
              </w:rPr>
              <w:t>233</w:t>
            </w:r>
            <w:r w:rsidR="00E76375" w:rsidRPr="00E70FC8">
              <w:rPr>
                <w:rFonts w:eastAsia="Times New Roman"/>
                <w:sz w:val="16"/>
                <w:szCs w:val="16"/>
                <w:lang w:val="en-GB"/>
              </w:rPr>
              <w:t>0</w:t>
            </w:r>
          </w:p>
        </w:tc>
        <w:tc>
          <w:tcPr>
            <w:tcW w:w="636" w:type="dxa"/>
            <w:tcBorders>
              <w:top w:val="nil"/>
              <w:left w:val="nil"/>
              <w:bottom w:val="single" w:sz="4" w:space="0" w:color="auto"/>
              <w:right w:val="nil"/>
            </w:tcBorders>
            <w:shd w:val="clear" w:color="auto" w:fill="auto"/>
            <w:noWrap/>
            <w:vAlign w:val="center"/>
            <w:hideMark/>
          </w:tcPr>
          <w:p w14:paraId="15EF5193" w14:textId="69C52C36" w:rsidR="00E76375" w:rsidRPr="00E70FC8" w:rsidRDefault="00E76375" w:rsidP="00720054">
            <w:pPr>
              <w:autoSpaceDE/>
              <w:autoSpaceDN/>
              <w:jc w:val="center"/>
              <w:rPr>
                <w:rFonts w:eastAsia="Times New Roman"/>
                <w:sz w:val="16"/>
                <w:szCs w:val="16"/>
                <w:lang w:val="en-GB"/>
              </w:rPr>
            </w:pPr>
            <w:r w:rsidRPr="00E70FC8">
              <w:rPr>
                <w:rFonts w:eastAsia="Times New Roman"/>
                <w:sz w:val="16"/>
                <w:szCs w:val="16"/>
                <w:lang w:val="en-GB"/>
              </w:rPr>
              <w:t>2</w:t>
            </w:r>
            <w:r w:rsidR="00720054" w:rsidRPr="00E70FC8">
              <w:rPr>
                <w:rFonts w:eastAsia="Times New Roman"/>
                <w:sz w:val="16"/>
                <w:szCs w:val="16"/>
                <w:lang w:val="en-GB"/>
              </w:rPr>
              <w:t>329</w:t>
            </w:r>
          </w:p>
        </w:tc>
        <w:tc>
          <w:tcPr>
            <w:tcW w:w="539" w:type="dxa"/>
            <w:tcBorders>
              <w:top w:val="nil"/>
              <w:left w:val="nil"/>
              <w:bottom w:val="single" w:sz="4" w:space="0" w:color="auto"/>
              <w:right w:val="nil"/>
            </w:tcBorders>
            <w:shd w:val="clear" w:color="auto" w:fill="auto"/>
            <w:noWrap/>
            <w:vAlign w:val="center"/>
            <w:hideMark/>
          </w:tcPr>
          <w:p w14:paraId="19192EA0" w14:textId="461C8705" w:rsidR="00E76375" w:rsidRPr="00E70FC8" w:rsidRDefault="00E76375" w:rsidP="00720054">
            <w:pPr>
              <w:autoSpaceDE/>
              <w:autoSpaceDN/>
              <w:jc w:val="center"/>
              <w:rPr>
                <w:rFonts w:eastAsia="Times New Roman"/>
                <w:sz w:val="16"/>
                <w:szCs w:val="16"/>
                <w:lang w:val="en-GB"/>
              </w:rPr>
            </w:pPr>
            <w:r w:rsidRPr="00E70FC8">
              <w:rPr>
                <w:rFonts w:eastAsia="Times New Roman"/>
                <w:sz w:val="16"/>
                <w:szCs w:val="16"/>
                <w:lang w:val="en-GB"/>
              </w:rPr>
              <w:t>2</w:t>
            </w:r>
            <w:r w:rsidR="00720054" w:rsidRPr="00E70FC8">
              <w:rPr>
                <w:rFonts w:eastAsia="Times New Roman"/>
                <w:sz w:val="16"/>
                <w:szCs w:val="16"/>
                <w:lang w:val="en-GB"/>
              </w:rPr>
              <w:t>326</w:t>
            </w:r>
          </w:p>
        </w:tc>
        <w:tc>
          <w:tcPr>
            <w:tcW w:w="539" w:type="dxa"/>
            <w:tcBorders>
              <w:top w:val="nil"/>
              <w:left w:val="nil"/>
              <w:bottom w:val="single" w:sz="4" w:space="0" w:color="auto"/>
              <w:right w:val="nil"/>
            </w:tcBorders>
            <w:shd w:val="clear" w:color="auto" w:fill="auto"/>
            <w:noWrap/>
            <w:vAlign w:val="center"/>
            <w:hideMark/>
          </w:tcPr>
          <w:p w14:paraId="761E68C5" w14:textId="3C8C357B" w:rsidR="00E76375" w:rsidRPr="00E70FC8" w:rsidRDefault="00E76375" w:rsidP="00720054">
            <w:pPr>
              <w:autoSpaceDE/>
              <w:autoSpaceDN/>
              <w:jc w:val="center"/>
              <w:rPr>
                <w:rFonts w:eastAsia="Times New Roman"/>
                <w:sz w:val="16"/>
                <w:szCs w:val="16"/>
                <w:lang w:val="en-GB"/>
              </w:rPr>
            </w:pPr>
            <w:r w:rsidRPr="00E70FC8">
              <w:rPr>
                <w:rFonts w:eastAsia="Times New Roman"/>
                <w:sz w:val="16"/>
                <w:szCs w:val="16"/>
                <w:lang w:val="en-GB"/>
              </w:rPr>
              <w:t>2</w:t>
            </w:r>
            <w:r w:rsidR="00720054" w:rsidRPr="00E70FC8">
              <w:rPr>
                <w:rFonts w:eastAsia="Times New Roman"/>
                <w:sz w:val="16"/>
                <w:szCs w:val="16"/>
                <w:lang w:val="en-GB"/>
              </w:rPr>
              <w:t>325</w:t>
            </w:r>
          </w:p>
        </w:tc>
        <w:tc>
          <w:tcPr>
            <w:tcW w:w="539" w:type="dxa"/>
            <w:tcBorders>
              <w:top w:val="nil"/>
              <w:left w:val="nil"/>
              <w:bottom w:val="single" w:sz="4" w:space="0" w:color="auto"/>
              <w:right w:val="nil"/>
            </w:tcBorders>
            <w:shd w:val="clear" w:color="auto" w:fill="auto"/>
            <w:noWrap/>
            <w:vAlign w:val="center"/>
            <w:hideMark/>
          </w:tcPr>
          <w:p w14:paraId="07A633B3" w14:textId="153C65EE" w:rsidR="00E76375" w:rsidRPr="00E70FC8" w:rsidRDefault="00720054" w:rsidP="00DC3A9A">
            <w:pPr>
              <w:autoSpaceDE/>
              <w:autoSpaceDN/>
              <w:jc w:val="center"/>
              <w:rPr>
                <w:rFonts w:eastAsia="Times New Roman"/>
                <w:sz w:val="16"/>
                <w:szCs w:val="16"/>
                <w:lang w:val="en-GB"/>
              </w:rPr>
            </w:pPr>
            <w:r w:rsidRPr="00E70FC8">
              <w:rPr>
                <w:rFonts w:eastAsia="Times New Roman"/>
                <w:sz w:val="16"/>
                <w:szCs w:val="16"/>
                <w:lang w:val="en-GB"/>
              </w:rPr>
              <w:t>2278</w:t>
            </w:r>
          </w:p>
        </w:tc>
        <w:tc>
          <w:tcPr>
            <w:tcW w:w="539" w:type="dxa"/>
            <w:tcBorders>
              <w:top w:val="nil"/>
              <w:left w:val="nil"/>
              <w:bottom w:val="single" w:sz="4" w:space="0" w:color="auto"/>
              <w:right w:val="nil"/>
            </w:tcBorders>
            <w:shd w:val="clear" w:color="auto" w:fill="auto"/>
            <w:noWrap/>
            <w:vAlign w:val="center"/>
            <w:hideMark/>
          </w:tcPr>
          <w:p w14:paraId="0E19FD52" w14:textId="527909DA" w:rsidR="00E76375" w:rsidRPr="00E70FC8" w:rsidRDefault="00E76375" w:rsidP="00720054">
            <w:pPr>
              <w:autoSpaceDE/>
              <w:autoSpaceDN/>
              <w:jc w:val="center"/>
              <w:rPr>
                <w:rFonts w:eastAsia="Times New Roman"/>
                <w:sz w:val="16"/>
                <w:szCs w:val="16"/>
                <w:lang w:val="en-GB"/>
              </w:rPr>
            </w:pPr>
            <w:r w:rsidRPr="00E70FC8">
              <w:rPr>
                <w:rFonts w:eastAsia="Times New Roman"/>
                <w:sz w:val="16"/>
                <w:szCs w:val="16"/>
                <w:lang w:val="en-GB"/>
              </w:rPr>
              <w:t>22</w:t>
            </w:r>
            <w:r w:rsidR="00720054" w:rsidRPr="00E70FC8">
              <w:rPr>
                <w:rFonts w:eastAsia="Times New Roman"/>
                <w:sz w:val="16"/>
                <w:szCs w:val="16"/>
                <w:lang w:val="en-GB"/>
              </w:rPr>
              <w:t>74</w:t>
            </w:r>
          </w:p>
        </w:tc>
        <w:tc>
          <w:tcPr>
            <w:tcW w:w="569" w:type="dxa"/>
            <w:tcBorders>
              <w:top w:val="nil"/>
              <w:left w:val="nil"/>
              <w:bottom w:val="single" w:sz="4" w:space="0" w:color="auto"/>
              <w:right w:val="nil"/>
            </w:tcBorders>
            <w:shd w:val="clear" w:color="auto" w:fill="auto"/>
            <w:noWrap/>
            <w:vAlign w:val="center"/>
            <w:hideMark/>
          </w:tcPr>
          <w:p w14:paraId="1617FB79" w14:textId="2D7C2CF3" w:rsidR="00E76375" w:rsidRPr="00E70FC8" w:rsidRDefault="00E76375" w:rsidP="00720054">
            <w:pPr>
              <w:autoSpaceDE/>
              <w:autoSpaceDN/>
              <w:jc w:val="center"/>
              <w:rPr>
                <w:rFonts w:eastAsia="Times New Roman"/>
                <w:sz w:val="16"/>
                <w:szCs w:val="16"/>
                <w:lang w:val="en-GB"/>
              </w:rPr>
            </w:pPr>
            <w:r w:rsidRPr="00E70FC8">
              <w:rPr>
                <w:rFonts w:eastAsia="Times New Roman"/>
                <w:sz w:val="16"/>
                <w:szCs w:val="16"/>
                <w:lang w:val="en-GB"/>
              </w:rPr>
              <w:t>22</w:t>
            </w:r>
            <w:r w:rsidR="00720054" w:rsidRPr="00E70FC8">
              <w:rPr>
                <w:rFonts w:eastAsia="Times New Roman"/>
                <w:sz w:val="16"/>
                <w:szCs w:val="16"/>
                <w:lang w:val="en-GB"/>
              </w:rPr>
              <w:t>66</w:t>
            </w:r>
          </w:p>
        </w:tc>
      </w:tr>
      <w:tr w:rsidR="00E70FC8" w:rsidRPr="00E70FC8" w14:paraId="54D98BF7" w14:textId="77777777" w:rsidTr="0009205A">
        <w:trPr>
          <w:trHeight w:val="238"/>
        </w:trPr>
        <w:tc>
          <w:tcPr>
            <w:tcW w:w="688" w:type="dxa"/>
            <w:tcBorders>
              <w:top w:val="nil"/>
              <w:left w:val="nil"/>
              <w:bottom w:val="single" w:sz="4" w:space="0" w:color="auto"/>
              <w:right w:val="nil"/>
            </w:tcBorders>
            <w:shd w:val="clear" w:color="auto" w:fill="auto"/>
            <w:noWrap/>
            <w:vAlign w:val="center"/>
            <w:hideMark/>
          </w:tcPr>
          <w:p w14:paraId="5C2B9B52" w14:textId="77777777" w:rsidR="00E76375" w:rsidRPr="00E70FC8" w:rsidRDefault="00E76375" w:rsidP="00DC3A9A">
            <w:pPr>
              <w:autoSpaceDE/>
              <w:autoSpaceDN/>
              <w:jc w:val="center"/>
              <w:rPr>
                <w:rFonts w:eastAsia="Times New Roman"/>
                <w:sz w:val="16"/>
                <w:szCs w:val="16"/>
                <w:lang w:val="en-GB"/>
              </w:rPr>
            </w:pPr>
            <w:r w:rsidRPr="00E70FC8">
              <w:rPr>
                <w:rFonts w:eastAsia="Times New Roman"/>
                <w:sz w:val="16"/>
                <w:szCs w:val="16"/>
                <w:lang w:val="en-GB"/>
              </w:rPr>
              <w:t>28</w:t>
            </w:r>
          </w:p>
        </w:tc>
        <w:tc>
          <w:tcPr>
            <w:tcW w:w="539" w:type="dxa"/>
            <w:tcBorders>
              <w:top w:val="nil"/>
              <w:left w:val="nil"/>
              <w:bottom w:val="single" w:sz="4" w:space="0" w:color="auto"/>
              <w:right w:val="nil"/>
            </w:tcBorders>
            <w:shd w:val="clear" w:color="auto" w:fill="auto"/>
            <w:noWrap/>
            <w:vAlign w:val="center"/>
          </w:tcPr>
          <w:p w14:paraId="0FF28450" w14:textId="5764BF65" w:rsidR="00E76375" w:rsidRPr="00E70FC8" w:rsidRDefault="0009205A" w:rsidP="00DC3A9A">
            <w:pPr>
              <w:autoSpaceDE/>
              <w:autoSpaceDN/>
              <w:jc w:val="center"/>
              <w:rPr>
                <w:rFonts w:eastAsia="Times New Roman"/>
                <w:sz w:val="16"/>
                <w:szCs w:val="16"/>
                <w:lang w:val="en-GB"/>
              </w:rPr>
            </w:pPr>
            <w:r w:rsidRPr="00E70FC8">
              <w:rPr>
                <w:rFonts w:eastAsia="Times New Roman"/>
                <w:sz w:val="16"/>
                <w:szCs w:val="16"/>
                <w:lang w:val="en-GB"/>
              </w:rPr>
              <w:t>2350</w:t>
            </w:r>
          </w:p>
        </w:tc>
        <w:tc>
          <w:tcPr>
            <w:tcW w:w="539" w:type="dxa"/>
            <w:tcBorders>
              <w:top w:val="nil"/>
              <w:left w:val="nil"/>
              <w:bottom w:val="single" w:sz="4" w:space="0" w:color="auto"/>
              <w:right w:val="nil"/>
            </w:tcBorders>
            <w:shd w:val="clear" w:color="auto" w:fill="auto"/>
            <w:noWrap/>
            <w:vAlign w:val="center"/>
          </w:tcPr>
          <w:p w14:paraId="65CABDA3" w14:textId="12C38FF4" w:rsidR="00E76375" w:rsidRPr="00E70FC8" w:rsidRDefault="0009205A" w:rsidP="00720054">
            <w:pPr>
              <w:autoSpaceDE/>
              <w:autoSpaceDN/>
              <w:jc w:val="center"/>
              <w:rPr>
                <w:rFonts w:eastAsia="Times New Roman"/>
                <w:sz w:val="16"/>
                <w:szCs w:val="16"/>
                <w:lang w:val="en-GB"/>
              </w:rPr>
            </w:pPr>
            <w:r w:rsidRPr="00E70FC8">
              <w:rPr>
                <w:rFonts w:eastAsia="Times New Roman"/>
                <w:sz w:val="16"/>
                <w:szCs w:val="16"/>
                <w:lang w:val="en-GB"/>
              </w:rPr>
              <w:t>2320</w:t>
            </w:r>
          </w:p>
        </w:tc>
        <w:tc>
          <w:tcPr>
            <w:tcW w:w="636" w:type="dxa"/>
            <w:tcBorders>
              <w:top w:val="nil"/>
              <w:left w:val="nil"/>
              <w:bottom w:val="single" w:sz="4" w:space="0" w:color="auto"/>
              <w:right w:val="nil"/>
            </w:tcBorders>
            <w:shd w:val="clear" w:color="auto" w:fill="auto"/>
            <w:noWrap/>
            <w:vAlign w:val="center"/>
          </w:tcPr>
          <w:p w14:paraId="2DDA087B" w14:textId="1FB2F6FC" w:rsidR="00E76375" w:rsidRPr="00E70FC8" w:rsidRDefault="0009205A" w:rsidP="00DC3A9A">
            <w:pPr>
              <w:autoSpaceDE/>
              <w:autoSpaceDN/>
              <w:jc w:val="center"/>
              <w:rPr>
                <w:rFonts w:eastAsia="Times New Roman"/>
                <w:sz w:val="16"/>
                <w:szCs w:val="16"/>
                <w:lang w:val="en-GB"/>
              </w:rPr>
            </w:pPr>
            <w:r w:rsidRPr="00E70FC8">
              <w:rPr>
                <w:rFonts w:eastAsia="Times New Roman"/>
                <w:sz w:val="16"/>
                <w:szCs w:val="16"/>
                <w:lang w:val="en-GB"/>
              </w:rPr>
              <w:t>2327</w:t>
            </w:r>
          </w:p>
        </w:tc>
        <w:tc>
          <w:tcPr>
            <w:tcW w:w="539" w:type="dxa"/>
            <w:tcBorders>
              <w:top w:val="nil"/>
              <w:left w:val="nil"/>
              <w:bottom w:val="single" w:sz="4" w:space="0" w:color="auto"/>
              <w:right w:val="nil"/>
            </w:tcBorders>
            <w:shd w:val="clear" w:color="auto" w:fill="auto"/>
            <w:noWrap/>
            <w:vAlign w:val="center"/>
          </w:tcPr>
          <w:p w14:paraId="2084309A" w14:textId="51022A93" w:rsidR="00E76375" w:rsidRPr="00E70FC8" w:rsidRDefault="0009205A" w:rsidP="00DC3A9A">
            <w:pPr>
              <w:autoSpaceDE/>
              <w:autoSpaceDN/>
              <w:jc w:val="center"/>
              <w:rPr>
                <w:rFonts w:eastAsia="Times New Roman"/>
                <w:sz w:val="16"/>
                <w:szCs w:val="16"/>
                <w:lang w:val="en-GB"/>
              </w:rPr>
            </w:pPr>
            <w:r w:rsidRPr="00E70FC8">
              <w:rPr>
                <w:rFonts w:eastAsia="Times New Roman"/>
                <w:sz w:val="16"/>
                <w:szCs w:val="16"/>
                <w:lang w:val="en-GB"/>
              </w:rPr>
              <w:t>2325</w:t>
            </w:r>
          </w:p>
        </w:tc>
        <w:tc>
          <w:tcPr>
            <w:tcW w:w="539" w:type="dxa"/>
            <w:tcBorders>
              <w:top w:val="nil"/>
              <w:left w:val="nil"/>
              <w:bottom w:val="single" w:sz="4" w:space="0" w:color="auto"/>
              <w:right w:val="nil"/>
            </w:tcBorders>
            <w:shd w:val="clear" w:color="auto" w:fill="auto"/>
            <w:noWrap/>
            <w:vAlign w:val="center"/>
            <w:hideMark/>
          </w:tcPr>
          <w:p w14:paraId="0A49363A" w14:textId="154F3200" w:rsidR="00E76375" w:rsidRPr="00E70FC8" w:rsidRDefault="0009205A" w:rsidP="00DC3A9A">
            <w:pPr>
              <w:autoSpaceDE/>
              <w:autoSpaceDN/>
              <w:jc w:val="center"/>
              <w:rPr>
                <w:rFonts w:eastAsia="Times New Roman"/>
                <w:sz w:val="16"/>
                <w:szCs w:val="16"/>
                <w:lang w:val="en-GB"/>
              </w:rPr>
            </w:pPr>
            <w:r w:rsidRPr="00E70FC8">
              <w:rPr>
                <w:rFonts w:eastAsia="Times New Roman"/>
                <w:sz w:val="16"/>
                <w:szCs w:val="16"/>
                <w:lang w:val="en-GB"/>
              </w:rPr>
              <w:t>2323</w:t>
            </w:r>
          </w:p>
        </w:tc>
        <w:tc>
          <w:tcPr>
            <w:tcW w:w="539" w:type="dxa"/>
            <w:tcBorders>
              <w:top w:val="nil"/>
              <w:left w:val="nil"/>
              <w:bottom w:val="single" w:sz="4" w:space="0" w:color="auto"/>
              <w:right w:val="nil"/>
            </w:tcBorders>
            <w:shd w:val="clear" w:color="auto" w:fill="auto"/>
            <w:noWrap/>
            <w:vAlign w:val="center"/>
            <w:hideMark/>
          </w:tcPr>
          <w:p w14:paraId="35B1FDFA" w14:textId="6FEEE967" w:rsidR="00E76375" w:rsidRPr="00E70FC8" w:rsidRDefault="00E76375" w:rsidP="0009205A">
            <w:pPr>
              <w:autoSpaceDE/>
              <w:autoSpaceDN/>
              <w:jc w:val="center"/>
              <w:rPr>
                <w:rFonts w:eastAsia="Times New Roman"/>
                <w:sz w:val="16"/>
                <w:szCs w:val="16"/>
                <w:lang w:val="en-GB"/>
              </w:rPr>
            </w:pPr>
            <w:r w:rsidRPr="00E70FC8">
              <w:rPr>
                <w:rFonts w:eastAsia="Times New Roman"/>
                <w:sz w:val="16"/>
                <w:szCs w:val="16"/>
                <w:lang w:val="en-GB"/>
              </w:rPr>
              <w:t>22</w:t>
            </w:r>
            <w:r w:rsidR="0009205A" w:rsidRPr="00E70FC8">
              <w:rPr>
                <w:rFonts w:eastAsia="Times New Roman"/>
                <w:sz w:val="16"/>
                <w:szCs w:val="16"/>
                <w:lang w:val="en-GB"/>
              </w:rPr>
              <w:t>71</w:t>
            </w:r>
          </w:p>
        </w:tc>
        <w:tc>
          <w:tcPr>
            <w:tcW w:w="539" w:type="dxa"/>
            <w:tcBorders>
              <w:top w:val="nil"/>
              <w:left w:val="nil"/>
              <w:bottom w:val="single" w:sz="4" w:space="0" w:color="auto"/>
              <w:right w:val="nil"/>
            </w:tcBorders>
            <w:shd w:val="clear" w:color="auto" w:fill="auto"/>
            <w:noWrap/>
            <w:vAlign w:val="center"/>
            <w:hideMark/>
          </w:tcPr>
          <w:p w14:paraId="08692E6C" w14:textId="3EE2CB0A" w:rsidR="00E76375" w:rsidRPr="00E70FC8" w:rsidRDefault="00E76375" w:rsidP="0009205A">
            <w:pPr>
              <w:autoSpaceDE/>
              <w:autoSpaceDN/>
              <w:jc w:val="center"/>
              <w:rPr>
                <w:rFonts w:eastAsia="Times New Roman"/>
                <w:sz w:val="16"/>
                <w:szCs w:val="16"/>
                <w:lang w:val="en-GB"/>
              </w:rPr>
            </w:pPr>
            <w:r w:rsidRPr="00E70FC8">
              <w:rPr>
                <w:rFonts w:eastAsia="Times New Roman"/>
                <w:sz w:val="16"/>
                <w:szCs w:val="16"/>
                <w:lang w:val="en-GB"/>
              </w:rPr>
              <w:t>22</w:t>
            </w:r>
            <w:r w:rsidR="0009205A" w:rsidRPr="00E70FC8">
              <w:rPr>
                <w:rFonts w:eastAsia="Times New Roman"/>
                <w:sz w:val="16"/>
                <w:szCs w:val="16"/>
                <w:lang w:val="en-GB"/>
              </w:rPr>
              <w:t>65</w:t>
            </w:r>
          </w:p>
        </w:tc>
        <w:tc>
          <w:tcPr>
            <w:tcW w:w="569" w:type="dxa"/>
            <w:tcBorders>
              <w:top w:val="nil"/>
              <w:left w:val="nil"/>
              <w:bottom w:val="single" w:sz="4" w:space="0" w:color="auto"/>
              <w:right w:val="nil"/>
            </w:tcBorders>
            <w:shd w:val="clear" w:color="auto" w:fill="auto"/>
            <w:noWrap/>
            <w:vAlign w:val="center"/>
            <w:hideMark/>
          </w:tcPr>
          <w:p w14:paraId="4626AD77" w14:textId="654D7451" w:rsidR="00E76375" w:rsidRPr="00E70FC8" w:rsidRDefault="00E76375" w:rsidP="0009205A">
            <w:pPr>
              <w:autoSpaceDE/>
              <w:autoSpaceDN/>
              <w:jc w:val="center"/>
              <w:rPr>
                <w:rFonts w:eastAsia="Times New Roman"/>
                <w:sz w:val="16"/>
                <w:szCs w:val="16"/>
                <w:lang w:val="en-GB"/>
              </w:rPr>
            </w:pPr>
            <w:r w:rsidRPr="00E70FC8">
              <w:rPr>
                <w:rFonts w:eastAsia="Times New Roman"/>
                <w:sz w:val="16"/>
                <w:szCs w:val="16"/>
                <w:lang w:val="en-GB"/>
              </w:rPr>
              <w:t>22</w:t>
            </w:r>
            <w:r w:rsidR="0009205A" w:rsidRPr="00E70FC8">
              <w:rPr>
                <w:rFonts w:eastAsia="Times New Roman"/>
                <w:sz w:val="16"/>
                <w:szCs w:val="16"/>
                <w:lang w:val="en-GB"/>
              </w:rPr>
              <w:t>59</w:t>
            </w:r>
          </w:p>
        </w:tc>
      </w:tr>
      <w:tr w:rsidR="00E70FC8" w:rsidRPr="00E70FC8" w14:paraId="55B1437A" w14:textId="77777777" w:rsidTr="0009205A">
        <w:trPr>
          <w:trHeight w:val="238"/>
        </w:trPr>
        <w:tc>
          <w:tcPr>
            <w:tcW w:w="688" w:type="dxa"/>
            <w:tcBorders>
              <w:top w:val="nil"/>
              <w:left w:val="nil"/>
              <w:bottom w:val="single" w:sz="4" w:space="0" w:color="auto"/>
              <w:right w:val="nil"/>
            </w:tcBorders>
            <w:shd w:val="clear" w:color="auto" w:fill="auto"/>
            <w:noWrap/>
            <w:vAlign w:val="center"/>
            <w:hideMark/>
          </w:tcPr>
          <w:p w14:paraId="38DB657D" w14:textId="77777777" w:rsidR="00E76375" w:rsidRPr="00E70FC8" w:rsidRDefault="00E76375" w:rsidP="00DC3A9A">
            <w:pPr>
              <w:autoSpaceDE/>
              <w:autoSpaceDN/>
              <w:jc w:val="center"/>
              <w:rPr>
                <w:rFonts w:eastAsia="Times New Roman"/>
                <w:sz w:val="16"/>
                <w:szCs w:val="16"/>
                <w:lang w:val="en-GB"/>
              </w:rPr>
            </w:pPr>
            <w:r w:rsidRPr="00E70FC8">
              <w:rPr>
                <w:rFonts w:eastAsia="Times New Roman"/>
                <w:sz w:val="16"/>
                <w:szCs w:val="16"/>
                <w:lang w:val="en-GB"/>
              </w:rPr>
              <w:t>56</w:t>
            </w:r>
          </w:p>
        </w:tc>
        <w:tc>
          <w:tcPr>
            <w:tcW w:w="539" w:type="dxa"/>
            <w:tcBorders>
              <w:top w:val="nil"/>
              <w:left w:val="nil"/>
              <w:bottom w:val="single" w:sz="4" w:space="0" w:color="auto"/>
              <w:right w:val="nil"/>
            </w:tcBorders>
            <w:shd w:val="clear" w:color="auto" w:fill="auto"/>
            <w:noWrap/>
            <w:vAlign w:val="center"/>
          </w:tcPr>
          <w:p w14:paraId="53D12F52" w14:textId="4233F414" w:rsidR="00E76375" w:rsidRPr="00E70FC8" w:rsidRDefault="0009205A" w:rsidP="00DC3A9A">
            <w:pPr>
              <w:autoSpaceDE/>
              <w:autoSpaceDN/>
              <w:jc w:val="center"/>
              <w:rPr>
                <w:rFonts w:eastAsia="Times New Roman"/>
                <w:sz w:val="16"/>
                <w:szCs w:val="16"/>
                <w:lang w:val="en-GB"/>
              </w:rPr>
            </w:pPr>
            <w:r w:rsidRPr="00E70FC8">
              <w:rPr>
                <w:rFonts w:eastAsia="Times New Roman"/>
                <w:sz w:val="16"/>
                <w:szCs w:val="16"/>
                <w:lang w:val="en-GB"/>
              </w:rPr>
              <w:t>2356</w:t>
            </w:r>
          </w:p>
        </w:tc>
        <w:tc>
          <w:tcPr>
            <w:tcW w:w="539" w:type="dxa"/>
            <w:tcBorders>
              <w:top w:val="nil"/>
              <w:left w:val="nil"/>
              <w:bottom w:val="single" w:sz="4" w:space="0" w:color="auto"/>
              <w:right w:val="nil"/>
            </w:tcBorders>
            <w:shd w:val="clear" w:color="auto" w:fill="auto"/>
            <w:noWrap/>
            <w:vAlign w:val="center"/>
          </w:tcPr>
          <w:p w14:paraId="1B113E80" w14:textId="7A5EAA22" w:rsidR="00E76375" w:rsidRPr="00E70FC8" w:rsidRDefault="0009205A" w:rsidP="00720054">
            <w:pPr>
              <w:autoSpaceDE/>
              <w:autoSpaceDN/>
              <w:jc w:val="center"/>
              <w:rPr>
                <w:rFonts w:eastAsia="Times New Roman"/>
                <w:sz w:val="16"/>
                <w:szCs w:val="16"/>
                <w:lang w:val="en-GB"/>
              </w:rPr>
            </w:pPr>
            <w:r w:rsidRPr="00E70FC8">
              <w:rPr>
                <w:rFonts w:eastAsia="Times New Roman"/>
                <w:sz w:val="16"/>
                <w:szCs w:val="16"/>
                <w:lang w:val="en-GB"/>
              </w:rPr>
              <w:t>2320</w:t>
            </w:r>
          </w:p>
        </w:tc>
        <w:tc>
          <w:tcPr>
            <w:tcW w:w="636" w:type="dxa"/>
            <w:tcBorders>
              <w:top w:val="nil"/>
              <w:left w:val="nil"/>
              <w:bottom w:val="single" w:sz="4" w:space="0" w:color="auto"/>
              <w:right w:val="nil"/>
            </w:tcBorders>
            <w:shd w:val="clear" w:color="auto" w:fill="auto"/>
            <w:noWrap/>
            <w:vAlign w:val="center"/>
          </w:tcPr>
          <w:p w14:paraId="7F976294" w14:textId="04924FE0" w:rsidR="00E76375" w:rsidRPr="00E70FC8" w:rsidRDefault="0009205A" w:rsidP="00DC3A9A">
            <w:pPr>
              <w:autoSpaceDE/>
              <w:autoSpaceDN/>
              <w:jc w:val="center"/>
              <w:rPr>
                <w:rFonts w:eastAsia="Times New Roman"/>
                <w:sz w:val="16"/>
                <w:szCs w:val="16"/>
                <w:lang w:val="en-GB"/>
              </w:rPr>
            </w:pPr>
            <w:r w:rsidRPr="00E70FC8">
              <w:rPr>
                <w:rFonts w:eastAsia="Times New Roman"/>
                <w:sz w:val="16"/>
                <w:szCs w:val="16"/>
                <w:lang w:val="en-GB"/>
              </w:rPr>
              <w:t>2326</w:t>
            </w:r>
          </w:p>
        </w:tc>
        <w:tc>
          <w:tcPr>
            <w:tcW w:w="539" w:type="dxa"/>
            <w:tcBorders>
              <w:top w:val="nil"/>
              <w:left w:val="nil"/>
              <w:bottom w:val="single" w:sz="4" w:space="0" w:color="auto"/>
              <w:right w:val="nil"/>
            </w:tcBorders>
            <w:shd w:val="clear" w:color="auto" w:fill="auto"/>
            <w:noWrap/>
            <w:vAlign w:val="center"/>
          </w:tcPr>
          <w:p w14:paraId="6DADBCCD" w14:textId="2BA217C2" w:rsidR="00E76375" w:rsidRPr="00E70FC8" w:rsidRDefault="0009205A" w:rsidP="0009205A">
            <w:pPr>
              <w:autoSpaceDE/>
              <w:autoSpaceDN/>
              <w:jc w:val="center"/>
              <w:rPr>
                <w:rFonts w:eastAsia="Times New Roman"/>
                <w:sz w:val="16"/>
                <w:szCs w:val="16"/>
                <w:lang w:val="en-GB"/>
              </w:rPr>
            </w:pPr>
            <w:r w:rsidRPr="00E70FC8">
              <w:rPr>
                <w:rFonts w:eastAsia="Times New Roman"/>
                <w:sz w:val="16"/>
                <w:szCs w:val="16"/>
                <w:lang w:val="en-GB"/>
              </w:rPr>
              <w:t>2323</w:t>
            </w:r>
          </w:p>
        </w:tc>
        <w:tc>
          <w:tcPr>
            <w:tcW w:w="539" w:type="dxa"/>
            <w:tcBorders>
              <w:top w:val="nil"/>
              <w:left w:val="nil"/>
              <w:bottom w:val="single" w:sz="4" w:space="0" w:color="auto"/>
              <w:right w:val="nil"/>
            </w:tcBorders>
            <w:shd w:val="clear" w:color="auto" w:fill="auto"/>
            <w:noWrap/>
            <w:vAlign w:val="center"/>
          </w:tcPr>
          <w:p w14:paraId="3D30FA2F" w14:textId="18840AC9" w:rsidR="00E76375" w:rsidRPr="00E70FC8" w:rsidRDefault="0009205A" w:rsidP="00DC3A9A">
            <w:pPr>
              <w:autoSpaceDE/>
              <w:autoSpaceDN/>
              <w:jc w:val="center"/>
              <w:rPr>
                <w:rFonts w:eastAsia="Times New Roman"/>
                <w:sz w:val="16"/>
                <w:szCs w:val="16"/>
                <w:lang w:val="en-GB"/>
              </w:rPr>
            </w:pPr>
            <w:r w:rsidRPr="00E70FC8">
              <w:rPr>
                <w:rFonts w:eastAsia="Times New Roman"/>
                <w:sz w:val="16"/>
                <w:szCs w:val="16"/>
                <w:lang w:val="en-GB"/>
              </w:rPr>
              <w:t>2316</w:t>
            </w:r>
          </w:p>
        </w:tc>
        <w:tc>
          <w:tcPr>
            <w:tcW w:w="539" w:type="dxa"/>
            <w:tcBorders>
              <w:top w:val="nil"/>
              <w:left w:val="nil"/>
              <w:bottom w:val="single" w:sz="4" w:space="0" w:color="auto"/>
              <w:right w:val="nil"/>
            </w:tcBorders>
            <w:shd w:val="clear" w:color="auto" w:fill="auto"/>
            <w:noWrap/>
            <w:vAlign w:val="center"/>
            <w:hideMark/>
          </w:tcPr>
          <w:p w14:paraId="1AFAC4B4" w14:textId="12BF8F58" w:rsidR="00E76375" w:rsidRPr="00E70FC8" w:rsidRDefault="00E76375" w:rsidP="0009205A">
            <w:pPr>
              <w:autoSpaceDE/>
              <w:autoSpaceDN/>
              <w:jc w:val="center"/>
              <w:rPr>
                <w:rFonts w:eastAsia="Times New Roman"/>
                <w:sz w:val="16"/>
                <w:szCs w:val="16"/>
                <w:lang w:val="en-GB"/>
              </w:rPr>
            </w:pPr>
            <w:r w:rsidRPr="00E70FC8">
              <w:rPr>
                <w:rFonts w:eastAsia="Times New Roman"/>
                <w:sz w:val="16"/>
                <w:szCs w:val="16"/>
                <w:lang w:val="en-GB"/>
              </w:rPr>
              <w:t>22</w:t>
            </w:r>
            <w:r w:rsidR="0009205A" w:rsidRPr="00E70FC8">
              <w:rPr>
                <w:rFonts w:eastAsia="Times New Roman"/>
                <w:sz w:val="16"/>
                <w:szCs w:val="16"/>
                <w:lang w:val="en-GB"/>
              </w:rPr>
              <w:t>58</w:t>
            </w:r>
          </w:p>
        </w:tc>
        <w:tc>
          <w:tcPr>
            <w:tcW w:w="539" w:type="dxa"/>
            <w:tcBorders>
              <w:top w:val="nil"/>
              <w:left w:val="nil"/>
              <w:bottom w:val="single" w:sz="4" w:space="0" w:color="auto"/>
              <w:right w:val="nil"/>
            </w:tcBorders>
            <w:shd w:val="clear" w:color="auto" w:fill="auto"/>
            <w:noWrap/>
            <w:vAlign w:val="center"/>
            <w:hideMark/>
          </w:tcPr>
          <w:p w14:paraId="2158E8E3" w14:textId="301E66E3" w:rsidR="00E76375" w:rsidRPr="00E70FC8" w:rsidRDefault="00E76375" w:rsidP="0009205A">
            <w:pPr>
              <w:autoSpaceDE/>
              <w:autoSpaceDN/>
              <w:jc w:val="center"/>
              <w:rPr>
                <w:rFonts w:eastAsia="Times New Roman"/>
                <w:sz w:val="16"/>
                <w:szCs w:val="16"/>
                <w:lang w:val="en-GB"/>
              </w:rPr>
            </w:pPr>
            <w:r w:rsidRPr="00E70FC8">
              <w:rPr>
                <w:rFonts w:eastAsia="Times New Roman"/>
                <w:sz w:val="16"/>
                <w:szCs w:val="16"/>
                <w:lang w:val="en-GB"/>
              </w:rPr>
              <w:t>22</w:t>
            </w:r>
            <w:r w:rsidR="0009205A" w:rsidRPr="00E70FC8">
              <w:rPr>
                <w:rFonts w:eastAsia="Times New Roman"/>
                <w:sz w:val="16"/>
                <w:szCs w:val="16"/>
                <w:lang w:val="en-GB"/>
              </w:rPr>
              <w:t>47</w:t>
            </w:r>
          </w:p>
        </w:tc>
        <w:tc>
          <w:tcPr>
            <w:tcW w:w="569" w:type="dxa"/>
            <w:tcBorders>
              <w:top w:val="nil"/>
              <w:left w:val="nil"/>
              <w:bottom w:val="single" w:sz="4" w:space="0" w:color="auto"/>
              <w:right w:val="nil"/>
            </w:tcBorders>
            <w:shd w:val="clear" w:color="auto" w:fill="auto"/>
            <w:noWrap/>
            <w:vAlign w:val="center"/>
            <w:hideMark/>
          </w:tcPr>
          <w:p w14:paraId="6AEB087B" w14:textId="0739ABF9" w:rsidR="00E76375" w:rsidRPr="00E70FC8" w:rsidRDefault="00E76375" w:rsidP="0009205A">
            <w:pPr>
              <w:autoSpaceDE/>
              <w:autoSpaceDN/>
              <w:jc w:val="center"/>
              <w:rPr>
                <w:rFonts w:eastAsia="Times New Roman"/>
                <w:sz w:val="16"/>
                <w:szCs w:val="16"/>
                <w:lang w:val="en-GB"/>
              </w:rPr>
            </w:pPr>
            <w:r w:rsidRPr="00E70FC8">
              <w:rPr>
                <w:rFonts w:eastAsia="Times New Roman"/>
                <w:sz w:val="16"/>
                <w:szCs w:val="16"/>
                <w:lang w:val="en-GB"/>
              </w:rPr>
              <w:t>22</w:t>
            </w:r>
            <w:r w:rsidR="0009205A" w:rsidRPr="00E70FC8">
              <w:rPr>
                <w:rFonts w:eastAsia="Times New Roman"/>
                <w:sz w:val="16"/>
                <w:szCs w:val="16"/>
                <w:lang w:val="en-GB"/>
              </w:rPr>
              <w:t>38</w:t>
            </w:r>
          </w:p>
        </w:tc>
      </w:tr>
      <w:tr w:rsidR="00E70FC8" w:rsidRPr="00E70FC8" w14:paraId="0AAE5A6E" w14:textId="77777777" w:rsidTr="0009205A">
        <w:trPr>
          <w:trHeight w:val="257"/>
        </w:trPr>
        <w:tc>
          <w:tcPr>
            <w:tcW w:w="688" w:type="dxa"/>
            <w:tcBorders>
              <w:top w:val="nil"/>
              <w:left w:val="nil"/>
              <w:bottom w:val="double" w:sz="6" w:space="0" w:color="auto"/>
              <w:right w:val="nil"/>
            </w:tcBorders>
            <w:shd w:val="clear" w:color="auto" w:fill="auto"/>
            <w:noWrap/>
            <w:vAlign w:val="center"/>
            <w:hideMark/>
          </w:tcPr>
          <w:p w14:paraId="0C7695A3" w14:textId="77777777" w:rsidR="00E76375" w:rsidRPr="00E70FC8" w:rsidRDefault="00E76375" w:rsidP="00DC3A9A">
            <w:pPr>
              <w:autoSpaceDE/>
              <w:autoSpaceDN/>
              <w:jc w:val="center"/>
              <w:rPr>
                <w:rFonts w:eastAsia="Times New Roman"/>
                <w:sz w:val="16"/>
                <w:szCs w:val="16"/>
                <w:lang w:val="en-GB"/>
              </w:rPr>
            </w:pPr>
            <w:r w:rsidRPr="00E70FC8">
              <w:rPr>
                <w:rFonts w:eastAsia="Times New Roman"/>
                <w:sz w:val="16"/>
                <w:szCs w:val="16"/>
                <w:lang w:val="en-GB"/>
              </w:rPr>
              <w:t>91</w:t>
            </w:r>
          </w:p>
        </w:tc>
        <w:tc>
          <w:tcPr>
            <w:tcW w:w="539" w:type="dxa"/>
            <w:tcBorders>
              <w:top w:val="nil"/>
              <w:left w:val="nil"/>
              <w:bottom w:val="double" w:sz="6" w:space="0" w:color="auto"/>
              <w:right w:val="nil"/>
            </w:tcBorders>
            <w:shd w:val="clear" w:color="auto" w:fill="auto"/>
            <w:noWrap/>
            <w:vAlign w:val="center"/>
          </w:tcPr>
          <w:p w14:paraId="3C573A6C" w14:textId="52463C30" w:rsidR="00E76375" w:rsidRPr="00E70FC8" w:rsidRDefault="0009205A" w:rsidP="00DC3A9A">
            <w:pPr>
              <w:autoSpaceDE/>
              <w:autoSpaceDN/>
              <w:jc w:val="center"/>
              <w:rPr>
                <w:rFonts w:eastAsia="Times New Roman"/>
                <w:sz w:val="16"/>
                <w:szCs w:val="16"/>
                <w:lang w:val="en-GB"/>
              </w:rPr>
            </w:pPr>
            <w:r w:rsidRPr="00E70FC8">
              <w:rPr>
                <w:rFonts w:eastAsia="Times New Roman"/>
                <w:sz w:val="16"/>
                <w:szCs w:val="16"/>
                <w:lang w:val="en-GB"/>
              </w:rPr>
              <w:t>2366</w:t>
            </w:r>
          </w:p>
        </w:tc>
        <w:tc>
          <w:tcPr>
            <w:tcW w:w="539" w:type="dxa"/>
            <w:tcBorders>
              <w:top w:val="nil"/>
              <w:left w:val="nil"/>
              <w:bottom w:val="double" w:sz="6" w:space="0" w:color="auto"/>
              <w:right w:val="nil"/>
            </w:tcBorders>
            <w:shd w:val="clear" w:color="auto" w:fill="auto"/>
            <w:noWrap/>
            <w:vAlign w:val="center"/>
          </w:tcPr>
          <w:p w14:paraId="79692184" w14:textId="6E39D89A" w:rsidR="00E76375" w:rsidRPr="00E70FC8" w:rsidRDefault="0009205A" w:rsidP="00720054">
            <w:pPr>
              <w:autoSpaceDE/>
              <w:autoSpaceDN/>
              <w:jc w:val="center"/>
              <w:rPr>
                <w:rFonts w:eastAsia="Times New Roman"/>
                <w:sz w:val="16"/>
                <w:szCs w:val="16"/>
                <w:lang w:val="en-GB"/>
              </w:rPr>
            </w:pPr>
            <w:r w:rsidRPr="00E70FC8">
              <w:rPr>
                <w:rFonts w:eastAsia="Times New Roman"/>
                <w:sz w:val="16"/>
                <w:szCs w:val="16"/>
                <w:lang w:val="en-GB"/>
              </w:rPr>
              <w:t>2318</w:t>
            </w:r>
          </w:p>
        </w:tc>
        <w:tc>
          <w:tcPr>
            <w:tcW w:w="636" w:type="dxa"/>
            <w:tcBorders>
              <w:top w:val="nil"/>
              <w:left w:val="nil"/>
              <w:bottom w:val="double" w:sz="6" w:space="0" w:color="auto"/>
              <w:right w:val="nil"/>
            </w:tcBorders>
            <w:shd w:val="clear" w:color="auto" w:fill="auto"/>
            <w:noWrap/>
            <w:vAlign w:val="center"/>
          </w:tcPr>
          <w:p w14:paraId="5137AE74" w14:textId="364C878A" w:rsidR="00E76375" w:rsidRPr="00E70FC8" w:rsidRDefault="0009205A" w:rsidP="00DC3A9A">
            <w:pPr>
              <w:autoSpaceDE/>
              <w:autoSpaceDN/>
              <w:jc w:val="center"/>
              <w:rPr>
                <w:rFonts w:eastAsia="Times New Roman"/>
                <w:sz w:val="16"/>
                <w:szCs w:val="16"/>
                <w:lang w:val="en-GB"/>
              </w:rPr>
            </w:pPr>
            <w:r w:rsidRPr="00E70FC8">
              <w:rPr>
                <w:rFonts w:eastAsia="Times New Roman"/>
                <w:sz w:val="16"/>
                <w:szCs w:val="16"/>
                <w:lang w:val="en-GB"/>
              </w:rPr>
              <w:t>2314</w:t>
            </w:r>
          </w:p>
        </w:tc>
        <w:tc>
          <w:tcPr>
            <w:tcW w:w="539" w:type="dxa"/>
            <w:tcBorders>
              <w:top w:val="nil"/>
              <w:left w:val="nil"/>
              <w:bottom w:val="double" w:sz="6" w:space="0" w:color="auto"/>
              <w:right w:val="nil"/>
            </w:tcBorders>
            <w:shd w:val="clear" w:color="auto" w:fill="auto"/>
            <w:noWrap/>
            <w:vAlign w:val="center"/>
          </w:tcPr>
          <w:p w14:paraId="602C6863" w14:textId="66E1B107" w:rsidR="00E76375" w:rsidRPr="00E70FC8" w:rsidRDefault="0009205A" w:rsidP="00DC3A9A">
            <w:pPr>
              <w:autoSpaceDE/>
              <w:autoSpaceDN/>
              <w:jc w:val="center"/>
              <w:rPr>
                <w:rFonts w:eastAsia="Times New Roman"/>
                <w:sz w:val="16"/>
                <w:szCs w:val="16"/>
                <w:lang w:val="en-GB"/>
              </w:rPr>
            </w:pPr>
            <w:r w:rsidRPr="00E70FC8">
              <w:rPr>
                <w:rFonts w:eastAsia="Times New Roman"/>
                <w:sz w:val="16"/>
                <w:szCs w:val="16"/>
                <w:lang w:val="en-GB"/>
              </w:rPr>
              <w:t>2312</w:t>
            </w:r>
          </w:p>
        </w:tc>
        <w:tc>
          <w:tcPr>
            <w:tcW w:w="539" w:type="dxa"/>
            <w:tcBorders>
              <w:top w:val="nil"/>
              <w:left w:val="nil"/>
              <w:bottom w:val="double" w:sz="6" w:space="0" w:color="auto"/>
              <w:right w:val="nil"/>
            </w:tcBorders>
            <w:shd w:val="clear" w:color="auto" w:fill="auto"/>
            <w:noWrap/>
            <w:vAlign w:val="center"/>
          </w:tcPr>
          <w:p w14:paraId="22AD8C69" w14:textId="4FBE0BF1" w:rsidR="00E76375" w:rsidRPr="00E70FC8" w:rsidRDefault="0009205A" w:rsidP="0009205A">
            <w:pPr>
              <w:autoSpaceDE/>
              <w:autoSpaceDN/>
              <w:jc w:val="center"/>
              <w:rPr>
                <w:rFonts w:eastAsia="Times New Roman"/>
                <w:sz w:val="16"/>
                <w:szCs w:val="16"/>
                <w:lang w:val="en-GB"/>
              </w:rPr>
            </w:pPr>
            <w:r w:rsidRPr="00E70FC8">
              <w:rPr>
                <w:rFonts w:eastAsia="Times New Roman"/>
                <w:sz w:val="16"/>
                <w:szCs w:val="16"/>
                <w:lang w:val="en-GB"/>
              </w:rPr>
              <w:t>2307</w:t>
            </w:r>
          </w:p>
        </w:tc>
        <w:tc>
          <w:tcPr>
            <w:tcW w:w="539" w:type="dxa"/>
            <w:tcBorders>
              <w:top w:val="nil"/>
              <w:left w:val="nil"/>
              <w:bottom w:val="double" w:sz="6" w:space="0" w:color="auto"/>
              <w:right w:val="nil"/>
            </w:tcBorders>
            <w:shd w:val="clear" w:color="auto" w:fill="auto"/>
            <w:noWrap/>
            <w:vAlign w:val="center"/>
            <w:hideMark/>
          </w:tcPr>
          <w:p w14:paraId="76F067F1" w14:textId="708D428B" w:rsidR="00E76375" w:rsidRPr="00E70FC8" w:rsidRDefault="00E76375" w:rsidP="0009205A">
            <w:pPr>
              <w:autoSpaceDE/>
              <w:autoSpaceDN/>
              <w:jc w:val="center"/>
              <w:rPr>
                <w:rFonts w:eastAsia="Times New Roman"/>
                <w:sz w:val="16"/>
                <w:szCs w:val="16"/>
                <w:lang w:val="en-GB"/>
              </w:rPr>
            </w:pPr>
            <w:r w:rsidRPr="00E70FC8">
              <w:rPr>
                <w:rFonts w:eastAsia="Times New Roman"/>
                <w:sz w:val="16"/>
                <w:szCs w:val="16"/>
                <w:lang w:val="en-GB"/>
              </w:rPr>
              <w:t>22</w:t>
            </w:r>
            <w:r w:rsidR="0009205A" w:rsidRPr="00E70FC8">
              <w:rPr>
                <w:rFonts w:eastAsia="Times New Roman"/>
                <w:sz w:val="16"/>
                <w:szCs w:val="16"/>
                <w:lang w:val="en-GB"/>
              </w:rPr>
              <w:t>50</w:t>
            </w:r>
          </w:p>
        </w:tc>
        <w:tc>
          <w:tcPr>
            <w:tcW w:w="539" w:type="dxa"/>
            <w:tcBorders>
              <w:top w:val="nil"/>
              <w:left w:val="nil"/>
              <w:bottom w:val="double" w:sz="6" w:space="0" w:color="auto"/>
              <w:right w:val="nil"/>
            </w:tcBorders>
            <w:shd w:val="clear" w:color="auto" w:fill="auto"/>
            <w:noWrap/>
            <w:vAlign w:val="center"/>
            <w:hideMark/>
          </w:tcPr>
          <w:p w14:paraId="7FD0738B" w14:textId="42BB03F5" w:rsidR="00E76375" w:rsidRPr="00E70FC8" w:rsidRDefault="00E76375" w:rsidP="0009205A">
            <w:pPr>
              <w:autoSpaceDE/>
              <w:autoSpaceDN/>
              <w:jc w:val="center"/>
              <w:rPr>
                <w:rFonts w:eastAsia="Times New Roman"/>
                <w:sz w:val="16"/>
                <w:szCs w:val="16"/>
                <w:lang w:val="en-GB"/>
              </w:rPr>
            </w:pPr>
            <w:r w:rsidRPr="00E70FC8">
              <w:rPr>
                <w:rFonts w:eastAsia="Times New Roman"/>
                <w:sz w:val="16"/>
                <w:szCs w:val="16"/>
                <w:lang w:val="en-GB"/>
              </w:rPr>
              <w:t>22</w:t>
            </w:r>
            <w:r w:rsidR="0009205A" w:rsidRPr="00E70FC8">
              <w:rPr>
                <w:rFonts w:eastAsia="Times New Roman"/>
                <w:sz w:val="16"/>
                <w:szCs w:val="16"/>
                <w:lang w:val="en-GB"/>
              </w:rPr>
              <w:t>4</w:t>
            </w:r>
            <w:r w:rsidRPr="00E70FC8">
              <w:rPr>
                <w:rFonts w:eastAsia="Times New Roman"/>
                <w:sz w:val="16"/>
                <w:szCs w:val="16"/>
                <w:lang w:val="en-GB"/>
              </w:rPr>
              <w:t>3</w:t>
            </w:r>
          </w:p>
        </w:tc>
        <w:tc>
          <w:tcPr>
            <w:tcW w:w="569" w:type="dxa"/>
            <w:tcBorders>
              <w:top w:val="nil"/>
              <w:left w:val="nil"/>
              <w:bottom w:val="double" w:sz="6" w:space="0" w:color="auto"/>
              <w:right w:val="nil"/>
            </w:tcBorders>
            <w:shd w:val="clear" w:color="auto" w:fill="auto"/>
            <w:noWrap/>
            <w:vAlign w:val="center"/>
            <w:hideMark/>
          </w:tcPr>
          <w:p w14:paraId="7AEDAA62" w14:textId="38FA99CD" w:rsidR="00E76375" w:rsidRPr="00E70FC8" w:rsidRDefault="00E76375" w:rsidP="0009205A">
            <w:pPr>
              <w:autoSpaceDE/>
              <w:autoSpaceDN/>
              <w:jc w:val="center"/>
              <w:rPr>
                <w:rFonts w:eastAsia="Times New Roman"/>
                <w:sz w:val="16"/>
                <w:szCs w:val="16"/>
                <w:lang w:val="en-GB"/>
              </w:rPr>
            </w:pPr>
            <w:r w:rsidRPr="00E70FC8">
              <w:rPr>
                <w:rFonts w:eastAsia="Times New Roman"/>
                <w:sz w:val="16"/>
                <w:szCs w:val="16"/>
                <w:lang w:val="en-GB"/>
              </w:rPr>
              <w:t>22</w:t>
            </w:r>
            <w:r w:rsidR="0009205A" w:rsidRPr="00E70FC8">
              <w:rPr>
                <w:rFonts w:eastAsia="Times New Roman"/>
                <w:sz w:val="16"/>
                <w:szCs w:val="16"/>
                <w:lang w:val="en-GB"/>
              </w:rPr>
              <w:t>02</w:t>
            </w:r>
          </w:p>
        </w:tc>
      </w:tr>
    </w:tbl>
    <w:p w14:paraId="5FBC35D0" w14:textId="77777777" w:rsidR="006A4B2B" w:rsidRPr="00E70FC8" w:rsidRDefault="006A4B2B" w:rsidP="006A4B2B">
      <w:pPr>
        <w:adjustRightInd w:val="0"/>
        <w:jc w:val="both"/>
        <w:rPr>
          <w:rFonts w:eastAsia="Times New Roman"/>
        </w:rPr>
      </w:pPr>
    </w:p>
    <w:p w14:paraId="3A257C27" w14:textId="4EE6FE9A" w:rsidR="003407B0" w:rsidRPr="00E70FC8" w:rsidRDefault="003407B0" w:rsidP="00AA3E3D">
      <w:pPr>
        <w:pStyle w:val="Text"/>
      </w:pPr>
    </w:p>
    <w:p w14:paraId="4B18C68C" w14:textId="4AB49832" w:rsidR="003407B0" w:rsidRPr="00E70FC8" w:rsidRDefault="007153B5" w:rsidP="006B26D3">
      <w:pPr>
        <w:pStyle w:val="Text"/>
        <w:ind w:firstLine="0"/>
      </w:pPr>
      <w:r w:rsidRPr="00F776A1">
        <w:rPr>
          <w:noProof/>
          <w:lang w:val="en-GB" w:eastAsia="en-GB"/>
        </w:rPr>
        <w:lastRenderedPageBreak/>
        <w:drawing>
          <wp:inline distT="0" distB="0" distL="0" distR="0" wp14:anchorId="0D3FA06A" wp14:editId="5CF9CBB6">
            <wp:extent cx="3093720" cy="2240915"/>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A9F5C88" w14:textId="6CB9A762" w:rsidR="00B1371A" w:rsidRPr="00E70FC8" w:rsidRDefault="00B17F8F" w:rsidP="00B17F8F">
      <w:pPr>
        <w:pStyle w:val="Text"/>
      </w:pPr>
      <w:r w:rsidRPr="00E70FC8">
        <w:tab/>
      </w:r>
      <w:r w:rsidR="00B1371A" w:rsidRPr="00E70FC8">
        <w:t>Compressive strength</w:t>
      </w:r>
    </w:p>
    <w:p w14:paraId="143D461C" w14:textId="3EFF3BF2" w:rsidR="00B1371A" w:rsidRPr="00E70FC8" w:rsidRDefault="00B1371A" w:rsidP="00B17F8F">
      <w:pPr>
        <w:pStyle w:val="Text"/>
        <w:rPr>
          <w:rFonts w:eastAsia="Times New Roman"/>
          <w:noProof/>
        </w:rPr>
      </w:pPr>
      <w:r w:rsidRPr="00E70FC8">
        <w:t>Table</w:t>
      </w:r>
      <w:r w:rsidRPr="00E70FC8">
        <w:rPr>
          <w:rFonts w:eastAsia="Times New Roman"/>
        </w:rPr>
        <w:t xml:space="preserve"> V and Fig</w:t>
      </w:r>
      <w:r w:rsidR="005C36B3" w:rsidRPr="00E70FC8">
        <w:rPr>
          <w:rFonts w:eastAsia="Times New Roman"/>
        </w:rPr>
        <w:t>.</w:t>
      </w:r>
      <w:r w:rsidRPr="00E70FC8">
        <w:rPr>
          <w:rFonts w:eastAsia="Times New Roman"/>
        </w:rPr>
        <w:t xml:space="preserve"> </w:t>
      </w:r>
      <w:r w:rsidR="005C36B3" w:rsidRPr="00E70FC8">
        <w:rPr>
          <w:rFonts w:eastAsia="Times New Roman"/>
        </w:rPr>
        <w:t>4</w:t>
      </w:r>
      <w:r w:rsidRPr="00E70FC8">
        <w:rPr>
          <w:rFonts w:eastAsia="Times New Roman"/>
        </w:rPr>
        <w:t xml:space="preserve"> show the compressive strengths </w:t>
      </w:r>
      <w:r w:rsidR="00B17F8F" w:rsidRPr="00E70FC8">
        <w:t>obtained from specimens that were partially replaced with AHS. Replacements of up to 10% achieved the study’s target characteristic strengths (</w:t>
      </w:r>
      <w:proofErr w:type="spellStart"/>
      <w:r w:rsidR="00B17F8F" w:rsidRPr="00E70FC8">
        <w:t>f</w:t>
      </w:r>
      <w:r w:rsidR="00B17F8F" w:rsidRPr="00E70FC8">
        <w:rPr>
          <w:sz w:val="13"/>
          <w:szCs w:val="13"/>
        </w:rPr>
        <w:t>cu</w:t>
      </w:r>
      <w:proofErr w:type="spellEnd"/>
      <w:r w:rsidR="00B17F8F" w:rsidRPr="00E70FC8">
        <w:t>) of concrete grade C40 or mean strengths (</w:t>
      </w:r>
      <w:proofErr w:type="spellStart"/>
      <w:r w:rsidR="00B17F8F" w:rsidRPr="00E70FC8">
        <w:t>f</w:t>
      </w:r>
      <w:r w:rsidR="00B17F8F" w:rsidRPr="00E70FC8">
        <w:rPr>
          <w:sz w:val="13"/>
          <w:szCs w:val="13"/>
        </w:rPr>
        <w:t>cm</w:t>
      </w:r>
      <w:proofErr w:type="spellEnd"/>
      <w:r w:rsidR="00B17F8F" w:rsidRPr="00E70FC8">
        <w:t>) of 48N/mm</w:t>
      </w:r>
      <w:r w:rsidR="00B17F8F" w:rsidRPr="00E70FC8">
        <w:rPr>
          <w:sz w:val="13"/>
          <w:szCs w:val="13"/>
        </w:rPr>
        <w:t>2</w:t>
      </w:r>
      <w:r w:rsidR="00B17F8F" w:rsidRPr="00E70FC8">
        <w:t>, which is listed by [42] as being suitable for structural applications. However, the 15% to 30% replacements also achieved impressive strengths that were above the minimum grade C25 that is also listed among the classes that are suitable for structural applications by [42].</w:t>
      </w:r>
    </w:p>
    <w:p w14:paraId="2DA7DEDE" w14:textId="77777777" w:rsidR="003819D6" w:rsidRPr="00E70FC8" w:rsidRDefault="003819D6" w:rsidP="00B1371A">
      <w:pPr>
        <w:pStyle w:val="Text"/>
        <w:rPr>
          <w:rFonts w:eastAsia="Times New Roman"/>
          <w:noProof/>
        </w:rPr>
      </w:pPr>
    </w:p>
    <w:p w14:paraId="1C1DC8C3" w14:textId="77777777" w:rsidR="003819D6" w:rsidRPr="00E70FC8" w:rsidRDefault="003819D6" w:rsidP="00B1371A">
      <w:pPr>
        <w:pStyle w:val="Text"/>
        <w:rPr>
          <w:rFonts w:eastAsia="Times New Roman"/>
          <w:noProof/>
        </w:rPr>
      </w:pPr>
    </w:p>
    <w:p w14:paraId="30994A0E" w14:textId="06169B09" w:rsidR="00B1371A" w:rsidRPr="00E70FC8" w:rsidRDefault="00B1371A" w:rsidP="00B1371A">
      <w:pPr>
        <w:pStyle w:val="TableTitle"/>
      </w:pPr>
      <w:r w:rsidRPr="00E70FC8">
        <w:t>Table</w:t>
      </w:r>
      <w:r w:rsidR="00B17F8F" w:rsidRPr="00E70FC8">
        <w:t>1</w:t>
      </w:r>
      <w:r w:rsidRPr="00E70FC8">
        <w:t xml:space="preserve"> </w:t>
      </w:r>
      <w:r w:rsidR="00B17F8F" w:rsidRPr="00E70FC8">
        <w:t>I</w:t>
      </w:r>
      <w:r w:rsidRPr="00E70FC8">
        <w:t xml:space="preserve">V. Compressive strengths of </w:t>
      </w:r>
      <w:r w:rsidR="00B17F8F" w:rsidRPr="00E70FC8">
        <w:t xml:space="preserve">AHS Specimen </w:t>
      </w:r>
      <w:r w:rsidRPr="00E70FC8">
        <w:t>(N/mm</w:t>
      </w:r>
      <w:r w:rsidRPr="00E70FC8">
        <w:rPr>
          <w:vertAlign w:val="superscript"/>
        </w:rPr>
        <w:t>2</w:t>
      </w:r>
      <w:r w:rsidRPr="00E70FC8">
        <w:t>)</w:t>
      </w:r>
    </w:p>
    <w:tbl>
      <w:tblPr>
        <w:tblW w:w="5124" w:type="dxa"/>
        <w:tblInd w:w="93" w:type="dxa"/>
        <w:tblLayout w:type="fixed"/>
        <w:tblLook w:val="04A0" w:firstRow="1" w:lastRow="0" w:firstColumn="1" w:lastColumn="0" w:noHBand="0" w:noVBand="1"/>
      </w:tblPr>
      <w:tblGrid>
        <w:gridCol w:w="651"/>
        <w:gridCol w:w="510"/>
        <w:gridCol w:w="510"/>
        <w:gridCol w:w="641"/>
        <w:gridCol w:w="510"/>
        <w:gridCol w:w="641"/>
        <w:gridCol w:w="510"/>
        <w:gridCol w:w="510"/>
        <w:gridCol w:w="635"/>
        <w:gridCol w:w="6"/>
      </w:tblGrid>
      <w:tr w:rsidR="00B1371A" w:rsidRPr="00E70FC8" w14:paraId="73507FB9" w14:textId="77777777" w:rsidTr="00B1371A">
        <w:trPr>
          <w:gridAfter w:val="1"/>
          <w:wAfter w:w="6" w:type="dxa"/>
          <w:trHeight w:val="254"/>
        </w:trPr>
        <w:tc>
          <w:tcPr>
            <w:tcW w:w="651" w:type="dxa"/>
            <w:vMerge w:val="restart"/>
            <w:tcBorders>
              <w:top w:val="double" w:sz="6" w:space="0" w:color="auto"/>
              <w:left w:val="nil"/>
              <w:bottom w:val="single" w:sz="4" w:space="0" w:color="auto"/>
              <w:right w:val="nil"/>
            </w:tcBorders>
            <w:shd w:val="clear" w:color="auto" w:fill="auto"/>
            <w:noWrap/>
            <w:vAlign w:val="center"/>
            <w:hideMark/>
          </w:tcPr>
          <w:p w14:paraId="6DFECF34" w14:textId="70EA6B76" w:rsidR="00B1371A" w:rsidRPr="00E70FC8" w:rsidRDefault="00B17F8F" w:rsidP="00B1371A">
            <w:pPr>
              <w:autoSpaceDE/>
              <w:autoSpaceDN/>
              <w:jc w:val="center"/>
              <w:rPr>
                <w:rFonts w:eastAsia="Times New Roman"/>
                <w:sz w:val="16"/>
                <w:szCs w:val="16"/>
                <w:lang w:val="en-GB"/>
              </w:rPr>
            </w:pPr>
            <w:r w:rsidRPr="00E70FC8">
              <w:rPr>
                <w:rFonts w:eastAsia="Times New Roman"/>
                <w:sz w:val="16"/>
                <w:szCs w:val="16"/>
                <w:lang w:val="en-GB"/>
              </w:rPr>
              <w:t xml:space="preserve">Curing </w:t>
            </w:r>
            <w:r w:rsidR="00B1371A" w:rsidRPr="00E70FC8">
              <w:rPr>
                <w:rFonts w:eastAsia="Times New Roman"/>
                <w:sz w:val="16"/>
                <w:szCs w:val="16"/>
                <w:lang w:val="en-GB"/>
              </w:rPr>
              <w:t>Age (days)</w:t>
            </w:r>
          </w:p>
        </w:tc>
        <w:tc>
          <w:tcPr>
            <w:tcW w:w="4467" w:type="dxa"/>
            <w:gridSpan w:val="8"/>
            <w:tcBorders>
              <w:top w:val="double" w:sz="6" w:space="0" w:color="auto"/>
              <w:left w:val="nil"/>
              <w:bottom w:val="single" w:sz="4" w:space="0" w:color="auto"/>
              <w:right w:val="nil"/>
            </w:tcBorders>
            <w:shd w:val="clear" w:color="auto" w:fill="auto"/>
            <w:noWrap/>
            <w:vAlign w:val="center"/>
            <w:hideMark/>
          </w:tcPr>
          <w:p w14:paraId="635FF540" w14:textId="77777777" w:rsidR="00B1371A" w:rsidRPr="00E70FC8" w:rsidRDefault="00B1371A" w:rsidP="00B1371A">
            <w:pPr>
              <w:autoSpaceDE/>
              <w:autoSpaceDN/>
              <w:jc w:val="center"/>
              <w:rPr>
                <w:rFonts w:eastAsia="Times New Roman"/>
                <w:sz w:val="16"/>
                <w:szCs w:val="16"/>
                <w:lang w:val="en-GB"/>
              </w:rPr>
            </w:pPr>
            <w:r w:rsidRPr="00E70FC8">
              <w:rPr>
                <w:rFonts w:eastAsia="Times New Roman"/>
                <w:sz w:val="16"/>
                <w:szCs w:val="16"/>
                <w:lang w:val="en-GB"/>
              </w:rPr>
              <w:t>Compressive strengths at percentage replacements (N/mm</w:t>
            </w:r>
            <w:r w:rsidRPr="00E70FC8">
              <w:rPr>
                <w:rFonts w:eastAsia="Times New Roman"/>
                <w:sz w:val="16"/>
                <w:szCs w:val="16"/>
                <w:vertAlign w:val="superscript"/>
                <w:lang w:val="en-GB"/>
              </w:rPr>
              <w:t>2</w:t>
            </w:r>
            <w:r w:rsidRPr="00E70FC8">
              <w:rPr>
                <w:rFonts w:eastAsia="Times New Roman"/>
                <w:sz w:val="16"/>
                <w:szCs w:val="16"/>
                <w:lang w:val="en-GB"/>
              </w:rPr>
              <w:t>)</w:t>
            </w:r>
          </w:p>
        </w:tc>
      </w:tr>
      <w:tr w:rsidR="00B1371A" w:rsidRPr="00E70FC8" w14:paraId="5D26DF4F" w14:textId="77777777" w:rsidTr="00B1371A">
        <w:trPr>
          <w:trHeight w:val="239"/>
        </w:trPr>
        <w:tc>
          <w:tcPr>
            <w:tcW w:w="651" w:type="dxa"/>
            <w:vMerge/>
            <w:tcBorders>
              <w:top w:val="double" w:sz="6" w:space="0" w:color="auto"/>
              <w:left w:val="nil"/>
              <w:bottom w:val="single" w:sz="4" w:space="0" w:color="auto"/>
              <w:right w:val="nil"/>
            </w:tcBorders>
            <w:vAlign w:val="center"/>
            <w:hideMark/>
          </w:tcPr>
          <w:p w14:paraId="7240D67D" w14:textId="77777777" w:rsidR="00B1371A" w:rsidRPr="00E70FC8" w:rsidRDefault="00B1371A" w:rsidP="00B1371A">
            <w:pPr>
              <w:autoSpaceDE/>
              <w:autoSpaceDN/>
              <w:rPr>
                <w:rFonts w:eastAsia="Times New Roman"/>
                <w:sz w:val="16"/>
                <w:szCs w:val="16"/>
                <w:lang w:val="en-GB"/>
              </w:rPr>
            </w:pPr>
          </w:p>
        </w:tc>
        <w:tc>
          <w:tcPr>
            <w:tcW w:w="510" w:type="dxa"/>
            <w:tcBorders>
              <w:top w:val="nil"/>
              <w:left w:val="nil"/>
              <w:bottom w:val="single" w:sz="4" w:space="0" w:color="auto"/>
              <w:right w:val="nil"/>
            </w:tcBorders>
            <w:shd w:val="clear" w:color="auto" w:fill="auto"/>
            <w:noWrap/>
            <w:vAlign w:val="center"/>
            <w:hideMark/>
          </w:tcPr>
          <w:p w14:paraId="3C716409" w14:textId="77777777" w:rsidR="00B1371A" w:rsidRPr="00E70FC8" w:rsidRDefault="00B1371A" w:rsidP="00B1371A">
            <w:pPr>
              <w:autoSpaceDE/>
              <w:autoSpaceDN/>
              <w:jc w:val="center"/>
              <w:rPr>
                <w:rFonts w:eastAsia="Times New Roman"/>
                <w:sz w:val="16"/>
                <w:szCs w:val="16"/>
                <w:lang w:val="en-GB"/>
              </w:rPr>
            </w:pPr>
            <w:r w:rsidRPr="00E70FC8">
              <w:rPr>
                <w:rFonts w:eastAsia="Times New Roman"/>
                <w:sz w:val="16"/>
                <w:szCs w:val="16"/>
                <w:lang w:val="en-GB"/>
              </w:rPr>
              <w:t>0%</w:t>
            </w:r>
          </w:p>
        </w:tc>
        <w:tc>
          <w:tcPr>
            <w:tcW w:w="510" w:type="dxa"/>
            <w:tcBorders>
              <w:top w:val="nil"/>
              <w:left w:val="nil"/>
              <w:bottom w:val="single" w:sz="4" w:space="0" w:color="auto"/>
              <w:right w:val="nil"/>
            </w:tcBorders>
            <w:shd w:val="clear" w:color="auto" w:fill="auto"/>
            <w:noWrap/>
            <w:vAlign w:val="center"/>
            <w:hideMark/>
          </w:tcPr>
          <w:p w14:paraId="65177307" w14:textId="77777777" w:rsidR="00B1371A" w:rsidRPr="00E70FC8" w:rsidRDefault="00B1371A" w:rsidP="00B1371A">
            <w:pPr>
              <w:autoSpaceDE/>
              <w:autoSpaceDN/>
              <w:jc w:val="center"/>
              <w:rPr>
                <w:rFonts w:eastAsia="Times New Roman"/>
                <w:sz w:val="16"/>
                <w:szCs w:val="16"/>
                <w:lang w:val="en-GB"/>
              </w:rPr>
            </w:pPr>
            <w:r w:rsidRPr="00E70FC8">
              <w:rPr>
                <w:rFonts w:eastAsia="Times New Roman"/>
                <w:sz w:val="16"/>
                <w:szCs w:val="16"/>
                <w:lang w:val="en-GB"/>
              </w:rPr>
              <w:t>5%</w:t>
            </w:r>
          </w:p>
        </w:tc>
        <w:tc>
          <w:tcPr>
            <w:tcW w:w="641" w:type="dxa"/>
            <w:tcBorders>
              <w:top w:val="nil"/>
              <w:left w:val="nil"/>
              <w:bottom w:val="single" w:sz="4" w:space="0" w:color="auto"/>
              <w:right w:val="nil"/>
            </w:tcBorders>
            <w:shd w:val="clear" w:color="auto" w:fill="auto"/>
            <w:noWrap/>
            <w:vAlign w:val="center"/>
            <w:hideMark/>
          </w:tcPr>
          <w:p w14:paraId="4FA4B181" w14:textId="1C1A1B62" w:rsidR="00B1371A" w:rsidRPr="00E70FC8" w:rsidRDefault="00B1371A" w:rsidP="00B1371A">
            <w:pPr>
              <w:autoSpaceDE/>
              <w:autoSpaceDN/>
              <w:jc w:val="center"/>
              <w:rPr>
                <w:rFonts w:eastAsia="Times New Roman"/>
                <w:sz w:val="16"/>
                <w:szCs w:val="16"/>
                <w:lang w:val="en-GB"/>
              </w:rPr>
            </w:pPr>
            <w:r w:rsidRPr="00E70FC8">
              <w:rPr>
                <w:rFonts w:eastAsia="Times New Roman"/>
                <w:sz w:val="16"/>
                <w:szCs w:val="16"/>
                <w:lang w:val="en-GB"/>
              </w:rPr>
              <w:t>7.5%</w:t>
            </w:r>
          </w:p>
        </w:tc>
        <w:tc>
          <w:tcPr>
            <w:tcW w:w="510" w:type="dxa"/>
            <w:tcBorders>
              <w:top w:val="nil"/>
              <w:left w:val="nil"/>
              <w:bottom w:val="single" w:sz="4" w:space="0" w:color="auto"/>
              <w:right w:val="nil"/>
            </w:tcBorders>
            <w:shd w:val="clear" w:color="auto" w:fill="auto"/>
            <w:noWrap/>
            <w:vAlign w:val="center"/>
            <w:hideMark/>
          </w:tcPr>
          <w:p w14:paraId="7C3A7328" w14:textId="77777777" w:rsidR="00B1371A" w:rsidRPr="00E70FC8" w:rsidRDefault="00B1371A" w:rsidP="00B1371A">
            <w:pPr>
              <w:autoSpaceDE/>
              <w:autoSpaceDN/>
              <w:jc w:val="center"/>
              <w:rPr>
                <w:rFonts w:eastAsia="Times New Roman"/>
                <w:sz w:val="16"/>
                <w:szCs w:val="16"/>
                <w:lang w:val="en-GB"/>
              </w:rPr>
            </w:pPr>
            <w:r w:rsidRPr="00E70FC8">
              <w:rPr>
                <w:rFonts w:eastAsia="Times New Roman"/>
                <w:sz w:val="16"/>
                <w:szCs w:val="16"/>
                <w:lang w:val="en-GB"/>
              </w:rPr>
              <w:t>10%</w:t>
            </w:r>
          </w:p>
        </w:tc>
        <w:tc>
          <w:tcPr>
            <w:tcW w:w="641" w:type="dxa"/>
            <w:tcBorders>
              <w:top w:val="nil"/>
              <w:left w:val="nil"/>
              <w:bottom w:val="single" w:sz="4" w:space="0" w:color="auto"/>
              <w:right w:val="nil"/>
            </w:tcBorders>
            <w:shd w:val="clear" w:color="auto" w:fill="auto"/>
            <w:noWrap/>
            <w:vAlign w:val="center"/>
            <w:hideMark/>
          </w:tcPr>
          <w:p w14:paraId="6960C8CE" w14:textId="77777777" w:rsidR="00B1371A" w:rsidRPr="00E70FC8" w:rsidRDefault="00B1371A" w:rsidP="00B1371A">
            <w:pPr>
              <w:autoSpaceDE/>
              <w:autoSpaceDN/>
              <w:jc w:val="center"/>
              <w:rPr>
                <w:rFonts w:eastAsia="Times New Roman"/>
                <w:sz w:val="16"/>
                <w:szCs w:val="16"/>
                <w:lang w:val="en-GB"/>
              </w:rPr>
            </w:pPr>
            <w:r w:rsidRPr="00E70FC8">
              <w:rPr>
                <w:rFonts w:eastAsia="Times New Roman"/>
                <w:sz w:val="16"/>
                <w:szCs w:val="16"/>
                <w:lang w:val="en-GB"/>
              </w:rPr>
              <w:t>15%</w:t>
            </w:r>
          </w:p>
        </w:tc>
        <w:tc>
          <w:tcPr>
            <w:tcW w:w="510" w:type="dxa"/>
            <w:tcBorders>
              <w:top w:val="nil"/>
              <w:left w:val="nil"/>
              <w:bottom w:val="single" w:sz="4" w:space="0" w:color="auto"/>
              <w:right w:val="nil"/>
            </w:tcBorders>
            <w:shd w:val="clear" w:color="auto" w:fill="auto"/>
            <w:noWrap/>
            <w:vAlign w:val="center"/>
            <w:hideMark/>
          </w:tcPr>
          <w:p w14:paraId="410469AB" w14:textId="77777777" w:rsidR="00B1371A" w:rsidRPr="00E70FC8" w:rsidRDefault="00B1371A" w:rsidP="00B1371A">
            <w:pPr>
              <w:autoSpaceDE/>
              <w:autoSpaceDN/>
              <w:jc w:val="center"/>
              <w:rPr>
                <w:rFonts w:eastAsia="Times New Roman"/>
                <w:sz w:val="16"/>
                <w:szCs w:val="16"/>
                <w:lang w:val="en-GB"/>
              </w:rPr>
            </w:pPr>
            <w:r w:rsidRPr="00E70FC8">
              <w:rPr>
                <w:rFonts w:eastAsia="Times New Roman"/>
                <w:sz w:val="16"/>
                <w:szCs w:val="16"/>
                <w:lang w:val="en-GB"/>
              </w:rPr>
              <w:t>20%</w:t>
            </w:r>
          </w:p>
        </w:tc>
        <w:tc>
          <w:tcPr>
            <w:tcW w:w="510" w:type="dxa"/>
            <w:tcBorders>
              <w:top w:val="nil"/>
              <w:left w:val="nil"/>
              <w:bottom w:val="single" w:sz="4" w:space="0" w:color="auto"/>
              <w:right w:val="nil"/>
            </w:tcBorders>
            <w:shd w:val="clear" w:color="auto" w:fill="auto"/>
            <w:noWrap/>
            <w:vAlign w:val="center"/>
            <w:hideMark/>
          </w:tcPr>
          <w:p w14:paraId="61568F00" w14:textId="77777777" w:rsidR="00B1371A" w:rsidRPr="00E70FC8" w:rsidRDefault="00B1371A" w:rsidP="00B1371A">
            <w:pPr>
              <w:autoSpaceDE/>
              <w:autoSpaceDN/>
              <w:jc w:val="center"/>
              <w:rPr>
                <w:rFonts w:eastAsia="Times New Roman"/>
                <w:sz w:val="16"/>
                <w:szCs w:val="16"/>
                <w:lang w:val="en-GB"/>
              </w:rPr>
            </w:pPr>
            <w:r w:rsidRPr="00E70FC8">
              <w:rPr>
                <w:rFonts w:eastAsia="Times New Roman"/>
                <w:sz w:val="16"/>
                <w:szCs w:val="16"/>
                <w:lang w:val="en-GB"/>
              </w:rPr>
              <w:t>25%</w:t>
            </w:r>
          </w:p>
        </w:tc>
        <w:tc>
          <w:tcPr>
            <w:tcW w:w="641" w:type="dxa"/>
            <w:gridSpan w:val="2"/>
            <w:tcBorders>
              <w:top w:val="nil"/>
              <w:left w:val="nil"/>
              <w:bottom w:val="single" w:sz="4" w:space="0" w:color="auto"/>
              <w:right w:val="nil"/>
            </w:tcBorders>
            <w:shd w:val="clear" w:color="auto" w:fill="auto"/>
            <w:noWrap/>
            <w:vAlign w:val="center"/>
            <w:hideMark/>
          </w:tcPr>
          <w:p w14:paraId="50B8D096" w14:textId="77777777" w:rsidR="00B1371A" w:rsidRPr="00E70FC8" w:rsidRDefault="00B1371A" w:rsidP="00B1371A">
            <w:pPr>
              <w:autoSpaceDE/>
              <w:autoSpaceDN/>
              <w:jc w:val="center"/>
              <w:rPr>
                <w:rFonts w:eastAsia="Times New Roman"/>
                <w:sz w:val="16"/>
                <w:szCs w:val="16"/>
                <w:lang w:val="en-GB"/>
              </w:rPr>
            </w:pPr>
            <w:r w:rsidRPr="00E70FC8">
              <w:rPr>
                <w:rFonts w:eastAsia="Times New Roman"/>
                <w:sz w:val="16"/>
                <w:szCs w:val="16"/>
                <w:lang w:val="en-GB"/>
              </w:rPr>
              <w:t>30%</w:t>
            </w:r>
          </w:p>
        </w:tc>
      </w:tr>
      <w:tr w:rsidR="00E70FC8" w:rsidRPr="00E70FC8" w14:paraId="15F3F5B2" w14:textId="77777777" w:rsidTr="00EC7D46">
        <w:trPr>
          <w:trHeight w:val="239"/>
        </w:trPr>
        <w:tc>
          <w:tcPr>
            <w:tcW w:w="651" w:type="dxa"/>
            <w:tcBorders>
              <w:top w:val="nil"/>
              <w:left w:val="nil"/>
              <w:bottom w:val="single" w:sz="4" w:space="0" w:color="auto"/>
              <w:right w:val="nil"/>
            </w:tcBorders>
            <w:shd w:val="clear" w:color="auto" w:fill="auto"/>
            <w:noWrap/>
            <w:vAlign w:val="center"/>
            <w:hideMark/>
          </w:tcPr>
          <w:p w14:paraId="3751CB37" w14:textId="77777777" w:rsidR="00B1371A" w:rsidRPr="00E70FC8" w:rsidRDefault="00B1371A" w:rsidP="00B1371A">
            <w:pPr>
              <w:autoSpaceDE/>
              <w:autoSpaceDN/>
              <w:jc w:val="center"/>
              <w:rPr>
                <w:rFonts w:eastAsia="Times New Roman"/>
                <w:sz w:val="16"/>
                <w:szCs w:val="16"/>
                <w:lang w:val="en-GB"/>
              </w:rPr>
            </w:pPr>
            <w:r w:rsidRPr="00E70FC8">
              <w:rPr>
                <w:rFonts w:eastAsia="Times New Roman"/>
                <w:sz w:val="16"/>
                <w:szCs w:val="16"/>
                <w:lang w:val="en-GB"/>
              </w:rPr>
              <w:t>7</w:t>
            </w:r>
          </w:p>
        </w:tc>
        <w:tc>
          <w:tcPr>
            <w:tcW w:w="510" w:type="dxa"/>
            <w:tcBorders>
              <w:top w:val="nil"/>
              <w:left w:val="nil"/>
              <w:bottom w:val="single" w:sz="4" w:space="0" w:color="auto"/>
              <w:right w:val="nil"/>
            </w:tcBorders>
            <w:shd w:val="clear" w:color="auto" w:fill="auto"/>
            <w:noWrap/>
            <w:vAlign w:val="center"/>
            <w:hideMark/>
          </w:tcPr>
          <w:p w14:paraId="57EDDDF0" w14:textId="77777777" w:rsidR="00B1371A" w:rsidRPr="00E70FC8" w:rsidRDefault="00B1371A" w:rsidP="00B1371A">
            <w:pPr>
              <w:autoSpaceDE/>
              <w:autoSpaceDN/>
              <w:jc w:val="center"/>
              <w:rPr>
                <w:rFonts w:eastAsia="Times New Roman"/>
                <w:sz w:val="16"/>
                <w:szCs w:val="16"/>
                <w:lang w:val="en-GB"/>
              </w:rPr>
            </w:pPr>
            <w:r w:rsidRPr="00E70FC8">
              <w:rPr>
                <w:rFonts w:eastAsia="Times New Roman"/>
                <w:sz w:val="16"/>
                <w:szCs w:val="16"/>
                <w:lang w:val="en-GB"/>
              </w:rPr>
              <w:t>56.2</w:t>
            </w:r>
          </w:p>
        </w:tc>
        <w:tc>
          <w:tcPr>
            <w:tcW w:w="510" w:type="dxa"/>
            <w:tcBorders>
              <w:top w:val="nil"/>
              <w:left w:val="nil"/>
              <w:bottom w:val="single" w:sz="4" w:space="0" w:color="auto"/>
              <w:right w:val="nil"/>
            </w:tcBorders>
            <w:shd w:val="clear" w:color="auto" w:fill="auto"/>
            <w:noWrap/>
            <w:vAlign w:val="center"/>
            <w:hideMark/>
          </w:tcPr>
          <w:p w14:paraId="5B681BAC" w14:textId="11DD130C" w:rsidR="00B1371A" w:rsidRPr="00E70FC8" w:rsidRDefault="00B1371A" w:rsidP="00B17F8F">
            <w:pPr>
              <w:autoSpaceDE/>
              <w:autoSpaceDN/>
              <w:jc w:val="center"/>
              <w:rPr>
                <w:rFonts w:eastAsia="Times New Roman"/>
                <w:sz w:val="16"/>
                <w:szCs w:val="16"/>
                <w:lang w:val="en-GB"/>
              </w:rPr>
            </w:pPr>
            <w:r w:rsidRPr="00E70FC8">
              <w:rPr>
                <w:rFonts w:eastAsia="Times New Roman"/>
                <w:sz w:val="16"/>
                <w:szCs w:val="16"/>
                <w:lang w:val="en-GB"/>
              </w:rPr>
              <w:t>4</w:t>
            </w:r>
            <w:r w:rsidR="00B17F8F" w:rsidRPr="00E70FC8">
              <w:rPr>
                <w:rFonts w:eastAsia="Times New Roman"/>
                <w:sz w:val="16"/>
                <w:szCs w:val="16"/>
                <w:lang w:val="en-GB"/>
              </w:rPr>
              <w:t>0</w:t>
            </w:r>
            <w:r w:rsidRPr="00E70FC8">
              <w:rPr>
                <w:rFonts w:eastAsia="Times New Roman"/>
                <w:sz w:val="16"/>
                <w:szCs w:val="16"/>
                <w:lang w:val="en-GB"/>
              </w:rPr>
              <w:t>.4</w:t>
            </w:r>
          </w:p>
        </w:tc>
        <w:tc>
          <w:tcPr>
            <w:tcW w:w="641" w:type="dxa"/>
            <w:tcBorders>
              <w:top w:val="nil"/>
              <w:left w:val="nil"/>
              <w:bottom w:val="single" w:sz="4" w:space="0" w:color="auto"/>
              <w:right w:val="nil"/>
            </w:tcBorders>
            <w:shd w:val="clear" w:color="auto" w:fill="auto"/>
            <w:noWrap/>
            <w:vAlign w:val="center"/>
            <w:hideMark/>
          </w:tcPr>
          <w:p w14:paraId="43FA8D5F" w14:textId="616D2EB5" w:rsidR="00B1371A" w:rsidRPr="00E70FC8" w:rsidRDefault="00B17F8F" w:rsidP="00B17F8F">
            <w:pPr>
              <w:autoSpaceDE/>
              <w:autoSpaceDN/>
              <w:jc w:val="center"/>
              <w:rPr>
                <w:rFonts w:eastAsia="Times New Roman"/>
                <w:sz w:val="16"/>
                <w:szCs w:val="16"/>
                <w:lang w:val="en-GB"/>
              </w:rPr>
            </w:pPr>
            <w:r w:rsidRPr="00E70FC8">
              <w:rPr>
                <w:rFonts w:eastAsia="Times New Roman"/>
                <w:sz w:val="16"/>
                <w:szCs w:val="16"/>
                <w:lang w:val="en-GB"/>
              </w:rPr>
              <w:t>40.3</w:t>
            </w:r>
          </w:p>
        </w:tc>
        <w:tc>
          <w:tcPr>
            <w:tcW w:w="510" w:type="dxa"/>
            <w:tcBorders>
              <w:top w:val="nil"/>
              <w:left w:val="nil"/>
              <w:bottom w:val="single" w:sz="4" w:space="0" w:color="auto"/>
              <w:right w:val="nil"/>
            </w:tcBorders>
            <w:shd w:val="clear" w:color="auto" w:fill="auto"/>
            <w:noWrap/>
            <w:vAlign w:val="center"/>
            <w:hideMark/>
          </w:tcPr>
          <w:p w14:paraId="7E0E40F6" w14:textId="73FE5B0F" w:rsidR="00B1371A" w:rsidRPr="00E70FC8" w:rsidRDefault="00B17F8F" w:rsidP="00EC7D46">
            <w:pPr>
              <w:autoSpaceDE/>
              <w:autoSpaceDN/>
              <w:jc w:val="center"/>
              <w:rPr>
                <w:rFonts w:eastAsia="Times New Roman"/>
                <w:sz w:val="16"/>
                <w:szCs w:val="16"/>
                <w:lang w:val="en-GB"/>
              </w:rPr>
            </w:pPr>
            <w:r w:rsidRPr="00E70FC8">
              <w:rPr>
                <w:rFonts w:eastAsia="Times New Roman"/>
                <w:sz w:val="16"/>
                <w:szCs w:val="16"/>
                <w:lang w:val="en-GB"/>
              </w:rPr>
              <w:t>38</w:t>
            </w:r>
            <w:r w:rsidR="00B1371A" w:rsidRPr="00E70FC8">
              <w:rPr>
                <w:rFonts w:eastAsia="Times New Roman"/>
                <w:sz w:val="16"/>
                <w:szCs w:val="16"/>
                <w:lang w:val="en-GB"/>
              </w:rPr>
              <w:t>.</w:t>
            </w:r>
            <w:r w:rsidR="00EC7D46" w:rsidRPr="00E70FC8">
              <w:rPr>
                <w:rFonts w:eastAsia="Times New Roman"/>
                <w:sz w:val="16"/>
                <w:szCs w:val="16"/>
                <w:lang w:val="en-GB"/>
              </w:rPr>
              <w:t>1</w:t>
            </w:r>
          </w:p>
        </w:tc>
        <w:tc>
          <w:tcPr>
            <w:tcW w:w="641" w:type="dxa"/>
            <w:tcBorders>
              <w:top w:val="nil"/>
              <w:left w:val="nil"/>
              <w:bottom w:val="single" w:sz="4" w:space="0" w:color="auto"/>
              <w:right w:val="nil"/>
            </w:tcBorders>
            <w:shd w:val="clear" w:color="auto" w:fill="auto"/>
            <w:noWrap/>
            <w:vAlign w:val="center"/>
            <w:hideMark/>
          </w:tcPr>
          <w:p w14:paraId="03DF1A34" w14:textId="46CFAB42" w:rsidR="00B1371A" w:rsidRPr="00E70FC8" w:rsidRDefault="00B1371A" w:rsidP="00EC7D46">
            <w:pPr>
              <w:autoSpaceDE/>
              <w:autoSpaceDN/>
              <w:jc w:val="center"/>
              <w:rPr>
                <w:rFonts w:eastAsia="Times New Roman"/>
                <w:sz w:val="16"/>
                <w:szCs w:val="16"/>
                <w:lang w:val="en-GB"/>
              </w:rPr>
            </w:pPr>
            <w:r w:rsidRPr="00E70FC8">
              <w:rPr>
                <w:rFonts w:eastAsia="Times New Roman"/>
                <w:sz w:val="16"/>
                <w:szCs w:val="16"/>
                <w:lang w:val="en-GB"/>
              </w:rPr>
              <w:t>3</w:t>
            </w:r>
            <w:r w:rsidR="00EC7D46" w:rsidRPr="00E70FC8">
              <w:rPr>
                <w:rFonts w:eastAsia="Times New Roman"/>
                <w:sz w:val="16"/>
                <w:szCs w:val="16"/>
                <w:lang w:val="en-GB"/>
              </w:rPr>
              <w:t>3</w:t>
            </w:r>
            <w:r w:rsidRPr="00E70FC8">
              <w:rPr>
                <w:rFonts w:eastAsia="Times New Roman"/>
                <w:sz w:val="16"/>
                <w:szCs w:val="16"/>
                <w:lang w:val="en-GB"/>
              </w:rPr>
              <w:t>.</w:t>
            </w:r>
            <w:r w:rsidR="00EC7D46" w:rsidRPr="00E70FC8">
              <w:rPr>
                <w:rFonts w:eastAsia="Times New Roman"/>
                <w:sz w:val="16"/>
                <w:szCs w:val="16"/>
                <w:lang w:val="en-GB"/>
              </w:rPr>
              <w:t>2</w:t>
            </w:r>
          </w:p>
        </w:tc>
        <w:tc>
          <w:tcPr>
            <w:tcW w:w="510" w:type="dxa"/>
            <w:tcBorders>
              <w:top w:val="nil"/>
              <w:left w:val="nil"/>
              <w:bottom w:val="single" w:sz="4" w:space="0" w:color="auto"/>
              <w:right w:val="nil"/>
            </w:tcBorders>
            <w:shd w:val="clear" w:color="auto" w:fill="auto"/>
            <w:noWrap/>
            <w:vAlign w:val="center"/>
          </w:tcPr>
          <w:p w14:paraId="20FCE1AF" w14:textId="5FAC9066" w:rsidR="00B1371A" w:rsidRPr="00E70FC8" w:rsidRDefault="00EC7D46" w:rsidP="00B1371A">
            <w:pPr>
              <w:autoSpaceDE/>
              <w:autoSpaceDN/>
              <w:jc w:val="center"/>
              <w:rPr>
                <w:rFonts w:eastAsia="Times New Roman"/>
                <w:sz w:val="16"/>
                <w:szCs w:val="16"/>
                <w:lang w:val="en-GB"/>
              </w:rPr>
            </w:pPr>
            <w:r w:rsidRPr="00E70FC8">
              <w:rPr>
                <w:rFonts w:eastAsia="Times New Roman"/>
                <w:sz w:val="16"/>
                <w:szCs w:val="16"/>
                <w:lang w:val="en-GB"/>
              </w:rPr>
              <w:t>32.6</w:t>
            </w:r>
          </w:p>
        </w:tc>
        <w:tc>
          <w:tcPr>
            <w:tcW w:w="510" w:type="dxa"/>
            <w:tcBorders>
              <w:top w:val="nil"/>
              <w:left w:val="nil"/>
              <w:bottom w:val="single" w:sz="4" w:space="0" w:color="auto"/>
              <w:right w:val="nil"/>
            </w:tcBorders>
            <w:shd w:val="clear" w:color="auto" w:fill="auto"/>
            <w:noWrap/>
            <w:vAlign w:val="center"/>
          </w:tcPr>
          <w:p w14:paraId="206AB12C" w14:textId="7B9F321B" w:rsidR="00B1371A" w:rsidRPr="00E70FC8" w:rsidRDefault="00EC7D46" w:rsidP="00B1371A">
            <w:pPr>
              <w:autoSpaceDE/>
              <w:autoSpaceDN/>
              <w:jc w:val="center"/>
              <w:rPr>
                <w:rFonts w:eastAsia="Times New Roman"/>
                <w:sz w:val="16"/>
                <w:szCs w:val="16"/>
                <w:lang w:val="en-GB"/>
              </w:rPr>
            </w:pPr>
            <w:r w:rsidRPr="00E70FC8">
              <w:rPr>
                <w:rFonts w:eastAsia="Times New Roman"/>
                <w:sz w:val="16"/>
                <w:szCs w:val="16"/>
                <w:lang w:val="en-GB"/>
              </w:rPr>
              <w:t>27.1</w:t>
            </w:r>
          </w:p>
        </w:tc>
        <w:tc>
          <w:tcPr>
            <w:tcW w:w="641" w:type="dxa"/>
            <w:gridSpan w:val="2"/>
            <w:tcBorders>
              <w:top w:val="nil"/>
              <w:left w:val="nil"/>
              <w:bottom w:val="single" w:sz="4" w:space="0" w:color="auto"/>
              <w:right w:val="nil"/>
            </w:tcBorders>
            <w:shd w:val="clear" w:color="auto" w:fill="auto"/>
            <w:noWrap/>
            <w:vAlign w:val="center"/>
          </w:tcPr>
          <w:p w14:paraId="381B9A1C" w14:textId="51DCB271" w:rsidR="00B1371A" w:rsidRPr="00E70FC8" w:rsidRDefault="00EC7D46" w:rsidP="00B1371A">
            <w:pPr>
              <w:autoSpaceDE/>
              <w:autoSpaceDN/>
              <w:jc w:val="center"/>
              <w:rPr>
                <w:rFonts w:eastAsia="Times New Roman"/>
                <w:sz w:val="16"/>
                <w:szCs w:val="16"/>
                <w:lang w:val="en-GB"/>
              </w:rPr>
            </w:pPr>
            <w:r w:rsidRPr="00E70FC8">
              <w:rPr>
                <w:rFonts w:eastAsia="Times New Roman"/>
                <w:sz w:val="16"/>
                <w:szCs w:val="16"/>
                <w:lang w:val="en-GB"/>
              </w:rPr>
              <w:t>22.3</w:t>
            </w:r>
          </w:p>
        </w:tc>
      </w:tr>
      <w:tr w:rsidR="00E70FC8" w:rsidRPr="00E70FC8" w14:paraId="21192857" w14:textId="77777777" w:rsidTr="00EC7D46">
        <w:trPr>
          <w:trHeight w:val="239"/>
        </w:trPr>
        <w:tc>
          <w:tcPr>
            <w:tcW w:w="651" w:type="dxa"/>
            <w:tcBorders>
              <w:top w:val="nil"/>
              <w:left w:val="nil"/>
              <w:bottom w:val="single" w:sz="4" w:space="0" w:color="auto"/>
              <w:right w:val="nil"/>
            </w:tcBorders>
            <w:shd w:val="clear" w:color="auto" w:fill="auto"/>
            <w:noWrap/>
            <w:vAlign w:val="center"/>
            <w:hideMark/>
          </w:tcPr>
          <w:p w14:paraId="4B25791E" w14:textId="77777777" w:rsidR="00B1371A" w:rsidRPr="00E70FC8" w:rsidRDefault="00B1371A" w:rsidP="00B1371A">
            <w:pPr>
              <w:autoSpaceDE/>
              <w:autoSpaceDN/>
              <w:jc w:val="center"/>
              <w:rPr>
                <w:rFonts w:eastAsia="Times New Roman"/>
                <w:sz w:val="16"/>
                <w:szCs w:val="16"/>
                <w:lang w:val="en-GB"/>
              </w:rPr>
            </w:pPr>
            <w:r w:rsidRPr="00E70FC8">
              <w:rPr>
                <w:rFonts w:eastAsia="Times New Roman"/>
                <w:sz w:val="16"/>
                <w:szCs w:val="16"/>
                <w:lang w:val="en-GB"/>
              </w:rPr>
              <w:t>28</w:t>
            </w:r>
          </w:p>
        </w:tc>
        <w:tc>
          <w:tcPr>
            <w:tcW w:w="510" w:type="dxa"/>
            <w:tcBorders>
              <w:top w:val="nil"/>
              <w:left w:val="nil"/>
              <w:bottom w:val="single" w:sz="4" w:space="0" w:color="auto"/>
              <w:right w:val="nil"/>
            </w:tcBorders>
            <w:shd w:val="clear" w:color="auto" w:fill="auto"/>
            <w:noWrap/>
            <w:vAlign w:val="center"/>
            <w:hideMark/>
          </w:tcPr>
          <w:p w14:paraId="77A44A5D" w14:textId="77777777" w:rsidR="00B1371A" w:rsidRPr="00E70FC8" w:rsidRDefault="00B1371A" w:rsidP="00B1371A">
            <w:pPr>
              <w:autoSpaceDE/>
              <w:autoSpaceDN/>
              <w:jc w:val="center"/>
              <w:rPr>
                <w:rFonts w:eastAsia="Times New Roman"/>
                <w:sz w:val="16"/>
                <w:szCs w:val="16"/>
                <w:lang w:val="en-GB"/>
              </w:rPr>
            </w:pPr>
            <w:r w:rsidRPr="00E70FC8">
              <w:rPr>
                <w:rFonts w:eastAsia="Times New Roman"/>
                <w:sz w:val="16"/>
                <w:szCs w:val="16"/>
                <w:lang w:val="en-GB"/>
              </w:rPr>
              <w:t>61.6</w:t>
            </w:r>
          </w:p>
        </w:tc>
        <w:tc>
          <w:tcPr>
            <w:tcW w:w="510" w:type="dxa"/>
            <w:tcBorders>
              <w:top w:val="nil"/>
              <w:left w:val="nil"/>
              <w:bottom w:val="single" w:sz="4" w:space="0" w:color="auto"/>
              <w:right w:val="nil"/>
            </w:tcBorders>
            <w:shd w:val="clear" w:color="auto" w:fill="auto"/>
            <w:noWrap/>
            <w:vAlign w:val="center"/>
          </w:tcPr>
          <w:p w14:paraId="74C5C326" w14:textId="38034031" w:rsidR="00B1371A" w:rsidRPr="00E70FC8" w:rsidRDefault="00EC7D46" w:rsidP="00B1371A">
            <w:pPr>
              <w:autoSpaceDE/>
              <w:autoSpaceDN/>
              <w:jc w:val="center"/>
              <w:rPr>
                <w:rFonts w:eastAsia="Times New Roman"/>
                <w:sz w:val="16"/>
                <w:szCs w:val="16"/>
                <w:lang w:val="en-GB"/>
              </w:rPr>
            </w:pPr>
            <w:r w:rsidRPr="00E70FC8">
              <w:rPr>
                <w:rFonts w:eastAsia="Times New Roman"/>
                <w:sz w:val="16"/>
                <w:szCs w:val="16"/>
                <w:lang w:val="en-GB"/>
              </w:rPr>
              <w:t>50.8</w:t>
            </w:r>
          </w:p>
        </w:tc>
        <w:tc>
          <w:tcPr>
            <w:tcW w:w="641" w:type="dxa"/>
            <w:tcBorders>
              <w:top w:val="nil"/>
              <w:left w:val="nil"/>
              <w:bottom w:val="single" w:sz="4" w:space="0" w:color="auto"/>
              <w:right w:val="nil"/>
            </w:tcBorders>
            <w:shd w:val="clear" w:color="auto" w:fill="auto"/>
            <w:noWrap/>
            <w:vAlign w:val="center"/>
          </w:tcPr>
          <w:p w14:paraId="61DC8243" w14:textId="17B83073" w:rsidR="00B1371A" w:rsidRPr="00E70FC8" w:rsidRDefault="00EC7D46" w:rsidP="00B1371A">
            <w:pPr>
              <w:autoSpaceDE/>
              <w:autoSpaceDN/>
              <w:jc w:val="center"/>
              <w:rPr>
                <w:rFonts w:eastAsia="Times New Roman"/>
                <w:sz w:val="16"/>
                <w:szCs w:val="16"/>
                <w:lang w:val="en-GB"/>
              </w:rPr>
            </w:pPr>
            <w:r w:rsidRPr="00E70FC8">
              <w:rPr>
                <w:rFonts w:eastAsia="Times New Roman"/>
                <w:sz w:val="16"/>
                <w:szCs w:val="16"/>
                <w:lang w:val="en-GB"/>
              </w:rPr>
              <w:t>53.4</w:t>
            </w:r>
          </w:p>
        </w:tc>
        <w:tc>
          <w:tcPr>
            <w:tcW w:w="510" w:type="dxa"/>
            <w:tcBorders>
              <w:top w:val="nil"/>
              <w:left w:val="nil"/>
              <w:bottom w:val="single" w:sz="4" w:space="0" w:color="auto"/>
              <w:right w:val="nil"/>
            </w:tcBorders>
            <w:shd w:val="clear" w:color="auto" w:fill="auto"/>
            <w:noWrap/>
            <w:vAlign w:val="center"/>
          </w:tcPr>
          <w:p w14:paraId="637E2F1C" w14:textId="55C26124" w:rsidR="00B1371A" w:rsidRPr="00E70FC8" w:rsidRDefault="00EC7D46" w:rsidP="00B1371A">
            <w:pPr>
              <w:autoSpaceDE/>
              <w:autoSpaceDN/>
              <w:jc w:val="center"/>
              <w:rPr>
                <w:rFonts w:eastAsia="Times New Roman"/>
                <w:sz w:val="16"/>
                <w:szCs w:val="16"/>
                <w:lang w:val="en-GB"/>
              </w:rPr>
            </w:pPr>
            <w:r w:rsidRPr="00E70FC8">
              <w:rPr>
                <w:rFonts w:eastAsia="Times New Roman"/>
                <w:sz w:val="16"/>
                <w:szCs w:val="16"/>
                <w:lang w:val="en-GB"/>
              </w:rPr>
              <w:t>46</w:t>
            </w:r>
          </w:p>
        </w:tc>
        <w:tc>
          <w:tcPr>
            <w:tcW w:w="641" w:type="dxa"/>
            <w:tcBorders>
              <w:top w:val="nil"/>
              <w:left w:val="nil"/>
              <w:bottom w:val="single" w:sz="4" w:space="0" w:color="auto"/>
              <w:right w:val="nil"/>
            </w:tcBorders>
            <w:shd w:val="clear" w:color="auto" w:fill="auto"/>
            <w:noWrap/>
            <w:vAlign w:val="center"/>
          </w:tcPr>
          <w:p w14:paraId="7AE23F27" w14:textId="72BC30A0" w:rsidR="00B1371A" w:rsidRPr="00E70FC8" w:rsidRDefault="00EC7D46" w:rsidP="00B1371A">
            <w:pPr>
              <w:autoSpaceDE/>
              <w:autoSpaceDN/>
              <w:jc w:val="center"/>
              <w:rPr>
                <w:rFonts w:eastAsia="Times New Roman"/>
                <w:sz w:val="16"/>
                <w:szCs w:val="16"/>
                <w:lang w:val="en-GB"/>
              </w:rPr>
            </w:pPr>
            <w:r w:rsidRPr="00E70FC8">
              <w:rPr>
                <w:rFonts w:eastAsia="Times New Roman"/>
                <w:sz w:val="16"/>
                <w:szCs w:val="16"/>
                <w:lang w:val="en-GB"/>
              </w:rPr>
              <w:t>43.4</w:t>
            </w:r>
          </w:p>
        </w:tc>
        <w:tc>
          <w:tcPr>
            <w:tcW w:w="510" w:type="dxa"/>
            <w:tcBorders>
              <w:top w:val="nil"/>
              <w:left w:val="nil"/>
              <w:bottom w:val="single" w:sz="4" w:space="0" w:color="auto"/>
              <w:right w:val="nil"/>
            </w:tcBorders>
            <w:shd w:val="clear" w:color="auto" w:fill="auto"/>
            <w:noWrap/>
            <w:vAlign w:val="center"/>
          </w:tcPr>
          <w:p w14:paraId="549DB048" w14:textId="1BFB5DF7" w:rsidR="00B1371A" w:rsidRPr="00E70FC8" w:rsidRDefault="00EC7D46" w:rsidP="00B1371A">
            <w:pPr>
              <w:autoSpaceDE/>
              <w:autoSpaceDN/>
              <w:jc w:val="center"/>
              <w:rPr>
                <w:rFonts w:eastAsia="Times New Roman"/>
                <w:sz w:val="16"/>
                <w:szCs w:val="16"/>
                <w:lang w:val="en-GB"/>
              </w:rPr>
            </w:pPr>
            <w:r w:rsidRPr="00E70FC8">
              <w:rPr>
                <w:rFonts w:eastAsia="Times New Roman"/>
                <w:sz w:val="16"/>
                <w:szCs w:val="16"/>
                <w:lang w:val="en-GB"/>
              </w:rPr>
              <w:t>38.7</w:t>
            </w:r>
          </w:p>
        </w:tc>
        <w:tc>
          <w:tcPr>
            <w:tcW w:w="510" w:type="dxa"/>
            <w:tcBorders>
              <w:top w:val="nil"/>
              <w:left w:val="nil"/>
              <w:bottom w:val="single" w:sz="4" w:space="0" w:color="auto"/>
              <w:right w:val="nil"/>
            </w:tcBorders>
            <w:shd w:val="clear" w:color="auto" w:fill="auto"/>
            <w:noWrap/>
            <w:vAlign w:val="center"/>
          </w:tcPr>
          <w:p w14:paraId="40809066" w14:textId="703F5EF5" w:rsidR="00B1371A" w:rsidRPr="00E70FC8" w:rsidRDefault="00EC7D46" w:rsidP="00B1371A">
            <w:pPr>
              <w:autoSpaceDE/>
              <w:autoSpaceDN/>
              <w:jc w:val="center"/>
              <w:rPr>
                <w:rFonts w:eastAsia="Times New Roman"/>
                <w:sz w:val="16"/>
                <w:szCs w:val="16"/>
                <w:lang w:val="en-GB"/>
              </w:rPr>
            </w:pPr>
            <w:r w:rsidRPr="00E70FC8">
              <w:rPr>
                <w:rFonts w:eastAsia="Times New Roman"/>
                <w:sz w:val="16"/>
                <w:szCs w:val="16"/>
                <w:lang w:val="en-GB"/>
              </w:rPr>
              <w:t>34.6</w:t>
            </w:r>
          </w:p>
        </w:tc>
        <w:tc>
          <w:tcPr>
            <w:tcW w:w="641" w:type="dxa"/>
            <w:gridSpan w:val="2"/>
            <w:tcBorders>
              <w:top w:val="nil"/>
              <w:left w:val="nil"/>
              <w:bottom w:val="single" w:sz="4" w:space="0" w:color="auto"/>
              <w:right w:val="nil"/>
            </w:tcBorders>
            <w:shd w:val="clear" w:color="auto" w:fill="auto"/>
            <w:noWrap/>
            <w:vAlign w:val="center"/>
          </w:tcPr>
          <w:p w14:paraId="1F307585" w14:textId="412A8CCC" w:rsidR="00B1371A" w:rsidRPr="00E70FC8" w:rsidRDefault="00EC7D46" w:rsidP="00B1371A">
            <w:pPr>
              <w:autoSpaceDE/>
              <w:autoSpaceDN/>
              <w:jc w:val="center"/>
              <w:rPr>
                <w:rFonts w:eastAsia="Times New Roman"/>
                <w:sz w:val="16"/>
                <w:szCs w:val="16"/>
                <w:lang w:val="en-GB"/>
              </w:rPr>
            </w:pPr>
            <w:r w:rsidRPr="00E70FC8">
              <w:rPr>
                <w:rFonts w:eastAsia="Times New Roman"/>
                <w:sz w:val="16"/>
                <w:szCs w:val="16"/>
                <w:lang w:val="en-GB"/>
              </w:rPr>
              <w:t>28.8</w:t>
            </w:r>
          </w:p>
        </w:tc>
      </w:tr>
      <w:tr w:rsidR="00E70FC8" w:rsidRPr="00E70FC8" w14:paraId="665BDB6C" w14:textId="77777777" w:rsidTr="00EC7D46">
        <w:trPr>
          <w:trHeight w:val="239"/>
        </w:trPr>
        <w:tc>
          <w:tcPr>
            <w:tcW w:w="651" w:type="dxa"/>
            <w:tcBorders>
              <w:top w:val="nil"/>
              <w:left w:val="nil"/>
              <w:bottom w:val="single" w:sz="4" w:space="0" w:color="auto"/>
              <w:right w:val="nil"/>
            </w:tcBorders>
            <w:shd w:val="clear" w:color="auto" w:fill="auto"/>
            <w:noWrap/>
            <w:vAlign w:val="center"/>
            <w:hideMark/>
          </w:tcPr>
          <w:p w14:paraId="5D2D4DD9" w14:textId="77777777" w:rsidR="00B1371A" w:rsidRPr="00E70FC8" w:rsidRDefault="00B1371A" w:rsidP="00B1371A">
            <w:pPr>
              <w:autoSpaceDE/>
              <w:autoSpaceDN/>
              <w:jc w:val="center"/>
              <w:rPr>
                <w:rFonts w:eastAsia="Times New Roman"/>
                <w:sz w:val="16"/>
                <w:szCs w:val="16"/>
                <w:lang w:val="en-GB"/>
              </w:rPr>
            </w:pPr>
            <w:r w:rsidRPr="00E70FC8">
              <w:rPr>
                <w:rFonts w:eastAsia="Times New Roman"/>
                <w:sz w:val="16"/>
                <w:szCs w:val="16"/>
                <w:lang w:val="en-GB"/>
              </w:rPr>
              <w:t>56</w:t>
            </w:r>
          </w:p>
        </w:tc>
        <w:tc>
          <w:tcPr>
            <w:tcW w:w="510" w:type="dxa"/>
            <w:tcBorders>
              <w:top w:val="nil"/>
              <w:left w:val="nil"/>
              <w:bottom w:val="single" w:sz="4" w:space="0" w:color="auto"/>
              <w:right w:val="nil"/>
            </w:tcBorders>
            <w:shd w:val="clear" w:color="auto" w:fill="auto"/>
            <w:noWrap/>
            <w:vAlign w:val="center"/>
            <w:hideMark/>
          </w:tcPr>
          <w:p w14:paraId="2E10592C" w14:textId="77777777" w:rsidR="00B1371A" w:rsidRPr="00E70FC8" w:rsidRDefault="00B1371A" w:rsidP="00B1371A">
            <w:pPr>
              <w:autoSpaceDE/>
              <w:autoSpaceDN/>
              <w:jc w:val="center"/>
              <w:rPr>
                <w:rFonts w:eastAsia="Times New Roman"/>
                <w:sz w:val="16"/>
                <w:szCs w:val="16"/>
                <w:lang w:val="en-GB"/>
              </w:rPr>
            </w:pPr>
            <w:r w:rsidRPr="00E70FC8">
              <w:rPr>
                <w:rFonts w:eastAsia="Times New Roman"/>
                <w:sz w:val="16"/>
                <w:szCs w:val="16"/>
                <w:lang w:val="en-GB"/>
              </w:rPr>
              <w:t>67.6</w:t>
            </w:r>
          </w:p>
        </w:tc>
        <w:tc>
          <w:tcPr>
            <w:tcW w:w="510" w:type="dxa"/>
            <w:tcBorders>
              <w:top w:val="nil"/>
              <w:left w:val="nil"/>
              <w:bottom w:val="single" w:sz="4" w:space="0" w:color="auto"/>
              <w:right w:val="nil"/>
            </w:tcBorders>
            <w:shd w:val="clear" w:color="auto" w:fill="auto"/>
            <w:noWrap/>
            <w:vAlign w:val="center"/>
          </w:tcPr>
          <w:p w14:paraId="4439B092" w14:textId="1B50D56F" w:rsidR="00B1371A" w:rsidRPr="00E70FC8" w:rsidRDefault="00EC7D46" w:rsidP="00B1371A">
            <w:pPr>
              <w:autoSpaceDE/>
              <w:autoSpaceDN/>
              <w:jc w:val="center"/>
              <w:rPr>
                <w:rFonts w:eastAsia="Times New Roman"/>
                <w:sz w:val="16"/>
                <w:szCs w:val="16"/>
                <w:lang w:val="en-GB"/>
              </w:rPr>
            </w:pPr>
            <w:r w:rsidRPr="00E70FC8">
              <w:rPr>
                <w:rFonts w:eastAsia="Times New Roman"/>
                <w:sz w:val="16"/>
                <w:szCs w:val="16"/>
                <w:lang w:val="en-GB"/>
              </w:rPr>
              <w:t>53.4</w:t>
            </w:r>
          </w:p>
        </w:tc>
        <w:tc>
          <w:tcPr>
            <w:tcW w:w="641" w:type="dxa"/>
            <w:tcBorders>
              <w:top w:val="nil"/>
              <w:left w:val="nil"/>
              <w:bottom w:val="single" w:sz="4" w:space="0" w:color="auto"/>
              <w:right w:val="nil"/>
            </w:tcBorders>
            <w:shd w:val="clear" w:color="auto" w:fill="auto"/>
            <w:noWrap/>
            <w:vAlign w:val="center"/>
          </w:tcPr>
          <w:p w14:paraId="7437A4BB" w14:textId="5873D94F" w:rsidR="00B1371A" w:rsidRPr="00E70FC8" w:rsidRDefault="00EC7D46" w:rsidP="00B1371A">
            <w:pPr>
              <w:autoSpaceDE/>
              <w:autoSpaceDN/>
              <w:jc w:val="center"/>
              <w:rPr>
                <w:rFonts w:eastAsia="Times New Roman"/>
                <w:sz w:val="16"/>
                <w:szCs w:val="16"/>
                <w:lang w:val="en-GB"/>
              </w:rPr>
            </w:pPr>
            <w:r w:rsidRPr="00E70FC8">
              <w:rPr>
                <w:rFonts w:eastAsia="Times New Roman"/>
                <w:sz w:val="16"/>
                <w:szCs w:val="16"/>
                <w:lang w:val="en-GB"/>
              </w:rPr>
              <w:t>50.6</w:t>
            </w:r>
          </w:p>
        </w:tc>
        <w:tc>
          <w:tcPr>
            <w:tcW w:w="510" w:type="dxa"/>
            <w:tcBorders>
              <w:top w:val="nil"/>
              <w:left w:val="nil"/>
              <w:bottom w:val="single" w:sz="4" w:space="0" w:color="auto"/>
              <w:right w:val="nil"/>
            </w:tcBorders>
            <w:shd w:val="clear" w:color="auto" w:fill="auto"/>
            <w:noWrap/>
            <w:vAlign w:val="center"/>
          </w:tcPr>
          <w:p w14:paraId="15B79605" w14:textId="0F808E90" w:rsidR="00B1371A" w:rsidRPr="00E70FC8" w:rsidRDefault="00EC7D46" w:rsidP="00B1371A">
            <w:pPr>
              <w:autoSpaceDE/>
              <w:autoSpaceDN/>
              <w:jc w:val="center"/>
              <w:rPr>
                <w:rFonts w:eastAsia="Times New Roman"/>
                <w:sz w:val="16"/>
                <w:szCs w:val="16"/>
                <w:lang w:val="en-GB"/>
              </w:rPr>
            </w:pPr>
            <w:r w:rsidRPr="00E70FC8">
              <w:rPr>
                <w:rFonts w:eastAsia="Times New Roman"/>
                <w:sz w:val="16"/>
                <w:szCs w:val="16"/>
                <w:lang w:val="en-GB"/>
              </w:rPr>
              <w:t>47.9</w:t>
            </w:r>
          </w:p>
        </w:tc>
        <w:tc>
          <w:tcPr>
            <w:tcW w:w="641" w:type="dxa"/>
            <w:tcBorders>
              <w:top w:val="nil"/>
              <w:left w:val="nil"/>
              <w:bottom w:val="single" w:sz="4" w:space="0" w:color="auto"/>
              <w:right w:val="nil"/>
            </w:tcBorders>
            <w:shd w:val="clear" w:color="auto" w:fill="auto"/>
            <w:noWrap/>
            <w:vAlign w:val="center"/>
          </w:tcPr>
          <w:p w14:paraId="3F02E980" w14:textId="68768028" w:rsidR="00B1371A" w:rsidRPr="00E70FC8" w:rsidRDefault="00EC7D46" w:rsidP="00B1371A">
            <w:pPr>
              <w:autoSpaceDE/>
              <w:autoSpaceDN/>
              <w:jc w:val="center"/>
              <w:rPr>
                <w:rFonts w:eastAsia="Times New Roman"/>
                <w:sz w:val="16"/>
                <w:szCs w:val="16"/>
                <w:lang w:val="en-GB"/>
              </w:rPr>
            </w:pPr>
            <w:r w:rsidRPr="00E70FC8">
              <w:rPr>
                <w:rFonts w:eastAsia="Times New Roman"/>
                <w:sz w:val="16"/>
                <w:szCs w:val="16"/>
                <w:lang w:val="en-GB"/>
              </w:rPr>
              <w:t>48.1</w:t>
            </w:r>
          </w:p>
        </w:tc>
        <w:tc>
          <w:tcPr>
            <w:tcW w:w="510" w:type="dxa"/>
            <w:tcBorders>
              <w:top w:val="nil"/>
              <w:left w:val="nil"/>
              <w:bottom w:val="single" w:sz="4" w:space="0" w:color="auto"/>
              <w:right w:val="nil"/>
            </w:tcBorders>
            <w:shd w:val="clear" w:color="auto" w:fill="auto"/>
            <w:noWrap/>
            <w:vAlign w:val="center"/>
          </w:tcPr>
          <w:p w14:paraId="6DC4A95E" w14:textId="1047B80F" w:rsidR="00B1371A" w:rsidRPr="00E70FC8" w:rsidRDefault="00EC7D46" w:rsidP="00B1371A">
            <w:pPr>
              <w:autoSpaceDE/>
              <w:autoSpaceDN/>
              <w:jc w:val="center"/>
              <w:rPr>
                <w:rFonts w:eastAsia="Times New Roman"/>
                <w:sz w:val="16"/>
                <w:szCs w:val="16"/>
                <w:lang w:val="en-GB"/>
              </w:rPr>
            </w:pPr>
            <w:r w:rsidRPr="00E70FC8">
              <w:rPr>
                <w:rFonts w:eastAsia="Times New Roman"/>
                <w:sz w:val="16"/>
                <w:szCs w:val="16"/>
                <w:lang w:val="en-GB"/>
              </w:rPr>
              <w:t>44.8</w:t>
            </w:r>
          </w:p>
        </w:tc>
        <w:tc>
          <w:tcPr>
            <w:tcW w:w="510" w:type="dxa"/>
            <w:tcBorders>
              <w:top w:val="nil"/>
              <w:left w:val="nil"/>
              <w:bottom w:val="single" w:sz="4" w:space="0" w:color="auto"/>
              <w:right w:val="nil"/>
            </w:tcBorders>
            <w:shd w:val="clear" w:color="auto" w:fill="auto"/>
            <w:noWrap/>
            <w:vAlign w:val="center"/>
          </w:tcPr>
          <w:p w14:paraId="2CA25B22" w14:textId="34F9F4FA" w:rsidR="00B1371A" w:rsidRPr="00E70FC8" w:rsidRDefault="00EC7D46" w:rsidP="00B1371A">
            <w:pPr>
              <w:autoSpaceDE/>
              <w:autoSpaceDN/>
              <w:jc w:val="center"/>
              <w:rPr>
                <w:rFonts w:eastAsia="Times New Roman"/>
                <w:sz w:val="16"/>
                <w:szCs w:val="16"/>
                <w:lang w:val="en-GB"/>
              </w:rPr>
            </w:pPr>
            <w:r w:rsidRPr="00E70FC8">
              <w:rPr>
                <w:rFonts w:eastAsia="Times New Roman"/>
                <w:sz w:val="16"/>
                <w:szCs w:val="16"/>
                <w:lang w:val="en-GB"/>
              </w:rPr>
              <w:t>39.2</w:t>
            </w:r>
          </w:p>
        </w:tc>
        <w:tc>
          <w:tcPr>
            <w:tcW w:w="641" w:type="dxa"/>
            <w:gridSpan w:val="2"/>
            <w:tcBorders>
              <w:top w:val="nil"/>
              <w:left w:val="nil"/>
              <w:bottom w:val="single" w:sz="4" w:space="0" w:color="auto"/>
              <w:right w:val="nil"/>
            </w:tcBorders>
            <w:shd w:val="clear" w:color="auto" w:fill="auto"/>
            <w:noWrap/>
            <w:vAlign w:val="center"/>
          </w:tcPr>
          <w:p w14:paraId="6B8EF50D" w14:textId="5D3DA2A4" w:rsidR="00B1371A" w:rsidRPr="00E70FC8" w:rsidRDefault="00EC7D46" w:rsidP="00B1371A">
            <w:pPr>
              <w:autoSpaceDE/>
              <w:autoSpaceDN/>
              <w:jc w:val="center"/>
              <w:rPr>
                <w:rFonts w:eastAsia="Times New Roman"/>
                <w:sz w:val="16"/>
                <w:szCs w:val="16"/>
                <w:lang w:val="en-GB"/>
              </w:rPr>
            </w:pPr>
            <w:r w:rsidRPr="00E70FC8">
              <w:rPr>
                <w:rFonts w:eastAsia="Times New Roman"/>
                <w:sz w:val="16"/>
                <w:szCs w:val="16"/>
                <w:lang w:val="en-GB"/>
              </w:rPr>
              <w:t>31.8</w:t>
            </w:r>
          </w:p>
        </w:tc>
      </w:tr>
      <w:tr w:rsidR="00E70FC8" w:rsidRPr="00E70FC8" w14:paraId="4C3A4027" w14:textId="77777777" w:rsidTr="00B17F8F">
        <w:trPr>
          <w:trHeight w:val="254"/>
        </w:trPr>
        <w:tc>
          <w:tcPr>
            <w:tcW w:w="651" w:type="dxa"/>
            <w:tcBorders>
              <w:top w:val="nil"/>
              <w:left w:val="nil"/>
              <w:bottom w:val="nil"/>
              <w:right w:val="nil"/>
            </w:tcBorders>
            <w:shd w:val="clear" w:color="auto" w:fill="auto"/>
            <w:noWrap/>
            <w:vAlign w:val="center"/>
            <w:hideMark/>
          </w:tcPr>
          <w:p w14:paraId="6CFDA70E" w14:textId="77777777" w:rsidR="00B1371A" w:rsidRPr="00E70FC8" w:rsidRDefault="00B1371A" w:rsidP="00B1371A">
            <w:pPr>
              <w:autoSpaceDE/>
              <w:autoSpaceDN/>
              <w:jc w:val="center"/>
              <w:rPr>
                <w:rFonts w:eastAsia="Times New Roman"/>
                <w:sz w:val="16"/>
                <w:szCs w:val="16"/>
                <w:lang w:val="en-GB"/>
              </w:rPr>
            </w:pPr>
            <w:r w:rsidRPr="00E70FC8">
              <w:rPr>
                <w:rFonts w:eastAsia="Times New Roman"/>
                <w:sz w:val="16"/>
                <w:szCs w:val="16"/>
                <w:lang w:val="en-GB"/>
              </w:rPr>
              <w:t>91</w:t>
            </w:r>
          </w:p>
        </w:tc>
        <w:tc>
          <w:tcPr>
            <w:tcW w:w="510" w:type="dxa"/>
            <w:tcBorders>
              <w:top w:val="nil"/>
              <w:left w:val="nil"/>
              <w:bottom w:val="nil"/>
              <w:right w:val="nil"/>
            </w:tcBorders>
            <w:shd w:val="clear" w:color="auto" w:fill="auto"/>
            <w:noWrap/>
            <w:vAlign w:val="center"/>
            <w:hideMark/>
          </w:tcPr>
          <w:p w14:paraId="59FEC8B5" w14:textId="77777777" w:rsidR="00B1371A" w:rsidRPr="00E70FC8" w:rsidRDefault="00B1371A" w:rsidP="00B1371A">
            <w:pPr>
              <w:autoSpaceDE/>
              <w:autoSpaceDN/>
              <w:jc w:val="center"/>
              <w:rPr>
                <w:rFonts w:eastAsia="Times New Roman"/>
                <w:sz w:val="16"/>
                <w:szCs w:val="16"/>
                <w:lang w:val="en-GB"/>
              </w:rPr>
            </w:pPr>
            <w:r w:rsidRPr="00E70FC8">
              <w:rPr>
                <w:rFonts w:eastAsia="Times New Roman"/>
                <w:sz w:val="16"/>
                <w:szCs w:val="16"/>
                <w:lang w:val="en-GB"/>
              </w:rPr>
              <w:t>71.3</w:t>
            </w:r>
          </w:p>
        </w:tc>
        <w:tc>
          <w:tcPr>
            <w:tcW w:w="510" w:type="dxa"/>
            <w:tcBorders>
              <w:top w:val="nil"/>
              <w:left w:val="nil"/>
              <w:bottom w:val="nil"/>
              <w:right w:val="nil"/>
            </w:tcBorders>
            <w:shd w:val="clear" w:color="auto" w:fill="auto"/>
            <w:noWrap/>
            <w:vAlign w:val="center"/>
            <w:hideMark/>
          </w:tcPr>
          <w:p w14:paraId="1E66B514" w14:textId="3009C6D4" w:rsidR="00B1371A" w:rsidRPr="00E70FC8" w:rsidRDefault="00B17F8F" w:rsidP="00B17F8F">
            <w:pPr>
              <w:autoSpaceDE/>
              <w:autoSpaceDN/>
              <w:jc w:val="center"/>
              <w:rPr>
                <w:rFonts w:eastAsia="Times New Roman"/>
                <w:sz w:val="16"/>
                <w:szCs w:val="16"/>
                <w:lang w:val="en-GB"/>
              </w:rPr>
            </w:pPr>
            <w:r w:rsidRPr="00E70FC8">
              <w:rPr>
                <w:rFonts w:eastAsia="Times New Roman"/>
                <w:sz w:val="16"/>
                <w:szCs w:val="16"/>
                <w:lang w:val="en-GB"/>
              </w:rPr>
              <w:t>59</w:t>
            </w:r>
            <w:r w:rsidR="00B1371A" w:rsidRPr="00E70FC8">
              <w:rPr>
                <w:rFonts w:eastAsia="Times New Roman"/>
                <w:sz w:val="16"/>
                <w:szCs w:val="16"/>
                <w:lang w:val="en-GB"/>
              </w:rPr>
              <w:t>.</w:t>
            </w:r>
            <w:r w:rsidRPr="00E70FC8">
              <w:rPr>
                <w:rFonts w:eastAsia="Times New Roman"/>
                <w:sz w:val="16"/>
                <w:szCs w:val="16"/>
                <w:lang w:val="en-GB"/>
              </w:rPr>
              <w:t>3</w:t>
            </w:r>
          </w:p>
        </w:tc>
        <w:tc>
          <w:tcPr>
            <w:tcW w:w="641" w:type="dxa"/>
            <w:tcBorders>
              <w:top w:val="nil"/>
              <w:left w:val="nil"/>
              <w:bottom w:val="nil"/>
              <w:right w:val="nil"/>
            </w:tcBorders>
            <w:shd w:val="clear" w:color="auto" w:fill="auto"/>
            <w:noWrap/>
            <w:vAlign w:val="center"/>
            <w:hideMark/>
          </w:tcPr>
          <w:p w14:paraId="653D7444" w14:textId="2DF04A5A" w:rsidR="00B1371A" w:rsidRPr="00E70FC8" w:rsidRDefault="00B1371A" w:rsidP="00B1371A">
            <w:pPr>
              <w:autoSpaceDE/>
              <w:autoSpaceDN/>
              <w:jc w:val="center"/>
              <w:rPr>
                <w:rFonts w:eastAsia="Times New Roman"/>
                <w:sz w:val="16"/>
                <w:szCs w:val="16"/>
                <w:lang w:val="en-GB"/>
              </w:rPr>
            </w:pPr>
            <w:r w:rsidRPr="00E70FC8">
              <w:rPr>
                <w:rFonts w:eastAsia="Times New Roman"/>
                <w:sz w:val="16"/>
                <w:szCs w:val="16"/>
                <w:lang w:val="en-GB"/>
              </w:rPr>
              <w:t>6</w:t>
            </w:r>
            <w:r w:rsidR="00B17F8F" w:rsidRPr="00E70FC8">
              <w:rPr>
                <w:rFonts w:eastAsia="Times New Roman"/>
                <w:sz w:val="16"/>
                <w:szCs w:val="16"/>
                <w:lang w:val="en-GB"/>
              </w:rPr>
              <w:t>3.1</w:t>
            </w:r>
          </w:p>
        </w:tc>
        <w:tc>
          <w:tcPr>
            <w:tcW w:w="510" w:type="dxa"/>
            <w:tcBorders>
              <w:top w:val="nil"/>
              <w:left w:val="nil"/>
              <w:bottom w:val="nil"/>
              <w:right w:val="nil"/>
            </w:tcBorders>
            <w:shd w:val="clear" w:color="auto" w:fill="auto"/>
            <w:noWrap/>
            <w:vAlign w:val="center"/>
            <w:hideMark/>
          </w:tcPr>
          <w:p w14:paraId="01A230CB" w14:textId="5E34CA97" w:rsidR="00B1371A" w:rsidRPr="00E70FC8" w:rsidRDefault="00B17F8F" w:rsidP="00B1371A">
            <w:pPr>
              <w:autoSpaceDE/>
              <w:autoSpaceDN/>
              <w:jc w:val="center"/>
              <w:rPr>
                <w:rFonts w:eastAsia="Times New Roman"/>
                <w:sz w:val="16"/>
                <w:szCs w:val="16"/>
                <w:lang w:val="en-GB"/>
              </w:rPr>
            </w:pPr>
            <w:r w:rsidRPr="00E70FC8">
              <w:rPr>
                <w:rFonts w:eastAsia="Times New Roman"/>
                <w:sz w:val="16"/>
                <w:szCs w:val="16"/>
                <w:lang w:val="en-GB"/>
              </w:rPr>
              <w:t>55.6</w:t>
            </w:r>
          </w:p>
        </w:tc>
        <w:tc>
          <w:tcPr>
            <w:tcW w:w="641" w:type="dxa"/>
            <w:tcBorders>
              <w:top w:val="nil"/>
              <w:left w:val="nil"/>
              <w:bottom w:val="nil"/>
              <w:right w:val="nil"/>
            </w:tcBorders>
            <w:shd w:val="clear" w:color="auto" w:fill="auto"/>
            <w:noWrap/>
            <w:vAlign w:val="center"/>
          </w:tcPr>
          <w:p w14:paraId="4636984A" w14:textId="08D1B7DD" w:rsidR="00B1371A" w:rsidRPr="00E70FC8" w:rsidRDefault="00B17F8F" w:rsidP="00B1371A">
            <w:pPr>
              <w:autoSpaceDE/>
              <w:autoSpaceDN/>
              <w:jc w:val="center"/>
              <w:rPr>
                <w:rFonts w:eastAsia="Times New Roman"/>
                <w:sz w:val="16"/>
                <w:szCs w:val="16"/>
                <w:lang w:val="en-GB"/>
              </w:rPr>
            </w:pPr>
            <w:r w:rsidRPr="00E70FC8">
              <w:rPr>
                <w:rFonts w:eastAsia="Times New Roman"/>
                <w:sz w:val="16"/>
                <w:szCs w:val="16"/>
                <w:lang w:val="en-GB"/>
              </w:rPr>
              <w:t>54.1</w:t>
            </w:r>
          </w:p>
        </w:tc>
        <w:tc>
          <w:tcPr>
            <w:tcW w:w="510" w:type="dxa"/>
            <w:tcBorders>
              <w:top w:val="nil"/>
              <w:left w:val="nil"/>
              <w:bottom w:val="nil"/>
              <w:right w:val="nil"/>
            </w:tcBorders>
            <w:shd w:val="clear" w:color="auto" w:fill="auto"/>
            <w:noWrap/>
            <w:vAlign w:val="center"/>
          </w:tcPr>
          <w:p w14:paraId="377D1FBC" w14:textId="6E42F046" w:rsidR="00B1371A" w:rsidRPr="00E70FC8" w:rsidRDefault="00B17F8F" w:rsidP="00B1371A">
            <w:pPr>
              <w:autoSpaceDE/>
              <w:autoSpaceDN/>
              <w:jc w:val="center"/>
              <w:rPr>
                <w:rFonts w:eastAsia="Times New Roman"/>
                <w:sz w:val="16"/>
                <w:szCs w:val="16"/>
                <w:lang w:val="en-GB"/>
              </w:rPr>
            </w:pPr>
            <w:r w:rsidRPr="00E70FC8">
              <w:rPr>
                <w:rFonts w:eastAsia="Times New Roman"/>
                <w:sz w:val="16"/>
                <w:szCs w:val="16"/>
                <w:lang w:val="en-GB"/>
              </w:rPr>
              <w:t>49.1</w:t>
            </w:r>
          </w:p>
        </w:tc>
        <w:tc>
          <w:tcPr>
            <w:tcW w:w="510" w:type="dxa"/>
            <w:tcBorders>
              <w:top w:val="nil"/>
              <w:left w:val="nil"/>
              <w:bottom w:val="nil"/>
              <w:right w:val="nil"/>
            </w:tcBorders>
            <w:shd w:val="clear" w:color="auto" w:fill="auto"/>
            <w:noWrap/>
            <w:vAlign w:val="center"/>
          </w:tcPr>
          <w:p w14:paraId="56372DDC" w14:textId="02C46756" w:rsidR="00B1371A" w:rsidRPr="00E70FC8" w:rsidRDefault="00B17F8F" w:rsidP="00B1371A">
            <w:pPr>
              <w:autoSpaceDE/>
              <w:autoSpaceDN/>
              <w:jc w:val="center"/>
              <w:rPr>
                <w:rFonts w:eastAsia="Times New Roman"/>
                <w:sz w:val="16"/>
                <w:szCs w:val="16"/>
                <w:lang w:val="en-GB"/>
              </w:rPr>
            </w:pPr>
            <w:r w:rsidRPr="00E70FC8">
              <w:rPr>
                <w:rFonts w:eastAsia="Times New Roman"/>
                <w:sz w:val="16"/>
                <w:szCs w:val="16"/>
                <w:lang w:val="en-GB"/>
              </w:rPr>
              <w:t>44.4</w:t>
            </w:r>
          </w:p>
        </w:tc>
        <w:tc>
          <w:tcPr>
            <w:tcW w:w="641" w:type="dxa"/>
            <w:gridSpan w:val="2"/>
            <w:tcBorders>
              <w:top w:val="nil"/>
              <w:left w:val="nil"/>
              <w:bottom w:val="nil"/>
              <w:right w:val="nil"/>
            </w:tcBorders>
            <w:shd w:val="clear" w:color="auto" w:fill="auto"/>
            <w:noWrap/>
            <w:vAlign w:val="center"/>
          </w:tcPr>
          <w:p w14:paraId="1DE74477" w14:textId="4BE6635E" w:rsidR="00B1371A" w:rsidRPr="00E70FC8" w:rsidRDefault="00B17F8F" w:rsidP="00B1371A">
            <w:pPr>
              <w:autoSpaceDE/>
              <w:autoSpaceDN/>
              <w:jc w:val="center"/>
              <w:rPr>
                <w:rFonts w:eastAsia="Times New Roman"/>
                <w:sz w:val="16"/>
                <w:szCs w:val="16"/>
                <w:lang w:val="en-GB"/>
              </w:rPr>
            </w:pPr>
            <w:r w:rsidRPr="00E70FC8">
              <w:rPr>
                <w:rFonts w:eastAsia="Times New Roman"/>
                <w:sz w:val="16"/>
                <w:szCs w:val="16"/>
                <w:lang w:val="en-GB"/>
              </w:rPr>
              <w:t>37.8</w:t>
            </w:r>
          </w:p>
        </w:tc>
      </w:tr>
      <w:tr w:rsidR="00B17F8F" w:rsidRPr="00E70FC8" w14:paraId="44C1646A" w14:textId="77777777" w:rsidTr="00B1371A">
        <w:trPr>
          <w:trHeight w:val="254"/>
        </w:trPr>
        <w:tc>
          <w:tcPr>
            <w:tcW w:w="651" w:type="dxa"/>
            <w:tcBorders>
              <w:top w:val="nil"/>
              <w:left w:val="nil"/>
              <w:bottom w:val="double" w:sz="6" w:space="0" w:color="auto"/>
              <w:right w:val="nil"/>
            </w:tcBorders>
            <w:shd w:val="clear" w:color="auto" w:fill="auto"/>
            <w:noWrap/>
            <w:vAlign w:val="center"/>
          </w:tcPr>
          <w:p w14:paraId="1C7C878B" w14:textId="77777777" w:rsidR="00EC7D46" w:rsidRPr="00E70FC8" w:rsidRDefault="00B17F8F" w:rsidP="00B1371A">
            <w:pPr>
              <w:autoSpaceDE/>
              <w:autoSpaceDN/>
              <w:jc w:val="center"/>
              <w:rPr>
                <w:rFonts w:eastAsia="Times New Roman"/>
                <w:sz w:val="16"/>
                <w:szCs w:val="16"/>
                <w:lang w:val="en-GB"/>
              </w:rPr>
            </w:pPr>
            <w:proofErr w:type="spellStart"/>
            <w:r w:rsidRPr="00E70FC8">
              <w:rPr>
                <w:rFonts w:eastAsia="Times New Roman"/>
                <w:sz w:val="16"/>
                <w:szCs w:val="16"/>
                <w:lang w:val="en-GB"/>
              </w:rPr>
              <w:t>Fcu</w:t>
            </w:r>
            <w:proofErr w:type="spellEnd"/>
            <w:r w:rsidRPr="00E70FC8">
              <w:rPr>
                <w:rFonts w:eastAsia="Times New Roman"/>
                <w:sz w:val="16"/>
                <w:szCs w:val="16"/>
                <w:lang w:val="en-GB"/>
              </w:rPr>
              <w:t xml:space="preserve"> at 91</w:t>
            </w:r>
          </w:p>
          <w:p w14:paraId="3CBAAAB4" w14:textId="209558CE" w:rsidR="00B17F8F" w:rsidRPr="00E70FC8" w:rsidRDefault="00B17F8F" w:rsidP="00B1371A">
            <w:pPr>
              <w:autoSpaceDE/>
              <w:autoSpaceDN/>
              <w:jc w:val="center"/>
              <w:rPr>
                <w:rFonts w:eastAsia="Times New Roman"/>
                <w:sz w:val="16"/>
                <w:szCs w:val="16"/>
                <w:lang w:val="en-GB"/>
              </w:rPr>
            </w:pPr>
            <w:r w:rsidRPr="00E70FC8">
              <w:rPr>
                <w:rFonts w:eastAsia="Times New Roman"/>
                <w:sz w:val="16"/>
                <w:szCs w:val="16"/>
                <w:lang w:val="en-GB"/>
              </w:rPr>
              <w:t>days</w:t>
            </w:r>
          </w:p>
        </w:tc>
        <w:tc>
          <w:tcPr>
            <w:tcW w:w="510" w:type="dxa"/>
            <w:tcBorders>
              <w:top w:val="nil"/>
              <w:left w:val="nil"/>
              <w:bottom w:val="double" w:sz="6" w:space="0" w:color="auto"/>
              <w:right w:val="nil"/>
            </w:tcBorders>
            <w:shd w:val="clear" w:color="auto" w:fill="auto"/>
            <w:noWrap/>
            <w:vAlign w:val="center"/>
          </w:tcPr>
          <w:p w14:paraId="6033924E" w14:textId="0E7305B4" w:rsidR="00B17F8F" w:rsidRPr="00E70FC8" w:rsidRDefault="00B17F8F" w:rsidP="00B1371A">
            <w:pPr>
              <w:autoSpaceDE/>
              <w:autoSpaceDN/>
              <w:jc w:val="center"/>
              <w:rPr>
                <w:rFonts w:eastAsia="Times New Roman"/>
                <w:sz w:val="16"/>
                <w:szCs w:val="16"/>
                <w:lang w:val="en-GB"/>
              </w:rPr>
            </w:pPr>
            <w:r w:rsidRPr="00E70FC8">
              <w:rPr>
                <w:rFonts w:eastAsia="Times New Roman"/>
                <w:sz w:val="16"/>
                <w:szCs w:val="16"/>
                <w:lang w:val="en-GB"/>
              </w:rPr>
              <w:t>63.3</w:t>
            </w:r>
          </w:p>
        </w:tc>
        <w:tc>
          <w:tcPr>
            <w:tcW w:w="510" w:type="dxa"/>
            <w:tcBorders>
              <w:top w:val="nil"/>
              <w:left w:val="nil"/>
              <w:bottom w:val="double" w:sz="6" w:space="0" w:color="auto"/>
              <w:right w:val="nil"/>
            </w:tcBorders>
            <w:shd w:val="clear" w:color="auto" w:fill="auto"/>
            <w:noWrap/>
            <w:vAlign w:val="center"/>
          </w:tcPr>
          <w:p w14:paraId="3580AF26" w14:textId="0960DA31" w:rsidR="00B17F8F" w:rsidRPr="00E70FC8" w:rsidRDefault="00B17F8F" w:rsidP="00B1371A">
            <w:pPr>
              <w:autoSpaceDE/>
              <w:autoSpaceDN/>
              <w:jc w:val="center"/>
              <w:rPr>
                <w:rFonts w:eastAsia="Times New Roman"/>
                <w:sz w:val="16"/>
                <w:szCs w:val="16"/>
                <w:lang w:val="en-GB"/>
              </w:rPr>
            </w:pPr>
            <w:r w:rsidRPr="00E70FC8">
              <w:rPr>
                <w:rFonts w:eastAsia="Times New Roman"/>
                <w:sz w:val="16"/>
                <w:szCs w:val="16"/>
                <w:lang w:val="en-GB"/>
              </w:rPr>
              <w:t>51.3</w:t>
            </w:r>
          </w:p>
        </w:tc>
        <w:tc>
          <w:tcPr>
            <w:tcW w:w="641" w:type="dxa"/>
            <w:tcBorders>
              <w:top w:val="nil"/>
              <w:left w:val="nil"/>
              <w:bottom w:val="double" w:sz="6" w:space="0" w:color="auto"/>
              <w:right w:val="nil"/>
            </w:tcBorders>
            <w:shd w:val="clear" w:color="auto" w:fill="auto"/>
            <w:noWrap/>
            <w:vAlign w:val="center"/>
          </w:tcPr>
          <w:p w14:paraId="24CC2577" w14:textId="5DEEEAF7" w:rsidR="00B17F8F" w:rsidRPr="00E70FC8" w:rsidRDefault="00B17F8F" w:rsidP="00B1371A">
            <w:pPr>
              <w:autoSpaceDE/>
              <w:autoSpaceDN/>
              <w:jc w:val="center"/>
              <w:rPr>
                <w:rFonts w:eastAsia="Times New Roman"/>
                <w:sz w:val="16"/>
                <w:szCs w:val="16"/>
                <w:lang w:val="en-GB"/>
              </w:rPr>
            </w:pPr>
            <w:r w:rsidRPr="00E70FC8">
              <w:rPr>
                <w:rFonts w:eastAsia="Times New Roman"/>
                <w:sz w:val="16"/>
                <w:szCs w:val="16"/>
                <w:lang w:val="en-GB"/>
              </w:rPr>
              <w:t>55.1</w:t>
            </w:r>
          </w:p>
        </w:tc>
        <w:tc>
          <w:tcPr>
            <w:tcW w:w="510" w:type="dxa"/>
            <w:tcBorders>
              <w:top w:val="nil"/>
              <w:left w:val="nil"/>
              <w:bottom w:val="double" w:sz="6" w:space="0" w:color="auto"/>
              <w:right w:val="nil"/>
            </w:tcBorders>
            <w:shd w:val="clear" w:color="auto" w:fill="auto"/>
            <w:noWrap/>
            <w:vAlign w:val="center"/>
          </w:tcPr>
          <w:p w14:paraId="46C605D8" w14:textId="102EE49B" w:rsidR="00B17F8F" w:rsidRPr="00E70FC8" w:rsidRDefault="00B17F8F" w:rsidP="00B1371A">
            <w:pPr>
              <w:autoSpaceDE/>
              <w:autoSpaceDN/>
              <w:jc w:val="center"/>
              <w:rPr>
                <w:rFonts w:eastAsia="Times New Roman"/>
                <w:sz w:val="16"/>
                <w:szCs w:val="16"/>
                <w:lang w:val="en-GB"/>
              </w:rPr>
            </w:pPr>
            <w:r w:rsidRPr="00E70FC8">
              <w:rPr>
                <w:rFonts w:eastAsia="Times New Roman"/>
                <w:sz w:val="16"/>
                <w:szCs w:val="16"/>
                <w:lang w:val="en-GB"/>
              </w:rPr>
              <w:t>47.6</w:t>
            </w:r>
          </w:p>
        </w:tc>
        <w:tc>
          <w:tcPr>
            <w:tcW w:w="641" w:type="dxa"/>
            <w:tcBorders>
              <w:top w:val="nil"/>
              <w:left w:val="nil"/>
              <w:bottom w:val="double" w:sz="6" w:space="0" w:color="auto"/>
              <w:right w:val="nil"/>
            </w:tcBorders>
            <w:shd w:val="clear" w:color="auto" w:fill="auto"/>
            <w:noWrap/>
            <w:vAlign w:val="center"/>
          </w:tcPr>
          <w:p w14:paraId="35DB117A" w14:textId="46799906" w:rsidR="00B17F8F" w:rsidRPr="00E70FC8" w:rsidRDefault="00B17F8F" w:rsidP="00B1371A">
            <w:pPr>
              <w:autoSpaceDE/>
              <w:autoSpaceDN/>
              <w:jc w:val="center"/>
              <w:rPr>
                <w:rFonts w:eastAsia="Times New Roman"/>
                <w:sz w:val="16"/>
                <w:szCs w:val="16"/>
                <w:lang w:val="en-GB"/>
              </w:rPr>
            </w:pPr>
            <w:r w:rsidRPr="00E70FC8">
              <w:rPr>
                <w:rFonts w:eastAsia="Times New Roman"/>
                <w:sz w:val="16"/>
                <w:szCs w:val="16"/>
                <w:lang w:val="en-GB"/>
              </w:rPr>
              <w:t>46.1</w:t>
            </w:r>
          </w:p>
        </w:tc>
        <w:tc>
          <w:tcPr>
            <w:tcW w:w="510" w:type="dxa"/>
            <w:tcBorders>
              <w:top w:val="nil"/>
              <w:left w:val="nil"/>
              <w:bottom w:val="double" w:sz="6" w:space="0" w:color="auto"/>
              <w:right w:val="nil"/>
            </w:tcBorders>
            <w:shd w:val="clear" w:color="auto" w:fill="auto"/>
            <w:noWrap/>
            <w:vAlign w:val="center"/>
          </w:tcPr>
          <w:p w14:paraId="303A3F47" w14:textId="355654CF" w:rsidR="00B17F8F" w:rsidRPr="00E70FC8" w:rsidRDefault="00B17F8F" w:rsidP="00B1371A">
            <w:pPr>
              <w:autoSpaceDE/>
              <w:autoSpaceDN/>
              <w:jc w:val="center"/>
              <w:rPr>
                <w:rFonts w:eastAsia="Times New Roman"/>
                <w:sz w:val="16"/>
                <w:szCs w:val="16"/>
                <w:lang w:val="en-GB"/>
              </w:rPr>
            </w:pPr>
            <w:r w:rsidRPr="00E70FC8">
              <w:rPr>
                <w:rFonts w:eastAsia="Times New Roman"/>
                <w:sz w:val="16"/>
                <w:szCs w:val="16"/>
                <w:lang w:val="en-GB"/>
              </w:rPr>
              <w:t>41.1</w:t>
            </w:r>
          </w:p>
        </w:tc>
        <w:tc>
          <w:tcPr>
            <w:tcW w:w="510" w:type="dxa"/>
            <w:tcBorders>
              <w:top w:val="nil"/>
              <w:left w:val="nil"/>
              <w:bottom w:val="double" w:sz="6" w:space="0" w:color="auto"/>
              <w:right w:val="nil"/>
            </w:tcBorders>
            <w:shd w:val="clear" w:color="auto" w:fill="auto"/>
            <w:noWrap/>
            <w:vAlign w:val="center"/>
          </w:tcPr>
          <w:p w14:paraId="459A44FC" w14:textId="76D6B6BD" w:rsidR="00B17F8F" w:rsidRPr="00E70FC8" w:rsidRDefault="00B17F8F" w:rsidP="00B1371A">
            <w:pPr>
              <w:autoSpaceDE/>
              <w:autoSpaceDN/>
              <w:jc w:val="center"/>
              <w:rPr>
                <w:rFonts w:eastAsia="Times New Roman"/>
                <w:sz w:val="16"/>
                <w:szCs w:val="16"/>
                <w:lang w:val="en-GB"/>
              </w:rPr>
            </w:pPr>
            <w:r w:rsidRPr="00E70FC8">
              <w:rPr>
                <w:rFonts w:eastAsia="Times New Roman"/>
                <w:sz w:val="16"/>
                <w:szCs w:val="16"/>
                <w:lang w:val="en-GB"/>
              </w:rPr>
              <w:t>36.4</w:t>
            </w:r>
          </w:p>
        </w:tc>
        <w:tc>
          <w:tcPr>
            <w:tcW w:w="641" w:type="dxa"/>
            <w:gridSpan w:val="2"/>
            <w:tcBorders>
              <w:top w:val="nil"/>
              <w:left w:val="nil"/>
              <w:bottom w:val="double" w:sz="6" w:space="0" w:color="auto"/>
              <w:right w:val="nil"/>
            </w:tcBorders>
            <w:shd w:val="clear" w:color="auto" w:fill="auto"/>
            <w:noWrap/>
            <w:vAlign w:val="center"/>
          </w:tcPr>
          <w:p w14:paraId="4A55483F" w14:textId="64954AA7" w:rsidR="00B17F8F" w:rsidRPr="00E70FC8" w:rsidRDefault="00B17F8F" w:rsidP="00B1371A">
            <w:pPr>
              <w:autoSpaceDE/>
              <w:autoSpaceDN/>
              <w:jc w:val="center"/>
              <w:rPr>
                <w:rFonts w:eastAsia="Times New Roman"/>
                <w:sz w:val="16"/>
                <w:szCs w:val="16"/>
                <w:lang w:val="en-GB"/>
              </w:rPr>
            </w:pPr>
            <w:r w:rsidRPr="00E70FC8">
              <w:rPr>
                <w:rFonts w:eastAsia="Times New Roman"/>
                <w:sz w:val="16"/>
                <w:szCs w:val="16"/>
                <w:lang w:val="en-GB"/>
              </w:rPr>
              <w:t>29.8</w:t>
            </w:r>
          </w:p>
        </w:tc>
      </w:tr>
    </w:tbl>
    <w:p w14:paraId="0DB76256" w14:textId="77777777" w:rsidR="00B1371A" w:rsidRPr="00E70FC8" w:rsidRDefault="00B1371A" w:rsidP="00B1371A">
      <w:pPr>
        <w:pStyle w:val="Text"/>
        <w:rPr>
          <w:rFonts w:eastAsia="Times New Roman"/>
        </w:rPr>
      </w:pPr>
    </w:p>
    <w:p w14:paraId="0ADF6F16" w14:textId="534E3602" w:rsidR="005C36B3" w:rsidRPr="00E70FC8" w:rsidRDefault="007153B5" w:rsidP="005C36B3">
      <w:pPr>
        <w:adjustRightInd w:val="0"/>
        <w:spacing w:line="480" w:lineRule="auto"/>
        <w:jc w:val="center"/>
        <w:rPr>
          <w:rFonts w:ascii="Arial" w:eastAsia="Times New Roman" w:hAnsi="Arial" w:cs="Arial"/>
        </w:rPr>
      </w:pPr>
      <w:r w:rsidRPr="00F776A1">
        <w:rPr>
          <w:noProof/>
          <w:lang w:val="en-GB" w:eastAsia="en-GB"/>
        </w:rPr>
        <w:drawing>
          <wp:inline distT="0" distB="0" distL="0" distR="0" wp14:anchorId="7A7ACFF4" wp14:editId="5488ACB0">
            <wp:extent cx="3025140" cy="218694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8B55D42" w14:textId="2F06E86C" w:rsidR="005C36B3" w:rsidRPr="00E70FC8" w:rsidRDefault="005C36B3" w:rsidP="005C36B3">
      <w:pPr>
        <w:pStyle w:val="figurecaption0"/>
      </w:pPr>
      <w:r w:rsidRPr="00E70FC8">
        <w:t xml:space="preserve">Fig. 4. </w:t>
      </w:r>
      <w:r w:rsidR="00EC7D46" w:rsidRPr="00E70FC8">
        <w:t xml:space="preserve">Mean </w:t>
      </w:r>
      <w:r w:rsidRPr="00E70FC8">
        <w:t xml:space="preserve">Compressive strengths of </w:t>
      </w:r>
      <w:r w:rsidR="00EC7D46" w:rsidRPr="00E70FC8">
        <w:t>AHS</w:t>
      </w:r>
      <w:r w:rsidRPr="00E70FC8">
        <w:t xml:space="preserve"> specimens (N/mm2)</w:t>
      </w:r>
    </w:p>
    <w:p w14:paraId="591DDAE8" w14:textId="77777777" w:rsidR="003407B0" w:rsidRPr="00E70FC8" w:rsidRDefault="003407B0" w:rsidP="00AA3E3D">
      <w:pPr>
        <w:pStyle w:val="Text"/>
      </w:pPr>
    </w:p>
    <w:p w14:paraId="559F0A49" w14:textId="5746F425" w:rsidR="0019627F" w:rsidRPr="00E70FC8" w:rsidRDefault="00EC7D46" w:rsidP="00EC7D46">
      <w:pPr>
        <w:pStyle w:val="Text"/>
        <w:rPr>
          <w:rFonts w:eastAsia="Times New Roman"/>
        </w:rPr>
      </w:pPr>
      <w:r w:rsidRPr="00E70FC8">
        <w:rPr>
          <w:i/>
          <w:iCs/>
        </w:rPr>
        <w:t>E. Tensile strength</w:t>
      </w:r>
    </w:p>
    <w:p w14:paraId="61171A9C" w14:textId="41A2FAE3" w:rsidR="003819D6" w:rsidRPr="00E70FC8" w:rsidRDefault="00EC7D46" w:rsidP="00EC7D46">
      <w:pPr>
        <w:pStyle w:val="Text"/>
        <w:ind w:firstLine="0"/>
        <w:rPr>
          <w:rFonts w:eastAsia="Times New Roman"/>
        </w:rPr>
      </w:pPr>
      <w:r w:rsidRPr="00E70FC8">
        <w:t>Table V and Fig. 5 show the tensile strengths of AHS replaced specimens at 91 days. Results showed a good relationship between AHS and the control specimens at all replacements, spelling the possibility of AHS being used in concrete without affecting its structural integrity.</w:t>
      </w:r>
    </w:p>
    <w:p w14:paraId="068AC89D" w14:textId="77777777" w:rsidR="001D56DC" w:rsidRPr="00E70FC8" w:rsidRDefault="001D56DC" w:rsidP="00AA3E3D">
      <w:pPr>
        <w:pStyle w:val="Text"/>
      </w:pPr>
    </w:p>
    <w:p w14:paraId="0D2E13F8" w14:textId="554B5729" w:rsidR="00137BEA" w:rsidRPr="00E70FC8" w:rsidRDefault="00137BEA" w:rsidP="00137BEA">
      <w:pPr>
        <w:pStyle w:val="TableTitle"/>
      </w:pPr>
      <w:r w:rsidRPr="00E70FC8">
        <w:t>Table V</w:t>
      </w:r>
      <w:r w:rsidR="00EC7D46" w:rsidRPr="00E70FC8">
        <w:t>:</w:t>
      </w:r>
      <w:r w:rsidRPr="00E70FC8">
        <w:t xml:space="preserve"> Tensile strengths of</w:t>
      </w:r>
      <w:r w:rsidR="00EC7D46" w:rsidRPr="00E70FC8">
        <w:t xml:space="preserve"> AHS REPLACED SPECIMENS</w:t>
      </w:r>
      <w:r w:rsidRPr="00E70FC8">
        <w:t xml:space="preserve"> at 91 days (N/mm</w:t>
      </w:r>
      <w:r w:rsidRPr="00E70FC8">
        <w:rPr>
          <w:vertAlign w:val="superscript"/>
        </w:rPr>
        <w:t>2</w:t>
      </w:r>
      <w:r w:rsidRPr="00E70FC8">
        <w:t>)</w:t>
      </w:r>
    </w:p>
    <w:tbl>
      <w:tblPr>
        <w:tblW w:w="5001" w:type="dxa"/>
        <w:tblInd w:w="93" w:type="dxa"/>
        <w:tblLayout w:type="fixed"/>
        <w:tblLook w:val="04A0" w:firstRow="1" w:lastRow="0" w:firstColumn="1" w:lastColumn="0" w:noHBand="0" w:noVBand="1"/>
      </w:tblPr>
      <w:tblGrid>
        <w:gridCol w:w="724"/>
        <w:gridCol w:w="518"/>
        <w:gridCol w:w="518"/>
        <w:gridCol w:w="647"/>
        <w:gridCol w:w="518"/>
        <w:gridCol w:w="518"/>
        <w:gridCol w:w="518"/>
        <w:gridCol w:w="518"/>
        <w:gridCol w:w="522"/>
      </w:tblGrid>
      <w:tr w:rsidR="00E70FC8" w:rsidRPr="00E70FC8" w14:paraId="64D3DBD6" w14:textId="77777777" w:rsidTr="00137BEA">
        <w:trPr>
          <w:trHeight w:val="313"/>
        </w:trPr>
        <w:tc>
          <w:tcPr>
            <w:tcW w:w="724" w:type="dxa"/>
            <w:vMerge w:val="restart"/>
            <w:tcBorders>
              <w:top w:val="double" w:sz="6" w:space="0" w:color="auto"/>
              <w:left w:val="nil"/>
              <w:bottom w:val="single" w:sz="4" w:space="0" w:color="auto"/>
              <w:right w:val="nil"/>
            </w:tcBorders>
            <w:shd w:val="clear" w:color="auto" w:fill="auto"/>
            <w:noWrap/>
            <w:vAlign w:val="center"/>
            <w:hideMark/>
          </w:tcPr>
          <w:p w14:paraId="5563354D" w14:textId="648E9DED" w:rsidR="00137BEA" w:rsidRPr="00E70FC8" w:rsidRDefault="00EC7D46" w:rsidP="00137BEA">
            <w:pPr>
              <w:autoSpaceDE/>
              <w:autoSpaceDN/>
              <w:jc w:val="center"/>
              <w:rPr>
                <w:rFonts w:eastAsia="Times New Roman"/>
                <w:sz w:val="16"/>
                <w:szCs w:val="16"/>
                <w:lang w:val="en-GB"/>
              </w:rPr>
            </w:pPr>
            <w:r w:rsidRPr="00E70FC8">
              <w:rPr>
                <w:rFonts w:eastAsia="Times New Roman"/>
                <w:sz w:val="16"/>
                <w:szCs w:val="16"/>
                <w:lang w:val="en-GB"/>
              </w:rPr>
              <w:t>Specimens</w:t>
            </w:r>
          </w:p>
        </w:tc>
        <w:tc>
          <w:tcPr>
            <w:tcW w:w="4277" w:type="dxa"/>
            <w:gridSpan w:val="8"/>
            <w:tcBorders>
              <w:top w:val="double" w:sz="6" w:space="0" w:color="auto"/>
              <w:left w:val="nil"/>
              <w:bottom w:val="single" w:sz="4" w:space="0" w:color="auto"/>
              <w:right w:val="nil"/>
            </w:tcBorders>
            <w:shd w:val="clear" w:color="auto" w:fill="auto"/>
            <w:noWrap/>
            <w:vAlign w:val="center"/>
            <w:hideMark/>
          </w:tcPr>
          <w:p w14:paraId="5A009EAB" w14:textId="77777777" w:rsidR="00137BEA" w:rsidRPr="00E70FC8" w:rsidRDefault="00137BEA" w:rsidP="00137BEA">
            <w:pPr>
              <w:autoSpaceDE/>
              <w:autoSpaceDN/>
              <w:jc w:val="center"/>
              <w:rPr>
                <w:rFonts w:eastAsia="Times New Roman"/>
                <w:sz w:val="16"/>
                <w:szCs w:val="16"/>
                <w:lang w:val="en-GB"/>
              </w:rPr>
            </w:pPr>
            <w:r w:rsidRPr="00E70FC8">
              <w:rPr>
                <w:rFonts w:eastAsia="Times New Roman"/>
                <w:sz w:val="16"/>
                <w:szCs w:val="16"/>
                <w:lang w:val="en-GB"/>
              </w:rPr>
              <w:t>Tensile strength at percentage replacements (N/mm</w:t>
            </w:r>
            <w:r w:rsidRPr="00E70FC8">
              <w:rPr>
                <w:rFonts w:eastAsia="Times New Roman"/>
                <w:sz w:val="16"/>
                <w:szCs w:val="16"/>
                <w:vertAlign w:val="superscript"/>
                <w:lang w:val="en-GB"/>
              </w:rPr>
              <w:t>2</w:t>
            </w:r>
            <w:r w:rsidRPr="00E70FC8">
              <w:rPr>
                <w:rFonts w:eastAsia="Times New Roman"/>
                <w:sz w:val="16"/>
                <w:szCs w:val="16"/>
                <w:lang w:val="en-GB"/>
              </w:rPr>
              <w:t>)</w:t>
            </w:r>
          </w:p>
        </w:tc>
      </w:tr>
      <w:tr w:rsidR="00E70FC8" w:rsidRPr="00E70FC8" w14:paraId="43C129CE" w14:textId="77777777" w:rsidTr="00137BEA">
        <w:trPr>
          <w:trHeight w:val="294"/>
        </w:trPr>
        <w:tc>
          <w:tcPr>
            <w:tcW w:w="724" w:type="dxa"/>
            <w:vMerge/>
            <w:tcBorders>
              <w:top w:val="double" w:sz="6" w:space="0" w:color="auto"/>
              <w:left w:val="nil"/>
              <w:bottom w:val="single" w:sz="4" w:space="0" w:color="auto"/>
              <w:right w:val="nil"/>
            </w:tcBorders>
            <w:vAlign w:val="center"/>
            <w:hideMark/>
          </w:tcPr>
          <w:p w14:paraId="2EA59927" w14:textId="77777777" w:rsidR="00137BEA" w:rsidRPr="00E70FC8" w:rsidRDefault="00137BEA" w:rsidP="00137BEA">
            <w:pPr>
              <w:autoSpaceDE/>
              <w:autoSpaceDN/>
              <w:rPr>
                <w:rFonts w:eastAsia="Times New Roman"/>
                <w:sz w:val="16"/>
                <w:szCs w:val="16"/>
                <w:lang w:val="en-GB"/>
              </w:rPr>
            </w:pPr>
          </w:p>
        </w:tc>
        <w:tc>
          <w:tcPr>
            <w:tcW w:w="518" w:type="dxa"/>
            <w:tcBorders>
              <w:top w:val="nil"/>
              <w:left w:val="nil"/>
              <w:bottom w:val="single" w:sz="4" w:space="0" w:color="auto"/>
              <w:right w:val="nil"/>
            </w:tcBorders>
            <w:shd w:val="clear" w:color="auto" w:fill="auto"/>
            <w:noWrap/>
            <w:vAlign w:val="center"/>
            <w:hideMark/>
          </w:tcPr>
          <w:p w14:paraId="21F1430A" w14:textId="77777777" w:rsidR="00137BEA" w:rsidRPr="00E70FC8" w:rsidRDefault="00137BEA" w:rsidP="00137BEA">
            <w:pPr>
              <w:autoSpaceDE/>
              <w:autoSpaceDN/>
              <w:jc w:val="center"/>
              <w:rPr>
                <w:rFonts w:eastAsia="Times New Roman"/>
                <w:sz w:val="16"/>
                <w:szCs w:val="16"/>
                <w:lang w:val="en-GB"/>
              </w:rPr>
            </w:pPr>
            <w:r w:rsidRPr="00E70FC8">
              <w:rPr>
                <w:rFonts w:eastAsia="Times New Roman"/>
                <w:sz w:val="16"/>
                <w:szCs w:val="16"/>
                <w:lang w:val="en-GB"/>
              </w:rPr>
              <w:t>0%</w:t>
            </w:r>
          </w:p>
        </w:tc>
        <w:tc>
          <w:tcPr>
            <w:tcW w:w="518" w:type="dxa"/>
            <w:tcBorders>
              <w:top w:val="nil"/>
              <w:left w:val="nil"/>
              <w:bottom w:val="single" w:sz="4" w:space="0" w:color="auto"/>
              <w:right w:val="nil"/>
            </w:tcBorders>
            <w:shd w:val="clear" w:color="auto" w:fill="auto"/>
            <w:noWrap/>
            <w:vAlign w:val="center"/>
            <w:hideMark/>
          </w:tcPr>
          <w:p w14:paraId="3FA59041" w14:textId="77777777" w:rsidR="00137BEA" w:rsidRPr="00E70FC8" w:rsidRDefault="00137BEA" w:rsidP="00137BEA">
            <w:pPr>
              <w:autoSpaceDE/>
              <w:autoSpaceDN/>
              <w:jc w:val="center"/>
              <w:rPr>
                <w:rFonts w:eastAsia="Times New Roman"/>
                <w:sz w:val="16"/>
                <w:szCs w:val="16"/>
                <w:lang w:val="en-GB"/>
              </w:rPr>
            </w:pPr>
            <w:r w:rsidRPr="00E70FC8">
              <w:rPr>
                <w:rFonts w:eastAsia="Times New Roman"/>
                <w:sz w:val="16"/>
                <w:szCs w:val="16"/>
                <w:lang w:val="en-GB"/>
              </w:rPr>
              <w:t>5%</w:t>
            </w:r>
          </w:p>
        </w:tc>
        <w:tc>
          <w:tcPr>
            <w:tcW w:w="647" w:type="dxa"/>
            <w:tcBorders>
              <w:top w:val="nil"/>
              <w:left w:val="nil"/>
              <w:bottom w:val="single" w:sz="4" w:space="0" w:color="auto"/>
              <w:right w:val="nil"/>
            </w:tcBorders>
            <w:shd w:val="clear" w:color="auto" w:fill="auto"/>
            <w:noWrap/>
            <w:vAlign w:val="center"/>
            <w:hideMark/>
          </w:tcPr>
          <w:p w14:paraId="4D9BDB3D" w14:textId="1D129E22" w:rsidR="00137BEA" w:rsidRPr="00E70FC8" w:rsidRDefault="00137BEA" w:rsidP="00137BEA">
            <w:pPr>
              <w:autoSpaceDE/>
              <w:autoSpaceDN/>
              <w:jc w:val="center"/>
              <w:rPr>
                <w:rFonts w:eastAsia="Times New Roman"/>
                <w:sz w:val="16"/>
                <w:szCs w:val="16"/>
                <w:lang w:val="en-GB"/>
              </w:rPr>
            </w:pPr>
            <w:r w:rsidRPr="00E70FC8">
              <w:rPr>
                <w:rFonts w:eastAsia="Times New Roman"/>
                <w:sz w:val="16"/>
                <w:szCs w:val="16"/>
                <w:lang w:val="en-GB"/>
              </w:rPr>
              <w:t>7.5%</w:t>
            </w:r>
          </w:p>
        </w:tc>
        <w:tc>
          <w:tcPr>
            <w:tcW w:w="518" w:type="dxa"/>
            <w:tcBorders>
              <w:top w:val="nil"/>
              <w:left w:val="nil"/>
              <w:bottom w:val="single" w:sz="4" w:space="0" w:color="auto"/>
              <w:right w:val="nil"/>
            </w:tcBorders>
            <w:shd w:val="clear" w:color="auto" w:fill="auto"/>
            <w:noWrap/>
            <w:vAlign w:val="center"/>
            <w:hideMark/>
          </w:tcPr>
          <w:p w14:paraId="6F3693E4" w14:textId="77777777" w:rsidR="00137BEA" w:rsidRPr="00E70FC8" w:rsidRDefault="00137BEA" w:rsidP="00137BEA">
            <w:pPr>
              <w:autoSpaceDE/>
              <w:autoSpaceDN/>
              <w:jc w:val="center"/>
              <w:rPr>
                <w:rFonts w:eastAsia="Times New Roman"/>
                <w:sz w:val="16"/>
                <w:szCs w:val="16"/>
                <w:lang w:val="en-GB"/>
              </w:rPr>
            </w:pPr>
            <w:r w:rsidRPr="00E70FC8">
              <w:rPr>
                <w:rFonts w:eastAsia="Times New Roman"/>
                <w:sz w:val="16"/>
                <w:szCs w:val="16"/>
                <w:lang w:val="en-GB"/>
              </w:rPr>
              <w:t>10%</w:t>
            </w:r>
          </w:p>
        </w:tc>
        <w:tc>
          <w:tcPr>
            <w:tcW w:w="518" w:type="dxa"/>
            <w:tcBorders>
              <w:top w:val="nil"/>
              <w:left w:val="nil"/>
              <w:bottom w:val="single" w:sz="4" w:space="0" w:color="auto"/>
              <w:right w:val="nil"/>
            </w:tcBorders>
            <w:shd w:val="clear" w:color="auto" w:fill="auto"/>
            <w:noWrap/>
            <w:vAlign w:val="center"/>
            <w:hideMark/>
          </w:tcPr>
          <w:p w14:paraId="1BD47EC7" w14:textId="77777777" w:rsidR="00137BEA" w:rsidRPr="00E70FC8" w:rsidRDefault="00137BEA" w:rsidP="00137BEA">
            <w:pPr>
              <w:autoSpaceDE/>
              <w:autoSpaceDN/>
              <w:jc w:val="center"/>
              <w:rPr>
                <w:rFonts w:eastAsia="Times New Roman"/>
                <w:sz w:val="16"/>
                <w:szCs w:val="16"/>
                <w:lang w:val="en-GB"/>
              </w:rPr>
            </w:pPr>
            <w:r w:rsidRPr="00E70FC8">
              <w:rPr>
                <w:rFonts w:eastAsia="Times New Roman"/>
                <w:sz w:val="16"/>
                <w:szCs w:val="16"/>
                <w:lang w:val="en-GB"/>
              </w:rPr>
              <w:t>15%</w:t>
            </w:r>
          </w:p>
        </w:tc>
        <w:tc>
          <w:tcPr>
            <w:tcW w:w="518" w:type="dxa"/>
            <w:tcBorders>
              <w:top w:val="nil"/>
              <w:left w:val="nil"/>
              <w:bottom w:val="single" w:sz="4" w:space="0" w:color="auto"/>
              <w:right w:val="nil"/>
            </w:tcBorders>
            <w:shd w:val="clear" w:color="auto" w:fill="auto"/>
            <w:noWrap/>
            <w:vAlign w:val="center"/>
            <w:hideMark/>
          </w:tcPr>
          <w:p w14:paraId="42104FF7" w14:textId="77777777" w:rsidR="00137BEA" w:rsidRPr="00E70FC8" w:rsidRDefault="00137BEA" w:rsidP="00137BEA">
            <w:pPr>
              <w:autoSpaceDE/>
              <w:autoSpaceDN/>
              <w:jc w:val="center"/>
              <w:rPr>
                <w:rFonts w:eastAsia="Times New Roman"/>
                <w:sz w:val="16"/>
                <w:szCs w:val="16"/>
                <w:lang w:val="en-GB"/>
              </w:rPr>
            </w:pPr>
            <w:r w:rsidRPr="00E70FC8">
              <w:rPr>
                <w:rFonts w:eastAsia="Times New Roman"/>
                <w:sz w:val="16"/>
                <w:szCs w:val="16"/>
                <w:lang w:val="en-GB"/>
              </w:rPr>
              <w:t>20%</w:t>
            </w:r>
          </w:p>
        </w:tc>
        <w:tc>
          <w:tcPr>
            <w:tcW w:w="518" w:type="dxa"/>
            <w:tcBorders>
              <w:top w:val="nil"/>
              <w:left w:val="nil"/>
              <w:bottom w:val="single" w:sz="4" w:space="0" w:color="auto"/>
              <w:right w:val="nil"/>
            </w:tcBorders>
            <w:shd w:val="clear" w:color="auto" w:fill="auto"/>
            <w:noWrap/>
            <w:vAlign w:val="center"/>
            <w:hideMark/>
          </w:tcPr>
          <w:p w14:paraId="06D88F00" w14:textId="77777777" w:rsidR="00137BEA" w:rsidRPr="00E70FC8" w:rsidRDefault="00137BEA" w:rsidP="00137BEA">
            <w:pPr>
              <w:autoSpaceDE/>
              <w:autoSpaceDN/>
              <w:jc w:val="center"/>
              <w:rPr>
                <w:rFonts w:eastAsia="Times New Roman"/>
                <w:sz w:val="16"/>
                <w:szCs w:val="16"/>
                <w:lang w:val="en-GB"/>
              </w:rPr>
            </w:pPr>
            <w:r w:rsidRPr="00E70FC8">
              <w:rPr>
                <w:rFonts w:eastAsia="Times New Roman"/>
                <w:sz w:val="16"/>
                <w:szCs w:val="16"/>
                <w:lang w:val="en-GB"/>
              </w:rPr>
              <w:t>25%</w:t>
            </w:r>
          </w:p>
        </w:tc>
        <w:tc>
          <w:tcPr>
            <w:tcW w:w="522" w:type="dxa"/>
            <w:tcBorders>
              <w:top w:val="nil"/>
              <w:left w:val="nil"/>
              <w:bottom w:val="single" w:sz="4" w:space="0" w:color="auto"/>
              <w:right w:val="nil"/>
            </w:tcBorders>
            <w:shd w:val="clear" w:color="auto" w:fill="auto"/>
            <w:noWrap/>
            <w:vAlign w:val="center"/>
            <w:hideMark/>
          </w:tcPr>
          <w:p w14:paraId="3CF2A56D" w14:textId="77777777" w:rsidR="00137BEA" w:rsidRPr="00E70FC8" w:rsidRDefault="00137BEA" w:rsidP="00137BEA">
            <w:pPr>
              <w:autoSpaceDE/>
              <w:autoSpaceDN/>
              <w:jc w:val="center"/>
              <w:rPr>
                <w:rFonts w:eastAsia="Times New Roman"/>
                <w:sz w:val="16"/>
                <w:szCs w:val="16"/>
                <w:lang w:val="en-GB"/>
              </w:rPr>
            </w:pPr>
            <w:r w:rsidRPr="00E70FC8">
              <w:rPr>
                <w:rFonts w:eastAsia="Times New Roman"/>
                <w:sz w:val="16"/>
                <w:szCs w:val="16"/>
                <w:lang w:val="en-GB"/>
              </w:rPr>
              <w:t>30%</w:t>
            </w:r>
          </w:p>
        </w:tc>
      </w:tr>
      <w:tr w:rsidR="00E70FC8" w:rsidRPr="00E70FC8" w14:paraId="0EDED725" w14:textId="77777777" w:rsidTr="00CD79F8">
        <w:trPr>
          <w:trHeight w:val="325"/>
        </w:trPr>
        <w:tc>
          <w:tcPr>
            <w:tcW w:w="724" w:type="dxa"/>
            <w:tcBorders>
              <w:top w:val="nil"/>
              <w:left w:val="nil"/>
              <w:bottom w:val="double" w:sz="2" w:space="0" w:color="000000"/>
              <w:right w:val="nil"/>
            </w:tcBorders>
            <w:shd w:val="clear" w:color="auto" w:fill="auto"/>
            <w:noWrap/>
            <w:vAlign w:val="center"/>
            <w:hideMark/>
          </w:tcPr>
          <w:p w14:paraId="60F354F5" w14:textId="5420413D" w:rsidR="00137BEA" w:rsidRPr="00E70FC8" w:rsidRDefault="00137BEA" w:rsidP="00137BEA">
            <w:pPr>
              <w:autoSpaceDE/>
              <w:autoSpaceDN/>
              <w:jc w:val="center"/>
              <w:rPr>
                <w:rFonts w:eastAsia="Times New Roman"/>
                <w:sz w:val="16"/>
                <w:szCs w:val="16"/>
                <w:lang w:val="en-GB"/>
              </w:rPr>
            </w:pPr>
            <w:r w:rsidRPr="00E70FC8">
              <w:rPr>
                <w:rFonts w:eastAsia="Times New Roman"/>
                <w:sz w:val="16"/>
                <w:szCs w:val="16"/>
                <w:lang w:val="en-GB"/>
              </w:rPr>
              <w:t>Ternary</w:t>
            </w:r>
          </w:p>
        </w:tc>
        <w:tc>
          <w:tcPr>
            <w:tcW w:w="518" w:type="dxa"/>
            <w:tcBorders>
              <w:top w:val="nil"/>
              <w:left w:val="nil"/>
              <w:bottom w:val="double" w:sz="2" w:space="0" w:color="000000"/>
              <w:right w:val="nil"/>
            </w:tcBorders>
            <w:shd w:val="clear" w:color="auto" w:fill="auto"/>
            <w:noWrap/>
            <w:vAlign w:val="center"/>
            <w:hideMark/>
          </w:tcPr>
          <w:p w14:paraId="720F2C4B" w14:textId="77777777" w:rsidR="00137BEA" w:rsidRPr="00E70FC8" w:rsidRDefault="00137BEA" w:rsidP="00137BEA">
            <w:pPr>
              <w:autoSpaceDE/>
              <w:autoSpaceDN/>
              <w:jc w:val="center"/>
              <w:rPr>
                <w:rFonts w:eastAsia="Times New Roman"/>
                <w:sz w:val="16"/>
                <w:szCs w:val="16"/>
                <w:lang w:val="en-GB"/>
              </w:rPr>
            </w:pPr>
            <w:r w:rsidRPr="00E70FC8">
              <w:rPr>
                <w:rFonts w:eastAsia="Times New Roman"/>
                <w:sz w:val="16"/>
                <w:szCs w:val="16"/>
                <w:lang w:val="en-GB"/>
              </w:rPr>
              <w:t>3.6</w:t>
            </w:r>
          </w:p>
        </w:tc>
        <w:tc>
          <w:tcPr>
            <w:tcW w:w="518" w:type="dxa"/>
            <w:tcBorders>
              <w:top w:val="nil"/>
              <w:left w:val="nil"/>
              <w:bottom w:val="double" w:sz="2" w:space="0" w:color="000000"/>
              <w:right w:val="nil"/>
            </w:tcBorders>
            <w:shd w:val="clear" w:color="auto" w:fill="auto"/>
            <w:noWrap/>
            <w:vAlign w:val="center"/>
          </w:tcPr>
          <w:p w14:paraId="4B232BA9" w14:textId="494C5159" w:rsidR="00137BEA" w:rsidRPr="00E70FC8" w:rsidRDefault="00EC7D46" w:rsidP="00137BEA">
            <w:pPr>
              <w:autoSpaceDE/>
              <w:autoSpaceDN/>
              <w:jc w:val="center"/>
              <w:rPr>
                <w:rFonts w:eastAsia="Times New Roman"/>
                <w:sz w:val="16"/>
                <w:szCs w:val="16"/>
                <w:lang w:val="en-GB"/>
              </w:rPr>
            </w:pPr>
            <w:r w:rsidRPr="00E70FC8">
              <w:rPr>
                <w:rFonts w:eastAsia="Times New Roman"/>
                <w:sz w:val="16"/>
                <w:szCs w:val="16"/>
                <w:lang w:val="en-GB"/>
              </w:rPr>
              <w:t>3.9</w:t>
            </w:r>
          </w:p>
        </w:tc>
        <w:tc>
          <w:tcPr>
            <w:tcW w:w="647" w:type="dxa"/>
            <w:tcBorders>
              <w:top w:val="nil"/>
              <w:left w:val="nil"/>
              <w:bottom w:val="double" w:sz="2" w:space="0" w:color="000000"/>
              <w:right w:val="nil"/>
            </w:tcBorders>
            <w:shd w:val="clear" w:color="auto" w:fill="auto"/>
            <w:noWrap/>
            <w:vAlign w:val="center"/>
          </w:tcPr>
          <w:p w14:paraId="1F4EDA53" w14:textId="37EE81E0" w:rsidR="00137BEA" w:rsidRPr="00E70FC8" w:rsidRDefault="00EC7D46" w:rsidP="00137BEA">
            <w:pPr>
              <w:autoSpaceDE/>
              <w:autoSpaceDN/>
              <w:jc w:val="center"/>
              <w:rPr>
                <w:rFonts w:eastAsia="Times New Roman"/>
                <w:sz w:val="16"/>
                <w:szCs w:val="16"/>
                <w:lang w:val="en-GB"/>
              </w:rPr>
            </w:pPr>
            <w:r w:rsidRPr="00E70FC8">
              <w:rPr>
                <w:rFonts w:eastAsia="Times New Roman"/>
                <w:sz w:val="16"/>
                <w:szCs w:val="16"/>
                <w:lang w:val="en-GB"/>
              </w:rPr>
              <w:t>3.9</w:t>
            </w:r>
          </w:p>
        </w:tc>
        <w:tc>
          <w:tcPr>
            <w:tcW w:w="518" w:type="dxa"/>
            <w:tcBorders>
              <w:top w:val="nil"/>
              <w:left w:val="nil"/>
              <w:bottom w:val="double" w:sz="2" w:space="0" w:color="000000"/>
              <w:right w:val="nil"/>
            </w:tcBorders>
            <w:shd w:val="clear" w:color="auto" w:fill="auto"/>
            <w:noWrap/>
            <w:vAlign w:val="center"/>
          </w:tcPr>
          <w:p w14:paraId="2F1A5328" w14:textId="43261545" w:rsidR="00137BEA" w:rsidRPr="00E70FC8" w:rsidRDefault="00EC7D46" w:rsidP="00137BEA">
            <w:pPr>
              <w:autoSpaceDE/>
              <w:autoSpaceDN/>
              <w:jc w:val="center"/>
              <w:rPr>
                <w:rFonts w:eastAsia="Times New Roman"/>
                <w:sz w:val="16"/>
                <w:szCs w:val="16"/>
                <w:lang w:val="en-GB"/>
              </w:rPr>
            </w:pPr>
            <w:r w:rsidRPr="00E70FC8">
              <w:rPr>
                <w:rFonts w:eastAsia="Times New Roman"/>
                <w:sz w:val="16"/>
                <w:szCs w:val="16"/>
                <w:lang w:val="en-GB"/>
              </w:rPr>
              <w:t>3.7</w:t>
            </w:r>
          </w:p>
        </w:tc>
        <w:tc>
          <w:tcPr>
            <w:tcW w:w="518" w:type="dxa"/>
            <w:tcBorders>
              <w:top w:val="nil"/>
              <w:left w:val="nil"/>
              <w:bottom w:val="double" w:sz="2" w:space="0" w:color="000000"/>
              <w:right w:val="nil"/>
            </w:tcBorders>
            <w:shd w:val="clear" w:color="auto" w:fill="auto"/>
            <w:noWrap/>
            <w:vAlign w:val="center"/>
          </w:tcPr>
          <w:p w14:paraId="1FF4F76E" w14:textId="74A03A15" w:rsidR="00137BEA" w:rsidRPr="00E70FC8" w:rsidRDefault="00EC7D46" w:rsidP="00137BEA">
            <w:pPr>
              <w:autoSpaceDE/>
              <w:autoSpaceDN/>
              <w:jc w:val="center"/>
              <w:rPr>
                <w:rFonts w:eastAsia="Times New Roman"/>
                <w:sz w:val="16"/>
                <w:szCs w:val="16"/>
                <w:lang w:val="en-GB"/>
              </w:rPr>
            </w:pPr>
            <w:r w:rsidRPr="00E70FC8">
              <w:rPr>
                <w:rFonts w:eastAsia="Times New Roman"/>
                <w:sz w:val="16"/>
                <w:szCs w:val="16"/>
                <w:lang w:val="en-GB"/>
              </w:rPr>
              <w:t>3.5</w:t>
            </w:r>
          </w:p>
        </w:tc>
        <w:tc>
          <w:tcPr>
            <w:tcW w:w="518" w:type="dxa"/>
            <w:tcBorders>
              <w:top w:val="nil"/>
              <w:left w:val="nil"/>
              <w:bottom w:val="double" w:sz="2" w:space="0" w:color="000000"/>
              <w:right w:val="nil"/>
            </w:tcBorders>
            <w:shd w:val="clear" w:color="auto" w:fill="auto"/>
            <w:noWrap/>
            <w:vAlign w:val="center"/>
          </w:tcPr>
          <w:p w14:paraId="13C4FEE5" w14:textId="77B4C52A" w:rsidR="00137BEA" w:rsidRPr="00E70FC8" w:rsidRDefault="00EC7D46" w:rsidP="00137BEA">
            <w:pPr>
              <w:autoSpaceDE/>
              <w:autoSpaceDN/>
              <w:jc w:val="center"/>
              <w:rPr>
                <w:rFonts w:eastAsia="Times New Roman"/>
                <w:sz w:val="16"/>
                <w:szCs w:val="16"/>
                <w:lang w:val="en-GB"/>
              </w:rPr>
            </w:pPr>
            <w:r w:rsidRPr="00E70FC8">
              <w:rPr>
                <w:rFonts w:eastAsia="Times New Roman"/>
                <w:sz w:val="16"/>
                <w:szCs w:val="16"/>
                <w:lang w:val="en-GB"/>
              </w:rPr>
              <w:t>3.4</w:t>
            </w:r>
          </w:p>
        </w:tc>
        <w:tc>
          <w:tcPr>
            <w:tcW w:w="518" w:type="dxa"/>
            <w:tcBorders>
              <w:top w:val="nil"/>
              <w:left w:val="nil"/>
              <w:bottom w:val="double" w:sz="2" w:space="0" w:color="000000"/>
              <w:right w:val="nil"/>
            </w:tcBorders>
            <w:shd w:val="clear" w:color="auto" w:fill="auto"/>
            <w:noWrap/>
            <w:vAlign w:val="center"/>
          </w:tcPr>
          <w:p w14:paraId="0773590F" w14:textId="6945A826" w:rsidR="00137BEA" w:rsidRPr="00E70FC8" w:rsidRDefault="00EC7D46" w:rsidP="00137BEA">
            <w:pPr>
              <w:autoSpaceDE/>
              <w:autoSpaceDN/>
              <w:jc w:val="center"/>
              <w:rPr>
                <w:rFonts w:eastAsia="Times New Roman"/>
                <w:sz w:val="16"/>
                <w:szCs w:val="16"/>
                <w:lang w:val="en-GB"/>
              </w:rPr>
            </w:pPr>
            <w:r w:rsidRPr="00E70FC8">
              <w:rPr>
                <w:rFonts w:eastAsia="Times New Roman"/>
                <w:sz w:val="16"/>
                <w:szCs w:val="16"/>
                <w:lang w:val="en-GB"/>
              </w:rPr>
              <w:t>3.1</w:t>
            </w:r>
          </w:p>
        </w:tc>
        <w:tc>
          <w:tcPr>
            <w:tcW w:w="522" w:type="dxa"/>
            <w:tcBorders>
              <w:top w:val="nil"/>
              <w:left w:val="nil"/>
              <w:bottom w:val="double" w:sz="2" w:space="0" w:color="000000"/>
              <w:right w:val="nil"/>
            </w:tcBorders>
            <w:shd w:val="clear" w:color="auto" w:fill="auto"/>
            <w:noWrap/>
            <w:vAlign w:val="center"/>
          </w:tcPr>
          <w:p w14:paraId="6F2C3AF6" w14:textId="7F258CAB" w:rsidR="00137BEA" w:rsidRPr="00E70FC8" w:rsidRDefault="00EC7D46" w:rsidP="00137BEA">
            <w:pPr>
              <w:autoSpaceDE/>
              <w:autoSpaceDN/>
              <w:jc w:val="center"/>
              <w:rPr>
                <w:rFonts w:eastAsia="Times New Roman"/>
                <w:sz w:val="16"/>
                <w:szCs w:val="16"/>
                <w:lang w:val="en-GB"/>
              </w:rPr>
            </w:pPr>
            <w:r w:rsidRPr="00E70FC8">
              <w:rPr>
                <w:rFonts w:eastAsia="Times New Roman"/>
                <w:sz w:val="16"/>
                <w:szCs w:val="16"/>
                <w:lang w:val="en-GB"/>
              </w:rPr>
              <w:t>3.0</w:t>
            </w:r>
          </w:p>
        </w:tc>
      </w:tr>
    </w:tbl>
    <w:p w14:paraId="153EE4C3" w14:textId="77777777" w:rsidR="001D56DC" w:rsidRPr="00E70FC8" w:rsidRDefault="001D56DC" w:rsidP="00AA3E3D">
      <w:pPr>
        <w:pStyle w:val="Text"/>
      </w:pPr>
    </w:p>
    <w:p w14:paraId="267E4B64" w14:textId="25C6986C" w:rsidR="005A4924" w:rsidRPr="00E70FC8" w:rsidRDefault="007153B5" w:rsidP="005A4924">
      <w:pPr>
        <w:adjustRightInd w:val="0"/>
        <w:spacing w:line="360" w:lineRule="auto"/>
        <w:ind w:left="142"/>
        <w:contextualSpacing/>
        <w:jc w:val="center"/>
        <w:rPr>
          <w:rFonts w:ascii="Arial" w:eastAsia="Times New Roman" w:hAnsi="Arial" w:cs="Arial"/>
          <w:b/>
        </w:rPr>
      </w:pPr>
      <w:r w:rsidRPr="00F776A1">
        <w:rPr>
          <w:rFonts w:ascii="Arial" w:hAnsi="Arial" w:cs="Arial"/>
          <w:noProof/>
          <w:lang w:val="en-GB" w:eastAsia="en-GB"/>
        </w:rPr>
        <w:drawing>
          <wp:inline distT="0" distB="0" distL="0" distR="0" wp14:anchorId="4ED2220D" wp14:editId="6E713D1D">
            <wp:extent cx="3084467" cy="2020479"/>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61F026F" w14:textId="1462C7FA" w:rsidR="005A4924" w:rsidRPr="00E70FC8" w:rsidRDefault="005A4924" w:rsidP="005A4924">
      <w:pPr>
        <w:pStyle w:val="figurecaption0"/>
      </w:pPr>
      <w:r w:rsidRPr="00E70FC8">
        <w:t>Fig.</w:t>
      </w:r>
      <w:r w:rsidR="00CD79F8" w:rsidRPr="00E70FC8">
        <w:t>5</w:t>
      </w:r>
      <w:r w:rsidRPr="00E70FC8">
        <w:t xml:space="preserve">. Tensile strengths of </w:t>
      </w:r>
      <w:r w:rsidR="00CD79F8" w:rsidRPr="00E70FC8">
        <w:t xml:space="preserve">AHS </w:t>
      </w:r>
      <w:r w:rsidRPr="00E70FC8">
        <w:t>replaced specimens at 91 days (N/mm</w:t>
      </w:r>
      <w:r w:rsidRPr="00E70FC8">
        <w:rPr>
          <w:vertAlign w:val="superscript"/>
        </w:rPr>
        <w:t>2</w:t>
      </w:r>
      <w:r w:rsidRPr="00E70FC8">
        <w:t>)</w:t>
      </w:r>
    </w:p>
    <w:p w14:paraId="1D903039" w14:textId="77777777" w:rsidR="00816718" w:rsidRPr="00E70FC8" w:rsidRDefault="00816718" w:rsidP="00AA3E3D">
      <w:pPr>
        <w:pStyle w:val="Text"/>
      </w:pPr>
    </w:p>
    <w:p w14:paraId="7EDFA280" w14:textId="6080D3CE" w:rsidR="006F23CB" w:rsidRPr="00E70FC8" w:rsidRDefault="00CD79F8" w:rsidP="006F23CB">
      <w:pPr>
        <w:pStyle w:val="Heading2"/>
      </w:pPr>
      <w:r w:rsidRPr="00E70FC8">
        <w:t xml:space="preserve">Percentage increase in </w:t>
      </w:r>
      <w:r w:rsidR="006F23CB" w:rsidRPr="00E70FC8">
        <w:t>compressive strength</w:t>
      </w:r>
      <w:r w:rsidRPr="00E70FC8">
        <w:t>s</w:t>
      </w:r>
    </w:p>
    <w:p w14:paraId="182A3A39" w14:textId="77777777" w:rsidR="00156BB2" w:rsidRPr="00E70FC8" w:rsidRDefault="00156BB2" w:rsidP="00156BB2">
      <w:pPr>
        <w:pStyle w:val="Default"/>
        <w:rPr>
          <w:color w:val="auto"/>
          <w:sz w:val="20"/>
          <w:szCs w:val="20"/>
        </w:rPr>
      </w:pPr>
      <w:r w:rsidRPr="00E70FC8">
        <w:rPr>
          <w:color w:val="auto"/>
          <w:sz w:val="20"/>
          <w:szCs w:val="20"/>
        </w:rPr>
        <w:t xml:space="preserve">Table IV and Fig. 6 show the percentage increase in compressive strengths of AHS replaced specimens between 28 and 91 days. From the results, all AHS replacements showed increases in compressive strength that were above those of the control specimens during this curing period. The results also showed higher increases in compressive strength with further replacement. </w:t>
      </w:r>
    </w:p>
    <w:p w14:paraId="04A9CCDE" w14:textId="084BC678" w:rsidR="0006241D" w:rsidRPr="00E70FC8" w:rsidRDefault="00156BB2" w:rsidP="00156BB2">
      <w:pPr>
        <w:pStyle w:val="Text"/>
        <w:ind w:firstLine="0"/>
      </w:pPr>
      <w:r w:rsidRPr="00E70FC8">
        <w:t>As was pointed out earlier, gain in compressive strength at a rate that is higher than 100% cement specimens over time is one of the major characteristics of SCMS, and is brought about by the reaction of SiO</w:t>
      </w:r>
      <w:r w:rsidRPr="00E70FC8">
        <w:rPr>
          <w:sz w:val="13"/>
          <w:szCs w:val="13"/>
        </w:rPr>
        <w:t xml:space="preserve">2 </w:t>
      </w:r>
      <w:r w:rsidRPr="00E70FC8">
        <w:t xml:space="preserve">present in SCMs with </w:t>
      </w:r>
      <w:proofErr w:type="gramStart"/>
      <w:r w:rsidRPr="00E70FC8">
        <w:t>Ca(</w:t>
      </w:r>
      <w:proofErr w:type="gramEnd"/>
      <w:r w:rsidRPr="00E70FC8">
        <w:t>OH)</w:t>
      </w:r>
      <w:r w:rsidRPr="00E70FC8">
        <w:rPr>
          <w:sz w:val="13"/>
          <w:szCs w:val="13"/>
        </w:rPr>
        <w:t xml:space="preserve">2 </w:t>
      </w:r>
      <w:r w:rsidRPr="00E70FC8">
        <w:t>that is released during the early hydration of cement, to produce strength giving compounds such as C-S-H [17],</w:t>
      </w:r>
    </w:p>
    <w:p w14:paraId="29323A8E" w14:textId="77777777" w:rsidR="00156BB2" w:rsidRPr="00E70FC8" w:rsidRDefault="00156BB2" w:rsidP="00156BB2">
      <w:pPr>
        <w:pStyle w:val="Text"/>
        <w:ind w:firstLine="0"/>
      </w:pPr>
    </w:p>
    <w:p w14:paraId="5E09A469" w14:textId="402010D3" w:rsidR="00156BB2" w:rsidRPr="00E70FC8" w:rsidRDefault="00156BB2" w:rsidP="00156BB2">
      <w:pPr>
        <w:pStyle w:val="Text"/>
        <w:ind w:firstLine="0"/>
        <w:rPr>
          <w:rFonts w:eastAsia="Times New Roman"/>
        </w:rPr>
      </w:pPr>
      <w:r w:rsidRPr="00E70FC8">
        <w:t xml:space="preserve">The </w:t>
      </w:r>
      <w:proofErr w:type="spellStart"/>
      <w:r w:rsidRPr="00E70FC8">
        <w:t>pozzolanic</w:t>
      </w:r>
      <w:proofErr w:type="spellEnd"/>
      <w:r w:rsidRPr="00E70FC8">
        <w:t xml:space="preserve"> reaction of SCMs reduces the width of the transition zone, porosity and the amount of free </w:t>
      </w:r>
      <w:proofErr w:type="gramStart"/>
      <w:r w:rsidRPr="00E70FC8">
        <w:t>Ca(</w:t>
      </w:r>
      <w:proofErr w:type="gramEnd"/>
      <w:r w:rsidRPr="00E70FC8">
        <w:t>OH)</w:t>
      </w:r>
      <w:r w:rsidRPr="00E70FC8">
        <w:rPr>
          <w:sz w:val="13"/>
          <w:szCs w:val="13"/>
        </w:rPr>
        <w:t xml:space="preserve">2 </w:t>
      </w:r>
      <w:r w:rsidRPr="00E70FC8">
        <w:t xml:space="preserve">between cement and aggregates, thereby contributing to enhanced strength and durability with time [17]. This </w:t>
      </w:r>
      <w:proofErr w:type="spellStart"/>
      <w:r w:rsidRPr="00E70FC8">
        <w:t>pozzolanic</w:t>
      </w:r>
      <w:proofErr w:type="spellEnd"/>
      <w:r w:rsidRPr="00E70FC8">
        <w:t xml:space="preserve"> reaction is the basis of the contribution that is made to strength through secondary hydration [17].</w:t>
      </w:r>
    </w:p>
    <w:p w14:paraId="2C25D62F" w14:textId="71E04C75" w:rsidR="00137BEA" w:rsidRPr="00E70FC8" w:rsidRDefault="001827E1" w:rsidP="001827E1">
      <w:pPr>
        <w:pStyle w:val="TableTitle"/>
      </w:pPr>
      <w:r w:rsidRPr="00E70FC8">
        <w:t xml:space="preserve">Table </w:t>
      </w:r>
      <w:r w:rsidR="00156BB2" w:rsidRPr="00E70FC8">
        <w:t>VI</w:t>
      </w:r>
      <w:r w:rsidRPr="00E70FC8">
        <w:t xml:space="preserve">. Percentage increase in compressive strengths of </w:t>
      </w:r>
      <w:r w:rsidR="00156BB2" w:rsidRPr="00E70FC8">
        <w:t xml:space="preserve">AHS </w:t>
      </w:r>
      <w:r w:rsidRPr="00E70FC8">
        <w:t>replaced specimens between 28 and 91 days</w:t>
      </w:r>
    </w:p>
    <w:tbl>
      <w:tblPr>
        <w:tblW w:w="5431" w:type="dxa"/>
        <w:tblInd w:w="-581" w:type="dxa"/>
        <w:tblLayout w:type="fixed"/>
        <w:tblLook w:val="04A0" w:firstRow="1" w:lastRow="0" w:firstColumn="1" w:lastColumn="0" w:noHBand="0" w:noVBand="1"/>
      </w:tblPr>
      <w:tblGrid>
        <w:gridCol w:w="823"/>
        <w:gridCol w:w="576"/>
        <w:gridCol w:w="576"/>
        <w:gridCol w:w="576"/>
        <w:gridCol w:w="576"/>
        <w:gridCol w:w="576"/>
        <w:gridCol w:w="576"/>
        <w:gridCol w:w="576"/>
        <w:gridCol w:w="576"/>
      </w:tblGrid>
      <w:tr w:rsidR="00E70FC8" w:rsidRPr="00E70FC8" w14:paraId="67F22D6C" w14:textId="77777777" w:rsidTr="00156BB2">
        <w:trPr>
          <w:trHeight w:val="268"/>
        </w:trPr>
        <w:tc>
          <w:tcPr>
            <w:tcW w:w="823" w:type="dxa"/>
            <w:vMerge w:val="restart"/>
            <w:tcBorders>
              <w:top w:val="double" w:sz="6" w:space="0" w:color="auto"/>
              <w:left w:val="nil"/>
              <w:bottom w:val="single" w:sz="4" w:space="0" w:color="auto"/>
              <w:right w:val="nil"/>
            </w:tcBorders>
            <w:shd w:val="clear" w:color="auto" w:fill="auto"/>
            <w:noWrap/>
            <w:vAlign w:val="bottom"/>
            <w:hideMark/>
          </w:tcPr>
          <w:p w14:paraId="319BBBFB" w14:textId="10880ED8" w:rsidR="001827E1" w:rsidRPr="00E70FC8" w:rsidRDefault="001827E1" w:rsidP="001827E1">
            <w:pPr>
              <w:autoSpaceDE/>
              <w:autoSpaceDN/>
              <w:rPr>
                <w:rFonts w:eastAsia="Times New Roman"/>
                <w:sz w:val="16"/>
                <w:szCs w:val="16"/>
                <w:lang w:val="en-GB"/>
              </w:rPr>
            </w:pPr>
            <w:r w:rsidRPr="00E70FC8">
              <w:rPr>
                <w:rFonts w:eastAsia="Times New Roman"/>
                <w:sz w:val="16"/>
                <w:szCs w:val="16"/>
                <w:lang w:val="en-GB"/>
              </w:rPr>
              <w:t> </w:t>
            </w:r>
            <w:r w:rsidR="00156BB2" w:rsidRPr="00E70FC8">
              <w:rPr>
                <w:rFonts w:eastAsia="Times New Roman"/>
                <w:sz w:val="16"/>
                <w:szCs w:val="16"/>
                <w:lang w:val="en-GB"/>
              </w:rPr>
              <w:t>Specimen</w:t>
            </w:r>
          </w:p>
        </w:tc>
        <w:tc>
          <w:tcPr>
            <w:tcW w:w="4608" w:type="dxa"/>
            <w:gridSpan w:val="8"/>
            <w:tcBorders>
              <w:top w:val="double" w:sz="6" w:space="0" w:color="auto"/>
              <w:left w:val="nil"/>
              <w:bottom w:val="single" w:sz="4" w:space="0" w:color="auto"/>
              <w:right w:val="nil"/>
            </w:tcBorders>
            <w:shd w:val="clear" w:color="auto" w:fill="auto"/>
            <w:noWrap/>
            <w:vAlign w:val="center"/>
            <w:hideMark/>
          </w:tcPr>
          <w:p w14:paraId="3E874F18" w14:textId="77777777" w:rsidR="001827E1" w:rsidRPr="00E70FC8" w:rsidRDefault="001827E1" w:rsidP="001827E1">
            <w:pPr>
              <w:autoSpaceDE/>
              <w:autoSpaceDN/>
              <w:jc w:val="center"/>
              <w:rPr>
                <w:rFonts w:eastAsia="Times New Roman"/>
                <w:sz w:val="16"/>
                <w:szCs w:val="16"/>
                <w:lang w:val="en-GB"/>
              </w:rPr>
            </w:pPr>
            <w:r w:rsidRPr="00E70FC8">
              <w:rPr>
                <w:rFonts w:eastAsia="Times New Roman"/>
                <w:sz w:val="16"/>
                <w:szCs w:val="16"/>
                <w:lang w:val="en-GB"/>
              </w:rPr>
              <w:t xml:space="preserve">Percentage increase in compressive strength </w:t>
            </w:r>
          </w:p>
        </w:tc>
      </w:tr>
      <w:tr w:rsidR="00E70FC8" w:rsidRPr="00E70FC8" w14:paraId="792B919C" w14:textId="77777777" w:rsidTr="00156BB2">
        <w:trPr>
          <w:trHeight w:val="251"/>
        </w:trPr>
        <w:tc>
          <w:tcPr>
            <w:tcW w:w="823" w:type="dxa"/>
            <w:vMerge/>
            <w:tcBorders>
              <w:top w:val="double" w:sz="6" w:space="0" w:color="auto"/>
              <w:left w:val="nil"/>
              <w:bottom w:val="single" w:sz="4" w:space="0" w:color="auto"/>
              <w:right w:val="nil"/>
            </w:tcBorders>
            <w:vAlign w:val="center"/>
            <w:hideMark/>
          </w:tcPr>
          <w:p w14:paraId="50C5830B" w14:textId="77777777" w:rsidR="001827E1" w:rsidRPr="00E70FC8" w:rsidRDefault="001827E1" w:rsidP="001827E1">
            <w:pPr>
              <w:autoSpaceDE/>
              <w:autoSpaceDN/>
              <w:rPr>
                <w:rFonts w:eastAsia="Times New Roman"/>
                <w:sz w:val="16"/>
                <w:szCs w:val="16"/>
                <w:lang w:val="en-GB"/>
              </w:rPr>
            </w:pPr>
          </w:p>
        </w:tc>
        <w:tc>
          <w:tcPr>
            <w:tcW w:w="576" w:type="dxa"/>
            <w:tcBorders>
              <w:top w:val="nil"/>
              <w:left w:val="nil"/>
              <w:bottom w:val="single" w:sz="4" w:space="0" w:color="auto"/>
              <w:right w:val="nil"/>
            </w:tcBorders>
            <w:shd w:val="clear" w:color="auto" w:fill="auto"/>
            <w:noWrap/>
            <w:vAlign w:val="center"/>
            <w:hideMark/>
          </w:tcPr>
          <w:p w14:paraId="44410BAC" w14:textId="77777777" w:rsidR="001827E1" w:rsidRPr="00E70FC8" w:rsidRDefault="001827E1" w:rsidP="001827E1">
            <w:pPr>
              <w:autoSpaceDE/>
              <w:autoSpaceDN/>
              <w:ind w:left="-400" w:firstLine="400"/>
              <w:jc w:val="center"/>
              <w:rPr>
                <w:rFonts w:eastAsia="Times New Roman"/>
                <w:sz w:val="16"/>
                <w:szCs w:val="16"/>
                <w:lang w:val="en-GB"/>
              </w:rPr>
            </w:pPr>
            <w:r w:rsidRPr="00E70FC8">
              <w:rPr>
                <w:rFonts w:eastAsia="Times New Roman"/>
                <w:sz w:val="16"/>
                <w:szCs w:val="16"/>
                <w:lang w:val="en-GB"/>
              </w:rPr>
              <w:t>0%</w:t>
            </w:r>
          </w:p>
        </w:tc>
        <w:tc>
          <w:tcPr>
            <w:tcW w:w="576" w:type="dxa"/>
            <w:tcBorders>
              <w:top w:val="nil"/>
              <w:left w:val="nil"/>
              <w:bottom w:val="single" w:sz="4" w:space="0" w:color="auto"/>
              <w:right w:val="nil"/>
            </w:tcBorders>
            <w:shd w:val="clear" w:color="auto" w:fill="auto"/>
            <w:noWrap/>
            <w:vAlign w:val="center"/>
            <w:hideMark/>
          </w:tcPr>
          <w:p w14:paraId="0E6994B0" w14:textId="77777777" w:rsidR="001827E1" w:rsidRPr="00E70FC8" w:rsidRDefault="001827E1" w:rsidP="001827E1">
            <w:pPr>
              <w:autoSpaceDE/>
              <w:autoSpaceDN/>
              <w:jc w:val="center"/>
              <w:rPr>
                <w:rFonts w:eastAsia="Times New Roman"/>
                <w:sz w:val="16"/>
                <w:szCs w:val="16"/>
                <w:lang w:val="en-GB"/>
              </w:rPr>
            </w:pPr>
            <w:r w:rsidRPr="00E70FC8">
              <w:rPr>
                <w:rFonts w:eastAsia="Times New Roman"/>
                <w:sz w:val="16"/>
                <w:szCs w:val="16"/>
                <w:lang w:val="en-GB"/>
              </w:rPr>
              <w:t>5%</w:t>
            </w:r>
          </w:p>
        </w:tc>
        <w:tc>
          <w:tcPr>
            <w:tcW w:w="576" w:type="dxa"/>
            <w:tcBorders>
              <w:top w:val="nil"/>
              <w:left w:val="nil"/>
              <w:bottom w:val="single" w:sz="4" w:space="0" w:color="auto"/>
              <w:right w:val="nil"/>
            </w:tcBorders>
            <w:shd w:val="clear" w:color="auto" w:fill="auto"/>
            <w:noWrap/>
            <w:vAlign w:val="center"/>
            <w:hideMark/>
          </w:tcPr>
          <w:p w14:paraId="0379D731" w14:textId="49C0ED01" w:rsidR="001827E1" w:rsidRPr="00E70FC8" w:rsidRDefault="001827E1" w:rsidP="001827E1">
            <w:pPr>
              <w:autoSpaceDE/>
              <w:autoSpaceDN/>
              <w:ind w:left="-391" w:firstLine="391"/>
              <w:jc w:val="center"/>
              <w:rPr>
                <w:rFonts w:eastAsia="Times New Roman"/>
                <w:sz w:val="16"/>
                <w:szCs w:val="16"/>
                <w:lang w:val="en-GB"/>
              </w:rPr>
            </w:pPr>
            <w:r w:rsidRPr="00E70FC8">
              <w:rPr>
                <w:rFonts w:eastAsia="Times New Roman"/>
                <w:sz w:val="16"/>
                <w:szCs w:val="16"/>
                <w:lang w:val="en-GB"/>
              </w:rPr>
              <w:t>7.5%</w:t>
            </w:r>
          </w:p>
        </w:tc>
        <w:tc>
          <w:tcPr>
            <w:tcW w:w="576" w:type="dxa"/>
            <w:tcBorders>
              <w:top w:val="nil"/>
              <w:left w:val="nil"/>
              <w:bottom w:val="single" w:sz="4" w:space="0" w:color="auto"/>
              <w:right w:val="nil"/>
            </w:tcBorders>
            <w:shd w:val="clear" w:color="auto" w:fill="auto"/>
            <w:noWrap/>
            <w:vAlign w:val="center"/>
            <w:hideMark/>
          </w:tcPr>
          <w:p w14:paraId="74412F91" w14:textId="77777777" w:rsidR="001827E1" w:rsidRPr="00E70FC8" w:rsidRDefault="001827E1" w:rsidP="001827E1">
            <w:pPr>
              <w:autoSpaceDE/>
              <w:autoSpaceDN/>
              <w:jc w:val="center"/>
              <w:rPr>
                <w:rFonts w:eastAsia="Times New Roman"/>
                <w:sz w:val="16"/>
                <w:szCs w:val="16"/>
                <w:lang w:val="en-GB"/>
              </w:rPr>
            </w:pPr>
            <w:r w:rsidRPr="00E70FC8">
              <w:rPr>
                <w:rFonts w:eastAsia="Times New Roman"/>
                <w:sz w:val="16"/>
                <w:szCs w:val="16"/>
                <w:lang w:val="en-GB"/>
              </w:rPr>
              <w:t>10%</w:t>
            </w:r>
          </w:p>
        </w:tc>
        <w:tc>
          <w:tcPr>
            <w:tcW w:w="576" w:type="dxa"/>
            <w:tcBorders>
              <w:top w:val="nil"/>
              <w:left w:val="nil"/>
              <w:bottom w:val="single" w:sz="4" w:space="0" w:color="auto"/>
              <w:right w:val="nil"/>
            </w:tcBorders>
            <w:shd w:val="clear" w:color="auto" w:fill="auto"/>
            <w:noWrap/>
            <w:vAlign w:val="center"/>
            <w:hideMark/>
          </w:tcPr>
          <w:p w14:paraId="03CAB36F" w14:textId="77777777" w:rsidR="001827E1" w:rsidRPr="00E70FC8" w:rsidRDefault="001827E1" w:rsidP="001827E1">
            <w:pPr>
              <w:autoSpaceDE/>
              <w:autoSpaceDN/>
              <w:jc w:val="center"/>
              <w:rPr>
                <w:rFonts w:eastAsia="Times New Roman"/>
                <w:sz w:val="16"/>
                <w:szCs w:val="16"/>
                <w:lang w:val="en-GB"/>
              </w:rPr>
            </w:pPr>
            <w:r w:rsidRPr="00E70FC8">
              <w:rPr>
                <w:rFonts w:eastAsia="Times New Roman"/>
                <w:sz w:val="16"/>
                <w:szCs w:val="16"/>
                <w:lang w:val="en-GB"/>
              </w:rPr>
              <w:t>15%</w:t>
            </w:r>
          </w:p>
        </w:tc>
        <w:tc>
          <w:tcPr>
            <w:tcW w:w="576" w:type="dxa"/>
            <w:tcBorders>
              <w:top w:val="nil"/>
              <w:left w:val="nil"/>
              <w:bottom w:val="single" w:sz="4" w:space="0" w:color="auto"/>
              <w:right w:val="nil"/>
            </w:tcBorders>
            <w:shd w:val="clear" w:color="auto" w:fill="auto"/>
            <w:noWrap/>
            <w:vAlign w:val="center"/>
            <w:hideMark/>
          </w:tcPr>
          <w:p w14:paraId="12525037" w14:textId="77777777" w:rsidR="001827E1" w:rsidRPr="00E70FC8" w:rsidRDefault="001827E1" w:rsidP="001827E1">
            <w:pPr>
              <w:autoSpaceDE/>
              <w:autoSpaceDN/>
              <w:jc w:val="center"/>
              <w:rPr>
                <w:rFonts w:eastAsia="Times New Roman"/>
                <w:sz w:val="16"/>
                <w:szCs w:val="16"/>
                <w:lang w:val="en-GB"/>
              </w:rPr>
            </w:pPr>
            <w:r w:rsidRPr="00E70FC8">
              <w:rPr>
                <w:rFonts w:eastAsia="Times New Roman"/>
                <w:sz w:val="16"/>
                <w:szCs w:val="16"/>
                <w:lang w:val="en-GB"/>
              </w:rPr>
              <w:t>20%</w:t>
            </w:r>
          </w:p>
        </w:tc>
        <w:tc>
          <w:tcPr>
            <w:tcW w:w="576" w:type="dxa"/>
            <w:tcBorders>
              <w:top w:val="nil"/>
              <w:left w:val="nil"/>
              <w:bottom w:val="single" w:sz="4" w:space="0" w:color="auto"/>
              <w:right w:val="nil"/>
            </w:tcBorders>
            <w:shd w:val="clear" w:color="auto" w:fill="auto"/>
            <w:noWrap/>
            <w:vAlign w:val="center"/>
            <w:hideMark/>
          </w:tcPr>
          <w:p w14:paraId="7ADC0BDE" w14:textId="77777777" w:rsidR="001827E1" w:rsidRPr="00E70FC8" w:rsidRDefault="001827E1" w:rsidP="001827E1">
            <w:pPr>
              <w:autoSpaceDE/>
              <w:autoSpaceDN/>
              <w:jc w:val="center"/>
              <w:rPr>
                <w:rFonts w:eastAsia="Times New Roman"/>
                <w:sz w:val="16"/>
                <w:szCs w:val="16"/>
                <w:lang w:val="en-GB"/>
              </w:rPr>
            </w:pPr>
            <w:r w:rsidRPr="00E70FC8">
              <w:rPr>
                <w:rFonts w:eastAsia="Times New Roman"/>
                <w:sz w:val="16"/>
                <w:szCs w:val="16"/>
                <w:lang w:val="en-GB"/>
              </w:rPr>
              <w:t>25%</w:t>
            </w:r>
          </w:p>
        </w:tc>
        <w:tc>
          <w:tcPr>
            <w:tcW w:w="576" w:type="dxa"/>
            <w:tcBorders>
              <w:top w:val="nil"/>
              <w:left w:val="nil"/>
              <w:bottom w:val="single" w:sz="4" w:space="0" w:color="auto"/>
              <w:right w:val="nil"/>
            </w:tcBorders>
            <w:shd w:val="clear" w:color="auto" w:fill="auto"/>
            <w:noWrap/>
            <w:vAlign w:val="center"/>
            <w:hideMark/>
          </w:tcPr>
          <w:p w14:paraId="66C04533" w14:textId="77777777" w:rsidR="001827E1" w:rsidRPr="00E70FC8" w:rsidRDefault="001827E1" w:rsidP="001827E1">
            <w:pPr>
              <w:autoSpaceDE/>
              <w:autoSpaceDN/>
              <w:jc w:val="center"/>
              <w:rPr>
                <w:rFonts w:eastAsia="Times New Roman"/>
                <w:sz w:val="16"/>
                <w:szCs w:val="16"/>
                <w:lang w:val="en-GB"/>
              </w:rPr>
            </w:pPr>
            <w:r w:rsidRPr="00E70FC8">
              <w:rPr>
                <w:rFonts w:eastAsia="Times New Roman"/>
                <w:sz w:val="16"/>
                <w:szCs w:val="16"/>
                <w:lang w:val="en-GB"/>
              </w:rPr>
              <w:t>30%</w:t>
            </w:r>
          </w:p>
        </w:tc>
      </w:tr>
      <w:tr w:rsidR="00E70FC8" w:rsidRPr="00E70FC8" w14:paraId="7ED647A0" w14:textId="77777777" w:rsidTr="00156BB2">
        <w:trPr>
          <w:trHeight w:val="268"/>
        </w:trPr>
        <w:tc>
          <w:tcPr>
            <w:tcW w:w="823" w:type="dxa"/>
            <w:tcBorders>
              <w:top w:val="nil"/>
              <w:left w:val="nil"/>
              <w:bottom w:val="double" w:sz="6" w:space="0" w:color="auto"/>
              <w:right w:val="nil"/>
            </w:tcBorders>
            <w:shd w:val="clear" w:color="auto" w:fill="auto"/>
            <w:noWrap/>
            <w:vAlign w:val="center"/>
            <w:hideMark/>
          </w:tcPr>
          <w:p w14:paraId="395A5D29" w14:textId="6AA89015" w:rsidR="001827E1" w:rsidRPr="00E70FC8" w:rsidRDefault="00156BB2" w:rsidP="001827E1">
            <w:pPr>
              <w:autoSpaceDE/>
              <w:autoSpaceDN/>
              <w:rPr>
                <w:rFonts w:eastAsia="Times New Roman"/>
                <w:sz w:val="16"/>
                <w:szCs w:val="16"/>
                <w:lang w:val="en-GB"/>
              </w:rPr>
            </w:pPr>
            <w:r w:rsidRPr="00E70FC8">
              <w:rPr>
                <w:rFonts w:eastAsia="Times New Roman"/>
                <w:sz w:val="16"/>
                <w:szCs w:val="16"/>
                <w:lang w:val="en-GB"/>
              </w:rPr>
              <w:t>AHS</w:t>
            </w:r>
          </w:p>
        </w:tc>
        <w:tc>
          <w:tcPr>
            <w:tcW w:w="576" w:type="dxa"/>
            <w:tcBorders>
              <w:top w:val="nil"/>
              <w:left w:val="nil"/>
              <w:bottom w:val="double" w:sz="6" w:space="0" w:color="auto"/>
              <w:right w:val="nil"/>
            </w:tcBorders>
            <w:shd w:val="clear" w:color="auto" w:fill="auto"/>
            <w:noWrap/>
            <w:vAlign w:val="center"/>
          </w:tcPr>
          <w:p w14:paraId="5AB4B24E" w14:textId="3D0F9D4F" w:rsidR="001827E1" w:rsidRPr="00E70FC8" w:rsidRDefault="00156BB2" w:rsidP="001827E1">
            <w:pPr>
              <w:autoSpaceDE/>
              <w:autoSpaceDN/>
              <w:jc w:val="center"/>
              <w:rPr>
                <w:rFonts w:eastAsia="Times New Roman"/>
                <w:sz w:val="16"/>
                <w:szCs w:val="16"/>
                <w:lang w:val="en-GB"/>
              </w:rPr>
            </w:pPr>
            <w:r w:rsidRPr="00E70FC8">
              <w:rPr>
                <w:rFonts w:eastAsia="Times New Roman"/>
                <w:sz w:val="16"/>
                <w:szCs w:val="16"/>
                <w:lang w:val="en-GB"/>
              </w:rPr>
              <w:t>15.7</w:t>
            </w:r>
          </w:p>
        </w:tc>
        <w:tc>
          <w:tcPr>
            <w:tcW w:w="576" w:type="dxa"/>
            <w:tcBorders>
              <w:top w:val="nil"/>
              <w:left w:val="nil"/>
              <w:bottom w:val="double" w:sz="6" w:space="0" w:color="auto"/>
              <w:right w:val="nil"/>
            </w:tcBorders>
            <w:shd w:val="clear" w:color="auto" w:fill="auto"/>
            <w:noWrap/>
            <w:vAlign w:val="center"/>
          </w:tcPr>
          <w:p w14:paraId="61292DF4" w14:textId="235247A1" w:rsidR="001827E1" w:rsidRPr="00E70FC8" w:rsidRDefault="00156BB2" w:rsidP="001827E1">
            <w:pPr>
              <w:autoSpaceDE/>
              <w:autoSpaceDN/>
              <w:jc w:val="center"/>
              <w:rPr>
                <w:rFonts w:eastAsia="Times New Roman"/>
                <w:sz w:val="16"/>
                <w:szCs w:val="16"/>
                <w:lang w:val="en-GB"/>
              </w:rPr>
            </w:pPr>
            <w:r w:rsidRPr="00E70FC8">
              <w:rPr>
                <w:rFonts w:eastAsia="Times New Roman"/>
                <w:sz w:val="16"/>
                <w:szCs w:val="16"/>
                <w:lang w:val="en-GB"/>
              </w:rPr>
              <w:t>16.7</w:t>
            </w:r>
          </w:p>
        </w:tc>
        <w:tc>
          <w:tcPr>
            <w:tcW w:w="576" w:type="dxa"/>
            <w:tcBorders>
              <w:top w:val="nil"/>
              <w:left w:val="nil"/>
              <w:bottom w:val="double" w:sz="6" w:space="0" w:color="auto"/>
              <w:right w:val="nil"/>
            </w:tcBorders>
            <w:shd w:val="clear" w:color="auto" w:fill="auto"/>
            <w:noWrap/>
            <w:vAlign w:val="center"/>
          </w:tcPr>
          <w:p w14:paraId="03D4DEC2" w14:textId="47CA762F" w:rsidR="001827E1" w:rsidRPr="00E70FC8" w:rsidRDefault="00156BB2" w:rsidP="001827E1">
            <w:pPr>
              <w:autoSpaceDE/>
              <w:autoSpaceDN/>
              <w:jc w:val="center"/>
              <w:rPr>
                <w:rFonts w:eastAsia="Times New Roman"/>
                <w:sz w:val="16"/>
                <w:szCs w:val="16"/>
                <w:lang w:val="en-GB"/>
              </w:rPr>
            </w:pPr>
            <w:r w:rsidRPr="00E70FC8">
              <w:rPr>
                <w:rFonts w:eastAsia="Times New Roman"/>
                <w:sz w:val="16"/>
                <w:szCs w:val="16"/>
                <w:lang w:val="en-GB"/>
              </w:rPr>
              <w:t>18.2</w:t>
            </w:r>
          </w:p>
        </w:tc>
        <w:tc>
          <w:tcPr>
            <w:tcW w:w="576" w:type="dxa"/>
            <w:tcBorders>
              <w:top w:val="nil"/>
              <w:left w:val="nil"/>
              <w:bottom w:val="double" w:sz="6" w:space="0" w:color="auto"/>
              <w:right w:val="nil"/>
            </w:tcBorders>
            <w:shd w:val="clear" w:color="auto" w:fill="auto"/>
            <w:noWrap/>
            <w:vAlign w:val="center"/>
          </w:tcPr>
          <w:p w14:paraId="18726849" w14:textId="6F5C3285" w:rsidR="001827E1" w:rsidRPr="00E70FC8" w:rsidRDefault="00156BB2" w:rsidP="001827E1">
            <w:pPr>
              <w:autoSpaceDE/>
              <w:autoSpaceDN/>
              <w:jc w:val="center"/>
              <w:rPr>
                <w:rFonts w:eastAsia="Times New Roman"/>
                <w:sz w:val="16"/>
                <w:szCs w:val="16"/>
                <w:lang w:val="en-GB"/>
              </w:rPr>
            </w:pPr>
            <w:r w:rsidRPr="00E70FC8">
              <w:rPr>
                <w:rFonts w:eastAsia="Times New Roman"/>
                <w:sz w:val="16"/>
                <w:szCs w:val="16"/>
                <w:lang w:val="en-GB"/>
              </w:rPr>
              <w:t>20.9</w:t>
            </w:r>
          </w:p>
        </w:tc>
        <w:tc>
          <w:tcPr>
            <w:tcW w:w="576" w:type="dxa"/>
            <w:tcBorders>
              <w:top w:val="nil"/>
              <w:left w:val="nil"/>
              <w:bottom w:val="double" w:sz="6" w:space="0" w:color="auto"/>
              <w:right w:val="nil"/>
            </w:tcBorders>
            <w:shd w:val="clear" w:color="auto" w:fill="auto"/>
            <w:noWrap/>
            <w:vAlign w:val="center"/>
          </w:tcPr>
          <w:p w14:paraId="781767A5" w14:textId="5AD6A014" w:rsidR="001827E1" w:rsidRPr="00E70FC8" w:rsidRDefault="00156BB2" w:rsidP="001827E1">
            <w:pPr>
              <w:autoSpaceDE/>
              <w:autoSpaceDN/>
              <w:jc w:val="center"/>
              <w:rPr>
                <w:rFonts w:eastAsia="Times New Roman"/>
                <w:sz w:val="16"/>
                <w:szCs w:val="16"/>
                <w:lang w:val="en-GB"/>
              </w:rPr>
            </w:pPr>
            <w:r w:rsidRPr="00E70FC8">
              <w:rPr>
                <w:rFonts w:eastAsia="Times New Roman"/>
                <w:sz w:val="16"/>
                <w:szCs w:val="16"/>
                <w:lang w:val="en-GB"/>
              </w:rPr>
              <w:t>24.7</w:t>
            </w:r>
          </w:p>
        </w:tc>
        <w:tc>
          <w:tcPr>
            <w:tcW w:w="576" w:type="dxa"/>
            <w:tcBorders>
              <w:top w:val="nil"/>
              <w:left w:val="nil"/>
              <w:bottom w:val="double" w:sz="6" w:space="0" w:color="auto"/>
              <w:right w:val="nil"/>
            </w:tcBorders>
            <w:shd w:val="clear" w:color="auto" w:fill="auto"/>
            <w:noWrap/>
            <w:vAlign w:val="center"/>
          </w:tcPr>
          <w:p w14:paraId="34F02ECF" w14:textId="307983E5" w:rsidR="001827E1" w:rsidRPr="00E70FC8" w:rsidRDefault="00156BB2" w:rsidP="001827E1">
            <w:pPr>
              <w:autoSpaceDE/>
              <w:autoSpaceDN/>
              <w:jc w:val="center"/>
              <w:rPr>
                <w:rFonts w:eastAsia="Times New Roman"/>
                <w:sz w:val="16"/>
                <w:szCs w:val="16"/>
                <w:lang w:val="en-GB"/>
              </w:rPr>
            </w:pPr>
            <w:r w:rsidRPr="00E70FC8">
              <w:rPr>
                <w:rFonts w:eastAsia="Times New Roman"/>
                <w:sz w:val="16"/>
                <w:szCs w:val="16"/>
                <w:lang w:val="en-GB"/>
              </w:rPr>
              <w:t>26.7</w:t>
            </w:r>
          </w:p>
        </w:tc>
        <w:tc>
          <w:tcPr>
            <w:tcW w:w="576" w:type="dxa"/>
            <w:tcBorders>
              <w:top w:val="nil"/>
              <w:left w:val="nil"/>
              <w:bottom w:val="double" w:sz="6" w:space="0" w:color="auto"/>
              <w:right w:val="nil"/>
            </w:tcBorders>
            <w:shd w:val="clear" w:color="auto" w:fill="auto"/>
            <w:noWrap/>
            <w:vAlign w:val="center"/>
          </w:tcPr>
          <w:p w14:paraId="7D409D6D" w14:textId="02A6A7C5" w:rsidR="001827E1" w:rsidRPr="00E70FC8" w:rsidRDefault="00156BB2" w:rsidP="001827E1">
            <w:pPr>
              <w:autoSpaceDE/>
              <w:autoSpaceDN/>
              <w:jc w:val="center"/>
              <w:rPr>
                <w:rFonts w:eastAsia="Times New Roman"/>
                <w:sz w:val="16"/>
                <w:szCs w:val="16"/>
                <w:lang w:val="en-GB"/>
              </w:rPr>
            </w:pPr>
            <w:r w:rsidRPr="00E70FC8">
              <w:rPr>
                <w:rFonts w:eastAsia="Times New Roman"/>
                <w:sz w:val="16"/>
                <w:szCs w:val="16"/>
                <w:lang w:val="en-GB"/>
              </w:rPr>
              <w:t>28.3</w:t>
            </w:r>
          </w:p>
        </w:tc>
        <w:tc>
          <w:tcPr>
            <w:tcW w:w="576" w:type="dxa"/>
            <w:tcBorders>
              <w:top w:val="nil"/>
              <w:left w:val="nil"/>
              <w:bottom w:val="double" w:sz="6" w:space="0" w:color="auto"/>
              <w:right w:val="nil"/>
            </w:tcBorders>
            <w:shd w:val="clear" w:color="auto" w:fill="auto"/>
            <w:noWrap/>
            <w:vAlign w:val="center"/>
          </w:tcPr>
          <w:p w14:paraId="32E463D2" w14:textId="45426CBD" w:rsidR="001827E1" w:rsidRPr="00E70FC8" w:rsidRDefault="00156BB2" w:rsidP="001827E1">
            <w:pPr>
              <w:autoSpaceDE/>
              <w:autoSpaceDN/>
              <w:jc w:val="center"/>
              <w:rPr>
                <w:rFonts w:eastAsia="Times New Roman"/>
                <w:sz w:val="16"/>
                <w:szCs w:val="16"/>
                <w:lang w:val="en-GB"/>
              </w:rPr>
            </w:pPr>
            <w:r w:rsidRPr="00E70FC8">
              <w:rPr>
                <w:rFonts w:eastAsia="Times New Roman"/>
                <w:sz w:val="16"/>
                <w:szCs w:val="16"/>
                <w:lang w:val="en-GB"/>
              </w:rPr>
              <w:t>31.3</w:t>
            </w:r>
          </w:p>
        </w:tc>
      </w:tr>
    </w:tbl>
    <w:p w14:paraId="42969D38" w14:textId="77777777" w:rsidR="00137BEA" w:rsidRPr="00E70FC8" w:rsidRDefault="00137BEA" w:rsidP="00AA3E3D">
      <w:pPr>
        <w:pStyle w:val="Text"/>
      </w:pPr>
    </w:p>
    <w:p w14:paraId="7BE8030A" w14:textId="72F2C891" w:rsidR="001827E1" w:rsidRPr="00E70FC8" w:rsidRDefault="007153B5" w:rsidP="001827E1">
      <w:pPr>
        <w:adjustRightInd w:val="0"/>
        <w:spacing w:line="360" w:lineRule="auto"/>
        <w:jc w:val="center"/>
        <w:rPr>
          <w:rFonts w:ascii="Arial" w:eastAsia="Times New Roman" w:hAnsi="Arial" w:cs="Arial"/>
        </w:rPr>
      </w:pPr>
      <w:r w:rsidRPr="00F776A1">
        <w:rPr>
          <w:rFonts w:ascii="Arial" w:hAnsi="Arial" w:cs="Arial"/>
          <w:noProof/>
          <w:lang w:val="en-GB" w:eastAsia="en-GB"/>
        </w:rPr>
        <w:lastRenderedPageBreak/>
        <w:drawing>
          <wp:inline distT="0" distB="0" distL="0" distR="0" wp14:anchorId="67054CD9" wp14:editId="3374904A">
            <wp:extent cx="3094355" cy="2159206"/>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D546467" w14:textId="5E10B5EB" w:rsidR="0006241D" w:rsidRPr="00E70FC8" w:rsidRDefault="001827E1" w:rsidP="0006241D">
      <w:pPr>
        <w:pStyle w:val="figurecaption0"/>
      </w:pPr>
      <w:r w:rsidRPr="00E70FC8">
        <w:t>Fig</w:t>
      </w:r>
      <w:r w:rsidR="00A0792A" w:rsidRPr="00E70FC8">
        <w:t>.</w:t>
      </w:r>
      <w:r w:rsidRPr="00E70FC8">
        <w:t xml:space="preserve"> </w:t>
      </w:r>
      <w:r w:rsidR="00156BB2" w:rsidRPr="00E70FC8">
        <w:t>6</w:t>
      </w:r>
      <w:r w:rsidRPr="00E70FC8">
        <w:t xml:space="preserve">. Percentage increase in compressive strengths of </w:t>
      </w:r>
      <w:r w:rsidR="00156BB2" w:rsidRPr="00E70FC8">
        <w:t>AHS</w:t>
      </w:r>
      <w:r w:rsidRPr="00E70FC8">
        <w:t>-replaced specimens between 28 and 91 days</w:t>
      </w:r>
      <w:r w:rsidR="0006241D" w:rsidRPr="00E70FC8">
        <w:t xml:space="preserve"> </w:t>
      </w:r>
    </w:p>
    <w:p w14:paraId="421FE3D2" w14:textId="5C73B4E5" w:rsidR="00156BB2" w:rsidRPr="00E70FC8" w:rsidRDefault="00156BB2" w:rsidP="0006241D">
      <w:pPr>
        <w:pStyle w:val="figurecaption0"/>
      </w:pPr>
    </w:p>
    <w:p w14:paraId="5DEFAB94" w14:textId="71485A7F" w:rsidR="00156BB2" w:rsidRPr="00E70FC8" w:rsidRDefault="00156BB2" w:rsidP="00156BB2">
      <w:pPr>
        <w:pStyle w:val="figurecaption0"/>
      </w:pPr>
      <w:r w:rsidRPr="00E70FC8">
        <w:rPr>
          <w:sz w:val="20"/>
          <w:szCs w:val="20"/>
        </w:rPr>
        <w:t>From this evidence, it can be concluded that AHS could be used as an SCM as it emulates the gain in strength behavior of SCMs.</w:t>
      </w:r>
    </w:p>
    <w:p w14:paraId="0C32EDB2" w14:textId="502AD089" w:rsidR="00B36CCE" w:rsidRPr="00E70FC8" w:rsidRDefault="00B36CCE" w:rsidP="00B36CCE">
      <w:pPr>
        <w:pStyle w:val="Heading1"/>
      </w:pPr>
      <w:r w:rsidRPr="00E70FC8">
        <w:t>Conclusion</w:t>
      </w:r>
    </w:p>
    <w:p w14:paraId="40941B13" w14:textId="62CAF01A" w:rsidR="00B36CCE" w:rsidRPr="00E70FC8" w:rsidRDefault="00156BB2" w:rsidP="00156BB2">
      <w:pPr>
        <w:jc w:val="both"/>
      </w:pPr>
      <w:r w:rsidRPr="00E70FC8">
        <w:t xml:space="preserve">This study investigated the suitability of anthill soil (AHS) to be used as a Supplementary Cementitious Material (SCM) in concrete and concluded that AHS satisfied all the characteristics of SCMs that were investigated. This evidence highlights the great potential of using AHS as an SCM in concrete to enhance the sustainability and economic aspect of concrete, while at the same time improving its properties in both wet and hardened states. This conclusion was arrived at based on the following evidence: - </w:t>
      </w:r>
    </w:p>
    <w:p w14:paraId="61717512" w14:textId="7AFF1C64" w:rsidR="00156BB2" w:rsidRPr="00E70FC8" w:rsidRDefault="00156BB2" w:rsidP="007153B5">
      <w:pPr>
        <w:pStyle w:val="Default"/>
        <w:numPr>
          <w:ilvl w:val="0"/>
          <w:numId w:val="14"/>
        </w:numPr>
        <w:rPr>
          <w:color w:val="auto"/>
          <w:sz w:val="20"/>
          <w:szCs w:val="20"/>
        </w:rPr>
      </w:pPr>
      <w:r w:rsidRPr="00E70FC8">
        <w:rPr>
          <w:color w:val="auto"/>
          <w:sz w:val="20"/>
          <w:szCs w:val="20"/>
        </w:rPr>
        <w:t>The chemical analysis showed that AHS contained the sum of SiO</w:t>
      </w:r>
      <w:r w:rsidRPr="00E70FC8">
        <w:rPr>
          <w:color w:val="auto"/>
          <w:sz w:val="13"/>
          <w:szCs w:val="13"/>
        </w:rPr>
        <w:t>2</w:t>
      </w:r>
      <w:r w:rsidRPr="00E70FC8">
        <w:rPr>
          <w:color w:val="auto"/>
          <w:sz w:val="20"/>
          <w:szCs w:val="20"/>
        </w:rPr>
        <w:t>, Al</w:t>
      </w:r>
      <w:r w:rsidRPr="00E70FC8">
        <w:rPr>
          <w:color w:val="auto"/>
          <w:sz w:val="13"/>
          <w:szCs w:val="13"/>
        </w:rPr>
        <w:t>2</w:t>
      </w:r>
      <w:r w:rsidRPr="00E70FC8">
        <w:rPr>
          <w:color w:val="auto"/>
          <w:sz w:val="20"/>
          <w:szCs w:val="20"/>
        </w:rPr>
        <w:t>O</w:t>
      </w:r>
      <w:r w:rsidRPr="00E70FC8">
        <w:rPr>
          <w:color w:val="auto"/>
          <w:sz w:val="13"/>
          <w:szCs w:val="13"/>
        </w:rPr>
        <w:t xml:space="preserve">3 </w:t>
      </w:r>
      <w:r w:rsidRPr="00E70FC8">
        <w:rPr>
          <w:color w:val="auto"/>
          <w:sz w:val="20"/>
          <w:szCs w:val="20"/>
        </w:rPr>
        <w:t>and Fe</w:t>
      </w:r>
      <w:r w:rsidRPr="00E70FC8">
        <w:rPr>
          <w:color w:val="auto"/>
          <w:sz w:val="13"/>
          <w:szCs w:val="13"/>
        </w:rPr>
        <w:t>2</w:t>
      </w:r>
      <w:r w:rsidRPr="00E70FC8">
        <w:rPr>
          <w:color w:val="auto"/>
          <w:sz w:val="20"/>
          <w:szCs w:val="20"/>
        </w:rPr>
        <w:t>O</w:t>
      </w:r>
      <w:r w:rsidRPr="00E70FC8">
        <w:rPr>
          <w:color w:val="auto"/>
          <w:sz w:val="13"/>
          <w:szCs w:val="13"/>
        </w:rPr>
        <w:t xml:space="preserve">3 </w:t>
      </w:r>
      <w:r w:rsidRPr="00E70FC8">
        <w:rPr>
          <w:color w:val="auto"/>
          <w:sz w:val="20"/>
          <w:szCs w:val="20"/>
        </w:rPr>
        <w:t xml:space="preserve">of at least 70% by mass, which is the requirement for natural </w:t>
      </w:r>
      <w:proofErr w:type="spellStart"/>
      <w:r w:rsidRPr="00E70FC8">
        <w:rPr>
          <w:color w:val="auto"/>
          <w:sz w:val="20"/>
          <w:szCs w:val="20"/>
        </w:rPr>
        <w:t>pozzolans</w:t>
      </w:r>
      <w:proofErr w:type="spellEnd"/>
      <w:r w:rsidRPr="00E70FC8">
        <w:rPr>
          <w:color w:val="auto"/>
          <w:sz w:val="20"/>
          <w:szCs w:val="20"/>
        </w:rPr>
        <w:t>.</w:t>
      </w:r>
    </w:p>
    <w:p w14:paraId="7EB0AA30" w14:textId="76062819" w:rsidR="00156BB2" w:rsidRPr="00E70FC8" w:rsidRDefault="00156BB2" w:rsidP="007153B5">
      <w:pPr>
        <w:pStyle w:val="Default"/>
        <w:numPr>
          <w:ilvl w:val="0"/>
          <w:numId w:val="14"/>
        </w:numPr>
        <w:rPr>
          <w:color w:val="auto"/>
          <w:sz w:val="20"/>
          <w:szCs w:val="20"/>
        </w:rPr>
      </w:pPr>
      <w:r w:rsidRPr="00E70FC8">
        <w:rPr>
          <w:color w:val="auto"/>
          <w:sz w:val="20"/>
          <w:szCs w:val="20"/>
        </w:rPr>
        <w:t>AHS improved the workability of concrete tested, with slumps increasing with increased replacement. Improving the workability of concrete is one of the characteristics of SCMs.</w:t>
      </w:r>
    </w:p>
    <w:p w14:paraId="2F3F373B" w14:textId="2736AD06" w:rsidR="00156BB2" w:rsidRPr="00E70FC8" w:rsidRDefault="00156BB2" w:rsidP="007153B5">
      <w:pPr>
        <w:pStyle w:val="Default"/>
        <w:numPr>
          <w:ilvl w:val="0"/>
          <w:numId w:val="14"/>
        </w:numPr>
        <w:rPr>
          <w:color w:val="auto"/>
          <w:sz w:val="20"/>
          <w:szCs w:val="20"/>
        </w:rPr>
      </w:pPr>
      <w:r w:rsidRPr="00E70FC8">
        <w:rPr>
          <w:color w:val="auto"/>
          <w:sz w:val="20"/>
          <w:szCs w:val="20"/>
        </w:rPr>
        <w:t xml:space="preserve">The lower densities of AHS specimens compared with those of the control specimens, and the decrease in density over curing age due to the consumption of </w:t>
      </w:r>
      <w:proofErr w:type="gramStart"/>
      <w:r w:rsidRPr="00E70FC8">
        <w:rPr>
          <w:color w:val="auto"/>
          <w:sz w:val="20"/>
          <w:szCs w:val="20"/>
        </w:rPr>
        <w:t>Ca(</w:t>
      </w:r>
      <w:proofErr w:type="gramEnd"/>
      <w:r w:rsidRPr="00E70FC8">
        <w:rPr>
          <w:color w:val="auto"/>
          <w:sz w:val="20"/>
          <w:szCs w:val="20"/>
        </w:rPr>
        <w:t>OH)</w:t>
      </w:r>
      <w:r w:rsidRPr="00E70FC8">
        <w:rPr>
          <w:color w:val="auto"/>
          <w:sz w:val="13"/>
          <w:szCs w:val="13"/>
        </w:rPr>
        <w:t xml:space="preserve">2 </w:t>
      </w:r>
      <w:r w:rsidRPr="00E70FC8">
        <w:rPr>
          <w:color w:val="auto"/>
          <w:sz w:val="20"/>
          <w:szCs w:val="20"/>
        </w:rPr>
        <w:t xml:space="preserve">by the reaction that involves SCMs during secondary hydration to form the less dense C-S-H is another major characteristic of SCMs. </w:t>
      </w:r>
    </w:p>
    <w:p w14:paraId="53256955" w14:textId="77777777" w:rsidR="00156BB2" w:rsidRPr="00E70FC8" w:rsidRDefault="00156BB2" w:rsidP="007153B5">
      <w:pPr>
        <w:pStyle w:val="Default"/>
        <w:numPr>
          <w:ilvl w:val="0"/>
          <w:numId w:val="14"/>
        </w:numPr>
        <w:rPr>
          <w:color w:val="auto"/>
        </w:rPr>
      </w:pPr>
      <w:r w:rsidRPr="00E70FC8">
        <w:rPr>
          <w:color w:val="auto"/>
          <w:sz w:val="20"/>
          <w:szCs w:val="20"/>
        </w:rPr>
        <w:t xml:space="preserve">The compressive strengths achieved by all replacements at 91 days were of concrete grades that are suitable for structural applications. </w:t>
      </w:r>
    </w:p>
    <w:p w14:paraId="60634685" w14:textId="77777777" w:rsidR="007153B5" w:rsidRDefault="00156BB2" w:rsidP="00905F1F">
      <w:pPr>
        <w:pStyle w:val="Default"/>
        <w:numPr>
          <w:ilvl w:val="0"/>
          <w:numId w:val="14"/>
        </w:numPr>
        <w:rPr>
          <w:color w:val="auto"/>
          <w:sz w:val="20"/>
          <w:szCs w:val="20"/>
        </w:rPr>
      </w:pPr>
      <w:r w:rsidRPr="007153B5">
        <w:rPr>
          <w:color w:val="auto"/>
          <w:sz w:val="20"/>
          <w:szCs w:val="20"/>
        </w:rPr>
        <w:t xml:space="preserve">Tensile strengths observed showed a good relationship between AHS specimens and the control specimens, spelling the possibility of AHS being used in concrete without affecting its structural integrity. </w:t>
      </w:r>
    </w:p>
    <w:p w14:paraId="358AE5B7" w14:textId="29CE0A06" w:rsidR="00156BB2" w:rsidRPr="007153B5" w:rsidRDefault="00156BB2" w:rsidP="00905F1F">
      <w:pPr>
        <w:pStyle w:val="Default"/>
        <w:numPr>
          <w:ilvl w:val="0"/>
          <w:numId w:val="14"/>
        </w:numPr>
        <w:rPr>
          <w:color w:val="auto"/>
          <w:sz w:val="20"/>
          <w:szCs w:val="20"/>
        </w:rPr>
      </w:pPr>
      <w:r w:rsidRPr="007153B5">
        <w:rPr>
          <w:color w:val="auto"/>
          <w:sz w:val="20"/>
          <w:szCs w:val="20"/>
        </w:rPr>
        <w:t xml:space="preserve">In line with the characteristics of SCMs, AHS replaced specimens gained strength at a higher rate than the control specimens. </w:t>
      </w:r>
    </w:p>
    <w:p w14:paraId="608B757F" w14:textId="77777777" w:rsidR="00156BB2" w:rsidRPr="00E70FC8" w:rsidRDefault="00156BB2" w:rsidP="00156BB2">
      <w:pPr>
        <w:pStyle w:val="Default"/>
        <w:rPr>
          <w:color w:val="auto"/>
          <w:sz w:val="20"/>
          <w:szCs w:val="20"/>
        </w:rPr>
      </w:pPr>
      <w:r w:rsidRPr="00E70FC8">
        <w:rPr>
          <w:color w:val="auto"/>
          <w:sz w:val="20"/>
          <w:szCs w:val="20"/>
        </w:rPr>
        <w:t xml:space="preserve">ACKNOWLEDGMENT </w:t>
      </w:r>
    </w:p>
    <w:p w14:paraId="7155E0C3" w14:textId="6127807F" w:rsidR="00156BB2" w:rsidRPr="00E70FC8" w:rsidRDefault="00156BB2" w:rsidP="00156BB2">
      <w:pPr>
        <w:pStyle w:val="Default"/>
        <w:rPr>
          <w:color w:val="auto"/>
          <w:sz w:val="20"/>
          <w:szCs w:val="20"/>
        </w:rPr>
      </w:pPr>
      <w:r w:rsidRPr="00E70FC8">
        <w:rPr>
          <w:color w:val="auto"/>
          <w:sz w:val="20"/>
          <w:szCs w:val="20"/>
        </w:rPr>
        <w:t xml:space="preserve">The authors would like to acknowledge Agnes </w:t>
      </w:r>
      <w:proofErr w:type="spellStart"/>
      <w:r w:rsidRPr="00E70FC8">
        <w:rPr>
          <w:color w:val="auto"/>
          <w:sz w:val="20"/>
          <w:szCs w:val="20"/>
        </w:rPr>
        <w:t>Muringo</w:t>
      </w:r>
      <w:proofErr w:type="spellEnd"/>
      <w:r w:rsidRPr="00E70FC8">
        <w:rPr>
          <w:color w:val="auto"/>
          <w:sz w:val="20"/>
          <w:szCs w:val="20"/>
        </w:rPr>
        <w:t xml:space="preserve"> </w:t>
      </w:r>
      <w:proofErr w:type="spellStart"/>
      <w:r w:rsidRPr="00E70FC8">
        <w:rPr>
          <w:color w:val="auto"/>
          <w:sz w:val="20"/>
          <w:szCs w:val="20"/>
        </w:rPr>
        <w:t>Mwangi</w:t>
      </w:r>
      <w:proofErr w:type="spellEnd"/>
      <w:r w:rsidRPr="00E70FC8">
        <w:rPr>
          <w:color w:val="auto"/>
          <w:sz w:val="20"/>
          <w:szCs w:val="20"/>
        </w:rPr>
        <w:t xml:space="preserve"> and </w:t>
      </w:r>
      <w:proofErr w:type="spellStart"/>
      <w:r w:rsidRPr="00E70FC8">
        <w:rPr>
          <w:color w:val="auto"/>
          <w:sz w:val="20"/>
          <w:szCs w:val="20"/>
        </w:rPr>
        <w:t>Samwel</w:t>
      </w:r>
      <w:proofErr w:type="spellEnd"/>
      <w:r w:rsidRPr="00E70FC8">
        <w:rPr>
          <w:color w:val="auto"/>
          <w:sz w:val="20"/>
          <w:szCs w:val="20"/>
        </w:rPr>
        <w:t xml:space="preserve"> </w:t>
      </w:r>
      <w:proofErr w:type="spellStart"/>
      <w:r w:rsidRPr="00E70FC8">
        <w:rPr>
          <w:color w:val="auto"/>
          <w:sz w:val="20"/>
          <w:szCs w:val="20"/>
        </w:rPr>
        <w:t>Kibiribiri</w:t>
      </w:r>
      <w:proofErr w:type="spellEnd"/>
      <w:r w:rsidRPr="00E70FC8">
        <w:rPr>
          <w:color w:val="auto"/>
          <w:sz w:val="20"/>
          <w:szCs w:val="20"/>
        </w:rPr>
        <w:t xml:space="preserve"> for supplying anthill soil and Rebecca, Tamia and Philomena </w:t>
      </w:r>
      <w:proofErr w:type="spellStart"/>
      <w:r w:rsidRPr="00E70FC8">
        <w:rPr>
          <w:color w:val="auto"/>
          <w:sz w:val="20"/>
          <w:szCs w:val="20"/>
        </w:rPr>
        <w:t>Chege</w:t>
      </w:r>
      <w:proofErr w:type="spellEnd"/>
      <w:r w:rsidRPr="00E70FC8">
        <w:rPr>
          <w:color w:val="auto"/>
          <w:sz w:val="20"/>
          <w:szCs w:val="20"/>
        </w:rPr>
        <w:t xml:space="preserve"> for their help.</w:t>
      </w:r>
    </w:p>
    <w:p w14:paraId="779889CE" w14:textId="77777777" w:rsidR="00156BB2" w:rsidRPr="00E70FC8" w:rsidRDefault="00156BB2" w:rsidP="00156BB2">
      <w:pPr>
        <w:pStyle w:val="Default"/>
        <w:rPr>
          <w:color w:val="auto"/>
          <w:sz w:val="20"/>
          <w:szCs w:val="20"/>
        </w:rPr>
      </w:pPr>
    </w:p>
    <w:p w14:paraId="653D3287" w14:textId="77777777" w:rsidR="00156BB2" w:rsidRPr="00E70FC8" w:rsidRDefault="00156BB2" w:rsidP="00156BB2">
      <w:pPr>
        <w:pStyle w:val="Default"/>
        <w:rPr>
          <w:color w:val="auto"/>
          <w:sz w:val="20"/>
          <w:szCs w:val="20"/>
        </w:rPr>
      </w:pPr>
    </w:p>
    <w:p w14:paraId="541B7851" w14:textId="77777777" w:rsidR="00C42390" w:rsidRPr="00C42390" w:rsidRDefault="00C42390" w:rsidP="00C42390">
      <w:pPr>
        <w:pStyle w:val="ReferenceHead"/>
        <w:rPr>
          <w:lang w:val="en-GB"/>
        </w:rPr>
      </w:pPr>
      <w:r>
        <w:rPr>
          <w:iCs/>
          <w:lang w:val="en-GB"/>
        </w:rPr>
        <w:lastRenderedPageBreak/>
        <w:t xml:space="preserve">      </w:t>
      </w:r>
      <w:r w:rsidRPr="00C42390">
        <w:rPr>
          <w:lang w:val="en-GB"/>
        </w:rPr>
        <w:t>References</w:t>
      </w:r>
    </w:p>
    <w:p w14:paraId="3CE3A813" w14:textId="77777777" w:rsidR="00C42390" w:rsidRPr="00C42390" w:rsidRDefault="00C42390" w:rsidP="00C42390">
      <w:pPr>
        <w:numPr>
          <w:ilvl w:val="0"/>
          <w:numId w:val="2"/>
        </w:numPr>
        <w:ind w:left="357" w:hanging="357"/>
        <w:jc w:val="both"/>
        <w:rPr>
          <w:iCs/>
          <w:sz w:val="16"/>
          <w:szCs w:val="16"/>
          <w:lang w:val="en-GB"/>
        </w:rPr>
      </w:pPr>
      <w:r w:rsidRPr="00C42390">
        <w:rPr>
          <w:iCs/>
          <w:sz w:val="16"/>
          <w:szCs w:val="16"/>
          <w:lang w:val="en-GB"/>
        </w:rPr>
        <w:fldChar w:fldCharType="begin"/>
      </w:r>
      <w:r w:rsidRPr="00C42390">
        <w:rPr>
          <w:iCs/>
          <w:sz w:val="16"/>
          <w:szCs w:val="16"/>
          <w:lang w:val="en-GB"/>
        </w:rPr>
        <w:instrText xml:space="preserve"> ADDIN EN.REFLIST </w:instrText>
      </w:r>
      <w:r w:rsidRPr="00C42390">
        <w:rPr>
          <w:iCs/>
          <w:sz w:val="16"/>
          <w:szCs w:val="16"/>
          <w:lang w:val="en-GB"/>
        </w:rPr>
        <w:fldChar w:fldCharType="separate"/>
      </w:r>
      <w:r w:rsidRPr="00C42390">
        <w:rPr>
          <w:iCs/>
          <w:sz w:val="16"/>
          <w:szCs w:val="16"/>
          <w:lang w:val="en-GB"/>
        </w:rPr>
        <w:t>W. R. Cline, The economics of global warming: The Peterson Institute Press, 1992.</w:t>
      </w:r>
    </w:p>
    <w:p w14:paraId="04B3A2EB" w14:textId="77777777" w:rsidR="00C42390" w:rsidRPr="00C42390" w:rsidRDefault="00C42390" w:rsidP="00C42390">
      <w:pPr>
        <w:numPr>
          <w:ilvl w:val="0"/>
          <w:numId w:val="2"/>
        </w:numPr>
        <w:ind w:left="357" w:hanging="357"/>
        <w:jc w:val="both"/>
        <w:rPr>
          <w:iCs/>
          <w:sz w:val="16"/>
          <w:szCs w:val="16"/>
          <w:lang w:val="en-GB"/>
        </w:rPr>
      </w:pPr>
      <w:r w:rsidRPr="00C42390">
        <w:rPr>
          <w:iCs/>
          <w:sz w:val="16"/>
          <w:szCs w:val="16"/>
          <w:lang w:val="en-GB"/>
        </w:rPr>
        <w:t xml:space="preserve">F. </w:t>
      </w:r>
      <w:proofErr w:type="spellStart"/>
      <w:r w:rsidRPr="00C42390">
        <w:rPr>
          <w:iCs/>
          <w:sz w:val="16"/>
          <w:szCs w:val="16"/>
          <w:lang w:val="en-GB"/>
        </w:rPr>
        <w:t>Akinboboye</w:t>
      </w:r>
      <w:proofErr w:type="spellEnd"/>
      <w:r w:rsidRPr="00C42390">
        <w:rPr>
          <w:iCs/>
          <w:sz w:val="16"/>
          <w:szCs w:val="16"/>
          <w:lang w:val="en-GB"/>
        </w:rPr>
        <w:t xml:space="preserve">, I. </w:t>
      </w:r>
      <w:proofErr w:type="spellStart"/>
      <w:r w:rsidRPr="00C42390">
        <w:rPr>
          <w:iCs/>
          <w:sz w:val="16"/>
          <w:szCs w:val="16"/>
          <w:lang w:val="en-GB"/>
        </w:rPr>
        <w:t>Ogunfayo</w:t>
      </w:r>
      <w:proofErr w:type="spellEnd"/>
      <w:r w:rsidRPr="00C42390">
        <w:rPr>
          <w:iCs/>
          <w:sz w:val="16"/>
          <w:szCs w:val="16"/>
          <w:lang w:val="en-GB"/>
        </w:rPr>
        <w:t xml:space="preserve">, and H. </w:t>
      </w:r>
      <w:proofErr w:type="spellStart"/>
      <w:r w:rsidRPr="00C42390">
        <w:rPr>
          <w:iCs/>
          <w:sz w:val="16"/>
          <w:szCs w:val="16"/>
          <w:lang w:val="en-GB"/>
        </w:rPr>
        <w:t>Dawodu</w:t>
      </w:r>
      <w:proofErr w:type="spellEnd"/>
      <w:r w:rsidRPr="00C42390">
        <w:rPr>
          <w:iCs/>
          <w:sz w:val="16"/>
          <w:szCs w:val="16"/>
          <w:lang w:val="en-GB"/>
        </w:rPr>
        <w:t>, "Assessment of the Severity of CO2 Emission from Anthill Soils Used as Replacement for Shale in Cement Manufacture," International Journal of Academic Research in Business and Social Sciences, vol. 2, No.12, 2012.</w:t>
      </w:r>
    </w:p>
    <w:p w14:paraId="7A7DC5D1" w14:textId="77777777" w:rsidR="00C42390" w:rsidRPr="00C42390" w:rsidRDefault="00C42390" w:rsidP="00C42390">
      <w:pPr>
        <w:numPr>
          <w:ilvl w:val="0"/>
          <w:numId w:val="2"/>
        </w:numPr>
        <w:ind w:left="357" w:hanging="357"/>
        <w:jc w:val="both"/>
        <w:rPr>
          <w:iCs/>
          <w:sz w:val="16"/>
          <w:szCs w:val="16"/>
          <w:lang w:val="en-GB"/>
        </w:rPr>
      </w:pPr>
      <w:r w:rsidRPr="00C42390">
        <w:rPr>
          <w:iCs/>
          <w:sz w:val="16"/>
          <w:szCs w:val="16"/>
          <w:lang w:val="en-GB"/>
        </w:rPr>
        <w:t xml:space="preserve">E. J. O'Brien, A. S. Dixon, and E. </w:t>
      </w:r>
      <w:proofErr w:type="spellStart"/>
      <w:r w:rsidRPr="00C42390">
        <w:rPr>
          <w:iCs/>
          <w:sz w:val="16"/>
          <w:szCs w:val="16"/>
          <w:lang w:val="en-GB"/>
        </w:rPr>
        <w:t>Sheils</w:t>
      </w:r>
      <w:proofErr w:type="spellEnd"/>
      <w:r w:rsidRPr="00C42390">
        <w:rPr>
          <w:iCs/>
          <w:sz w:val="16"/>
          <w:szCs w:val="16"/>
          <w:lang w:val="en-GB"/>
        </w:rPr>
        <w:t xml:space="preserve">, Reinforced and </w:t>
      </w:r>
      <w:proofErr w:type="spellStart"/>
      <w:r w:rsidRPr="00C42390">
        <w:rPr>
          <w:iCs/>
          <w:sz w:val="16"/>
          <w:szCs w:val="16"/>
          <w:lang w:val="en-GB"/>
        </w:rPr>
        <w:t>Prestressed</w:t>
      </w:r>
      <w:proofErr w:type="spellEnd"/>
      <w:r w:rsidRPr="00C42390">
        <w:rPr>
          <w:iCs/>
          <w:sz w:val="16"/>
          <w:szCs w:val="16"/>
          <w:lang w:val="en-GB"/>
        </w:rPr>
        <w:t xml:space="preserve"> Concrete Design to EC2: The Complete Process: </w:t>
      </w:r>
      <w:proofErr w:type="spellStart"/>
      <w:r w:rsidRPr="00C42390">
        <w:rPr>
          <w:iCs/>
          <w:sz w:val="16"/>
          <w:szCs w:val="16"/>
          <w:lang w:val="en-GB"/>
        </w:rPr>
        <w:t>Spon</w:t>
      </w:r>
      <w:proofErr w:type="spellEnd"/>
      <w:r w:rsidRPr="00C42390">
        <w:rPr>
          <w:iCs/>
          <w:sz w:val="16"/>
          <w:szCs w:val="16"/>
          <w:lang w:val="en-GB"/>
        </w:rPr>
        <w:t xml:space="preserve"> Press, 2012.</w:t>
      </w:r>
    </w:p>
    <w:p w14:paraId="461AE8D3" w14:textId="77777777" w:rsidR="00C42390" w:rsidRPr="00C42390" w:rsidRDefault="00C42390" w:rsidP="00C42390">
      <w:pPr>
        <w:numPr>
          <w:ilvl w:val="0"/>
          <w:numId w:val="2"/>
        </w:numPr>
        <w:ind w:left="357" w:hanging="357"/>
        <w:jc w:val="both"/>
        <w:rPr>
          <w:iCs/>
          <w:sz w:val="16"/>
          <w:szCs w:val="16"/>
          <w:lang w:val="en-GB"/>
        </w:rPr>
      </w:pPr>
      <w:r w:rsidRPr="00C42390">
        <w:rPr>
          <w:iCs/>
          <w:sz w:val="16"/>
          <w:szCs w:val="16"/>
          <w:lang w:val="en-GB"/>
        </w:rPr>
        <w:t>M. Islam and M. Islam, "Strength and durability characteristics of concrete made with fly-ash blended cement," Australian Journal of Structural Engineering, vol. 14, 2013.</w:t>
      </w:r>
    </w:p>
    <w:p w14:paraId="1162B0E9" w14:textId="77777777" w:rsidR="00C42390" w:rsidRPr="00C42390" w:rsidRDefault="00C42390" w:rsidP="00C42390">
      <w:pPr>
        <w:numPr>
          <w:ilvl w:val="0"/>
          <w:numId w:val="2"/>
        </w:numPr>
        <w:ind w:left="357" w:hanging="357"/>
        <w:jc w:val="both"/>
        <w:rPr>
          <w:iCs/>
          <w:sz w:val="16"/>
          <w:szCs w:val="16"/>
          <w:lang w:val="en-GB"/>
        </w:rPr>
      </w:pPr>
      <w:r w:rsidRPr="00C42390">
        <w:rPr>
          <w:iCs/>
          <w:sz w:val="16"/>
          <w:szCs w:val="16"/>
          <w:lang w:val="en-GB"/>
        </w:rPr>
        <w:t>M. E. Johnson and A. Gonzalez, "Estimating Cost Savings for Aviation Fuel and CO 2 Emission Reductions Strategies," Collegiate Aviation Review, vol. 31, 2013.</w:t>
      </w:r>
    </w:p>
    <w:p w14:paraId="12298E59" w14:textId="77777777" w:rsidR="00C42390" w:rsidRPr="00C42390" w:rsidRDefault="00C42390" w:rsidP="00C42390">
      <w:pPr>
        <w:numPr>
          <w:ilvl w:val="0"/>
          <w:numId w:val="2"/>
        </w:numPr>
        <w:ind w:left="357" w:hanging="357"/>
        <w:jc w:val="both"/>
        <w:rPr>
          <w:iCs/>
          <w:sz w:val="16"/>
          <w:szCs w:val="16"/>
          <w:lang w:val="en-GB"/>
        </w:rPr>
      </w:pPr>
      <w:r w:rsidRPr="00C42390">
        <w:rPr>
          <w:iCs/>
          <w:sz w:val="16"/>
          <w:szCs w:val="16"/>
          <w:lang w:val="en-GB"/>
        </w:rPr>
        <w:t xml:space="preserve">M. L. </w:t>
      </w:r>
      <w:proofErr w:type="spellStart"/>
      <w:r w:rsidRPr="00C42390">
        <w:rPr>
          <w:iCs/>
          <w:sz w:val="16"/>
          <w:szCs w:val="16"/>
          <w:lang w:val="en-GB"/>
        </w:rPr>
        <w:t>Gambhir</w:t>
      </w:r>
      <w:proofErr w:type="spellEnd"/>
      <w:r w:rsidRPr="00C42390">
        <w:rPr>
          <w:iCs/>
          <w:sz w:val="16"/>
          <w:szCs w:val="16"/>
          <w:lang w:val="en-GB"/>
        </w:rPr>
        <w:t>, Concrete Technology 4e. Tata McGraw-Hill Education, ISBN 0070583749: Tata McGraw-Hill Education, 2009.</w:t>
      </w:r>
    </w:p>
    <w:p w14:paraId="5F46AC8B" w14:textId="77777777" w:rsidR="00C42390" w:rsidRPr="00C42390" w:rsidRDefault="00C42390" w:rsidP="00C42390">
      <w:pPr>
        <w:numPr>
          <w:ilvl w:val="0"/>
          <w:numId w:val="2"/>
        </w:numPr>
        <w:ind w:left="357" w:hanging="357"/>
        <w:jc w:val="both"/>
        <w:rPr>
          <w:iCs/>
          <w:sz w:val="16"/>
          <w:szCs w:val="16"/>
          <w:lang w:val="en-GB"/>
        </w:rPr>
      </w:pPr>
      <w:r w:rsidRPr="00C42390">
        <w:rPr>
          <w:iCs/>
          <w:sz w:val="16"/>
          <w:szCs w:val="16"/>
          <w:lang w:val="en-GB"/>
        </w:rPr>
        <w:t xml:space="preserve">K. </w:t>
      </w:r>
      <w:proofErr w:type="spellStart"/>
      <w:r w:rsidRPr="00C42390">
        <w:rPr>
          <w:iCs/>
          <w:sz w:val="16"/>
          <w:szCs w:val="16"/>
          <w:lang w:val="en-GB"/>
        </w:rPr>
        <w:t>Quillin</w:t>
      </w:r>
      <w:proofErr w:type="spellEnd"/>
      <w:r w:rsidRPr="00C42390">
        <w:rPr>
          <w:iCs/>
          <w:sz w:val="16"/>
          <w:szCs w:val="16"/>
          <w:lang w:val="en-GB"/>
        </w:rPr>
        <w:t xml:space="preserve">, "Calcium </w:t>
      </w:r>
      <w:proofErr w:type="spellStart"/>
      <w:r w:rsidRPr="00C42390">
        <w:rPr>
          <w:iCs/>
          <w:sz w:val="16"/>
          <w:szCs w:val="16"/>
          <w:lang w:val="en-GB"/>
        </w:rPr>
        <w:t>Sulfoaluminate</w:t>
      </w:r>
      <w:proofErr w:type="spellEnd"/>
      <w:r w:rsidRPr="00C42390">
        <w:rPr>
          <w:iCs/>
          <w:sz w:val="16"/>
          <w:szCs w:val="16"/>
          <w:lang w:val="en-GB"/>
        </w:rPr>
        <w:t xml:space="preserve"> Cements—CO2 reduction, concrete properties and applications," BR496, BRE, Garston, UK, 2007.</w:t>
      </w:r>
    </w:p>
    <w:p w14:paraId="355643E3" w14:textId="77777777" w:rsidR="00C42390" w:rsidRPr="00C42390" w:rsidRDefault="00C42390" w:rsidP="00C42390">
      <w:pPr>
        <w:numPr>
          <w:ilvl w:val="0"/>
          <w:numId w:val="2"/>
        </w:numPr>
        <w:ind w:left="357" w:hanging="357"/>
        <w:jc w:val="both"/>
        <w:rPr>
          <w:iCs/>
          <w:sz w:val="16"/>
          <w:szCs w:val="16"/>
          <w:lang w:val="en-GB"/>
        </w:rPr>
      </w:pPr>
      <w:r w:rsidRPr="00C42390">
        <w:rPr>
          <w:iCs/>
          <w:sz w:val="16"/>
          <w:szCs w:val="16"/>
          <w:lang w:val="en-GB"/>
        </w:rPr>
        <w:t>Mineral Products Association, "Fact Sheet 18 [Part 1] Embodied CO2 of UK Cement," Additions and Cementitious Material, p. 8, 2007.</w:t>
      </w:r>
    </w:p>
    <w:p w14:paraId="49772AD0" w14:textId="77777777" w:rsidR="00C42390" w:rsidRPr="00C42390" w:rsidRDefault="00C42390" w:rsidP="00C42390">
      <w:pPr>
        <w:numPr>
          <w:ilvl w:val="0"/>
          <w:numId w:val="2"/>
        </w:numPr>
        <w:ind w:left="357" w:hanging="357"/>
        <w:jc w:val="both"/>
        <w:rPr>
          <w:iCs/>
          <w:sz w:val="16"/>
          <w:szCs w:val="16"/>
          <w:lang w:val="en-GB"/>
        </w:rPr>
      </w:pPr>
      <w:r w:rsidRPr="00C42390">
        <w:rPr>
          <w:iCs/>
          <w:sz w:val="16"/>
          <w:szCs w:val="16"/>
          <w:lang w:val="en-GB"/>
        </w:rPr>
        <w:t xml:space="preserve">J. G. Michael, P. </w:t>
      </w:r>
      <w:proofErr w:type="spellStart"/>
      <w:r w:rsidRPr="00C42390">
        <w:rPr>
          <w:iCs/>
          <w:sz w:val="16"/>
          <w:szCs w:val="16"/>
          <w:lang w:val="en-GB"/>
        </w:rPr>
        <w:t>Soyka</w:t>
      </w:r>
      <w:proofErr w:type="spellEnd"/>
      <w:r w:rsidRPr="00C42390">
        <w:rPr>
          <w:iCs/>
          <w:sz w:val="16"/>
          <w:szCs w:val="16"/>
          <w:lang w:val="en-GB"/>
        </w:rPr>
        <w:t xml:space="preserve">, and D. </w:t>
      </w:r>
      <w:proofErr w:type="spellStart"/>
      <w:r w:rsidRPr="00C42390">
        <w:rPr>
          <w:iCs/>
          <w:sz w:val="16"/>
          <w:szCs w:val="16"/>
          <w:lang w:val="en-GB"/>
        </w:rPr>
        <w:t>Conneely</w:t>
      </w:r>
      <w:proofErr w:type="spellEnd"/>
      <w:r w:rsidRPr="00C42390">
        <w:rPr>
          <w:iCs/>
          <w:sz w:val="16"/>
          <w:szCs w:val="16"/>
          <w:lang w:val="en-GB"/>
        </w:rPr>
        <w:t>, "CO2 Emissions from Cement Production," Good Practice Guidance and Uncertainty Management in National Greenhouse Gas Inventories. Industrial process sector, 2000.</w:t>
      </w:r>
    </w:p>
    <w:p w14:paraId="7BB2551C" w14:textId="77777777" w:rsidR="00C42390" w:rsidRPr="00C42390" w:rsidRDefault="00C42390" w:rsidP="00C42390">
      <w:pPr>
        <w:numPr>
          <w:ilvl w:val="0"/>
          <w:numId w:val="2"/>
        </w:numPr>
        <w:ind w:left="357" w:hanging="357"/>
        <w:jc w:val="both"/>
        <w:rPr>
          <w:iCs/>
          <w:sz w:val="16"/>
          <w:szCs w:val="16"/>
          <w:lang w:val="en-GB"/>
        </w:rPr>
      </w:pPr>
      <w:r w:rsidRPr="00C42390">
        <w:rPr>
          <w:iCs/>
          <w:sz w:val="16"/>
          <w:szCs w:val="16"/>
          <w:lang w:val="en-GB"/>
        </w:rPr>
        <w:t xml:space="preserve">A. Al-Salami and A. Salem, "Effects of mix composition on the </w:t>
      </w:r>
      <w:proofErr w:type="spellStart"/>
      <w:r w:rsidRPr="00C42390">
        <w:rPr>
          <w:iCs/>
          <w:sz w:val="16"/>
          <w:szCs w:val="16"/>
          <w:lang w:val="en-GB"/>
        </w:rPr>
        <w:t>sulfate</w:t>
      </w:r>
      <w:proofErr w:type="spellEnd"/>
      <w:r w:rsidRPr="00C42390">
        <w:rPr>
          <w:iCs/>
          <w:sz w:val="16"/>
          <w:szCs w:val="16"/>
          <w:lang w:val="en-GB"/>
        </w:rPr>
        <w:t xml:space="preserve"> resistance of blended cements," International Journal of Civil &amp; Environmental Engineering, vol. 10, 2010.</w:t>
      </w:r>
    </w:p>
    <w:p w14:paraId="0378146D" w14:textId="77777777" w:rsidR="00C42390" w:rsidRPr="00C42390" w:rsidRDefault="00C42390" w:rsidP="00C42390">
      <w:pPr>
        <w:numPr>
          <w:ilvl w:val="0"/>
          <w:numId w:val="2"/>
        </w:numPr>
        <w:ind w:left="357" w:hanging="357"/>
        <w:jc w:val="both"/>
        <w:rPr>
          <w:iCs/>
          <w:sz w:val="16"/>
          <w:szCs w:val="16"/>
          <w:lang w:val="en-GB"/>
        </w:rPr>
      </w:pPr>
      <w:r w:rsidRPr="00C42390">
        <w:rPr>
          <w:iCs/>
          <w:sz w:val="16"/>
          <w:szCs w:val="16"/>
          <w:lang w:val="en-GB"/>
        </w:rPr>
        <w:t>K. Sakai and T. Noguchi, The sustainable use of concrete: CRC press, 2012.</w:t>
      </w:r>
    </w:p>
    <w:p w14:paraId="30B459D0" w14:textId="77777777" w:rsidR="00C42390" w:rsidRPr="00C42390" w:rsidRDefault="00C42390" w:rsidP="00C42390">
      <w:pPr>
        <w:numPr>
          <w:ilvl w:val="0"/>
          <w:numId w:val="2"/>
        </w:numPr>
        <w:ind w:left="357" w:hanging="357"/>
        <w:jc w:val="both"/>
        <w:rPr>
          <w:iCs/>
          <w:sz w:val="16"/>
          <w:szCs w:val="16"/>
          <w:lang w:val="en-GB"/>
        </w:rPr>
      </w:pPr>
      <w:r w:rsidRPr="00C42390">
        <w:rPr>
          <w:iCs/>
          <w:sz w:val="16"/>
          <w:szCs w:val="16"/>
          <w:lang w:val="en-GB"/>
        </w:rPr>
        <w:t xml:space="preserve">B. </w:t>
      </w:r>
      <w:proofErr w:type="spellStart"/>
      <w:r w:rsidRPr="00C42390">
        <w:rPr>
          <w:iCs/>
          <w:sz w:val="16"/>
          <w:szCs w:val="16"/>
          <w:lang w:val="en-GB"/>
        </w:rPr>
        <w:t>Lippiatt</w:t>
      </w:r>
      <w:proofErr w:type="spellEnd"/>
      <w:r w:rsidRPr="00C42390">
        <w:rPr>
          <w:iCs/>
          <w:sz w:val="16"/>
          <w:szCs w:val="16"/>
          <w:lang w:val="en-GB"/>
        </w:rPr>
        <w:t xml:space="preserve"> and S. Ahmad, "Measuring the life-cycle environmental and economic performance of concrete: the BEES approach," in Proceedings of the International Workshop on Sustainable Development and Concrete Technology, 2004, pp. 213-230.</w:t>
      </w:r>
    </w:p>
    <w:p w14:paraId="11E64D98" w14:textId="77777777" w:rsidR="00C42390" w:rsidRPr="00C42390" w:rsidRDefault="00C42390" w:rsidP="00C42390">
      <w:pPr>
        <w:numPr>
          <w:ilvl w:val="0"/>
          <w:numId w:val="2"/>
        </w:numPr>
        <w:ind w:left="357" w:hanging="357"/>
        <w:jc w:val="both"/>
        <w:rPr>
          <w:iCs/>
          <w:sz w:val="16"/>
          <w:szCs w:val="16"/>
          <w:lang w:val="en-GB"/>
        </w:rPr>
      </w:pPr>
      <w:proofErr w:type="spellStart"/>
      <w:r w:rsidRPr="00C42390">
        <w:rPr>
          <w:iCs/>
          <w:sz w:val="16"/>
          <w:szCs w:val="16"/>
          <w:lang w:val="en-GB"/>
        </w:rPr>
        <w:t>Worldometers</w:t>
      </w:r>
      <w:proofErr w:type="spellEnd"/>
      <w:r w:rsidRPr="00C42390">
        <w:rPr>
          <w:iCs/>
          <w:sz w:val="16"/>
          <w:szCs w:val="16"/>
          <w:lang w:val="en-GB"/>
        </w:rPr>
        <w:t xml:space="preserve">. (2016, 09.06.2015). Population. Available: </w:t>
      </w:r>
      <w:hyperlink r:id="rId14" w:history="1">
        <w:r w:rsidRPr="00C42390">
          <w:rPr>
            <w:iCs/>
            <w:sz w:val="16"/>
            <w:szCs w:val="16"/>
            <w:lang w:val="en-GB"/>
          </w:rPr>
          <w:t>http://www.worldometers.info/world-population/</w:t>
        </w:r>
      </w:hyperlink>
    </w:p>
    <w:p w14:paraId="4B3B6934" w14:textId="77777777" w:rsidR="00C42390" w:rsidRPr="00C42390" w:rsidRDefault="00C42390" w:rsidP="00C42390">
      <w:pPr>
        <w:numPr>
          <w:ilvl w:val="0"/>
          <w:numId w:val="2"/>
        </w:numPr>
        <w:ind w:left="357" w:hanging="357"/>
        <w:jc w:val="both"/>
        <w:rPr>
          <w:iCs/>
          <w:sz w:val="16"/>
          <w:szCs w:val="16"/>
          <w:lang w:val="en-GB"/>
        </w:rPr>
      </w:pPr>
      <w:r w:rsidRPr="00C42390">
        <w:rPr>
          <w:iCs/>
          <w:sz w:val="16"/>
          <w:szCs w:val="16"/>
          <w:lang w:val="en-GB"/>
        </w:rPr>
        <w:t xml:space="preserve">H. </w:t>
      </w:r>
      <w:proofErr w:type="spellStart"/>
      <w:r w:rsidRPr="00C42390">
        <w:rPr>
          <w:iCs/>
          <w:sz w:val="16"/>
          <w:szCs w:val="16"/>
          <w:lang w:val="en-GB"/>
        </w:rPr>
        <w:t>Muga</w:t>
      </w:r>
      <w:proofErr w:type="spellEnd"/>
      <w:r w:rsidRPr="00C42390">
        <w:rPr>
          <w:iCs/>
          <w:sz w:val="16"/>
          <w:szCs w:val="16"/>
          <w:lang w:val="en-GB"/>
        </w:rPr>
        <w:t xml:space="preserve">, K. Betz, J. Walker, C. </w:t>
      </w:r>
      <w:proofErr w:type="spellStart"/>
      <w:r w:rsidRPr="00C42390">
        <w:rPr>
          <w:iCs/>
          <w:sz w:val="16"/>
          <w:szCs w:val="16"/>
          <w:lang w:val="en-GB"/>
        </w:rPr>
        <w:t>Pranger</w:t>
      </w:r>
      <w:proofErr w:type="spellEnd"/>
      <w:r w:rsidRPr="00C42390">
        <w:rPr>
          <w:iCs/>
          <w:sz w:val="16"/>
          <w:szCs w:val="16"/>
          <w:lang w:val="en-GB"/>
        </w:rPr>
        <w:t>, A. Vidor, T. Eatmon, et al., "Development of Appropriate and Sustainable Construction Materials," Civil and Environmental Engineering Sustainable Futures Institute, Michigan Technology University, 2005.</w:t>
      </w:r>
    </w:p>
    <w:p w14:paraId="413FD771" w14:textId="77777777" w:rsidR="00C42390" w:rsidRPr="00C42390" w:rsidRDefault="00C42390" w:rsidP="00C42390">
      <w:pPr>
        <w:numPr>
          <w:ilvl w:val="0"/>
          <w:numId w:val="2"/>
        </w:numPr>
        <w:ind w:left="357" w:hanging="357"/>
        <w:jc w:val="both"/>
        <w:rPr>
          <w:iCs/>
          <w:sz w:val="16"/>
          <w:szCs w:val="16"/>
          <w:lang w:val="en-GB"/>
        </w:rPr>
      </w:pPr>
      <w:r w:rsidRPr="00C42390">
        <w:rPr>
          <w:iCs/>
          <w:sz w:val="16"/>
          <w:szCs w:val="16"/>
          <w:lang w:val="en-GB"/>
        </w:rPr>
        <w:t>K. Steele, G. Cole, G. Parke, B. Clarke, and J. Harding, "The application of life cycle assessment technique in the investigation of brick arch highway bridges," in Proc., Conf. for the Engineering Doctorate in Environmental Technology, 2002.</w:t>
      </w:r>
    </w:p>
    <w:p w14:paraId="4938E4F0" w14:textId="77777777" w:rsidR="00C42390" w:rsidRPr="00C42390" w:rsidRDefault="00C42390" w:rsidP="00C42390">
      <w:pPr>
        <w:numPr>
          <w:ilvl w:val="0"/>
          <w:numId w:val="2"/>
        </w:numPr>
        <w:ind w:left="357" w:hanging="357"/>
        <w:jc w:val="both"/>
        <w:rPr>
          <w:iCs/>
          <w:sz w:val="16"/>
          <w:szCs w:val="16"/>
          <w:lang w:val="en-GB"/>
        </w:rPr>
      </w:pPr>
      <w:r w:rsidRPr="00C42390">
        <w:rPr>
          <w:iCs/>
          <w:sz w:val="16"/>
          <w:szCs w:val="16"/>
          <w:lang w:val="en-GB"/>
        </w:rPr>
        <w:t xml:space="preserve">B. Davison and G. W. Owens, Steel designers' manual: Wiley. </w:t>
      </w:r>
      <w:proofErr w:type="gramStart"/>
      <w:r w:rsidRPr="00C42390">
        <w:rPr>
          <w:iCs/>
          <w:sz w:val="16"/>
          <w:szCs w:val="16"/>
          <w:lang w:val="en-GB"/>
        </w:rPr>
        <w:t>com</w:t>
      </w:r>
      <w:proofErr w:type="gramEnd"/>
      <w:r w:rsidRPr="00C42390">
        <w:rPr>
          <w:iCs/>
          <w:sz w:val="16"/>
          <w:szCs w:val="16"/>
          <w:lang w:val="en-GB"/>
        </w:rPr>
        <w:t>, 2011.</w:t>
      </w:r>
    </w:p>
    <w:p w14:paraId="26B3B1B1" w14:textId="77777777" w:rsidR="00C42390" w:rsidRPr="00C42390" w:rsidRDefault="00C42390" w:rsidP="00C42390">
      <w:pPr>
        <w:numPr>
          <w:ilvl w:val="0"/>
          <w:numId w:val="2"/>
        </w:numPr>
        <w:ind w:left="357" w:hanging="357"/>
        <w:jc w:val="both"/>
        <w:rPr>
          <w:iCs/>
          <w:sz w:val="16"/>
          <w:szCs w:val="16"/>
          <w:lang w:val="en-GB"/>
        </w:rPr>
      </w:pPr>
      <w:r w:rsidRPr="00C42390">
        <w:rPr>
          <w:iCs/>
          <w:sz w:val="16"/>
          <w:szCs w:val="16"/>
          <w:lang w:val="en-GB"/>
        </w:rPr>
        <w:t xml:space="preserve">J. D. </w:t>
      </w:r>
      <w:proofErr w:type="spellStart"/>
      <w:r w:rsidRPr="00C42390">
        <w:rPr>
          <w:iCs/>
          <w:sz w:val="16"/>
          <w:szCs w:val="16"/>
          <w:lang w:val="en-GB"/>
        </w:rPr>
        <w:t>Bapat</w:t>
      </w:r>
      <w:proofErr w:type="spellEnd"/>
      <w:r w:rsidRPr="00C42390">
        <w:rPr>
          <w:iCs/>
          <w:sz w:val="16"/>
          <w:szCs w:val="16"/>
          <w:lang w:val="en-GB"/>
        </w:rPr>
        <w:t>, Mineral admixtures in cement and concrete: CRC Press, 2012.</w:t>
      </w:r>
    </w:p>
    <w:p w14:paraId="56B4995C" w14:textId="77777777" w:rsidR="00C42390" w:rsidRPr="00C42390" w:rsidRDefault="00C42390" w:rsidP="00C42390">
      <w:pPr>
        <w:numPr>
          <w:ilvl w:val="0"/>
          <w:numId w:val="2"/>
        </w:numPr>
        <w:ind w:left="357" w:hanging="357"/>
        <w:jc w:val="both"/>
        <w:rPr>
          <w:iCs/>
          <w:sz w:val="16"/>
          <w:szCs w:val="16"/>
          <w:lang w:val="en-GB"/>
        </w:rPr>
      </w:pPr>
      <w:r w:rsidRPr="00C42390">
        <w:rPr>
          <w:iCs/>
          <w:sz w:val="16"/>
          <w:szCs w:val="16"/>
          <w:lang w:val="en-GB"/>
        </w:rPr>
        <w:t xml:space="preserve">O. </w:t>
      </w:r>
      <w:proofErr w:type="spellStart"/>
      <w:r w:rsidRPr="00C42390">
        <w:rPr>
          <w:iCs/>
          <w:sz w:val="16"/>
          <w:szCs w:val="16"/>
          <w:lang w:val="en-GB"/>
        </w:rPr>
        <w:t>Olafusi</w:t>
      </w:r>
      <w:proofErr w:type="spellEnd"/>
      <w:r w:rsidRPr="00C42390">
        <w:rPr>
          <w:iCs/>
          <w:sz w:val="16"/>
          <w:szCs w:val="16"/>
          <w:lang w:val="en-GB"/>
        </w:rPr>
        <w:t xml:space="preserve"> and F. </w:t>
      </w:r>
      <w:proofErr w:type="spellStart"/>
      <w:r w:rsidRPr="00C42390">
        <w:rPr>
          <w:iCs/>
          <w:sz w:val="16"/>
          <w:szCs w:val="16"/>
          <w:lang w:val="en-GB"/>
        </w:rPr>
        <w:t>Olutoge</w:t>
      </w:r>
      <w:proofErr w:type="spellEnd"/>
      <w:r w:rsidRPr="00C42390">
        <w:rPr>
          <w:iCs/>
          <w:sz w:val="16"/>
          <w:szCs w:val="16"/>
          <w:lang w:val="en-GB"/>
        </w:rPr>
        <w:t>, "Strength properties of corn cob ash concrete," Journal of Emerging Trends in Engineering and Applied Sciences, vol. 3, pp. 297-301, 2012.</w:t>
      </w:r>
    </w:p>
    <w:p w14:paraId="696C31E4" w14:textId="77777777" w:rsidR="00C42390" w:rsidRPr="00C42390" w:rsidRDefault="00C42390" w:rsidP="00C42390">
      <w:pPr>
        <w:numPr>
          <w:ilvl w:val="0"/>
          <w:numId w:val="2"/>
        </w:numPr>
        <w:ind w:left="357" w:hanging="357"/>
        <w:jc w:val="both"/>
        <w:rPr>
          <w:iCs/>
          <w:sz w:val="16"/>
          <w:szCs w:val="16"/>
          <w:lang w:val="en-GB"/>
        </w:rPr>
      </w:pPr>
      <w:r w:rsidRPr="00C42390">
        <w:rPr>
          <w:iCs/>
          <w:sz w:val="16"/>
          <w:szCs w:val="16"/>
          <w:lang w:val="en-GB"/>
        </w:rPr>
        <w:t xml:space="preserve">F. F. </w:t>
      </w:r>
      <w:proofErr w:type="spellStart"/>
      <w:r w:rsidRPr="00C42390">
        <w:rPr>
          <w:iCs/>
          <w:sz w:val="16"/>
          <w:szCs w:val="16"/>
          <w:lang w:val="en-GB"/>
        </w:rPr>
        <w:t>Udoeyo</w:t>
      </w:r>
      <w:proofErr w:type="spellEnd"/>
      <w:r w:rsidRPr="00C42390">
        <w:rPr>
          <w:iCs/>
          <w:sz w:val="16"/>
          <w:szCs w:val="16"/>
          <w:lang w:val="en-GB"/>
        </w:rPr>
        <w:t xml:space="preserve"> and S. A. </w:t>
      </w:r>
      <w:proofErr w:type="spellStart"/>
      <w:r w:rsidRPr="00C42390">
        <w:rPr>
          <w:iCs/>
          <w:sz w:val="16"/>
          <w:szCs w:val="16"/>
          <w:lang w:val="en-GB"/>
        </w:rPr>
        <w:t>Abubakar</w:t>
      </w:r>
      <w:proofErr w:type="spellEnd"/>
      <w:r w:rsidRPr="00C42390">
        <w:rPr>
          <w:iCs/>
          <w:sz w:val="16"/>
          <w:szCs w:val="16"/>
          <w:lang w:val="en-GB"/>
        </w:rPr>
        <w:t>, "Maize-cob ash as filler in concrete," Journal of materials in civil engineering, vol. 15, pp. 205-208, 2003.</w:t>
      </w:r>
    </w:p>
    <w:p w14:paraId="76C2DF00" w14:textId="77777777" w:rsidR="00C42390" w:rsidRPr="00C42390" w:rsidRDefault="00C42390" w:rsidP="00C42390">
      <w:pPr>
        <w:numPr>
          <w:ilvl w:val="0"/>
          <w:numId w:val="2"/>
        </w:numPr>
        <w:ind w:left="357" w:hanging="357"/>
        <w:jc w:val="both"/>
        <w:rPr>
          <w:iCs/>
          <w:sz w:val="16"/>
          <w:szCs w:val="16"/>
          <w:lang w:val="en-GB"/>
        </w:rPr>
      </w:pPr>
      <w:r w:rsidRPr="00C42390">
        <w:rPr>
          <w:iCs/>
          <w:sz w:val="16"/>
          <w:szCs w:val="16"/>
          <w:lang w:val="en-GB"/>
        </w:rPr>
        <w:t xml:space="preserve">A. </w:t>
      </w:r>
      <w:proofErr w:type="spellStart"/>
      <w:r w:rsidRPr="00C42390">
        <w:rPr>
          <w:iCs/>
          <w:sz w:val="16"/>
          <w:szCs w:val="16"/>
          <w:lang w:val="en-GB"/>
        </w:rPr>
        <w:t>Skempton</w:t>
      </w:r>
      <w:proofErr w:type="spellEnd"/>
      <w:r w:rsidRPr="00C42390">
        <w:rPr>
          <w:iCs/>
          <w:sz w:val="16"/>
          <w:szCs w:val="16"/>
          <w:lang w:val="en-GB"/>
        </w:rPr>
        <w:t>, "The colloidal activity of clays," Selected Papers on Soil Mechanics, pp. 106-118, 1953.</w:t>
      </w:r>
    </w:p>
    <w:p w14:paraId="2CF207C6" w14:textId="77777777" w:rsidR="00C42390" w:rsidRPr="00C42390" w:rsidRDefault="00C42390" w:rsidP="00C42390">
      <w:pPr>
        <w:numPr>
          <w:ilvl w:val="0"/>
          <w:numId w:val="2"/>
        </w:numPr>
        <w:ind w:left="357" w:hanging="357"/>
        <w:jc w:val="both"/>
        <w:rPr>
          <w:iCs/>
          <w:sz w:val="16"/>
          <w:szCs w:val="16"/>
          <w:lang w:val="en-GB"/>
        </w:rPr>
      </w:pPr>
      <w:r w:rsidRPr="00C42390">
        <w:rPr>
          <w:iCs/>
          <w:sz w:val="16"/>
          <w:szCs w:val="16"/>
          <w:lang w:val="en-GB"/>
        </w:rPr>
        <w:t xml:space="preserve">A. S. Nene and Y. D. </w:t>
      </w:r>
      <w:proofErr w:type="spellStart"/>
      <w:r w:rsidRPr="00C42390">
        <w:rPr>
          <w:iCs/>
          <w:sz w:val="16"/>
          <w:szCs w:val="16"/>
          <w:lang w:val="en-GB"/>
        </w:rPr>
        <w:t>Parihar</w:t>
      </w:r>
      <w:proofErr w:type="spellEnd"/>
      <w:r w:rsidRPr="00C42390">
        <w:rPr>
          <w:iCs/>
          <w:sz w:val="16"/>
          <w:szCs w:val="16"/>
          <w:lang w:val="en-GB"/>
        </w:rPr>
        <w:t xml:space="preserve">. (2016, 29.11.2016). Natural Stabilization of soils with special reference to Entomological Considerations. Available: </w:t>
      </w:r>
      <w:hyperlink r:id="rId15" w:history="1">
        <w:r w:rsidRPr="00C42390">
          <w:rPr>
            <w:iCs/>
            <w:sz w:val="16"/>
            <w:szCs w:val="16"/>
            <w:lang w:val="en-GB"/>
          </w:rPr>
          <w:t>http://www.slideshare.net/ashoknene/natural-satbilization-of-soils</w:t>
        </w:r>
      </w:hyperlink>
    </w:p>
    <w:p w14:paraId="5C210BAC" w14:textId="77777777" w:rsidR="00C42390" w:rsidRPr="00C42390" w:rsidRDefault="00C42390" w:rsidP="00C42390">
      <w:pPr>
        <w:numPr>
          <w:ilvl w:val="0"/>
          <w:numId w:val="2"/>
        </w:numPr>
        <w:ind w:left="357" w:hanging="357"/>
        <w:jc w:val="both"/>
        <w:rPr>
          <w:iCs/>
          <w:sz w:val="16"/>
          <w:szCs w:val="16"/>
          <w:lang w:val="en-GB"/>
        </w:rPr>
      </w:pPr>
      <w:r w:rsidRPr="00C42390">
        <w:rPr>
          <w:iCs/>
          <w:sz w:val="16"/>
          <w:szCs w:val="16"/>
          <w:lang w:val="en-GB"/>
        </w:rPr>
        <w:t xml:space="preserve">American Society for Testing and Materials, "ASTM C618. Standard specification for coal fly ash and raw or calcined </w:t>
      </w:r>
      <w:proofErr w:type="spellStart"/>
      <w:r w:rsidRPr="00C42390">
        <w:rPr>
          <w:iCs/>
          <w:sz w:val="16"/>
          <w:szCs w:val="16"/>
          <w:lang w:val="en-GB"/>
        </w:rPr>
        <w:t>naturalpozzolan</w:t>
      </w:r>
      <w:proofErr w:type="spellEnd"/>
      <w:r w:rsidRPr="00C42390">
        <w:rPr>
          <w:iCs/>
          <w:sz w:val="16"/>
          <w:szCs w:val="16"/>
          <w:lang w:val="en-GB"/>
        </w:rPr>
        <w:t xml:space="preserve"> for use in concrete, American Society for Testing and Materials, ASTM International, West Conshohocken, PA, 2012, DOI: 10.1520/C0618-12," </w:t>
      </w:r>
      <w:proofErr w:type="spellStart"/>
      <w:r w:rsidRPr="00C42390">
        <w:rPr>
          <w:iCs/>
          <w:sz w:val="16"/>
          <w:szCs w:val="16"/>
          <w:lang w:val="en-GB"/>
        </w:rPr>
        <w:t>ed</w:t>
      </w:r>
      <w:proofErr w:type="spellEnd"/>
      <w:r w:rsidRPr="00C42390">
        <w:rPr>
          <w:iCs/>
          <w:sz w:val="16"/>
          <w:szCs w:val="16"/>
          <w:lang w:val="en-GB"/>
        </w:rPr>
        <w:t>, 2012.</w:t>
      </w:r>
    </w:p>
    <w:p w14:paraId="7AC9B007" w14:textId="3B2CFE9D" w:rsidR="00C42390" w:rsidRPr="00C42390" w:rsidRDefault="00C42390" w:rsidP="00C42390">
      <w:pPr>
        <w:numPr>
          <w:ilvl w:val="0"/>
          <w:numId w:val="2"/>
        </w:numPr>
        <w:ind w:left="357" w:hanging="357"/>
        <w:jc w:val="both"/>
        <w:rPr>
          <w:iCs/>
          <w:sz w:val="16"/>
          <w:szCs w:val="16"/>
          <w:lang w:val="en-GB"/>
        </w:rPr>
      </w:pPr>
      <w:r w:rsidRPr="00C42390">
        <w:rPr>
          <w:iCs/>
          <w:sz w:val="16"/>
          <w:szCs w:val="16"/>
          <w:lang w:val="en-GB"/>
        </w:rPr>
        <w:tab/>
        <w:t xml:space="preserve">British Standards Institution, "BS EN 450-1-2012. Fly ash for concrete: Part 1:  Definition, specifications and conformity criteria. BSI, London, UK," </w:t>
      </w:r>
      <w:proofErr w:type="spellStart"/>
      <w:proofErr w:type="gramStart"/>
      <w:r w:rsidRPr="00C42390">
        <w:rPr>
          <w:iCs/>
          <w:sz w:val="16"/>
          <w:szCs w:val="16"/>
          <w:lang w:val="en-GB"/>
        </w:rPr>
        <w:t>ed</w:t>
      </w:r>
      <w:proofErr w:type="spellEnd"/>
      <w:proofErr w:type="gramEnd"/>
      <w:r w:rsidRPr="00C42390">
        <w:rPr>
          <w:iCs/>
          <w:sz w:val="16"/>
          <w:szCs w:val="16"/>
          <w:lang w:val="en-GB"/>
        </w:rPr>
        <w:t>, 2012.</w:t>
      </w:r>
    </w:p>
    <w:p w14:paraId="267307FD" w14:textId="3BB863D4" w:rsidR="00C42390" w:rsidRPr="00C42390" w:rsidRDefault="00C42390" w:rsidP="00C42390">
      <w:pPr>
        <w:numPr>
          <w:ilvl w:val="0"/>
          <w:numId w:val="2"/>
        </w:numPr>
        <w:ind w:left="357" w:hanging="357"/>
        <w:jc w:val="both"/>
        <w:rPr>
          <w:iCs/>
          <w:sz w:val="16"/>
          <w:szCs w:val="16"/>
          <w:lang w:val="en-GB"/>
        </w:rPr>
      </w:pPr>
      <w:r w:rsidRPr="00C42390">
        <w:rPr>
          <w:iCs/>
          <w:sz w:val="16"/>
          <w:szCs w:val="16"/>
          <w:lang w:val="en-GB"/>
        </w:rPr>
        <w:t xml:space="preserve">M. </w:t>
      </w:r>
      <w:proofErr w:type="spellStart"/>
      <w:r w:rsidRPr="00C42390">
        <w:rPr>
          <w:iCs/>
          <w:sz w:val="16"/>
          <w:szCs w:val="16"/>
          <w:lang w:val="en-GB"/>
        </w:rPr>
        <w:t>Uysal</w:t>
      </w:r>
      <w:proofErr w:type="spellEnd"/>
      <w:r w:rsidRPr="00C42390">
        <w:rPr>
          <w:iCs/>
          <w:sz w:val="16"/>
          <w:szCs w:val="16"/>
          <w:lang w:val="en-GB"/>
        </w:rPr>
        <w:t xml:space="preserve"> and M. Sumer, "Performance of self-compacting concrete containing different mineral admixtures," Construction and Building materials, vol. 25, pp. 4112-4120, 2011.</w:t>
      </w:r>
    </w:p>
    <w:p w14:paraId="260629BD" w14:textId="3D3A691C" w:rsidR="00C42390" w:rsidRPr="00C42390" w:rsidRDefault="00C42390" w:rsidP="00C42390">
      <w:pPr>
        <w:numPr>
          <w:ilvl w:val="0"/>
          <w:numId w:val="2"/>
        </w:numPr>
        <w:ind w:left="357" w:hanging="357"/>
        <w:jc w:val="both"/>
        <w:rPr>
          <w:iCs/>
          <w:sz w:val="16"/>
          <w:szCs w:val="16"/>
          <w:lang w:val="en-GB"/>
        </w:rPr>
      </w:pPr>
      <w:r w:rsidRPr="00C42390">
        <w:rPr>
          <w:iCs/>
          <w:sz w:val="16"/>
          <w:szCs w:val="16"/>
          <w:lang w:val="en-GB"/>
        </w:rPr>
        <w:t xml:space="preserve">C. Arya, Design of structural elements: concrete, steelwork, masonry and timber designs to British standards and </w:t>
      </w:r>
      <w:proofErr w:type="spellStart"/>
      <w:r w:rsidRPr="00C42390">
        <w:rPr>
          <w:iCs/>
          <w:sz w:val="16"/>
          <w:szCs w:val="16"/>
          <w:lang w:val="en-GB"/>
        </w:rPr>
        <w:t>Eurocodes</w:t>
      </w:r>
      <w:proofErr w:type="spellEnd"/>
      <w:r w:rsidRPr="00C42390">
        <w:rPr>
          <w:iCs/>
          <w:sz w:val="16"/>
          <w:szCs w:val="16"/>
          <w:lang w:val="en-GB"/>
        </w:rPr>
        <w:t xml:space="preserve">. </w:t>
      </w:r>
      <w:proofErr w:type="spellStart"/>
      <w:r w:rsidRPr="00C42390">
        <w:rPr>
          <w:iCs/>
          <w:sz w:val="16"/>
          <w:szCs w:val="16"/>
          <w:lang w:val="en-GB"/>
        </w:rPr>
        <w:t>Spon</w:t>
      </w:r>
      <w:proofErr w:type="spellEnd"/>
      <w:r w:rsidRPr="00C42390">
        <w:rPr>
          <w:iCs/>
          <w:sz w:val="16"/>
          <w:szCs w:val="16"/>
          <w:lang w:val="en-GB"/>
        </w:rPr>
        <w:t xml:space="preserve"> Press, LONDON AND NEW YORK: Taylor &amp; Francis, 2009.</w:t>
      </w:r>
    </w:p>
    <w:p w14:paraId="557BED4F" w14:textId="28437568" w:rsidR="00C42390" w:rsidRPr="00C42390" w:rsidRDefault="00C42390" w:rsidP="00C42390">
      <w:pPr>
        <w:numPr>
          <w:ilvl w:val="0"/>
          <w:numId w:val="2"/>
        </w:numPr>
        <w:ind w:left="357" w:hanging="357"/>
        <w:jc w:val="both"/>
        <w:rPr>
          <w:iCs/>
          <w:sz w:val="16"/>
          <w:szCs w:val="16"/>
          <w:lang w:val="en-GB"/>
        </w:rPr>
      </w:pPr>
      <w:r w:rsidRPr="00C42390">
        <w:rPr>
          <w:iCs/>
          <w:sz w:val="16"/>
          <w:szCs w:val="16"/>
          <w:lang w:val="en-GB"/>
        </w:rPr>
        <w:t>M. Shetty, Concrete technology: theory and practice: S. Chand. ISBN 8121900034, 2005.</w:t>
      </w:r>
    </w:p>
    <w:p w14:paraId="0E4BCBA4" w14:textId="77777777" w:rsidR="00C42390" w:rsidRPr="00C42390" w:rsidRDefault="00C42390" w:rsidP="00C42390">
      <w:pPr>
        <w:numPr>
          <w:ilvl w:val="0"/>
          <w:numId w:val="2"/>
        </w:numPr>
        <w:ind w:left="357" w:hanging="357"/>
        <w:jc w:val="both"/>
        <w:rPr>
          <w:iCs/>
          <w:sz w:val="16"/>
          <w:szCs w:val="16"/>
          <w:lang w:val="en-GB"/>
        </w:rPr>
      </w:pPr>
      <w:r w:rsidRPr="00C42390">
        <w:rPr>
          <w:iCs/>
          <w:sz w:val="16"/>
          <w:szCs w:val="16"/>
          <w:lang w:val="en-GB"/>
        </w:rPr>
        <w:t xml:space="preserve">British Standards Institution, "BS EN 197-1:2000. Part 1. Cement composition, specifications and conformity criteria for common </w:t>
      </w:r>
      <w:r w:rsidRPr="00C42390">
        <w:rPr>
          <w:iCs/>
          <w:sz w:val="16"/>
          <w:szCs w:val="16"/>
          <w:lang w:val="en-GB"/>
        </w:rPr>
        <w:lastRenderedPageBreak/>
        <w:t xml:space="preserve">cements. British Standards Institution (BSI), London, UK," in BSOL, </w:t>
      </w:r>
      <w:proofErr w:type="spellStart"/>
      <w:proofErr w:type="gramStart"/>
      <w:r w:rsidRPr="00C42390">
        <w:rPr>
          <w:iCs/>
          <w:sz w:val="16"/>
          <w:szCs w:val="16"/>
          <w:lang w:val="en-GB"/>
        </w:rPr>
        <w:t>ed</w:t>
      </w:r>
      <w:proofErr w:type="spellEnd"/>
      <w:proofErr w:type="gramEnd"/>
      <w:r w:rsidRPr="00C42390">
        <w:rPr>
          <w:iCs/>
          <w:sz w:val="16"/>
          <w:szCs w:val="16"/>
          <w:lang w:val="en-GB"/>
        </w:rPr>
        <w:t>, 2000.</w:t>
      </w:r>
    </w:p>
    <w:p w14:paraId="0CD00130" w14:textId="77777777" w:rsidR="00C42390" w:rsidRPr="00C42390" w:rsidRDefault="00C42390" w:rsidP="00C42390">
      <w:pPr>
        <w:numPr>
          <w:ilvl w:val="0"/>
          <w:numId w:val="2"/>
        </w:numPr>
        <w:ind w:left="357" w:hanging="357"/>
        <w:jc w:val="both"/>
        <w:rPr>
          <w:iCs/>
          <w:sz w:val="16"/>
          <w:szCs w:val="16"/>
          <w:lang w:val="en-GB"/>
        </w:rPr>
      </w:pPr>
      <w:r w:rsidRPr="00C42390">
        <w:rPr>
          <w:iCs/>
          <w:sz w:val="16"/>
          <w:szCs w:val="16"/>
          <w:lang w:val="en-GB"/>
        </w:rPr>
        <w:t xml:space="preserve">British Standards Institution, "BS 3762-4.2:1986 ISO 697:1981. Analysis of formulated detergents —Part 4: Physical test methods —Section 4.2 Method for determination of apparent bulk density.  BSI, London, UK," in BSOL, </w:t>
      </w:r>
      <w:proofErr w:type="spellStart"/>
      <w:proofErr w:type="gramStart"/>
      <w:r w:rsidRPr="00C42390">
        <w:rPr>
          <w:iCs/>
          <w:sz w:val="16"/>
          <w:szCs w:val="16"/>
          <w:lang w:val="en-GB"/>
        </w:rPr>
        <w:t>ed</w:t>
      </w:r>
      <w:proofErr w:type="spellEnd"/>
      <w:proofErr w:type="gramEnd"/>
      <w:r w:rsidRPr="00C42390">
        <w:rPr>
          <w:iCs/>
          <w:sz w:val="16"/>
          <w:szCs w:val="16"/>
          <w:lang w:val="en-GB"/>
        </w:rPr>
        <w:t>, 1999.</w:t>
      </w:r>
    </w:p>
    <w:p w14:paraId="22CA412B" w14:textId="77777777" w:rsidR="00C42390" w:rsidRPr="00C42390" w:rsidRDefault="00C42390" w:rsidP="00C42390">
      <w:pPr>
        <w:numPr>
          <w:ilvl w:val="0"/>
          <w:numId w:val="2"/>
        </w:numPr>
        <w:ind w:left="357" w:hanging="357"/>
        <w:jc w:val="both"/>
        <w:rPr>
          <w:iCs/>
          <w:sz w:val="16"/>
          <w:szCs w:val="16"/>
          <w:lang w:val="en-GB"/>
        </w:rPr>
      </w:pPr>
      <w:r w:rsidRPr="00C42390">
        <w:rPr>
          <w:iCs/>
          <w:sz w:val="16"/>
          <w:szCs w:val="16"/>
          <w:lang w:val="en-GB"/>
        </w:rPr>
        <w:t xml:space="preserve">R. Grossman and T. </w:t>
      </w:r>
      <w:proofErr w:type="spellStart"/>
      <w:r w:rsidRPr="00C42390">
        <w:rPr>
          <w:iCs/>
          <w:sz w:val="16"/>
          <w:szCs w:val="16"/>
          <w:lang w:val="en-GB"/>
        </w:rPr>
        <w:t>Reinsch</w:t>
      </w:r>
      <w:proofErr w:type="spellEnd"/>
      <w:r w:rsidRPr="00C42390">
        <w:rPr>
          <w:iCs/>
          <w:sz w:val="16"/>
          <w:szCs w:val="16"/>
          <w:lang w:val="en-GB"/>
        </w:rPr>
        <w:t>, "2.1 Bulk density and linear extensibility," Methods of Soil Analysis: Part 4 Physical Methods, pp. 201-228, 2002.</w:t>
      </w:r>
    </w:p>
    <w:p w14:paraId="4432C0F9" w14:textId="77777777" w:rsidR="00C42390" w:rsidRPr="00C42390" w:rsidRDefault="00C42390" w:rsidP="00C42390">
      <w:pPr>
        <w:numPr>
          <w:ilvl w:val="0"/>
          <w:numId w:val="2"/>
        </w:numPr>
        <w:ind w:left="357" w:hanging="357"/>
        <w:jc w:val="both"/>
        <w:rPr>
          <w:iCs/>
          <w:sz w:val="16"/>
          <w:szCs w:val="16"/>
          <w:lang w:val="en-GB"/>
        </w:rPr>
      </w:pPr>
      <w:r w:rsidRPr="00C42390">
        <w:rPr>
          <w:iCs/>
          <w:sz w:val="16"/>
          <w:szCs w:val="16"/>
          <w:lang w:val="en-GB"/>
        </w:rPr>
        <w:t xml:space="preserve">British Standards Institution, "BS EN 12390-1:2012. Testing hardened concrete. Part 1: Shape, dimensions and other requirements for specimens and moulds. BSI, London, UK," </w:t>
      </w:r>
      <w:proofErr w:type="spellStart"/>
      <w:proofErr w:type="gramStart"/>
      <w:r w:rsidRPr="00C42390">
        <w:rPr>
          <w:iCs/>
          <w:sz w:val="16"/>
          <w:szCs w:val="16"/>
          <w:lang w:val="en-GB"/>
        </w:rPr>
        <w:t>ed</w:t>
      </w:r>
      <w:proofErr w:type="spellEnd"/>
      <w:proofErr w:type="gramEnd"/>
      <w:r w:rsidRPr="00C42390">
        <w:rPr>
          <w:iCs/>
          <w:sz w:val="16"/>
          <w:szCs w:val="16"/>
          <w:lang w:val="en-GB"/>
        </w:rPr>
        <w:t>, 2012.</w:t>
      </w:r>
    </w:p>
    <w:p w14:paraId="6A21ECB1" w14:textId="77777777" w:rsidR="00C42390" w:rsidRPr="00C42390" w:rsidRDefault="00C42390" w:rsidP="00C42390">
      <w:pPr>
        <w:numPr>
          <w:ilvl w:val="0"/>
          <w:numId w:val="2"/>
        </w:numPr>
        <w:ind w:left="357" w:hanging="357"/>
        <w:jc w:val="both"/>
        <w:rPr>
          <w:iCs/>
          <w:sz w:val="16"/>
          <w:szCs w:val="16"/>
          <w:lang w:val="en-GB"/>
        </w:rPr>
      </w:pPr>
      <w:r w:rsidRPr="00C42390">
        <w:rPr>
          <w:iCs/>
          <w:sz w:val="16"/>
          <w:szCs w:val="16"/>
          <w:lang w:val="en-GB"/>
        </w:rPr>
        <w:t xml:space="preserve">British Standards Institution, "BS EN 12390-2:2009. Making and curing specimens for strength tests. BSI, London, UK," </w:t>
      </w:r>
      <w:proofErr w:type="spellStart"/>
      <w:proofErr w:type="gramStart"/>
      <w:r w:rsidRPr="00C42390">
        <w:rPr>
          <w:iCs/>
          <w:sz w:val="16"/>
          <w:szCs w:val="16"/>
          <w:lang w:val="en-GB"/>
        </w:rPr>
        <w:t>ed</w:t>
      </w:r>
      <w:proofErr w:type="spellEnd"/>
      <w:proofErr w:type="gramEnd"/>
      <w:r w:rsidRPr="00C42390">
        <w:rPr>
          <w:iCs/>
          <w:sz w:val="16"/>
          <w:szCs w:val="16"/>
          <w:lang w:val="en-GB"/>
        </w:rPr>
        <w:t>, 2009.</w:t>
      </w:r>
    </w:p>
    <w:p w14:paraId="32823325" w14:textId="77777777" w:rsidR="00C42390" w:rsidRPr="00C42390" w:rsidRDefault="00C42390" w:rsidP="00C42390">
      <w:pPr>
        <w:numPr>
          <w:ilvl w:val="0"/>
          <w:numId w:val="2"/>
        </w:numPr>
        <w:ind w:left="357" w:hanging="357"/>
        <w:jc w:val="both"/>
        <w:rPr>
          <w:iCs/>
          <w:sz w:val="16"/>
          <w:szCs w:val="16"/>
          <w:lang w:val="en-GB"/>
        </w:rPr>
      </w:pPr>
      <w:r w:rsidRPr="00C42390">
        <w:rPr>
          <w:iCs/>
          <w:sz w:val="16"/>
          <w:szCs w:val="16"/>
          <w:lang w:val="en-GB"/>
        </w:rPr>
        <w:t>European Ready Mixed Concrete Organisation, "Guidance to the engineering properties of concrete," 2006.</w:t>
      </w:r>
    </w:p>
    <w:p w14:paraId="47F0DB0C" w14:textId="77777777" w:rsidR="00C42390" w:rsidRPr="00C42390" w:rsidRDefault="00C42390" w:rsidP="00C42390">
      <w:pPr>
        <w:numPr>
          <w:ilvl w:val="0"/>
          <w:numId w:val="2"/>
        </w:numPr>
        <w:ind w:left="357" w:hanging="357"/>
        <w:jc w:val="both"/>
        <w:rPr>
          <w:iCs/>
          <w:sz w:val="16"/>
          <w:szCs w:val="16"/>
          <w:lang w:val="en-GB"/>
        </w:rPr>
      </w:pPr>
      <w:r w:rsidRPr="00C42390">
        <w:rPr>
          <w:iCs/>
          <w:sz w:val="16"/>
          <w:szCs w:val="16"/>
          <w:lang w:val="en-GB"/>
        </w:rPr>
        <w:t xml:space="preserve">D. </w:t>
      </w:r>
      <w:proofErr w:type="spellStart"/>
      <w:r w:rsidRPr="00C42390">
        <w:rPr>
          <w:iCs/>
          <w:sz w:val="16"/>
          <w:szCs w:val="16"/>
          <w:lang w:val="en-GB"/>
        </w:rPr>
        <w:t>Adesanya</w:t>
      </w:r>
      <w:proofErr w:type="spellEnd"/>
      <w:r w:rsidRPr="00C42390">
        <w:rPr>
          <w:iCs/>
          <w:sz w:val="16"/>
          <w:szCs w:val="16"/>
          <w:lang w:val="en-GB"/>
        </w:rPr>
        <w:t xml:space="preserve"> and A. Raheem, "A study of the permeability and acid attack of corn cob ash blended cements," Construction and Building Materials, vol. 24, pp. 403-409, 2010.</w:t>
      </w:r>
    </w:p>
    <w:p w14:paraId="7E103592" w14:textId="77777777" w:rsidR="00C42390" w:rsidRPr="00C42390" w:rsidRDefault="00C42390" w:rsidP="00C42390">
      <w:pPr>
        <w:numPr>
          <w:ilvl w:val="0"/>
          <w:numId w:val="2"/>
        </w:numPr>
        <w:ind w:left="357" w:hanging="357"/>
        <w:jc w:val="both"/>
        <w:rPr>
          <w:iCs/>
          <w:sz w:val="16"/>
          <w:szCs w:val="16"/>
          <w:lang w:val="en-GB"/>
        </w:rPr>
      </w:pPr>
      <w:r w:rsidRPr="00C42390">
        <w:rPr>
          <w:iCs/>
          <w:sz w:val="16"/>
          <w:szCs w:val="16"/>
          <w:lang w:val="en-GB"/>
        </w:rPr>
        <w:t xml:space="preserve">American Society for Testing and Materials, "ASTM C192/C192M. Standard Practice for Making and Curing Concrete Test Specimens in the Laboratory. 16a, 100 Barr </w:t>
      </w:r>
      <w:proofErr w:type="spellStart"/>
      <w:r w:rsidRPr="00C42390">
        <w:rPr>
          <w:iCs/>
          <w:sz w:val="16"/>
          <w:szCs w:val="16"/>
          <w:lang w:val="en-GB"/>
        </w:rPr>
        <w:t>Harbor</w:t>
      </w:r>
      <w:proofErr w:type="spellEnd"/>
      <w:r w:rsidRPr="00C42390">
        <w:rPr>
          <w:iCs/>
          <w:sz w:val="16"/>
          <w:szCs w:val="16"/>
          <w:lang w:val="en-GB"/>
        </w:rPr>
        <w:t xml:space="preserve"> Drive, PO Box C700, West Conshohocken, PA 19428-2959. United States," </w:t>
      </w:r>
      <w:proofErr w:type="spellStart"/>
      <w:proofErr w:type="gramStart"/>
      <w:r w:rsidRPr="00C42390">
        <w:rPr>
          <w:iCs/>
          <w:sz w:val="16"/>
          <w:szCs w:val="16"/>
          <w:lang w:val="en-GB"/>
        </w:rPr>
        <w:t>ed</w:t>
      </w:r>
      <w:proofErr w:type="spellEnd"/>
      <w:proofErr w:type="gramEnd"/>
      <w:r w:rsidRPr="00C42390">
        <w:rPr>
          <w:iCs/>
          <w:sz w:val="16"/>
          <w:szCs w:val="16"/>
          <w:lang w:val="en-GB"/>
        </w:rPr>
        <w:t>, 2016.</w:t>
      </w:r>
    </w:p>
    <w:p w14:paraId="4EE4168D" w14:textId="77777777" w:rsidR="00C42390" w:rsidRPr="00C42390" w:rsidRDefault="00C42390" w:rsidP="00C42390">
      <w:pPr>
        <w:numPr>
          <w:ilvl w:val="0"/>
          <w:numId w:val="2"/>
        </w:numPr>
        <w:ind w:left="357" w:hanging="357"/>
        <w:jc w:val="both"/>
        <w:rPr>
          <w:iCs/>
          <w:sz w:val="16"/>
          <w:szCs w:val="16"/>
          <w:lang w:val="en-GB"/>
        </w:rPr>
      </w:pPr>
      <w:r w:rsidRPr="00C42390">
        <w:rPr>
          <w:iCs/>
          <w:sz w:val="16"/>
          <w:szCs w:val="16"/>
          <w:lang w:val="en-GB"/>
        </w:rPr>
        <w:t xml:space="preserve">F. A. </w:t>
      </w:r>
      <w:proofErr w:type="spellStart"/>
      <w:r w:rsidRPr="00C42390">
        <w:rPr>
          <w:iCs/>
          <w:sz w:val="16"/>
          <w:szCs w:val="16"/>
          <w:lang w:val="en-GB"/>
        </w:rPr>
        <w:t>Oluokun</w:t>
      </w:r>
      <w:proofErr w:type="spellEnd"/>
      <w:r w:rsidRPr="00C42390">
        <w:rPr>
          <w:iCs/>
          <w:sz w:val="16"/>
          <w:szCs w:val="16"/>
          <w:lang w:val="en-GB"/>
        </w:rPr>
        <w:t>, "Fly ash concrete mix design and the water-cement ratio law," Materials Journal, vol. 91, pp. 362-371, 1994.</w:t>
      </w:r>
    </w:p>
    <w:p w14:paraId="1F420A73" w14:textId="77777777" w:rsidR="00C42390" w:rsidRPr="00C42390" w:rsidRDefault="00C42390" w:rsidP="00C42390">
      <w:pPr>
        <w:numPr>
          <w:ilvl w:val="0"/>
          <w:numId w:val="2"/>
        </w:numPr>
        <w:ind w:left="357" w:hanging="357"/>
        <w:jc w:val="both"/>
        <w:rPr>
          <w:iCs/>
          <w:sz w:val="16"/>
          <w:szCs w:val="16"/>
          <w:lang w:val="en-GB"/>
        </w:rPr>
      </w:pPr>
      <w:r w:rsidRPr="00C42390">
        <w:rPr>
          <w:iCs/>
          <w:sz w:val="16"/>
          <w:szCs w:val="16"/>
          <w:lang w:val="en-GB"/>
        </w:rPr>
        <w:t xml:space="preserve">British Standards Institution, "BS 5328: 1990 Part 2: 1990. Concrete. Part 2. Methods for specifying concrete mixes. BSI, London: UK," in BSOL, </w:t>
      </w:r>
      <w:proofErr w:type="spellStart"/>
      <w:proofErr w:type="gramStart"/>
      <w:r w:rsidRPr="00C42390">
        <w:rPr>
          <w:iCs/>
          <w:sz w:val="16"/>
          <w:szCs w:val="16"/>
          <w:lang w:val="en-GB"/>
        </w:rPr>
        <w:t>ed</w:t>
      </w:r>
      <w:proofErr w:type="spellEnd"/>
      <w:proofErr w:type="gramEnd"/>
      <w:r w:rsidRPr="00C42390">
        <w:rPr>
          <w:iCs/>
          <w:sz w:val="16"/>
          <w:szCs w:val="16"/>
          <w:lang w:val="en-GB"/>
        </w:rPr>
        <w:t>, 1990.</w:t>
      </w:r>
    </w:p>
    <w:p w14:paraId="43978E7B" w14:textId="77777777" w:rsidR="00C42390" w:rsidRPr="00C42390" w:rsidRDefault="00C42390" w:rsidP="00C42390">
      <w:pPr>
        <w:numPr>
          <w:ilvl w:val="0"/>
          <w:numId w:val="2"/>
        </w:numPr>
        <w:ind w:left="357" w:hanging="357"/>
        <w:jc w:val="both"/>
        <w:rPr>
          <w:iCs/>
          <w:sz w:val="16"/>
          <w:szCs w:val="16"/>
          <w:lang w:val="en-GB"/>
        </w:rPr>
      </w:pPr>
      <w:r w:rsidRPr="00C42390">
        <w:rPr>
          <w:iCs/>
          <w:sz w:val="16"/>
          <w:szCs w:val="16"/>
          <w:lang w:val="en-GB"/>
        </w:rPr>
        <w:t xml:space="preserve">British Standards Institution, "BS 5328: Part 1: 1990. Concrete. Part 1 Guide to specifying concrete. BSI, London: UK," in BSOL, </w:t>
      </w:r>
      <w:proofErr w:type="spellStart"/>
      <w:proofErr w:type="gramStart"/>
      <w:r w:rsidRPr="00C42390">
        <w:rPr>
          <w:iCs/>
          <w:sz w:val="16"/>
          <w:szCs w:val="16"/>
          <w:lang w:val="en-GB"/>
        </w:rPr>
        <w:t>ed</w:t>
      </w:r>
      <w:proofErr w:type="spellEnd"/>
      <w:proofErr w:type="gramEnd"/>
      <w:r w:rsidRPr="00C42390">
        <w:rPr>
          <w:iCs/>
          <w:sz w:val="16"/>
          <w:szCs w:val="16"/>
          <w:lang w:val="en-GB"/>
        </w:rPr>
        <w:t>, 1990.</w:t>
      </w:r>
    </w:p>
    <w:p w14:paraId="2841E112" w14:textId="77777777" w:rsidR="00C42390" w:rsidRPr="00C42390" w:rsidRDefault="00C42390" w:rsidP="00C42390">
      <w:pPr>
        <w:numPr>
          <w:ilvl w:val="0"/>
          <w:numId w:val="2"/>
        </w:numPr>
        <w:ind w:left="357" w:hanging="357"/>
        <w:jc w:val="both"/>
        <w:rPr>
          <w:iCs/>
          <w:sz w:val="16"/>
          <w:szCs w:val="16"/>
          <w:lang w:val="en-GB"/>
        </w:rPr>
      </w:pPr>
      <w:r w:rsidRPr="00C42390">
        <w:rPr>
          <w:iCs/>
          <w:sz w:val="16"/>
          <w:szCs w:val="16"/>
          <w:lang w:val="en-GB"/>
        </w:rPr>
        <w:t xml:space="preserve">American Society for Testing and Materials, "ASTM C1012/C1012M−15. Standard Test Method for Length Change of Hydraulic-Cement Mortars Exposed to a </w:t>
      </w:r>
      <w:proofErr w:type="spellStart"/>
      <w:r w:rsidRPr="00C42390">
        <w:rPr>
          <w:iCs/>
          <w:sz w:val="16"/>
          <w:szCs w:val="16"/>
          <w:lang w:val="en-GB"/>
        </w:rPr>
        <w:t>Sulfate</w:t>
      </w:r>
      <w:proofErr w:type="spellEnd"/>
      <w:r w:rsidRPr="00C42390">
        <w:rPr>
          <w:iCs/>
          <w:sz w:val="16"/>
          <w:szCs w:val="16"/>
          <w:lang w:val="en-GB"/>
        </w:rPr>
        <w:t xml:space="preserve"> Solution1. 100 Barr </w:t>
      </w:r>
      <w:proofErr w:type="spellStart"/>
      <w:r w:rsidRPr="00C42390">
        <w:rPr>
          <w:iCs/>
          <w:sz w:val="16"/>
          <w:szCs w:val="16"/>
          <w:lang w:val="en-GB"/>
        </w:rPr>
        <w:t>Harbor</w:t>
      </w:r>
      <w:proofErr w:type="spellEnd"/>
      <w:r w:rsidRPr="00C42390">
        <w:rPr>
          <w:iCs/>
          <w:sz w:val="16"/>
          <w:szCs w:val="16"/>
          <w:lang w:val="en-GB"/>
        </w:rPr>
        <w:t xml:space="preserve"> Drive, PO Box C700, West Conshohocken, PA 19428-2959. United States," </w:t>
      </w:r>
      <w:proofErr w:type="spellStart"/>
      <w:proofErr w:type="gramStart"/>
      <w:r w:rsidRPr="00C42390">
        <w:rPr>
          <w:iCs/>
          <w:sz w:val="16"/>
          <w:szCs w:val="16"/>
          <w:lang w:val="en-GB"/>
        </w:rPr>
        <w:t>ed</w:t>
      </w:r>
      <w:proofErr w:type="spellEnd"/>
      <w:proofErr w:type="gramEnd"/>
      <w:r w:rsidRPr="00C42390">
        <w:rPr>
          <w:iCs/>
          <w:sz w:val="16"/>
          <w:szCs w:val="16"/>
          <w:lang w:val="en-GB"/>
        </w:rPr>
        <w:t>, 2015.</w:t>
      </w:r>
    </w:p>
    <w:p w14:paraId="026447F5" w14:textId="77777777" w:rsidR="00C42390" w:rsidRPr="00C42390" w:rsidRDefault="00C42390" w:rsidP="00C42390">
      <w:pPr>
        <w:numPr>
          <w:ilvl w:val="0"/>
          <w:numId w:val="2"/>
        </w:numPr>
        <w:ind w:left="357" w:hanging="357"/>
        <w:jc w:val="both"/>
        <w:rPr>
          <w:iCs/>
          <w:sz w:val="16"/>
          <w:szCs w:val="16"/>
          <w:lang w:val="en-GB"/>
        </w:rPr>
      </w:pPr>
      <w:r w:rsidRPr="00C42390">
        <w:rPr>
          <w:iCs/>
          <w:sz w:val="16"/>
          <w:szCs w:val="16"/>
          <w:lang w:val="en-GB"/>
        </w:rPr>
        <w:t xml:space="preserve">British Standards Institution, "BS EN 12390-3:2009. Testing of Hardened Concrete, Part 3: Compressive strength of test specimens. BSI, London, UK," </w:t>
      </w:r>
      <w:proofErr w:type="spellStart"/>
      <w:proofErr w:type="gramStart"/>
      <w:r w:rsidRPr="00C42390">
        <w:rPr>
          <w:iCs/>
          <w:sz w:val="16"/>
          <w:szCs w:val="16"/>
          <w:lang w:val="en-GB"/>
        </w:rPr>
        <w:t>ed</w:t>
      </w:r>
      <w:proofErr w:type="spellEnd"/>
      <w:proofErr w:type="gramEnd"/>
      <w:r w:rsidRPr="00C42390">
        <w:rPr>
          <w:iCs/>
          <w:sz w:val="16"/>
          <w:szCs w:val="16"/>
          <w:lang w:val="en-GB"/>
        </w:rPr>
        <w:t>, 2011.</w:t>
      </w:r>
    </w:p>
    <w:p w14:paraId="5C29425E" w14:textId="77777777" w:rsidR="00C42390" w:rsidRPr="00C42390" w:rsidRDefault="00C42390" w:rsidP="00C42390">
      <w:pPr>
        <w:numPr>
          <w:ilvl w:val="0"/>
          <w:numId w:val="2"/>
        </w:numPr>
        <w:ind w:left="357" w:hanging="357"/>
        <w:jc w:val="both"/>
        <w:rPr>
          <w:iCs/>
          <w:sz w:val="16"/>
          <w:szCs w:val="16"/>
          <w:lang w:val="en-GB"/>
        </w:rPr>
      </w:pPr>
      <w:r w:rsidRPr="00C42390">
        <w:rPr>
          <w:iCs/>
          <w:sz w:val="16"/>
          <w:szCs w:val="16"/>
          <w:lang w:val="en-GB"/>
        </w:rPr>
        <w:t xml:space="preserve">British Standards Institution, "BS EN  12390-6:2009. Testing hardened concrete Part 6: Tensile splitting strength of test specimens. BSI, London, UK," </w:t>
      </w:r>
      <w:proofErr w:type="spellStart"/>
      <w:proofErr w:type="gramStart"/>
      <w:r w:rsidRPr="00C42390">
        <w:rPr>
          <w:iCs/>
          <w:sz w:val="16"/>
          <w:szCs w:val="16"/>
          <w:lang w:val="en-GB"/>
        </w:rPr>
        <w:t>ed</w:t>
      </w:r>
      <w:proofErr w:type="spellEnd"/>
      <w:proofErr w:type="gramEnd"/>
      <w:r w:rsidRPr="00C42390">
        <w:rPr>
          <w:iCs/>
          <w:sz w:val="16"/>
          <w:szCs w:val="16"/>
          <w:lang w:val="en-GB"/>
        </w:rPr>
        <w:t>, 2010.</w:t>
      </w:r>
    </w:p>
    <w:p w14:paraId="35E3EB1D" w14:textId="77777777" w:rsidR="00C42390" w:rsidRPr="00C42390" w:rsidRDefault="00C42390" w:rsidP="00C42390">
      <w:pPr>
        <w:numPr>
          <w:ilvl w:val="0"/>
          <w:numId w:val="2"/>
        </w:numPr>
        <w:ind w:left="357" w:hanging="357"/>
        <w:jc w:val="both"/>
        <w:rPr>
          <w:iCs/>
          <w:sz w:val="16"/>
          <w:szCs w:val="16"/>
          <w:lang w:val="en-GB"/>
        </w:rPr>
      </w:pPr>
      <w:r w:rsidRPr="00C42390">
        <w:rPr>
          <w:iCs/>
          <w:sz w:val="16"/>
          <w:szCs w:val="16"/>
          <w:lang w:val="en-GB"/>
        </w:rPr>
        <w:t xml:space="preserve">M. Sumer, "Compressive strength and </w:t>
      </w:r>
      <w:proofErr w:type="spellStart"/>
      <w:r w:rsidRPr="00C42390">
        <w:rPr>
          <w:iCs/>
          <w:sz w:val="16"/>
          <w:szCs w:val="16"/>
          <w:lang w:val="en-GB"/>
        </w:rPr>
        <w:t>sulfate</w:t>
      </w:r>
      <w:proofErr w:type="spellEnd"/>
      <w:r w:rsidRPr="00C42390">
        <w:rPr>
          <w:iCs/>
          <w:sz w:val="16"/>
          <w:szCs w:val="16"/>
          <w:lang w:val="en-GB"/>
        </w:rPr>
        <w:t xml:space="preserve"> resistance properties of concretes containing Class F and Class C fly ashes," Construction and Building Materials, vol. 34, pp. 531-536, 2012.</w:t>
      </w:r>
    </w:p>
    <w:p w14:paraId="03BF95A6" w14:textId="77777777" w:rsidR="00C42390" w:rsidRPr="00C42390" w:rsidRDefault="00C42390" w:rsidP="00C42390">
      <w:pPr>
        <w:numPr>
          <w:ilvl w:val="0"/>
          <w:numId w:val="2"/>
        </w:numPr>
        <w:ind w:left="357" w:hanging="357"/>
        <w:jc w:val="both"/>
        <w:rPr>
          <w:iCs/>
          <w:sz w:val="16"/>
          <w:szCs w:val="16"/>
          <w:lang w:val="en-GB"/>
        </w:rPr>
      </w:pPr>
      <w:r w:rsidRPr="00C42390">
        <w:rPr>
          <w:iCs/>
          <w:sz w:val="16"/>
          <w:szCs w:val="16"/>
          <w:lang w:val="en-GB"/>
        </w:rPr>
        <w:t xml:space="preserve">British Standards Institution, "BS 8500-1:2015. Concrete – Complementary British Standard to BS EN 206. Part 1: Method of specifying and guidance for the specifier. BSI, London, UK," </w:t>
      </w:r>
      <w:proofErr w:type="spellStart"/>
      <w:proofErr w:type="gramStart"/>
      <w:r w:rsidRPr="00C42390">
        <w:rPr>
          <w:iCs/>
          <w:sz w:val="16"/>
          <w:szCs w:val="16"/>
          <w:lang w:val="en-GB"/>
        </w:rPr>
        <w:t>ed</w:t>
      </w:r>
      <w:proofErr w:type="spellEnd"/>
      <w:proofErr w:type="gramEnd"/>
      <w:r w:rsidRPr="00C42390">
        <w:rPr>
          <w:iCs/>
          <w:sz w:val="16"/>
          <w:szCs w:val="16"/>
          <w:lang w:val="en-GB"/>
        </w:rPr>
        <w:t>, 2015.</w:t>
      </w:r>
    </w:p>
    <w:p w14:paraId="3707101D" w14:textId="5352F2F7" w:rsidR="008E55EE" w:rsidRPr="00E70FC8" w:rsidRDefault="003B6DE1" w:rsidP="00C42390">
      <w:pPr>
        <w:pStyle w:val="References"/>
        <w:numPr>
          <w:ilvl w:val="0"/>
          <w:numId w:val="0"/>
        </w:numPr>
        <w:ind w:left="360" w:hanging="360"/>
        <w:rPr>
          <w:i/>
          <w:noProof/>
        </w:rPr>
      </w:pPr>
      <w:r w:rsidRPr="00E70FC8">
        <w:rPr>
          <w:rFonts w:eastAsia="SimSun"/>
          <w:b/>
          <w:bCs/>
          <w:noProof/>
          <w:lang w:val="en-GB" w:eastAsia="en-GB"/>
        </w:rPr>
        <w:drawing>
          <wp:anchor distT="0" distB="0" distL="114300" distR="114300" simplePos="0" relativeHeight="251659264" behindDoc="1" locked="0" layoutInCell="1" allowOverlap="1" wp14:anchorId="7722A848" wp14:editId="009CEBA3">
            <wp:simplePos x="0" y="0"/>
            <wp:positionH relativeFrom="column">
              <wp:posOffset>130175</wp:posOffset>
            </wp:positionH>
            <wp:positionV relativeFrom="paragraph">
              <wp:posOffset>67310</wp:posOffset>
            </wp:positionV>
            <wp:extent cx="587375" cy="711200"/>
            <wp:effectExtent l="0" t="4762" r="0" b="0"/>
            <wp:wrapTight wrapText="bothSides">
              <wp:wrapPolygon edited="0">
                <wp:start x="-175" y="21455"/>
                <wp:lineTo x="20841" y="21455"/>
                <wp:lineTo x="20841" y="627"/>
                <wp:lineTo x="-175" y="627"/>
                <wp:lineTo x="-175" y="21455"/>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587375"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2390" w:rsidRPr="00C42390">
        <w:rPr>
          <w:iCs/>
          <w:sz w:val="20"/>
          <w:szCs w:val="20"/>
          <w:lang w:val="en-GB"/>
        </w:rPr>
        <w:fldChar w:fldCharType="end"/>
      </w:r>
      <w:r w:rsidR="00C42390">
        <w:rPr>
          <w:iCs/>
          <w:lang w:val="en-GB"/>
        </w:rPr>
        <w:t xml:space="preserve">     </w:t>
      </w:r>
      <w:r w:rsidR="0006241D" w:rsidRPr="00E70FC8">
        <w:fldChar w:fldCharType="begin"/>
      </w:r>
      <w:r w:rsidR="0006241D" w:rsidRPr="00E70FC8">
        <w:instrText xml:space="preserve"> ADDIN EN.REFLIST </w:instrText>
      </w:r>
      <w:r w:rsidR="0006241D" w:rsidRPr="00E70FC8">
        <w:fldChar w:fldCharType="separate"/>
      </w:r>
    </w:p>
    <w:p w14:paraId="25AFB41C" w14:textId="77777777" w:rsidR="00C945B9" w:rsidRDefault="0006241D" w:rsidP="00A72DEB">
      <w:pPr>
        <w:pStyle w:val="EndNoteBibliography"/>
        <w:ind w:left="720" w:hanging="720"/>
        <w:jc w:val="both"/>
        <w:rPr>
          <w:rFonts w:eastAsia="SimSun"/>
          <w:bCs/>
          <w:sz w:val="16"/>
          <w:szCs w:val="16"/>
          <w:lang w:eastAsia="zh-CN"/>
        </w:rPr>
      </w:pPr>
      <w:r w:rsidRPr="00E70FC8">
        <w:rPr>
          <w:i/>
          <w:noProof/>
          <w:sz w:val="16"/>
          <w:szCs w:val="16"/>
        </w:rPr>
        <w:t xml:space="preserve"> </w:t>
      </w:r>
      <w:r w:rsidRPr="00E70FC8">
        <w:rPr>
          <w:sz w:val="16"/>
          <w:szCs w:val="16"/>
        </w:rPr>
        <w:fldChar w:fldCharType="end"/>
      </w:r>
      <w:r w:rsidR="00793838" w:rsidRPr="00E70FC8">
        <w:rPr>
          <w:rFonts w:eastAsia="SimSun"/>
          <w:b/>
          <w:bCs/>
          <w:sz w:val="16"/>
          <w:szCs w:val="16"/>
          <w:lang w:eastAsia="zh-CN"/>
        </w:rPr>
        <w:t>J. Kamau</w:t>
      </w:r>
      <w:r w:rsidR="00793838" w:rsidRPr="00E70FC8">
        <w:rPr>
          <w:rFonts w:eastAsia="SimSun"/>
          <w:bCs/>
          <w:sz w:val="16"/>
          <w:szCs w:val="16"/>
          <w:lang w:eastAsia="zh-CN"/>
        </w:rPr>
        <w:t xml:space="preserve">, the main author was born in Kenya. He </w:t>
      </w:r>
      <w:r w:rsidR="00793838" w:rsidRPr="003B6DE1">
        <w:rPr>
          <w:rFonts w:eastAsia="SimSun"/>
          <w:bCs/>
          <w:sz w:val="16"/>
          <w:szCs w:val="16"/>
          <w:lang w:eastAsia="zh-CN"/>
        </w:rPr>
        <w:t>graduated with a Bachelor of Science with honors degree in civil engineering from Leeds Beckett University, Leeds,</w:t>
      </w:r>
      <w:r w:rsidR="00A72DEB" w:rsidRPr="003B6DE1">
        <w:rPr>
          <w:rFonts w:eastAsia="SimSun"/>
          <w:bCs/>
          <w:sz w:val="16"/>
          <w:szCs w:val="16"/>
          <w:lang w:eastAsia="zh-CN"/>
        </w:rPr>
        <w:t xml:space="preserve"> West Yorkshire, United </w:t>
      </w:r>
      <w:r w:rsidR="00E5039B" w:rsidRPr="003B6DE1">
        <w:rPr>
          <w:rFonts w:eastAsia="SimSun"/>
          <w:bCs/>
          <w:sz w:val="16"/>
          <w:szCs w:val="16"/>
          <w:lang w:eastAsia="zh-CN"/>
        </w:rPr>
        <w:t xml:space="preserve">Kingdom </w:t>
      </w:r>
      <w:r w:rsidR="00A72DEB" w:rsidRPr="003B6DE1">
        <w:rPr>
          <w:rFonts w:eastAsia="SimSun"/>
          <w:bCs/>
          <w:sz w:val="16"/>
          <w:szCs w:val="16"/>
          <w:lang w:eastAsia="zh-CN"/>
        </w:rPr>
        <w:t xml:space="preserve">(UK) in 2010 </w:t>
      </w:r>
      <w:r w:rsidR="00793838" w:rsidRPr="003B6DE1">
        <w:rPr>
          <w:rFonts w:eastAsia="SimSun"/>
          <w:bCs/>
          <w:sz w:val="16"/>
          <w:szCs w:val="16"/>
          <w:lang w:eastAsia="zh-CN"/>
        </w:rPr>
        <w:t>and a Master of</w:t>
      </w:r>
      <w:r w:rsidR="00A72DEB" w:rsidRPr="003B6DE1">
        <w:rPr>
          <w:rFonts w:eastAsia="SimSun"/>
          <w:bCs/>
          <w:sz w:val="16"/>
          <w:szCs w:val="16"/>
          <w:lang w:eastAsia="zh-CN"/>
        </w:rPr>
        <w:t xml:space="preserve"> </w:t>
      </w:r>
      <w:r w:rsidR="00793838" w:rsidRPr="003B6DE1">
        <w:rPr>
          <w:rFonts w:eastAsia="SimSun"/>
          <w:bCs/>
          <w:sz w:val="16"/>
          <w:szCs w:val="16"/>
          <w:lang w:eastAsia="zh-CN"/>
        </w:rPr>
        <w:t xml:space="preserve">Science degree in </w:t>
      </w:r>
    </w:p>
    <w:p w14:paraId="714D5653" w14:textId="77777777" w:rsidR="00C945B9" w:rsidRDefault="00793838" w:rsidP="00A72DEB">
      <w:pPr>
        <w:pStyle w:val="EndNoteBibliography"/>
        <w:ind w:left="720" w:hanging="720"/>
        <w:jc w:val="both"/>
        <w:rPr>
          <w:rFonts w:eastAsia="SimSun"/>
          <w:bCs/>
          <w:sz w:val="16"/>
          <w:szCs w:val="16"/>
          <w:lang w:eastAsia="zh-CN"/>
        </w:rPr>
      </w:pPr>
      <w:proofErr w:type="gramStart"/>
      <w:r w:rsidRPr="003B6DE1">
        <w:rPr>
          <w:rFonts w:eastAsia="SimSun"/>
          <w:bCs/>
          <w:sz w:val="16"/>
          <w:szCs w:val="16"/>
          <w:lang w:eastAsia="zh-CN"/>
        </w:rPr>
        <w:t>structural</w:t>
      </w:r>
      <w:proofErr w:type="gramEnd"/>
      <w:r w:rsidRPr="003B6DE1">
        <w:rPr>
          <w:rFonts w:eastAsia="SimSun"/>
          <w:bCs/>
          <w:sz w:val="16"/>
          <w:szCs w:val="16"/>
          <w:lang w:eastAsia="zh-CN"/>
        </w:rPr>
        <w:t xml:space="preserve"> engineering from the University of Leeds, Leeds, West Yorkshire, </w:t>
      </w:r>
    </w:p>
    <w:p w14:paraId="1534346A" w14:textId="77777777" w:rsidR="00C945B9" w:rsidRDefault="00793838" w:rsidP="00A72DEB">
      <w:pPr>
        <w:pStyle w:val="EndNoteBibliography"/>
        <w:ind w:left="720" w:hanging="720"/>
        <w:jc w:val="both"/>
        <w:rPr>
          <w:rFonts w:eastAsia="SimSun"/>
          <w:bCs/>
          <w:sz w:val="16"/>
          <w:szCs w:val="16"/>
          <w:lang w:eastAsia="zh-CN"/>
        </w:rPr>
      </w:pPr>
      <w:r w:rsidRPr="003B6DE1">
        <w:rPr>
          <w:rFonts w:eastAsia="SimSun"/>
          <w:bCs/>
          <w:sz w:val="16"/>
          <w:szCs w:val="16"/>
          <w:lang w:eastAsia="zh-CN"/>
        </w:rPr>
        <w:t xml:space="preserve">UK in 2011. He </w:t>
      </w:r>
      <w:r w:rsidR="00A72DEB" w:rsidRPr="003B6DE1">
        <w:rPr>
          <w:rFonts w:eastAsia="SimSun"/>
          <w:bCs/>
          <w:sz w:val="16"/>
          <w:szCs w:val="16"/>
          <w:lang w:eastAsia="zh-CN"/>
        </w:rPr>
        <w:t xml:space="preserve">has just successfully defended his PhD </w:t>
      </w:r>
      <w:proofErr w:type="spellStart"/>
      <w:r w:rsidRPr="003B6DE1">
        <w:rPr>
          <w:rFonts w:eastAsia="SimSun"/>
          <w:bCs/>
          <w:sz w:val="16"/>
          <w:szCs w:val="16"/>
          <w:lang w:eastAsia="zh-CN"/>
        </w:rPr>
        <w:t>programme</w:t>
      </w:r>
      <w:proofErr w:type="spellEnd"/>
      <w:r w:rsidRPr="003B6DE1">
        <w:rPr>
          <w:rFonts w:eastAsia="SimSun"/>
          <w:bCs/>
          <w:sz w:val="16"/>
          <w:szCs w:val="16"/>
          <w:lang w:eastAsia="zh-CN"/>
        </w:rPr>
        <w:t xml:space="preserve"> on </w:t>
      </w:r>
    </w:p>
    <w:p w14:paraId="0BF6CACC" w14:textId="77777777" w:rsidR="00C945B9" w:rsidRDefault="00A72DEB" w:rsidP="00C42390">
      <w:pPr>
        <w:pStyle w:val="EndNoteBibliography"/>
        <w:ind w:left="720" w:hanging="720"/>
        <w:jc w:val="both"/>
        <w:rPr>
          <w:rFonts w:eastAsia="SimSun"/>
          <w:bCs/>
          <w:sz w:val="16"/>
          <w:szCs w:val="16"/>
          <w:lang w:eastAsia="zh-CN"/>
        </w:rPr>
      </w:pPr>
      <w:r w:rsidRPr="003B6DE1">
        <w:rPr>
          <w:rFonts w:eastAsia="SimSun"/>
          <w:bCs/>
          <w:sz w:val="16"/>
          <w:szCs w:val="16"/>
          <w:lang w:eastAsia="zh-CN"/>
        </w:rPr>
        <w:t>S</w:t>
      </w:r>
      <w:r w:rsidR="00793838" w:rsidRPr="003B6DE1">
        <w:rPr>
          <w:rFonts w:eastAsia="SimSun"/>
          <w:bCs/>
          <w:sz w:val="16"/>
          <w:szCs w:val="16"/>
          <w:lang w:eastAsia="zh-CN"/>
        </w:rPr>
        <w:t>upplementary</w:t>
      </w:r>
      <w:r w:rsidRPr="003B6DE1">
        <w:rPr>
          <w:rFonts w:eastAsia="SimSun"/>
          <w:bCs/>
          <w:sz w:val="16"/>
          <w:szCs w:val="16"/>
          <w:lang w:eastAsia="zh-CN"/>
        </w:rPr>
        <w:t xml:space="preserve"> </w:t>
      </w:r>
      <w:r w:rsidR="00793838" w:rsidRPr="003B6DE1">
        <w:rPr>
          <w:rFonts w:eastAsia="SimSun"/>
          <w:bCs/>
          <w:sz w:val="16"/>
          <w:szCs w:val="16"/>
          <w:lang w:eastAsia="zh-CN"/>
        </w:rPr>
        <w:t xml:space="preserve">cementitious materials at the Leeds Beckett University, </w:t>
      </w:r>
    </w:p>
    <w:p w14:paraId="7769A1EB" w14:textId="77777777" w:rsidR="00C945B9" w:rsidRDefault="00793838" w:rsidP="00C42390">
      <w:pPr>
        <w:pStyle w:val="EndNoteBibliography"/>
        <w:ind w:left="720" w:hanging="720"/>
        <w:jc w:val="both"/>
        <w:rPr>
          <w:rFonts w:eastAsia="SimSun"/>
          <w:bCs/>
          <w:sz w:val="16"/>
          <w:szCs w:val="16"/>
          <w:lang w:eastAsia="zh-CN"/>
        </w:rPr>
      </w:pPr>
      <w:r w:rsidRPr="003B6DE1">
        <w:rPr>
          <w:rFonts w:eastAsia="SimSun"/>
          <w:bCs/>
          <w:sz w:val="16"/>
          <w:szCs w:val="16"/>
          <w:lang w:eastAsia="zh-CN"/>
        </w:rPr>
        <w:t xml:space="preserve">Leeds, West Yorkshire, UK. He has worked in the past as a CIVIL </w:t>
      </w:r>
    </w:p>
    <w:p w14:paraId="10F6914E" w14:textId="77777777" w:rsidR="00C945B9" w:rsidRDefault="00793838" w:rsidP="00C42390">
      <w:pPr>
        <w:pStyle w:val="EndNoteBibliography"/>
        <w:ind w:left="720" w:hanging="720"/>
        <w:jc w:val="both"/>
        <w:rPr>
          <w:rFonts w:eastAsia="SimSun"/>
          <w:bCs/>
          <w:sz w:val="16"/>
          <w:szCs w:val="16"/>
          <w:lang w:eastAsia="zh-CN"/>
        </w:rPr>
      </w:pPr>
      <w:r w:rsidRPr="003B6DE1">
        <w:rPr>
          <w:rFonts w:eastAsia="SimSun"/>
          <w:bCs/>
          <w:sz w:val="16"/>
          <w:szCs w:val="16"/>
          <w:lang w:eastAsia="zh-CN"/>
        </w:rPr>
        <w:t xml:space="preserve">ENGINEER and is currently working as a STRUCTURALENGINEER in </w:t>
      </w:r>
    </w:p>
    <w:p w14:paraId="7F2FCEFC" w14:textId="77777777" w:rsidR="00C945B9" w:rsidRDefault="00793838" w:rsidP="00C42390">
      <w:pPr>
        <w:pStyle w:val="EndNoteBibliography"/>
        <w:ind w:left="720" w:hanging="720"/>
        <w:jc w:val="both"/>
        <w:rPr>
          <w:rFonts w:eastAsia="SimSun"/>
          <w:bCs/>
          <w:sz w:val="16"/>
          <w:szCs w:val="16"/>
          <w:lang w:eastAsia="zh-CN"/>
        </w:rPr>
      </w:pPr>
      <w:proofErr w:type="spellStart"/>
      <w:r w:rsidRPr="003B6DE1">
        <w:rPr>
          <w:rFonts w:eastAsia="SimSun"/>
          <w:bCs/>
          <w:sz w:val="16"/>
          <w:szCs w:val="16"/>
          <w:lang w:eastAsia="zh-CN"/>
        </w:rPr>
        <w:t>Barnsley</w:t>
      </w:r>
      <w:proofErr w:type="spellEnd"/>
      <w:r w:rsidRPr="003B6DE1">
        <w:rPr>
          <w:rFonts w:eastAsia="SimSun"/>
          <w:bCs/>
          <w:sz w:val="16"/>
          <w:szCs w:val="16"/>
          <w:lang w:eastAsia="zh-CN"/>
        </w:rPr>
        <w:t xml:space="preserve">, South Yorkshire, UK. His publications include "VIABILITY OF </w:t>
      </w:r>
    </w:p>
    <w:p w14:paraId="260A796F" w14:textId="77777777" w:rsidR="00C945B9" w:rsidRDefault="00793838" w:rsidP="00C42390">
      <w:pPr>
        <w:pStyle w:val="EndNoteBibliography"/>
        <w:ind w:left="720" w:hanging="720"/>
        <w:jc w:val="both"/>
        <w:rPr>
          <w:rFonts w:eastAsia="SimSun"/>
          <w:bCs/>
          <w:sz w:val="16"/>
          <w:szCs w:val="16"/>
          <w:lang w:eastAsia="zh-CN"/>
        </w:rPr>
      </w:pPr>
      <w:r w:rsidRPr="003B6DE1">
        <w:rPr>
          <w:rFonts w:eastAsia="SimSun"/>
          <w:bCs/>
          <w:sz w:val="16"/>
          <w:szCs w:val="16"/>
          <w:lang w:eastAsia="zh-CN"/>
        </w:rPr>
        <w:t>USING CORNCOB ASH AS A POZZOLAN IN CONCRETE (2016) -</w:t>
      </w:r>
      <w:proofErr w:type="spellStart"/>
      <w:r w:rsidRPr="003B6DE1">
        <w:rPr>
          <w:rFonts w:eastAsia="SimSun"/>
          <w:bCs/>
          <w:sz w:val="16"/>
          <w:szCs w:val="16"/>
          <w:lang w:eastAsia="zh-CN"/>
        </w:rPr>
        <w:t>ijset</w:t>
      </w:r>
      <w:proofErr w:type="spellEnd"/>
      <w:r w:rsidRPr="003B6DE1">
        <w:rPr>
          <w:rFonts w:eastAsia="SimSun"/>
          <w:bCs/>
          <w:sz w:val="16"/>
          <w:szCs w:val="16"/>
          <w:lang w:eastAsia="zh-CN"/>
        </w:rPr>
        <w:t xml:space="preserve">, </w:t>
      </w:r>
    </w:p>
    <w:p w14:paraId="5A777481" w14:textId="77777777" w:rsidR="00C945B9" w:rsidRDefault="00793838" w:rsidP="00C42390">
      <w:pPr>
        <w:pStyle w:val="EndNoteBibliography"/>
        <w:ind w:left="720" w:hanging="720"/>
        <w:jc w:val="both"/>
        <w:rPr>
          <w:rFonts w:eastAsia="SimSun"/>
          <w:bCs/>
          <w:sz w:val="16"/>
          <w:szCs w:val="16"/>
          <w:lang w:eastAsia="zh-CN"/>
        </w:rPr>
      </w:pPr>
      <w:r w:rsidRPr="003B6DE1">
        <w:rPr>
          <w:rFonts w:eastAsia="SimSun"/>
          <w:bCs/>
          <w:sz w:val="16"/>
          <w:szCs w:val="16"/>
          <w:lang w:eastAsia="zh-CN"/>
        </w:rPr>
        <w:t xml:space="preserve">"PROPERTIES OF CONVENTIONAL CEMENT AND THIN LAYER </w:t>
      </w:r>
    </w:p>
    <w:p w14:paraId="333F1605" w14:textId="77777777" w:rsidR="00C945B9" w:rsidRDefault="00793838" w:rsidP="00C42390">
      <w:pPr>
        <w:pStyle w:val="EndNoteBibliography"/>
        <w:ind w:left="720" w:hanging="720"/>
        <w:jc w:val="both"/>
        <w:rPr>
          <w:rFonts w:eastAsia="SimSun"/>
          <w:bCs/>
          <w:sz w:val="16"/>
          <w:szCs w:val="16"/>
          <w:lang w:eastAsia="zh-CN"/>
        </w:rPr>
      </w:pPr>
      <w:r w:rsidRPr="003B6DE1">
        <w:rPr>
          <w:rFonts w:eastAsia="SimSun"/>
          <w:bCs/>
          <w:sz w:val="16"/>
          <w:szCs w:val="16"/>
          <w:lang w:eastAsia="zh-CN"/>
        </w:rPr>
        <w:t>MORTARS (2016)-</w:t>
      </w:r>
      <w:proofErr w:type="spellStart"/>
      <w:r w:rsidRPr="003B6DE1">
        <w:rPr>
          <w:rFonts w:eastAsia="SimSun"/>
          <w:bCs/>
          <w:sz w:val="16"/>
          <w:szCs w:val="16"/>
          <w:lang w:eastAsia="zh-CN"/>
        </w:rPr>
        <w:t>ijeset</w:t>
      </w:r>
      <w:proofErr w:type="spellEnd"/>
      <w:r w:rsidRPr="003B6DE1">
        <w:rPr>
          <w:rFonts w:eastAsia="SimSun"/>
          <w:bCs/>
          <w:sz w:val="16"/>
          <w:szCs w:val="16"/>
          <w:lang w:eastAsia="zh-CN"/>
        </w:rPr>
        <w:t xml:space="preserve"> and "Suitability of Corncob Ash as a </w:t>
      </w:r>
    </w:p>
    <w:p w14:paraId="73B0A69B" w14:textId="77777777" w:rsidR="00C945B9" w:rsidRDefault="00793838" w:rsidP="00C42390">
      <w:pPr>
        <w:pStyle w:val="EndNoteBibliography"/>
        <w:ind w:left="720" w:hanging="720"/>
        <w:jc w:val="both"/>
        <w:rPr>
          <w:rFonts w:eastAsia="SimSun"/>
          <w:bCs/>
          <w:sz w:val="16"/>
          <w:szCs w:val="16"/>
          <w:lang w:eastAsia="zh-CN"/>
        </w:rPr>
      </w:pPr>
      <w:r w:rsidRPr="003B6DE1">
        <w:rPr>
          <w:rFonts w:eastAsia="SimSun"/>
          <w:bCs/>
          <w:sz w:val="16"/>
          <w:szCs w:val="16"/>
          <w:lang w:eastAsia="zh-CN"/>
        </w:rPr>
        <w:t xml:space="preserve">Supplementary Cementitious Material (2016) – </w:t>
      </w:r>
      <w:proofErr w:type="spellStart"/>
      <w:r w:rsidRPr="003B6DE1">
        <w:rPr>
          <w:rFonts w:eastAsia="SimSun"/>
          <w:bCs/>
          <w:sz w:val="16"/>
          <w:szCs w:val="16"/>
          <w:lang w:eastAsia="zh-CN"/>
        </w:rPr>
        <w:t>ijmse</w:t>
      </w:r>
      <w:proofErr w:type="spellEnd"/>
      <w:r w:rsidRPr="003B6DE1">
        <w:rPr>
          <w:rFonts w:eastAsia="SimSun"/>
          <w:bCs/>
          <w:sz w:val="16"/>
          <w:szCs w:val="16"/>
          <w:lang w:eastAsia="zh-CN"/>
        </w:rPr>
        <w:t xml:space="preserve">. His research interests </w:t>
      </w:r>
    </w:p>
    <w:p w14:paraId="629C2FB1" w14:textId="77777777" w:rsidR="00C945B9" w:rsidRDefault="00793838" w:rsidP="00C945B9">
      <w:pPr>
        <w:pStyle w:val="EndNoteBibliography"/>
        <w:ind w:left="720" w:hanging="720"/>
        <w:jc w:val="both"/>
        <w:rPr>
          <w:rFonts w:eastAsia="SimSun"/>
          <w:bCs/>
          <w:sz w:val="16"/>
          <w:szCs w:val="16"/>
          <w:lang w:eastAsia="zh-CN"/>
        </w:rPr>
      </w:pPr>
      <w:proofErr w:type="gramStart"/>
      <w:r w:rsidRPr="003B6DE1">
        <w:rPr>
          <w:rFonts w:eastAsia="SimSun"/>
          <w:bCs/>
          <w:sz w:val="16"/>
          <w:szCs w:val="16"/>
          <w:lang w:eastAsia="zh-CN"/>
        </w:rPr>
        <w:t>are</w:t>
      </w:r>
      <w:proofErr w:type="gramEnd"/>
      <w:r w:rsidRPr="003B6DE1">
        <w:rPr>
          <w:rFonts w:eastAsia="SimSun"/>
          <w:bCs/>
          <w:sz w:val="16"/>
          <w:szCs w:val="16"/>
          <w:lang w:eastAsia="zh-CN"/>
        </w:rPr>
        <w:t xml:space="preserve"> in the sustainability of construction materials.</w:t>
      </w:r>
    </w:p>
    <w:p w14:paraId="45513D5C" w14:textId="46E42DBF" w:rsidR="00C945B9" w:rsidRDefault="00C945B9" w:rsidP="00C945B9">
      <w:pPr>
        <w:pStyle w:val="EndNoteBibliography"/>
        <w:ind w:left="720" w:hanging="720"/>
        <w:jc w:val="both"/>
        <w:rPr>
          <w:rFonts w:eastAsia="SimSun"/>
          <w:bCs/>
          <w:sz w:val="16"/>
          <w:szCs w:val="16"/>
          <w:lang w:eastAsia="zh-CN"/>
        </w:rPr>
      </w:pPr>
      <w:r>
        <w:rPr>
          <w:rFonts w:eastAsia="SimSun"/>
          <w:bCs/>
          <w:sz w:val="16"/>
          <w:szCs w:val="16"/>
          <w:lang w:eastAsia="zh-CN"/>
        </w:rPr>
        <w:t xml:space="preserve">        </w:t>
      </w:r>
      <w:r w:rsidR="00A72DEB" w:rsidRPr="003B6DE1">
        <w:rPr>
          <w:rFonts w:eastAsia="SimSun"/>
          <w:bCs/>
          <w:sz w:val="16"/>
          <w:szCs w:val="16"/>
          <w:lang w:eastAsia="zh-CN"/>
        </w:rPr>
        <w:t>Dr</w:t>
      </w:r>
      <w:r w:rsidR="00793838" w:rsidRPr="003B6DE1">
        <w:rPr>
          <w:rFonts w:eastAsia="SimSun"/>
          <w:bCs/>
          <w:sz w:val="16"/>
          <w:szCs w:val="16"/>
          <w:lang w:eastAsia="zh-CN"/>
        </w:rPr>
        <w:t>. Kamau is a Graduate Member of the Institu</w:t>
      </w:r>
      <w:r w:rsidR="00106E3C" w:rsidRPr="003B6DE1">
        <w:rPr>
          <w:rFonts w:eastAsia="SimSun"/>
          <w:bCs/>
          <w:sz w:val="16"/>
          <w:szCs w:val="16"/>
          <w:lang w:eastAsia="zh-CN"/>
        </w:rPr>
        <w:t xml:space="preserve">tion of Civil Engineers </w:t>
      </w:r>
    </w:p>
    <w:p w14:paraId="4D8FC0DC" w14:textId="0A504AC6" w:rsidR="00C945B9" w:rsidRDefault="00106E3C" w:rsidP="00C945B9">
      <w:pPr>
        <w:pStyle w:val="EndNoteBibliography"/>
        <w:ind w:left="720" w:hanging="720"/>
        <w:jc w:val="both"/>
        <w:rPr>
          <w:b/>
          <w:bCs/>
          <w:sz w:val="21"/>
          <w:szCs w:val="21"/>
        </w:rPr>
      </w:pPr>
      <w:r w:rsidRPr="003B6DE1">
        <w:rPr>
          <w:rFonts w:eastAsia="SimSun"/>
          <w:bCs/>
          <w:sz w:val="16"/>
          <w:szCs w:val="16"/>
          <w:lang w:eastAsia="zh-CN"/>
        </w:rPr>
        <w:t>(GMICE)</w:t>
      </w:r>
      <w:r w:rsidR="00A72DEB" w:rsidRPr="003B6DE1">
        <w:rPr>
          <w:rFonts w:eastAsia="SimSun"/>
          <w:bCs/>
          <w:sz w:val="16"/>
          <w:szCs w:val="16"/>
          <w:lang w:eastAsia="zh-CN"/>
        </w:rPr>
        <w:t>.</w:t>
      </w:r>
      <w:r w:rsidR="00793838" w:rsidRPr="00E70FC8">
        <w:rPr>
          <w:b/>
          <w:bCs/>
          <w:sz w:val="21"/>
          <w:szCs w:val="21"/>
        </w:rPr>
        <w:t xml:space="preserve"> </w:t>
      </w:r>
    </w:p>
    <w:p w14:paraId="2D394D1E" w14:textId="77777777" w:rsidR="00C945B9" w:rsidRDefault="00C945B9" w:rsidP="00C945B9">
      <w:pPr>
        <w:pStyle w:val="EndNoteBibliography"/>
        <w:ind w:left="720" w:hanging="720"/>
        <w:jc w:val="both"/>
        <w:rPr>
          <w:rFonts w:eastAsia="SimSun"/>
          <w:b/>
          <w:bCs/>
          <w:sz w:val="16"/>
          <w:szCs w:val="16"/>
          <w:lang w:eastAsia="zh-CN"/>
        </w:rPr>
      </w:pPr>
    </w:p>
    <w:p w14:paraId="41C58E1F" w14:textId="0E527390" w:rsidR="00C945B9" w:rsidRDefault="00C945B9" w:rsidP="00C945B9">
      <w:pPr>
        <w:pStyle w:val="EndNoteBibliography"/>
        <w:ind w:left="720" w:hanging="720"/>
        <w:jc w:val="both"/>
        <w:rPr>
          <w:rFonts w:eastAsia="SimSun"/>
          <w:bCs/>
          <w:sz w:val="16"/>
          <w:szCs w:val="16"/>
          <w:lang w:eastAsia="zh-CN"/>
        </w:rPr>
      </w:pPr>
      <w:r w:rsidRPr="00E70FC8">
        <w:rPr>
          <w:rFonts w:ascii="Arial" w:hAnsi="Arial" w:cs="Arial"/>
          <w:b/>
          <w:noProof/>
          <w:sz w:val="22"/>
          <w:szCs w:val="22"/>
          <w:lang w:val="en-GB" w:eastAsia="en-GB"/>
        </w:rPr>
        <w:drawing>
          <wp:anchor distT="0" distB="0" distL="114300" distR="114300" simplePos="0" relativeHeight="251660288" behindDoc="0" locked="0" layoutInCell="1" allowOverlap="1" wp14:anchorId="6F7AED50" wp14:editId="76998BE7">
            <wp:simplePos x="0" y="0"/>
            <wp:positionH relativeFrom="column">
              <wp:align>left</wp:align>
            </wp:positionH>
            <wp:positionV relativeFrom="paragraph">
              <wp:posOffset>55880</wp:posOffset>
            </wp:positionV>
            <wp:extent cx="838200" cy="8667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820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793838" w:rsidRPr="00E70FC8">
        <w:rPr>
          <w:rFonts w:eastAsia="SimSun"/>
          <w:b/>
          <w:bCs/>
          <w:sz w:val="16"/>
          <w:szCs w:val="16"/>
          <w:lang w:eastAsia="zh-CN"/>
        </w:rPr>
        <w:t>A. Ahmed</w:t>
      </w:r>
      <w:r w:rsidR="00793838" w:rsidRPr="00E70FC8">
        <w:rPr>
          <w:rFonts w:eastAsia="SimSun"/>
          <w:bCs/>
          <w:sz w:val="16"/>
          <w:szCs w:val="16"/>
          <w:lang w:eastAsia="zh-CN"/>
        </w:rPr>
        <w:t xml:space="preserve">, was born in Manchester, UK. He graduated with a Bachelor of Science with honors degree in Materials Science from Manchester University, United Kingdom (UK) and a Master of Philosophy degree in Metallurgy from the University </w:t>
      </w:r>
      <w:proofErr w:type="gramStart"/>
      <w:r w:rsidR="00793838" w:rsidRPr="00E70FC8">
        <w:rPr>
          <w:rFonts w:eastAsia="SimSun"/>
          <w:bCs/>
          <w:sz w:val="16"/>
          <w:szCs w:val="16"/>
          <w:lang w:eastAsia="zh-CN"/>
        </w:rPr>
        <w:t>of</w:t>
      </w:r>
      <w:proofErr w:type="gramEnd"/>
      <w:r w:rsidR="00793838" w:rsidRPr="00E70FC8">
        <w:rPr>
          <w:rFonts w:eastAsia="SimSun"/>
          <w:bCs/>
          <w:sz w:val="16"/>
          <w:szCs w:val="16"/>
          <w:lang w:eastAsia="zh-CN"/>
        </w:rPr>
        <w:t xml:space="preserve"> Manchester, UK. He then completed his PhD in Polymer Science from Heriot-Watt University, Edinburgh, UK. </w:t>
      </w:r>
    </w:p>
    <w:p w14:paraId="2DC63AAB" w14:textId="77777777" w:rsidR="00CE6FCB" w:rsidRDefault="00CE6FCB" w:rsidP="00C945B9">
      <w:pPr>
        <w:pStyle w:val="EndNoteBibliography"/>
        <w:ind w:left="720" w:hanging="720"/>
        <w:jc w:val="both"/>
        <w:rPr>
          <w:rFonts w:eastAsia="SimSun"/>
          <w:bCs/>
          <w:sz w:val="16"/>
          <w:szCs w:val="16"/>
          <w:lang w:val="en-GB" w:eastAsia="zh-CN"/>
        </w:rPr>
      </w:pPr>
      <w:r>
        <w:rPr>
          <w:rFonts w:eastAsia="SimSun"/>
          <w:bCs/>
          <w:sz w:val="16"/>
          <w:szCs w:val="16"/>
          <w:lang w:val="en-GB" w:eastAsia="zh-CN"/>
        </w:rPr>
        <w:t xml:space="preserve">    </w:t>
      </w:r>
      <w:r w:rsidR="00C945B9" w:rsidRPr="00F776A1">
        <w:rPr>
          <w:rFonts w:eastAsia="SimSun"/>
          <w:bCs/>
          <w:sz w:val="16"/>
          <w:szCs w:val="16"/>
          <w:lang w:val="en-GB" w:eastAsia="zh-CN"/>
        </w:rPr>
        <w:t xml:space="preserve">He is a Reader (Associate Professor) at Leeds Beckett University where </w:t>
      </w:r>
    </w:p>
    <w:p w14:paraId="49BB5E7D" w14:textId="77777777" w:rsidR="00CE6FCB" w:rsidRDefault="00C945B9" w:rsidP="00C945B9">
      <w:pPr>
        <w:pStyle w:val="EndNoteBibliography"/>
        <w:ind w:left="720" w:hanging="720"/>
        <w:jc w:val="both"/>
        <w:rPr>
          <w:rFonts w:eastAsia="SimSun"/>
          <w:bCs/>
          <w:sz w:val="16"/>
          <w:szCs w:val="16"/>
          <w:lang w:val="en-GB" w:eastAsia="zh-CN"/>
        </w:rPr>
      </w:pPr>
      <w:proofErr w:type="gramStart"/>
      <w:r w:rsidRPr="00F776A1">
        <w:rPr>
          <w:rFonts w:eastAsia="SimSun"/>
          <w:bCs/>
          <w:sz w:val="16"/>
          <w:szCs w:val="16"/>
          <w:lang w:val="en-GB" w:eastAsia="zh-CN"/>
        </w:rPr>
        <w:t>he</w:t>
      </w:r>
      <w:proofErr w:type="gramEnd"/>
      <w:r w:rsidRPr="00F776A1">
        <w:rPr>
          <w:rFonts w:eastAsia="SimSun"/>
          <w:bCs/>
          <w:sz w:val="16"/>
          <w:szCs w:val="16"/>
          <w:lang w:val="en-GB" w:eastAsia="zh-CN"/>
        </w:rPr>
        <w:t xml:space="preserve"> has been since 2005, teaching modules in materials science at </w:t>
      </w:r>
    </w:p>
    <w:p w14:paraId="1055BD54" w14:textId="554B6DAD" w:rsidR="00CE6FCB" w:rsidRDefault="00C945B9" w:rsidP="00C945B9">
      <w:pPr>
        <w:pStyle w:val="EndNoteBibliography"/>
        <w:ind w:left="720" w:hanging="720"/>
        <w:jc w:val="both"/>
        <w:rPr>
          <w:rFonts w:eastAsia="SimSun"/>
          <w:bCs/>
          <w:sz w:val="16"/>
          <w:szCs w:val="16"/>
          <w:lang w:val="en-GB" w:eastAsia="zh-CN"/>
        </w:rPr>
      </w:pPr>
      <w:proofErr w:type="gramStart"/>
      <w:r w:rsidRPr="00F776A1">
        <w:rPr>
          <w:rFonts w:eastAsia="SimSun"/>
          <w:bCs/>
          <w:sz w:val="16"/>
          <w:szCs w:val="16"/>
          <w:lang w:val="en-GB" w:eastAsia="zh-CN"/>
        </w:rPr>
        <w:t>undergraduate</w:t>
      </w:r>
      <w:proofErr w:type="gramEnd"/>
      <w:r w:rsidR="00CE6FCB">
        <w:rPr>
          <w:rFonts w:eastAsia="SimSun"/>
          <w:bCs/>
          <w:sz w:val="16"/>
          <w:szCs w:val="16"/>
          <w:lang w:val="en-GB" w:eastAsia="zh-CN"/>
        </w:rPr>
        <w:t xml:space="preserve"> </w:t>
      </w:r>
      <w:r w:rsidRPr="00F776A1">
        <w:rPr>
          <w:rFonts w:eastAsia="SimSun"/>
          <w:bCs/>
          <w:sz w:val="16"/>
          <w:szCs w:val="16"/>
          <w:lang w:val="en-GB" w:eastAsia="zh-CN"/>
        </w:rPr>
        <w:t xml:space="preserve">and postgraduate levels. Previously Head of Civil </w:t>
      </w:r>
    </w:p>
    <w:p w14:paraId="23A486EC" w14:textId="77777777" w:rsidR="00CE6FCB" w:rsidRDefault="00C945B9" w:rsidP="00C945B9">
      <w:pPr>
        <w:pStyle w:val="EndNoteBibliography"/>
        <w:ind w:left="720" w:hanging="720"/>
        <w:jc w:val="both"/>
        <w:rPr>
          <w:rFonts w:eastAsia="SimSun"/>
          <w:bCs/>
          <w:sz w:val="16"/>
          <w:szCs w:val="16"/>
          <w:lang w:val="en-GB" w:eastAsia="zh-CN"/>
        </w:rPr>
      </w:pPr>
      <w:r w:rsidRPr="00F776A1">
        <w:rPr>
          <w:rFonts w:eastAsia="SimSun"/>
          <w:bCs/>
          <w:sz w:val="16"/>
          <w:szCs w:val="16"/>
          <w:lang w:val="en-GB" w:eastAsia="zh-CN"/>
        </w:rPr>
        <w:t xml:space="preserve">Engineering, Dr Ahmed has numerous publications in the field of </w:t>
      </w:r>
    </w:p>
    <w:p w14:paraId="69C7B325" w14:textId="0B320C09" w:rsidR="00A5007C" w:rsidRPr="00E70FC8" w:rsidRDefault="00C945B9" w:rsidP="00C945B9">
      <w:pPr>
        <w:pStyle w:val="EndNoteBibliography"/>
        <w:ind w:left="720" w:hanging="720"/>
        <w:jc w:val="both"/>
        <w:rPr>
          <w:rFonts w:eastAsia="SimSun"/>
          <w:bCs/>
          <w:sz w:val="16"/>
          <w:szCs w:val="16"/>
          <w:lang w:eastAsia="zh-CN"/>
        </w:rPr>
      </w:pPr>
      <w:proofErr w:type="gramStart"/>
      <w:r w:rsidRPr="00F776A1">
        <w:rPr>
          <w:rFonts w:eastAsia="SimSun"/>
          <w:bCs/>
          <w:sz w:val="16"/>
          <w:szCs w:val="16"/>
          <w:lang w:val="en-GB" w:eastAsia="zh-CN"/>
        </w:rPr>
        <w:t>sustainable</w:t>
      </w:r>
      <w:proofErr w:type="gramEnd"/>
      <w:r w:rsidRPr="00F776A1">
        <w:rPr>
          <w:rFonts w:eastAsia="SimSun"/>
          <w:bCs/>
          <w:sz w:val="16"/>
          <w:szCs w:val="16"/>
          <w:lang w:val="en-GB" w:eastAsia="zh-CN"/>
        </w:rPr>
        <w:t xml:space="preserve"> construction materials using</w:t>
      </w:r>
      <w:r>
        <w:rPr>
          <w:rFonts w:eastAsia="SimSun"/>
          <w:bCs/>
          <w:sz w:val="16"/>
          <w:szCs w:val="16"/>
          <w:lang w:val="en-GB" w:eastAsia="zh-CN"/>
        </w:rPr>
        <w:t xml:space="preserve"> </w:t>
      </w:r>
      <w:r w:rsidRPr="00F776A1">
        <w:rPr>
          <w:rFonts w:eastAsia="SimSun"/>
          <w:bCs/>
          <w:sz w:val="16"/>
          <w:szCs w:val="16"/>
          <w:lang w:val="en-GB" w:eastAsia="zh-CN"/>
        </w:rPr>
        <w:t>recycled and waste products</w:t>
      </w:r>
      <w:r w:rsidR="00CE6FCB">
        <w:rPr>
          <w:rFonts w:eastAsia="SimSun"/>
          <w:bCs/>
          <w:sz w:val="16"/>
          <w:szCs w:val="16"/>
          <w:lang w:val="en-GB" w:eastAsia="zh-CN"/>
        </w:rPr>
        <w:t>.</w:t>
      </w:r>
    </w:p>
    <w:p w14:paraId="1D30E089" w14:textId="05036014" w:rsidR="00793838" w:rsidRPr="00E70FC8" w:rsidRDefault="00C945B9" w:rsidP="00635D39">
      <w:pPr>
        <w:pStyle w:val="Text"/>
        <w:ind w:firstLine="0"/>
        <w:rPr>
          <w:rFonts w:eastAsia="SimSun"/>
          <w:bCs/>
          <w:sz w:val="16"/>
          <w:szCs w:val="16"/>
          <w:lang w:eastAsia="zh-CN"/>
        </w:rPr>
      </w:pPr>
      <w:r w:rsidRPr="00E70FC8">
        <w:rPr>
          <w:noProof/>
          <w:lang w:val="en-GB" w:eastAsia="en-GB"/>
        </w:rPr>
        <w:lastRenderedPageBreak/>
        <w:drawing>
          <wp:anchor distT="0" distB="0" distL="114300" distR="114300" simplePos="0" relativeHeight="251661312" behindDoc="0" locked="0" layoutInCell="1" allowOverlap="1" wp14:anchorId="57FFFC58" wp14:editId="0FC6C64B">
            <wp:simplePos x="0" y="0"/>
            <wp:positionH relativeFrom="margin">
              <wp:align>left</wp:align>
            </wp:positionH>
            <wp:positionV relativeFrom="paragraph">
              <wp:posOffset>-38100</wp:posOffset>
            </wp:positionV>
            <wp:extent cx="869315" cy="963295"/>
            <wp:effectExtent l="0" t="8890" r="0" b="0"/>
            <wp:wrapThrough wrapText="bothSides">
              <wp:wrapPolygon edited="0">
                <wp:start x="-221" y="21401"/>
                <wp:lineTo x="21079" y="21401"/>
                <wp:lineTo x="21079" y="470"/>
                <wp:lineTo x="-221" y="470"/>
                <wp:lineTo x="-221" y="21401"/>
              </wp:wrapPolygon>
            </wp:wrapThrough>
            <wp:docPr id="1" name="Picture 1" descr="C:\Users\kangwaj2\AppData\Local\Microsoft\Windows\Temporary Internet Files\Content.Word\IMG_4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ngwaj2\AppData\Local\Microsoft\Windows\Temporary Internet Files\Content.Word\IMG_4676.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1949" t="49097" r="41627"/>
                    <a:stretch/>
                  </pic:blipFill>
                  <pic:spPr bwMode="auto">
                    <a:xfrm rot="5400000">
                      <a:off x="0" y="0"/>
                      <a:ext cx="869315" cy="963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007C" w:rsidRPr="00E70FC8">
        <w:rPr>
          <w:b/>
          <w:bCs/>
          <w:sz w:val="16"/>
          <w:szCs w:val="16"/>
        </w:rPr>
        <w:t xml:space="preserve">J. Kangwa </w:t>
      </w:r>
      <w:r w:rsidR="00E577E7" w:rsidRPr="00E70FC8">
        <w:rPr>
          <w:bCs/>
          <w:sz w:val="16"/>
          <w:szCs w:val="16"/>
        </w:rPr>
        <w:t xml:space="preserve">was born in Zambia. He is currently </w:t>
      </w:r>
      <w:r w:rsidR="00A5007C" w:rsidRPr="00E70FC8">
        <w:rPr>
          <w:sz w:val="16"/>
          <w:szCs w:val="16"/>
        </w:rPr>
        <w:t xml:space="preserve">an </w:t>
      </w:r>
      <w:bookmarkStart w:id="4" w:name="_GoBack"/>
      <w:bookmarkEnd w:id="4"/>
      <w:r w:rsidR="00A5007C" w:rsidRPr="00E70FC8">
        <w:rPr>
          <w:sz w:val="16"/>
          <w:szCs w:val="16"/>
        </w:rPr>
        <w:t xml:space="preserve">Associate Professor of Construction and Project Management at the London South Bank University in the School of Built Environment and Architecture. After completing his </w:t>
      </w:r>
      <w:r w:rsidR="00635D39" w:rsidRPr="00E70FC8">
        <w:rPr>
          <w:bCs/>
          <w:sz w:val="16"/>
          <w:szCs w:val="16"/>
        </w:rPr>
        <w:t>BSc (Hons) degree in Construction Management</w:t>
      </w:r>
      <w:r w:rsidR="00635D39" w:rsidRPr="00E70FC8">
        <w:rPr>
          <w:sz w:val="16"/>
          <w:szCs w:val="16"/>
        </w:rPr>
        <w:t xml:space="preserve"> and a </w:t>
      </w:r>
      <w:r w:rsidR="00A5007C" w:rsidRPr="00E70FC8">
        <w:rPr>
          <w:sz w:val="16"/>
          <w:szCs w:val="16"/>
        </w:rPr>
        <w:t xml:space="preserve">PhD </w:t>
      </w:r>
      <w:r w:rsidR="00635D39" w:rsidRPr="00E70FC8">
        <w:rPr>
          <w:sz w:val="16"/>
          <w:szCs w:val="16"/>
        </w:rPr>
        <w:t xml:space="preserve">both </w:t>
      </w:r>
      <w:r w:rsidR="00A5007C" w:rsidRPr="00E70FC8">
        <w:rPr>
          <w:sz w:val="16"/>
          <w:szCs w:val="16"/>
        </w:rPr>
        <w:t xml:space="preserve">at the University </w:t>
      </w:r>
      <w:proofErr w:type="gramStart"/>
      <w:r w:rsidR="00A5007C" w:rsidRPr="00E70FC8">
        <w:rPr>
          <w:sz w:val="16"/>
          <w:szCs w:val="16"/>
        </w:rPr>
        <w:t>of</w:t>
      </w:r>
      <w:proofErr w:type="gramEnd"/>
      <w:r w:rsidR="00A5007C" w:rsidRPr="00E70FC8">
        <w:rPr>
          <w:sz w:val="16"/>
          <w:szCs w:val="16"/>
        </w:rPr>
        <w:t xml:space="preserve"> Bolton, UK, he worked as Senior Lecturer for over ten years at Leeds Beckett University. However, prior to his </w:t>
      </w:r>
      <w:r w:rsidR="00635D39" w:rsidRPr="00E70FC8">
        <w:rPr>
          <w:sz w:val="16"/>
          <w:szCs w:val="16"/>
        </w:rPr>
        <w:t>university</w:t>
      </w:r>
      <w:r w:rsidR="00A5007C" w:rsidRPr="00E70FC8">
        <w:rPr>
          <w:sz w:val="16"/>
          <w:szCs w:val="16"/>
        </w:rPr>
        <w:t xml:space="preserve"> studies, he worked as a Projects Development Manager for </w:t>
      </w:r>
      <w:proofErr w:type="spellStart"/>
      <w:r w:rsidR="00A5007C" w:rsidRPr="00E70FC8">
        <w:rPr>
          <w:sz w:val="16"/>
          <w:szCs w:val="16"/>
        </w:rPr>
        <w:t>Wenric</w:t>
      </w:r>
      <w:proofErr w:type="spellEnd"/>
      <w:r w:rsidR="00A5007C" w:rsidRPr="00E70FC8">
        <w:rPr>
          <w:sz w:val="16"/>
          <w:szCs w:val="16"/>
        </w:rPr>
        <w:t xml:space="preserve"> Development Company. With numerous publications in construction management, his research interests are in Health and Safety Management, Low carbon Refurbishment/Conservation, effects of </w:t>
      </w:r>
      <w:proofErr w:type="spellStart"/>
      <w:r w:rsidR="00A5007C" w:rsidRPr="00E70FC8">
        <w:rPr>
          <w:sz w:val="16"/>
          <w:szCs w:val="16"/>
        </w:rPr>
        <w:t>macrophysical</w:t>
      </w:r>
      <w:proofErr w:type="spellEnd"/>
      <w:r w:rsidR="00A5007C" w:rsidRPr="00E70FC8">
        <w:rPr>
          <w:sz w:val="16"/>
          <w:szCs w:val="16"/>
        </w:rPr>
        <w:t xml:space="preserve"> housing regeneration </w:t>
      </w:r>
      <w:proofErr w:type="spellStart"/>
      <w:r w:rsidR="00A5007C" w:rsidRPr="00E70FC8">
        <w:rPr>
          <w:sz w:val="16"/>
          <w:szCs w:val="16"/>
        </w:rPr>
        <w:t>programmes</w:t>
      </w:r>
      <w:proofErr w:type="spellEnd"/>
      <w:r w:rsidR="00A5007C" w:rsidRPr="00E70FC8">
        <w:rPr>
          <w:sz w:val="16"/>
          <w:szCs w:val="16"/>
        </w:rPr>
        <w:t xml:space="preserve"> on housing quality and </w:t>
      </w:r>
      <w:r w:rsidR="00A72DEB" w:rsidRPr="00E70FC8">
        <w:rPr>
          <w:sz w:val="16"/>
          <w:szCs w:val="16"/>
        </w:rPr>
        <w:t>s</w:t>
      </w:r>
      <w:r w:rsidR="00A5007C" w:rsidRPr="00E70FC8">
        <w:rPr>
          <w:sz w:val="16"/>
          <w:szCs w:val="16"/>
        </w:rPr>
        <w:t>kill training and empowerment of construction SMEs including the use of recycled waste materials as sustainable building materials for low-carbon assembly</w:t>
      </w:r>
      <w:r w:rsidR="00635D39" w:rsidRPr="00E70FC8">
        <w:rPr>
          <w:sz w:val="16"/>
          <w:szCs w:val="16"/>
        </w:rPr>
        <w:t>.</w:t>
      </w:r>
    </w:p>
    <w:p w14:paraId="4AB3940D" w14:textId="3C2CC24E" w:rsidR="001827E1" w:rsidRPr="00E70FC8" w:rsidRDefault="001827E1" w:rsidP="00AA3E3D">
      <w:pPr>
        <w:pStyle w:val="Text"/>
      </w:pPr>
    </w:p>
    <w:sectPr w:rsidR="001827E1" w:rsidRPr="00E70FC8" w:rsidSect="00FA66B5">
      <w:pgSz w:w="11907" w:h="16839" w:code="9"/>
      <w:pgMar w:top="1009" w:right="936" w:bottom="1009" w:left="936" w:header="431" w:footer="431" w:gutter="0"/>
      <w:cols w:num="2" w:space="28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534401" w14:textId="77777777" w:rsidR="003F477F" w:rsidRDefault="003F477F" w:rsidP="00AA3E3D">
      <w:r>
        <w:separator/>
      </w:r>
    </w:p>
  </w:endnote>
  <w:endnote w:type="continuationSeparator" w:id="0">
    <w:p w14:paraId="24EB77D4" w14:textId="77777777" w:rsidR="003F477F" w:rsidRDefault="003F477F" w:rsidP="00AA3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51DF38" w14:textId="77777777" w:rsidR="003F477F" w:rsidRDefault="003F477F" w:rsidP="00AA3E3D">
      <w:r>
        <w:separator/>
      </w:r>
    </w:p>
  </w:footnote>
  <w:footnote w:type="continuationSeparator" w:id="0">
    <w:p w14:paraId="5BD6B1AC" w14:textId="77777777" w:rsidR="003F477F" w:rsidRDefault="003F477F" w:rsidP="00AA3E3D">
      <w:r>
        <w:continuationSeparator/>
      </w:r>
    </w:p>
  </w:footnote>
  <w:footnote w:id="1">
    <w:p w14:paraId="22EC6D27" w14:textId="67EDAC1E" w:rsidR="008C5BCF" w:rsidRDefault="008C5BCF" w:rsidP="00AA3E3D">
      <w:pPr>
        <w:pStyle w:val="FootnoteText"/>
      </w:pPr>
      <w:r w:rsidRPr="00FC62E9">
        <w:t xml:space="preserve">Published </w:t>
      </w:r>
      <w:r>
        <w:t xml:space="preserve">on </w:t>
      </w:r>
      <w:r w:rsidRPr="00FC62E9">
        <w:t xml:space="preserve">October </w:t>
      </w:r>
    </w:p>
    <w:p w14:paraId="7436AE6F" w14:textId="77777777" w:rsidR="008C5BCF" w:rsidRPr="00257FEA" w:rsidRDefault="008C5BCF" w:rsidP="00ED3E67">
      <w:pPr>
        <w:pStyle w:val="Text"/>
        <w:rPr>
          <w:sz w:val="16"/>
          <w:szCs w:val="16"/>
        </w:rPr>
      </w:pPr>
      <w:r w:rsidRPr="00257FEA">
        <w:rPr>
          <w:sz w:val="16"/>
          <w:szCs w:val="16"/>
        </w:rPr>
        <w:t xml:space="preserve">J. Kamau is with the Civil Engineering Group. Leeds Beckett University, Leeds, England, UK (email: John.kamau@yahoo.com) </w:t>
      </w:r>
    </w:p>
    <w:p w14:paraId="70CEC38B" w14:textId="77777777" w:rsidR="008C5BCF" w:rsidRPr="00257FEA" w:rsidRDefault="008C5BCF" w:rsidP="00ED3E67">
      <w:pPr>
        <w:pStyle w:val="Text"/>
        <w:rPr>
          <w:sz w:val="16"/>
          <w:szCs w:val="16"/>
        </w:rPr>
      </w:pPr>
      <w:r w:rsidRPr="00257FEA">
        <w:rPr>
          <w:sz w:val="16"/>
          <w:szCs w:val="16"/>
        </w:rPr>
        <w:t xml:space="preserve">A. Ahmed is with the Civil Engineering Group. Leeds Beckett University, Leeds, UK (email: A.R.Ahmed@leedsbeckett.ac.uk) </w:t>
      </w:r>
    </w:p>
    <w:p w14:paraId="30D0486E" w14:textId="77777777" w:rsidR="008C5BCF" w:rsidRPr="00257FEA" w:rsidRDefault="008C5BCF" w:rsidP="00ED3E67">
      <w:pPr>
        <w:pStyle w:val="Text"/>
        <w:rPr>
          <w:sz w:val="16"/>
          <w:szCs w:val="16"/>
        </w:rPr>
      </w:pPr>
      <w:r w:rsidRPr="00257FEA">
        <w:rPr>
          <w:sz w:val="16"/>
          <w:szCs w:val="16"/>
        </w:rPr>
        <w:t xml:space="preserve">P. Hirst is with the Civil Engineering Group. Leeds Beckett University, Leeds, England, UK (email: </w:t>
      </w:r>
      <w:hyperlink r:id="rId1" w:history="1">
        <w:r w:rsidRPr="00257FEA">
          <w:rPr>
            <w:rStyle w:val="Hyperlink"/>
            <w:sz w:val="16"/>
            <w:szCs w:val="16"/>
          </w:rPr>
          <w:t>P.Hirst@leedsbeckett.ac.uk</w:t>
        </w:r>
      </w:hyperlink>
      <w:r w:rsidRPr="00257FEA">
        <w:rPr>
          <w:sz w:val="16"/>
          <w:szCs w:val="16"/>
        </w:rPr>
        <w:t>)</w:t>
      </w:r>
    </w:p>
    <w:p w14:paraId="41777F39" w14:textId="77777777" w:rsidR="008C5BCF" w:rsidRPr="00257FEA" w:rsidRDefault="008C5BCF" w:rsidP="00ED3E67">
      <w:pPr>
        <w:pStyle w:val="Text"/>
        <w:rPr>
          <w:rFonts w:eastAsia="Times New Roman"/>
          <w:sz w:val="16"/>
          <w:szCs w:val="16"/>
        </w:rPr>
      </w:pPr>
      <w:r>
        <w:rPr>
          <w:sz w:val="16"/>
          <w:szCs w:val="16"/>
        </w:rPr>
        <w:t xml:space="preserve">J. Kangwa was with </w:t>
      </w:r>
      <w:r w:rsidRPr="00257FEA">
        <w:rPr>
          <w:sz w:val="16"/>
          <w:szCs w:val="16"/>
        </w:rPr>
        <w:t xml:space="preserve">the Civil Engineering Group. Leeds Beckett University, Leeds, England, UK. He is now with </w:t>
      </w:r>
      <w:r w:rsidRPr="00257FEA">
        <w:rPr>
          <w:rFonts w:eastAsia="Times New Roman"/>
          <w:sz w:val="16"/>
          <w:szCs w:val="16"/>
        </w:rPr>
        <w:t xml:space="preserve">London South Bank University, London, England, UK (email: </w:t>
      </w:r>
      <w:hyperlink r:id="rId2" w:history="1">
        <w:r w:rsidRPr="00257FEA">
          <w:rPr>
            <w:rStyle w:val="Hyperlink"/>
            <w:rFonts w:eastAsia="Times New Roman"/>
            <w:sz w:val="16"/>
            <w:szCs w:val="16"/>
          </w:rPr>
          <w:t>kangwaj2@lsbu.ac.uk</w:t>
        </w:r>
      </w:hyperlink>
      <w:r w:rsidRPr="00257FEA">
        <w:rPr>
          <w:rFonts w:eastAsia="Times New Roman"/>
          <w:sz w:val="16"/>
          <w:szCs w:val="16"/>
        </w:rPr>
        <w:t>)</w:t>
      </w:r>
    </w:p>
    <w:p w14:paraId="2C96E6D1" w14:textId="6A059BCB" w:rsidR="008C5BCF" w:rsidRDefault="008C5BCF" w:rsidP="00AA3E3D">
      <w:pPr>
        <w:pStyle w:val="FootnoteText"/>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A126A9C2"/>
    <w:lvl w:ilvl="0">
      <w:start w:val="1"/>
      <w:numFmt w:val="upperRoman"/>
      <w:pStyle w:val="Heading1"/>
      <w:lvlText w:val="%1."/>
      <w:legacy w:legacy="1" w:legacySpace="144" w:legacyIndent="144"/>
      <w:lvlJc w:val="left"/>
      <w:rPr>
        <w:b w:val="0"/>
      </w:rPr>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050C582C"/>
    <w:multiLevelType w:val="hybridMultilevel"/>
    <w:tmpl w:val="A52E800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3" w15:restartNumberingAfterBreak="0">
    <w:nsid w:val="33BF5A8E"/>
    <w:multiLevelType w:val="hybridMultilevel"/>
    <w:tmpl w:val="9712F3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num w:numId="1">
    <w:abstractNumId w:val="0"/>
  </w:num>
  <w:num w:numId="2">
    <w:abstractNumId w:val="4"/>
  </w:num>
  <w:num w:numId="3">
    <w:abstractNumId w:val="2"/>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M2sjQwNjc3MjcxNjdW0lEKTi0uzszPAykwqQUAXCNHviwAAAA="/>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savddvp7rtfejeezxl5vt5bppsptpdpsf5s&quot;&gt;My EndNote Library-Saved&lt;record-ids&gt;&lt;item&gt;7&lt;/item&gt;&lt;item&gt;8&lt;/item&gt;&lt;item&gt;13&lt;/item&gt;&lt;item&gt;22&lt;/item&gt;&lt;item&gt;38&lt;/item&gt;&lt;item&gt;51&lt;/item&gt;&lt;item&gt;53&lt;/item&gt;&lt;item&gt;54&lt;/item&gt;&lt;item&gt;62&lt;/item&gt;&lt;item&gt;81&lt;/item&gt;&lt;item&gt;82&lt;/item&gt;&lt;item&gt;107&lt;/item&gt;&lt;item&gt;108&lt;/item&gt;&lt;item&gt;155&lt;/item&gt;&lt;item&gt;196&lt;/item&gt;&lt;item&gt;217&lt;/item&gt;&lt;item&gt;266&lt;/item&gt;&lt;item&gt;267&lt;/item&gt;&lt;item&gt;313&lt;/item&gt;&lt;item&gt;359&lt;/item&gt;&lt;item&gt;366&lt;/item&gt;&lt;item&gt;367&lt;/item&gt;&lt;item&gt;384&lt;/item&gt;&lt;item&gt;386&lt;/item&gt;&lt;item&gt;391&lt;/item&gt;&lt;item&gt;421&lt;/item&gt;&lt;/record-ids&gt;&lt;/item&gt;&lt;/Libraries&gt;"/>
  </w:docVars>
  <w:rsids>
    <w:rsidRoot w:val="00AA3E3D"/>
    <w:rsid w:val="000038F7"/>
    <w:rsid w:val="000122D7"/>
    <w:rsid w:val="00042A72"/>
    <w:rsid w:val="00045829"/>
    <w:rsid w:val="0006241D"/>
    <w:rsid w:val="000838B5"/>
    <w:rsid w:val="00083BAE"/>
    <w:rsid w:val="0008595E"/>
    <w:rsid w:val="0009205A"/>
    <w:rsid w:val="00096A04"/>
    <w:rsid w:val="000C435C"/>
    <w:rsid w:val="000D5BE9"/>
    <w:rsid w:val="000D7320"/>
    <w:rsid w:val="000E02F8"/>
    <w:rsid w:val="000F5788"/>
    <w:rsid w:val="00106E3C"/>
    <w:rsid w:val="00137BEA"/>
    <w:rsid w:val="00156BB2"/>
    <w:rsid w:val="001827E1"/>
    <w:rsid w:val="00183981"/>
    <w:rsid w:val="0019627F"/>
    <w:rsid w:val="001D56DC"/>
    <w:rsid w:val="0020317B"/>
    <w:rsid w:val="0021011D"/>
    <w:rsid w:val="002166D2"/>
    <w:rsid w:val="00234B68"/>
    <w:rsid w:val="002424D9"/>
    <w:rsid w:val="00260664"/>
    <w:rsid w:val="00263C3B"/>
    <w:rsid w:val="00295A4F"/>
    <w:rsid w:val="002B2C07"/>
    <w:rsid w:val="002E1DF2"/>
    <w:rsid w:val="00300F28"/>
    <w:rsid w:val="00306648"/>
    <w:rsid w:val="00335606"/>
    <w:rsid w:val="003407B0"/>
    <w:rsid w:val="003819D6"/>
    <w:rsid w:val="00390529"/>
    <w:rsid w:val="003B6DE1"/>
    <w:rsid w:val="003C4AAA"/>
    <w:rsid w:val="003E5CDB"/>
    <w:rsid w:val="003F477F"/>
    <w:rsid w:val="00410130"/>
    <w:rsid w:val="00414BD6"/>
    <w:rsid w:val="00422AA3"/>
    <w:rsid w:val="004249FA"/>
    <w:rsid w:val="00456518"/>
    <w:rsid w:val="004623E7"/>
    <w:rsid w:val="004B22CB"/>
    <w:rsid w:val="004E03A6"/>
    <w:rsid w:val="00511A1E"/>
    <w:rsid w:val="00573EF9"/>
    <w:rsid w:val="0058113D"/>
    <w:rsid w:val="0059185C"/>
    <w:rsid w:val="00597C30"/>
    <w:rsid w:val="005A4574"/>
    <w:rsid w:val="005A4924"/>
    <w:rsid w:val="005B53BA"/>
    <w:rsid w:val="005C0324"/>
    <w:rsid w:val="005C36B3"/>
    <w:rsid w:val="005F7455"/>
    <w:rsid w:val="00635D39"/>
    <w:rsid w:val="006518BF"/>
    <w:rsid w:val="006A4B2B"/>
    <w:rsid w:val="006B26D3"/>
    <w:rsid w:val="006B6279"/>
    <w:rsid w:val="006B7C8E"/>
    <w:rsid w:val="006F23CB"/>
    <w:rsid w:val="00702ED5"/>
    <w:rsid w:val="00707592"/>
    <w:rsid w:val="007153B5"/>
    <w:rsid w:val="00720054"/>
    <w:rsid w:val="00747E12"/>
    <w:rsid w:val="00750F3E"/>
    <w:rsid w:val="00793838"/>
    <w:rsid w:val="00793A13"/>
    <w:rsid w:val="00816718"/>
    <w:rsid w:val="00840667"/>
    <w:rsid w:val="00881C47"/>
    <w:rsid w:val="008939B8"/>
    <w:rsid w:val="00894D5B"/>
    <w:rsid w:val="00896746"/>
    <w:rsid w:val="008C5BCF"/>
    <w:rsid w:val="008E55EE"/>
    <w:rsid w:val="008E6526"/>
    <w:rsid w:val="008E7DAA"/>
    <w:rsid w:val="00905F0C"/>
    <w:rsid w:val="00915356"/>
    <w:rsid w:val="009C5B44"/>
    <w:rsid w:val="00A00F92"/>
    <w:rsid w:val="00A0792A"/>
    <w:rsid w:val="00A213FB"/>
    <w:rsid w:val="00A3497D"/>
    <w:rsid w:val="00A5007C"/>
    <w:rsid w:val="00A72DEB"/>
    <w:rsid w:val="00AA3E3D"/>
    <w:rsid w:val="00AA50B1"/>
    <w:rsid w:val="00B104C6"/>
    <w:rsid w:val="00B1371A"/>
    <w:rsid w:val="00B17F8F"/>
    <w:rsid w:val="00B36CCE"/>
    <w:rsid w:val="00B4696D"/>
    <w:rsid w:val="00B579B9"/>
    <w:rsid w:val="00B777B4"/>
    <w:rsid w:val="00BB2487"/>
    <w:rsid w:val="00BE7E6B"/>
    <w:rsid w:val="00BF08FE"/>
    <w:rsid w:val="00C20A53"/>
    <w:rsid w:val="00C22B83"/>
    <w:rsid w:val="00C42390"/>
    <w:rsid w:val="00C553BF"/>
    <w:rsid w:val="00C669CB"/>
    <w:rsid w:val="00C945B9"/>
    <w:rsid w:val="00CD79F8"/>
    <w:rsid w:val="00CE07C8"/>
    <w:rsid w:val="00CE6FCB"/>
    <w:rsid w:val="00CE75BA"/>
    <w:rsid w:val="00CF5D5D"/>
    <w:rsid w:val="00D14621"/>
    <w:rsid w:val="00D47B38"/>
    <w:rsid w:val="00D6658F"/>
    <w:rsid w:val="00D67EAA"/>
    <w:rsid w:val="00D73D5A"/>
    <w:rsid w:val="00D93C99"/>
    <w:rsid w:val="00DC3A9A"/>
    <w:rsid w:val="00DD3F0C"/>
    <w:rsid w:val="00DE3258"/>
    <w:rsid w:val="00DE5875"/>
    <w:rsid w:val="00DE7CEB"/>
    <w:rsid w:val="00E011F1"/>
    <w:rsid w:val="00E04BD0"/>
    <w:rsid w:val="00E117CB"/>
    <w:rsid w:val="00E40873"/>
    <w:rsid w:val="00E41120"/>
    <w:rsid w:val="00E41D3F"/>
    <w:rsid w:val="00E5039B"/>
    <w:rsid w:val="00E577E7"/>
    <w:rsid w:val="00E70FC8"/>
    <w:rsid w:val="00E76375"/>
    <w:rsid w:val="00E92313"/>
    <w:rsid w:val="00EA1BA4"/>
    <w:rsid w:val="00EC6E7C"/>
    <w:rsid w:val="00EC7D46"/>
    <w:rsid w:val="00ED3E67"/>
    <w:rsid w:val="00F3418E"/>
    <w:rsid w:val="00F421CB"/>
    <w:rsid w:val="00F53C87"/>
    <w:rsid w:val="00FA24D4"/>
    <w:rsid w:val="00FA66B5"/>
    <w:rsid w:val="00FC62E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324306"/>
  <w15:docId w15:val="{91FA9DE6-02CC-4EB9-8B69-2F27CDFCC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3E3D"/>
    <w:pPr>
      <w:autoSpaceDE w:val="0"/>
      <w:autoSpaceDN w:val="0"/>
      <w:spacing w:after="0" w:line="240" w:lineRule="auto"/>
    </w:pPr>
    <w:rPr>
      <w:rFonts w:ascii="Times New Roman" w:eastAsia="PMingLiU" w:hAnsi="Times New Roman" w:cs="Times New Roman"/>
      <w:sz w:val="20"/>
      <w:szCs w:val="20"/>
      <w:lang w:val="en-US"/>
    </w:rPr>
  </w:style>
  <w:style w:type="paragraph" w:styleId="Heading1">
    <w:name w:val="heading 1"/>
    <w:basedOn w:val="Normal"/>
    <w:next w:val="Normal"/>
    <w:link w:val="Heading1Char"/>
    <w:qFormat/>
    <w:rsid w:val="00AA3E3D"/>
    <w:pPr>
      <w:keepNext/>
      <w:numPr>
        <w:numId w:val="1"/>
      </w:numPr>
      <w:spacing w:before="240" w:after="80"/>
      <w:jc w:val="center"/>
      <w:outlineLvl w:val="0"/>
    </w:pPr>
    <w:rPr>
      <w:smallCaps/>
      <w:kern w:val="28"/>
    </w:rPr>
  </w:style>
  <w:style w:type="paragraph" w:styleId="Heading2">
    <w:name w:val="heading 2"/>
    <w:basedOn w:val="Normal"/>
    <w:next w:val="Normal"/>
    <w:link w:val="Heading2Char"/>
    <w:qFormat/>
    <w:rsid w:val="00AA3E3D"/>
    <w:pPr>
      <w:keepNext/>
      <w:numPr>
        <w:ilvl w:val="1"/>
        <w:numId w:val="1"/>
      </w:numPr>
      <w:spacing w:before="120" w:after="60"/>
      <w:outlineLvl w:val="1"/>
    </w:pPr>
    <w:rPr>
      <w:i/>
      <w:iCs/>
    </w:rPr>
  </w:style>
  <w:style w:type="paragraph" w:styleId="Heading3">
    <w:name w:val="heading 3"/>
    <w:basedOn w:val="Normal"/>
    <w:next w:val="Normal"/>
    <w:link w:val="Heading3Char"/>
    <w:qFormat/>
    <w:rsid w:val="00AA3E3D"/>
    <w:pPr>
      <w:keepNext/>
      <w:numPr>
        <w:ilvl w:val="2"/>
        <w:numId w:val="1"/>
      </w:numPr>
      <w:spacing w:before="60" w:after="60"/>
      <w:outlineLvl w:val="2"/>
    </w:pPr>
    <w:rPr>
      <w:i/>
      <w:iCs/>
    </w:rPr>
  </w:style>
  <w:style w:type="paragraph" w:styleId="Heading4">
    <w:name w:val="heading 4"/>
    <w:basedOn w:val="Normal"/>
    <w:next w:val="Normal"/>
    <w:link w:val="Heading4Char"/>
    <w:qFormat/>
    <w:rsid w:val="00AA3E3D"/>
    <w:pPr>
      <w:keepNext/>
      <w:numPr>
        <w:ilvl w:val="3"/>
        <w:numId w:val="1"/>
      </w:numPr>
      <w:spacing w:before="40" w:after="40"/>
      <w:outlineLvl w:val="3"/>
    </w:pPr>
    <w:rPr>
      <w:i/>
      <w:iCs/>
      <w:szCs w:val="18"/>
      <w:lang w:eastAsia="zh-TW"/>
    </w:rPr>
  </w:style>
  <w:style w:type="paragraph" w:styleId="Heading5">
    <w:name w:val="heading 5"/>
    <w:basedOn w:val="Normal"/>
    <w:next w:val="Normal"/>
    <w:link w:val="Heading5Char"/>
    <w:qFormat/>
    <w:rsid w:val="00AA3E3D"/>
    <w:pPr>
      <w:numPr>
        <w:ilvl w:val="4"/>
        <w:numId w:val="1"/>
      </w:numPr>
      <w:spacing w:before="240" w:after="60"/>
      <w:outlineLvl w:val="4"/>
    </w:pPr>
    <w:rPr>
      <w:sz w:val="18"/>
      <w:szCs w:val="18"/>
    </w:rPr>
  </w:style>
  <w:style w:type="paragraph" w:styleId="Heading6">
    <w:name w:val="heading 6"/>
    <w:basedOn w:val="Normal"/>
    <w:next w:val="Normal"/>
    <w:link w:val="Heading6Char"/>
    <w:qFormat/>
    <w:rsid w:val="00AA3E3D"/>
    <w:pPr>
      <w:numPr>
        <w:ilvl w:val="5"/>
        <w:numId w:val="1"/>
      </w:numPr>
      <w:spacing w:before="240" w:after="60"/>
      <w:outlineLvl w:val="5"/>
    </w:pPr>
    <w:rPr>
      <w:i/>
      <w:iCs/>
      <w:sz w:val="16"/>
      <w:szCs w:val="16"/>
    </w:rPr>
  </w:style>
  <w:style w:type="paragraph" w:styleId="Heading7">
    <w:name w:val="heading 7"/>
    <w:basedOn w:val="Normal"/>
    <w:next w:val="Normal"/>
    <w:link w:val="Heading7Char"/>
    <w:qFormat/>
    <w:rsid w:val="00AA3E3D"/>
    <w:pPr>
      <w:numPr>
        <w:ilvl w:val="6"/>
        <w:numId w:val="1"/>
      </w:numPr>
      <w:spacing w:before="240" w:after="60"/>
      <w:outlineLvl w:val="6"/>
    </w:pPr>
    <w:rPr>
      <w:sz w:val="16"/>
      <w:szCs w:val="16"/>
    </w:rPr>
  </w:style>
  <w:style w:type="paragraph" w:styleId="Heading8">
    <w:name w:val="heading 8"/>
    <w:basedOn w:val="Normal"/>
    <w:next w:val="Normal"/>
    <w:link w:val="Heading8Char"/>
    <w:qFormat/>
    <w:rsid w:val="00AA3E3D"/>
    <w:pPr>
      <w:numPr>
        <w:ilvl w:val="7"/>
        <w:numId w:val="1"/>
      </w:numPr>
      <w:spacing w:before="240" w:after="60"/>
      <w:outlineLvl w:val="7"/>
    </w:pPr>
    <w:rPr>
      <w:i/>
      <w:iCs/>
      <w:sz w:val="16"/>
      <w:szCs w:val="16"/>
    </w:rPr>
  </w:style>
  <w:style w:type="paragraph" w:styleId="Heading9">
    <w:name w:val="heading 9"/>
    <w:basedOn w:val="Normal"/>
    <w:next w:val="Normal"/>
    <w:link w:val="Heading9Char"/>
    <w:qFormat/>
    <w:rsid w:val="00AA3E3D"/>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A3E3D"/>
    <w:rPr>
      <w:rFonts w:ascii="Times New Roman" w:eastAsia="PMingLiU" w:hAnsi="Times New Roman" w:cs="Times New Roman"/>
      <w:smallCaps/>
      <w:kern w:val="28"/>
      <w:sz w:val="20"/>
      <w:szCs w:val="20"/>
      <w:lang w:val="en-US"/>
    </w:rPr>
  </w:style>
  <w:style w:type="character" w:customStyle="1" w:styleId="Heading2Char">
    <w:name w:val="Heading 2 Char"/>
    <w:basedOn w:val="DefaultParagraphFont"/>
    <w:link w:val="Heading2"/>
    <w:rsid w:val="00AA3E3D"/>
    <w:rPr>
      <w:rFonts w:ascii="Times New Roman" w:eastAsia="PMingLiU" w:hAnsi="Times New Roman" w:cs="Times New Roman"/>
      <w:i/>
      <w:iCs/>
      <w:sz w:val="20"/>
      <w:szCs w:val="20"/>
      <w:lang w:val="en-US"/>
    </w:rPr>
  </w:style>
  <w:style w:type="character" w:customStyle="1" w:styleId="Heading3Char">
    <w:name w:val="Heading 3 Char"/>
    <w:basedOn w:val="DefaultParagraphFont"/>
    <w:link w:val="Heading3"/>
    <w:rsid w:val="00AA3E3D"/>
    <w:rPr>
      <w:rFonts w:ascii="Times New Roman" w:eastAsia="PMingLiU" w:hAnsi="Times New Roman" w:cs="Times New Roman"/>
      <w:i/>
      <w:iCs/>
      <w:sz w:val="20"/>
      <w:szCs w:val="20"/>
      <w:lang w:val="en-US"/>
    </w:rPr>
  </w:style>
  <w:style w:type="character" w:customStyle="1" w:styleId="Heading4Char">
    <w:name w:val="Heading 4 Char"/>
    <w:basedOn w:val="DefaultParagraphFont"/>
    <w:link w:val="Heading4"/>
    <w:rsid w:val="00AA3E3D"/>
    <w:rPr>
      <w:rFonts w:ascii="Times New Roman" w:eastAsia="PMingLiU" w:hAnsi="Times New Roman" w:cs="Times New Roman"/>
      <w:i/>
      <w:iCs/>
      <w:sz w:val="20"/>
      <w:szCs w:val="18"/>
      <w:lang w:val="en-US" w:eastAsia="zh-TW"/>
    </w:rPr>
  </w:style>
  <w:style w:type="character" w:customStyle="1" w:styleId="Heading5Char">
    <w:name w:val="Heading 5 Char"/>
    <w:basedOn w:val="DefaultParagraphFont"/>
    <w:link w:val="Heading5"/>
    <w:rsid w:val="00AA3E3D"/>
    <w:rPr>
      <w:rFonts w:ascii="Times New Roman" w:eastAsia="PMingLiU" w:hAnsi="Times New Roman" w:cs="Times New Roman"/>
      <w:sz w:val="18"/>
      <w:szCs w:val="18"/>
      <w:lang w:val="en-US"/>
    </w:rPr>
  </w:style>
  <w:style w:type="character" w:customStyle="1" w:styleId="Heading6Char">
    <w:name w:val="Heading 6 Char"/>
    <w:basedOn w:val="DefaultParagraphFont"/>
    <w:link w:val="Heading6"/>
    <w:rsid w:val="00AA3E3D"/>
    <w:rPr>
      <w:rFonts w:ascii="Times New Roman" w:eastAsia="PMingLiU" w:hAnsi="Times New Roman" w:cs="Times New Roman"/>
      <w:i/>
      <w:iCs/>
      <w:sz w:val="16"/>
      <w:szCs w:val="16"/>
      <w:lang w:val="en-US"/>
    </w:rPr>
  </w:style>
  <w:style w:type="character" w:customStyle="1" w:styleId="Heading7Char">
    <w:name w:val="Heading 7 Char"/>
    <w:basedOn w:val="DefaultParagraphFont"/>
    <w:link w:val="Heading7"/>
    <w:rsid w:val="00AA3E3D"/>
    <w:rPr>
      <w:rFonts w:ascii="Times New Roman" w:eastAsia="PMingLiU" w:hAnsi="Times New Roman" w:cs="Times New Roman"/>
      <w:sz w:val="16"/>
      <w:szCs w:val="16"/>
      <w:lang w:val="en-US"/>
    </w:rPr>
  </w:style>
  <w:style w:type="character" w:customStyle="1" w:styleId="Heading8Char">
    <w:name w:val="Heading 8 Char"/>
    <w:basedOn w:val="DefaultParagraphFont"/>
    <w:link w:val="Heading8"/>
    <w:rsid w:val="00AA3E3D"/>
    <w:rPr>
      <w:rFonts w:ascii="Times New Roman" w:eastAsia="PMingLiU" w:hAnsi="Times New Roman" w:cs="Times New Roman"/>
      <w:i/>
      <w:iCs/>
      <w:sz w:val="16"/>
      <w:szCs w:val="16"/>
      <w:lang w:val="en-US"/>
    </w:rPr>
  </w:style>
  <w:style w:type="character" w:customStyle="1" w:styleId="Heading9Char">
    <w:name w:val="Heading 9 Char"/>
    <w:basedOn w:val="DefaultParagraphFont"/>
    <w:link w:val="Heading9"/>
    <w:rsid w:val="00AA3E3D"/>
    <w:rPr>
      <w:rFonts w:ascii="Times New Roman" w:eastAsia="PMingLiU" w:hAnsi="Times New Roman" w:cs="Times New Roman"/>
      <w:sz w:val="16"/>
      <w:szCs w:val="16"/>
      <w:lang w:val="en-US"/>
    </w:rPr>
  </w:style>
  <w:style w:type="paragraph" w:customStyle="1" w:styleId="Abstract">
    <w:name w:val="Abstract"/>
    <w:basedOn w:val="Normal"/>
    <w:next w:val="Normal"/>
    <w:rsid w:val="00AA3E3D"/>
    <w:pPr>
      <w:spacing w:before="20"/>
      <w:ind w:firstLine="202"/>
      <w:jc w:val="both"/>
    </w:pPr>
    <w:rPr>
      <w:b/>
      <w:bCs/>
      <w:sz w:val="18"/>
      <w:szCs w:val="18"/>
    </w:rPr>
  </w:style>
  <w:style w:type="paragraph" w:customStyle="1" w:styleId="Authors">
    <w:name w:val="Authors"/>
    <w:basedOn w:val="Normal"/>
    <w:next w:val="Normal"/>
    <w:rsid w:val="00AA3E3D"/>
    <w:pPr>
      <w:framePr w:w="9072" w:hSpace="187" w:vSpace="187" w:wrap="notBeside" w:vAnchor="text" w:hAnchor="page" w:xAlign="center" w:y="1"/>
      <w:spacing w:after="320"/>
      <w:jc w:val="center"/>
    </w:pPr>
    <w:rPr>
      <w:sz w:val="22"/>
      <w:szCs w:val="22"/>
    </w:rPr>
  </w:style>
  <w:style w:type="paragraph" w:styleId="Title">
    <w:name w:val="Title"/>
    <w:basedOn w:val="Normal"/>
    <w:next w:val="Normal"/>
    <w:link w:val="TitleChar"/>
    <w:qFormat/>
    <w:rsid w:val="00AA3E3D"/>
    <w:pPr>
      <w:framePr w:w="9360" w:hSpace="187" w:vSpace="187" w:wrap="notBeside" w:vAnchor="text" w:hAnchor="page" w:xAlign="center" w:y="1"/>
      <w:jc w:val="center"/>
    </w:pPr>
    <w:rPr>
      <w:kern w:val="28"/>
      <w:sz w:val="40"/>
      <w:szCs w:val="48"/>
    </w:rPr>
  </w:style>
  <w:style w:type="character" w:customStyle="1" w:styleId="TitleChar">
    <w:name w:val="Title Char"/>
    <w:basedOn w:val="DefaultParagraphFont"/>
    <w:link w:val="Title"/>
    <w:rsid w:val="00AA3E3D"/>
    <w:rPr>
      <w:rFonts w:ascii="Times New Roman" w:eastAsia="PMingLiU" w:hAnsi="Times New Roman" w:cs="Times New Roman"/>
      <w:kern w:val="28"/>
      <w:sz w:val="40"/>
      <w:szCs w:val="48"/>
      <w:lang w:val="en-US"/>
    </w:rPr>
  </w:style>
  <w:style w:type="paragraph" w:styleId="FootnoteText">
    <w:name w:val="footnote text"/>
    <w:basedOn w:val="Normal"/>
    <w:link w:val="FootnoteTextChar"/>
    <w:semiHidden/>
    <w:rsid w:val="00AA3E3D"/>
    <w:pPr>
      <w:ind w:firstLine="202"/>
      <w:jc w:val="both"/>
    </w:pPr>
    <w:rPr>
      <w:sz w:val="16"/>
      <w:szCs w:val="16"/>
    </w:rPr>
  </w:style>
  <w:style w:type="character" w:customStyle="1" w:styleId="FootnoteTextChar">
    <w:name w:val="Footnote Text Char"/>
    <w:basedOn w:val="DefaultParagraphFont"/>
    <w:link w:val="FootnoteText"/>
    <w:semiHidden/>
    <w:rsid w:val="00AA3E3D"/>
    <w:rPr>
      <w:rFonts w:ascii="Times New Roman" w:eastAsia="PMingLiU" w:hAnsi="Times New Roman" w:cs="Times New Roman"/>
      <w:sz w:val="16"/>
      <w:szCs w:val="16"/>
      <w:lang w:val="en-US"/>
    </w:rPr>
  </w:style>
  <w:style w:type="paragraph" w:customStyle="1" w:styleId="References">
    <w:name w:val="References"/>
    <w:basedOn w:val="Normal"/>
    <w:rsid w:val="00AA3E3D"/>
    <w:pPr>
      <w:numPr>
        <w:numId w:val="2"/>
      </w:numPr>
      <w:jc w:val="both"/>
    </w:pPr>
    <w:rPr>
      <w:sz w:val="16"/>
      <w:szCs w:val="16"/>
    </w:rPr>
  </w:style>
  <w:style w:type="paragraph" w:customStyle="1" w:styleId="IndexTerms">
    <w:name w:val="IndexTerms"/>
    <w:basedOn w:val="Normal"/>
    <w:next w:val="Normal"/>
    <w:rsid w:val="00AA3E3D"/>
    <w:pPr>
      <w:ind w:firstLine="202"/>
      <w:jc w:val="both"/>
    </w:pPr>
    <w:rPr>
      <w:b/>
      <w:bCs/>
      <w:sz w:val="18"/>
      <w:szCs w:val="18"/>
    </w:rPr>
  </w:style>
  <w:style w:type="character" w:styleId="FootnoteReference">
    <w:name w:val="footnote reference"/>
    <w:basedOn w:val="DefaultParagraphFont"/>
    <w:semiHidden/>
    <w:rsid w:val="00AA3E3D"/>
    <w:rPr>
      <w:vertAlign w:val="superscript"/>
    </w:rPr>
  </w:style>
  <w:style w:type="paragraph" w:customStyle="1" w:styleId="Text">
    <w:name w:val="Text"/>
    <w:basedOn w:val="Normal"/>
    <w:rsid w:val="00AA3E3D"/>
    <w:pPr>
      <w:widowControl w:val="0"/>
      <w:spacing w:line="252" w:lineRule="auto"/>
      <w:ind w:firstLine="202"/>
      <w:jc w:val="both"/>
    </w:pPr>
  </w:style>
  <w:style w:type="paragraph" w:customStyle="1" w:styleId="FigureCaption">
    <w:name w:val="Figure Caption"/>
    <w:basedOn w:val="Normal"/>
    <w:link w:val="FigureCaptionChar"/>
    <w:rsid w:val="00AA3E3D"/>
    <w:pPr>
      <w:jc w:val="both"/>
    </w:pPr>
    <w:rPr>
      <w:sz w:val="16"/>
      <w:szCs w:val="16"/>
    </w:rPr>
  </w:style>
  <w:style w:type="paragraph" w:customStyle="1" w:styleId="TableTitle">
    <w:name w:val="Table Title"/>
    <w:basedOn w:val="Normal"/>
    <w:next w:val="Text"/>
    <w:rsid w:val="00AA3E3D"/>
    <w:pPr>
      <w:jc w:val="center"/>
    </w:pPr>
    <w:rPr>
      <w:smallCaps/>
      <w:sz w:val="16"/>
    </w:rPr>
  </w:style>
  <w:style w:type="paragraph" w:customStyle="1" w:styleId="ReferenceHead">
    <w:name w:val="Reference Head"/>
    <w:basedOn w:val="Heading1"/>
    <w:rsid w:val="00AA3E3D"/>
    <w:pPr>
      <w:numPr>
        <w:numId w:val="0"/>
      </w:numPr>
    </w:pPr>
  </w:style>
  <w:style w:type="paragraph" w:customStyle="1" w:styleId="Equation">
    <w:name w:val="Equation"/>
    <w:basedOn w:val="Normal"/>
    <w:next w:val="Normal"/>
    <w:rsid w:val="00AA3E3D"/>
    <w:pPr>
      <w:widowControl w:val="0"/>
      <w:tabs>
        <w:tab w:val="right" w:pos="5040"/>
      </w:tabs>
      <w:spacing w:line="252" w:lineRule="auto"/>
      <w:jc w:val="both"/>
    </w:pPr>
  </w:style>
  <w:style w:type="paragraph" w:customStyle="1" w:styleId="figurecaption0">
    <w:name w:val="figure caption"/>
    <w:basedOn w:val="FigureCaption"/>
    <w:link w:val="figurecaptionChar0"/>
    <w:qFormat/>
    <w:rsid w:val="00AA3E3D"/>
    <w:pPr>
      <w:jc w:val="center"/>
    </w:pPr>
  </w:style>
  <w:style w:type="character" w:customStyle="1" w:styleId="FigureCaptionChar">
    <w:name w:val="Figure Caption Char"/>
    <w:basedOn w:val="DefaultParagraphFont"/>
    <w:link w:val="FigureCaption"/>
    <w:rsid w:val="00AA3E3D"/>
    <w:rPr>
      <w:rFonts w:ascii="Times New Roman" w:eastAsia="PMingLiU" w:hAnsi="Times New Roman" w:cs="Times New Roman"/>
      <w:sz w:val="16"/>
      <w:szCs w:val="16"/>
      <w:lang w:val="en-US"/>
    </w:rPr>
  </w:style>
  <w:style w:type="character" w:customStyle="1" w:styleId="figurecaptionChar0">
    <w:name w:val="figure caption Char"/>
    <w:basedOn w:val="FigureCaptionChar"/>
    <w:link w:val="figurecaption0"/>
    <w:rsid w:val="00AA3E3D"/>
    <w:rPr>
      <w:rFonts w:ascii="Times New Roman" w:eastAsia="PMingLiU" w:hAnsi="Times New Roman" w:cs="Times New Roman"/>
      <w:sz w:val="16"/>
      <w:szCs w:val="16"/>
      <w:lang w:val="en-US"/>
    </w:rPr>
  </w:style>
  <w:style w:type="paragraph" w:styleId="BalloonText">
    <w:name w:val="Balloon Text"/>
    <w:basedOn w:val="Normal"/>
    <w:link w:val="BalloonTextChar"/>
    <w:uiPriority w:val="99"/>
    <w:semiHidden/>
    <w:unhideWhenUsed/>
    <w:rsid w:val="00AA3E3D"/>
    <w:rPr>
      <w:rFonts w:ascii="Tahoma" w:hAnsi="Tahoma" w:cs="Tahoma"/>
      <w:sz w:val="16"/>
      <w:szCs w:val="16"/>
    </w:rPr>
  </w:style>
  <w:style w:type="character" w:customStyle="1" w:styleId="BalloonTextChar">
    <w:name w:val="Balloon Text Char"/>
    <w:basedOn w:val="DefaultParagraphFont"/>
    <w:link w:val="BalloonText"/>
    <w:uiPriority w:val="99"/>
    <w:semiHidden/>
    <w:rsid w:val="00AA3E3D"/>
    <w:rPr>
      <w:rFonts w:ascii="Tahoma" w:eastAsia="PMingLiU" w:hAnsi="Tahoma" w:cs="Tahoma"/>
      <w:sz w:val="16"/>
      <w:szCs w:val="16"/>
      <w:lang w:val="en-US"/>
    </w:rPr>
  </w:style>
  <w:style w:type="paragraph" w:styleId="Header">
    <w:name w:val="header"/>
    <w:basedOn w:val="Normal"/>
    <w:link w:val="HeaderChar"/>
    <w:uiPriority w:val="99"/>
    <w:unhideWhenUsed/>
    <w:rsid w:val="00414BD6"/>
    <w:pPr>
      <w:tabs>
        <w:tab w:val="center" w:pos="4703"/>
        <w:tab w:val="right" w:pos="9406"/>
      </w:tabs>
    </w:pPr>
  </w:style>
  <w:style w:type="character" w:customStyle="1" w:styleId="HeaderChar">
    <w:name w:val="Header Char"/>
    <w:basedOn w:val="DefaultParagraphFont"/>
    <w:link w:val="Header"/>
    <w:uiPriority w:val="99"/>
    <w:rsid w:val="00414BD6"/>
    <w:rPr>
      <w:rFonts w:ascii="Times New Roman" w:eastAsia="PMingLiU" w:hAnsi="Times New Roman" w:cs="Times New Roman"/>
      <w:sz w:val="20"/>
      <w:szCs w:val="20"/>
      <w:lang w:val="en-US"/>
    </w:rPr>
  </w:style>
  <w:style w:type="paragraph" w:styleId="Footer">
    <w:name w:val="footer"/>
    <w:basedOn w:val="Normal"/>
    <w:link w:val="FooterChar"/>
    <w:uiPriority w:val="99"/>
    <w:unhideWhenUsed/>
    <w:rsid w:val="00414BD6"/>
    <w:pPr>
      <w:tabs>
        <w:tab w:val="center" w:pos="4703"/>
        <w:tab w:val="right" w:pos="9406"/>
      </w:tabs>
    </w:pPr>
  </w:style>
  <w:style w:type="character" w:customStyle="1" w:styleId="FooterChar">
    <w:name w:val="Footer Char"/>
    <w:basedOn w:val="DefaultParagraphFont"/>
    <w:link w:val="Footer"/>
    <w:uiPriority w:val="99"/>
    <w:rsid w:val="00414BD6"/>
    <w:rPr>
      <w:rFonts w:ascii="Times New Roman" w:eastAsia="PMingLiU" w:hAnsi="Times New Roman" w:cs="Times New Roman"/>
      <w:sz w:val="20"/>
      <w:szCs w:val="20"/>
      <w:lang w:val="en-US"/>
    </w:rPr>
  </w:style>
  <w:style w:type="character" w:styleId="Hyperlink">
    <w:name w:val="Hyperlink"/>
    <w:basedOn w:val="DefaultParagraphFont"/>
    <w:uiPriority w:val="99"/>
    <w:unhideWhenUsed/>
    <w:rsid w:val="00D47B38"/>
    <w:rPr>
      <w:color w:val="0000FF" w:themeColor="hyperlink"/>
      <w:u w:val="single"/>
    </w:rPr>
  </w:style>
  <w:style w:type="paragraph" w:customStyle="1" w:styleId="ColorfulList-Accent11">
    <w:name w:val="Colorful List - Accent 11"/>
    <w:basedOn w:val="Normal"/>
    <w:uiPriority w:val="34"/>
    <w:qFormat/>
    <w:rsid w:val="00793A13"/>
    <w:pPr>
      <w:autoSpaceDE/>
      <w:autoSpaceDN/>
      <w:ind w:left="720"/>
      <w:contextualSpacing/>
    </w:pPr>
    <w:rPr>
      <w:rFonts w:eastAsia="Times New Roman"/>
      <w:sz w:val="24"/>
      <w:szCs w:val="24"/>
    </w:rPr>
  </w:style>
  <w:style w:type="paragraph" w:customStyle="1" w:styleId="EndNoteBibliographyTitle">
    <w:name w:val="EndNote Bibliography Title"/>
    <w:basedOn w:val="Normal"/>
    <w:rsid w:val="009C5B44"/>
    <w:pPr>
      <w:jc w:val="center"/>
    </w:pPr>
  </w:style>
  <w:style w:type="paragraph" w:customStyle="1" w:styleId="EndNoteBibliography">
    <w:name w:val="EndNote Bibliography"/>
    <w:basedOn w:val="Normal"/>
    <w:rsid w:val="009C5B44"/>
  </w:style>
  <w:style w:type="paragraph" w:styleId="ListParagraph">
    <w:name w:val="List Paragraph"/>
    <w:basedOn w:val="Normal"/>
    <w:uiPriority w:val="34"/>
    <w:qFormat/>
    <w:rsid w:val="00B36CCE"/>
    <w:pPr>
      <w:ind w:left="720"/>
      <w:contextualSpacing/>
    </w:pPr>
  </w:style>
  <w:style w:type="paragraph" w:customStyle="1" w:styleId="Default">
    <w:name w:val="Default"/>
    <w:rsid w:val="008C5BCF"/>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300F28"/>
    <w:rPr>
      <w:color w:val="808080"/>
    </w:rPr>
  </w:style>
  <w:style w:type="character" w:styleId="CommentReference">
    <w:name w:val="annotation reference"/>
    <w:basedOn w:val="DefaultParagraphFont"/>
    <w:uiPriority w:val="99"/>
    <w:semiHidden/>
    <w:unhideWhenUsed/>
    <w:rsid w:val="007153B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286875">
      <w:bodyDiv w:val="1"/>
      <w:marLeft w:val="0"/>
      <w:marRight w:val="0"/>
      <w:marTop w:val="0"/>
      <w:marBottom w:val="0"/>
      <w:divBdr>
        <w:top w:val="none" w:sz="0" w:space="0" w:color="auto"/>
        <w:left w:val="none" w:sz="0" w:space="0" w:color="auto"/>
        <w:bottom w:val="none" w:sz="0" w:space="0" w:color="auto"/>
        <w:right w:val="none" w:sz="0" w:space="0" w:color="auto"/>
      </w:divBdr>
    </w:div>
    <w:div w:id="119998643">
      <w:bodyDiv w:val="1"/>
      <w:marLeft w:val="0"/>
      <w:marRight w:val="0"/>
      <w:marTop w:val="0"/>
      <w:marBottom w:val="0"/>
      <w:divBdr>
        <w:top w:val="none" w:sz="0" w:space="0" w:color="auto"/>
        <w:left w:val="none" w:sz="0" w:space="0" w:color="auto"/>
        <w:bottom w:val="none" w:sz="0" w:space="0" w:color="auto"/>
        <w:right w:val="none" w:sz="0" w:space="0" w:color="auto"/>
      </w:divBdr>
    </w:div>
    <w:div w:id="229967063">
      <w:bodyDiv w:val="1"/>
      <w:marLeft w:val="0"/>
      <w:marRight w:val="0"/>
      <w:marTop w:val="0"/>
      <w:marBottom w:val="0"/>
      <w:divBdr>
        <w:top w:val="none" w:sz="0" w:space="0" w:color="auto"/>
        <w:left w:val="none" w:sz="0" w:space="0" w:color="auto"/>
        <w:bottom w:val="none" w:sz="0" w:space="0" w:color="auto"/>
        <w:right w:val="none" w:sz="0" w:space="0" w:color="auto"/>
      </w:divBdr>
    </w:div>
    <w:div w:id="828444930">
      <w:bodyDiv w:val="1"/>
      <w:marLeft w:val="0"/>
      <w:marRight w:val="0"/>
      <w:marTop w:val="0"/>
      <w:marBottom w:val="0"/>
      <w:divBdr>
        <w:top w:val="none" w:sz="0" w:space="0" w:color="auto"/>
        <w:left w:val="none" w:sz="0" w:space="0" w:color="auto"/>
        <w:bottom w:val="none" w:sz="0" w:space="0" w:color="auto"/>
        <w:right w:val="none" w:sz="0" w:space="0" w:color="auto"/>
      </w:divBdr>
    </w:div>
    <w:div w:id="1130707895">
      <w:bodyDiv w:val="1"/>
      <w:marLeft w:val="0"/>
      <w:marRight w:val="0"/>
      <w:marTop w:val="0"/>
      <w:marBottom w:val="0"/>
      <w:divBdr>
        <w:top w:val="none" w:sz="0" w:space="0" w:color="auto"/>
        <w:left w:val="none" w:sz="0" w:space="0" w:color="auto"/>
        <w:bottom w:val="none" w:sz="0" w:space="0" w:color="auto"/>
        <w:right w:val="none" w:sz="0" w:space="0" w:color="auto"/>
      </w:divBdr>
    </w:div>
    <w:div w:id="1185442795">
      <w:bodyDiv w:val="1"/>
      <w:marLeft w:val="0"/>
      <w:marRight w:val="0"/>
      <w:marTop w:val="0"/>
      <w:marBottom w:val="0"/>
      <w:divBdr>
        <w:top w:val="none" w:sz="0" w:space="0" w:color="auto"/>
        <w:left w:val="none" w:sz="0" w:space="0" w:color="auto"/>
        <w:bottom w:val="none" w:sz="0" w:space="0" w:color="auto"/>
        <w:right w:val="none" w:sz="0" w:space="0" w:color="auto"/>
      </w:divBdr>
    </w:div>
    <w:div w:id="1438600776">
      <w:bodyDiv w:val="1"/>
      <w:marLeft w:val="0"/>
      <w:marRight w:val="0"/>
      <w:marTop w:val="0"/>
      <w:marBottom w:val="0"/>
      <w:divBdr>
        <w:top w:val="none" w:sz="0" w:space="0" w:color="auto"/>
        <w:left w:val="none" w:sz="0" w:space="0" w:color="auto"/>
        <w:bottom w:val="none" w:sz="0" w:space="0" w:color="auto"/>
        <w:right w:val="none" w:sz="0" w:space="0" w:color="auto"/>
      </w:divBdr>
    </w:div>
    <w:div w:id="1610774624">
      <w:bodyDiv w:val="1"/>
      <w:marLeft w:val="0"/>
      <w:marRight w:val="0"/>
      <w:marTop w:val="0"/>
      <w:marBottom w:val="0"/>
      <w:divBdr>
        <w:top w:val="none" w:sz="0" w:space="0" w:color="auto"/>
        <w:left w:val="none" w:sz="0" w:space="0" w:color="auto"/>
        <w:bottom w:val="none" w:sz="0" w:space="0" w:color="auto"/>
        <w:right w:val="none" w:sz="0" w:space="0" w:color="auto"/>
      </w:divBdr>
    </w:div>
    <w:div w:id="1845322243">
      <w:bodyDiv w:val="1"/>
      <w:marLeft w:val="0"/>
      <w:marRight w:val="0"/>
      <w:marTop w:val="0"/>
      <w:marBottom w:val="0"/>
      <w:divBdr>
        <w:top w:val="none" w:sz="0" w:space="0" w:color="auto"/>
        <w:left w:val="none" w:sz="0" w:space="0" w:color="auto"/>
        <w:bottom w:val="none" w:sz="0" w:space="0" w:color="auto"/>
        <w:right w:val="none" w:sz="0" w:space="0" w:color="auto"/>
      </w:divBdr>
    </w:div>
    <w:div w:id="1932201769">
      <w:bodyDiv w:val="1"/>
      <w:marLeft w:val="0"/>
      <w:marRight w:val="0"/>
      <w:marTop w:val="0"/>
      <w:marBottom w:val="0"/>
      <w:divBdr>
        <w:top w:val="none" w:sz="0" w:space="0" w:color="auto"/>
        <w:left w:val="none" w:sz="0" w:space="0" w:color="auto"/>
        <w:bottom w:val="none" w:sz="0" w:space="0" w:color="auto"/>
        <w:right w:val="none" w:sz="0" w:space="0" w:color="auto"/>
      </w:divBdr>
    </w:div>
    <w:div w:id="2108429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5.xml"/><Relationship Id="rId18"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hyperlink" Target="http://www.slideshare.net/ashoknene/natural-satbilization-of-soils" TargetMode="External"/><Relationship Id="rId10" Type="http://schemas.openxmlformats.org/officeDocument/2006/relationships/chart" Target="charts/chart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www.worldometers.info/world-population/"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mailto:kangwaj2@lsbu.ac.uk" TargetMode="External"/><Relationship Id="rId1" Type="http://schemas.openxmlformats.org/officeDocument/2006/relationships/hyperlink" Target="mailto:P.Hirst@leedsbeckett.ac.uk"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jpeg"/></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image" Target="../media/image2.jpeg"/></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4.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138590040282"/>
          <c:y val="0.25223879776312702"/>
          <c:w val="0.83154024169390195"/>
          <c:h val="0.54103848543667998"/>
        </c:manualLayout>
      </c:layout>
      <c:lineChart>
        <c:grouping val="standard"/>
        <c:varyColors val="0"/>
        <c:ser>
          <c:idx val="2"/>
          <c:order val="0"/>
          <c:tx>
            <c:v>AHS</c:v>
          </c:tx>
          <c:spPr>
            <a:ln w="9525" cmpd="sng">
              <a:solidFill>
                <a:schemeClr val="tx1"/>
              </a:solidFill>
            </a:ln>
          </c:spPr>
          <c:marker>
            <c:symbol val="none"/>
          </c:marker>
          <c:cat>
            <c:numRef>
              <c:f>Anthills!$Q$138:$X$138</c:f>
              <c:numCache>
                <c:formatCode>General</c:formatCode>
                <c:ptCount val="8"/>
                <c:pt idx="0">
                  <c:v>0</c:v>
                </c:pt>
                <c:pt idx="1">
                  <c:v>5</c:v>
                </c:pt>
                <c:pt idx="2">
                  <c:v>7.5</c:v>
                </c:pt>
                <c:pt idx="3">
                  <c:v>10</c:v>
                </c:pt>
                <c:pt idx="4">
                  <c:v>15</c:v>
                </c:pt>
                <c:pt idx="5">
                  <c:v>20</c:v>
                </c:pt>
                <c:pt idx="6">
                  <c:v>25</c:v>
                </c:pt>
                <c:pt idx="7">
                  <c:v>30</c:v>
                </c:pt>
              </c:numCache>
            </c:numRef>
          </c:cat>
          <c:val>
            <c:numRef>
              <c:f>Anthills!$Q$141:$X$141</c:f>
              <c:numCache>
                <c:formatCode>General</c:formatCode>
                <c:ptCount val="8"/>
                <c:pt idx="0">
                  <c:v>30</c:v>
                </c:pt>
                <c:pt idx="1">
                  <c:v>28</c:v>
                </c:pt>
                <c:pt idx="2">
                  <c:v>31</c:v>
                </c:pt>
                <c:pt idx="3">
                  <c:v>33</c:v>
                </c:pt>
                <c:pt idx="4">
                  <c:v>38</c:v>
                </c:pt>
                <c:pt idx="5">
                  <c:v>40</c:v>
                </c:pt>
                <c:pt idx="6">
                  <c:v>60</c:v>
                </c:pt>
                <c:pt idx="7">
                  <c:v>80</c:v>
                </c:pt>
              </c:numCache>
            </c:numRef>
          </c:val>
          <c:smooth val="0"/>
          <c:extLst>
            <c:ext xmlns:c16="http://schemas.microsoft.com/office/drawing/2014/chart" uri="{C3380CC4-5D6E-409C-BE32-E72D297353CC}">
              <c16:uniqueId val="{00000000-7B90-4C0E-9750-D41B02E66C4B}"/>
            </c:ext>
          </c:extLst>
        </c:ser>
        <c:dLbls>
          <c:showLegendKey val="0"/>
          <c:showVal val="0"/>
          <c:showCatName val="0"/>
          <c:showSerName val="0"/>
          <c:showPercent val="0"/>
          <c:showBubbleSize val="0"/>
        </c:dLbls>
        <c:smooth val="0"/>
        <c:axId val="2100966408"/>
        <c:axId val="2100969640"/>
      </c:lineChart>
      <c:catAx>
        <c:axId val="2100966408"/>
        <c:scaling>
          <c:orientation val="minMax"/>
        </c:scaling>
        <c:delete val="0"/>
        <c:axPos val="b"/>
        <c:title>
          <c:tx>
            <c:rich>
              <a:bodyPr rot="0" vert="horz"/>
              <a:lstStyle/>
              <a:p>
                <a:pPr>
                  <a:defRPr sz="800">
                    <a:latin typeface="Times New Roman"/>
                    <a:cs typeface="Times New Roman"/>
                  </a:defRPr>
                </a:pPr>
                <a:r>
                  <a:rPr lang="en-US" sz="800">
                    <a:latin typeface="Times New Roman"/>
                    <a:cs typeface="Times New Roman"/>
                  </a:rPr>
                  <a:t>Percentage replacement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b="0" i="0">
                <a:latin typeface="Times New Roman"/>
                <a:cs typeface="Times New Roman"/>
              </a:defRPr>
            </a:pPr>
            <a:endParaRPr lang="en-US"/>
          </a:p>
        </c:txPr>
        <c:crossAx val="2100969640"/>
        <c:crosses val="autoZero"/>
        <c:auto val="1"/>
        <c:lblAlgn val="ctr"/>
        <c:lblOffset val="100"/>
        <c:noMultiLvlLbl val="0"/>
      </c:catAx>
      <c:valAx>
        <c:axId val="2100969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sz="800" b="0" i="0">
                    <a:latin typeface="Times New Roman"/>
                    <a:cs typeface="Times New Roman"/>
                  </a:defRPr>
                </a:pPr>
                <a:r>
                  <a:rPr lang="en-US" sz="800" b="0" i="0">
                    <a:latin typeface="Times New Roman"/>
                    <a:cs typeface="Times New Roman"/>
                  </a:rPr>
                  <a:t>Slump (mm)</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sz="800">
                <a:latin typeface="Times New Roman"/>
                <a:cs typeface="Times New Roman"/>
              </a:defRPr>
            </a:pPr>
            <a:endParaRPr lang="en-US"/>
          </a:p>
        </c:txPr>
        <c:crossAx val="21009664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0">
          <a:solidFill>
            <a:sysClr val="windowText" lastClr="000000"/>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6843330676556761"/>
          <c:y val="6.2340606404080477E-2"/>
          <c:w val="0.81738481058951118"/>
          <c:h val="0.79613907711805221"/>
        </c:manualLayout>
      </c:layout>
      <c:barChart>
        <c:barDir val="col"/>
        <c:grouping val="clustered"/>
        <c:varyColors val="0"/>
        <c:ser>
          <c:idx val="0"/>
          <c:order val="0"/>
          <c:tx>
            <c:v>0%</c:v>
          </c:tx>
          <c:spPr>
            <a:blipFill>
              <a:blip xmlns:r="http://schemas.openxmlformats.org/officeDocument/2006/relationships" r:embed="rId1"/>
              <a:tile tx="0" ty="0" sx="100000" sy="100000" flip="none" algn="tl"/>
            </a:blipFill>
            <a:ln>
              <a:solidFill>
                <a:schemeClr val="tx1"/>
              </a:solidFill>
            </a:ln>
          </c:spPr>
          <c:invertIfNegative val="0"/>
          <c:cat>
            <c:strRef>
              <c:f>Anthills!$Q$100:$Q$103</c:f>
              <c:strCache>
                <c:ptCount val="4"/>
                <c:pt idx="0">
                  <c:v>7 Days</c:v>
                </c:pt>
                <c:pt idx="1">
                  <c:v>28 Days</c:v>
                </c:pt>
                <c:pt idx="2">
                  <c:v>56 Days</c:v>
                </c:pt>
                <c:pt idx="3">
                  <c:v>91 Days</c:v>
                </c:pt>
              </c:strCache>
            </c:strRef>
          </c:cat>
          <c:val>
            <c:numRef>
              <c:f>Anthills!$R$100:$R$103</c:f>
              <c:numCache>
                <c:formatCode>General</c:formatCode>
                <c:ptCount val="4"/>
                <c:pt idx="0">
                  <c:v>2350</c:v>
                </c:pt>
                <c:pt idx="1">
                  <c:v>2350</c:v>
                </c:pt>
                <c:pt idx="2">
                  <c:v>2356</c:v>
                </c:pt>
                <c:pt idx="3">
                  <c:v>2366</c:v>
                </c:pt>
              </c:numCache>
            </c:numRef>
          </c:val>
          <c:extLst>
            <c:ext xmlns:c16="http://schemas.microsoft.com/office/drawing/2014/chart" uri="{C3380CC4-5D6E-409C-BE32-E72D297353CC}">
              <c16:uniqueId val="{00000000-8D5F-497C-A698-04258C0D4B14}"/>
            </c:ext>
          </c:extLst>
        </c:ser>
        <c:ser>
          <c:idx val="1"/>
          <c:order val="1"/>
          <c:tx>
            <c:v>5%</c:v>
          </c:tx>
          <c:spPr>
            <a:pattFill prst="ltHorz">
              <a:fgClr>
                <a:schemeClr val="tx1"/>
              </a:fgClr>
              <a:bgClr>
                <a:schemeClr val="bg1"/>
              </a:bgClr>
            </a:pattFill>
            <a:ln>
              <a:solidFill>
                <a:schemeClr val="tx1"/>
              </a:solidFill>
            </a:ln>
          </c:spPr>
          <c:invertIfNegative val="0"/>
          <c:cat>
            <c:strRef>
              <c:f>Anthills!$Q$100:$Q$103</c:f>
              <c:strCache>
                <c:ptCount val="4"/>
                <c:pt idx="0">
                  <c:v>7 Days</c:v>
                </c:pt>
                <c:pt idx="1">
                  <c:v>28 Days</c:v>
                </c:pt>
                <c:pt idx="2">
                  <c:v>56 Days</c:v>
                </c:pt>
                <c:pt idx="3">
                  <c:v>91 Days</c:v>
                </c:pt>
              </c:strCache>
            </c:strRef>
          </c:cat>
          <c:val>
            <c:numRef>
              <c:f>Anthills!$S$100:$S$103</c:f>
              <c:numCache>
                <c:formatCode>General</c:formatCode>
                <c:ptCount val="4"/>
                <c:pt idx="0">
                  <c:v>2330</c:v>
                </c:pt>
                <c:pt idx="1">
                  <c:v>2320</c:v>
                </c:pt>
                <c:pt idx="2">
                  <c:v>2320</c:v>
                </c:pt>
                <c:pt idx="3">
                  <c:v>2318</c:v>
                </c:pt>
              </c:numCache>
            </c:numRef>
          </c:val>
          <c:extLst>
            <c:ext xmlns:c16="http://schemas.microsoft.com/office/drawing/2014/chart" uri="{C3380CC4-5D6E-409C-BE32-E72D297353CC}">
              <c16:uniqueId val="{00000001-8D5F-497C-A698-04258C0D4B14}"/>
            </c:ext>
          </c:extLst>
        </c:ser>
        <c:ser>
          <c:idx val="2"/>
          <c:order val="2"/>
          <c:tx>
            <c:v>7.50%</c:v>
          </c:tx>
          <c:spPr>
            <a:pattFill prst="wdUpDiag">
              <a:fgClr>
                <a:schemeClr val="tx1"/>
              </a:fgClr>
              <a:bgClr>
                <a:schemeClr val="bg1"/>
              </a:bgClr>
            </a:pattFill>
            <a:ln>
              <a:solidFill>
                <a:schemeClr val="tx1"/>
              </a:solidFill>
            </a:ln>
          </c:spPr>
          <c:invertIfNegative val="0"/>
          <c:cat>
            <c:strRef>
              <c:f>Anthills!$Q$100:$Q$103</c:f>
              <c:strCache>
                <c:ptCount val="4"/>
                <c:pt idx="0">
                  <c:v>7 Days</c:v>
                </c:pt>
                <c:pt idx="1">
                  <c:v>28 Days</c:v>
                </c:pt>
                <c:pt idx="2">
                  <c:v>56 Days</c:v>
                </c:pt>
                <c:pt idx="3">
                  <c:v>91 Days</c:v>
                </c:pt>
              </c:strCache>
            </c:strRef>
          </c:cat>
          <c:val>
            <c:numRef>
              <c:f>Anthills!$T$100:$T$103</c:f>
              <c:numCache>
                <c:formatCode>General</c:formatCode>
                <c:ptCount val="4"/>
                <c:pt idx="0">
                  <c:v>2329</c:v>
                </c:pt>
                <c:pt idx="1">
                  <c:v>2327</c:v>
                </c:pt>
                <c:pt idx="2">
                  <c:v>2326</c:v>
                </c:pt>
                <c:pt idx="3">
                  <c:v>2314</c:v>
                </c:pt>
              </c:numCache>
            </c:numRef>
          </c:val>
          <c:extLst>
            <c:ext xmlns:c16="http://schemas.microsoft.com/office/drawing/2014/chart" uri="{C3380CC4-5D6E-409C-BE32-E72D297353CC}">
              <c16:uniqueId val="{00000002-8D5F-497C-A698-04258C0D4B14}"/>
            </c:ext>
          </c:extLst>
        </c:ser>
        <c:ser>
          <c:idx val="3"/>
          <c:order val="3"/>
          <c:tx>
            <c:v>10%</c:v>
          </c:tx>
          <c:spPr>
            <a:pattFill prst="pct30">
              <a:fgClr>
                <a:schemeClr val="tx1"/>
              </a:fgClr>
              <a:bgClr>
                <a:schemeClr val="bg1"/>
              </a:bgClr>
            </a:pattFill>
            <a:ln>
              <a:solidFill>
                <a:schemeClr val="tx1"/>
              </a:solidFill>
            </a:ln>
          </c:spPr>
          <c:invertIfNegative val="0"/>
          <c:cat>
            <c:strRef>
              <c:f>Anthills!$Q$100:$Q$103</c:f>
              <c:strCache>
                <c:ptCount val="4"/>
                <c:pt idx="0">
                  <c:v>7 Days</c:v>
                </c:pt>
                <c:pt idx="1">
                  <c:v>28 Days</c:v>
                </c:pt>
                <c:pt idx="2">
                  <c:v>56 Days</c:v>
                </c:pt>
                <c:pt idx="3">
                  <c:v>91 Days</c:v>
                </c:pt>
              </c:strCache>
            </c:strRef>
          </c:cat>
          <c:val>
            <c:numRef>
              <c:f>Anthills!$U$100:$U$103</c:f>
              <c:numCache>
                <c:formatCode>General</c:formatCode>
                <c:ptCount val="4"/>
                <c:pt idx="0">
                  <c:v>2326</c:v>
                </c:pt>
                <c:pt idx="1">
                  <c:v>2325</c:v>
                </c:pt>
                <c:pt idx="2">
                  <c:v>2323</c:v>
                </c:pt>
                <c:pt idx="3">
                  <c:v>2312</c:v>
                </c:pt>
              </c:numCache>
            </c:numRef>
          </c:val>
          <c:extLst>
            <c:ext xmlns:c16="http://schemas.microsoft.com/office/drawing/2014/chart" uri="{C3380CC4-5D6E-409C-BE32-E72D297353CC}">
              <c16:uniqueId val="{00000003-8D5F-497C-A698-04258C0D4B14}"/>
            </c:ext>
          </c:extLst>
        </c:ser>
        <c:ser>
          <c:idx val="4"/>
          <c:order val="4"/>
          <c:tx>
            <c:v>15%</c:v>
          </c:tx>
          <c:spPr>
            <a:pattFill prst="ltVert">
              <a:fgClr>
                <a:schemeClr val="tx1"/>
              </a:fgClr>
              <a:bgClr>
                <a:schemeClr val="bg1"/>
              </a:bgClr>
            </a:pattFill>
            <a:ln>
              <a:solidFill>
                <a:schemeClr val="tx1"/>
              </a:solidFill>
            </a:ln>
          </c:spPr>
          <c:invertIfNegative val="0"/>
          <c:cat>
            <c:strRef>
              <c:f>Anthills!$Q$100:$Q$103</c:f>
              <c:strCache>
                <c:ptCount val="4"/>
                <c:pt idx="0">
                  <c:v>7 Days</c:v>
                </c:pt>
                <c:pt idx="1">
                  <c:v>28 Days</c:v>
                </c:pt>
                <c:pt idx="2">
                  <c:v>56 Days</c:v>
                </c:pt>
                <c:pt idx="3">
                  <c:v>91 Days</c:v>
                </c:pt>
              </c:strCache>
            </c:strRef>
          </c:cat>
          <c:val>
            <c:numRef>
              <c:f>Anthills!$V$100:$V$103</c:f>
              <c:numCache>
                <c:formatCode>General</c:formatCode>
                <c:ptCount val="4"/>
                <c:pt idx="0">
                  <c:v>2325</c:v>
                </c:pt>
                <c:pt idx="1">
                  <c:v>2323</c:v>
                </c:pt>
                <c:pt idx="2">
                  <c:v>2316</c:v>
                </c:pt>
                <c:pt idx="3">
                  <c:v>2307</c:v>
                </c:pt>
              </c:numCache>
            </c:numRef>
          </c:val>
          <c:extLst>
            <c:ext xmlns:c16="http://schemas.microsoft.com/office/drawing/2014/chart" uri="{C3380CC4-5D6E-409C-BE32-E72D297353CC}">
              <c16:uniqueId val="{00000004-8D5F-497C-A698-04258C0D4B14}"/>
            </c:ext>
          </c:extLst>
        </c:ser>
        <c:ser>
          <c:idx val="5"/>
          <c:order val="5"/>
          <c:tx>
            <c:v>20%</c:v>
          </c:tx>
          <c:spPr>
            <a:pattFill prst="solidDmnd">
              <a:fgClr>
                <a:schemeClr val="tx1"/>
              </a:fgClr>
              <a:bgClr>
                <a:schemeClr val="bg1"/>
              </a:bgClr>
            </a:pattFill>
            <a:ln>
              <a:solidFill>
                <a:schemeClr val="tx1"/>
              </a:solidFill>
            </a:ln>
          </c:spPr>
          <c:invertIfNegative val="0"/>
          <c:cat>
            <c:strRef>
              <c:f>Anthills!$Q$100:$Q$103</c:f>
              <c:strCache>
                <c:ptCount val="4"/>
                <c:pt idx="0">
                  <c:v>7 Days</c:v>
                </c:pt>
                <c:pt idx="1">
                  <c:v>28 Days</c:v>
                </c:pt>
                <c:pt idx="2">
                  <c:v>56 Days</c:v>
                </c:pt>
                <c:pt idx="3">
                  <c:v>91 Days</c:v>
                </c:pt>
              </c:strCache>
            </c:strRef>
          </c:cat>
          <c:val>
            <c:numRef>
              <c:f>Anthills!$W$100:$W$103</c:f>
              <c:numCache>
                <c:formatCode>General</c:formatCode>
                <c:ptCount val="4"/>
                <c:pt idx="0">
                  <c:v>2278</c:v>
                </c:pt>
                <c:pt idx="1">
                  <c:v>2271</c:v>
                </c:pt>
                <c:pt idx="2">
                  <c:v>2258</c:v>
                </c:pt>
                <c:pt idx="3">
                  <c:v>2250</c:v>
                </c:pt>
              </c:numCache>
            </c:numRef>
          </c:val>
          <c:extLst>
            <c:ext xmlns:c16="http://schemas.microsoft.com/office/drawing/2014/chart" uri="{C3380CC4-5D6E-409C-BE32-E72D297353CC}">
              <c16:uniqueId val="{00000005-8D5F-497C-A698-04258C0D4B14}"/>
            </c:ext>
          </c:extLst>
        </c:ser>
        <c:ser>
          <c:idx val="6"/>
          <c:order val="6"/>
          <c:tx>
            <c:v>25%</c:v>
          </c:tx>
          <c:spPr>
            <a:pattFill prst="openDmnd">
              <a:fgClr>
                <a:schemeClr val="tx1"/>
              </a:fgClr>
              <a:bgClr>
                <a:schemeClr val="bg1"/>
              </a:bgClr>
            </a:pattFill>
            <a:ln>
              <a:solidFill>
                <a:schemeClr val="tx1"/>
              </a:solidFill>
            </a:ln>
          </c:spPr>
          <c:invertIfNegative val="0"/>
          <c:cat>
            <c:strRef>
              <c:f>Anthills!$Q$100:$Q$103</c:f>
              <c:strCache>
                <c:ptCount val="4"/>
                <c:pt idx="0">
                  <c:v>7 Days</c:v>
                </c:pt>
                <c:pt idx="1">
                  <c:v>28 Days</c:v>
                </c:pt>
                <c:pt idx="2">
                  <c:v>56 Days</c:v>
                </c:pt>
                <c:pt idx="3">
                  <c:v>91 Days</c:v>
                </c:pt>
              </c:strCache>
            </c:strRef>
          </c:cat>
          <c:val>
            <c:numRef>
              <c:f>Anthills!$X$100:$X$103</c:f>
              <c:numCache>
                <c:formatCode>General</c:formatCode>
                <c:ptCount val="4"/>
                <c:pt idx="0">
                  <c:v>2274</c:v>
                </c:pt>
                <c:pt idx="1">
                  <c:v>2265</c:v>
                </c:pt>
                <c:pt idx="2">
                  <c:v>2247</c:v>
                </c:pt>
                <c:pt idx="3">
                  <c:v>2243</c:v>
                </c:pt>
              </c:numCache>
            </c:numRef>
          </c:val>
          <c:extLst>
            <c:ext xmlns:c16="http://schemas.microsoft.com/office/drawing/2014/chart" uri="{C3380CC4-5D6E-409C-BE32-E72D297353CC}">
              <c16:uniqueId val="{00000006-8D5F-497C-A698-04258C0D4B14}"/>
            </c:ext>
          </c:extLst>
        </c:ser>
        <c:ser>
          <c:idx val="7"/>
          <c:order val="7"/>
          <c:tx>
            <c:v>30%</c:v>
          </c:tx>
          <c:spPr>
            <a:pattFill prst="wave">
              <a:fgClr>
                <a:schemeClr val="tx1"/>
              </a:fgClr>
              <a:bgClr>
                <a:schemeClr val="bg1"/>
              </a:bgClr>
            </a:pattFill>
            <a:ln>
              <a:solidFill>
                <a:schemeClr val="tx1"/>
              </a:solidFill>
            </a:ln>
          </c:spPr>
          <c:invertIfNegative val="0"/>
          <c:cat>
            <c:strRef>
              <c:f>Anthills!$Q$100:$Q$103</c:f>
              <c:strCache>
                <c:ptCount val="4"/>
                <c:pt idx="0">
                  <c:v>7 Days</c:v>
                </c:pt>
                <c:pt idx="1">
                  <c:v>28 Days</c:v>
                </c:pt>
                <c:pt idx="2">
                  <c:v>56 Days</c:v>
                </c:pt>
                <c:pt idx="3">
                  <c:v>91 Days</c:v>
                </c:pt>
              </c:strCache>
            </c:strRef>
          </c:cat>
          <c:val>
            <c:numRef>
              <c:f>Anthills!$Y$100:$Y$103</c:f>
              <c:numCache>
                <c:formatCode>General</c:formatCode>
                <c:ptCount val="4"/>
                <c:pt idx="0">
                  <c:v>2266</c:v>
                </c:pt>
                <c:pt idx="1">
                  <c:v>2259</c:v>
                </c:pt>
                <c:pt idx="2">
                  <c:v>2238</c:v>
                </c:pt>
                <c:pt idx="3">
                  <c:v>2202</c:v>
                </c:pt>
              </c:numCache>
            </c:numRef>
          </c:val>
          <c:extLst>
            <c:ext xmlns:c16="http://schemas.microsoft.com/office/drawing/2014/chart" uri="{C3380CC4-5D6E-409C-BE32-E72D297353CC}">
              <c16:uniqueId val="{00000007-8D5F-497C-A698-04258C0D4B14}"/>
            </c:ext>
          </c:extLst>
        </c:ser>
        <c:dLbls>
          <c:showLegendKey val="0"/>
          <c:showVal val="0"/>
          <c:showCatName val="0"/>
          <c:showSerName val="0"/>
          <c:showPercent val="0"/>
          <c:showBubbleSize val="0"/>
        </c:dLbls>
        <c:gapWidth val="150"/>
        <c:axId val="2073048648"/>
        <c:axId val="2073042920"/>
      </c:barChart>
      <c:catAx>
        <c:axId val="2073048648"/>
        <c:scaling>
          <c:orientation val="minMax"/>
        </c:scaling>
        <c:delete val="1"/>
        <c:axPos val="b"/>
        <c:title>
          <c:tx>
            <c:rich>
              <a:bodyPr/>
              <a:lstStyle/>
              <a:p>
                <a:pPr>
                  <a:defRPr/>
                </a:pPr>
                <a:r>
                  <a:rPr lang="en-US"/>
                  <a:t>Age (Days)</a:t>
                </a:r>
              </a:p>
            </c:rich>
          </c:tx>
          <c:overlay val="0"/>
        </c:title>
        <c:numFmt formatCode="General" sourceLinked="1"/>
        <c:majorTickMark val="out"/>
        <c:minorTickMark val="none"/>
        <c:tickLblPos val="nextTo"/>
        <c:crossAx val="2073042920"/>
        <c:crosses val="autoZero"/>
        <c:auto val="1"/>
        <c:lblAlgn val="ctr"/>
        <c:lblOffset val="100"/>
        <c:noMultiLvlLbl val="0"/>
      </c:catAx>
      <c:valAx>
        <c:axId val="2073042920"/>
        <c:scaling>
          <c:orientation val="minMax"/>
        </c:scaling>
        <c:delete val="0"/>
        <c:axPos val="l"/>
        <c:majorGridlines/>
        <c:title>
          <c:tx>
            <c:rich>
              <a:bodyPr/>
              <a:lstStyle/>
              <a:p>
                <a:pPr>
                  <a:defRPr/>
                </a:pPr>
                <a:r>
                  <a:rPr lang="en-US"/>
                  <a:t>Density (kg/m3)</a:t>
                </a:r>
              </a:p>
            </c:rich>
          </c:tx>
          <c:layout>
            <c:manualLayout>
              <c:xMode val="edge"/>
              <c:yMode val="edge"/>
              <c:x val="1.0636411983690836E-2"/>
              <c:y val="0.25227730636815765"/>
            </c:manualLayout>
          </c:layout>
          <c:overlay val="0"/>
        </c:title>
        <c:numFmt formatCode="General" sourceLinked="1"/>
        <c:majorTickMark val="out"/>
        <c:minorTickMark val="none"/>
        <c:tickLblPos val="nextTo"/>
        <c:spPr>
          <a:ln>
            <a:solidFill>
              <a:schemeClr val="bg1"/>
            </a:solidFill>
          </a:ln>
        </c:spPr>
        <c:crossAx val="2073048648"/>
        <c:crosses val="autoZero"/>
        <c:crossBetween val="between"/>
      </c:valAx>
    </c:plotArea>
    <c:legend>
      <c:legendPos val="b"/>
      <c:layout>
        <c:manualLayout>
          <c:xMode val="edge"/>
          <c:yMode val="edge"/>
          <c:x val="0.11543298711486628"/>
          <c:y val="0.91628642764228019"/>
          <c:w val="0.76204280527688872"/>
          <c:h val="8.3713572357719951E-2"/>
        </c:manualLayout>
      </c:layout>
      <c:overlay val="0"/>
    </c:legend>
    <c:plotVisOnly val="1"/>
    <c:dispBlanksAs val="gap"/>
    <c:showDLblsOverMax val="0"/>
  </c:chart>
  <c:spPr>
    <a:ln>
      <a:noFill/>
    </a:ln>
  </c:spPr>
  <c:txPr>
    <a:bodyPr/>
    <a:lstStyle/>
    <a:p>
      <a:pPr algn="ctr">
        <a:defRPr sz="8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34089821332454"/>
          <c:y val="5.8309037900874633E-2"/>
          <c:w val="0.78600032503984718"/>
          <c:h val="0.71860859693094947"/>
        </c:manualLayout>
      </c:layout>
      <c:barChart>
        <c:barDir val="col"/>
        <c:grouping val="clustered"/>
        <c:varyColors val="0"/>
        <c:ser>
          <c:idx val="0"/>
          <c:order val="0"/>
          <c:tx>
            <c:v>0%</c:v>
          </c:tx>
          <c:spPr>
            <a:blipFill>
              <a:blip xmlns:r="http://schemas.openxmlformats.org/officeDocument/2006/relationships" r:embed="rId1"/>
              <a:tile tx="0" ty="0" sx="100000" sy="100000" flip="none" algn="tl"/>
            </a:blipFill>
            <a:effectLst/>
          </c:spPr>
          <c:invertIfNegative val="0"/>
          <c:cat>
            <c:numRef>
              <c:f>Anthills!$Q$67:$Q$70</c:f>
              <c:numCache>
                <c:formatCode>0</c:formatCode>
                <c:ptCount val="4"/>
                <c:pt idx="0">
                  <c:v>7</c:v>
                </c:pt>
                <c:pt idx="1">
                  <c:v>28</c:v>
                </c:pt>
                <c:pt idx="2">
                  <c:v>56</c:v>
                </c:pt>
                <c:pt idx="3">
                  <c:v>91</c:v>
                </c:pt>
              </c:numCache>
            </c:numRef>
          </c:cat>
          <c:val>
            <c:numRef>
              <c:f>Anthills!$R$67:$R$70</c:f>
              <c:numCache>
                <c:formatCode>0.0</c:formatCode>
                <c:ptCount val="4"/>
                <c:pt idx="0">
                  <c:v>56.23</c:v>
                </c:pt>
                <c:pt idx="1">
                  <c:v>61.63</c:v>
                </c:pt>
                <c:pt idx="2">
                  <c:v>67.599999999999994</c:v>
                </c:pt>
                <c:pt idx="3">
                  <c:v>71.3</c:v>
                </c:pt>
              </c:numCache>
            </c:numRef>
          </c:val>
          <c:extLst>
            <c:ext xmlns:c16="http://schemas.microsoft.com/office/drawing/2014/chart" uri="{C3380CC4-5D6E-409C-BE32-E72D297353CC}">
              <c16:uniqueId val="{00000000-5605-476E-B638-012046429C76}"/>
            </c:ext>
          </c:extLst>
        </c:ser>
        <c:ser>
          <c:idx val="1"/>
          <c:order val="1"/>
          <c:tx>
            <c:v>5%</c:v>
          </c:tx>
          <c:spPr>
            <a:pattFill prst="ltHorz">
              <a:fgClr>
                <a:schemeClr val="tx1"/>
              </a:fgClr>
              <a:bgClr>
                <a:schemeClr val="bg1"/>
              </a:bgClr>
            </a:pattFill>
            <a:ln>
              <a:solidFill>
                <a:schemeClr val="tx1"/>
              </a:solidFill>
            </a:ln>
            <a:effectLst/>
          </c:spPr>
          <c:invertIfNegative val="0"/>
          <c:val>
            <c:numRef>
              <c:f>Anthills!$S$67:$S$70</c:f>
              <c:numCache>
                <c:formatCode>0.0</c:formatCode>
                <c:ptCount val="4"/>
                <c:pt idx="0">
                  <c:v>40.409999999999997</c:v>
                </c:pt>
                <c:pt idx="1">
                  <c:v>50.8</c:v>
                </c:pt>
                <c:pt idx="2">
                  <c:v>53.37</c:v>
                </c:pt>
                <c:pt idx="3">
                  <c:v>59.27</c:v>
                </c:pt>
              </c:numCache>
            </c:numRef>
          </c:val>
          <c:extLst>
            <c:ext xmlns:c16="http://schemas.microsoft.com/office/drawing/2014/chart" uri="{C3380CC4-5D6E-409C-BE32-E72D297353CC}">
              <c16:uniqueId val="{00000001-5605-476E-B638-012046429C76}"/>
            </c:ext>
          </c:extLst>
        </c:ser>
        <c:ser>
          <c:idx val="2"/>
          <c:order val="2"/>
          <c:tx>
            <c:v>7.5%</c:v>
          </c:tx>
          <c:spPr>
            <a:pattFill prst="wdUpDiag">
              <a:fgClr>
                <a:schemeClr val="tx1"/>
              </a:fgClr>
              <a:bgClr>
                <a:schemeClr val="bg1"/>
              </a:bgClr>
            </a:pattFill>
            <a:ln>
              <a:solidFill>
                <a:schemeClr val="tx1"/>
              </a:solidFill>
            </a:ln>
            <a:effectLst/>
          </c:spPr>
          <c:invertIfNegative val="0"/>
          <c:val>
            <c:numRef>
              <c:f>Anthills!$T$67:$T$70</c:f>
              <c:numCache>
                <c:formatCode>0.0</c:formatCode>
                <c:ptCount val="4"/>
                <c:pt idx="0">
                  <c:v>40.340000000000003</c:v>
                </c:pt>
                <c:pt idx="1">
                  <c:v>53.4</c:v>
                </c:pt>
                <c:pt idx="2">
                  <c:v>50.55</c:v>
                </c:pt>
                <c:pt idx="3">
                  <c:v>63.13</c:v>
                </c:pt>
              </c:numCache>
            </c:numRef>
          </c:val>
          <c:extLst>
            <c:ext xmlns:c16="http://schemas.microsoft.com/office/drawing/2014/chart" uri="{C3380CC4-5D6E-409C-BE32-E72D297353CC}">
              <c16:uniqueId val="{00000002-5605-476E-B638-012046429C76}"/>
            </c:ext>
          </c:extLst>
        </c:ser>
        <c:ser>
          <c:idx val="3"/>
          <c:order val="3"/>
          <c:tx>
            <c:v>10%</c:v>
          </c:tx>
          <c:spPr>
            <a:pattFill prst="pct60">
              <a:fgClr>
                <a:schemeClr val="tx1"/>
              </a:fgClr>
              <a:bgClr>
                <a:schemeClr val="bg1"/>
              </a:bgClr>
            </a:pattFill>
            <a:ln>
              <a:solidFill>
                <a:schemeClr val="tx1"/>
              </a:solidFill>
            </a:ln>
            <a:effectLst/>
          </c:spPr>
          <c:invertIfNegative val="0"/>
          <c:val>
            <c:numRef>
              <c:f>Anthills!$U$67:$U$70</c:f>
              <c:numCache>
                <c:formatCode>0.0</c:formatCode>
                <c:ptCount val="4"/>
                <c:pt idx="0">
                  <c:v>38.049999999999997</c:v>
                </c:pt>
                <c:pt idx="1">
                  <c:v>46</c:v>
                </c:pt>
                <c:pt idx="2">
                  <c:v>47.92</c:v>
                </c:pt>
                <c:pt idx="3">
                  <c:v>55.6</c:v>
                </c:pt>
              </c:numCache>
            </c:numRef>
          </c:val>
          <c:extLst>
            <c:ext xmlns:c16="http://schemas.microsoft.com/office/drawing/2014/chart" uri="{C3380CC4-5D6E-409C-BE32-E72D297353CC}">
              <c16:uniqueId val="{00000003-5605-476E-B638-012046429C76}"/>
            </c:ext>
          </c:extLst>
        </c:ser>
        <c:ser>
          <c:idx val="4"/>
          <c:order val="4"/>
          <c:tx>
            <c:v>15%</c:v>
          </c:tx>
          <c:spPr>
            <a:pattFill prst="ltVert">
              <a:fgClr>
                <a:schemeClr val="tx1"/>
              </a:fgClr>
              <a:bgClr>
                <a:schemeClr val="bg1"/>
              </a:bgClr>
            </a:pattFill>
            <a:ln>
              <a:solidFill>
                <a:schemeClr val="tx1"/>
              </a:solidFill>
            </a:ln>
            <a:effectLst/>
          </c:spPr>
          <c:invertIfNegative val="0"/>
          <c:val>
            <c:numRef>
              <c:f>Anthills!$V$67:$V$70</c:f>
              <c:numCache>
                <c:formatCode>0.0</c:formatCode>
                <c:ptCount val="4"/>
                <c:pt idx="0">
                  <c:v>33.18</c:v>
                </c:pt>
                <c:pt idx="1">
                  <c:v>43.4</c:v>
                </c:pt>
                <c:pt idx="2">
                  <c:v>48.13</c:v>
                </c:pt>
                <c:pt idx="3">
                  <c:v>54.1</c:v>
                </c:pt>
              </c:numCache>
            </c:numRef>
          </c:val>
          <c:extLst>
            <c:ext xmlns:c16="http://schemas.microsoft.com/office/drawing/2014/chart" uri="{C3380CC4-5D6E-409C-BE32-E72D297353CC}">
              <c16:uniqueId val="{00000004-5605-476E-B638-012046429C76}"/>
            </c:ext>
          </c:extLst>
        </c:ser>
        <c:ser>
          <c:idx val="5"/>
          <c:order val="5"/>
          <c:tx>
            <c:v>20%</c:v>
          </c:tx>
          <c:spPr>
            <a:pattFill prst="solidDmnd">
              <a:fgClr>
                <a:schemeClr val="tx1"/>
              </a:fgClr>
              <a:bgClr>
                <a:schemeClr val="bg1"/>
              </a:bgClr>
            </a:pattFill>
            <a:ln>
              <a:solidFill>
                <a:schemeClr val="tx1"/>
              </a:solidFill>
            </a:ln>
            <a:effectLst/>
          </c:spPr>
          <c:invertIfNegative val="0"/>
          <c:val>
            <c:numRef>
              <c:f>Anthills!$W$67:$W$70</c:f>
              <c:numCache>
                <c:formatCode>0.0</c:formatCode>
                <c:ptCount val="4"/>
                <c:pt idx="0">
                  <c:v>32.630000000000003</c:v>
                </c:pt>
                <c:pt idx="1">
                  <c:v>38.700000000000003</c:v>
                </c:pt>
                <c:pt idx="2">
                  <c:v>44.79</c:v>
                </c:pt>
                <c:pt idx="3">
                  <c:v>49.05</c:v>
                </c:pt>
              </c:numCache>
            </c:numRef>
          </c:val>
          <c:extLst>
            <c:ext xmlns:c16="http://schemas.microsoft.com/office/drawing/2014/chart" uri="{C3380CC4-5D6E-409C-BE32-E72D297353CC}">
              <c16:uniqueId val="{00000005-5605-476E-B638-012046429C76}"/>
            </c:ext>
          </c:extLst>
        </c:ser>
        <c:ser>
          <c:idx val="6"/>
          <c:order val="6"/>
          <c:tx>
            <c:v>25%</c:v>
          </c:tx>
          <c:spPr>
            <a:pattFill prst="openDmnd">
              <a:fgClr>
                <a:schemeClr val="tx1"/>
              </a:fgClr>
              <a:bgClr>
                <a:schemeClr val="bg1"/>
              </a:bgClr>
            </a:pattFill>
            <a:ln>
              <a:solidFill>
                <a:schemeClr val="tx1"/>
              </a:solidFill>
            </a:ln>
            <a:effectLst/>
          </c:spPr>
          <c:invertIfNegative val="0"/>
          <c:val>
            <c:numRef>
              <c:f>Anthills!$X$67:$X$70</c:f>
              <c:numCache>
                <c:formatCode>0.0</c:formatCode>
                <c:ptCount val="4"/>
                <c:pt idx="0">
                  <c:v>27.1</c:v>
                </c:pt>
                <c:pt idx="1">
                  <c:v>34.6</c:v>
                </c:pt>
                <c:pt idx="2">
                  <c:v>39.17</c:v>
                </c:pt>
                <c:pt idx="3">
                  <c:v>44.38</c:v>
                </c:pt>
              </c:numCache>
            </c:numRef>
          </c:val>
          <c:extLst>
            <c:ext xmlns:c16="http://schemas.microsoft.com/office/drawing/2014/chart" uri="{C3380CC4-5D6E-409C-BE32-E72D297353CC}">
              <c16:uniqueId val="{00000006-5605-476E-B638-012046429C76}"/>
            </c:ext>
          </c:extLst>
        </c:ser>
        <c:ser>
          <c:idx val="7"/>
          <c:order val="7"/>
          <c:tx>
            <c:v>30%</c:v>
          </c:tx>
          <c:spPr>
            <a:pattFill prst="wave">
              <a:fgClr>
                <a:schemeClr val="tx1"/>
              </a:fgClr>
              <a:bgClr>
                <a:schemeClr val="bg1"/>
              </a:bgClr>
            </a:pattFill>
            <a:ln>
              <a:solidFill>
                <a:schemeClr val="tx1"/>
              </a:solidFill>
            </a:ln>
            <a:effectLst/>
          </c:spPr>
          <c:invertIfNegative val="0"/>
          <c:val>
            <c:numRef>
              <c:f>Anthills!$Y$67:$Y$70</c:f>
              <c:numCache>
                <c:formatCode>0.0</c:formatCode>
                <c:ptCount val="4"/>
                <c:pt idx="0">
                  <c:v>22.3</c:v>
                </c:pt>
                <c:pt idx="1">
                  <c:v>28.8</c:v>
                </c:pt>
                <c:pt idx="2">
                  <c:v>31.8</c:v>
                </c:pt>
                <c:pt idx="3">
                  <c:v>37.800000000000011</c:v>
                </c:pt>
              </c:numCache>
            </c:numRef>
          </c:val>
          <c:extLst>
            <c:ext xmlns:c16="http://schemas.microsoft.com/office/drawing/2014/chart" uri="{C3380CC4-5D6E-409C-BE32-E72D297353CC}">
              <c16:uniqueId val="{00000007-5605-476E-B638-012046429C76}"/>
            </c:ext>
          </c:extLst>
        </c:ser>
        <c:dLbls>
          <c:showLegendKey val="0"/>
          <c:showVal val="0"/>
          <c:showCatName val="0"/>
          <c:showSerName val="0"/>
          <c:showPercent val="0"/>
          <c:showBubbleSize val="0"/>
        </c:dLbls>
        <c:gapWidth val="150"/>
        <c:axId val="2102578712"/>
        <c:axId val="2102585160"/>
      </c:barChart>
      <c:catAx>
        <c:axId val="2102578712"/>
        <c:scaling>
          <c:orientation val="minMax"/>
        </c:scaling>
        <c:delete val="0"/>
        <c:axPos val="b"/>
        <c:title>
          <c:tx>
            <c:rich>
              <a:bodyPr rot="0" vert="horz"/>
              <a:lstStyle/>
              <a:p>
                <a:pPr>
                  <a:defRPr/>
                </a:pPr>
                <a:r>
                  <a:rPr lang="en-US"/>
                  <a:t>Age (Days)</a:t>
                </a:r>
              </a:p>
            </c:rich>
          </c:tx>
          <c:layout>
            <c:manualLayout>
              <c:xMode val="edge"/>
              <c:yMode val="edge"/>
              <c:x val="0.45637503037929766"/>
              <c:y val="0.85172934088248253"/>
            </c:manualLayout>
          </c:layout>
          <c:overlay val="0"/>
          <c:spPr>
            <a:noFill/>
            <a:ln>
              <a:noFill/>
            </a:ln>
            <a:effectLst/>
          </c:sp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102585160"/>
        <c:crosses val="autoZero"/>
        <c:auto val="1"/>
        <c:lblAlgn val="ctr"/>
        <c:lblOffset val="100"/>
        <c:noMultiLvlLbl val="0"/>
      </c:catAx>
      <c:valAx>
        <c:axId val="2102585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Compressive Strength (N/mm2)</a:t>
                </a:r>
              </a:p>
            </c:rich>
          </c:tx>
          <c:layout>
            <c:manualLayout>
              <c:xMode val="edge"/>
              <c:yMode val="edge"/>
              <c:x val="2.2537809703990799E-2"/>
              <c:y val="6.3655989118634307E-2"/>
            </c:manualLayout>
          </c:layout>
          <c:overlay val="0"/>
          <c:spPr>
            <a:noFill/>
            <a:ln>
              <a:noFill/>
            </a:ln>
            <a:effectLst/>
          </c:spPr>
        </c:title>
        <c:numFmt formatCode="0.0" sourceLinked="1"/>
        <c:majorTickMark val="none"/>
        <c:minorTickMark val="none"/>
        <c:tickLblPos val="nextTo"/>
        <c:spPr>
          <a:noFill/>
          <a:ln>
            <a:noFill/>
          </a:ln>
          <a:effectLst/>
        </c:spPr>
        <c:txPr>
          <a:bodyPr rot="-60000000" vert="horz"/>
          <a:lstStyle/>
          <a:p>
            <a:pPr>
              <a:defRPr/>
            </a:pPr>
            <a:endParaRPr lang="en-US"/>
          </a:p>
        </c:txPr>
        <c:crossAx val="2102578712"/>
        <c:crosses val="autoZero"/>
        <c:crossBetween val="between"/>
      </c:valAx>
      <c:spPr>
        <a:noFill/>
        <a:ln>
          <a:noFill/>
        </a:ln>
        <a:effectLst/>
      </c:spPr>
    </c:plotArea>
    <c:legend>
      <c:legendPos val="b"/>
      <c:layout>
        <c:manualLayout>
          <c:xMode val="edge"/>
          <c:yMode val="edge"/>
          <c:x val="9.8306661676758306E-2"/>
          <c:y val="0.92170018636353201"/>
          <c:w val="0.79581205539991084"/>
          <c:h val="7.8299813636467985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lgn="ctr">
        <a:defRPr sz="8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n-US"/>
              <a:t>Tensile strength of AHS replaced specimens at 91 days (N/mm2)</a:t>
            </a:r>
          </a:p>
        </c:rich>
      </c:tx>
      <c:overlay val="0"/>
      <c:spPr>
        <a:noFill/>
        <a:ln>
          <a:noFill/>
        </a:ln>
        <a:effectLst/>
      </c:spPr>
    </c:title>
    <c:autoTitleDeleted val="0"/>
    <c:plotArea>
      <c:layout/>
      <c:lineChart>
        <c:grouping val="standard"/>
        <c:varyColors val="0"/>
        <c:ser>
          <c:idx val="0"/>
          <c:order val="0"/>
          <c:tx>
            <c:v>AHS</c:v>
          </c:tx>
          <c:spPr>
            <a:ln w="9525" cap="rnd" cmpd="sng">
              <a:solidFill>
                <a:sysClr val="windowText" lastClr="000000"/>
              </a:solidFill>
              <a:prstDash val="solid"/>
              <a:round/>
            </a:ln>
            <a:effectLst/>
          </c:spPr>
          <c:marker>
            <c:symbol val="none"/>
          </c:marker>
          <c:cat>
            <c:numRef>
              <c:f>Anthills!$R$108:$Y$108</c:f>
              <c:numCache>
                <c:formatCode>General</c:formatCode>
                <c:ptCount val="8"/>
                <c:pt idx="0">
                  <c:v>0</c:v>
                </c:pt>
                <c:pt idx="1">
                  <c:v>5</c:v>
                </c:pt>
                <c:pt idx="2">
                  <c:v>7.5</c:v>
                </c:pt>
                <c:pt idx="3">
                  <c:v>10</c:v>
                </c:pt>
                <c:pt idx="4">
                  <c:v>15</c:v>
                </c:pt>
                <c:pt idx="5">
                  <c:v>20</c:v>
                </c:pt>
                <c:pt idx="6">
                  <c:v>25</c:v>
                </c:pt>
                <c:pt idx="7">
                  <c:v>30</c:v>
                </c:pt>
              </c:numCache>
            </c:numRef>
          </c:cat>
          <c:val>
            <c:numRef>
              <c:f>Anthills!$R$111:$Y$111</c:f>
              <c:numCache>
                <c:formatCode>0.0</c:formatCode>
                <c:ptCount val="8"/>
                <c:pt idx="0">
                  <c:v>3.6</c:v>
                </c:pt>
                <c:pt idx="1">
                  <c:v>3.9</c:v>
                </c:pt>
                <c:pt idx="2">
                  <c:v>3.9</c:v>
                </c:pt>
                <c:pt idx="3">
                  <c:v>3.7</c:v>
                </c:pt>
                <c:pt idx="4">
                  <c:v>3.5</c:v>
                </c:pt>
                <c:pt idx="5">
                  <c:v>3.4</c:v>
                </c:pt>
                <c:pt idx="6">
                  <c:v>3.1</c:v>
                </c:pt>
                <c:pt idx="7">
                  <c:v>3</c:v>
                </c:pt>
              </c:numCache>
            </c:numRef>
          </c:val>
          <c:smooth val="0"/>
          <c:extLst>
            <c:ext xmlns:c16="http://schemas.microsoft.com/office/drawing/2014/chart" uri="{C3380CC4-5D6E-409C-BE32-E72D297353CC}">
              <c16:uniqueId val="{00000000-DC51-49B7-87C3-C2924D969BDF}"/>
            </c:ext>
          </c:extLst>
        </c:ser>
        <c:dLbls>
          <c:showLegendKey val="0"/>
          <c:showVal val="0"/>
          <c:showCatName val="0"/>
          <c:showSerName val="0"/>
          <c:showPercent val="0"/>
          <c:showBubbleSize val="0"/>
        </c:dLbls>
        <c:smooth val="0"/>
        <c:axId val="2101029368"/>
        <c:axId val="2101035816"/>
      </c:lineChart>
      <c:catAx>
        <c:axId val="2101029368"/>
        <c:scaling>
          <c:orientation val="minMax"/>
        </c:scaling>
        <c:delete val="0"/>
        <c:axPos val="b"/>
        <c:title>
          <c:tx>
            <c:rich>
              <a:bodyPr rot="0" vert="horz"/>
              <a:lstStyle/>
              <a:p>
                <a:pPr>
                  <a:defRPr/>
                </a:pPr>
                <a:r>
                  <a:rPr lang="en-US"/>
                  <a:t>Percentage replacement</a:t>
                </a:r>
              </a:p>
            </c:rich>
          </c:tx>
          <c:layout>
            <c:manualLayout>
              <c:xMode val="edge"/>
              <c:yMode val="edge"/>
              <c:x val="0.41551086029952999"/>
              <c:y val="0.9384826327740920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101035816"/>
        <c:crosses val="autoZero"/>
        <c:auto val="1"/>
        <c:lblAlgn val="ctr"/>
        <c:lblOffset val="100"/>
        <c:noMultiLvlLbl val="0"/>
      </c:catAx>
      <c:valAx>
        <c:axId val="2101035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Tensile Strength (N/mm2)</a:t>
                </a:r>
              </a:p>
            </c:rich>
          </c:tx>
          <c:layout>
            <c:manualLayout>
              <c:xMode val="edge"/>
              <c:yMode val="edge"/>
              <c:x val="2.4706609017912291E-2"/>
              <c:y val="0.15969820811065699"/>
            </c:manualLayout>
          </c:layout>
          <c:overlay val="0"/>
          <c:spPr>
            <a:noFill/>
            <a:ln>
              <a:noFill/>
            </a:ln>
            <a:effectLst/>
          </c:spPr>
        </c:title>
        <c:numFmt formatCode="0.0" sourceLinked="1"/>
        <c:majorTickMark val="none"/>
        <c:minorTickMark val="none"/>
        <c:tickLblPos val="nextTo"/>
        <c:spPr>
          <a:noFill/>
          <a:ln>
            <a:noFill/>
          </a:ln>
          <a:effectLst/>
        </c:spPr>
        <c:txPr>
          <a:bodyPr rot="-60000000" vert="horz"/>
          <a:lstStyle/>
          <a:p>
            <a:pPr>
              <a:defRPr/>
            </a:pPr>
            <a:endParaRPr lang="en-US"/>
          </a:p>
        </c:txPr>
        <c:crossAx val="21010293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a:solidFill>
            <a:srgbClr val="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5428651703637"/>
          <c:y val="0.18277447026438801"/>
          <c:w val="0.76336556639403397"/>
          <c:h val="0.52399887059143202"/>
        </c:manualLayout>
      </c:layout>
      <c:lineChart>
        <c:grouping val="standard"/>
        <c:varyColors val="0"/>
        <c:ser>
          <c:idx val="2"/>
          <c:order val="0"/>
          <c:tx>
            <c:v>AHS</c:v>
          </c:tx>
          <c:spPr>
            <a:ln w="9525" cmpd="sng">
              <a:solidFill>
                <a:schemeClr val="tx1"/>
              </a:solidFill>
            </a:ln>
          </c:spPr>
          <c:marker>
            <c:symbol val="none"/>
          </c:marker>
          <c:cat>
            <c:numRef>
              <c:f>Anthills!$R$74:$Y$74</c:f>
              <c:numCache>
                <c:formatCode>General</c:formatCode>
                <c:ptCount val="8"/>
                <c:pt idx="0">
                  <c:v>0</c:v>
                </c:pt>
                <c:pt idx="1">
                  <c:v>5</c:v>
                </c:pt>
                <c:pt idx="2">
                  <c:v>7.5</c:v>
                </c:pt>
                <c:pt idx="3">
                  <c:v>10</c:v>
                </c:pt>
                <c:pt idx="4">
                  <c:v>15</c:v>
                </c:pt>
                <c:pt idx="5">
                  <c:v>20</c:v>
                </c:pt>
                <c:pt idx="6">
                  <c:v>25</c:v>
                </c:pt>
                <c:pt idx="7">
                  <c:v>30</c:v>
                </c:pt>
              </c:numCache>
            </c:numRef>
          </c:cat>
          <c:val>
            <c:numRef>
              <c:f>Anthills!$R$77:$Y$77</c:f>
              <c:numCache>
                <c:formatCode>0.0</c:formatCode>
                <c:ptCount val="8"/>
                <c:pt idx="0">
                  <c:v>15.690410514359881</c:v>
                </c:pt>
                <c:pt idx="1">
                  <c:v>16.67322834645671</c:v>
                </c:pt>
                <c:pt idx="2">
                  <c:v>18.220973782771541</c:v>
                </c:pt>
                <c:pt idx="3">
                  <c:v>20.869565217391312</c:v>
                </c:pt>
                <c:pt idx="4">
                  <c:v>24.654377880184342</c:v>
                </c:pt>
                <c:pt idx="5">
                  <c:v>26.744186046511611</c:v>
                </c:pt>
                <c:pt idx="6">
                  <c:v>28.26589595375723</c:v>
                </c:pt>
                <c:pt idx="7">
                  <c:v>31.249999999999989</c:v>
                </c:pt>
              </c:numCache>
            </c:numRef>
          </c:val>
          <c:smooth val="0"/>
          <c:extLst>
            <c:ext xmlns:c16="http://schemas.microsoft.com/office/drawing/2014/chart" uri="{C3380CC4-5D6E-409C-BE32-E72D297353CC}">
              <c16:uniqueId val="{00000000-6E70-4073-AAFB-3A15BD58F7F1}"/>
            </c:ext>
          </c:extLst>
        </c:ser>
        <c:dLbls>
          <c:showLegendKey val="0"/>
          <c:showVal val="0"/>
          <c:showCatName val="0"/>
          <c:showSerName val="0"/>
          <c:showPercent val="0"/>
          <c:showBubbleSize val="0"/>
        </c:dLbls>
        <c:smooth val="0"/>
        <c:axId val="2101535560"/>
        <c:axId val="2101542104"/>
      </c:lineChart>
      <c:catAx>
        <c:axId val="2101535560"/>
        <c:scaling>
          <c:orientation val="minMax"/>
        </c:scaling>
        <c:delete val="0"/>
        <c:axPos val="b"/>
        <c:title>
          <c:tx>
            <c:rich>
              <a:bodyPr rot="0" vert="horz"/>
              <a:lstStyle/>
              <a:p>
                <a:pPr>
                  <a:defRPr sz="800" b="0" i="0">
                    <a:latin typeface="Times New Roman"/>
                    <a:cs typeface="Times New Roman"/>
                  </a:defRPr>
                </a:pPr>
                <a:r>
                  <a:rPr lang="en-US" sz="800" b="0" i="0">
                    <a:latin typeface="Times New Roman"/>
                    <a:cs typeface="Times New Roman"/>
                  </a:rPr>
                  <a:t>Percentage replacement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b="0" i="0">
                <a:latin typeface="Times New Roman"/>
                <a:cs typeface="Times New Roman"/>
              </a:defRPr>
            </a:pPr>
            <a:endParaRPr lang="en-US"/>
          </a:p>
        </c:txPr>
        <c:crossAx val="2101542104"/>
        <c:crosses val="autoZero"/>
        <c:auto val="1"/>
        <c:lblAlgn val="ctr"/>
        <c:lblOffset val="100"/>
        <c:noMultiLvlLbl val="0"/>
      </c:catAx>
      <c:valAx>
        <c:axId val="2101542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sz="800" b="0" i="0">
                    <a:latin typeface="Times New Roman"/>
                    <a:cs typeface="Times New Roman"/>
                  </a:defRPr>
                </a:pPr>
                <a:r>
                  <a:rPr lang="en-US" sz="800" b="0" i="0">
                    <a:latin typeface="Times New Roman"/>
                    <a:cs typeface="Times New Roman"/>
                  </a:rPr>
                  <a:t>Percentage incrrease in compressive strength</a:t>
                </a:r>
              </a:p>
            </c:rich>
          </c:tx>
          <c:layout>
            <c:manualLayout>
              <c:xMode val="edge"/>
              <c:yMode val="edge"/>
              <c:x val="0"/>
              <c:y val="0.168987120071841"/>
            </c:manualLayout>
          </c:layout>
          <c:overlay val="0"/>
          <c:spPr>
            <a:noFill/>
            <a:ln>
              <a:noFill/>
            </a:ln>
            <a:effectLst/>
          </c:spPr>
        </c:title>
        <c:numFmt formatCode="0.0" sourceLinked="1"/>
        <c:majorTickMark val="none"/>
        <c:minorTickMark val="none"/>
        <c:tickLblPos val="nextTo"/>
        <c:spPr>
          <a:noFill/>
          <a:ln>
            <a:noFill/>
          </a:ln>
          <a:effectLst/>
        </c:spPr>
        <c:txPr>
          <a:bodyPr rot="-60000000" vert="horz"/>
          <a:lstStyle/>
          <a:p>
            <a:pPr>
              <a:defRPr sz="800" b="0" i="0">
                <a:latin typeface="Times New Roman"/>
                <a:cs typeface="Times New Roman"/>
              </a:defRPr>
            </a:pPr>
            <a:endParaRPr lang="en-US"/>
          </a:p>
        </c:txPr>
        <c:crossAx val="21015355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rgbClr val="000000"/>
          </a:solidFill>
        </a:defRPr>
      </a:pPr>
      <a:endParaRPr lang="en-US"/>
    </a:p>
  </c:txPr>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61A6A6-6C24-4EEF-8A56-0E7B09586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7</Pages>
  <Words>4850</Words>
  <Characters>27649</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zaratushtra</dc:creator>
  <cp:keywords/>
  <dc:description/>
  <cp:lastModifiedBy>Kangwa, Joseph 2</cp:lastModifiedBy>
  <cp:revision>19</cp:revision>
  <cp:lastPrinted>2017-05-22T07:51:00Z</cp:lastPrinted>
  <dcterms:created xsi:type="dcterms:W3CDTF">2018-07-17T17:49:00Z</dcterms:created>
  <dcterms:modified xsi:type="dcterms:W3CDTF">2018-07-18T07:23:00Z</dcterms:modified>
</cp:coreProperties>
</file>