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970" w:rsidRPr="00541991" w:rsidRDefault="00CC4970" w:rsidP="00A206D0">
      <w:pPr>
        <w:pStyle w:val="NormalWeb"/>
        <w:spacing w:before="0" w:beforeAutospacing="0" w:after="0" w:afterAutospacing="0" w:line="360" w:lineRule="auto"/>
        <w:jc w:val="both"/>
        <w:rPr>
          <w:rFonts w:ascii="Arial" w:hAnsi="Arial" w:cs="Arial"/>
        </w:rPr>
      </w:pPr>
      <w:r w:rsidRPr="00541991">
        <w:rPr>
          <w:rFonts w:ascii="Arial" w:hAnsi="Arial" w:cs="Arial"/>
        </w:rPr>
        <w:t>Expertise in an uncertain world: the role of expert knowledge in addressing environmental and planning challenges</w:t>
      </w:r>
    </w:p>
    <w:p w:rsidR="00740143" w:rsidRPr="00541991" w:rsidRDefault="00740143" w:rsidP="00A206D0">
      <w:pPr>
        <w:pStyle w:val="NormalWeb"/>
        <w:spacing w:before="0" w:beforeAutospacing="0" w:after="0" w:afterAutospacing="0" w:line="360" w:lineRule="auto"/>
        <w:jc w:val="both"/>
        <w:rPr>
          <w:rFonts w:ascii="Arial" w:hAnsi="Arial" w:cs="Arial"/>
        </w:rPr>
      </w:pPr>
    </w:p>
    <w:p w:rsidR="00B35190" w:rsidRPr="00541991" w:rsidRDefault="00B35190" w:rsidP="00A206D0">
      <w:pPr>
        <w:pStyle w:val="NormalWeb"/>
        <w:spacing w:before="0" w:beforeAutospacing="0" w:after="0" w:afterAutospacing="0" w:line="360" w:lineRule="auto"/>
        <w:jc w:val="both"/>
        <w:rPr>
          <w:rFonts w:ascii="Arial" w:hAnsi="Arial" w:cs="Arial"/>
        </w:rPr>
      </w:pPr>
      <w:r w:rsidRPr="00541991">
        <w:rPr>
          <w:rFonts w:ascii="Arial" w:hAnsi="Arial" w:cs="Arial"/>
        </w:rPr>
        <w:t>Sophie Elsmore* and Alina Congreve**</w:t>
      </w:r>
    </w:p>
    <w:p w:rsidR="00B35190" w:rsidRPr="00541991" w:rsidRDefault="00B35190" w:rsidP="00A206D0">
      <w:pPr>
        <w:pStyle w:val="NormalWeb"/>
        <w:spacing w:before="0" w:beforeAutospacing="0" w:after="0" w:afterAutospacing="0" w:line="360" w:lineRule="auto"/>
        <w:jc w:val="both"/>
        <w:rPr>
          <w:rFonts w:ascii="Arial" w:hAnsi="Arial" w:cs="Arial"/>
        </w:rPr>
      </w:pPr>
    </w:p>
    <w:p w:rsidR="00B35190" w:rsidRPr="00541991" w:rsidRDefault="00B35190" w:rsidP="00A206D0">
      <w:pPr>
        <w:pStyle w:val="NormalWeb"/>
        <w:spacing w:before="0" w:beforeAutospacing="0" w:after="0" w:afterAutospacing="0" w:line="360" w:lineRule="auto"/>
        <w:jc w:val="both"/>
        <w:rPr>
          <w:rFonts w:ascii="Arial" w:hAnsi="Arial" w:cs="Arial"/>
        </w:rPr>
      </w:pPr>
      <w:r w:rsidRPr="00541991">
        <w:rPr>
          <w:rFonts w:ascii="Arial" w:hAnsi="Arial" w:cs="Arial"/>
        </w:rPr>
        <w:t>*Division of Urban, Environment and Leisure Studies, London South Bank University, London, United Kingdom, email: elsmores@lsbu.ac.uk</w:t>
      </w:r>
    </w:p>
    <w:p w:rsidR="00B35190" w:rsidRPr="00541991" w:rsidRDefault="00B35190" w:rsidP="00A206D0">
      <w:pPr>
        <w:pStyle w:val="NormalWeb"/>
        <w:spacing w:before="0" w:beforeAutospacing="0" w:after="0" w:afterAutospacing="0" w:line="360" w:lineRule="auto"/>
        <w:jc w:val="both"/>
        <w:rPr>
          <w:rFonts w:ascii="Arial" w:hAnsi="Arial" w:cs="Arial"/>
        </w:rPr>
      </w:pPr>
    </w:p>
    <w:p w:rsidR="00B35190" w:rsidRPr="00541991" w:rsidRDefault="00750189" w:rsidP="00A206D0">
      <w:pPr>
        <w:pStyle w:val="NormalWeb"/>
        <w:spacing w:before="0" w:beforeAutospacing="0" w:after="0" w:afterAutospacing="0" w:line="360" w:lineRule="auto"/>
        <w:jc w:val="both"/>
        <w:rPr>
          <w:rFonts w:ascii="Arial" w:hAnsi="Arial" w:cs="Arial"/>
        </w:rPr>
      </w:pPr>
      <w:r w:rsidRPr="00541991">
        <w:rPr>
          <w:rFonts w:ascii="Arial" w:hAnsi="Arial" w:cs="Arial"/>
        </w:rPr>
        <w:t>**Independent Researcher, alina@congrevemail.co.uk</w:t>
      </w:r>
    </w:p>
    <w:p w:rsidR="00B35190" w:rsidRPr="00541991" w:rsidRDefault="00B35190" w:rsidP="00A206D0">
      <w:pPr>
        <w:pStyle w:val="NormalWeb"/>
        <w:spacing w:before="0" w:beforeAutospacing="0" w:after="0" w:afterAutospacing="0" w:line="360" w:lineRule="auto"/>
        <w:jc w:val="both"/>
        <w:rPr>
          <w:rFonts w:ascii="Arial" w:hAnsi="Arial" w:cs="Arial"/>
        </w:rPr>
      </w:pPr>
    </w:p>
    <w:p w:rsidR="00740143" w:rsidRPr="00541991" w:rsidRDefault="00740143" w:rsidP="00A206D0">
      <w:pPr>
        <w:pStyle w:val="NormalWeb"/>
        <w:spacing w:before="0" w:beforeAutospacing="0" w:after="0" w:afterAutospacing="0" w:line="360" w:lineRule="auto"/>
        <w:jc w:val="both"/>
        <w:rPr>
          <w:rFonts w:ascii="Arial" w:hAnsi="Arial" w:cs="Arial"/>
        </w:rPr>
      </w:pPr>
      <w:r w:rsidRPr="00541991">
        <w:rPr>
          <w:rFonts w:ascii="Arial" w:hAnsi="Arial" w:cs="Arial"/>
        </w:rPr>
        <w:t>Abstract:</w:t>
      </w:r>
    </w:p>
    <w:p w:rsidR="005735D9" w:rsidRPr="00541991" w:rsidRDefault="00740143" w:rsidP="00A206D0">
      <w:pPr>
        <w:pStyle w:val="NormalWeb"/>
        <w:spacing w:before="0" w:beforeAutospacing="0" w:after="0" w:afterAutospacing="0" w:line="360" w:lineRule="auto"/>
        <w:jc w:val="both"/>
        <w:rPr>
          <w:rFonts w:ascii="Arial" w:hAnsi="Arial" w:cs="Arial"/>
        </w:rPr>
      </w:pPr>
      <w:r w:rsidRPr="00541991">
        <w:rPr>
          <w:rFonts w:ascii="Arial" w:hAnsi="Arial" w:cs="Arial"/>
        </w:rPr>
        <w:t>This special section addresses the geographies of knowledge and expertise across contemporary environmental and planning challenges. Understanding the changing role of expert knowledge and how it weaves its way into policy and decision-making is more important than ever given the mamm</w:t>
      </w:r>
      <w:r w:rsidR="00D0383D" w:rsidRPr="00541991">
        <w:rPr>
          <w:rFonts w:ascii="Arial" w:hAnsi="Arial" w:cs="Arial"/>
        </w:rPr>
        <w:t>oth challenges we face</w:t>
      </w:r>
      <w:r w:rsidRPr="00541991">
        <w:rPr>
          <w:rFonts w:ascii="Arial" w:hAnsi="Arial" w:cs="Arial"/>
        </w:rPr>
        <w:t xml:space="preserve">. </w:t>
      </w:r>
      <w:r w:rsidR="00DD40D0" w:rsidRPr="00541991">
        <w:rPr>
          <w:rFonts w:ascii="Arial" w:hAnsi="Arial" w:cs="Arial"/>
        </w:rPr>
        <w:t xml:space="preserve">Different forms of expertise can </w:t>
      </w:r>
      <w:r w:rsidR="005735D9" w:rsidRPr="00541991">
        <w:rPr>
          <w:rFonts w:ascii="Arial" w:hAnsi="Arial" w:cs="Arial"/>
        </w:rPr>
        <w:t xml:space="preserve">often </w:t>
      </w:r>
      <w:r w:rsidR="00DD40D0" w:rsidRPr="00541991">
        <w:rPr>
          <w:rFonts w:ascii="Arial" w:hAnsi="Arial" w:cs="Arial"/>
        </w:rPr>
        <w:t xml:space="preserve">be conflicting and competing with one another, reflecting the power relations </w:t>
      </w:r>
      <w:r w:rsidR="008F6DEC" w:rsidRPr="00541991">
        <w:rPr>
          <w:rFonts w:ascii="Arial" w:hAnsi="Arial" w:cs="Arial"/>
        </w:rPr>
        <w:t>underpinning their deployment.</w:t>
      </w:r>
      <w:r w:rsidR="00DD40D0" w:rsidRPr="00541991">
        <w:rPr>
          <w:rFonts w:ascii="Arial" w:hAnsi="Arial" w:cs="Arial"/>
        </w:rPr>
        <w:t xml:space="preserve"> </w:t>
      </w:r>
      <w:r w:rsidRPr="00541991">
        <w:rPr>
          <w:rFonts w:ascii="Arial" w:hAnsi="Arial" w:cs="Arial"/>
        </w:rPr>
        <w:t xml:space="preserve">The four papers </w:t>
      </w:r>
      <w:r w:rsidR="00124510" w:rsidRPr="00541991">
        <w:rPr>
          <w:rFonts w:ascii="Arial" w:hAnsi="Arial" w:cs="Arial"/>
        </w:rPr>
        <w:t xml:space="preserve">in this special section </w:t>
      </w:r>
      <w:r w:rsidR="008F3EB6" w:rsidRPr="00541991">
        <w:rPr>
          <w:rFonts w:ascii="Arial" w:hAnsi="Arial" w:cs="Arial"/>
        </w:rPr>
        <w:t xml:space="preserve">from geography and planning </w:t>
      </w:r>
      <w:r w:rsidRPr="00541991">
        <w:rPr>
          <w:rFonts w:ascii="Arial" w:hAnsi="Arial" w:cs="Arial"/>
        </w:rPr>
        <w:t xml:space="preserve">speak to the diverse knowledge claims and networks of expertise that shape and seek to challenge contemporary decision-making. </w:t>
      </w:r>
      <w:r w:rsidR="00476BF2" w:rsidRPr="00541991">
        <w:rPr>
          <w:rFonts w:ascii="Arial" w:hAnsi="Arial" w:cs="Arial"/>
        </w:rPr>
        <w:t>The special section reflects on how embedded expertise operates across different sectors and scales. It pays attention to how expertise can become destabilized across particular geographies, as the mobility of knowledge generated in one context is deployed elsewhere. By attending to the multiplicities of knowledge at play across environmental and planning challenges, the papers break down the assumption that there is a single form of expertise.</w:t>
      </w:r>
    </w:p>
    <w:p w:rsidR="00DD40D0" w:rsidRPr="00541991" w:rsidRDefault="00DD40D0" w:rsidP="00A206D0">
      <w:pPr>
        <w:pStyle w:val="NormalWeb"/>
        <w:spacing w:before="0" w:beforeAutospacing="0" w:after="0" w:afterAutospacing="0" w:line="360" w:lineRule="auto"/>
        <w:jc w:val="both"/>
        <w:rPr>
          <w:rFonts w:ascii="Arial" w:hAnsi="Arial" w:cs="Arial"/>
        </w:rPr>
      </w:pPr>
    </w:p>
    <w:p w:rsidR="00CC4970" w:rsidRPr="00541991" w:rsidRDefault="00DD40D0" w:rsidP="00A206D0">
      <w:pPr>
        <w:pStyle w:val="NormalWeb"/>
        <w:spacing w:before="0" w:beforeAutospacing="0" w:after="0" w:afterAutospacing="0" w:line="360" w:lineRule="auto"/>
        <w:jc w:val="both"/>
        <w:rPr>
          <w:rFonts w:ascii="Arial" w:hAnsi="Arial" w:cs="Arial"/>
        </w:rPr>
      </w:pPr>
      <w:r w:rsidRPr="00541991">
        <w:rPr>
          <w:rFonts w:ascii="Arial" w:hAnsi="Arial" w:cs="Arial"/>
        </w:rPr>
        <w:t xml:space="preserve">Key words: </w:t>
      </w:r>
      <w:r w:rsidR="002B363F" w:rsidRPr="00541991">
        <w:rPr>
          <w:rFonts w:ascii="Arial" w:hAnsi="Arial" w:cs="Arial"/>
        </w:rPr>
        <w:t>expert knowledge; knowledge utilization</w:t>
      </w:r>
      <w:r w:rsidRPr="00541991">
        <w:rPr>
          <w:rFonts w:ascii="Arial" w:hAnsi="Arial" w:cs="Arial"/>
        </w:rPr>
        <w:t>;</w:t>
      </w:r>
      <w:r w:rsidR="002B363F" w:rsidRPr="00541991">
        <w:rPr>
          <w:rFonts w:ascii="Arial" w:hAnsi="Arial" w:cs="Arial"/>
        </w:rPr>
        <w:t xml:space="preserve"> </w:t>
      </w:r>
      <w:r w:rsidRPr="00541991">
        <w:rPr>
          <w:rFonts w:ascii="Arial" w:hAnsi="Arial" w:cs="Arial"/>
        </w:rPr>
        <w:t xml:space="preserve">expertise; power; </w:t>
      </w:r>
      <w:r w:rsidR="002B363F" w:rsidRPr="00541991">
        <w:rPr>
          <w:rFonts w:ascii="Arial" w:hAnsi="Arial" w:cs="Arial"/>
        </w:rPr>
        <w:t xml:space="preserve">politics of </w:t>
      </w:r>
      <w:r w:rsidR="007A3794" w:rsidRPr="00541991">
        <w:rPr>
          <w:rFonts w:ascii="Arial" w:hAnsi="Arial" w:cs="Arial"/>
        </w:rPr>
        <w:t>knowledge.</w:t>
      </w:r>
    </w:p>
    <w:p w:rsidR="00DD40D0" w:rsidRPr="00541991" w:rsidRDefault="00DD40D0" w:rsidP="00A206D0">
      <w:pPr>
        <w:pStyle w:val="NormalWeb"/>
        <w:spacing w:before="0" w:beforeAutospacing="0" w:after="0" w:afterAutospacing="0" w:line="360" w:lineRule="auto"/>
        <w:jc w:val="both"/>
        <w:rPr>
          <w:rFonts w:ascii="Arial" w:hAnsi="Arial" w:cs="Arial"/>
        </w:rPr>
      </w:pPr>
    </w:p>
    <w:p w:rsidR="00DD40D0" w:rsidRPr="00541991" w:rsidRDefault="00DD40D0" w:rsidP="00A206D0">
      <w:pPr>
        <w:pStyle w:val="NormalWeb"/>
        <w:spacing w:before="0" w:beforeAutospacing="0" w:after="0" w:afterAutospacing="0" w:line="360" w:lineRule="auto"/>
        <w:jc w:val="both"/>
        <w:rPr>
          <w:rFonts w:ascii="Arial" w:hAnsi="Arial" w:cs="Arial"/>
        </w:rPr>
      </w:pPr>
    </w:p>
    <w:p w:rsidR="00DD40D0" w:rsidRPr="00541991" w:rsidRDefault="00DD40D0" w:rsidP="00A206D0">
      <w:pPr>
        <w:pStyle w:val="NormalWeb"/>
        <w:spacing w:before="0" w:beforeAutospacing="0" w:after="0" w:afterAutospacing="0" w:line="360" w:lineRule="auto"/>
        <w:jc w:val="both"/>
        <w:rPr>
          <w:rFonts w:ascii="Arial" w:hAnsi="Arial" w:cs="Arial"/>
        </w:rPr>
      </w:pPr>
    </w:p>
    <w:p w:rsidR="00DD40D0" w:rsidRPr="00541991" w:rsidRDefault="00DD40D0" w:rsidP="00A206D0">
      <w:pPr>
        <w:pStyle w:val="NormalWeb"/>
        <w:spacing w:before="0" w:beforeAutospacing="0" w:after="0" w:afterAutospacing="0" w:line="360" w:lineRule="auto"/>
        <w:jc w:val="both"/>
        <w:rPr>
          <w:rFonts w:ascii="Arial" w:hAnsi="Arial" w:cs="Arial"/>
        </w:rPr>
      </w:pPr>
    </w:p>
    <w:p w:rsidR="00DD40D0" w:rsidRPr="00541991" w:rsidRDefault="00DD40D0" w:rsidP="00A206D0">
      <w:pPr>
        <w:pStyle w:val="NormalWeb"/>
        <w:spacing w:before="0" w:beforeAutospacing="0" w:after="0" w:afterAutospacing="0" w:line="360" w:lineRule="auto"/>
        <w:jc w:val="both"/>
        <w:rPr>
          <w:rFonts w:ascii="Arial" w:hAnsi="Arial" w:cs="Arial"/>
        </w:rPr>
      </w:pPr>
    </w:p>
    <w:p w:rsidR="00541991" w:rsidRDefault="00541991" w:rsidP="00A206D0">
      <w:pPr>
        <w:spacing w:line="360" w:lineRule="auto"/>
        <w:jc w:val="both"/>
        <w:rPr>
          <w:rFonts w:ascii="Arial" w:hAnsi="Arial" w:cs="Arial"/>
        </w:rPr>
      </w:pPr>
    </w:p>
    <w:p w:rsidR="00BA5889" w:rsidRPr="00541991" w:rsidRDefault="00BA5889" w:rsidP="00A206D0">
      <w:pPr>
        <w:spacing w:line="360" w:lineRule="auto"/>
        <w:jc w:val="both"/>
        <w:rPr>
          <w:rFonts w:ascii="Arial" w:hAnsi="Arial" w:cs="Arial"/>
        </w:rPr>
      </w:pPr>
      <w:r w:rsidRPr="00541991">
        <w:rPr>
          <w:rFonts w:ascii="Arial" w:hAnsi="Arial" w:cs="Arial"/>
        </w:rPr>
        <w:lastRenderedPageBreak/>
        <w:t>1.0: Introduction</w:t>
      </w:r>
    </w:p>
    <w:p w:rsidR="000C6442" w:rsidRPr="00541991" w:rsidRDefault="00BA5889" w:rsidP="00A206D0">
      <w:pPr>
        <w:spacing w:line="360" w:lineRule="auto"/>
        <w:jc w:val="both"/>
        <w:rPr>
          <w:rFonts w:ascii="Arial" w:hAnsi="Arial" w:cs="Arial"/>
        </w:rPr>
      </w:pPr>
      <w:r w:rsidRPr="00541991">
        <w:rPr>
          <w:rFonts w:ascii="Arial" w:hAnsi="Arial" w:cs="Arial"/>
        </w:rPr>
        <w:t>Policy and decision-makers today face unprecedented challenges. Tackling the climate emergency and protecting the environment, providing access to good quality and affordable housing, supporting the delivery of national and local infrastructure, and delivering essential public services (</w:t>
      </w:r>
      <w:proofErr w:type="spellStart"/>
      <w:r w:rsidRPr="00541991">
        <w:rPr>
          <w:rFonts w:ascii="Arial" w:hAnsi="Arial" w:cs="Arial"/>
        </w:rPr>
        <w:t>Mintrom</w:t>
      </w:r>
      <w:proofErr w:type="spellEnd"/>
      <w:r w:rsidRPr="00541991">
        <w:rPr>
          <w:rFonts w:ascii="Arial" w:hAnsi="Arial" w:cs="Arial"/>
        </w:rPr>
        <w:t xml:space="preserve">, 2017; </w:t>
      </w:r>
      <w:proofErr w:type="spellStart"/>
      <w:r w:rsidRPr="00541991">
        <w:rPr>
          <w:rFonts w:ascii="Arial" w:hAnsi="Arial" w:cs="Arial"/>
        </w:rPr>
        <w:t>Pepinksy</w:t>
      </w:r>
      <w:proofErr w:type="spellEnd"/>
      <w:r w:rsidRPr="00541991">
        <w:rPr>
          <w:rFonts w:ascii="Arial" w:hAnsi="Arial" w:cs="Arial"/>
        </w:rPr>
        <w:t xml:space="preserve">, 2020; </w:t>
      </w:r>
      <w:proofErr w:type="spellStart"/>
      <w:r w:rsidRPr="00541991">
        <w:rPr>
          <w:rFonts w:ascii="Arial" w:hAnsi="Arial" w:cs="Arial"/>
        </w:rPr>
        <w:t>Markard</w:t>
      </w:r>
      <w:proofErr w:type="spellEnd"/>
      <w:r w:rsidRPr="00541991">
        <w:rPr>
          <w:rFonts w:ascii="Arial" w:hAnsi="Arial" w:cs="Arial"/>
        </w:rPr>
        <w:t xml:space="preserve">, 2020). </w:t>
      </w:r>
      <w:r w:rsidR="00C77009" w:rsidRPr="00541991">
        <w:rPr>
          <w:rFonts w:ascii="Arial" w:hAnsi="Arial" w:cs="Arial"/>
        </w:rPr>
        <w:t>T</w:t>
      </w:r>
      <w:r w:rsidRPr="00541991">
        <w:rPr>
          <w:rFonts w:ascii="Arial" w:hAnsi="Arial" w:cs="Arial"/>
        </w:rPr>
        <w:t xml:space="preserve">he Covid-19 pandemic </w:t>
      </w:r>
      <w:r w:rsidR="00903D5E" w:rsidRPr="00541991">
        <w:rPr>
          <w:rFonts w:ascii="Arial" w:hAnsi="Arial" w:cs="Arial"/>
        </w:rPr>
        <w:t xml:space="preserve">in particular </w:t>
      </w:r>
      <w:r w:rsidRPr="00541991">
        <w:rPr>
          <w:rFonts w:ascii="Arial" w:hAnsi="Arial" w:cs="Arial"/>
        </w:rPr>
        <w:t xml:space="preserve">has </w:t>
      </w:r>
      <w:r w:rsidR="00AA6F45" w:rsidRPr="00541991">
        <w:rPr>
          <w:rFonts w:ascii="Arial" w:hAnsi="Arial" w:cs="Arial"/>
        </w:rPr>
        <w:t xml:space="preserve">brought to the fore </w:t>
      </w:r>
      <w:r w:rsidRPr="00541991">
        <w:rPr>
          <w:rFonts w:ascii="Arial" w:hAnsi="Arial" w:cs="Arial"/>
        </w:rPr>
        <w:t xml:space="preserve">the stark inequalities </w:t>
      </w:r>
      <w:r w:rsidR="00C77009" w:rsidRPr="00541991">
        <w:rPr>
          <w:rFonts w:ascii="Arial" w:hAnsi="Arial" w:cs="Arial"/>
        </w:rPr>
        <w:t xml:space="preserve">that </w:t>
      </w:r>
      <w:r w:rsidR="00002A63" w:rsidRPr="00541991">
        <w:rPr>
          <w:rFonts w:ascii="Arial" w:hAnsi="Arial" w:cs="Arial"/>
        </w:rPr>
        <w:t xml:space="preserve">have long </w:t>
      </w:r>
      <w:r w:rsidR="00C77009" w:rsidRPr="00541991">
        <w:rPr>
          <w:rFonts w:ascii="Arial" w:hAnsi="Arial" w:cs="Arial"/>
        </w:rPr>
        <w:t>exis</w:t>
      </w:r>
      <w:r w:rsidR="00002A63" w:rsidRPr="00541991">
        <w:rPr>
          <w:rFonts w:ascii="Arial" w:hAnsi="Arial" w:cs="Arial"/>
        </w:rPr>
        <w:t>ted</w:t>
      </w:r>
      <w:r w:rsidR="00B41EED" w:rsidRPr="00541991">
        <w:rPr>
          <w:rFonts w:ascii="Arial" w:hAnsi="Arial" w:cs="Arial"/>
        </w:rPr>
        <w:t xml:space="preserve"> across our society</w:t>
      </w:r>
      <w:r w:rsidR="00C77009" w:rsidRPr="00541991">
        <w:rPr>
          <w:rFonts w:ascii="Arial" w:hAnsi="Arial" w:cs="Arial"/>
        </w:rPr>
        <w:t>, while also refocusing our at</w:t>
      </w:r>
      <w:r w:rsidR="0001582B" w:rsidRPr="00541991">
        <w:rPr>
          <w:rFonts w:ascii="Arial" w:hAnsi="Arial" w:cs="Arial"/>
        </w:rPr>
        <w:t>tention on the role of expert</w:t>
      </w:r>
      <w:r w:rsidR="00C77009" w:rsidRPr="00541991">
        <w:rPr>
          <w:rFonts w:ascii="Arial" w:hAnsi="Arial" w:cs="Arial"/>
        </w:rPr>
        <w:t xml:space="preserve"> knowledge within public policy making </w:t>
      </w:r>
      <w:r w:rsidRPr="00541991">
        <w:rPr>
          <w:rFonts w:ascii="Arial" w:hAnsi="Arial" w:cs="Arial"/>
        </w:rPr>
        <w:t>(</w:t>
      </w:r>
      <w:proofErr w:type="spellStart"/>
      <w:r w:rsidRPr="00541991">
        <w:rPr>
          <w:rFonts w:ascii="Arial" w:hAnsi="Arial" w:cs="Arial"/>
        </w:rPr>
        <w:t>Contestabile</w:t>
      </w:r>
      <w:proofErr w:type="spellEnd"/>
      <w:r w:rsidRPr="00541991">
        <w:rPr>
          <w:rFonts w:ascii="Arial" w:hAnsi="Arial" w:cs="Arial"/>
        </w:rPr>
        <w:t xml:space="preserve">, 2021). </w:t>
      </w:r>
    </w:p>
    <w:p w:rsidR="000C6442" w:rsidRPr="00541991" w:rsidRDefault="000C6442" w:rsidP="00A206D0">
      <w:pPr>
        <w:spacing w:line="360" w:lineRule="auto"/>
        <w:jc w:val="both"/>
        <w:rPr>
          <w:rFonts w:ascii="Arial" w:hAnsi="Arial" w:cs="Arial"/>
        </w:rPr>
      </w:pPr>
    </w:p>
    <w:p w:rsidR="000C6442" w:rsidRPr="00541991" w:rsidRDefault="00BA5889" w:rsidP="00A206D0">
      <w:pPr>
        <w:spacing w:line="360" w:lineRule="auto"/>
        <w:jc w:val="both"/>
        <w:rPr>
          <w:rFonts w:ascii="Arial" w:hAnsi="Arial" w:cs="Arial"/>
        </w:rPr>
      </w:pPr>
      <w:r w:rsidRPr="00541991">
        <w:rPr>
          <w:rFonts w:ascii="Arial" w:hAnsi="Arial" w:cs="Arial"/>
        </w:rPr>
        <w:t xml:space="preserve">This special section brings together four papers addressing the geographies of knowledge and expertise across contemporary environmental and planning challenges. </w:t>
      </w:r>
      <w:r w:rsidR="003A130F" w:rsidRPr="00541991">
        <w:rPr>
          <w:rFonts w:ascii="Arial" w:hAnsi="Arial" w:cs="Arial"/>
        </w:rPr>
        <w:t xml:space="preserve">Palmer (2019) </w:t>
      </w:r>
      <w:r w:rsidR="00C77009" w:rsidRPr="00541991">
        <w:rPr>
          <w:rFonts w:ascii="Arial" w:hAnsi="Arial" w:cs="Arial"/>
        </w:rPr>
        <w:t>reveals</w:t>
      </w:r>
      <w:r w:rsidR="003A130F" w:rsidRPr="00541991">
        <w:rPr>
          <w:rFonts w:ascii="Arial" w:hAnsi="Arial" w:cs="Arial"/>
        </w:rPr>
        <w:t xml:space="preserve"> the contested nature of environmental expertise </w:t>
      </w:r>
      <w:r w:rsidR="00C77009" w:rsidRPr="00541991">
        <w:rPr>
          <w:rFonts w:ascii="Arial" w:hAnsi="Arial" w:cs="Arial"/>
        </w:rPr>
        <w:t>following</w:t>
      </w:r>
      <w:r w:rsidR="003A130F" w:rsidRPr="00541991">
        <w:rPr>
          <w:rFonts w:ascii="Arial" w:hAnsi="Arial" w:cs="Arial"/>
        </w:rPr>
        <w:t xml:space="preserve"> the </w:t>
      </w:r>
      <w:proofErr w:type="spellStart"/>
      <w:r w:rsidR="003A130F" w:rsidRPr="00541991">
        <w:rPr>
          <w:rFonts w:ascii="Arial" w:hAnsi="Arial" w:cs="Arial"/>
        </w:rPr>
        <w:t>Dieslegate</w:t>
      </w:r>
      <w:proofErr w:type="spellEnd"/>
      <w:r w:rsidR="003A130F" w:rsidRPr="00541991">
        <w:rPr>
          <w:rFonts w:ascii="Arial" w:hAnsi="Arial" w:cs="Arial"/>
        </w:rPr>
        <w:t xml:space="preserve"> scandal. Cross</w:t>
      </w:r>
      <w:r w:rsidR="00C77009" w:rsidRPr="00541991">
        <w:rPr>
          <w:rFonts w:ascii="Arial" w:hAnsi="Arial" w:cs="Arial"/>
        </w:rPr>
        <w:t>’</w:t>
      </w:r>
      <w:r w:rsidR="003A130F" w:rsidRPr="00541991">
        <w:rPr>
          <w:rFonts w:ascii="Arial" w:hAnsi="Arial" w:cs="Arial"/>
        </w:rPr>
        <w:t xml:space="preserve"> (2019)</w:t>
      </w:r>
      <w:r w:rsidR="00C77009" w:rsidRPr="00541991">
        <w:rPr>
          <w:rFonts w:ascii="Arial" w:hAnsi="Arial" w:cs="Arial"/>
        </w:rPr>
        <w:t xml:space="preserve"> study of freshwater pollution shows how citizen science can influence policy and decision-making. </w:t>
      </w:r>
      <w:r w:rsidR="003A130F" w:rsidRPr="00541991">
        <w:rPr>
          <w:rFonts w:ascii="Arial" w:hAnsi="Arial" w:cs="Arial"/>
        </w:rPr>
        <w:t xml:space="preserve"> Muldoon-Smith and McGuin</w:t>
      </w:r>
      <w:r w:rsidR="003E52D0">
        <w:rPr>
          <w:rFonts w:ascii="Arial" w:hAnsi="Arial" w:cs="Arial"/>
        </w:rPr>
        <w:t>n</w:t>
      </w:r>
      <w:r w:rsidR="003A130F" w:rsidRPr="00541991">
        <w:rPr>
          <w:rFonts w:ascii="Arial" w:hAnsi="Arial" w:cs="Arial"/>
        </w:rPr>
        <w:t xml:space="preserve">ess (2020) </w:t>
      </w:r>
      <w:r w:rsidR="00C77009" w:rsidRPr="00541991">
        <w:rPr>
          <w:rFonts w:ascii="Arial" w:hAnsi="Arial" w:cs="Arial"/>
        </w:rPr>
        <w:t xml:space="preserve">highlight the loss of expertise in the English planning system following a decade of public sector austerity. </w:t>
      </w:r>
      <w:r w:rsidR="003A130F" w:rsidRPr="00541991">
        <w:rPr>
          <w:rFonts w:ascii="Arial" w:hAnsi="Arial" w:cs="Arial"/>
        </w:rPr>
        <w:t xml:space="preserve">Finally, </w:t>
      </w:r>
      <w:proofErr w:type="spellStart"/>
      <w:r w:rsidR="003A130F" w:rsidRPr="00541991">
        <w:rPr>
          <w:rFonts w:ascii="Arial" w:hAnsi="Arial" w:cs="Arial"/>
        </w:rPr>
        <w:t>Colenutt</w:t>
      </w:r>
      <w:proofErr w:type="spellEnd"/>
      <w:r w:rsidR="003A130F" w:rsidRPr="00541991">
        <w:rPr>
          <w:rFonts w:ascii="Arial" w:hAnsi="Arial" w:cs="Arial"/>
        </w:rPr>
        <w:t xml:space="preserve"> (2020) argues for a new politics of knowledge</w:t>
      </w:r>
      <w:r w:rsidR="00C77009" w:rsidRPr="00541991">
        <w:rPr>
          <w:rFonts w:ascii="Arial" w:hAnsi="Arial" w:cs="Arial"/>
        </w:rPr>
        <w:t xml:space="preserve">, challenging the failure of contemporary property development to address the housing crisis. </w:t>
      </w:r>
      <w:r w:rsidR="00AC58DD" w:rsidRPr="00541991">
        <w:rPr>
          <w:rFonts w:ascii="Arial" w:hAnsi="Arial" w:cs="Arial"/>
        </w:rPr>
        <w:t xml:space="preserve">In different ways, each of the papers </w:t>
      </w:r>
      <w:r w:rsidR="00F71D57" w:rsidRPr="00541991">
        <w:rPr>
          <w:rFonts w:ascii="Arial" w:hAnsi="Arial" w:cs="Arial"/>
        </w:rPr>
        <w:t>shows</w:t>
      </w:r>
      <w:r w:rsidR="00AC58DD" w:rsidRPr="00541991">
        <w:rPr>
          <w:rFonts w:ascii="Arial" w:hAnsi="Arial" w:cs="Arial"/>
        </w:rPr>
        <w:t xml:space="preserve"> how expert knowledge is mobilized within the context of particular crises</w:t>
      </w:r>
      <w:r w:rsidR="000C6442" w:rsidRPr="00541991">
        <w:rPr>
          <w:rFonts w:ascii="Arial" w:hAnsi="Arial" w:cs="Arial"/>
        </w:rPr>
        <w:t xml:space="preserve">. From environmental and ecologies crises, to crises in public sector planning and housing provision. </w:t>
      </w:r>
    </w:p>
    <w:p w:rsidR="00BA5889" w:rsidRPr="00541991" w:rsidRDefault="00BA5889" w:rsidP="00A206D0">
      <w:pPr>
        <w:spacing w:line="360" w:lineRule="auto"/>
        <w:jc w:val="both"/>
        <w:rPr>
          <w:rFonts w:ascii="Arial" w:hAnsi="Arial" w:cs="Arial"/>
        </w:rPr>
      </w:pPr>
    </w:p>
    <w:p w:rsidR="00485383" w:rsidRPr="00541991" w:rsidRDefault="00637766" w:rsidP="00A206D0">
      <w:pPr>
        <w:spacing w:line="360" w:lineRule="auto"/>
        <w:jc w:val="both"/>
        <w:rPr>
          <w:rFonts w:ascii="Arial" w:hAnsi="Arial" w:cs="Arial"/>
        </w:rPr>
      </w:pPr>
      <w:r w:rsidRPr="00541991">
        <w:rPr>
          <w:rFonts w:ascii="Arial" w:hAnsi="Arial" w:cs="Arial"/>
        </w:rPr>
        <w:t xml:space="preserve">Decision-making takes place within complex and fragmented environments. </w:t>
      </w:r>
      <w:r w:rsidR="00414B70" w:rsidRPr="00541991">
        <w:rPr>
          <w:rFonts w:ascii="Arial" w:hAnsi="Arial" w:cs="Arial"/>
        </w:rPr>
        <w:t>While faced with tackling mammoth societal challenges, the role of expert knowledge has</w:t>
      </w:r>
      <w:r w:rsidRPr="00541991">
        <w:rPr>
          <w:rFonts w:ascii="Arial" w:hAnsi="Arial" w:cs="Arial"/>
        </w:rPr>
        <w:t xml:space="preserve"> also</w:t>
      </w:r>
      <w:r w:rsidR="00414B70" w:rsidRPr="00541991">
        <w:rPr>
          <w:rFonts w:ascii="Arial" w:hAnsi="Arial" w:cs="Arial"/>
        </w:rPr>
        <w:t xml:space="preserve"> come under increased threat </w:t>
      </w:r>
      <w:r w:rsidR="00B41EED" w:rsidRPr="00541991">
        <w:rPr>
          <w:rFonts w:ascii="Arial" w:hAnsi="Arial" w:cs="Arial"/>
        </w:rPr>
        <w:t xml:space="preserve">as </w:t>
      </w:r>
      <w:r w:rsidR="00223FDD" w:rsidRPr="00541991">
        <w:rPr>
          <w:rFonts w:ascii="Arial" w:hAnsi="Arial" w:cs="Arial"/>
        </w:rPr>
        <w:t xml:space="preserve">populist and post-truth politics have sought to undermine </w:t>
      </w:r>
      <w:r w:rsidR="00B41EED" w:rsidRPr="00541991">
        <w:rPr>
          <w:rFonts w:ascii="Arial" w:hAnsi="Arial" w:cs="Arial"/>
        </w:rPr>
        <w:t xml:space="preserve">and destabilise </w:t>
      </w:r>
      <w:r w:rsidR="00223FDD" w:rsidRPr="00541991">
        <w:rPr>
          <w:rFonts w:ascii="Arial" w:hAnsi="Arial" w:cs="Arial"/>
        </w:rPr>
        <w:t>expertise</w:t>
      </w:r>
      <w:r w:rsidR="00BA5889" w:rsidRPr="00541991">
        <w:rPr>
          <w:rFonts w:ascii="Arial" w:hAnsi="Arial" w:cs="Arial"/>
        </w:rPr>
        <w:t xml:space="preserve"> (</w:t>
      </w:r>
      <w:proofErr w:type="spellStart"/>
      <w:r w:rsidR="00BA5889" w:rsidRPr="00541991">
        <w:rPr>
          <w:rFonts w:ascii="Arial" w:hAnsi="Arial" w:cs="Arial"/>
        </w:rPr>
        <w:t>Jasonoff</w:t>
      </w:r>
      <w:proofErr w:type="spellEnd"/>
      <w:r w:rsidR="00BA5889" w:rsidRPr="00541991">
        <w:rPr>
          <w:rFonts w:ascii="Arial" w:hAnsi="Arial" w:cs="Arial"/>
        </w:rPr>
        <w:t xml:space="preserve"> and </w:t>
      </w:r>
      <w:proofErr w:type="spellStart"/>
      <w:r w:rsidR="00BA5889" w:rsidRPr="00541991">
        <w:rPr>
          <w:rFonts w:ascii="Arial" w:hAnsi="Arial" w:cs="Arial"/>
        </w:rPr>
        <w:t>Simmett</w:t>
      </w:r>
      <w:proofErr w:type="spellEnd"/>
      <w:r w:rsidR="00BA5889" w:rsidRPr="00541991">
        <w:rPr>
          <w:rFonts w:ascii="Arial" w:hAnsi="Arial" w:cs="Arial"/>
        </w:rPr>
        <w:t xml:space="preserve">, 2017). </w:t>
      </w:r>
      <w:r w:rsidR="00414B70" w:rsidRPr="00541991">
        <w:rPr>
          <w:rFonts w:ascii="Arial" w:hAnsi="Arial" w:cs="Arial"/>
        </w:rPr>
        <w:t>Understanding the changing role of expert knowledge and how it weaves its way into policy and de</w:t>
      </w:r>
      <w:r w:rsidR="00F71D57" w:rsidRPr="00541991">
        <w:rPr>
          <w:rFonts w:ascii="Arial" w:hAnsi="Arial" w:cs="Arial"/>
        </w:rPr>
        <w:t xml:space="preserve">cision-making is imperative against </w:t>
      </w:r>
      <w:r w:rsidR="00414B70" w:rsidRPr="00541991">
        <w:rPr>
          <w:rFonts w:ascii="Arial" w:hAnsi="Arial" w:cs="Arial"/>
        </w:rPr>
        <w:t xml:space="preserve">this backdrop. </w:t>
      </w:r>
      <w:r w:rsidRPr="00541991">
        <w:rPr>
          <w:rFonts w:ascii="Arial" w:hAnsi="Arial" w:cs="Arial"/>
        </w:rPr>
        <w:t>By</w:t>
      </w:r>
      <w:r w:rsidR="00BA5889" w:rsidRPr="00541991">
        <w:rPr>
          <w:rFonts w:ascii="Arial" w:hAnsi="Arial" w:cs="Arial"/>
        </w:rPr>
        <w:t xml:space="preserve"> attending to the politics of knowledge production, the papers </w:t>
      </w:r>
      <w:r w:rsidR="00223FDD" w:rsidRPr="00541991">
        <w:rPr>
          <w:rFonts w:ascii="Arial" w:hAnsi="Arial" w:cs="Arial"/>
        </w:rPr>
        <w:t xml:space="preserve">in this special section </w:t>
      </w:r>
      <w:r w:rsidR="00BA5889" w:rsidRPr="00541991">
        <w:rPr>
          <w:rFonts w:ascii="Arial" w:hAnsi="Arial" w:cs="Arial"/>
        </w:rPr>
        <w:t>speak to the diverse knowledge claims and networks of expertise shaping contemporary environment</w:t>
      </w:r>
      <w:r w:rsidR="00485383" w:rsidRPr="00541991">
        <w:rPr>
          <w:rFonts w:ascii="Arial" w:hAnsi="Arial" w:cs="Arial"/>
        </w:rPr>
        <w:t xml:space="preserve">al and planning challenges. They </w:t>
      </w:r>
      <w:r w:rsidR="00BA5889" w:rsidRPr="00541991">
        <w:rPr>
          <w:rFonts w:ascii="Arial" w:hAnsi="Arial" w:cs="Arial"/>
        </w:rPr>
        <w:t>demonstrate the complexity of creating and deploying expert knowledge across varying geographical scales from the Europea</w:t>
      </w:r>
      <w:r w:rsidR="00485383" w:rsidRPr="00541991">
        <w:rPr>
          <w:rFonts w:ascii="Arial" w:hAnsi="Arial" w:cs="Arial"/>
        </w:rPr>
        <w:t xml:space="preserve">n Union to grassroots campaigns, and </w:t>
      </w:r>
      <w:r w:rsidR="00A1412F" w:rsidRPr="00541991">
        <w:rPr>
          <w:rFonts w:ascii="Arial" w:hAnsi="Arial" w:cs="Arial"/>
        </w:rPr>
        <w:t>reveal</w:t>
      </w:r>
      <w:r w:rsidR="00485383" w:rsidRPr="00541991">
        <w:rPr>
          <w:rFonts w:ascii="Arial" w:hAnsi="Arial" w:cs="Arial"/>
        </w:rPr>
        <w:t xml:space="preserve"> the multiplicities of knowledge often at play across these geographies. </w:t>
      </w:r>
      <w:r w:rsidR="00A1412F" w:rsidRPr="00541991">
        <w:rPr>
          <w:rFonts w:ascii="Arial" w:hAnsi="Arial" w:cs="Arial"/>
        </w:rPr>
        <w:t>The papers enhance</w:t>
      </w:r>
      <w:r w:rsidR="00485383" w:rsidRPr="00541991">
        <w:rPr>
          <w:rFonts w:ascii="Arial" w:hAnsi="Arial" w:cs="Arial"/>
        </w:rPr>
        <w:t xml:space="preserve"> our understanding of how embedded expertise </w:t>
      </w:r>
      <w:r w:rsidR="00485383" w:rsidRPr="00541991">
        <w:rPr>
          <w:rFonts w:ascii="Arial" w:hAnsi="Arial" w:cs="Arial"/>
        </w:rPr>
        <w:lastRenderedPageBreak/>
        <w:t xml:space="preserve">operates across environmental and planning challenges, </w:t>
      </w:r>
      <w:r w:rsidR="000C6442" w:rsidRPr="00541991">
        <w:rPr>
          <w:rFonts w:ascii="Arial" w:hAnsi="Arial" w:cs="Arial"/>
        </w:rPr>
        <w:t>with attention</w:t>
      </w:r>
      <w:r w:rsidR="00485383" w:rsidRPr="00541991">
        <w:rPr>
          <w:rFonts w:ascii="Arial" w:hAnsi="Arial" w:cs="Arial"/>
        </w:rPr>
        <w:t xml:space="preserve"> also pai</w:t>
      </w:r>
      <w:r w:rsidR="00327FAB" w:rsidRPr="00541991">
        <w:rPr>
          <w:rFonts w:ascii="Arial" w:hAnsi="Arial" w:cs="Arial"/>
        </w:rPr>
        <w:t>d to the ways in which expert</w:t>
      </w:r>
      <w:r w:rsidR="00485383" w:rsidRPr="00541991">
        <w:rPr>
          <w:rFonts w:ascii="Arial" w:hAnsi="Arial" w:cs="Arial"/>
        </w:rPr>
        <w:t xml:space="preserve"> knowledge can be</w:t>
      </w:r>
      <w:r w:rsidR="00471EC3" w:rsidRPr="00541991">
        <w:rPr>
          <w:rFonts w:ascii="Arial" w:hAnsi="Arial" w:cs="Arial"/>
        </w:rPr>
        <w:t>come</w:t>
      </w:r>
      <w:r w:rsidR="00485383" w:rsidRPr="00541991">
        <w:rPr>
          <w:rFonts w:ascii="Arial" w:hAnsi="Arial" w:cs="Arial"/>
        </w:rPr>
        <w:t xml:space="preserve"> destabilized across boundaries.  </w:t>
      </w:r>
    </w:p>
    <w:p w:rsidR="001E4A41" w:rsidRPr="00541991" w:rsidRDefault="00485383" w:rsidP="00A206D0">
      <w:pPr>
        <w:spacing w:line="360" w:lineRule="auto"/>
        <w:jc w:val="both"/>
        <w:rPr>
          <w:rFonts w:ascii="Arial" w:hAnsi="Arial" w:cs="Arial"/>
        </w:rPr>
      </w:pPr>
      <w:r w:rsidRPr="00541991">
        <w:rPr>
          <w:rFonts w:ascii="Arial" w:hAnsi="Arial" w:cs="Arial"/>
        </w:rPr>
        <w:t xml:space="preserve"> </w:t>
      </w:r>
    </w:p>
    <w:p w:rsidR="00BA5889" w:rsidRPr="00541991" w:rsidRDefault="00BA5889" w:rsidP="00A206D0">
      <w:pPr>
        <w:pStyle w:val="NormalWeb"/>
        <w:spacing w:before="0" w:beforeAutospacing="0" w:after="0" w:afterAutospacing="0" w:line="360" w:lineRule="auto"/>
        <w:jc w:val="both"/>
        <w:rPr>
          <w:rFonts w:ascii="Arial" w:hAnsi="Arial" w:cs="Arial"/>
        </w:rPr>
      </w:pPr>
      <w:r w:rsidRPr="00541991">
        <w:rPr>
          <w:rFonts w:ascii="Arial" w:hAnsi="Arial" w:cs="Arial"/>
        </w:rPr>
        <w:t xml:space="preserve">2.0: </w:t>
      </w:r>
      <w:r w:rsidR="00CE29A4" w:rsidRPr="00541991">
        <w:rPr>
          <w:rFonts w:ascii="Arial" w:hAnsi="Arial" w:cs="Arial"/>
        </w:rPr>
        <w:t>Boundaries of expert knowledge</w:t>
      </w:r>
    </w:p>
    <w:p w:rsidR="0031102B" w:rsidRPr="00541991" w:rsidRDefault="000972C2" w:rsidP="00A206D0">
      <w:pPr>
        <w:pStyle w:val="NormalWeb"/>
        <w:spacing w:before="0" w:beforeAutospacing="0" w:after="0" w:afterAutospacing="0" w:line="360" w:lineRule="auto"/>
        <w:jc w:val="both"/>
        <w:rPr>
          <w:rFonts w:ascii="Arial" w:hAnsi="Arial" w:cs="Arial"/>
        </w:rPr>
      </w:pPr>
      <w:r w:rsidRPr="00541991">
        <w:rPr>
          <w:rFonts w:ascii="Arial" w:hAnsi="Arial" w:cs="Arial"/>
        </w:rPr>
        <w:t>Palmer’s (2019</w:t>
      </w:r>
      <w:r w:rsidR="00B042FD" w:rsidRPr="00541991">
        <w:rPr>
          <w:rFonts w:ascii="Arial" w:hAnsi="Arial" w:cs="Arial"/>
        </w:rPr>
        <w:t xml:space="preserve">) paper </w:t>
      </w:r>
      <w:r w:rsidR="00F478CF" w:rsidRPr="00541991">
        <w:rPr>
          <w:rFonts w:ascii="Arial" w:hAnsi="Arial" w:cs="Arial"/>
        </w:rPr>
        <w:t xml:space="preserve">in this special section </w:t>
      </w:r>
      <w:r w:rsidR="00B042FD" w:rsidRPr="00541991">
        <w:rPr>
          <w:rFonts w:ascii="Arial" w:hAnsi="Arial" w:cs="Arial"/>
        </w:rPr>
        <w:t>considers</w:t>
      </w:r>
      <w:r w:rsidR="00095BC2" w:rsidRPr="00541991">
        <w:rPr>
          <w:rFonts w:ascii="Arial" w:hAnsi="Arial" w:cs="Arial"/>
        </w:rPr>
        <w:t xml:space="preserve"> the contested nature of environmental expertise in the</w:t>
      </w:r>
      <w:r w:rsidR="009D3467" w:rsidRPr="00541991">
        <w:rPr>
          <w:rFonts w:ascii="Arial" w:hAnsi="Arial" w:cs="Arial"/>
        </w:rPr>
        <w:t xml:space="preserve"> wake of the</w:t>
      </w:r>
      <w:r w:rsidR="00095BC2" w:rsidRPr="00541991">
        <w:rPr>
          <w:rFonts w:ascii="Arial" w:hAnsi="Arial" w:cs="Arial"/>
        </w:rPr>
        <w:t xml:space="preserve"> </w:t>
      </w:r>
      <w:proofErr w:type="spellStart"/>
      <w:r w:rsidR="00095BC2" w:rsidRPr="00541991">
        <w:rPr>
          <w:rFonts w:ascii="Arial" w:hAnsi="Arial" w:cs="Arial"/>
        </w:rPr>
        <w:t>Dieslegate</w:t>
      </w:r>
      <w:proofErr w:type="spellEnd"/>
      <w:r w:rsidR="00095BC2" w:rsidRPr="00541991">
        <w:rPr>
          <w:rFonts w:ascii="Arial" w:hAnsi="Arial" w:cs="Arial"/>
        </w:rPr>
        <w:t xml:space="preserve"> scandal</w:t>
      </w:r>
      <w:r w:rsidR="00B042FD" w:rsidRPr="00541991">
        <w:rPr>
          <w:rFonts w:ascii="Arial" w:hAnsi="Arial" w:cs="Arial"/>
        </w:rPr>
        <w:t xml:space="preserve"> as it played out at the EU level</w:t>
      </w:r>
      <w:r w:rsidR="00095BC2" w:rsidRPr="00541991">
        <w:rPr>
          <w:rFonts w:ascii="Arial" w:hAnsi="Arial" w:cs="Arial"/>
        </w:rPr>
        <w:t xml:space="preserve">. The controversy began in late 2015 when the US Environmental Protection Agency </w:t>
      </w:r>
      <w:r w:rsidR="00B042FD" w:rsidRPr="00541991">
        <w:rPr>
          <w:rFonts w:ascii="Arial" w:hAnsi="Arial" w:cs="Arial"/>
        </w:rPr>
        <w:t>revealed</w:t>
      </w:r>
      <w:r w:rsidR="00095BC2" w:rsidRPr="00541991">
        <w:rPr>
          <w:rFonts w:ascii="Arial" w:hAnsi="Arial" w:cs="Arial"/>
        </w:rPr>
        <w:t xml:space="preserve"> that </w:t>
      </w:r>
      <w:r w:rsidR="00393EB0" w:rsidRPr="00541991">
        <w:rPr>
          <w:rFonts w:ascii="Arial" w:hAnsi="Arial" w:cs="Arial"/>
        </w:rPr>
        <w:t>in excess of</w:t>
      </w:r>
      <w:r w:rsidR="00095BC2" w:rsidRPr="00541991">
        <w:rPr>
          <w:rFonts w:ascii="Arial" w:hAnsi="Arial" w:cs="Arial"/>
        </w:rPr>
        <w:t xml:space="preserve"> half a million diesel vehicles had been fitted with </w:t>
      </w:r>
      <w:r w:rsidR="00031FBC" w:rsidRPr="00541991">
        <w:rPr>
          <w:rFonts w:ascii="Arial" w:hAnsi="Arial" w:cs="Arial"/>
        </w:rPr>
        <w:t xml:space="preserve">a </w:t>
      </w:r>
      <w:r w:rsidR="00B042FD" w:rsidRPr="00541991">
        <w:rPr>
          <w:rFonts w:ascii="Arial" w:hAnsi="Arial" w:cs="Arial"/>
        </w:rPr>
        <w:t>“defeat device”</w:t>
      </w:r>
      <w:r w:rsidR="00031FBC" w:rsidRPr="00541991">
        <w:rPr>
          <w:rFonts w:ascii="Arial" w:hAnsi="Arial" w:cs="Arial"/>
        </w:rPr>
        <w:t xml:space="preserve">, </w:t>
      </w:r>
      <w:r w:rsidR="0090020F" w:rsidRPr="00541991">
        <w:rPr>
          <w:rFonts w:ascii="Arial" w:hAnsi="Arial" w:cs="Arial"/>
        </w:rPr>
        <w:t>enabling</w:t>
      </w:r>
      <w:r w:rsidR="00031FBC" w:rsidRPr="00541991">
        <w:rPr>
          <w:rFonts w:ascii="Arial" w:hAnsi="Arial" w:cs="Arial"/>
        </w:rPr>
        <w:t xml:space="preserve"> </w:t>
      </w:r>
      <w:r w:rsidR="00393EB0" w:rsidRPr="00541991">
        <w:rPr>
          <w:rFonts w:ascii="Arial" w:hAnsi="Arial" w:cs="Arial"/>
        </w:rPr>
        <w:t>cars to release fewer emissions during official regulatory tests than they would subsequently emit</w:t>
      </w:r>
      <w:r w:rsidR="00095BC2" w:rsidRPr="00541991">
        <w:rPr>
          <w:rFonts w:ascii="Arial" w:hAnsi="Arial" w:cs="Arial"/>
        </w:rPr>
        <w:t xml:space="preserve"> on the open road. </w:t>
      </w:r>
      <w:r w:rsidR="00B042FD" w:rsidRPr="00541991">
        <w:rPr>
          <w:rFonts w:ascii="Arial" w:hAnsi="Arial" w:cs="Arial"/>
        </w:rPr>
        <w:t>Mapping</w:t>
      </w:r>
      <w:r w:rsidR="00095BC2" w:rsidRPr="00541991">
        <w:rPr>
          <w:rFonts w:ascii="Arial" w:hAnsi="Arial" w:cs="Arial"/>
        </w:rPr>
        <w:t xml:space="preserve"> out </w:t>
      </w:r>
      <w:r w:rsidR="00182A8A" w:rsidRPr="00541991">
        <w:rPr>
          <w:rFonts w:ascii="Arial" w:hAnsi="Arial" w:cs="Arial"/>
        </w:rPr>
        <w:t>the</w:t>
      </w:r>
      <w:r w:rsidR="00095BC2" w:rsidRPr="00541991">
        <w:rPr>
          <w:rFonts w:ascii="Arial" w:hAnsi="Arial" w:cs="Arial"/>
        </w:rPr>
        <w:t xml:space="preserve"> knowledge produced by official testing regimes and real</w:t>
      </w:r>
      <w:r w:rsidR="00881F07" w:rsidRPr="00541991">
        <w:rPr>
          <w:rFonts w:ascii="Arial" w:hAnsi="Arial" w:cs="Arial"/>
        </w:rPr>
        <w:t>-</w:t>
      </w:r>
      <w:r w:rsidR="00095BC2" w:rsidRPr="00541991">
        <w:rPr>
          <w:rFonts w:ascii="Arial" w:hAnsi="Arial" w:cs="Arial"/>
        </w:rPr>
        <w:t xml:space="preserve"> world driving da</w:t>
      </w:r>
      <w:r w:rsidR="00483D0F" w:rsidRPr="00541991">
        <w:rPr>
          <w:rFonts w:ascii="Arial" w:hAnsi="Arial" w:cs="Arial"/>
        </w:rPr>
        <w:t>ta crow</w:t>
      </w:r>
      <w:r w:rsidR="00095BC2" w:rsidRPr="00541991">
        <w:rPr>
          <w:rFonts w:ascii="Arial" w:hAnsi="Arial" w:cs="Arial"/>
        </w:rPr>
        <w:t xml:space="preserve">d sourced by individual citizens, Palmer reflects on the two types </w:t>
      </w:r>
      <w:r w:rsidR="00393EB0" w:rsidRPr="00541991">
        <w:rPr>
          <w:rFonts w:ascii="Arial" w:hAnsi="Arial" w:cs="Arial"/>
        </w:rPr>
        <w:t xml:space="preserve">of </w:t>
      </w:r>
      <w:r w:rsidR="00095BC2" w:rsidRPr="00541991">
        <w:rPr>
          <w:rFonts w:ascii="Arial" w:hAnsi="Arial" w:cs="Arial"/>
        </w:rPr>
        <w:t>conflicting knowledge produced about vehicles emissions</w:t>
      </w:r>
      <w:r w:rsidR="00393EB0" w:rsidRPr="00541991">
        <w:rPr>
          <w:rFonts w:ascii="Arial" w:hAnsi="Arial" w:cs="Arial"/>
        </w:rPr>
        <w:t xml:space="preserve"> by these sources</w:t>
      </w:r>
      <w:r w:rsidR="00095BC2" w:rsidRPr="00541991">
        <w:rPr>
          <w:rFonts w:ascii="Arial" w:hAnsi="Arial" w:cs="Arial"/>
        </w:rPr>
        <w:t xml:space="preserve">. But more so than this, </w:t>
      </w:r>
      <w:r w:rsidR="00B042FD" w:rsidRPr="00541991">
        <w:rPr>
          <w:rFonts w:ascii="Arial" w:hAnsi="Arial" w:cs="Arial"/>
        </w:rPr>
        <w:t>Palmer</w:t>
      </w:r>
      <w:r w:rsidR="00095BC2" w:rsidRPr="00541991">
        <w:rPr>
          <w:rFonts w:ascii="Arial" w:hAnsi="Arial" w:cs="Arial"/>
        </w:rPr>
        <w:t xml:space="preserve"> argues that we need to question the </w:t>
      </w:r>
      <w:r w:rsidR="00393EB0" w:rsidRPr="00541991">
        <w:rPr>
          <w:rFonts w:ascii="Arial" w:hAnsi="Arial" w:cs="Arial"/>
        </w:rPr>
        <w:t xml:space="preserve">very </w:t>
      </w:r>
      <w:r w:rsidR="00095BC2" w:rsidRPr="00541991">
        <w:rPr>
          <w:rFonts w:ascii="Arial" w:hAnsi="Arial" w:cs="Arial"/>
        </w:rPr>
        <w:t>boundaries of what is considered credible expertise</w:t>
      </w:r>
      <w:r w:rsidR="00B042FD" w:rsidRPr="00541991">
        <w:rPr>
          <w:rFonts w:ascii="Arial" w:hAnsi="Arial" w:cs="Arial"/>
        </w:rPr>
        <w:t xml:space="preserve"> </w:t>
      </w:r>
      <w:r w:rsidR="00182A8A" w:rsidRPr="00541991">
        <w:rPr>
          <w:rFonts w:ascii="Arial" w:hAnsi="Arial" w:cs="Arial"/>
        </w:rPr>
        <w:t>in thi</w:t>
      </w:r>
      <w:r w:rsidR="00476BF2" w:rsidRPr="00541991">
        <w:rPr>
          <w:rFonts w:ascii="Arial" w:hAnsi="Arial" w:cs="Arial"/>
        </w:rPr>
        <w:t>s context. The paper invites us</w:t>
      </w:r>
      <w:r w:rsidR="00182A8A" w:rsidRPr="00541991">
        <w:rPr>
          <w:rFonts w:ascii="Arial" w:hAnsi="Arial" w:cs="Arial"/>
        </w:rPr>
        <w:t xml:space="preserve"> to </w:t>
      </w:r>
      <w:r w:rsidR="00476BF2" w:rsidRPr="00541991">
        <w:rPr>
          <w:rFonts w:ascii="Arial" w:hAnsi="Arial" w:cs="Arial"/>
        </w:rPr>
        <w:t>re</w:t>
      </w:r>
      <w:r w:rsidR="00182A8A" w:rsidRPr="00541991">
        <w:rPr>
          <w:rFonts w:ascii="Arial" w:hAnsi="Arial" w:cs="Arial"/>
        </w:rPr>
        <w:t xml:space="preserve">consider what and how is deemed </w:t>
      </w:r>
      <w:r w:rsidR="00393EB0" w:rsidRPr="00541991">
        <w:rPr>
          <w:rFonts w:ascii="Arial" w:hAnsi="Arial" w:cs="Arial"/>
        </w:rPr>
        <w:t>governable in the first place</w:t>
      </w:r>
      <w:r w:rsidR="00182A8A" w:rsidRPr="00541991">
        <w:rPr>
          <w:rFonts w:ascii="Arial" w:hAnsi="Arial" w:cs="Arial"/>
        </w:rPr>
        <w:t>,</w:t>
      </w:r>
      <w:r w:rsidR="00393EB0" w:rsidRPr="00541991">
        <w:rPr>
          <w:rFonts w:ascii="Arial" w:hAnsi="Arial" w:cs="Arial"/>
        </w:rPr>
        <w:t xml:space="preserve"> and how we might look to alternative expertise to challenge our understandings of th</w:t>
      </w:r>
      <w:r w:rsidR="00476BF2" w:rsidRPr="00541991">
        <w:rPr>
          <w:rFonts w:ascii="Arial" w:hAnsi="Arial" w:cs="Arial"/>
        </w:rPr>
        <w:t>e socio-environmental implications</w:t>
      </w:r>
      <w:r w:rsidR="00393EB0" w:rsidRPr="00541991">
        <w:rPr>
          <w:rFonts w:ascii="Arial" w:hAnsi="Arial" w:cs="Arial"/>
        </w:rPr>
        <w:t xml:space="preserve"> of vehicle emissions. </w:t>
      </w:r>
    </w:p>
    <w:p w:rsidR="0031102B" w:rsidRPr="00541991" w:rsidRDefault="0031102B" w:rsidP="00A206D0">
      <w:pPr>
        <w:pStyle w:val="NormalWeb"/>
        <w:spacing w:before="0" w:beforeAutospacing="0" w:after="0" w:afterAutospacing="0" w:line="360" w:lineRule="auto"/>
        <w:jc w:val="both"/>
        <w:rPr>
          <w:rFonts w:ascii="Arial" w:hAnsi="Arial" w:cs="Arial"/>
        </w:rPr>
      </w:pPr>
    </w:p>
    <w:p w:rsidR="00095BC2" w:rsidRPr="00541991" w:rsidRDefault="000972C2" w:rsidP="00A206D0">
      <w:pPr>
        <w:pStyle w:val="NormalWeb"/>
        <w:spacing w:before="0" w:beforeAutospacing="0" w:after="0" w:afterAutospacing="0" w:line="360" w:lineRule="auto"/>
        <w:jc w:val="both"/>
        <w:rPr>
          <w:rFonts w:ascii="Arial" w:hAnsi="Arial" w:cs="Arial"/>
        </w:rPr>
      </w:pPr>
      <w:r w:rsidRPr="00541991">
        <w:rPr>
          <w:rFonts w:ascii="Arial" w:hAnsi="Arial" w:cs="Arial"/>
        </w:rPr>
        <w:t>The paper by Cross (2019</w:t>
      </w:r>
      <w:r w:rsidR="00095BC2" w:rsidRPr="00541991">
        <w:rPr>
          <w:rFonts w:ascii="Arial" w:hAnsi="Arial" w:cs="Arial"/>
        </w:rPr>
        <w:t xml:space="preserve">) makes a significant contribution to existing research, showing how citizen science data has </w:t>
      </w:r>
      <w:r w:rsidR="00393EB0" w:rsidRPr="00541991">
        <w:rPr>
          <w:rFonts w:ascii="Arial" w:hAnsi="Arial" w:cs="Arial"/>
        </w:rPr>
        <w:t>impacted on policy and decision-</w:t>
      </w:r>
      <w:r w:rsidR="00095BC2" w:rsidRPr="00541991">
        <w:rPr>
          <w:rFonts w:ascii="Arial" w:hAnsi="Arial" w:cs="Arial"/>
        </w:rPr>
        <w:t xml:space="preserve">making. </w:t>
      </w:r>
      <w:r w:rsidR="006F5779" w:rsidRPr="00541991">
        <w:rPr>
          <w:rFonts w:ascii="Arial" w:hAnsi="Arial" w:cs="Arial"/>
        </w:rPr>
        <w:t>It draws upon</w:t>
      </w:r>
      <w:r w:rsidR="00393EB0" w:rsidRPr="00541991">
        <w:rPr>
          <w:rFonts w:ascii="Arial" w:hAnsi="Arial" w:cs="Arial"/>
        </w:rPr>
        <w:t xml:space="preserve"> a case study of the</w:t>
      </w:r>
      <w:r w:rsidR="00095BC2" w:rsidRPr="00541991">
        <w:rPr>
          <w:rFonts w:ascii="Arial" w:hAnsi="Arial" w:cs="Arial"/>
        </w:rPr>
        <w:t xml:space="preserve"> River Crane in West London</w:t>
      </w:r>
      <w:r w:rsidR="00393EB0" w:rsidRPr="00541991">
        <w:rPr>
          <w:rFonts w:ascii="Arial" w:hAnsi="Arial" w:cs="Arial"/>
        </w:rPr>
        <w:t>, which</w:t>
      </w:r>
      <w:r w:rsidR="00095BC2" w:rsidRPr="00541991">
        <w:rPr>
          <w:rFonts w:ascii="Arial" w:hAnsi="Arial" w:cs="Arial"/>
        </w:rPr>
        <w:t xml:space="preserve"> was subject to major pollution incidents that caused significant ecological damage and widespread loss of fish. A river restoration fund </w:t>
      </w:r>
      <w:r w:rsidR="006F5779" w:rsidRPr="00541991">
        <w:rPr>
          <w:rFonts w:ascii="Arial" w:hAnsi="Arial" w:cs="Arial"/>
        </w:rPr>
        <w:t xml:space="preserve">then </w:t>
      </w:r>
      <w:r w:rsidR="00095BC2" w:rsidRPr="00541991">
        <w:rPr>
          <w:rFonts w:ascii="Arial" w:hAnsi="Arial" w:cs="Arial"/>
        </w:rPr>
        <w:t>established a citizen science project (Citizen Crane)</w:t>
      </w:r>
      <w:r w:rsidR="006F5779" w:rsidRPr="00541991">
        <w:rPr>
          <w:rFonts w:ascii="Arial" w:hAnsi="Arial" w:cs="Arial"/>
        </w:rPr>
        <w:t>. T</w:t>
      </w:r>
      <w:r w:rsidR="00393EB0" w:rsidRPr="00541991">
        <w:rPr>
          <w:rFonts w:ascii="Arial" w:hAnsi="Arial" w:cs="Arial"/>
        </w:rPr>
        <w:t xml:space="preserve">his </w:t>
      </w:r>
      <w:r w:rsidR="007D6260" w:rsidRPr="00541991">
        <w:rPr>
          <w:rFonts w:ascii="Arial" w:hAnsi="Arial" w:cs="Arial"/>
        </w:rPr>
        <w:t>paper</w:t>
      </w:r>
      <w:r w:rsidR="00095BC2" w:rsidRPr="00541991">
        <w:rPr>
          <w:rFonts w:ascii="Arial" w:hAnsi="Arial" w:cs="Arial"/>
        </w:rPr>
        <w:t xml:space="preserve"> investigates the collaboration betwee</w:t>
      </w:r>
      <w:r w:rsidR="00393EB0" w:rsidRPr="00541991">
        <w:rPr>
          <w:rFonts w:ascii="Arial" w:hAnsi="Arial" w:cs="Arial"/>
        </w:rPr>
        <w:t>n citizen scientists, the Water Company</w:t>
      </w:r>
      <w:r w:rsidR="00095BC2" w:rsidRPr="00541991">
        <w:rPr>
          <w:rFonts w:ascii="Arial" w:hAnsi="Arial" w:cs="Arial"/>
        </w:rPr>
        <w:t xml:space="preserve"> and Environment A</w:t>
      </w:r>
      <w:r w:rsidR="00393EB0" w:rsidRPr="00541991">
        <w:rPr>
          <w:rFonts w:ascii="Arial" w:hAnsi="Arial" w:cs="Arial"/>
        </w:rPr>
        <w:t>gency to address water qualit</w:t>
      </w:r>
      <w:r w:rsidR="00182A8A" w:rsidRPr="00541991">
        <w:rPr>
          <w:rFonts w:ascii="Arial" w:hAnsi="Arial" w:cs="Arial"/>
        </w:rPr>
        <w:t xml:space="preserve">y. </w:t>
      </w:r>
      <w:r w:rsidR="009F1824" w:rsidRPr="00541991">
        <w:rPr>
          <w:rFonts w:ascii="Arial" w:hAnsi="Arial" w:cs="Arial"/>
        </w:rPr>
        <w:t>It</w:t>
      </w:r>
      <w:r w:rsidR="00182A8A" w:rsidRPr="00541991">
        <w:rPr>
          <w:rFonts w:ascii="Arial" w:hAnsi="Arial" w:cs="Arial"/>
        </w:rPr>
        <w:t xml:space="preserve"> considers how citizen science was </w:t>
      </w:r>
      <w:r w:rsidR="007D6260" w:rsidRPr="00541991">
        <w:rPr>
          <w:rFonts w:ascii="Arial" w:hAnsi="Arial" w:cs="Arial"/>
        </w:rPr>
        <w:t xml:space="preserve">deployed to inform the </w:t>
      </w:r>
      <w:r w:rsidR="00052D80" w:rsidRPr="00541991">
        <w:rPr>
          <w:rFonts w:ascii="Arial" w:hAnsi="Arial" w:cs="Arial"/>
        </w:rPr>
        <w:t>management of this urban river</w:t>
      </w:r>
      <w:r w:rsidR="00182A8A" w:rsidRPr="00541991">
        <w:rPr>
          <w:rFonts w:ascii="Arial" w:hAnsi="Arial" w:cs="Arial"/>
        </w:rPr>
        <w:t xml:space="preserve"> and</w:t>
      </w:r>
      <w:r w:rsidR="00052D80" w:rsidRPr="00541991">
        <w:rPr>
          <w:rFonts w:ascii="Arial" w:hAnsi="Arial" w:cs="Arial"/>
        </w:rPr>
        <w:t xml:space="preserve"> challenge</w:t>
      </w:r>
      <w:r w:rsidR="00CD0BB8" w:rsidRPr="00541991">
        <w:rPr>
          <w:rFonts w:ascii="Arial" w:hAnsi="Arial" w:cs="Arial"/>
        </w:rPr>
        <w:t>s</w:t>
      </w:r>
      <w:r w:rsidR="00052D80" w:rsidRPr="00541991">
        <w:rPr>
          <w:rFonts w:ascii="Arial" w:hAnsi="Arial" w:cs="Arial"/>
        </w:rPr>
        <w:t xml:space="preserve"> traditional understandings of expertise in environmental decision-making. </w:t>
      </w:r>
    </w:p>
    <w:p w:rsidR="002E1487" w:rsidRPr="00541991" w:rsidRDefault="002E1487" w:rsidP="00A206D0">
      <w:pPr>
        <w:pStyle w:val="NormalWeb"/>
        <w:spacing w:before="0" w:beforeAutospacing="0" w:after="0" w:afterAutospacing="0" w:line="360" w:lineRule="auto"/>
        <w:jc w:val="both"/>
        <w:rPr>
          <w:rFonts w:ascii="Arial" w:hAnsi="Arial" w:cs="Arial"/>
        </w:rPr>
      </w:pPr>
    </w:p>
    <w:p w:rsidR="003920FB" w:rsidRPr="00541991" w:rsidRDefault="00095BC2" w:rsidP="00A206D0">
      <w:pPr>
        <w:pStyle w:val="NormalWeb"/>
        <w:spacing w:before="0" w:beforeAutospacing="0" w:after="0" w:afterAutospacing="0" w:line="360" w:lineRule="auto"/>
        <w:jc w:val="both"/>
        <w:rPr>
          <w:rFonts w:ascii="Arial" w:hAnsi="Arial" w:cs="Arial"/>
        </w:rPr>
      </w:pPr>
      <w:r w:rsidRPr="00541991">
        <w:rPr>
          <w:rFonts w:ascii="Arial" w:hAnsi="Arial" w:cs="Arial"/>
        </w:rPr>
        <w:t>Mul</w:t>
      </w:r>
      <w:r w:rsidR="00ED65D7" w:rsidRPr="00541991">
        <w:rPr>
          <w:rFonts w:ascii="Arial" w:hAnsi="Arial" w:cs="Arial"/>
        </w:rPr>
        <w:t>doon-Smith and McGuinness</w:t>
      </w:r>
      <w:r w:rsidR="000972C2" w:rsidRPr="00541991">
        <w:rPr>
          <w:rFonts w:ascii="Arial" w:hAnsi="Arial" w:cs="Arial"/>
        </w:rPr>
        <w:t xml:space="preserve"> (2020</w:t>
      </w:r>
      <w:r w:rsidRPr="00541991">
        <w:rPr>
          <w:rFonts w:ascii="Arial" w:hAnsi="Arial" w:cs="Arial"/>
        </w:rPr>
        <w:t xml:space="preserve">) </w:t>
      </w:r>
      <w:r w:rsidR="00AC3E60" w:rsidRPr="00541991">
        <w:rPr>
          <w:rFonts w:ascii="Arial" w:hAnsi="Arial" w:cs="Arial"/>
        </w:rPr>
        <w:t xml:space="preserve">reflect on the </w:t>
      </w:r>
      <w:r w:rsidR="006F5779" w:rsidRPr="00541991">
        <w:rPr>
          <w:rFonts w:ascii="Arial" w:hAnsi="Arial" w:cs="Arial"/>
        </w:rPr>
        <w:t>difficulties</w:t>
      </w:r>
      <w:r w:rsidR="00AC3E60" w:rsidRPr="00541991">
        <w:rPr>
          <w:rFonts w:ascii="Arial" w:hAnsi="Arial" w:cs="Arial"/>
        </w:rPr>
        <w:t xml:space="preserve"> </w:t>
      </w:r>
      <w:r w:rsidR="006F5779" w:rsidRPr="00541991">
        <w:rPr>
          <w:rFonts w:ascii="Arial" w:hAnsi="Arial" w:cs="Arial"/>
        </w:rPr>
        <w:t>emerging</w:t>
      </w:r>
      <w:r w:rsidR="00AC3E60" w:rsidRPr="00541991">
        <w:rPr>
          <w:rFonts w:ascii="Arial" w:hAnsi="Arial" w:cs="Arial"/>
        </w:rPr>
        <w:t xml:space="preserve"> </w:t>
      </w:r>
      <w:r w:rsidR="009F1824" w:rsidRPr="00541991">
        <w:rPr>
          <w:rFonts w:ascii="Arial" w:hAnsi="Arial" w:cs="Arial"/>
        </w:rPr>
        <w:t>within</w:t>
      </w:r>
      <w:r w:rsidR="00AC3E60" w:rsidRPr="00541991">
        <w:rPr>
          <w:rFonts w:ascii="Arial" w:hAnsi="Arial" w:cs="Arial"/>
        </w:rPr>
        <w:t xml:space="preserve"> planning practice and expertise</w:t>
      </w:r>
      <w:r w:rsidR="009F1824" w:rsidRPr="00541991">
        <w:rPr>
          <w:rFonts w:ascii="Arial" w:hAnsi="Arial" w:cs="Arial"/>
        </w:rPr>
        <w:t xml:space="preserve"> in England</w:t>
      </w:r>
      <w:r w:rsidR="00AC3E60" w:rsidRPr="00541991">
        <w:rPr>
          <w:rFonts w:ascii="Arial" w:hAnsi="Arial" w:cs="Arial"/>
        </w:rPr>
        <w:t xml:space="preserve">. Their paper considers the widespread </w:t>
      </w:r>
      <w:r w:rsidRPr="00541991">
        <w:rPr>
          <w:rFonts w:ascii="Arial" w:hAnsi="Arial" w:cs="Arial"/>
        </w:rPr>
        <w:t xml:space="preserve">movement of experienced planners from public sector roles in </w:t>
      </w:r>
      <w:r w:rsidR="009F1824" w:rsidRPr="00541991">
        <w:rPr>
          <w:rFonts w:ascii="Arial" w:hAnsi="Arial" w:cs="Arial"/>
        </w:rPr>
        <w:t>local</w:t>
      </w:r>
      <w:r w:rsidR="00AC3E60" w:rsidRPr="00541991">
        <w:rPr>
          <w:rFonts w:ascii="Arial" w:hAnsi="Arial" w:cs="Arial"/>
        </w:rPr>
        <w:t xml:space="preserve"> government</w:t>
      </w:r>
      <w:r w:rsidRPr="00541991">
        <w:rPr>
          <w:rFonts w:ascii="Arial" w:hAnsi="Arial" w:cs="Arial"/>
        </w:rPr>
        <w:t xml:space="preserve"> to the private sector</w:t>
      </w:r>
      <w:r w:rsidR="00DA73FF" w:rsidRPr="00541991">
        <w:rPr>
          <w:rFonts w:ascii="Arial" w:hAnsi="Arial" w:cs="Arial"/>
        </w:rPr>
        <w:t xml:space="preserve"> as they take with them knowledge built up over many years</w:t>
      </w:r>
      <w:r w:rsidRPr="00541991">
        <w:rPr>
          <w:rFonts w:ascii="Arial" w:hAnsi="Arial" w:cs="Arial"/>
        </w:rPr>
        <w:t xml:space="preserve">. </w:t>
      </w:r>
      <w:r w:rsidR="00681B4C" w:rsidRPr="00541991">
        <w:rPr>
          <w:rFonts w:ascii="Arial" w:hAnsi="Arial" w:cs="Arial"/>
        </w:rPr>
        <w:t xml:space="preserve">Attending to planners’ expert tacit knowledge of how things work on the ground, </w:t>
      </w:r>
      <w:r w:rsidR="004C6AA9" w:rsidRPr="00541991">
        <w:rPr>
          <w:rFonts w:ascii="Arial" w:hAnsi="Arial" w:cs="Arial"/>
        </w:rPr>
        <w:t xml:space="preserve">the paper reveals the shifting knowledge and power dynamics of this </w:t>
      </w:r>
      <w:r w:rsidR="003920FB" w:rsidRPr="00541991">
        <w:rPr>
          <w:rFonts w:ascii="Arial" w:hAnsi="Arial" w:cs="Arial"/>
        </w:rPr>
        <w:t>mobility</w:t>
      </w:r>
      <w:r w:rsidR="00182A8A" w:rsidRPr="00541991">
        <w:rPr>
          <w:rFonts w:ascii="Arial" w:hAnsi="Arial" w:cs="Arial"/>
        </w:rPr>
        <w:t xml:space="preserve"> between and within </w:t>
      </w:r>
      <w:r w:rsidR="00182A8A" w:rsidRPr="00541991">
        <w:rPr>
          <w:rFonts w:ascii="Arial" w:hAnsi="Arial" w:cs="Arial"/>
        </w:rPr>
        <w:lastRenderedPageBreak/>
        <w:t xml:space="preserve">the public and private sector. With its potential to influence and redefine local planning decisions, </w:t>
      </w:r>
      <w:r w:rsidR="009F1824" w:rsidRPr="00541991">
        <w:rPr>
          <w:rFonts w:ascii="Arial" w:hAnsi="Arial" w:cs="Arial"/>
        </w:rPr>
        <w:t xml:space="preserve">the emergence of </w:t>
      </w:r>
      <w:r w:rsidR="00182A8A" w:rsidRPr="00541991">
        <w:rPr>
          <w:rFonts w:ascii="Arial" w:hAnsi="Arial" w:cs="Arial"/>
        </w:rPr>
        <w:t xml:space="preserve">new geographies of tacit knowledge can </w:t>
      </w:r>
      <w:r w:rsidR="003920FB" w:rsidRPr="00541991">
        <w:rPr>
          <w:rFonts w:ascii="Arial" w:hAnsi="Arial" w:cs="Arial"/>
        </w:rPr>
        <w:t xml:space="preserve">reconfigure locally embedded knowledge as expertise becomes mobilized elsewhere. </w:t>
      </w:r>
    </w:p>
    <w:p w:rsidR="003920FB" w:rsidRPr="00541991" w:rsidRDefault="003920FB" w:rsidP="00A206D0">
      <w:pPr>
        <w:pStyle w:val="NormalWeb"/>
        <w:spacing w:before="0" w:beforeAutospacing="0" w:after="0" w:afterAutospacing="0" w:line="360" w:lineRule="auto"/>
        <w:jc w:val="both"/>
        <w:rPr>
          <w:rFonts w:ascii="Arial" w:hAnsi="Arial" w:cs="Arial"/>
        </w:rPr>
      </w:pPr>
    </w:p>
    <w:p w:rsidR="009D10D1" w:rsidRPr="00541991" w:rsidRDefault="000972C2" w:rsidP="00A206D0">
      <w:pPr>
        <w:pStyle w:val="NormalWeb"/>
        <w:spacing w:before="0" w:beforeAutospacing="0" w:after="0" w:afterAutospacing="0" w:line="360" w:lineRule="auto"/>
        <w:jc w:val="both"/>
        <w:rPr>
          <w:rFonts w:ascii="Arial" w:hAnsi="Arial" w:cs="Arial"/>
        </w:rPr>
      </w:pPr>
      <w:proofErr w:type="spellStart"/>
      <w:r w:rsidRPr="00541991">
        <w:rPr>
          <w:rFonts w:ascii="Arial" w:hAnsi="Arial" w:cs="Arial"/>
        </w:rPr>
        <w:t>Colenutt’s</w:t>
      </w:r>
      <w:proofErr w:type="spellEnd"/>
      <w:r w:rsidRPr="00541991">
        <w:rPr>
          <w:rFonts w:ascii="Arial" w:hAnsi="Arial" w:cs="Arial"/>
        </w:rPr>
        <w:t xml:space="preserve"> (2020</w:t>
      </w:r>
      <w:r w:rsidR="00095BC2" w:rsidRPr="00541991">
        <w:rPr>
          <w:rFonts w:ascii="Arial" w:hAnsi="Arial" w:cs="Arial"/>
        </w:rPr>
        <w:t xml:space="preserve">) paper argues for a new politics of knowledge </w:t>
      </w:r>
      <w:r w:rsidR="009D10D1" w:rsidRPr="00541991">
        <w:rPr>
          <w:rFonts w:ascii="Arial" w:hAnsi="Arial" w:cs="Arial"/>
        </w:rPr>
        <w:t>to challenge property development in London. Stemming from grassroots</w:t>
      </w:r>
      <w:r w:rsidR="00881F07" w:rsidRPr="00541991">
        <w:rPr>
          <w:rFonts w:ascii="Arial" w:hAnsi="Arial" w:cs="Arial"/>
        </w:rPr>
        <w:t xml:space="preserve"> campaigns</w:t>
      </w:r>
      <w:r w:rsidR="009D10D1" w:rsidRPr="00541991">
        <w:rPr>
          <w:rFonts w:ascii="Arial" w:hAnsi="Arial" w:cs="Arial"/>
        </w:rPr>
        <w:t xml:space="preserve"> and local action, </w:t>
      </w:r>
      <w:r w:rsidR="00CD0BB8" w:rsidRPr="00541991">
        <w:rPr>
          <w:rFonts w:ascii="Arial" w:hAnsi="Arial" w:cs="Arial"/>
        </w:rPr>
        <w:t>he argues that the new politics</w:t>
      </w:r>
      <w:r w:rsidR="009D10D1" w:rsidRPr="00541991">
        <w:rPr>
          <w:rFonts w:ascii="Arial" w:hAnsi="Arial" w:cs="Arial"/>
        </w:rPr>
        <w:t xml:space="preserve"> of knowledge can seek to challenge top-down knowledge and expertise in plan</w:t>
      </w:r>
      <w:r w:rsidR="00E752BD" w:rsidRPr="00541991">
        <w:rPr>
          <w:rFonts w:ascii="Arial" w:hAnsi="Arial" w:cs="Arial"/>
        </w:rPr>
        <w:t>ning, housing and land</w:t>
      </w:r>
      <w:r w:rsidR="009D10D1" w:rsidRPr="00541991">
        <w:rPr>
          <w:rFonts w:ascii="Arial" w:hAnsi="Arial" w:cs="Arial"/>
        </w:rPr>
        <w:t>. Focusing on the role of economic viability</w:t>
      </w:r>
      <w:r w:rsidR="002725AE" w:rsidRPr="00541991">
        <w:rPr>
          <w:rFonts w:ascii="Arial" w:hAnsi="Arial" w:cs="Arial"/>
        </w:rPr>
        <w:t xml:space="preserve"> testing in shaping decision-</w:t>
      </w:r>
      <w:r w:rsidR="00E752BD" w:rsidRPr="00541991">
        <w:rPr>
          <w:rFonts w:ascii="Arial" w:hAnsi="Arial" w:cs="Arial"/>
        </w:rPr>
        <w:t>ma</w:t>
      </w:r>
      <w:r w:rsidR="009D10D1" w:rsidRPr="00541991">
        <w:rPr>
          <w:rFonts w:ascii="Arial" w:hAnsi="Arial" w:cs="Arial"/>
        </w:rPr>
        <w:t xml:space="preserve">king, </w:t>
      </w:r>
      <w:proofErr w:type="spellStart"/>
      <w:r w:rsidR="009D10D1" w:rsidRPr="00541991">
        <w:rPr>
          <w:rFonts w:ascii="Arial" w:hAnsi="Arial" w:cs="Arial"/>
        </w:rPr>
        <w:t>Colenutt</w:t>
      </w:r>
      <w:proofErr w:type="spellEnd"/>
      <w:r w:rsidR="009D10D1" w:rsidRPr="00541991">
        <w:rPr>
          <w:rFonts w:ascii="Arial" w:hAnsi="Arial" w:cs="Arial"/>
        </w:rPr>
        <w:t xml:space="preserve"> argues that</w:t>
      </w:r>
      <w:r w:rsidR="00EF5752" w:rsidRPr="00541991">
        <w:rPr>
          <w:rFonts w:ascii="Arial" w:hAnsi="Arial" w:cs="Arial"/>
        </w:rPr>
        <w:t xml:space="preserve"> the power of</w:t>
      </w:r>
      <w:r w:rsidR="009D10D1" w:rsidRPr="00541991">
        <w:rPr>
          <w:rFonts w:ascii="Arial" w:hAnsi="Arial" w:cs="Arial"/>
        </w:rPr>
        <w:t xml:space="preserve"> conventional </w:t>
      </w:r>
      <w:r w:rsidR="00031FBC" w:rsidRPr="00541991">
        <w:rPr>
          <w:rFonts w:ascii="Arial" w:hAnsi="Arial" w:cs="Arial"/>
        </w:rPr>
        <w:t>property market expertise can have a profound influence on the redevelopment of neig</w:t>
      </w:r>
      <w:r w:rsidR="00870888" w:rsidRPr="00541991">
        <w:rPr>
          <w:rFonts w:ascii="Arial" w:hAnsi="Arial" w:cs="Arial"/>
        </w:rPr>
        <w:t xml:space="preserve">hbourhoods across the city. </w:t>
      </w:r>
      <w:r w:rsidR="00881F07" w:rsidRPr="00541991">
        <w:rPr>
          <w:rFonts w:ascii="Arial" w:hAnsi="Arial" w:cs="Arial"/>
        </w:rPr>
        <w:t>Instead he asserts it</w:t>
      </w:r>
      <w:r w:rsidR="00031FBC" w:rsidRPr="00541991">
        <w:rPr>
          <w:rFonts w:ascii="Arial" w:hAnsi="Arial" w:cs="Arial"/>
        </w:rPr>
        <w:t xml:space="preserve"> must be challenged through this new politics of knowledge to create a new politics of opposition. </w:t>
      </w:r>
    </w:p>
    <w:p w:rsidR="00BD3CE1" w:rsidRPr="00541991" w:rsidRDefault="00BD3CE1" w:rsidP="00A206D0">
      <w:pPr>
        <w:spacing w:line="360" w:lineRule="auto"/>
        <w:jc w:val="both"/>
        <w:rPr>
          <w:rFonts w:ascii="Arial" w:hAnsi="Arial" w:cs="Arial"/>
        </w:rPr>
      </w:pPr>
    </w:p>
    <w:p w:rsidR="00A206D0" w:rsidRPr="00541991" w:rsidRDefault="00A206D0" w:rsidP="00A206D0">
      <w:pPr>
        <w:spacing w:line="360" w:lineRule="auto"/>
        <w:jc w:val="both"/>
        <w:rPr>
          <w:rFonts w:ascii="Arial" w:hAnsi="Arial" w:cs="Arial"/>
        </w:rPr>
      </w:pPr>
      <w:r w:rsidRPr="00541991">
        <w:rPr>
          <w:rFonts w:ascii="Arial" w:hAnsi="Arial" w:cs="Arial"/>
        </w:rPr>
        <w:t>3.0: Broadening expert knowledge</w:t>
      </w:r>
    </w:p>
    <w:p w:rsidR="00114CA1" w:rsidRPr="00541991" w:rsidRDefault="008A17A8" w:rsidP="00A206D0">
      <w:pPr>
        <w:spacing w:line="360" w:lineRule="auto"/>
        <w:jc w:val="both"/>
        <w:rPr>
          <w:rFonts w:ascii="Arial" w:hAnsi="Arial" w:cs="Arial"/>
        </w:rPr>
      </w:pPr>
      <w:r w:rsidRPr="00541991">
        <w:rPr>
          <w:rFonts w:ascii="Arial" w:hAnsi="Arial" w:cs="Arial"/>
        </w:rPr>
        <w:t>While expert knowledge is considered an essential part of society, it can be mobilized in a variety of ways</w:t>
      </w:r>
      <w:r w:rsidR="00114CA1" w:rsidRPr="00541991">
        <w:rPr>
          <w:rFonts w:ascii="Arial" w:hAnsi="Arial" w:cs="Arial"/>
        </w:rPr>
        <w:t xml:space="preserve"> through selective deployment to support particular decision</w:t>
      </w:r>
      <w:r w:rsidR="00870888" w:rsidRPr="00541991">
        <w:rPr>
          <w:rFonts w:ascii="Arial" w:hAnsi="Arial" w:cs="Arial"/>
        </w:rPr>
        <w:t>s</w:t>
      </w:r>
      <w:r w:rsidR="00114CA1" w:rsidRPr="00541991">
        <w:rPr>
          <w:rFonts w:ascii="Arial" w:hAnsi="Arial" w:cs="Arial"/>
        </w:rPr>
        <w:t xml:space="preserve"> or indirectly influencing decision-making by conditioning wider debates to inform and enlighten discussion (Dunlop, 2014). </w:t>
      </w:r>
      <w:r w:rsidRPr="00541991">
        <w:rPr>
          <w:rFonts w:ascii="Arial" w:hAnsi="Arial" w:cs="Arial"/>
        </w:rPr>
        <w:t>As we see from the papers in this special section, t</w:t>
      </w:r>
      <w:r w:rsidR="00114CA1" w:rsidRPr="00541991">
        <w:rPr>
          <w:rFonts w:ascii="Arial" w:hAnsi="Arial" w:cs="Arial"/>
        </w:rPr>
        <w:t>he desirability of considering different forms of knowledge a</w:t>
      </w:r>
      <w:r w:rsidR="00BC27AC" w:rsidRPr="00541991">
        <w:rPr>
          <w:rFonts w:ascii="Arial" w:hAnsi="Arial" w:cs="Arial"/>
        </w:rPr>
        <w:t>nd expertise to inform decision-</w:t>
      </w:r>
      <w:r w:rsidR="00114CA1" w:rsidRPr="00541991">
        <w:rPr>
          <w:rFonts w:ascii="Arial" w:hAnsi="Arial" w:cs="Arial"/>
        </w:rPr>
        <w:t>making processes</w:t>
      </w:r>
      <w:r w:rsidR="00B07C87" w:rsidRPr="00541991">
        <w:rPr>
          <w:rFonts w:ascii="Arial" w:hAnsi="Arial" w:cs="Arial"/>
        </w:rPr>
        <w:t xml:space="preserve"> is </w:t>
      </w:r>
      <w:r w:rsidR="00114CA1" w:rsidRPr="00541991">
        <w:rPr>
          <w:rFonts w:ascii="Arial" w:hAnsi="Arial" w:cs="Arial"/>
        </w:rPr>
        <w:t>often contested (</w:t>
      </w:r>
      <w:proofErr w:type="spellStart"/>
      <w:r w:rsidR="00114CA1" w:rsidRPr="00541991">
        <w:rPr>
          <w:rFonts w:ascii="Arial" w:hAnsi="Arial" w:cs="Arial"/>
        </w:rPr>
        <w:t>Grundmann</w:t>
      </w:r>
      <w:proofErr w:type="spellEnd"/>
      <w:r w:rsidR="00114CA1" w:rsidRPr="00541991">
        <w:rPr>
          <w:rFonts w:ascii="Arial" w:hAnsi="Arial" w:cs="Arial"/>
        </w:rPr>
        <w:t>, 201</w:t>
      </w:r>
      <w:r w:rsidR="00353133" w:rsidRPr="00541991">
        <w:rPr>
          <w:rFonts w:ascii="Arial" w:hAnsi="Arial" w:cs="Arial"/>
        </w:rPr>
        <w:t>7</w:t>
      </w:r>
      <w:r w:rsidR="00114CA1" w:rsidRPr="00541991">
        <w:rPr>
          <w:rFonts w:ascii="Arial" w:hAnsi="Arial" w:cs="Arial"/>
        </w:rPr>
        <w:t>), with certain forms of knowledge often assuming authority over others (</w:t>
      </w:r>
      <w:proofErr w:type="spellStart"/>
      <w:r w:rsidR="00114CA1" w:rsidRPr="00541991">
        <w:rPr>
          <w:rFonts w:ascii="Arial" w:hAnsi="Arial" w:cs="Arial"/>
        </w:rPr>
        <w:t>Castree</w:t>
      </w:r>
      <w:proofErr w:type="spellEnd"/>
      <w:r w:rsidR="00114CA1" w:rsidRPr="00541991">
        <w:rPr>
          <w:rFonts w:ascii="Arial" w:hAnsi="Arial" w:cs="Arial"/>
        </w:rPr>
        <w:t xml:space="preserve">, 2015). Different forms of expertise may therefore be conflicting and competing with one another, reflecting the power relations that underpin the </w:t>
      </w:r>
      <w:r w:rsidR="00CF55EF" w:rsidRPr="00541991">
        <w:rPr>
          <w:rFonts w:ascii="Arial" w:hAnsi="Arial" w:cs="Arial"/>
        </w:rPr>
        <w:t>deployment</w:t>
      </w:r>
      <w:r w:rsidR="00114CA1" w:rsidRPr="00541991">
        <w:rPr>
          <w:rFonts w:ascii="Arial" w:hAnsi="Arial" w:cs="Arial"/>
        </w:rPr>
        <w:t xml:space="preserve"> of particular forms of expertise</w:t>
      </w:r>
      <w:r w:rsidR="00280FFF" w:rsidRPr="00541991">
        <w:rPr>
          <w:rFonts w:ascii="Arial" w:hAnsi="Arial" w:cs="Arial"/>
        </w:rPr>
        <w:t xml:space="preserve">. </w:t>
      </w:r>
      <w:r w:rsidR="00114CA1" w:rsidRPr="00541991">
        <w:rPr>
          <w:rFonts w:ascii="Arial" w:hAnsi="Arial" w:cs="Arial"/>
        </w:rPr>
        <w:t xml:space="preserve">Calls have been made </w:t>
      </w:r>
      <w:r w:rsidRPr="00541991">
        <w:rPr>
          <w:rFonts w:ascii="Arial" w:hAnsi="Arial" w:cs="Arial"/>
        </w:rPr>
        <w:t>therefore for the necessity of</w:t>
      </w:r>
      <w:r w:rsidR="00114CA1" w:rsidRPr="00541991">
        <w:rPr>
          <w:rFonts w:ascii="Arial" w:hAnsi="Arial" w:cs="Arial"/>
        </w:rPr>
        <w:t xml:space="preserve"> broaden</w:t>
      </w:r>
      <w:r w:rsidRPr="00541991">
        <w:rPr>
          <w:rFonts w:ascii="Arial" w:hAnsi="Arial" w:cs="Arial"/>
        </w:rPr>
        <w:t>ing</w:t>
      </w:r>
      <w:r w:rsidR="00114CA1" w:rsidRPr="00541991">
        <w:rPr>
          <w:rFonts w:ascii="Arial" w:hAnsi="Arial" w:cs="Arial"/>
        </w:rPr>
        <w:t xml:space="preserve"> our understanding of expertise, emphasising the importance of addressing diverse knowledge claims</w:t>
      </w:r>
      <w:r w:rsidRPr="00541991">
        <w:rPr>
          <w:rFonts w:ascii="Arial" w:hAnsi="Arial" w:cs="Arial"/>
        </w:rPr>
        <w:t xml:space="preserve">. As is evident across the papers in this special section, rather than </w:t>
      </w:r>
      <w:r w:rsidR="00114CA1" w:rsidRPr="00541991">
        <w:rPr>
          <w:rFonts w:ascii="Arial" w:hAnsi="Arial" w:cs="Arial"/>
        </w:rPr>
        <w:t xml:space="preserve">confining expertise to techno-scientific expertise, broader understandings of expertise can also emerge from </w:t>
      </w:r>
      <w:r w:rsidR="00901969" w:rsidRPr="00541991">
        <w:rPr>
          <w:rFonts w:ascii="Arial" w:hAnsi="Arial" w:cs="Arial"/>
        </w:rPr>
        <w:t>paying attention to the importance of</w:t>
      </w:r>
      <w:r w:rsidR="00114CA1" w:rsidRPr="00541991">
        <w:rPr>
          <w:rFonts w:ascii="Arial" w:hAnsi="Arial" w:cs="Arial"/>
        </w:rPr>
        <w:t xml:space="preserve"> experiential and </w:t>
      </w:r>
      <w:r w:rsidR="00353133" w:rsidRPr="00541991">
        <w:rPr>
          <w:rFonts w:ascii="Arial" w:hAnsi="Arial" w:cs="Arial"/>
        </w:rPr>
        <w:t>tacit knowledge (</w:t>
      </w:r>
      <w:proofErr w:type="spellStart"/>
      <w:r w:rsidR="00353133" w:rsidRPr="00541991">
        <w:rPr>
          <w:rFonts w:ascii="Arial" w:hAnsi="Arial" w:cs="Arial"/>
        </w:rPr>
        <w:t>Grundmann</w:t>
      </w:r>
      <w:proofErr w:type="spellEnd"/>
      <w:r w:rsidR="00353133" w:rsidRPr="00541991">
        <w:rPr>
          <w:rFonts w:ascii="Arial" w:hAnsi="Arial" w:cs="Arial"/>
        </w:rPr>
        <w:t>, 2017</w:t>
      </w:r>
      <w:r w:rsidR="00114CA1" w:rsidRPr="00541991">
        <w:rPr>
          <w:rFonts w:ascii="Arial" w:hAnsi="Arial" w:cs="Arial"/>
        </w:rPr>
        <w:t xml:space="preserve">). </w:t>
      </w:r>
      <w:r w:rsidRPr="00541991">
        <w:rPr>
          <w:rFonts w:ascii="Arial" w:hAnsi="Arial" w:cs="Arial"/>
        </w:rPr>
        <w:t xml:space="preserve">Expertise therefore can be considered as relational, something that is used </w:t>
      </w:r>
      <w:r w:rsidR="00901969" w:rsidRPr="00541991">
        <w:rPr>
          <w:rFonts w:ascii="Arial" w:hAnsi="Arial" w:cs="Arial"/>
        </w:rPr>
        <w:t>and performed, and that mediates</w:t>
      </w:r>
      <w:r w:rsidRPr="00541991">
        <w:rPr>
          <w:rFonts w:ascii="Arial" w:hAnsi="Arial" w:cs="Arial"/>
        </w:rPr>
        <w:t xml:space="preserve"> between knowledge production and its </w:t>
      </w:r>
      <w:r w:rsidR="00901969" w:rsidRPr="00541991">
        <w:rPr>
          <w:rFonts w:ascii="Arial" w:hAnsi="Arial" w:cs="Arial"/>
        </w:rPr>
        <w:t>mobilization</w:t>
      </w:r>
      <w:r w:rsidR="00114CA1" w:rsidRPr="00541991">
        <w:rPr>
          <w:rFonts w:ascii="Arial" w:hAnsi="Arial" w:cs="Arial"/>
        </w:rPr>
        <w:t xml:space="preserve"> (ibid). </w:t>
      </w:r>
    </w:p>
    <w:p w:rsidR="00CF55EF" w:rsidRPr="00541991" w:rsidRDefault="00CF55EF" w:rsidP="00A206D0">
      <w:pPr>
        <w:pStyle w:val="NormalWeb"/>
        <w:spacing w:before="0" w:beforeAutospacing="0" w:after="0" w:afterAutospacing="0" w:line="360" w:lineRule="auto"/>
        <w:jc w:val="both"/>
        <w:rPr>
          <w:rFonts w:ascii="Arial" w:hAnsi="Arial" w:cs="Arial"/>
        </w:rPr>
      </w:pPr>
    </w:p>
    <w:p w:rsidR="00095BC2" w:rsidRPr="00541991" w:rsidRDefault="00095BC2" w:rsidP="00A206D0">
      <w:pPr>
        <w:pStyle w:val="NormalWeb"/>
        <w:spacing w:before="0" w:beforeAutospacing="0" w:after="0" w:afterAutospacing="0" w:line="360" w:lineRule="auto"/>
        <w:jc w:val="both"/>
        <w:rPr>
          <w:rFonts w:ascii="Arial" w:hAnsi="Arial" w:cs="Arial"/>
        </w:rPr>
      </w:pPr>
      <w:r w:rsidRPr="00541991">
        <w:rPr>
          <w:rFonts w:ascii="Arial" w:hAnsi="Arial" w:cs="Arial"/>
        </w:rPr>
        <w:t xml:space="preserve">The role of expert knowledge </w:t>
      </w:r>
      <w:r w:rsidR="00BC1550" w:rsidRPr="00541991">
        <w:rPr>
          <w:rFonts w:ascii="Arial" w:hAnsi="Arial" w:cs="Arial"/>
        </w:rPr>
        <w:t>has nonetheless continued</w:t>
      </w:r>
      <w:r w:rsidRPr="00541991">
        <w:rPr>
          <w:rFonts w:ascii="Arial" w:hAnsi="Arial" w:cs="Arial"/>
        </w:rPr>
        <w:t xml:space="preserve"> to come under threat, as ‘our contemporary society is confronting a crisis of truth, as facts and fakes are conflated </w:t>
      </w:r>
      <w:r w:rsidRPr="00541991">
        <w:rPr>
          <w:rFonts w:ascii="Arial" w:hAnsi="Arial" w:cs="Arial"/>
        </w:rPr>
        <w:lastRenderedPageBreak/>
        <w:t>and disseminated across both digital and spatial communities’ (</w:t>
      </w:r>
      <w:proofErr w:type="spellStart"/>
      <w:r w:rsidRPr="00541991">
        <w:rPr>
          <w:rFonts w:ascii="Arial" w:hAnsi="Arial" w:cs="Arial"/>
        </w:rPr>
        <w:t>Gudowsky</w:t>
      </w:r>
      <w:proofErr w:type="spellEnd"/>
      <w:r w:rsidRPr="00541991">
        <w:rPr>
          <w:rFonts w:ascii="Arial" w:hAnsi="Arial" w:cs="Arial"/>
        </w:rPr>
        <w:t xml:space="preserve"> and Rosa, 2019, p.24). </w:t>
      </w:r>
      <w:r w:rsidR="00A87AAA" w:rsidRPr="00541991">
        <w:rPr>
          <w:rFonts w:ascii="Arial" w:hAnsi="Arial" w:cs="Arial"/>
        </w:rPr>
        <w:t>In recent years</w:t>
      </w:r>
      <w:r w:rsidR="00272DFF" w:rsidRPr="00541991">
        <w:rPr>
          <w:rFonts w:ascii="Arial" w:hAnsi="Arial" w:cs="Arial"/>
        </w:rPr>
        <w:t>,</w:t>
      </w:r>
      <w:r w:rsidR="00A87AAA" w:rsidRPr="00541991">
        <w:rPr>
          <w:rFonts w:ascii="Arial" w:hAnsi="Arial" w:cs="Arial"/>
        </w:rPr>
        <w:t xml:space="preserve"> Michael Gove, a senior UK government minister p</w:t>
      </w:r>
      <w:r w:rsidR="00FC5C2A" w:rsidRPr="00541991">
        <w:rPr>
          <w:rFonts w:ascii="Arial" w:hAnsi="Arial" w:cs="Arial"/>
        </w:rPr>
        <w:t>roclaimed</w:t>
      </w:r>
      <w:r w:rsidRPr="00541991">
        <w:rPr>
          <w:rFonts w:ascii="Arial" w:hAnsi="Arial" w:cs="Arial"/>
        </w:rPr>
        <w:t>, “I think the people of this country have had enough of experts”</w:t>
      </w:r>
      <w:r w:rsidR="00A6687C" w:rsidRPr="00541991">
        <w:rPr>
          <w:rFonts w:ascii="Arial" w:hAnsi="Arial" w:cs="Arial"/>
        </w:rPr>
        <w:t xml:space="preserve"> </w:t>
      </w:r>
      <w:r w:rsidRPr="00541991">
        <w:rPr>
          <w:rFonts w:ascii="Arial" w:hAnsi="Arial" w:cs="Arial"/>
        </w:rPr>
        <w:t>(</w:t>
      </w:r>
      <w:proofErr w:type="spellStart"/>
      <w:r w:rsidRPr="00541991">
        <w:rPr>
          <w:rFonts w:ascii="Arial" w:hAnsi="Arial" w:cs="Arial"/>
        </w:rPr>
        <w:t>Portes</w:t>
      </w:r>
      <w:proofErr w:type="spellEnd"/>
      <w:r w:rsidRPr="00541991">
        <w:rPr>
          <w:rFonts w:ascii="Arial" w:hAnsi="Arial" w:cs="Arial"/>
        </w:rPr>
        <w:t xml:space="preserve">, 2017). </w:t>
      </w:r>
      <w:r w:rsidR="00A6687C" w:rsidRPr="00541991">
        <w:rPr>
          <w:rFonts w:ascii="Arial" w:hAnsi="Arial" w:cs="Arial"/>
        </w:rPr>
        <w:t xml:space="preserve">In the wake of </w:t>
      </w:r>
      <w:proofErr w:type="spellStart"/>
      <w:r w:rsidR="00A6687C" w:rsidRPr="00541991">
        <w:rPr>
          <w:rFonts w:ascii="Arial" w:hAnsi="Arial" w:cs="Arial"/>
        </w:rPr>
        <w:t>Brexit</w:t>
      </w:r>
      <w:proofErr w:type="spellEnd"/>
      <w:r w:rsidR="00A6687C" w:rsidRPr="00541991">
        <w:rPr>
          <w:rFonts w:ascii="Arial" w:hAnsi="Arial" w:cs="Arial"/>
        </w:rPr>
        <w:t xml:space="preserve"> and the 2016 US presidential elections, alternative narratives about truth and politics have been </w:t>
      </w:r>
      <w:r w:rsidR="001E5BCB" w:rsidRPr="00541991">
        <w:rPr>
          <w:rFonts w:ascii="Arial" w:hAnsi="Arial" w:cs="Arial"/>
        </w:rPr>
        <w:t xml:space="preserve">commonly </w:t>
      </w:r>
      <w:r w:rsidR="00A6687C" w:rsidRPr="00541991">
        <w:rPr>
          <w:rFonts w:ascii="Arial" w:hAnsi="Arial" w:cs="Arial"/>
        </w:rPr>
        <w:t>mobilised (</w:t>
      </w:r>
      <w:proofErr w:type="spellStart"/>
      <w:r w:rsidR="00A6687C" w:rsidRPr="00541991">
        <w:rPr>
          <w:rFonts w:ascii="Arial" w:hAnsi="Arial" w:cs="Arial"/>
        </w:rPr>
        <w:t>Jasonaff</w:t>
      </w:r>
      <w:proofErr w:type="spellEnd"/>
      <w:r w:rsidR="00A6687C" w:rsidRPr="00541991">
        <w:rPr>
          <w:rFonts w:ascii="Arial" w:hAnsi="Arial" w:cs="Arial"/>
        </w:rPr>
        <w:t xml:space="preserve"> and </w:t>
      </w:r>
      <w:proofErr w:type="spellStart"/>
      <w:r w:rsidR="00A6687C" w:rsidRPr="00541991">
        <w:rPr>
          <w:rFonts w:ascii="Arial" w:hAnsi="Arial" w:cs="Arial"/>
        </w:rPr>
        <w:t>Simmett</w:t>
      </w:r>
      <w:proofErr w:type="spellEnd"/>
      <w:r w:rsidR="00A6687C" w:rsidRPr="00541991">
        <w:rPr>
          <w:rFonts w:ascii="Arial" w:hAnsi="Arial" w:cs="Arial"/>
        </w:rPr>
        <w:t>, 2017). While not new, post-truth and populism have emerged as buzzwords of the 21</w:t>
      </w:r>
      <w:r w:rsidR="00A6687C" w:rsidRPr="00541991">
        <w:rPr>
          <w:rFonts w:ascii="Arial" w:hAnsi="Arial" w:cs="Arial"/>
          <w:vertAlign w:val="superscript"/>
        </w:rPr>
        <w:t>st</w:t>
      </w:r>
      <w:r w:rsidR="00A6687C" w:rsidRPr="00541991">
        <w:rPr>
          <w:rFonts w:ascii="Arial" w:hAnsi="Arial" w:cs="Arial"/>
        </w:rPr>
        <w:t xml:space="preserve"> century, tapping into popular discontent and seeking to disrupt t</w:t>
      </w:r>
      <w:r w:rsidR="006A16AE" w:rsidRPr="00541991">
        <w:rPr>
          <w:rFonts w:ascii="Arial" w:hAnsi="Arial" w:cs="Arial"/>
        </w:rPr>
        <w:t>he establishment and undermine</w:t>
      </w:r>
      <w:r w:rsidR="00A6687C" w:rsidRPr="00541991">
        <w:rPr>
          <w:rFonts w:ascii="Arial" w:hAnsi="Arial" w:cs="Arial"/>
        </w:rPr>
        <w:t xml:space="preserve"> the role of expertise. As has been evident </w:t>
      </w:r>
      <w:r w:rsidR="00237402" w:rsidRPr="00541991">
        <w:rPr>
          <w:rFonts w:ascii="Arial" w:hAnsi="Arial" w:cs="Arial"/>
        </w:rPr>
        <w:t>during the</w:t>
      </w:r>
      <w:r w:rsidR="00A6687C" w:rsidRPr="00541991">
        <w:rPr>
          <w:rFonts w:ascii="Arial" w:hAnsi="Arial" w:cs="Arial"/>
        </w:rPr>
        <w:t xml:space="preserve"> coronavirus pandemic, expertise and the role of science and data have been pushed to the forefront and questioned. </w:t>
      </w:r>
      <w:r w:rsidRPr="00541991">
        <w:rPr>
          <w:rFonts w:ascii="Arial" w:hAnsi="Arial" w:cs="Arial"/>
        </w:rPr>
        <w:t xml:space="preserve">New and previously unlikely networks have developed as governments, business and civil society have sought to find ways to control and mitigate the public health crisis.  </w:t>
      </w:r>
    </w:p>
    <w:p w:rsidR="00095BC2" w:rsidRPr="00541991" w:rsidRDefault="00095BC2" w:rsidP="00A206D0">
      <w:pPr>
        <w:spacing w:line="360" w:lineRule="auto"/>
        <w:jc w:val="both"/>
        <w:rPr>
          <w:rFonts w:ascii="Arial" w:hAnsi="Arial" w:cs="Arial"/>
        </w:rPr>
      </w:pPr>
    </w:p>
    <w:p w:rsidR="001157A1" w:rsidRPr="00541991" w:rsidRDefault="00F1451C" w:rsidP="00A206D0">
      <w:pPr>
        <w:spacing w:line="360" w:lineRule="auto"/>
        <w:jc w:val="both"/>
        <w:rPr>
          <w:rFonts w:ascii="Arial" w:hAnsi="Arial" w:cs="Arial"/>
        </w:rPr>
      </w:pPr>
      <w:r w:rsidRPr="00541991">
        <w:rPr>
          <w:rFonts w:ascii="Arial" w:hAnsi="Arial" w:cs="Arial"/>
        </w:rPr>
        <w:t>4.0: Responding to crise</w:t>
      </w:r>
      <w:r w:rsidR="001157A1" w:rsidRPr="00541991">
        <w:rPr>
          <w:rFonts w:ascii="Arial" w:hAnsi="Arial" w:cs="Arial"/>
        </w:rPr>
        <w:t>s</w:t>
      </w:r>
    </w:p>
    <w:p w:rsidR="00095BC2" w:rsidRPr="00541991" w:rsidRDefault="00095BC2" w:rsidP="00A206D0">
      <w:pPr>
        <w:pStyle w:val="NormalWeb"/>
        <w:spacing w:before="0" w:beforeAutospacing="0" w:after="0" w:afterAutospacing="0" w:line="360" w:lineRule="auto"/>
        <w:jc w:val="both"/>
        <w:rPr>
          <w:rFonts w:ascii="Arial" w:hAnsi="Arial" w:cs="Arial"/>
        </w:rPr>
      </w:pPr>
      <w:r w:rsidRPr="00541991">
        <w:rPr>
          <w:rFonts w:ascii="Arial" w:hAnsi="Arial" w:cs="Arial"/>
        </w:rPr>
        <w:t>Researchers have pointed to the role of crisis as a trigger for systemic change towards sustainability (</w:t>
      </w:r>
      <w:hyperlink r:id="rId8" w:anchor="bib0185" w:history="1">
        <w:r w:rsidRPr="00541991">
          <w:rPr>
            <w:rStyle w:val="Hyperlink"/>
            <w:rFonts w:ascii="Arial" w:hAnsi="Arial" w:cs="Arial"/>
            <w:color w:val="auto"/>
            <w:u w:val="none"/>
          </w:rPr>
          <w:t>Gunderson et al., 2017</w:t>
        </w:r>
      </w:hyperlink>
      <w:r w:rsidRPr="00541991">
        <w:rPr>
          <w:rFonts w:ascii="Arial" w:hAnsi="Arial" w:cs="Arial"/>
        </w:rPr>
        <w:t xml:space="preserve">; </w:t>
      </w:r>
      <w:hyperlink r:id="rId9" w:anchor="bib0270" w:history="1">
        <w:proofErr w:type="spellStart"/>
        <w:r w:rsidRPr="00541991">
          <w:rPr>
            <w:rStyle w:val="Hyperlink"/>
            <w:rFonts w:ascii="Arial" w:hAnsi="Arial" w:cs="Arial"/>
            <w:color w:val="auto"/>
            <w:u w:val="none"/>
          </w:rPr>
          <w:t>Newig</w:t>
        </w:r>
        <w:proofErr w:type="spellEnd"/>
        <w:r w:rsidRPr="00541991">
          <w:rPr>
            <w:rStyle w:val="Hyperlink"/>
            <w:rFonts w:ascii="Arial" w:hAnsi="Arial" w:cs="Arial"/>
            <w:color w:val="auto"/>
            <w:u w:val="none"/>
          </w:rPr>
          <w:t xml:space="preserve"> et al., 2019</w:t>
        </w:r>
      </w:hyperlink>
      <w:r w:rsidRPr="00541991">
        <w:rPr>
          <w:rFonts w:ascii="Arial" w:hAnsi="Arial" w:cs="Arial"/>
        </w:rPr>
        <w:t>). Case studies of crisis leading to change have highlighted the role of specific institutional practices including policy and regulatory settings, resource allocation, cognitive culture, and social mobilisation (</w:t>
      </w:r>
      <w:proofErr w:type="spellStart"/>
      <w:r w:rsidRPr="00541991">
        <w:rPr>
          <w:rFonts w:ascii="Arial" w:hAnsi="Arial" w:cs="Arial"/>
        </w:rPr>
        <w:t>Novalia</w:t>
      </w:r>
      <w:proofErr w:type="spellEnd"/>
      <w:r w:rsidRPr="00541991">
        <w:rPr>
          <w:rFonts w:ascii="Arial" w:hAnsi="Arial" w:cs="Arial"/>
        </w:rPr>
        <w:t xml:space="preserve"> and </w:t>
      </w:r>
      <w:proofErr w:type="spellStart"/>
      <w:r w:rsidRPr="00541991">
        <w:rPr>
          <w:rFonts w:ascii="Arial" w:hAnsi="Arial" w:cs="Arial"/>
        </w:rPr>
        <w:t>Malekpour</w:t>
      </w:r>
      <w:proofErr w:type="spellEnd"/>
      <w:r w:rsidRPr="00541991">
        <w:rPr>
          <w:rFonts w:ascii="Arial" w:hAnsi="Arial" w:cs="Arial"/>
        </w:rPr>
        <w:t xml:space="preserve">, 2020). </w:t>
      </w:r>
      <w:r w:rsidR="00997C85" w:rsidRPr="00541991">
        <w:rPr>
          <w:rFonts w:ascii="Arial" w:hAnsi="Arial" w:cs="Arial"/>
        </w:rPr>
        <w:t>In different ways, t</w:t>
      </w:r>
      <w:r w:rsidRPr="00541991">
        <w:rPr>
          <w:rFonts w:ascii="Arial" w:hAnsi="Arial" w:cs="Arial"/>
        </w:rPr>
        <w:t xml:space="preserve">he papers across this special </w:t>
      </w:r>
      <w:r w:rsidR="00997C85" w:rsidRPr="00541991">
        <w:rPr>
          <w:rFonts w:ascii="Arial" w:hAnsi="Arial" w:cs="Arial"/>
        </w:rPr>
        <w:t>section</w:t>
      </w:r>
      <w:r w:rsidR="00A6687C" w:rsidRPr="00541991">
        <w:rPr>
          <w:rFonts w:ascii="Arial" w:hAnsi="Arial" w:cs="Arial"/>
        </w:rPr>
        <w:t xml:space="preserve"> consider the relationships between crisis and expert knowledge. </w:t>
      </w:r>
      <w:r w:rsidRPr="00541991">
        <w:rPr>
          <w:rFonts w:ascii="Arial" w:hAnsi="Arial" w:cs="Arial"/>
        </w:rPr>
        <w:t xml:space="preserve">A crisis and subsequent response is important in Palmer’s paper about </w:t>
      </w:r>
      <w:proofErr w:type="spellStart"/>
      <w:r w:rsidRPr="00541991">
        <w:rPr>
          <w:rFonts w:ascii="Arial" w:hAnsi="Arial" w:cs="Arial"/>
        </w:rPr>
        <w:t>Dieselgate</w:t>
      </w:r>
      <w:proofErr w:type="spellEnd"/>
      <w:r w:rsidRPr="00541991">
        <w:rPr>
          <w:rFonts w:ascii="Arial" w:hAnsi="Arial" w:cs="Arial"/>
        </w:rPr>
        <w:t>. Air pollution as an environmental problem is characterised by both specific pollution incidents that result in deaths and illness over a short period</w:t>
      </w:r>
      <w:r w:rsidR="008F1D37" w:rsidRPr="00541991">
        <w:rPr>
          <w:rFonts w:ascii="Arial" w:hAnsi="Arial" w:cs="Arial"/>
        </w:rPr>
        <w:t>,</w:t>
      </w:r>
      <w:r w:rsidRPr="00541991">
        <w:rPr>
          <w:rFonts w:ascii="Arial" w:hAnsi="Arial" w:cs="Arial"/>
        </w:rPr>
        <w:t xml:space="preserve"> and systemic long-term air quality problems. The </w:t>
      </w:r>
      <w:proofErr w:type="spellStart"/>
      <w:r w:rsidRPr="00541991">
        <w:rPr>
          <w:rFonts w:ascii="Arial" w:hAnsi="Arial" w:cs="Arial"/>
        </w:rPr>
        <w:t>Dieselgate</w:t>
      </w:r>
      <w:proofErr w:type="spellEnd"/>
      <w:r w:rsidRPr="00541991">
        <w:rPr>
          <w:rFonts w:ascii="Arial" w:hAnsi="Arial" w:cs="Arial"/>
        </w:rPr>
        <w:t xml:space="preserve"> crisis is also one of public trust in the competence of environmental regulators to manage complex environmental problems and hold large companies to account.</w:t>
      </w:r>
      <w:r w:rsidR="00B07C87" w:rsidRPr="00541991">
        <w:rPr>
          <w:rFonts w:ascii="Arial" w:hAnsi="Arial" w:cs="Arial"/>
        </w:rPr>
        <w:t xml:space="preserve"> </w:t>
      </w:r>
      <w:r w:rsidRPr="00541991">
        <w:rPr>
          <w:rFonts w:ascii="Arial" w:hAnsi="Arial" w:cs="Arial"/>
        </w:rPr>
        <w:t>The regulator and regulated were locked in an ‘inevitable’ regulatory game, with large motor manufacturers having significant financial and technical resources available to ‘outsmart’ their public regulators. Palmer’s research examines the actions of motor manufacturers as they attempt to keep control of the narrative as the crisis unfolds, trying to limit the scope of policy debate and through this the kinds of knowledge considered legitimate. Despite their efforts, the scandal did result in much greater visibility of real world driving data, crowd sourced by individual citizens. </w:t>
      </w:r>
    </w:p>
    <w:p w:rsidR="00095BC2" w:rsidRPr="00541991" w:rsidRDefault="00095BC2" w:rsidP="00A206D0">
      <w:pPr>
        <w:spacing w:line="360" w:lineRule="auto"/>
        <w:jc w:val="both"/>
        <w:rPr>
          <w:rFonts w:ascii="Arial" w:hAnsi="Arial" w:cs="Arial"/>
        </w:rPr>
      </w:pPr>
    </w:p>
    <w:p w:rsidR="00095BC2" w:rsidRPr="00541991" w:rsidRDefault="00095BC2" w:rsidP="00A206D0">
      <w:pPr>
        <w:pStyle w:val="NormalWeb"/>
        <w:spacing w:before="0" w:beforeAutospacing="0" w:after="0" w:afterAutospacing="0" w:line="360" w:lineRule="auto"/>
        <w:jc w:val="both"/>
        <w:rPr>
          <w:rFonts w:ascii="Arial" w:hAnsi="Arial" w:cs="Arial"/>
        </w:rPr>
      </w:pPr>
      <w:r w:rsidRPr="00541991">
        <w:rPr>
          <w:rFonts w:ascii="Arial" w:hAnsi="Arial" w:cs="Arial"/>
        </w:rPr>
        <w:lastRenderedPageBreak/>
        <w:t xml:space="preserve">A common feature of contemporary citizen science is collecting data in response to an environmental threat. Our understanding of environmental problems, in particular those related to conservation, are better known because of the data collected by citizen scientists. Our knowledge and understanding of the dramatic decline in farmland birds (Gregory et al., 2005) and pollinating insects has been underpinned by citizen science (Ballard et al, 2017). The data citizen scientists collect also help us better appreciate the threats to ecosystems as a result of climate change, as flowering plants and nesting birds react to changing global temperatures (phenology). Water pollution, like air pollution, came to prominence in advanced economies in the 1970s. There was substantial progress through legislation and the establishment of environmental regulatory agencies, which led to a widespread view that it had been largely solved. </w:t>
      </w:r>
      <w:r w:rsidR="00870888" w:rsidRPr="00541991">
        <w:rPr>
          <w:rFonts w:ascii="Arial" w:hAnsi="Arial" w:cs="Arial"/>
        </w:rPr>
        <w:t>This view that the problem has been solved has had to be revisited, as t</w:t>
      </w:r>
      <w:r w:rsidRPr="00541991">
        <w:rPr>
          <w:rFonts w:ascii="Arial" w:hAnsi="Arial" w:cs="Arial"/>
        </w:rPr>
        <w:t>he crisis affecting England’s rivers has been prominent in the national media and political debate (</w:t>
      </w:r>
      <w:proofErr w:type="spellStart"/>
      <w:r w:rsidR="00870888" w:rsidRPr="00541991">
        <w:rPr>
          <w:rFonts w:ascii="Arial" w:hAnsi="Arial" w:cs="Arial"/>
        </w:rPr>
        <w:t>Barkham</w:t>
      </w:r>
      <w:proofErr w:type="spellEnd"/>
      <w:r w:rsidR="00870888" w:rsidRPr="00541991">
        <w:rPr>
          <w:rFonts w:ascii="Arial" w:hAnsi="Arial" w:cs="Arial"/>
        </w:rPr>
        <w:t xml:space="preserve">, 2021; </w:t>
      </w:r>
      <w:proofErr w:type="spellStart"/>
      <w:r w:rsidR="00870888" w:rsidRPr="00541991">
        <w:rPr>
          <w:rFonts w:ascii="Arial" w:hAnsi="Arial" w:cs="Arial"/>
        </w:rPr>
        <w:t>Laville</w:t>
      </w:r>
      <w:proofErr w:type="spellEnd"/>
      <w:r w:rsidR="00870888" w:rsidRPr="00541991">
        <w:rPr>
          <w:rFonts w:ascii="Arial" w:hAnsi="Arial" w:cs="Arial"/>
        </w:rPr>
        <w:t>, 2021).</w:t>
      </w:r>
      <w:r w:rsidRPr="00541991">
        <w:rPr>
          <w:rFonts w:ascii="Arial" w:hAnsi="Arial" w:cs="Arial"/>
        </w:rPr>
        <w:t xml:space="preserve"> The monitoring and testing regimes and data management by government agencies has been the subject of particular criticism. </w:t>
      </w:r>
    </w:p>
    <w:p w:rsidR="00095BC2" w:rsidRPr="00541991" w:rsidRDefault="00095BC2" w:rsidP="00A206D0">
      <w:pPr>
        <w:spacing w:line="360" w:lineRule="auto"/>
        <w:jc w:val="both"/>
        <w:rPr>
          <w:rFonts w:ascii="Arial" w:hAnsi="Arial" w:cs="Arial"/>
        </w:rPr>
      </w:pPr>
    </w:p>
    <w:p w:rsidR="00095BC2" w:rsidRPr="00541991" w:rsidRDefault="00095BC2" w:rsidP="00A206D0">
      <w:pPr>
        <w:pStyle w:val="NormalWeb"/>
        <w:spacing w:before="0" w:beforeAutospacing="0" w:after="0" w:afterAutospacing="0" w:line="360" w:lineRule="auto"/>
        <w:jc w:val="both"/>
        <w:rPr>
          <w:rFonts w:ascii="Arial" w:hAnsi="Arial" w:cs="Arial"/>
        </w:rPr>
      </w:pPr>
      <w:r w:rsidRPr="00541991">
        <w:rPr>
          <w:rFonts w:ascii="Arial" w:hAnsi="Arial" w:cs="Arial"/>
        </w:rPr>
        <w:t>Technology has transformed the possibilities for individuals and communities to compile and communicate what was previously only possible for government regulatory agencies. During the Covid</w:t>
      </w:r>
      <w:r w:rsidR="00E752BD" w:rsidRPr="00541991">
        <w:rPr>
          <w:rFonts w:ascii="Arial" w:hAnsi="Arial" w:cs="Arial"/>
        </w:rPr>
        <w:t>-19</w:t>
      </w:r>
      <w:r w:rsidRPr="00541991">
        <w:rPr>
          <w:rFonts w:ascii="Arial" w:hAnsi="Arial" w:cs="Arial"/>
        </w:rPr>
        <w:t xml:space="preserve"> crisis, one of the most accessible and authoritative databases tracking hospitalisations, infections, vaccinations and deaths at different spatial scales was compiled in Australia by a fourteen year old and two fifteen year olds. Their skills in statistical analysis, coding, and generating infographics outpaced official sources supplied by a range of public agencies in different files and formats. In Cross’ paper, the co-ordinated action by citizens can lead to a transformational change in the data available to statutory agencies to more effectiv</w:t>
      </w:r>
      <w:r w:rsidR="00623912" w:rsidRPr="00541991">
        <w:rPr>
          <w:rFonts w:ascii="Arial" w:hAnsi="Arial" w:cs="Arial"/>
        </w:rPr>
        <w:t>ely manage river pollution. His paper</w:t>
      </w:r>
      <w:r w:rsidRPr="00541991">
        <w:rPr>
          <w:rFonts w:ascii="Arial" w:hAnsi="Arial" w:cs="Arial"/>
        </w:rPr>
        <w:t xml:space="preserve"> provides a valuable case study of how to address concerns about the reliability and validity of citizen collected data. Palmers’ paper also deals with issues of citizen generated big data. It contrasts the official view of the road vehicle emissions tests, with credibility linked to experimental reproducibility; </w:t>
      </w:r>
      <w:r w:rsidR="00FC5C2A" w:rsidRPr="00541991">
        <w:rPr>
          <w:rFonts w:ascii="Arial" w:hAnsi="Arial" w:cs="Arial"/>
        </w:rPr>
        <w:t>and</w:t>
      </w:r>
      <w:r w:rsidRPr="00541991">
        <w:rPr>
          <w:rFonts w:ascii="Arial" w:hAnsi="Arial" w:cs="Arial"/>
        </w:rPr>
        <w:t xml:space="preserve"> the alternative crowd sourcing of publically generated fuel economy measurements which has credibility by pooling thousands of diverse driving experiences. Palmer argues that this second approach can lead to better outcomes, more democratic accountability and inclusiveness. </w:t>
      </w:r>
    </w:p>
    <w:p w:rsidR="00095BC2" w:rsidRPr="00541991" w:rsidRDefault="00095BC2" w:rsidP="00A206D0">
      <w:pPr>
        <w:spacing w:line="360" w:lineRule="auto"/>
        <w:jc w:val="both"/>
        <w:rPr>
          <w:rFonts w:ascii="Arial" w:hAnsi="Arial" w:cs="Arial"/>
        </w:rPr>
      </w:pPr>
    </w:p>
    <w:p w:rsidR="00095BC2" w:rsidRPr="00541991" w:rsidRDefault="00BC11B7" w:rsidP="00A206D0">
      <w:pPr>
        <w:pStyle w:val="NormalWeb"/>
        <w:spacing w:before="0" w:beforeAutospacing="0" w:after="0" w:afterAutospacing="0" w:line="360" w:lineRule="auto"/>
        <w:jc w:val="both"/>
        <w:rPr>
          <w:rFonts w:ascii="Arial" w:hAnsi="Arial" w:cs="Arial"/>
        </w:rPr>
      </w:pPr>
      <w:r w:rsidRPr="00541991">
        <w:rPr>
          <w:rFonts w:ascii="Arial" w:hAnsi="Arial" w:cs="Arial"/>
        </w:rPr>
        <w:t xml:space="preserve">Underpinning Muldoon-Smith and McGuinness’ paper is the crisis of austerity that has impacted profoundly on </w:t>
      </w:r>
      <w:r w:rsidR="00997C85" w:rsidRPr="00541991">
        <w:rPr>
          <w:rFonts w:ascii="Arial" w:hAnsi="Arial" w:cs="Arial"/>
        </w:rPr>
        <w:t>local government</w:t>
      </w:r>
      <w:r w:rsidRPr="00541991">
        <w:rPr>
          <w:rFonts w:ascii="Arial" w:hAnsi="Arial" w:cs="Arial"/>
        </w:rPr>
        <w:t xml:space="preserve"> </w:t>
      </w:r>
      <w:r w:rsidR="00AA5648" w:rsidRPr="00541991">
        <w:rPr>
          <w:rFonts w:ascii="Arial" w:hAnsi="Arial" w:cs="Arial"/>
        </w:rPr>
        <w:t xml:space="preserve">in England </w:t>
      </w:r>
      <w:r w:rsidRPr="00541991">
        <w:rPr>
          <w:rFonts w:ascii="Arial" w:hAnsi="Arial" w:cs="Arial"/>
        </w:rPr>
        <w:t>ove</w:t>
      </w:r>
      <w:r w:rsidR="00AA5648" w:rsidRPr="00541991">
        <w:rPr>
          <w:rFonts w:ascii="Arial" w:hAnsi="Arial" w:cs="Arial"/>
        </w:rPr>
        <w:t>r the last decade,</w:t>
      </w:r>
      <w:r w:rsidR="00FA3C9D" w:rsidRPr="00541991">
        <w:rPr>
          <w:rFonts w:ascii="Arial" w:hAnsi="Arial" w:cs="Arial"/>
        </w:rPr>
        <w:t xml:space="preserve"> and threatened</w:t>
      </w:r>
      <w:r w:rsidRPr="00541991">
        <w:rPr>
          <w:rFonts w:ascii="Arial" w:hAnsi="Arial" w:cs="Arial"/>
        </w:rPr>
        <w:t xml:space="preserve"> their planning capacities. </w:t>
      </w:r>
      <w:r w:rsidR="00095BC2" w:rsidRPr="00541991">
        <w:rPr>
          <w:rFonts w:ascii="Arial" w:hAnsi="Arial" w:cs="Arial"/>
        </w:rPr>
        <w:t xml:space="preserve">Thick understanding of individual places built up by experienced local government planners helps keep the planning system moving, avoiding inertia and </w:t>
      </w:r>
      <w:r w:rsidR="00E215DF" w:rsidRPr="00541991">
        <w:rPr>
          <w:rFonts w:ascii="Arial" w:hAnsi="Arial" w:cs="Arial"/>
        </w:rPr>
        <w:t xml:space="preserve">reducing </w:t>
      </w:r>
      <w:r w:rsidR="00095BC2" w:rsidRPr="00541991">
        <w:rPr>
          <w:rFonts w:ascii="Arial" w:hAnsi="Arial" w:cs="Arial"/>
        </w:rPr>
        <w:t xml:space="preserve">delays. </w:t>
      </w:r>
      <w:r w:rsidRPr="00541991">
        <w:rPr>
          <w:rFonts w:ascii="Arial" w:hAnsi="Arial" w:cs="Arial"/>
        </w:rPr>
        <w:t xml:space="preserve">The tacit knowledge of public sector planners, including: </w:t>
      </w:r>
      <w:r w:rsidR="00095BC2" w:rsidRPr="00541991">
        <w:rPr>
          <w:rFonts w:ascii="Arial" w:hAnsi="Arial" w:cs="Arial"/>
        </w:rPr>
        <w:t>contacts in public and private sector; property ownership; historical perspective</w:t>
      </w:r>
      <w:r w:rsidR="0055509C" w:rsidRPr="00541991">
        <w:rPr>
          <w:rFonts w:ascii="Arial" w:hAnsi="Arial" w:cs="Arial"/>
        </w:rPr>
        <w:t>s</w:t>
      </w:r>
      <w:r w:rsidR="00095BC2" w:rsidRPr="00541991">
        <w:rPr>
          <w:rFonts w:ascii="Arial" w:hAnsi="Arial" w:cs="Arial"/>
        </w:rPr>
        <w:t xml:space="preserve"> on development; and local community knowledge</w:t>
      </w:r>
      <w:r w:rsidRPr="00541991">
        <w:rPr>
          <w:rFonts w:ascii="Arial" w:hAnsi="Arial" w:cs="Arial"/>
        </w:rPr>
        <w:t>,</w:t>
      </w:r>
      <w:r w:rsidR="00095BC2" w:rsidRPr="00541991">
        <w:rPr>
          <w:rFonts w:ascii="Arial" w:hAnsi="Arial" w:cs="Arial"/>
        </w:rPr>
        <w:t xml:space="preserve"> help ‘get things done’. </w:t>
      </w:r>
      <w:r w:rsidRPr="00541991">
        <w:rPr>
          <w:rFonts w:ascii="Arial" w:hAnsi="Arial" w:cs="Arial"/>
        </w:rPr>
        <w:t>Their paper illustrates how the tacit expertise of public sector planners is increasingly underrated, with the traditional networks of knowledge normally transferred from more senior planner</w:t>
      </w:r>
      <w:r w:rsidR="00FA3C9D" w:rsidRPr="00541991">
        <w:rPr>
          <w:rFonts w:ascii="Arial" w:hAnsi="Arial" w:cs="Arial"/>
        </w:rPr>
        <w:t>s</w:t>
      </w:r>
      <w:r w:rsidRPr="00541991">
        <w:rPr>
          <w:rFonts w:ascii="Arial" w:hAnsi="Arial" w:cs="Arial"/>
        </w:rPr>
        <w:t xml:space="preserve"> to early career planners coming undone through eroding networks of peer support. </w:t>
      </w:r>
      <w:r w:rsidR="00095BC2" w:rsidRPr="00541991">
        <w:rPr>
          <w:rFonts w:ascii="Arial" w:hAnsi="Arial" w:cs="Arial"/>
        </w:rPr>
        <w:t xml:space="preserve">The movement of knowledge and expertise away from the public to the private sector leaves those left facing growing time and resource constraints, </w:t>
      </w:r>
      <w:r w:rsidR="00FA3C9D" w:rsidRPr="00541991">
        <w:rPr>
          <w:rFonts w:ascii="Arial" w:hAnsi="Arial" w:cs="Arial"/>
        </w:rPr>
        <w:t xml:space="preserve">a </w:t>
      </w:r>
      <w:r w:rsidR="00095BC2" w:rsidRPr="00541991">
        <w:rPr>
          <w:rFonts w:ascii="Arial" w:hAnsi="Arial" w:cs="Arial"/>
        </w:rPr>
        <w:t>lack of specialist skills, and stretching government targets</w:t>
      </w:r>
      <w:r w:rsidR="00FA3C9D" w:rsidRPr="00541991">
        <w:rPr>
          <w:rFonts w:ascii="Arial" w:hAnsi="Arial" w:cs="Arial"/>
        </w:rPr>
        <w:t>. This is</w:t>
      </w:r>
      <w:r w:rsidR="008124D8" w:rsidRPr="00541991">
        <w:rPr>
          <w:rFonts w:ascii="Arial" w:hAnsi="Arial" w:cs="Arial"/>
        </w:rPr>
        <w:t xml:space="preserve"> further creating a crisis for </w:t>
      </w:r>
      <w:r w:rsidR="00095BC2" w:rsidRPr="00541991">
        <w:rPr>
          <w:rFonts w:ascii="Arial" w:hAnsi="Arial" w:cs="Arial"/>
        </w:rPr>
        <w:t>public sector planning. </w:t>
      </w:r>
    </w:p>
    <w:p w:rsidR="00095BC2" w:rsidRPr="00541991" w:rsidRDefault="00095BC2" w:rsidP="00A206D0">
      <w:pPr>
        <w:spacing w:line="360" w:lineRule="auto"/>
        <w:jc w:val="both"/>
        <w:rPr>
          <w:rFonts w:ascii="Arial" w:hAnsi="Arial" w:cs="Arial"/>
        </w:rPr>
      </w:pPr>
    </w:p>
    <w:p w:rsidR="00095BC2" w:rsidRPr="00541991" w:rsidRDefault="00095BC2" w:rsidP="00A206D0">
      <w:pPr>
        <w:pStyle w:val="NormalWeb"/>
        <w:spacing w:before="0" w:beforeAutospacing="0" w:after="0" w:afterAutospacing="0" w:line="360" w:lineRule="auto"/>
        <w:jc w:val="both"/>
        <w:rPr>
          <w:rFonts w:ascii="Arial" w:hAnsi="Arial" w:cs="Arial"/>
        </w:rPr>
      </w:pPr>
      <w:proofErr w:type="spellStart"/>
      <w:r w:rsidRPr="00541991">
        <w:rPr>
          <w:rFonts w:ascii="Arial" w:hAnsi="Arial" w:cs="Arial"/>
        </w:rPr>
        <w:t>Colenutt’s</w:t>
      </w:r>
      <w:proofErr w:type="spellEnd"/>
      <w:r w:rsidRPr="00541991">
        <w:rPr>
          <w:rFonts w:ascii="Arial" w:hAnsi="Arial" w:cs="Arial"/>
        </w:rPr>
        <w:t xml:space="preserve"> paper </w:t>
      </w:r>
      <w:r w:rsidR="008124D8" w:rsidRPr="00541991">
        <w:rPr>
          <w:rFonts w:ascii="Arial" w:hAnsi="Arial" w:cs="Arial"/>
        </w:rPr>
        <w:t xml:space="preserve">brings us to </w:t>
      </w:r>
      <w:r w:rsidR="004233FD" w:rsidRPr="00541991">
        <w:rPr>
          <w:rFonts w:ascii="Arial" w:hAnsi="Arial" w:cs="Arial"/>
        </w:rPr>
        <w:t xml:space="preserve">these </w:t>
      </w:r>
      <w:r w:rsidR="008124D8" w:rsidRPr="00541991">
        <w:rPr>
          <w:rFonts w:ascii="Arial" w:hAnsi="Arial" w:cs="Arial"/>
        </w:rPr>
        <w:t xml:space="preserve">questions in relation to the housing crisis. </w:t>
      </w:r>
      <w:r w:rsidRPr="00541991">
        <w:rPr>
          <w:rFonts w:ascii="Arial" w:hAnsi="Arial" w:cs="Arial"/>
        </w:rPr>
        <w:t xml:space="preserve">The housing crisis is a commonly used expression in the popular media and among built environment professionals to describe the acute problems many people face in accessing good quality and affordable homes. While </w:t>
      </w:r>
      <w:proofErr w:type="spellStart"/>
      <w:r w:rsidRPr="00541991">
        <w:rPr>
          <w:rFonts w:ascii="Arial" w:hAnsi="Arial" w:cs="Arial"/>
        </w:rPr>
        <w:t>Colenutt</w:t>
      </w:r>
      <w:proofErr w:type="spellEnd"/>
      <w:r w:rsidRPr="00541991">
        <w:rPr>
          <w:rFonts w:ascii="Arial" w:hAnsi="Arial" w:cs="Arial"/>
        </w:rPr>
        <w:t xml:space="preserve"> explores this in the context </w:t>
      </w:r>
      <w:r w:rsidR="00FA3C9D" w:rsidRPr="00541991">
        <w:rPr>
          <w:rFonts w:ascii="Arial" w:hAnsi="Arial" w:cs="Arial"/>
        </w:rPr>
        <w:t>of</w:t>
      </w:r>
      <w:r w:rsidRPr="00541991">
        <w:rPr>
          <w:rFonts w:ascii="Arial" w:hAnsi="Arial" w:cs="Arial"/>
        </w:rPr>
        <w:t xml:space="preserve"> London, cities and rural areas the world over are contending with this (</w:t>
      </w:r>
      <w:proofErr w:type="spellStart"/>
      <w:r w:rsidRPr="00541991">
        <w:rPr>
          <w:rFonts w:ascii="Arial" w:hAnsi="Arial" w:cs="Arial"/>
        </w:rPr>
        <w:t>Rolnik</w:t>
      </w:r>
      <w:proofErr w:type="spellEnd"/>
      <w:r w:rsidRPr="00541991">
        <w:rPr>
          <w:rFonts w:ascii="Arial" w:hAnsi="Arial" w:cs="Arial"/>
        </w:rPr>
        <w:t xml:space="preserve">, 2019). </w:t>
      </w:r>
      <w:r w:rsidR="008124D8" w:rsidRPr="00541991">
        <w:rPr>
          <w:rFonts w:ascii="Arial" w:hAnsi="Arial" w:cs="Arial"/>
        </w:rPr>
        <w:t>The crisis of homelessness, or in decisions to carry out widespread demolition of existing</w:t>
      </w:r>
      <w:r w:rsidR="00AA5648" w:rsidRPr="00541991">
        <w:rPr>
          <w:rFonts w:ascii="Arial" w:hAnsi="Arial" w:cs="Arial"/>
        </w:rPr>
        <w:t xml:space="preserve"> housing</w:t>
      </w:r>
      <w:r w:rsidR="004233FD" w:rsidRPr="00541991">
        <w:rPr>
          <w:rFonts w:ascii="Arial" w:hAnsi="Arial" w:cs="Arial"/>
        </w:rPr>
        <w:t xml:space="preserve"> for communities</w:t>
      </w:r>
      <w:r w:rsidR="008124D8" w:rsidRPr="00541991">
        <w:rPr>
          <w:rFonts w:ascii="Arial" w:hAnsi="Arial" w:cs="Arial"/>
        </w:rPr>
        <w:t xml:space="preserve">. </w:t>
      </w:r>
      <w:r w:rsidRPr="00541991">
        <w:rPr>
          <w:rFonts w:ascii="Arial" w:hAnsi="Arial" w:cs="Arial"/>
        </w:rPr>
        <w:t>Crises such as the Ronan Point disaster and more recently Grenfell Tower involv</w:t>
      </w:r>
      <w:r w:rsidR="004233FD" w:rsidRPr="00541991">
        <w:rPr>
          <w:rFonts w:ascii="Arial" w:hAnsi="Arial" w:cs="Arial"/>
        </w:rPr>
        <w:t xml:space="preserve">ing high rise residential </w:t>
      </w:r>
      <w:proofErr w:type="spellStart"/>
      <w:r w:rsidR="004233FD" w:rsidRPr="00541991">
        <w:rPr>
          <w:rFonts w:ascii="Arial" w:hAnsi="Arial" w:cs="Arial"/>
        </w:rPr>
        <w:t>building</w:t>
      </w:r>
      <w:proofErr w:type="gramStart"/>
      <w:r w:rsidR="00FA3C9D" w:rsidRPr="00541991">
        <w:rPr>
          <w:rFonts w:ascii="Arial" w:hAnsi="Arial" w:cs="Arial"/>
        </w:rPr>
        <w:t>,</w:t>
      </w:r>
      <w:r w:rsidR="004233FD" w:rsidRPr="00541991">
        <w:rPr>
          <w:rFonts w:ascii="Arial" w:hAnsi="Arial" w:cs="Arial"/>
        </w:rPr>
        <w:t>s</w:t>
      </w:r>
      <w:proofErr w:type="spellEnd"/>
      <w:proofErr w:type="gramEnd"/>
      <w:r w:rsidRPr="00541991">
        <w:rPr>
          <w:rFonts w:ascii="Arial" w:hAnsi="Arial" w:cs="Arial"/>
        </w:rPr>
        <w:t xml:space="preserve"> </w:t>
      </w:r>
      <w:r w:rsidR="008124D8" w:rsidRPr="00541991">
        <w:rPr>
          <w:rFonts w:ascii="Arial" w:hAnsi="Arial" w:cs="Arial"/>
        </w:rPr>
        <w:t xml:space="preserve">have resulted in calls for changes to housing policy. </w:t>
      </w:r>
      <w:r w:rsidRPr="00541991">
        <w:rPr>
          <w:rFonts w:ascii="Arial" w:hAnsi="Arial" w:cs="Arial"/>
        </w:rPr>
        <w:t xml:space="preserve">But like air pollution and water pollution, housing is also a long-term and systemic crisis. Constructing housing as a crisis that must be addressed immediately can be used by </w:t>
      </w:r>
      <w:r w:rsidR="004233FD" w:rsidRPr="00541991">
        <w:rPr>
          <w:rFonts w:ascii="Arial" w:hAnsi="Arial" w:cs="Arial"/>
        </w:rPr>
        <w:t>some decision</w:t>
      </w:r>
      <w:r w:rsidRPr="00541991">
        <w:rPr>
          <w:rFonts w:ascii="Arial" w:hAnsi="Arial" w:cs="Arial"/>
        </w:rPr>
        <w:t xml:space="preserve"> makers to legitima</w:t>
      </w:r>
      <w:r w:rsidR="00FA3C9D" w:rsidRPr="00541991">
        <w:rPr>
          <w:rFonts w:ascii="Arial" w:hAnsi="Arial" w:cs="Arial"/>
        </w:rPr>
        <w:t>te urgent action, avoiding the delays</w:t>
      </w:r>
      <w:r w:rsidRPr="00541991">
        <w:rPr>
          <w:rFonts w:ascii="Arial" w:hAnsi="Arial" w:cs="Arial"/>
        </w:rPr>
        <w:t xml:space="preserve"> that come from robust scrutiny by public authorities and deeper community engagement.</w:t>
      </w:r>
      <w:r w:rsidR="004233FD" w:rsidRPr="00541991">
        <w:rPr>
          <w:rFonts w:ascii="Arial" w:hAnsi="Arial" w:cs="Arial"/>
        </w:rPr>
        <w:t xml:space="preserve"> Some of the positive outcomes pointed to in </w:t>
      </w:r>
      <w:proofErr w:type="spellStart"/>
      <w:r w:rsidR="004233FD" w:rsidRPr="00541991">
        <w:rPr>
          <w:rFonts w:ascii="Arial" w:hAnsi="Arial" w:cs="Arial"/>
        </w:rPr>
        <w:t>Colenutt’s</w:t>
      </w:r>
      <w:proofErr w:type="spellEnd"/>
      <w:r w:rsidR="004233FD" w:rsidRPr="00541991">
        <w:rPr>
          <w:rFonts w:ascii="Arial" w:hAnsi="Arial" w:cs="Arial"/>
        </w:rPr>
        <w:t xml:space="preserve"> paper come from alignments of community activists, academic researchers and individual champions in local government. </w:t>
      </w:r>
    </w:p>
    <w:p w:rsidR="00BD3CE1" w:rsidRPr="00541991" w:rsidRDefault="00BD3CE1" w:rsidP="00A206D0">
      <w:pPr>
        <w:pStyle w:val="NormalWeb"/>
        <w:spacing w:before="0" w:beforeAutospacing="0" w:after="0" w:afterAutospacing="0" w:line="360" w:lineRule="auto"/>
        <w:jc w:val="both"/>
        <w:rPr>
          <w:rStyle w:val="apple-tab-span"/>
          <w:rFonts w:ascii="Arial" w:hAnsi="Arial" w:cs="Arial"/>
        </w:rPr>
      </w:pPr>
    </w:p>
    <w:p w:rsidR="00BC11B7" w:rsidRPr="00541991" w:rsidRDefault="001157A1" w:rsidP="00A206D0">
      <w:pPr>
        <w:pStyle w:val="NormalWeb"/>
        <w:spacing w:before="0" w:beforeAutospacing="0" w:after="0" w:afterAutospacing="0" w:line="360" w:lineRule="auto"/>
        <w:jc w:val="both"/>
        <w:rPr>
          <w:rFonts w:ascii="Arial" w:hAnsi="Arial" w:cs="Arial"/>
        </w:rPr>
      </w:pPr>
      <w:r w:rsidRPr="00541991">
        <w:rPr>
          <w:rStyle w:val="apple-tab-span"/>
          <w:rFonts w:ascii="Arial" w:hAnsi="Arial" w:cs="Arial"/>
        </w:rPr>
        <w:t>5</w:t>
      </w:r>
      <w:r w:rsidR="00BD3CE1" w:rsidRPr="00541991">
        <w:rPr>
          <w:rStyle w:val="apple-tab-span"/>
          <w:rFonts w:ascii="Arial" w:hAnsi="Arial" w:cs="Arial"/>
        </w:rPr>
        <w:t>.0: Conclusion</w:t>
      </w:r>
      <w:r w:rsidR="00095BC2" w:rsidRPr="00541991">
        <w:rPr>
          <w:rStyle w:val="apple-tab-span"/>
          <w:rFonts w:ascii="Arial" w:hAnsi="Arial" w:cs="Arial"/>
        </w:rPr>
        <w:tab/>
      </w:r>
      <w:r w:rsidR="00095BC2" w:rsidRPr="00541991">
        <w:rPr>
          <w:rStyle w:val="apple-tab-span"/>
          <w:rFonts w:ascii="Arial" w:hAnsi="Arial" w:cs="Arial"/>
        </w:rPr>
        <w:tab/>
      </w:r>
      <w:r w:rsidR="00095BC2" w:rsidRPr="00541991">
        <w:rPr>
          <w:rStyle w:val="apple-tab-span"/>
          <w:rFonts w:ascii="Arial" w:hAnsi="Arial" w:cs="Arial"/>
        </w:rPr>
        <w:tab/>
      </w:r>
      <w:r w:rsidR="00095BC2" w:rsidRPr="00541991">
        <w:rPr>
          <w:rStyle w:val="apple-tab-span"/>
          <w:rFonts w:ascii="Arial" w:hAnsi="Arial" w:cs="Arial"/>
        </w:rPr>
        <w:tab/>
      </w:r>
    </w:p>
    <w:p w:rsidR="00516015" w:rsidRPr="00541991" w:rsidRDefault="001D69D5" w:rsidP="00A206D0">
      <w:pPr>
        <w:pStyle w:val="NormalWeb"/>
        <w:spacing w:before="0" w:beforeAutospacing="0" w:after="0" w:afterAutospacing="0" w:line="360" w:lineRule="auto"/>
        <w:jc w:val="both"/>
        <w:rPr>
          <w:rFonts w:ascii="Arial" w:hAnsi="Arial" w:cs="Arial"/>
        </w:rPr>
      </w:pPr>
      <w:r w:rsidRPr="00541991">
        <w:rPr>
          <w:rFonts w:ascii="Arial" w:hAnsi="Arial" w:cs="Arial"/>
        </w:rPr>
        <w:lastRenderedPageBreak/>
        <w:t xml:space="preserve">Each of the case studies in the four papers </w:t>
      </w:r>
      <w:r w:rsidR="00AB4247" w:rsidRPr="00541991">
        <w:rPr>
          <w:rFonts w:ascii="Arial" w:hAnsi="Arial" w:cs="Arial"/>
        </w:rPr>
        <w:t xml:space="preserve">in this special section </w:t>
      </w:r>
      <w:r w:rsidRPr="00541991">
        <w:rPr>
          <w:rFonts w:ascii="Arial" w:hAnsi="Arial" w:cs="Arial"/>
        </w:rPr>
        <w:t>attend to the geographies of expert knowledge across different sectors, scales and localities across contemporary environmental and planning challenges. They set down a broader challenge to disciplinary knowledge within ecolog</w:t>
      </w:r>
      <w:r w:rsidR="00E752BD" w:rsidRPr="00541991">
        <w:rPr>
          <w:rFonts w:ascii="Arial" w:hAnsi="Arial" w:cs="Arial"/>
        </w:rPr>
        <w:t xml:space="preserve">y, addressing air pollution, for planning expertise, and for the property and real estate market.  </w:t>
      </w:r>
      <w:r w:rsidR="00FF6BF9" w:rsidRPr="00541991">
        <w:rPr>
          <w:rFonts w:ascii="Arial" w:hAnsi="Arial" w:cs="Arial"/>
        </w:rPr>
        <w:t xml:space="preserve">These papers show we must pay attention to the ‘diverse modes and diverse arenas’ in which expert knowledge is produced and mobilized (Healey, 2013, p.1515). </w:t>
      </w:r>
      <w:r w:rsidR="007313B0" w:rsidRPr="00541991">
        <w:rPr>
          <w:rFonts w:ascii="Arial" w:hAnsi="Arial" w:cs="Arial"/>
        </w:rPr>
        <w:t xml:space="preserve">The construction and transformation of knowledge can take place outside formalised structures, with policy entrepreneurs and shadow networks increasingly recognised as flexible spaces within which innovations may occur (Dunlop, 2014; </w:t>
      </w:r>
      <w:proofErr w:type="spellStart"/>
      <w:r w:rsidR="007313B0" w:rsidRPr="00541991">
        <w:rPr>
          <w:rFonts w:ascii="Arial" w:hAnsi="Arial" w:cs="Arial"/>
        </w:rPr>
        <w:t>Turnpenny</w:t>
      </w:r>
      <w:proofErr w:type="spellEnd"/>
      <w:r w:rsidR="007313B0" w:rsidRPr="00541991">
        <w:rPr>
          <w:rFonts w:ascii="Arial" w:hAnsi="Arial" w:cs="Arial"/>
        </w:rPr>
        <w:t xml:space="preserve"> </w:t>
      </w:r>
      <w:r w:rsidR="007313B0" w:rsidRPr="00541991">
        <w:rPr>
          <w:rFonts w:ascii="Arial" w:hAnsi="Arial" w:cs="Arial"/>
          <w:i/>
          <w:iCs/>
        </w:rPr>
        <w:t>et al.</w:t>
      </w:r>
      <w:r w:rsidR="007313B0" w:rsidRPr="00541991">
        <w:rPr>
          <w:rFonts w:ascii="Arial" w:hAnsi="Arial" w:cs="Arial"/>
        </w:rPr>
        <w:t xml:space="preserve">, 2015). </w:t>
      </w:r>
      <w:r w:rsidR="0002784F" w:rsidRPr="00541991">
        <w:rPr>
          <w:rFonts w:ascii="Arial" w:hAnsi="Arial" w:cs="Arial"/>
        </w:rPr>
        <w:t>Expert knowledge is rare</w:t>
      </w:r>
      <w:r w:rsidR="00AA5648" w:rsidRPr="00541991">
        <w:rPr>
          <w:rFonts w:ascii="Arial" w:hAnsi="Arial" w:cs="Arial"/>
        </w:rPr>
        <w:t>ly mobilized in a linear way, as d</w:t>
      </w:r>
      <w:r w:rsidR="0002784F" w:rsidRPr="00541991">
        <w:rPr>
          <w:rFonts w:ascii="Arial" w:hAnsi="Arial" w:cs="Arial"/>
        </w:rPr>
        <w:t xml:space="preserve">ecision-makers mediate amongst the tensions and often competing interests of stakeholders (Parkhurst, 2017).  As </w:t>
      </w:r>
      <w:proofErr w:type="spellStart"/>
      <w:r w:rsidR="0002784F" w:rsidRPr="00541991">
        <w:rPr>
          <w:rFonts w:ascii="Arial" w:hAnsi="Arial" w:cs="Arial"/>
        </w:rPr>
        <w:t>Howlett</w:t>
      </w:r>
      <w:proofErr w:type="spellEnd"/>
      <w:r w:rsidR="0002784F" w:rsidRPr="00541991">
        <w:rPr>
          <w:rFonts w:ascii="Arial" w:hAnsi="Arial" w:cs="Arial"/>
        </w:rPr>
        <w:t xml:space="preserve"> (2011) illus</w:t>
      </w:r>
      <w:r w:rsidR="002A7FDF" w:rsidRPr="00541991">
        <w:rPr>
          <w:rFonts w:ascii="Arial" w:hAnsi="Arial" w:cs="Arial"/>
        </w:rPr>
        <w:t>trates, the policy and decision-</w:t>
      </w:r>
      <w:r w:rsidR="0002784F" w:rsidRPr="00541991">
        <w:rPr>
          <w:rFonts w:ascii="Arial" w:hAnsi="Arial" w:cs="Arial"/>
        </w:rPr>
        <w:t xml:space="preserve">making process is made up of a complex array of decision-makers, knowledge producers and knowledge providers. We must recognize and draw attention to the multiplicities of expert knowledge, and consider where knowledge is held and how it is </w:t>
      </w:r>
      <w:r w:rsidR="00AA5648" w:rsidRPr="00541991">
        <w:rPr>
          <w:rFonts w:ascii="Arial" w:hAnsi="Arial" w:cs="Arial"/>
        </w:rPr>
        <w:t xml:space="preserve">used and performed </w:t>
      </w:r>
      <w:r w:rsidR="0002784F" w:rsidRPr="00541991">
        <w:rPr>
          <w:rFonts w:ascii="Arial" w:hAnsi="Arial" w:cs="Arial"/>
        </w:rPr>
        <w:t xml:space="preserve">(McKay </w:t>
      </w:r>
      <w:r w:rsidR="0002784F" w:rsidRPr="00541991">
        <w:rPr>
          <w:rFonts w:ascii="Arial" w:hAnsi="Arial" w:cs="Arial"/>
          <w:i/>
          <w:iCs/>
        </w:rPr>
        <w:t>et al.</w:t>
      </w:r>
      <w:r w:rsidRPr="00541991">
        <w:rPr>
          <w:rFonts w:ascii="Arial" w:hAnsi="Arial" w:cs="Arial"/>
        </w:rPr>
        <w:t>, 2015). Together, the papers break down the assumption that there is a single form of expertise. </w:t>
      </w:r>
    </w:p>
    <w:p w:rsidR="00E36E3A" w:rsidRPr="00541991" w:rsidRDefault="00E36E3A" w:rsidP="00A206D0">
      <w:pPr>
        <w:pStyle w:val="NormalWeb"/>
        <w:spacing w:before="0" w:beforeAutospacing="0" w:after="0" w:afterAutospacing="0" w:line="360" w:lineRule="auto"/>
        <w:jc w:val="both"/>
        <w:rPr>
          <w:rFonts w:ascii="Arial" w:hAnsi="Arial" w:cs="Arial"/>
        </w:rPr>
      </w:pPr>
    </w:p>
    <w:p w:rsidR="0017052E" w:rsidRPr="00541991" w:rsidRDefault="0017052E" w:rsidP="00A206D0">
      <w:pPr>
        <w:spacing w:line="360" w:lineRule="auto"/>
        <w:jc w:val="both"/>
        <w:rPr>
          <w:rFonts w:ascii="Arial" w:hAnsi="Arial" w:cs="Arial"/>
        </w:rPr>
      </w:pPr>
      <w:r w:rsidRPr="00541991">
        <w:rPr>
          <w:rFonts w:ascii="Arial" w:hAnsi="Arial" w:cs="Arial"/>
        </w:rPr>
        <w:t>Acknowledgements:</w:t>
      </w:r>
    </w:p>
    <w:p w:rsidR="00F6657C" w:rsidRPr="00541991" w:rsidRDefault="00F6657C" w:rsidP="00A206D0">
      <w:pPr>
        <w:spacing w:line="360" w:lineRule="auto"/>
        <w:jc w:val="both"/>
        <w:rPr>
          <w:rFonts w:ascii="Arial" w:hAnsi="Arial" w:cs="Arial"/>
        </w:rPr>
      </w:pPr>
      <w:r w:rsidRPr="00541991">
        <w:rPr>
          <w:rFonts w:ascii="Arial" w:hAnsi="Arial" w:cs="Arial"/>
        </w:rPr>
        <w:t>Thank you to the contrib</w:t>
      </w:r>
      <w:r w:rsidR="00D52409" w:rsidRPr="00541991">
        <w:rPr>
          <w:rFonts w:ascii="Arial" w:hAnsi="Arial" w:cs="Arial"/>
        </w:rPr>
        <w:t>utors</w:t>
      </w:r>
      <w:r w:rsidRPr="00541991">
        <w:rPr>
          <w:rFonts w:ascii="Arial" w:hAnsi="Arial" w:cs="Arial"/>
        </w:rPr>
        <w:t xml:space="preserve"> to this special section. This special section </w:t>
      </w:r>
      <w:r w:rsidR="007C2F2B" w:rsidRPr="00541991">
        <w:rPr>
          <w:rFonts w:ascii="Arial" w:hAnsi="Arial" w:cs="Arial"/>
        </w:rPr>
        <w:t>developed from a session at the RGS-I</w:t>
      </w:r>
      <w:r w:rsidR="00D52409" w:rsidRPr="00541991">
        <w:rPr>
          <w:rFonts w:ascii="Arial" w:hAnsi="Arial" w:cs="Arial"/>
        </w:rPr>
        <w:t>BG Annual Conference in 2017</w:t>
      </w:r>
      <w:r w:rsidR="007C2F2B" w:rsidRPr="00541991">
        <w:rPr>
          <w:rFonts w:ascii="Arial" w:hAnsi="Arial" w:cs="Arial"/>
        </w:rPr>
        <w:t xml:space="preserve"> sponsored by the Planning and Environment Research Group</w:t>
      </w:r>
      <w:r w:rsidR="004C23F1" w:rsidRPr="00541991">
        <w:rPr>
          <w:rFonts w:ascii="Arial" w:hAnsi="Arial" w:cs="Arial"/>
        </w:rPr>
        <w:t xml:space="preserve"> (PERG)</w:t>
      </w:r>
      <w:r w:rsidR="007C2F2B" w:rsidRPr="00541991">
        <w:rPr>
          <w:rFonts w:ascii="Arial" w:hAnsi="Arial" w:cs="Arial"/>
        </w:rPr>
        <w:t xml:space="preserve">, examining the role of expert knowledge in socio-environmental policy and decision-making. </w:t>
      </w:r>
      <w:r w:rsidR="004C23F1" w:rsidRPr="00541991">
        <w:rPr>
          <w:rFonts w:ascii="Arial" w:hAnsi="Arial" w:cs="Arial"/>
        </w:rPr>
        <w:t xml:space="preserve">Thank you to the conference organisers and to PERG for sponsoring the session. </w:t>
      </w:r>
      <w:r w:rsidR="007C2F2B" w:rsidRPr="00541991">
        <w:rPr>
          <w:rFonts w:ascii="Arial" w:hAnsi="Arial" w:cs="Arial"/>
        </w:rPr>
        <w:t xml:space="preserve">Thank you very much to the team at Area, in particular Phil Emmerson and Fiona Nash, </w:t>
      </w:r>
      <w:r w:rsidR="00AB4247" w:rsidRPr="00541991">
        <w:rPr>
          <w:rFonts w:ascii="Arial" w:hAnsi="Arial" w:cs="Arial"/>
        </w:rPr>
        <w:t xml:space="preserve">to the editors, </w:t>
      </w:r>
      <w:r w:rsidR="007C2F2B" w:rsidRPr="00541991">
        <w:rPr>
          <w:rFonts w:ascii="Arial" w:hAnsi="Arial" w:cs="Arial"/>
        </w:rPr>
        <w:t>and to the an</w:t>
      </w:r>
      <w:r w:rsidR="00092E30" w:rsidRPr="00541991">
        <w:rPr>
          <w:rFonts w:ascii="Arial" w:hAnsi="Arial" w:cs="Arial"/>
        </w:rPr>
        <w:t>onymous reviewers of the papers</w:t>
      </w:r>
      <w:r w:rsidR="007C2F2B" w:rsidRPr="00541991">
        <w:rPr>
          <w:rFonts w:ascii="Arial" w:hAnsi="Arial" w:cs="Arial"/>
        </w:rPr>
        <w:t xml:space="preserve"> for their assistance in bringing this special section together.  </w:t>
      </w:r>
    </w:p>
    <w:p w:rsidR="0017052E" w:rsidRPr="00541991" w:rsidRDefault="0017052E" w:rsidP="00A206D0">
      <w:pPr>
        <w:spacing w:line="360" w:lineRule="auto"/>
        <w:jc w:val="both"/>
        <w:rPr>
          <w:rFonts w:ascii="Arial" w:hAnsi="Arial" w:cs="Arial"/>
        </w:rPr>
      </w:pPr>
    </w:p>
    <w:p w:rsidR="00BD3CE1" w:rsidRPr="00541991" w:rsidRDefault="00597578" w:rsidP="00A206D0">
      <w:pPr>
        <w:spacing w:line="360" w:lineRule="auto"/>
        <w:jc w:val="both"/>
        <w:rPr>
          <w:rFonts w:ascii="Arial" w:hAnsi="Arial" w:cs="Arial"/>
        </w:rPr>
      </w:pPr>
      <w:r w:rsidRPr="00541991">
        <w:rPr>
          <w:rFonts w:ascii="Arial" w:hAnsi="Arial" w:cs="Arial"/>
        </w:rPr>
        <w:t>Data Availability Statement:</w:t>
      </w:r>
    </w:p>
    <w:p w:rsidR="00597578" w:rsidRPr="00541991" w:rsidRDefault="00597578" w:rsidP="00A206D0">
      <w:pPr>
        <w:spacing w:line="360" w:lineRule="auto"/>
        <w:jc w:val="both"/>
        <w:rPr>
          <w:rFonts w:ascii="Arial" w:hAnsi="Arial" w:cs="Arial"/>
        </w:rPr>
      </w:pPr>
      <w:r w:rsidRPr="00541991">
        <w:rPr>
          <w:rFonts w:ascii="Arial" w:hAnsi="Arial" w:cs="Arial"/>
        </w:rPr>
        <w:t xml:space="preserve">No new data was created for this paper. </w:t>
      </w:r>
    </w:p>
    <w:p w:rsidR="00B5001E" w:rsidRPr="00541991" w:rsidRDefault="00B5001E" w:rsidP="00A206D0">
      <w:pPr>
        <w:spacing w:line="360" w:lineRule="auto"/>
        <w:jc w:val="both"/>
        <w:rPr>
          <w:rFonts w:ascii="Arial" w:hAnsi="Arial" w:cs="Arial"/>
        </w:rPr>
      </w:pPr>
    </w:p>
    <w:p w:rsidR="00541991" w:rsidRDefault="00541991" w:rsidP="00A206D0">
      <w:pPr>
        <w:spacing w:line="360" w:lineRule="auto"/>
        <w:jc w:val="both"/>
        <w:rPr>
          <w:rFonts w:ascii="Arial" w:hAnsi="Arial" w:cs="Arial"/>
        </w:rPr>
      </w:pPr>
    </w:p>
    <w:p w:rsidR="00541991" w:rsidRDefault="00541991" w:rsidP="00A206D0">
      <w:pPr>
        <w:spacing w:line="360" w:lineRule="auto"/>
        <w:jc w:val="both"/>
        <w:rPr>
          <w:rFonts w:ascii="Arial" w:hAnsi="Arial" w:cs="Arial"/>
        </w:rPr>
      </w:pPr>
    </w:p>
    <w:p w:rsidR="00E83023" w:rsidRPr="00541991" w:rsidRDefault="00E83023" w:rsidP="00A206D0">
      <w:pPr>
        <w:spacing w:line="360" w:lineRule="auto"/>
        <w:jc w:val="both"/>
        <w:rPr>
          <w:rFonts w:ascii="Arial" w:hAnsi="Arial" w:cs="Arial"/>
        </w:rPr>
      </w:pPr>
      <w:r w:rsidRPr="00541991">
        <w:rPr>
          <w:rFonts w:ascii="Arial" w:hAnsi="Arial" w:cs="Arial"/>
        </w:rPr>
        <w:lastRenderedPageBreak/>
        <w:t>References:</w:t>
      </w:r>
    </w:p>
    <w:p w:rsidR="00E83023" w:rsidRPr="00541991" w:rsidRDefault="00E83023" w:rsidP="00A206D0">
      <w:pPr>
        <w:spacing w:line="360" w:lineRule="auto"/>
        <w:jc w:val="both"/>
        <w:rPr>
          <w:rFonts w:ascii="Arial" w:hAnsi="Arial" w:cs="Arial"/>
          <w:u w:val="single"/>
          <w:shd w:val="clear" w:color="auto" w:fill="FFFFFF"/>
        </w:rPr>
      </w:pPr>
      <w:r w:rsidRPr="00541991">
        <w:rPr>
          <w:rFonts w:ascii="Arial" w:hAnsi="Arial" w:cs="Arial"/>
          <w:shd w:val="clear" w:color="auto" w:fill="FFFFFF"/>
        </w:rPr>
        <w:t xml:space="preserve">Ballard, H. L., Robinson, L. D., Young, A. N., </w:t>
      </w:r>
      <w:proofErr w:type="spellStart"/>
      <w:r w:rsidRPr="00541991">
        <w:rPr>
          <w:rFonts w:ascii="Arial" w:hAnsi="Arial" w:cs="Arial"/>
          <w:shd w:val="clear" w:color="auto" w:fill="FFFFFF"/>
        </w:rPr>
        <w:t>Pauly</w:t>
      </w:r>
      <w:proofErr w:type="spellEnd"/>
      <w:r w:rsidRPr="00541991">
        <w:rPr>
          <w:rFonts w:ascii="Arial" w:hAnsi="Arial" w:cs="Arial"/>
          <w:shd w:val="clear" w:color="auto" w:fill="FFFFFF"/>
        </w:rPr>
        <w:t xml:space="preserve">, G. B., Higgins, L. M., Johnson, R. F., &amp; </w:t>
      </w:r>
      <w:proofErr w:type="spellStart"/>
      <w:r w:rsidRPr="00541991">
        <w:rPr>
          <w:rFonts w:ascii="Arial" w:hAnsi="Arial" w:cs="Arial"/>
          <w:shd w:val="clear" w:color="auto" w:fill="FFFFFF"/>
        </w:rPr>
        <w:t>Tweddle</w:t>
      </w:r>
      <w:proofErr w:type="spellEnd"/>
      <w:r w:rsidRPr="00541991">
        <w:rPr>
          <w:rFonts w:ascii="Arial" w:hAnsi="Arial" w:cs="Arial"/>
          <w:shd w:val="clear" w:color="auto" w:fill="FFFFFF"/>
        </w:rPr>
        <w:t xml:space="preserve">, J. C. (2017). Contributions to </w:t>
      </w:r>
      <w:proofErr w:type="spellStart"/>
      <w:r w:rsidRPr="00541991">
        <w:rPr>
          <w:rFonts w:ascii="Arial" w:hAnsi="Arial" w:cs="Arial"/>
          <w:shd w:val="clear" w:color="auto" w:fill="FFFFFF"/>
        </w:rPr>
        <w:t>conserva</w:t>
      </w:r>
      <w:proofErr w:type="spellEnd"/>
      <w:r w:rsidRPr="00541991">
        <w:rPr>
          <w:rFonts w:ascii="Arial" w:hAnsi="Arial" w:cs="Arial"/>
          <w:shd w:val="clear" w:color="auto" w:fill="FFFFFF"/>
        </w:rPr>
        <w:t xml:space="preserve">- </w:t>
      </w:r>
      <w:proofErr w:type="spellStart"/>
      <w:r w:rsidRPr="00541991">
        <w:rPr>
          <w:rFonts w:ascii="Arial" w:hAnsi="Arial" w:cs="Arial"/>
          <w:shd w:val="clear" w:color="auto" w:fill="FFFFFF"/>
        </w:rPr>
        <w:t>tion</w:t>
      </w:r>
      <w:proofErr w:type="spellEnd"/>
      <w:r w:rsidRPr="00541991">
        <w:rPr>
          <w:rFonts w:ascii="Arial" w:hAnsi="Arial" w:cs="Arial"/>
          <w:shd w:val="clear" w:color="auto" w:fill="FFFFFF"/>
        </w:rPr>
        <w:t xml:space="preserve"> outcomes by natural history museum</w:t>
      </w:r>
      <w:r w:rsidRPr="00541991">
        <w:rPr>
          <w:rFonts w:ascii="Cambria Math" w:hAnsi="Cambria Math" w:cs="Cambria Math"/>
          <w:shd w:val="clear" w:color="auto" w:fill="FFFFFF"/>
        </w:rPr>
        <w:t>‐</w:t>
      </w:r>
      <w:r w:rsidRPr="00541991">
        <w:rPr>
          <w:rFonts w:ascii="Arial" w:hAnsi="Arial" w:cs="Arial"/>
          <w:shd w:val="clear" w:color="auto" w:fill="FFFFFF"/>
        </w:rPr>
        <w:t xml:space="preserve">led citizen science: Examining evidence and next steps. Biological Conservation, 208, 87–97. </w:t>
      </w:r>
      <w:hyperlink r:id="rId10" w:history="1">
        <w:r w:rsidRPr="00541991">
          <w:rPr>
            <w:rFonts w:ascii="Arial" w:hAnsi="Arial" w:cs="Arial"/>
            <w:shd w:val="clear" w:color="auto" w:fill="FFFFFF"/>
          </w:rPr>
          <w:t>https://doi.org/10.1016/j.biocon.2016.08.040</w:t>
        </w:r>
      </w:hyperlink>
      <w:r w:rsidRPr="00541991">
        <w:rPr>
          <w:rFonts w:ascii="Arial" w:hAnsi="Arial" w:cs="Arial"/>
          <w:shd w:val="clear" w:color="auto" w:fill="FFFFFF"/>
        </w:rPr>
        <w:t>.</w:t>
      </w:r>
    </w:p>
    <w:p w:rsidR="00E83023" w:rsidRPr="00541991" w:rsidRDefault="00E83023" w:rsidP="00A206D0">
      <w:pPr>
        <w:spacing w:line="360" w:lineRule="auto"/>
        <w:jc w:val="both"/>
        <w:rPr>
          <w:rFonts w:ascii="Arial" w:hAnsi="Arial" w:cs="Arial"/>
        </w:rPr>
      </w:pPr>
    </w:p>
    <w:p w:rsidR="00E83023" w:rsidRPr="00541991" w:rsidRDefault="00E83023" w:rsidP="00A206D0">
      <w:pPr>
        <w:spacing w:line="360" w:lineRule="auto"/>
        <w:jc w:val="both"/>
        <w:rPr>
          <w:rFonts w:ascii="Arial" w:hAnsi="Arial" w:cs="Arial"/>
        </w:rPr>
      </w:pPr>
      <w:proofErr w:type="spellStart"/>
      <w:r w:rsidRPr="00541991">
        <w:rPr>
          <w:rFonts w:ascii="Arial" w:hAnsi="Arial" w:cs="Arial"/>
          <w:shd w:val="clear" w:color="auto" w:fill="FFFFFF"/>
        </w:rPr>
        <w:t>Barkham</w:t>
      </w:r>
      <w:proofErr w:type="spellEnd"/>
      <w:r w:rsidRPr="00541991">
        <w:rPr>
          <w:rFonts w:ascii="Arial" w:hAnsi="Arial" w:cs="Arial"/>
          <w:shd w:val="clear" w:color="auto" w:fill="FFFFFF"/>
        </w:rPr>
        <w:t xml:space="preserve">, P. (2021) Pollution is damaging UK </w:t>
      </w:r>
      <w:proofErr w:type="gramStart"/>
      <w:r w:rsidRPr="00541991">
        <w:rPr>
          <w:rFonts w:ascii="Arial" w:hAnsi="Arial" w:cs="Arial"/>
          <w:shd w:val="clear" w:color="auto" w:fill="FFFFFF"/>
        </w:rPr>
        <w:t>rivers</w:t>
      </w:r>
      <w:proofErr w:type="gramEnd"/>
      <w:r w:rsidRPr="00541991">
        <w:rPr>
          <w:rFonts w:ascii="Arial" w:hAnsi="Arial" w:cs="Arial"/>
          <w:shd w:val="clear" w:color="auto" w:fill="FFFFFF"/>
        </w:rPr>
        <w:t xml:space="preserve"> more than public thinks, report says</w:t>
      </w:r>
    </w:p>
    <w:p w:rsidR="00E83023" w:rsidRPr="00541991" w:rsidRDefault="00836FF5" w:rsidP="00A206D0">
      <w:pPr>
        <w:spacing w:line="360" w:lineRule="auto"/>
        <w:jc w:val="both"/>
        <w:rPr>
          <w:rFonts w:ascii="Arial" w:hAnsi="Arial" w:cs="Arial"/>
          <w:shd w:val="clear" w:color="auto" w:fill="FFFFFF"/>
        </w:rPr>
      </w:pPr>
      <w:hyperlink r:id="rId11" w:history="1">
        <w:r w:rsidR="00E83023" w:rsidRPr="00541991">
          <w:rPr>
            <w:rFonts w:ascii="Arial" w:hAnsi="Arial" w:cs="Arial"/>
            <w:shd w:val="clear" w:color="auto" w:fill="FFFFFF"/>
          </w:rPr>
          <w:t>https://www.theguardian.com/environment/2021/sep/15/pollution-is-damaging-uk-rivers-more-than-public-thinks-report-says</w:t>
        </w:r>
      </w:hyperlink>
      <w:r w:rsidR="00E83023" w:rsidRPr="00541991">
        <w:rPr>
          <w:rFonts w:ascii="Arial" w:hAnsi="Arial" w:cs="Arial"/>
          <w:shd w:val="clear" w:color="auto" w:fill="FFFFFF"/>
        </w:rPr>
        <w:t>.</w:t>
      </w:r>
    </w:p>
    <w:p w:rsidR="00E83023" w:rsidRPr="00541991" w:rsidRDefault="00E83023" w:rsidP="00A206D0">
      <w:pPr>
        <w:spacing w:line="360" w:lineRule="auto"/>
        <w:jc w:val="both"/>
        <w:rPr>
          <w:rFonts w:ascii="Arial" w:hAnsi="Arial" w:cs="Arial"/>
        </w:rPr>
      </w:pPr>
    </w:p>
    <w:p w:rsidR="00E83023" w:rsidRPr="00541991" w:rsidRDefault="00E83023" w:rsidP="00A206D0">
      <w:pPr>
        <w:spacing w:line="360" w:lineRule="auto"/>
        <w:jc w:val="both"/>
        <w:rPr>
          <w:rFonts w:ascii="Arial" w:hAnsi="Arial" w:cs="Arial"/>
        </w:rPr>
      </w:pPr>
      <w:proofErr w:type="spellStart"/>
      <w:r w:rsidRPr="00541991">
        <w:rPr>
          <w:rFonts w:ascii="Arial" w:hAnsi="Arial" w:cs="Arial"/>
          <w:iCs/>
        </w:rPr>
        <w:t>Castree</w:t>
      </w:r>
      <w:proofErr w:type="spellEnd"/>
      <w:r w:rsidRPr="00541991">
        <w:rPr>
          <w:rFonts w:ascii="Arial" w:hAnsi="Arial" w:cs="Arial"/>
          <w:iCs/>
        </w:rPr>
        <w:t xml:space="preserve">, N. (2015) Changing the </w:t>
      </w:r>
      <w:proofErr w:type="spellStart"/>
      <w:r w:rsidRPr="00541991">
        <w:rPr>
          <w:rFonts w:ascii="Arial" w:hAnsi="Arial" w:cs="Arial"/>
          <w:iCs/>
        </w:rPr>
        <w:t>Anthropo</w:t>
      </w:r>
      <w:proofErr w:type="spellEnd"/>
      <w:r w:rsidRPr="00541991">
        <w:rPr>
          <w:rFonts w:ascii="Arial" w:hAnsi="Arial" w:cs="Arial"/>
          <w:iCs/>
        </w:rPr>
        <w:t>(s</w:t>
      </w:r>
      <w:proofErr w:type="gramStart"/>
      <w:r w:rsidRPr="00541991">
        <w:rPr>
          <w:rFonts w:ascii="Arial" w:hAnsi="Arial" w:cs="Arial"/>
          <w:iCs/>
        </w:rPr>
        <w:t>)</w:t>
      </w:r>
      <w:proofErr w:type="spellStart"/>
      <w:r w:rsidRPr="00541991">
        <w:rPr>
          <w:rFonts w:ascii="Arial" w:hAnsi="Arial" w:cs="Arial"/>
          <w:iCs/>
        </w:rPr>
        <w:t>cence</w:t>
      </w:r>
      <w:proofErr w:type="spellEnd"/>
      <w:proofErr w:type="gramEnd"/>
      <w:r w:rsidRPr="00541991">
        <w:rPr>
          <w:rFonts w:ascii="Arial" w:hAnsi="Arial" w:cs="Arial"/>
          <w:iCs/>
        </w:rPr>
        <w:t xml:space="preserve">: Geographies, global environmental change and the politics of knowledge, </w:t>
      </w:r>
      <w:r w:rsidRPr="00541991">
        <w:rPr>
          <w:rFonts w:ascii="Arial" w:hAnsi="Arial" w:cs="Arial"/>
          <w:i/>
          <w:iCs/>
        </w:rPr>
        <w:t xml:space="preserve">Dialogues in Human Geography, </w:t>
      </w:r>
      <w:r w:rsidRPr="00541991">
        <w:rPr>
          <w:rFonts w:ascii="Arial" w:hAnsi="Arial" w:cs="Arial"/>
          <w:iCs/>
        </w:rPr>
        <w:t xml:space="preserve">5(3), 301-316, </w:t>
      </w:r>
      <w:r w:rsidRPr="00541991">
        <w:rPr>
          <w:rFonts w:ascii="Arial" w:hAnsi="Arial" w:cs="Arial"/>
        </w:rPr>
        <w:t>DOI: 10.1177/2043820615613216.</w:t>
      </w:r>
    </w:p>
    <w:p w:rsidR="00E83023" w:rsidRPr="00541991" w:rsidRDefault="00E83023" w:rsidP="00A206D0">
      <w:pPr>
        <w:spacing w:line="360" w:lineRule="auto"/>
        <w:jc w:val="both"/>
        <w:rPr>
          <w:rFonts w:ascii="Arial" w:hAnsi="Arial" w:cs="Arial"/>
          <w:iCs/>
        </w:rPr>
      </w:pPr>
    </w:p>
    <w:p w:rsidR="00E83023" w:rsidRPr="00541991" w:rsidRDefault="00E83023" w:rsidP="00A206D0">
      <w:pPr>
        <w:spacing w:line="360" w:lineRule="auto"/>
        <w:jc w:val="both"/>
        <w:rPr>
          <w:rFonts w:ascii="Arial" w:hAnsi="Arial" w:cs="Arial"/>
          <w:shd w:val="clear" w:color="auto" w:fill="FFFFFF"/>
        </w:rPr>
      </w:pPr>
      <w:proofErr w:type="spellStart"/>
      <w:r w:rsidRPr="00541991">
        <w:rPr>
          <w:rFonts w:ascii="Arial" w:hAnsi="Arial" w:cs="Arial"/>
          <w:iCs/>
        </w:rPr>
        <w:t>Colenutt</w:t>
      </w:r>
      <w:proofErr w:type="spellEnd"/>
      <w:r w:rsidRPr="00541991">
        <w:rPr>
          <w:rFonts w:ascii="Arial" w:hAnsi="Arial" w:cs="Arial"/>
          <w:iCs/>
        </w:rPr>
        <w:t xml:space="preserve">, R. (2020) Knowledge and power in the politics of property development, </w:t>
      </w:r>
      <w:r w:rsidRPr="00541991">
        <w:rPr>
          <w:rFonts w:ascii="Arial" w:hAnsi="Arial" w:cs="Arial"/>
          <w:i/>
          <w:iCs/>
        </w:rPr>
        <w:t>Area</w:t>
      </w:r>
      <w:r w:rsidRPr="00541991">
        <w:rPr>
          <w:rFonts w:ascii="Arial" w:hAnsi="Arial" w:cs="Arial"/>
          <w:iCs/>
        </w:rPr>
        <w:t xml:space="preserve">, 1-7, </w:t>
      </w:r>
      <w:hyperlink r:id="rId12" w:history="1">
        <w:r w:rsidRPr="00541991">
          <w:rPr>
            <w:rStyle w:val="Hyperlink"/>
            <w:rFonts w:ascii="Arial" w:hAnsi="Arial" w:cs="Arial"/>
            <w:color w:val="auto"/>
            <w:shd w:val="clear" w:color="auto" w:fill="FFFFFF"/>
          </w:rPr>
          <w:t>https://doi.org/10.1111/area.12612</w:t>
        </w:r>
      </w:hyperlink>
      <w:r w:rsidRPr="00541991">
        <w:rPr>
          <w:rFonts w:ascii="Arial" w:hAnsi="Arial" w:cs="Arial"/>
          <w:shd w:val="clear" w:color="auto" w:fill="FFFFFF"/>
        </w:rPr>
        <w:t>.</w:t>
      </w:r>
    </w:p>
    <w:p w:rsidR="00E83023" w:rsidRPr="00541991" w:rsidRDefault="00E83023" w:rsidP="00A206D0">
      <w:pPr>
        <w:spacing w:line="360" w:lineRule="auto"/>
        <w:jc w:val="both"/>
        <w:rPr>
          <w:rFonts w:ascii="Arial" w:hAnsi="Arial" w:cs="Arial"/>
          <w:shd w:val="clear" w:color="auto" w:fill="FFFFFF"/>
        </w:rPr>
      </w:pPr>
    </w:p>
    <w:p w:rsidR="00E83023" w:rsidRPr="00541991" w:rsidRDefault="00E83023" w:rsidP="00A206D0">
      <w:pPr>
        <w:spacing w:line="360" w:lineRule="auto"/>
        <w:jc w:val="both"/>
        <w:rPr>
          <w:rFonts w:ascii="Arial" w:hAnsi="Arial" w:cs="Arial"/>
        </w:rPr>
      </w:pPr>
      <w:proofErr w:type="spellStart"/>
      <w:r w:rsidRPr="00541991">
        <w:rPr>
          <w:rFonts w:ascii="Arial" w:hAnsi="Arial" w:cs="Arial"/>
          <w:shd w:val="clear" w:color="auto" w:fill="FFFFFF"/>
        </w:rPr>
        <w:t>Contestabile</w:t>
      </w:r>
      <w:proofErr w:type="spellEnd"/>
      <w:r w:rsidRPr="00541991">
        <w:rPr>
          <w:rFonts w:ascii="Arial" w:hAnsi="Arial" w:cs="Arial"/>
          <w:shd w:val="clear" w:color="auto" w:fill="FFFFFF"/>
        </w:rPr>
        <w:t xml:space="preserve">, M. (2021). A sustainable post-COVID future. </w:t>
      </w:r>
      <w:r w:rsidRPr="00541991">
        <w:rPr>
          <w:rFonts w:ascii="Arial" w:hAnsi="Arial" w:cs="Arial"/>
          <w:i/>
          <w:iCs/>
          <w:shd w:val="clear" w:color="auto" w:fill="FFFFFF"/>
        </w:rPr>
        <w:t>Nature Sustainability</w:t>
      </w:r>
      <w:r w:rsidRPr="00541991">
        <w:rPr>
          <w:rFonts w:ascii="Arial" w:hAnsi="Arial" w:cs="Arial"/>
          <w:shd w:val="clear" w:color="auto" w:fill="FFFFFF"/>
        </w:rPr>
        <w:t xml:space="preserve">, </w:t>
      </w:r>
      <w:r w:rsidRPr="00541991">
        <w:rPr>
          <w:rFonts w:ascii="Arial" w:hAnsi="Arial" w:cs="Arial"/>
          <w:i/>
          <w:iCs/>
          <w:shd w:val="clear" w:color="auto" w:fill="FFFFFF"/>
        </w:rPr>
        <w:t>4</w:t>
      </w:r>
      <w:r w:rsidRPr="00541991">
        <w:rPr>
          <w:rFonts w:ascii="Arial" w:hAnsi="Arial" w:cs="Arial"/>
          <w:shd w:val="clear" w:color="auto" w:fill="FFFFFF"/>
        </w:rPr>
        <w:t>(6), 464-465.</w:t>
      </w:r>
    </w:p>
    <w:p w:rsidR="00E83023" w:rsidRPr="00541991" w:rsidRDefault="00E83023" w:rsidP="00A206D0">
      <w:pPr>
        <w:spacing w:line="360" w:lineRule="auto"/>
        <w:jc w:val="both"/>
        <w:rPr>
          <w:rFonts w:ascii="Arial" w:hAnsi="Arial" w:cs="Arial"/>
          <w:iCs/>
        </w:rPr>
      </w:pPr>
      <w:r w:rsidRPr="00541991">
        <w:rPr>
          <w:rFonts w:ascii="Arial" w:hAnsi="Arial" w:cs="Arial"/>
          <w:iCs/>
        </w:rPr>
        <w:t xml:space="preserve"> </w:t>
      </w:r>
    </w:p>
    <w:p w:rsidR="00E83023" w:rsidRPr="00541991" w:rsidRDefault="00E83023" w:rsidP="00A206D0">
      <w:pPr>
        <w:spacing w:line="360" w:lineRule="auto"/>
        <w:jc w:val="both"/>
        <w:rPr>
          <w:rFonts w:ascii="Arial" w:hAnsi="Arial" w:cs="Arial"/>
          <w:shd w:val="clear" w:color="auto" w:fill="FFFFFF"/>
        </w:rPr>
      </w:pPr>
      <w:r w:rsidRPr="00541991">
        <w:rPr>
          <w:rFonts w:ascii="Arial" w:hAnsi="Arial" w:cs="Arial"/>
          <w:iCs/>
        </w:rPr>
        <w:t xml:space="preserve">Cross, I. (2019) “Changing behaviour, changing investment, changing operations”: Using citizen science to inform the management of an urban river, </w:t>
      </w:r>
      <w:r w:rsidRPr="00541991">
        <w:rPr>
          <w:rFonts w:ascii="Arial" w:hAnsi="Arial" w:cs="Arial"/>
          <w:i/>
          <w:iCs/>
        </w:rPr>
        <w:t xml:space="preserve">Area, </w:t>
      </w:r>
      <w:r w:rsidRPr="00541991">
        <w:rPr>
          <w:rFonts w:ascii="Arial" w:hAnsi="Arial" w:cs="Arial"/>
          <w:iCs/>
        </w:rPr>
        <w:t xml:space="preserve">1-10, </w:t>
      </w:r>
      <w:hyperlink r:id="rId13" w:history="1">
        <w:r w:rsidRPr="00541991">
          <w:rPr>
            <w:rStyle w:val="Hyperlink"/>
            <w:rFonts w:ascii="Arial" w:hAnsi="Arial" w:cs="Arial"/>
            <w:color w:val="auto"/>
            <w:u w:val="none"/>
            <w:shd w:val="clear" w:color="auto" w:fill="FFFFFF"/>
          </w:rPr>
          <w:t>https://doi.org/10.1111/area.12597</w:t>
        </w:r>
      </w:hyperlink>
      <w:r w:rsidRPr="00541991">
        <w:rPr>
          <w:rFonts w:ascii="Arial" w:hAnsi="Arial" w:cs="Arial"/>
          <w:shd w:val="clear" w:color="auto" w:fill="FFFFFF"/>
        </w:rPr>
        <w:t>.</w:t>
      </w:r>
    </w:p>
    <w:p w:rsidR="00E83023" w:rsidRPr="00541991" w:rsidRDefault="00E83023" w:rsidP="00A206D0">
      <w:pPr>
        <w:spacing w:line="360" w:lineRule="auto"/>
        <w:jc w:val="both"/>
        <w:rPr>
          <w:rFonts w:ascii="Arial" w:hAnsi="Arial" w:cs="Arial"/>
          <w:iCs/>
        </w:rPr>
      </w:pPr>
    </w:p>
    <w:p w:rsidR="00E83023" w:rsidRPr="00541991" w:rsidRDefault="00E83023" w:rsidP="00A206D0">
      <w:pPr>
        <w:spacing w:line="360" w:lineRule="auto"/>
        <w:jc w:val="both"/>
        <w:rPr>
          <w:rFonts w:ascii="Arial" w:hAnsi="Arial" w:cs="Arial"/>
          <w:iCs/>
        </w:rPr>
      </w:pPr>
      <w:r w:rsidRPr="00541991">
        <w:rPr>
          <w:rFonts w:ascii="Arial" w:hAnsi="Arial" w:cs="Arial"/>
          <w:iCs/>
        </w:rPr>
        <w:t xml:space="preserve">Dunlop, C. (2014) </w:t>
      </w:r>
      <w:proofErr w:type="gramStart"/>
      <w:r w:rsidRPr="00541991">
        <w:rPr>
          <w:rFonts w:ascii="Arial" w:hAnsi="Arial" w:cs="Arial"/>
          <w:iCs/>
        </w:rPr>
        <w:t>The</w:t>
      </w:r>
      <w:proofErr w:type="gramEnd"/>
      <w:r w:rsidRPr="00541991">
        <w:rPr>
          <w:rFonts w:ascii="Arial" w:hAnsi="Arial" w:cs="Arial"/>
          <w:iCs/>
        </w:rPr>
        <w:t xml:space="preserve"> possible experts: how epistemic communities negotiate barriers to knowledge use in ecosystems services policy, </w:t>
      </w:r>
      <w:r w:rsidRPr="00541991">
        <w:rPr>
          <w:rFonts w:ascii="Arial" w:hAnsi="Arial" w:cs="Arial"/>
          <w:i/>
          <w:iCs/>
        </w:rPr>
        <w:t xml:space="preserve">Environment and Planning C: </w:t>
      </w:r>
      <w:r w:rsidR="007F7D87" w:rsidRPr="00541991">
        <w:rPr>
          <w:rFonts w:ascii="Arial" w:hAnsi="Arial" w:cs="Arial"/>
          <w:i/>
          <w:iCs/>
        </w:rPr>
        <w:t>Government</w:t>
      </w:r>
      <w:r w:rsidRPr="00541991">
        <w:rPr>
          <w:rFonts w:ascii="Arial" w:hAnsi="Arial" w:cs="Arial"/>
          <w:i/>
          <w:iCs/>
        </w:rPr>
        <w:t xml:space="preserve"> and Policy, </w:t>
      </w:r>
      <w:r w:rsidRPr="00541991">
        <w:rPr>
          <w:rFonts w:ascii="Arial" w:hAnsi="Arial" w:cs="Arial"/>
          <w:iCs/>
        </w:rPr>
        <w:t xml:space="preserve">32, 208-228, </w:t>
      </w:r>
      <w:hyperlink r:id="rId14" w:history="1">
        <w:r w:rsidRPr="00541991">
          <w:rPr>
            <w:rStyle w:val="Hyperlink"/>
            <w:rFonts w:ascii="Arial" w:hAnsi="Arial" w:cs="Arial"/>
            <w:color w:val="auto"/>
            <w:u w:val="none"/>
            <w:shd w:val="clear" w:color="auto" w:fill="FFFFFF"/>
          </w:rPr>
          <w:t>https://doi.org/10.1068/c13192j</w:t>
        </w:r>
      </w:hyperlink>
      <w:r w:rsidRPr="00541991">
        <w:rPr>
          <w:rFonts w:ascii="Arial" w:hAnsi="Arial" w:cs="Arial"/>
        </w:rPr>
        <w:t>.</w:t>
      </w:r>
    </w:p>
    <w:p w:rsidR="00E83023" w:rsidRPr="00541991" w:rsidRDefault="00E83023" w:rsidP="00A206D0">
      <w:pPr>
        <w:spacing w:line="360" w:lineRule="auto"/>
        <w:jc w:val="both"/>
        <w:rPr>
          <w:rFonts w:ascii="Arial" w:hAnsi="Arial" w:cs="Arial"/>
          <w:iCs/>
        </w:rPr>
      </w:pPr>
    </w:p>
    <w:p w:rsidR="00E83023" w:rsidRPr="00541991" w:rsidRDefault="00E83023" w:rsidP="00A206D0">
      <w:pPr>
        <w:spacing w:line="360" w:lineRule="auto"/>
        <w:jc w:val="both"/>
        <w:rPr>
          <w:rFonts w:ascii="Arial" w:hAnsi="Arial" w:cs="Arial"/>
        </w:rPr>
      </w:pPr>
      <w:r w:rsidRPr="00541991">
        <w:rPr>
          <w:rFonts w:ascii="Arial" w:hAnsi="Arial" w:cs="Arial"/>
          <w:shd w:val="clear" w:color="auto" w:fill="FFFFFF"/>
        </w:rPr>
        <w:t xml:space="preserve">Gregory, R. D., Van </w:t>
      </w:r>
      <w:proofErr w:type="spellStart"/>
      <w:r w:rsidRPr="00541991">
        <w:rPr>
          <w:rFonts w:ascii="Arial" w:hAnsi="Arial" w:cs="Arial"/>
          <w:shd w:val="clear" w:color="auto" w:fill="FFFFFF"/>
        </w:rPr>
        <w:t>Strien</w:t>
      </w:r>
      <w:proofErr w:type="spellEnd"/>
      <w:r w:rsidRPr="00541991">
        <w:rPr>
          <w:rFonts w:ascii="Arial" w:hAnsi="Arial" w:cs="Arial"/>
          <w:shd w:val="clear" w:color="auto" w:fill="FFFFFF"/>
        </w:rPr>
        <w:t xml:space="preserve">, A., </w:t>
      </w:r>
      <w:proofErr w:type="spellStart"/>
      <w:r w:rsidRPr="00541991">
        <w:rPr>
          <w:rFonts w:ascii="Arial" w:hAnsi="Arial" w:cs="Arial"/>
          <w:shd w:val="clear" w:color="auto" w:fill="FFFFFF"/>
        </w:rPr>
        <w:t>Vorisek</w:t>
      </w:r>
      <w:proofErr w:type="spellEnd"/>
      <w:r w:rsidRPr="00541991">
        <w:rPr>
          <w:rFonts w:ascii="Arial" w:hAnsi="Arial" w:cs="Arial"/>
          <w:shd w:val="clear" w:color="auto" w:fill="FFFFFF"/>
        </w:rPr>
        <w:t xml:space="preserve">, P., </w:t>
      </w:r>
      <w:proofErr w:type="spellStart"/>
      <w:r w:rsidRPr="00541991">
        <w:rPr>
          <w:rFonts w:ascii="Arial" w:hAnsi="Arial" w:cs="Arial"/>
          <w:shd w:val="clear" w:color="auto" w:fill="FFFFFF"/>
        </w:rPr>
        <w:t>Gmelig</w:t>
      </w:r>
      <w:proofErr w:type="spellEnd"/>
      <w:r w:rsidRPr="00541991">
        <w:rPr>
          <w:rFonts w:ascii="Arial" w:hAnsi="Arial" w:cs="Arial"/>
          <w:shd w:val="clear" w:color="auto" w:fill="FFFFFF"/>
        </w:rPr>
        <w:t xml:space="preserve"> </w:t>
      </w:r>
      <w:proofErr w:type="spellStart"/>
      <w:r w:rsidRPr="00541991">
        <w:rPr>
          <w:rFonts w:ascii="Arial" w:hAnsi="Arial" w:cs="Arial"/>
          <w:shd w:val="clear" w:color="auto" w:fill="FFFFFF"/>
        </w:rPr>
        <w:t>Meyling</w:t>
      </w:r>
      <w:proofErr w:type="spellEnd"/>
      <w:r w:rsidRPr="00541991">
        <w:rPr>
          <w:rFonts w:ascii="Arial" w:hAnsi="Arial" w:cs="Arial"/>
          <w:shd w:val="clear" w:color="auto" w:fill="FFFFFF"/>
        </w:rPr>
        <w:t xml:space="preserve">, A. W., Noble, D. G., </w:t>
      </w:r>
      <w:proofErr w:type="spellStart"/>
      <w:r w:rsidRPr="00541991">
        <w:rPr>
          <w:rFonts w:ascii="Arial" w:hAnsi="Arial" w:cs="Arial"/>
          <w:shd w:val="clear" w:color="auto" w:fill="FFFFFF"/>
        </w:rPr>
        <w:t>Foppen</w:t>
      </w:r>
      <w:proofErr w:type="spellEnd"/>
      <w:r w:rsidRPr="00541991">
        <w:rPr>
          <w:rFonts w:ascii="Arial" w:hAnsi="Arial" w:cs="Arial"/>
          <w:shd w:val="clear" w:color="auto" w:fill="FFFFFF"/>
        </w:rPr>
        <w:t xml:space="preserve">, R. P., &amp; Gibbons, D. W. (2005). Developing indicators for European birds. </w:t>
      </w:r>
      <w:r w:rsidRPr="00541991">
        <w:rPr>
          <w:rFonts w:ascii="Arial" w:hAnsi="Arial" w:cs="Arial"/>
          <w:i/>
          <w:iCs/>
          <w:shd w:val="clear" w:color="auto" w:fill="FFFFFF"/>
        </w:rPr>
        <w:t>Philosophical Transactions of the Royal Society B: Biological Sciences</w:t>
      </w:r>
      <w:r w:rsidRPr="00541991">
        <w:rPr>
          <w:rFonts w:ascii="Arial" w:hAnsi="Arial" w:cs="Arial"/>
          <w:shd w:val="clear" w:color="auto" w:fill="FFFFFF"/>
        </w:rPr>
        <w:t xml:space="preserve">, </w:t>
      </w:r>
      <w:r w:rsidRPr="00541991">
        <w:rPr>
          <w:rFonts w:ascii="Arial" w:hAnsi="Arial" w:cs="Arial"/>
          <w:i/>
          <w:iCs/>
          <w:shd w:val="clear" w:color="auto" w:fill="FFFFFF"/>
        </w:rPr>
        <w:t>360</w:t>
      </w:r>
      <w:r w:rsidRPr="00541991">
        <w:rPr>
          <w:rFonts w:ascii="Arial" w:hAnsi="Arial" w:cs="Arial"/>
          <w:shd w:val="clear" w:color="auto" w:fill="FFFFFF"/>
        </w:rPr>
        <w:t xml:space="preserve">(1454), 269-288, </w:t>
      </w:r>
      <w:hyperlink r:id="rId15" w:history="1">
        <w:r w:rsidRPr="00541991">
          <w:rPr>
            <w:rStyle w:val="Hyperlink"/>
            <w:rFonts w:ascii="Arial" w:hAnsi="Arial" w:cs="Arial"/>
            <w:bCs/>
            <w:color w:val="auto"/>
            <w:u w:val="none"/>
            <w:shd w:val="clear" w:color="auto" w:fill="FFFFFF"/>
          </w:rPr>
          <w:t>https://doi.org/10.1098/rstb.2004.1602</w:t>
        </w:r>
      </w:hyperlink>
    </w:p>
    <w:p w:rsidR="00E83023" w:rsidRPr="00541991" w:rsidRDefault="00E83023" w:rsidP="00A206D0">
      <w:pPr>
        <w:spacing w:line="360" w:lineRule="auto"/>
        <w:jc w:val="both"/>
        <w:rPr>
          <w:rFonts w:ascii="Arial" w:hAnsi="Arial" w:cs="Arial"/>
        </w:rPr>
      </w:pPr>
    </w:p>
    <w:p w:rsidR="00E83023" w:rsidRPr="00541991" w:rsidRDefault="00E83023" w:rsidP="00A206D0">
      <w:pPr>
        <w:spacing w:line="360" w:lineRule="auto"/>
        <w:jc w:val="both"/>
        <w:rPr>
          <w:rFonts w:ascii="Arial" w:hAnsi="Arial" w:cs="Arial"/>
        </w:rPr>
      </w:pPr>
      <w:proofErr w:type="spellStart"/>
      <w:r w:rsidRPr="00541991">
        <w:rPr>
          <w:rFonts w:ascii="Arial" w:hAnsi="Arial" w:cs="Arial"/>
          <w:iCs/>
        </w:rPr>
        <w:lastRenderedPageBreak/>
        <w:t>Grundmann</w:t>
      </w:r>
      <w:proofErr w:type="spellEnd"/>
      <w:r w:rsidRPr="00541991">
        <w:rPr>
          <w:rFonts w:ascii="Arial" w:hAnsi="Arial" w:cs="Arial"/>
          <w:iCs/>
        </w:rPr>
        <w:t xml:space="preserve">, R. (2017) The Problem of Expertise in Knowledge Societies, </w:t>
      </w:r>
      <w:r w:rsidRPr="00541991">
        <w:rPr>
          <w:rFonts w:ascii="Arial" w:hAnsi="Arial" w:cs="Arial"/>
          <w:i/>
          <w:iCs/>
        </w:rPr>
        <w:t xml:space="preserve">Minerva, </w:t>
      </w:r>
      <w:r w:rsidRPr="00541991">
        <w:rPr>
          <w:rFonts w:ascii="Arial" w:hAnsi="Arial" w:cs="Arial"/>
          <w:iCs/>
        </w:rPr>
        <w:t xml:space="preserve">55, 25-48, </w:t>
      </w:r>
      <w:r w:rsidRPr="00541991">
        <w:rPr>
          <w:rFonts w:ascii="Arial" w:hAnsi="Arial" w:cs="Arial"/>
        </w:rPr>
        <w:t>DOI 10.1007/s11024-016-9308-7.</w:t>
      </w:r>
    </w:p>
    <w:p w:rsidR="00E83023" w:rsidRPr="00541991" w:rsidRDefault="00E83023" w:rsidP="00A206D0">
      <w:pPr>
        <w:spacing w:line="360" w:lineRule="auto"/>
        <w:jc w:val="both"/>
        <w:rPr>
          <w:rFonts w:ascii="Arial" w:hAnsi="Arial" w:cs="Arial"/>
          <w:iCs/>
        </w:rPr>
      </w:pPr>
    </w:p>
    <w:p w:rsidR="00E83023" w:rsidRPr="00541991" w:rsidRDefault="00E83023" w:rsidP="00A206D0">
      <w:pPr>
        <w:spacing w:line="360" w:lineRule="auto"/>
        <w:jc w:val="both"/>
        <w:rPr>
          <w:rFonts w:ascii="Arial" w:hAnsi="Arial" w:cs="Arial"/>
        </w:rPr>
      </w:pPr>
      <w:proofErr w:type="spellStart"/>
      <w:r w:rsidRPr="00541991">
        <w:rPr>
          <w:rFonts w:ascii="Arial" w:hAnsi="Arial" w:cs="Arial"/>
          <w:iCs/>
        </w:rPr>
        <w:t>Gudowsky</w:t>
      </w:r>
      <w:proofErr w:type="spellEnd"/>
      <w:r w:rsidRPr="00541991">
        <w:rPr>
          <w:rFonts w:ascii="Arial" w:hAnsi="Arial" w:cs="Arial"/>
          <w:iCs/>
        </w:rPr>
        <w:t xml:space="preserve">, N. and Rosa, A. (2019) Bridging epistemologies – Identifying uniqueness of lay and expert knowledge for agenda setting, </w:t>
      </w:r>
      <w:r w:rsidRPr="00541991">
        <w:rPr>
          <w:rFonts w:ascii="Arial" w:hAnsi="Arial" w:cs="Arial"/>
          <w:i/>
          <w:iCs/>
        </w:rPr>
        <w:t xml:space="preserve">Futures, </w:t>
      </w:r>
      <w:r w:rsidRPr="00541991">
        <w:rPr>
          <w:rFonts w:ascii="Arial" w:hAnsi="Arial" w:cs="Arial"/>
          <w:iCs/>
        </w:rPr>
        <w:t xml:space="preserve">109, 24-38, </w:t>
      </w:r>
      <w:hyperlink r:id="rId16" w:history="1">
        <w:r w:rsidRPr="00541991">
          <w:rPr>
            <w:rStyle w:val="Hyperlink"/>
            <w:rFonts w:ascii="Arial" w:hAnsi="Arial" w:cs="Arial"/>
            <w:iCs/>
            <w:color w:val="auto"/>
            <w:u w:val="none"/>
          </w:rPr>
          <w:t>h</w:t>
        </w:r>
        <w:r w:rsidRPr="00541991">
          <w:rPr>
            <w:rStyle w:val="Hyperlink"/>
            <w:rFonts w:ascii="Arial" w:hAnsi="Arial" w:cs="Arial"/>
            <w:color w:val="auto"/>
            <w:u w:val="none"/>
          </w:rPr>
          <w:t>ttps://doi.org/10.1016/j.futures.2019.04.003</w:t>
        </w:r>
      </w:hyperlink>
      <w:r w:rsidRPr="00541991">
        <w:rPr>
          <w:rFonts w:ascii="Arial" w:hAnsi="Arial" w:cs="Arial"/>
        </w:rPr>
        <w:t>.</w:t>
      </w:r>
    </w:p>
    <w:p w:rsidR="00E83023" w:rsidRPr="00541991" w:rsidRDefault="00E83023" w:rsidP="00A206D0">
      <w:pPr>
        <w:spacing w:line="360" w:lineRule="auto"/>
        <w:jc w:val="both"/>
        <w:rPr>
          <w:rFonts w:ascii="Arial" w:hAnsi="Arial" w:cs="Arial"/>
          <w:shd w:val="clear" w:color="auto" w:fill="FFFFFF"/>
        </w:rPr>
      </w:pPr>
    </w:p>
    <w:p w:rsidR="00E83023" w:rsidRPr="00541991" w:rsidRDefault="00E83023" w:rsidP="00A206D0">
      <w:pPr>
        <w:spacing w:line="360" w:lineRule="auto"/>
        <w:jc w:val="both"/>
        <w:rPr>
          <w:rFonts w:ascii="Arial" w:hAnsi="Arial" w:cs="Arial"/>
        </w:rPr>
      </w:pPr>
      <w:r w:rsidRPr="00541991">
        <w:rPr>
          <w:rFonts w:ascii="Arial" w:hAnsi="Arial" w:cs="Arial"/>
          <w:shd w:val="clear" w:color="auto" w:fill="FFFFFF"/>
        </w:rPr>
        <w:t xml:space="preserve">Gunderson, L., </w:t>
      </w:r>
      <w:proofErr w:type="spellStart"/>
      <w:r w:rsidRPr="00541991">
        <w:rPr>
          <w:rFonts w:ascii="Arial" w:hAnsi="Arial" w:cs="Arial"/>
          <w:shd w:val="clear" w:color="auto" w:fill="FFFFFF"/>
        </w:rPr>
        <w:t>Cosens</w:t>
      </w:r>
      <w:proofErr w:type="spellEnd"/>
      <w:r w:rsidRPr="00541991">
        <w:rPr>
          <w:rFonts w:ascii="Arial" w:hAnsi="Arial" w:cs="Arial"/>
          <w:shd w:val="clear" w:color="auto" w:fill="FFFFFF"/>
        </w:rPr>
        <w:t xml:space="preserve">, B. A., Chaffin, B. C., Arnold, C. A. T., </w:t>
      </w:r>
      <w:proofErr w:type="spellStart"/>
      <w:r w:rsidRPr="00541991">
        <w:rPr>
          <w:rFonts w:ascii="Arial" w:hAnsi="Arial" w:cs="Arial"/>
          <w:shd w:val="clear" w:color="auto" w:fill="FFFFFF"/>
        </w:rPr>
        <w:t>Fremier</w:t>
      </w:r>
      <w:proofErr w:type="spellEnd"/>
      <w:r w:rsidRPr="00541991">
        <w:rPr>
          <w:rFonts w:ascii="Arial" w:hAnsi="Arial" w:cs="Arial"/>
          <w:shd w:val="clear" w:color="auto" w:fill="FFFFFF"/>
        </w:rPr>
        <w:t xml:space="preserve">, A. K., </w:t>
      </w:r>
      <w:proofErr w:type="spellStart"/>
      <w:r w:rsidRPr="00541991">
        <w:rPr>
          <w:rFonts w:ascii="Arial" w:hAnsi="Arial" w:cs="Arial"/>
          <w:shd w:val="clear" w:color="auto" w:fill="FFFFFF"/>
        </w:rPr>
        <w:t>Garmestani</w:t>
      </w:r>
      <w:proofErr w:type="spellEnd"/>
      <w:r w:rsidRPr="00541991">
        <w:rPr>
          <w:rFonts w:ascii="Arial" w:hAnsi="Arial" w:cs="Arial"/>
          <w:shd w:val="clear" w:color="auto" w:fill="FFFFFF"/>
        </w:rPr>
        <w:t xml:space="preserve">, A. S., Craig,  R., Gosnell, ., </w:t>
      </w:r>
      <w:proofErr w:type="spellStart"/>
      <w:r w:rsidRPr="00541991">
        <w:rPr>
          <w:rFonts w:ascii="Arial" w:hAnsi="Arial" w:cs="Arial"/>
          <w:shd w:val="clear" w:color="auto" w:fill="FFFFFF"/>
        </w:rPr>
        <w:t>Birge</w:t>
      </w:r>
      <w:proofErr w:type="spellEnd"/>
      <w:r w:rsidRPr="00541991">
        <w:rPr>
          <w:rFonts w:ascii="Arial" w:hAnsi="Arial" w:cs="Arial"/>
          <w:shd w:val="clear" w:color="auto" w:fill="FFFFFF"/>
        </w:rPr>
        <w:t xml:space="preserve">, G., Allen C., Benson, M., </w:t>
      </w:r>
      <w:proofErr w:type="spellStart"/>
      <w:r w:rsidRPr="00541991">
        <w:rPr>
          <w:rFonts w:ascii="Arial" w:hAnsi="Arial" w:cs="Arial"/>
          <w:shd w:val="clear" w:color="auto" w:fill="FFFFFF"/>
        </w:rPr>
        <w:t>Morriso</w:t>
      </w:r>
      <w:proofErr w:type="spellEnd"/>
      <w:r w:rsidRPr="00541991">
        <w:rPr>
          <w:rFonts w:ascii="Arial" w:hAnsi="Arial" w:cs="Arial"/>
          <w:shd w:val="clear" w:color="auto" w:fill="FFFFFF"/>
        </w:rPr>
        <w:t xml:space="preserve">, R., Stone, M. Hamm, J., </w:t>
      </w:r>
      <w:proofErr w:type="spellStart"/>
      <w:r w:rsidRPr="00541991">
        <w:rPr>
          <w:rFonts w:ascii="Arial" w:hAnsi="Arial" w:cs="Arial"/>
          <w:shd w:val="clear" w:color="auto" w:fill="FFFFFF"/>
        </w:rPr>
        <w:t>Nemec</w:t>
      </w:r>
      <w:proofErr w:type="spellEnd"/>
      <w:r w:rsidRPr="00541991">
        <w:rPr>
          <w:rFonts w:ascii="Arial" w:hAnsi="Arial" w:cs="Arial"/>
          <w:shd w:val="clear" w:color="auto" w:fill="FFFFFF"/>
        </w:rPr>
        <w:t xml:space="preserve">, K., </w:t>
      </w:r>
      <w:proofErr w:type="spellStart"/>
      <w:r w:rsidRPr="00541991">
        <w:rPr>
          <w:rFonts w:ascii="Arial" w:hAnsi="Arial" w:cs="Arial"/>
          <w:shd w:val="clear" w:color="auto" w:fill="FFFFFF"/>
        </w:rPr>
        <w:t>Schlager</w:t>
      </w:r>
      <w:proofErr w:type="spellEnd"/>
      <w:r w:rsidRPr="00541991">
        <w:rPr>
          <w:rFonts w:ascii="Arial" w:hAnsi="Arial" w:cs="Arial"/>
          <w:shd w:val="clear" w:color="auto" w:fill="FFFFFF"/>
        </w:rPr>
        <w:t xml:space="preserve">, E., and Llewellyn D., D. (2017). Regime shifts and </w:t>
      </w:r>
      <w:proofErr w:type="spellStart"/>
      <w:r w:rsidRPr="00541991">
        <w:rPr>
          <w:rFonts w:ascii="Arial" w:hAnsi="Arial" w:cs="Arial"/>
          <w:shd w:val="clear" w:color="auto" w:fill="FFFFFF"/>
        </w:rPr>
        <w:t>panarchies</w:t>
      </w:r>
      <w:proofErr w:type="spellEnd"/>
      <w:r w:rsidRPr="00541991">
        <w:rPr>
          <w:rFonts w:ascii="Arial" w:hAnsi="Arial" w:cs="Arial"/>
          <w:shd w:val="clear" w:color="auto" w:fill="FFFFFF"/>
        </w:rPr>
        <w:t xml:space="preserve"> in regional scale social-ecological water systems. </w:t>
      </w:r>
      <w:r w:rsidRPr="00541991">
        <w:rPr>
          <w:rFonts w:ascii="Arial" w:hAnsi="Arial" w:cs="Arial"/>
          <w:i/>
          <w:iCs/>
          <w:shd w:val="clear" w:color="auto" w:fill="FFFFFF"/>
        </w:rPr>
        <w:t>Ecology and society: a journal of integrative science for resilience and sustainability</w:t>
      </w:r>
      <w:r w:rsidRPr="00541991">
        <w:rPr>
          <w:rFonts w:ascii="Arial" w:hAnsi="Arial" w:cs="Arial"/>
          <w:shd w:val="clear" w:color="auto" w:fill="FFFFFF"/>
        </w:rPr>
        <w:t xml:space="preserve">, </w:t>
      </w:r>
      <w:r w:rsidRPr="00541991">
        <w:rPr>
          <w:rFonts w:ascii="Arial" w:hAnsi="Arial" w:cs="Arial"/>
          <w:i/>
          <w:iCs/>
          <w:shd w:val="clear" w:color="auto" w:fill="FFFFFF"/>
        </w:rPr>
        <w:t>22</w:t>
      </w:r>
      <w:r w:rsidRPr="00541991">
        <w:rPr>
          <w:rFonts w:ascii="Arial" w:hAnsi="Arial" w:cs="Arial"/>
          <w:shd w:val="clear" w:color="auto" w:fill="FFFFFF"/>
        </w:rPr>
        <w:t xml:space="preserve">(1), 1-13, </w:t>
      </w:r>
      <w:proofErr w:type="spellStart"/>
      <w:r w:rsidRPr="00541991">
        <w:rPr>
          <w:rFonts w:ascii="Arial" w:hAnsi="Arial" w:cs="Arial"/>
          <w:shd w:val="clear" w:color="auto" w:fill="FFFFFF"/>
        </w:rPr>
        <w:t>doi</w:t>
      </w:r>
      <w:proofErr w:type="spellEnd"/>
      <w:r w:rsidRPr="00541991">
        <w:rPr>
          <w:rFonts w:ascii="Arial" w:hAnsi="Arial" w:cs="Arial"/>
          <w:shd w:val="clear" w:color="auto" w:fill="FFFFFF"/>
        </w:rPr>
        <w:t>: </w:t>
      </w:r>
      <w:hyperlink r:id="rId17" w:tgtFrame="_blank" w:history="1">
        <w:r w:rsidRPr="00541991">
          <w:rPr>
            <w:rStyle w:val="Hyperlink"/>
            <w:rFonts w:ascii="Arial" w:hAnsi="Arial" w:cs="Arial"/>
            <w:color w:val="auto"/>
            <w:u w:val="none"/>
            <w:shd w:val="clear" w:color="auto" w:fill="FFFFFF"/>
          </w:rPr>
          <w:t>10.5751/ES-08879-220131</w:t>
        </w:r>
      </w:hyperlink>
      <w:r w:rsidRPr="00541991">
        <w:rPr>
          <w:rFonts w:ascii="Arial" w:hAnsi="Arial" w:cs="Arial"/>
        </w:rPr>
        <w:t>.</w:t>
      </w:r>
    </w:p>
    <w:p w:rsidR="00E83023" w:rsidRPr="00541991" w:rsidRDefault="00E83023" w:rsidP="00A206D0">
      <w:pPr>
        <w:spacing w:line="360" w:lineRule="auto"/>
        <w:jc w:val="both"/>
        <w:rPr>
          <w:rFonts w:ascii="Arial" w:hAnsi="Arial" w:cs="Arial"/>
          <w:iCs/>
        </w:rPr>
      </w:pPr>
    </w:p>
    <w:p w:rsidR="00E83023" w:rsidRPr="00541991" w:rsidRDefault="00E83023" w:rsidP="00A206D0">
      <w:pPr>
        <w:spacing w:line="360" w:lineRule="auto"/>
        <w:jc w:val="both"/>
        <w:rPr>
          <w:rFonts w:ascii="Arial" w:hAnsi="Arial" w:cs="Arial"/>
          <w:iCs/>
        </w:rPr>
      </w:pPr>
      <w:r w:rsidRPr="00541991">
        <w:rPr>
          <w:rFonts w:ascii="Arial" w:hAnsi="Arial" w:cs="Arial"/>
          <w:iCs/>
        </w:rPr>
        <w:t xml:space="preserve">Healey, P. (2013) Circuits of Knowledge and Techniques: The Transnational Flow of Planning Ideas and Practices, </w:t>
      </w:r>
      <w:r w:rsidRPr="00541991">
        <w:rPr>
          <w:rFonts w:ascii="Arial" w:hAnsi="Arial" w:cs="Arial"/>
          <w:i/>
          <w:iCs/>
        </w:rPr>
        <w:t xml:space="preserve">International Journal of Urban and Regional Research, </w:t>
      </w:r>
      <w:r w:rsidRPr="00541991">
        <w:rPr>
          <w:rFonts w:ascii="Arial" w:hAnsi="Arial" w:cs="Arial"/>
          <w:iCs/>
        </w:rPr>
        <w:t>37(5), 1510-1526, D</w:t>
      </w:r>
      <w:r w:rsidRPr="00541991">
        <w:rPr>
          <w:rFonts w:ascii="Arial" w:hAnsi="Arial" w:cs="Arial"/>
        </w:rPr>
        <w:t>OI:10.1111/1468-2427.12044.</w:t>
      </w:r>
    </w:p>
    <w:p w:rsidR="00E83023" w:rsidRPr="00541991" w:rsidRDefault="00E83023" w:rsidP="00A206D0">
      <w:pPr>
        <w:spacing w:line="360" w:lineRule="auto"/>
        <w:jc w:val="both"/>
        <w:rPr>
          <w:rFonts w:ascii="Arial" w:hAnsi="Arial" w:cs="Arial"/>
          <w:iCs/>
        </w:rPr>
      </w:pPr>
    </w:p>
    <w:p w:rsidR="00E83023" w:rsidRPr="00541991" w:rsidRDefault="00E83023" w:rsidP="00A206D0">
      <w:pPr>
        <w:spacing w:line="360" w:lineRule="auto"/>
        <w:jc w:val="both"/>
        <w:rPr>
          <w:rFonts w:ascii="Arial" w:hAnsi="Arial" w:cs="Arial"/>
          <w:iCs/>
        </w:rPr>
      </w:pPr>
      <w:proofErr w:type="spellStart"/>
      <w:r w:rsidRPr="00541991">
        <w:rPr>
          <w:rFonts w:ascii="Arial" w:hAnsi="Arial" w:cs="Arial"/>
          <w:iCs/>
        </w:rPr>
        <w:t>Howlett</w:t>
      </w:r>
      <w:proofErr w:type="spellEnd"/>
      <w:r w:rsidRPr="00541991">
        <w:rPr>
          <w:rFonts w:ascii="Arial" w:hAnsi="Arial" w:cs="Arial"/>
          <w:iCs/>
        </w:rPr>
        <w:t xml:space="preserve">, M. (2011) </w:t>
      </w:r>
      <w:r w:rsidRPr="00541991">
        <w:rPr>
          <w:rFonts w:ascii="Arial" w:hAnsi="Arial" w:cs="Arial"/>
          <w:i/>
          <w:iCs/>
        </w:rPr>
        <w:t xml:space="preserve">Designing Public Policies: Principles and Instruments, </w:t>
      </w:r>
      <w:r w:rsidRPr="00541991">
        <w:rPr>
          <w:rFonts w:ascii="Arial" w:hAnsi="Arial" w:cs="Arial"/>
          <w:iCs/>
        </w:rPr>
        <w:t>Routledge: London.</w:t>
      </w:r>
    </w:p>
    <w:p w:rsidR="00E83023" w:rsidRPr="00541991" w:rsidRDefault="00E83023" w:rsidP="00A206D0">
      <w:pPr>
        <w:spacing w:line="360" w:lineRule="auto"/>
        <w:jc w:val="both"/>
        <w:rPr>
          <w:rFonts w:ascii="Arial" w:hAnsi="Arial" w:cs="Arial"/>
          <w:iCs/>
        </w:rPr>
      </w:pPr>
    </w:p>
    <w:p w:rsidR="00E83023" w:rsidRPr="00541991" w:rsidRDefault="00E83023" w:rsidP="00A206D0">
      <w:pPr>
        <w:spacing w:line="360" w:lineRule="auto"/>
        <w:jc w:val="both"/>
        <w:rPr>
          <w:rFonts w:ascii="Arial" w:hAnsi="Arial" w:cs="Arial"/>
        </w:rPr>
      </w:pPr>
      <w:proofErr w:type="spellStart"/>
      <w:r w:rsidRPr="00541991">
        <w:rPr>
          <w:rFonts w:ascii="Arial" w:hAnsi="Arial" w:cs="Arial"/>
          <w:iCs/>
        </w:rPr>
        <w:t>Jasanoff</w:t>
      </w:r>
      <w:proofErr w:type="spellEnd"/>
      <w:r w:rsidRPr="00541991">
        <w:rPr>
          <w:rFonts w:ascii="Arial" w:hAnsi="Arial" w:cs="Arial"/>
          <w:iCs/>
        </w:rPr>
        <w:t xml:space="preserve">, S. and </w:t>
      </w:r>
      <w:proofErr w:type="spellStart"/>
      <w:r w:rsidRPr="00541991">
        <w:rPr>
          <w:rFonts w:ascii="Arial" w:hAnsi="Arial" w:cs="Arial"/>
          <w:iCs/>
        </w:rPr>
        <w:t>Simmet</w:t>
      </w:r>
      <w:proofErr w:type="spellEnd"/>
      <w:r w:rsidRPr="00541991">
        <w:rPr>
          <w:rFonts w:ascii="Arial" w:hAnsi="Arial" w:cs="Arial"/>
          <w:iCs/>
        </w:rPr>
        <w:t xml:space="preserve">, H. R. (2017) No funeral bells: Public reason in a ‘post-truth’ age, </w:t>
      </w:r>
      <w:r w:rsidRPr="00541991">
        <w:rPr>
          <w:rFonts w:ascii="Arial" w:hAnsi="Arial" w:cs="Arial"/>
          <w:i/>
          <w:iCs/>
        </w:rPr>
        <w:t xml:space="preserve">Social Studies of Science, </w:t>
      </w:r>
      <w:r w:rsidRPr="00541991">
        <w:rPr>
          <w:rFonts w:ascii="Arial" w:hAnsi="Arial" w:cs="Arial"/>
          <w:iCs/>
        </w:rPr>
        <w:t xml:space="preserve">47(5), 751-770, </w:t>
      </w:r>
      <w:r w:rsidRPr="00541991">
        <w:rPr>
          <w:rFonts w:ascii="Arial" w:hAnsi="Arial" w:cs="Arial"/>
        </w:rPr>
        <w:t>DOI: 10.1177/0306312717731936.</w:t>
      </w:r>
    </w:p>
    <w:p w:rsidR="00E83023" w:rsidRPr="00541991" w:rsidRDefault="00E83023" w:rsidP="00A206D0">
      <w:pPr>
        <w:spacing w:line="360" w:lineRule="auto"/>
        <w:jc w:val="both"/>
        <w:rPr>
          <w:rFonts w:ascii="Arial" w:hAnsi="Arial" w:cs="Arial"/>
        </w:rPr>
      </w:pPr>
    </w:p>
    <w:p w:rsidR="00E83023" w:rsidRPr="00541991" w:rsidRDefault="00E83023" w:rsidP="00A206D0">
      <w:pPr>
        <w:spacing w:line="360" w:lineRule="auto"/>
        <w:jc w:val="both"/>
        <w:rPr>
          <w:rFonts w:ascii="Arial" w:hAnsi="Arial" w:cs="Arial"/>
        </w:rPr>
      </w:pPr>
      <w:proofErr w:type="spellStart"/>
      <w:r w:rsidRPr="00541991">
        <w:rPr>
          <w:rFonts w:ascii="Arial" w:hAnsi="Arial" w:cs="Arial"/>
        </w:rPr>
        <w:t>Laville</w:t>
      </w:r>
      <w:proofErr w:type="spellEnd"/>
      <w:r w:rsidRPr="00541991">
        <w:rPr>
          <w:rFonts w:ascii="Arial" w:hAnsi="Arial" w:cs="Arial"/>
        </w:rPr>
        <w:t xml:space="preserve">, S. (2021, June 22) Cutbacks stopping vital work on river pollution and floods in England, Retrieved from: </w:t>
      </w:r>
      <w:r w:rsidRPr="00541991">
        <w:rPr>
          <w:rFonts w:ascii="Arial" w:hAnsi="Arial" w:cs="Arial"/>
          <w:shd w:val="clear" w:color="auto" w:fill="FFFFFF"/>
        </w:rPr>
        <w:t>https://www.theguardian.com/environment/2021/jun/22/cutbacks-stopping-vital-work-on-river-pollution-and-floods-in-england-environment-agency.</w:t>
      </w:r>
    </w:p>
    <w:p w:rsidR="00E83023" w:rsidRPr="00541991" w:rsidRDefault="00E83023" w:rsidP="00A206D0">
      <w:pPr>
        <w:spacing w:line="360" w:lineRule="auto"/>
        <w:jc w:val="both"/>
        <w:rPr>
          <w:rFonts w:ascii="Arial" w:hAnsi="Arial" w:cs="Arial"/>
          <w:iCs/>
        </w:rPr>
      </w:pPr>
    </w:p>
    <w:p w:rsidR="00E83023" w:rsidRPr="00541991" w:rsidRDefault="00E83023" w:rsidP="00A206D0">
      <w:pPr>
        <w:spacing w:line="360" w:lineRule="auto"/>
        <w:jc w:val="both"/>
        <w:rPr>
          <w:rFonts w:ascii="Arial" w:hAnsi="Arial" w:cs="Arial"/>
        </w:rPr>
      </w:pPr>
      <w:proofErr w:type="spellStart"/>
      <w:r w:rsidRPr="00541991">
        <w:rPr>
          <w:rFonts w:ascii="Arial" w:hAnsi="Arial" w:cs="Arial"/>
          <w:shd w:val="clear" w:color="auto" w:fill="FFFFFF"/>
        </w:rPr>
        <w:t>Markard</w:t>
      </w:r>
      <w:proofErr w:type="spellEnd"/>
      <w:r w:rsidRPr="00541991">
        <w:rPr>
          <w:rFonts w:ascii="Arial" w:hAnsi="Arial" w:cs="Arial"/>
          <w:shd w:val="clear" w:color="auto" w:fill="FFFFFF"/>
        </w:rPr>
        <w:t xml:space="preserve">, J., </w:t>
      </w:r>
      <w:proofErr w:type="spellStart"/>
      <w:r w:rsidRPr="00541991">
        <w:rPr>
          <w:rFonts w:ascii="Arial" w:hAnsi="Arial" w:cs="Arial"/>
          <w:shd w:val="clear" w:color="auto" w:fill="FFFFFF"/>
        </w:rPr>
        <w:t>Geels</w:t>
      </w:r>
      <w:proofErr w:type="spellEnd"/>
      <w:r w:rsidRPr="00541991">
        <w:rPr>
          <w:rFonts w:ascii="Arial" w:hAnsi="Arial" w:cs="Arial"/>
          <w:shd w:val="clear" w:color="auto" w:fill="FFFFFF"/>
        </w:rPr>
        <w:t xml:space="preserve">, F. W., &amp; Raven, R. (2020). Challenges in the acceleration of sustainability transitions. </w:t>
      </w:r>
      <w:r w:rsidRPr="00541991">
        <w:rPr>
          <w:rFonts w:ascii="Arial" w:hAnsi="Arial" w:cs="Arial"/>
          <w:i/>
          <w:iCs/>
          <w:shd w:val="clear" w:color="auto" w:fill="FFFFFF"/>
        </w:rPr>
        <w:t>Environmental Research Letters</w:t>
      </w:r>
      <w:r w:rsidRPr="00541991">
        <w:rPr>
          <w:rFonts w:ascii="Arial" w:hAnsi="Arial" w:cs="Arial"/>
          <w:shd w:val="clear" w:color="auto" w:fill="FFFFFF"/>
        </w:rPr>
        <w:t xml:space="preserve">, </w:t>
      </w:r>
      <w:r w:rsidRPr="00541991">
        <w:rPr>
          <w:rFonts w:ascii="Arial" w:hAnsi="Arial" w:cs="Arial"/>
          <w:i/>
          <w:iCs/>
          <w:shd w:val="clear" w:color="auto" w:fill="FFFFFF"/>
        </w:rPr>
        <w:t>15</w:t>
      </w:r>
      <w:r w:rsidRPr="00541991">
        <w:rPr>
          <w:rFonts w:ascii="Arial" w:hAnsi="Arial" w:cs="Arial"/>
          <w:shd w:val="clear" w:color="auto" w:fill="FFFFFF"/>
        </w:rPr>
        <w:t>(8), 081001, https://doi.org/10.1088/1748-9326/ab9468.</w:t>
      </w:r>
    </w:p>
    <w:p w:rsidR="00E83023" w:rsidRPr="00541991" w:rsidRDefault="00E83023" w:rsidP="00A206D0">
      <w:pPr>
        <w:spacing w:line="360" w:lineRule="auto"/>
        <w:jc w:val="both"/>
        <w:rPr>
          <w:rFonts w:ascii="Arial" w:hAnsi="Arial" w:cs="Arial"/>
          <w:iCs/>
        </w:rPr>
      </w:pPr>
    </w:p>
    <w:p w:rsidR="00E83023" w:rsidRPr="00541991" w:rsidRDefault="00E83023" w:rsidP="00A206D0">
      <w:pPr>
        <w:spacing w:line="360" w:lineRule="auto"/>
        <w:jc w:val="both"/>
        <w:rPr>
          <w:rFonts w:ascii="Arial" w:hAnsi="Arial" w:cs="Arial"/>
        </w:rPr>
      </w:pPr>
      <w:r w:rsidRPr="00541991">
        <w:rPr>
          <w:rFonts w:ascii="Arial" w:hAnsi="Arial" w:cs="Arial"/>
          <w:iCs/>
        </w:rPr>
        <w:lastRenderedPageBreak/>
        <w:t xml:space="preserve">McKay, S., Murray, M., </w:t>
      </w:r>
      <w:proofErr w:type="spellStart"/>
      <w:r w:rsidRPr="00541991">
        <w:rPr>
          <w:rFonts w:ascii="Arial" w:hAnsi="Arial" w:cs="Arial"/>
          <w:iCs/>
        </w:rPr>
        <w:t>MacIntyre</w:t>
      </w:r>
      <w:proofErr w:type="spellEnd"/>
      <w:r w:rsidRPr="00541991">
        <w:rPr>
          <w:rFonts w:ascii="Arial" w:hAnsi="Arial" w:cs="Arial"/>
          <w:iCs/>
        </w:rPr>
        <w:t xml:space="preserve">, S. and </w:t>
      </w:r>
      <w:proofErr w:type="spellStart"/>
      <w:r w:rsidRPr="00541991">
        <w:rPr>
          <w:rFonts w:ascii="Arial" w:hAnsi="Arial" w:cs="Arial"/>
          <w:iCs/>
        </w:rPr>
        <w:t>Kashyap</w:t>
      </w:r>
      <w:proofErr w:type="spellEnd"/>
      <w:r w:rsidRPr="00541991">
        <w:rPr>
          <w:rFonts w:ascii="Arial" w:hAnsi="Arial" w:cs="Arial"/>
          <w:iCs/>
        </w:rPr>
        <w:t>, A. (2015) Evidence-based policymaking and the public interest: lessons in legitimacy,</w:t>
      </w:r>
      <w:r w:rsidRPr="00541991">
        <w:rPr>
          <w:rFonts w:ascii="Arial" w:hAnsi="Arial" w:cs="Arial"/>
          <w:i/>
          <w:iCs/>
        </w:rPr>
        <w:t xml:space="preserve"> Town Planning Review, </w:t>
      </w:r>
      <w:r w:rsidRPr="00541991">
        <w:rPr>
          <w:rFonts w:ascii="Arial" w:hAnsi="Arial" w:cs="Arial"/>
          <w:iCs/>
        </w:rPr>
        <w:t>86(2), 133-154, d</w:t>
      </w:r>
      <w:r w:rsidRPr="00541991">
        <w:rPr>
          <w:rFonts w:ascii="Arial" w:hAnsi="Arial" w:cs="Arial"/>
        </w:rPr>
        <w:t>oi:10.3828/tpr.2015.9.</w:t>
      </w:r>
    </w:p>
    <w:p w:rsidR="0089483B" w:rsidRPr="00541991" w:rsidRDefault="0089483B" w:rsidP="00A206D0">
      <w:pPr>
        <w:spacing w:line="360" w:lineRule="auto"/>
        <w:jc w:val="both"/>
        <w:rPr>
          <w:rFonts w:ascii="Arial" w:hAnsi="Arial" w:cs="Arial"/>
          <w:iCs/>
        </w:rPr>
      </w:pPr>
    </w:p>
    <w:p w:rsidR="00E83023" w:rsidRPr="00541991" w:rsidRDefault="00E83023" w:rsidP="00A206D0">
      <w:pPr>
        <w:spacing w:line="360" w:lineRule="auto"/>
        <w:jc w:val="both"/>
        <w:rPr>
          <w:rFonts w:ascii="Arial" w:hAnsi="Arial" w:cs="Arial"/>
        </w:rPr>
      </w:pPr>
      <w:proofErr w:type="spellStart"/>
      <w:r w:rsidRPr="00541991">
        <w:rPr>
          <w:rFonts w:ascii="Arial" w:hAnsi="Arial" w:cs="Arial"/>
          <w:shd w:val="clear" w:color="auto" w:fill="FFFFFF"/>
        </w:rPr>
        <w:t>Mintrom</w:t>
      </w:r>
      <w:proofErr w:type="spellEnd"/>
      <w:r w:rsidRPr="00541991">
        <w:rPr>
          <w:rFonts w:ascii="Arial" w:hAnsi="Arial" w:cs="Arial"/>
          <w:shd w:val="clear" w:color="auto" w:fill="FFFFFF"/>
        </w:rPr>
        <w:t xml:space="preserve">, M., &amp; </w:t>
      </w:r>
      <w:proofErr w:type="spellStart"/>
      <w:r w:rsidRPr="00541991">
        <w:rPr>
          <w:rFonts w:ascii="Arial" w:hAnsi="Arial" w:cs="Arial"/>
          <w:shd w:val="clear" w:color="auto" w:fill="FFFFFF"/>
        </w:rPr>
        <w:t>Luetjens</w:t>
      </w:r>
      <w:proofErr w:type="spellEnd"/>
      <w:r w:rsidRPr="00541991">
        <w:rPr>
          <w:rFonts w:ascii="Arial" w:hAnsi="Arial" w:cs="Arial"/>
          <w:shd w:val="clear" w:color="auto" w:fill="FFFFFF"/>
        </w:rPr>
        <w:t xml:space="preserve">, J. (2017). Policy entrepreneurs and problem framing: The case of climate change. </w:t>
      </w:r>
      <w:r w:rsidRPr="00541991">
        <w:rPr>
          <w:rFonts w:ascii="Arial" w:hAnsi="Arial" w:cs="Arial"/>
          <w:i/>
          <w:iCs/>
          <w:shd w:val="clear" w:color="auto" w:fill="FFFFFF"/>
        </w:rPr>
        <w:t>Environment and Planning C: Politics and Space</w:t>
      </w:r>
      <w:r w:rsidRPr="00541991">
        <w:rPr>
          <w:rFonts w:ascii="Arial" w:hAnsi="Arial" w:cs="Arial"/>
          <w:shd w:val="clear" w:color="auto" w:fill="FFFFFF"/>
        </w:rPr>
        <w:t xml:space="preserve">, </w:t>
      </w:r>
      <w:r w:rsidRPr="00541991">
        <w:rPr>
          <w:rFonts w:ascii="Arial" w:hAnsi="Arial" w:cs="Arial"/>
          <w:i/>
          <w:iCs/>
          <w:shd w:val="clear" w:color="auto" w:fill="FFFFFF"/>
        </w:rPr>
        <w:t>35</w:t>
      </w:r>
      <w:r w:rsidRPr="00541991">
        <w:rPr>
          <w:rFonts w:ascii="Arial" w:hAnsi="Arial" w:cs="Arial"/>
          <w:shd w:val="clear" w:color="auto" w:fill="FFFFFF"/>
        </w:rPr>
        <w:t xml:space="preserve">(8), 1362-1377, </w:t>
      </w:r>
      <w:hyperlink r:id="rId18" w:history="1">
        <w:r w:rsidRPr="00541991">
          <w:rPr>
            <w:rStyle w:val="Hyperlink"/>
            <w:rFonts w:ascii="Arial" w:hAnsi="Arial" w:cs="Arial"/>
            <w:color w:val="auto"/>
            <w:u w:val="none"/>
            <w:shd w:val="clear" w:color="auto" w:fill="FFFFFF"/>
          </w:rPr>
          <w:t>https://doi.org/10.1177/2399654417708440</w:t>
        </w:r>
      </w:hyperlink>
      <w:r w:rsidRPr="00541991">
        <w:rPr>
          <w:rFonts w:ascii="Arial" w:hAnsi="Arial" w:cs="Arial"/>
        </w:rPr>
        <w:t>.</w:t>
      </w:r>
    </w:p>
    <w:p w:rsidR="00E83023" w:rsidRPr="00541991" w:rsidRDefault="00E83023" w:rsidP="00A206D0">
      <w:pPr>
        <w:spacing w:line="360" w:lineRule="auto"/>
        <w:jc w:val="both"/>
        <w:rPr>
          <w:rFonts w:ascii="Arial" w:hAnsi="Arial" w:cs="Arial"/>
          <w:iCs/>
        </w:rPr>
      </w:pPr>
    </w:p>
    <w:p w:rsidR="00E83023" w:rsidRPr="00541991" w:rsidRDefault="00E83023" w:rsidP="00A206D0">
      <w:pPr>
        <w:spacing w:line="360" w:lineRule="auto"/>
        <w:jc w:val="both"/>
        <w:rPr>
          <w:rFonts w:ascii="Arial" w:hAnsi="Arial" w:cs="Arial"/>
          <w:shd w:val="clear" w:color="auto" w:fill="FFFFFF"/>
        </w:rPr>
      </w:pPr>
      <w:r w:rsidRPr="00541991">
        <w:rPr>
          <w:rFonts w:ascii="Arial" w:hAnsi="Arial" w:cs="Arial"/>
          <w:iCs/>
        </w:rPr>
        <w:t>Muldoon-Smith, K. and McGuin</w:t>
      </w:r>
      <w:r w:rsidR="00193547">
        <w:rPr>
          <w:rFonts w:ascii="Arial" w:hAnsi="Arial" w:cs="Arial"/>
          <w:iCs/>
        </w:rPr>
        <w:t>n</w:t>
      </w:r>
      <w:bookmarkStart w:id="0" w:name="_GoBack"/>
      <w:bookmarkEnd w:id="0"/>
      <w:r w:rsidRPr="00541991">
        <w:rPr>
          <w:rFonts w:ascii="Arial" w:hAnsi="Arial" w:cs="Arial"/>
          <w:iCs/>
        </w:rPr>
        <w:t xml:space="preserve">ess, D. (2020) </w:t>
      </w:r>
      <w:proofErr w:type="gramStart"/>
      <w:r w:rsidRPr="00541991">
        <w:rPr>
          <w:rFonts w:ascii="Arial" w:hAnsi="Arial" w:cs="Arial"/>
          <w:iCs/>
        </w:rPr>
        <w:t>Tacit</w:t>
      </w:r>
      <w:proofErr w:type="gramEnd"/>
      <w:r w:rsidRPr="00541991">
        <w:rPr>
          <w:rFonts w:ascii="Arial" w:hAnsi="Arial" w:cs="Arial"/>
          <w:iCs/>
        </w:rPr>
        <w:t xml:space="preserve"> domains: The transference of practitioner know-how in contemporary English planning practice, </w:t>
      </w:r>
      <w:r w:rsidRPr="00541991">
        <w:rPr>
          <w:rFonts w:ascii="Arial" w:hAnsi="Arial" w:cs="Arial"/>
          <w:i/>
          <w:iCs/>
        </w:rPr>
        <w:t xml:space="preserve">Area, </w:t>
      </w:r>
      <w:r w:rsidRPr="00541991">
        <w:rPr>
          <w:rFonts w:ascii="Arial" w:hAnsi="Arial" w:cs="Arial"/>
          <w:iCs/>
        </w:rPr>
        <w:t xml:space="preserve">1-8, </w:t>
      </w:r>
      <w:hyperlink r:id="rId19" w:history="1">
        <w:r w:rsidRPr="00541991">
          <w:rPr>
            <w:rStyle w:val="Hyperlink"/>
            <w:rFonts w:ascii="Arial" w:hAnsi="Arial" w:cs="Arial"/>
            <w:color w:val="auto"/>
            <w:u w:val="none"/>
            <w:shd w:val="clear" w:color="auto" w:fill="FFFFFF"/>
          </w:rPr>
          <w:t>https://doi.org/10.1111/area.12641</w:t>
        </w:r>
      </w:hyperlink>
      <w:r w:rsidRPr="00541991">
        <w:rPr>
          <w:rFonts w:ascii="Arial" w:hAnsi="Arial" w:cs="Arial"/>
          <w:shd w:val="clear" w:color="auto" w:fill="FFFFFF"/>
        </w:rPr>
        <w:t>.</w:t>
      </w:r>
    </w:p>
    <w:p w:rsidR="00E83023" w:rsidRPr="00541991" w:rsidRDefault="00E83023" w:rsidP="00A206D0">
      <w:pPr>
        <w:spacing w:line="360" w:lineRule="auto"/>
        <w:jc w:val="both"/>
        <w:rPr>
          <w:rFonts w:ascii="Arial" w:hAnsi="Arial" w:cs="Arial"/>
          <w:shd w:val="clear" w:color="auto" w:fill="FFFFFF"/>
        </w:rPr>
      </w:pPr>
    </w:p>
    <w:p w:rsidR="00E83023" w:rsidRPr="00541991" w:rsidRDefault="00E83023" w:rsidP="00A206D0">
      <w:pPr>
        <w:spacing w:line="360" w:lineRule="auto"/>
        <w:jc w:val="both"/>
        <w:rPr>
          <w:rFonts w:ascii="Arial" w:hAnsi="Arial" w:cs="Arial"/>
        </w:rPr>
      </w:pPr>
      <w:proofErr w:type="spellStart"/>
      <w:r w:rsidRPr="00541991">
        <w:rPr>
          <w:rFonts w:ascii="Arial" w:hAnsi="Arial" w:cs="Arial"/>
          <w:shd w:val="clear" w:color="auto" w:fill="FFFFFF"/>
        </w:rPr>
        <w:t>Novalia</w:t>
      </w:r>
      <w:proofErr w:type="spellEnd"/>
      <w:r w:rsidRPr="00541991">
        <w:rPr>
          <w:rFonts w:ascii="Arial" w:hAnsi="Arial" w:cs="Arial"/>
          <w:shd w:val="clear" w:color="auto" w:fill="FFFFFF"/>
        </w:rPr>
        <w:t xml:space="preserve">, W., &amp; </w:t>
      </w:r>
      <w:proofErr w:type="spellStart"/>
      <w:r w:rsidRPr="00541991">
        <w:rPr>
          <w:rFonts w:ascii="Arial" w:hAnsi="Arial" w:cs="Arial"/>
          <w:shd w:val="clear" w:color="auto" w:fill="FFFFFF"/>
        </w:rPr>
        <w:t>Malekpour</w:t>
      </w:r>
      <w:proofErr w:type="spellEnd"/>
      <w:r w:rsidRPr="00541991">
        <w:rPr>
          <w:rFonts w:ascii="Arial" w:hAnsi="Arial" w:cs="Arial"/>
          <w:shd w:val="clear" w:color="auto" w:fill="FFFFFF"/>
        </w:rPr>
        <w:t xml:space="preserve">, S. (2020). Theorising the role of crisis for transformative adaptation. </w:t>
      </w:r>
      <w:r w:rsidRPr="00541991">
        <w:rPr>
          <w:rFonts w:ascii="Arial" w:hAnsi="Arial" w:cs="Arial"/>
          <w:i/>
          <w:iCs/>
          <w:shd w:val="clear" w:color="auto" w:fill="FFFFFF"/>
        </w:rPr>
        <w:t>Environmental Science &amp; Policy</w:t>
      </w:r>
      <w:r w:rsidRPr="00541991">
        <w:rPr>
          <w:rFonts w:ascii="Arial" w:hAnsi="Arial" w:cs="Arial"/>
          <w:shd w:val="clear" w:color="auto" w:fill="FFFFFF"/>
        </w:rPr>
        <w:t xml:space="preserve">, </w:t>
      </w:r>
      <w:r w:rsidRPr="00541991">
        <w:rPr>
          <w:rFonts w:ascii="Arial" w:hAnsi="Arial" w:cs="Arial"/>
          <w:i/>
          <w:iCs/>
          <w:shd w:val="clear" w:color="auto" w:fill="FFFFFF"/>
        </w:rPr>
        <w:t>112</w:t>
      </w:r>
      <w:r w:rsidRPr="00541991">
        <w:rPr>
          <w:rFonts w:ascii="Arial" w:hAnsi="Arial" w:cs="Arial"/>
          <w:shd w:val="clear" w:color="auto" w:fill="FFFFFF"/>
        </w:rPr>
        <w:t xml:space="preserve">, 361-370, </w:t>
      </w:r>
      <w:hyperlink r:id="rId20" w:tgtFrame="_blank" w:tooltip="Persistent link using digital object identifier" w:history="1">
        <w:r w:rsidRPr="00541991">
          <w:rPr>
            <w:rStyle w:val="Hyperlink"/>
            <w:rFonts w:ascii="Arial" w:hAnsi="Arial" w:cs="Arial"/>
            <w:color w:val="auto"/>
            <w:u w:val="none"/>
          </w:rPr>
          <w:t>https://doi.org/10.1016/j.envsci.2020.07.009</w:t>
        </w:r>
      </w:hyperlink>
    </w:p>
    <w:p w:rsidR="00E83023" w:rsidRPr="00541991" w:rsidRDefault="00E83023" w:rsidP="00A206D0">
      <w:pPr>
        <w:spacing w:line="360" w:lineRule="auto"/>
        <w:jc w:val="both"/>
        <w:rPr>
          <w:rFonts w:ascii="Arial" w:hAnsi="Arial" w:cs="Arial"/>
          <w:iCs/>
        </w:rPr>
      </w:pPr>
    </w:p>
    <w:p w:rsidR="00E83023" w:rsidRPr="00541991" w:rsidRDefault="00E83023" w:rsidP="00A206D0">
      <w:pPr>
        <w:spacing w:line="360" w:lineRule="auto"/>
        <w:jc w:val="both"/>
        <w:rPr>
          <w:rFonts w:ascii="Arial" w:hAnsi="Arial" w:cs="Arial"/>
          <w:shd w:val="clear" w:color="auto" w:fill="FFFFFF"/>
        </w:rPr>
      </w:pPr>
      <w:r w:rsidRPr="00541991">
        <w:rPr>
          <w:rFonts w:ascii="Arial" w:hAnsi="Arial" w:cs="Arial"/>
          <w:iCs/>
        </w:rPr>
        <w:t xml:space="preserve">Palmer, J. (2019) Geographies of expertise in the </w:t>
      </w:r>
      <w:proofErr w:type="spellStart"/>
      <w:r w:rsidRPr="00541991">
        <w:rPr>
          <w:rFonts w:ascii="Arial" w:hAnsi="Arial" w:cs="Arial"/>
          <w:iCs/>
        </w:rPr>
        <w:t>dieselgate</w:t>
      </w:r>
      <w:proofErr w:type="spellEnd"/>
      <w:r w:rsidRPr="00541991">
        <w:rPr>
          <w:rFonts w:ascii="Arial" w:hAnsi="Arial" w:cs="Arial"/>
          <w:iCs/>
        </w:rPr>
        <w:t xml:space="preserve"> scandal: From a politics of accuracy to a politics of acceptability, </w:t>
      </w:r>
      <w:r w:rsidRPr="00541991">
        <w:rPr>
          <w:rFonts w:ascii="Arial" w:hAnsi="Arial" w:cs="Arial"/>
          <w:i/>
          <w:iCs/>
        </w:rPr>
        <w:t>Area,</w:t>
      </w:r>
      <w:r w:rsidRPr="00541991">
        <w:rPr>
          <w:rFonts w:ascii="Arial" w:hAnsi="Arial" w:cs="Arial"/>
          <w:iCs/>
        </w:rPr>
        <w:t xml:space="preserve"> 1-8, </w:t>
      </w:r>
      <w:hyperlink r:id="rId21" w:history="1">
        <w:r w:rsidRPr="00541991">
          <w:rPr>
            <w:rStyle w:val="Hyperlink"/>
            <w:rFonts w:ascii="Arial" w:hAnsi="Arial" w:cs="Arial"/>
            <w:color w:val="auto"/>
            <w:u w:val="none"/>
            <w:shd w:val="clear" w:color="auto" w:fill="FFFFFF"/>
          </w:rPr>
          <w:t>https://doi.org/10.1111/area.12581</w:t>
        </w:r>
      </w:hyperlink>
      <w:r w:rsidRPr="00541991">
        <w:rPr>
          <w:rFonts w:ascii="Arial" w:hAnsi="Arial" w:cs="Arial"/>
          <w:shd w:val="clear" w:color="auto" w:fill="FFFFFF"/>
        </w:rPr>
        <w:t xml:space="preserve">. </w:t>
      </w:r>
    </w:p>
    <w:p w:rsidR="00E83023" w:rsidRPr="00541991" w:rsidRDefault="00E83023" w:rsidP="00A206D0">
      <w:pPr>
        <w:spacing w:line="360" w:lineRule="auto"/>
        <w:jc w:val="both"/>
        <w:rPr>
          <w:rFonts w:ascii="Arial" w:hAnsi="Arial" w:cs="Arial"/>
          <w:i/>
          <w:iCs/>
        </w:rPr>
      </w:pPr>
    </w:p>
    <w:p w:rsidR="00E83023" w:rsidRPr="00541991" w:rsidRDefault="00E83023" w:rsidP="00A206D0">
      <w:pPr>
        <w:spacing w:line="360" w:lineRule="auto"/>
        <w:jc w:val="both"/>
        <w:rPr>
          <w:rFonts w:ascii="Arial" w:hAnsi="Arial" w:cs="Arial"/>
          <w:iCs/>
        </w:rPr>
      </w:pPr>
      <w:r w:rsidRPr="00541991">
        <w:rPr>
          <w:rFonts w:ascii="Arial" w:hAnsi="Arial" w:cs="Arial"/>
          <w:iCs/>
        </w:rPr>
        <w:t xml:space="preserve">Parkhurst, J. (2017) </w:t>
      </w:r>
      <w:proofErr w:type="gramStart"/>
      <w:r w:rsidRPr="00541991">
        <w:rPr>
          <w:rFonts w:ascii="Arial" w:hAnsi="Arial" w:cs="Arial"/>
          <w:i/>
          <w:iCs/>
        </w:rPr>
        <w:t>The</w:t>
      </w:r>
      <w:proofErr w:type="gramEnd"/>
      <w:r w:rsidRPr="00541991">
        <w:rPr>
          <w:rFonts w:ascii="Arial" w:hAnsi="Arial" w:cs="Arial"/>
          <w:i/>
          <w:iCs/>
        </w:rPr>
        <w:t xml:space="preserve"> Politics of Evidence, </w:t>
      </w:r>
      <w:r w:rsidRPr="00541991">
        <w:rPr>
          <w:rFonts w:ascii="Arial" w:hAnsi="Arial" w:cs="Arial"/>
          <w:iCs/>
        </w:rPr>
        <w:t>Routledge: London.</w:t>
      </w:r>
    </w:p>
    <w:p w:rsidR="004356F4" w:rsidRPr="00541991" w:rsidRDefault="004356F4" w:rsidP="00A206D0">
      <w:pPr>
        <w:spacing w:line="360" w:lineRule="auto"/>
        <w:jc w:val="both"/>
        <w:rPr>
          <w:rFonts w:ascii="Arial" w:hAnsi="Arial" w:cs="Arial"/>
          <w:iCs/>
        </w:rPr>
      </w:pPr>
    </w:p>
    <w:p w:rsidR="00E83023" w:rsidRPr="00541991" w:rsidRDefault="00E83023" w:rsidP="00A206D0">
      <w:pPr>
        <w:spacing w:line="360" w:lineRule="auto"/>
        <w:jc w:val="both"/>
        <w:rPr>
          <w:rStyle w:val="Hyperlink"/>
          <w:rFonts w:ascii="Arial" w:hAnsi="Arial" w:cs="Arial"/>
          <w:color w:val="auto"/>
          <w:u w:val="none"/>
        </w:rPr>
      </w:pPr>
      <w:proofErr w:type="spellStart"/>
      <w:r w:rsidRPr="00541991">
        <w:rPr>
          <w:rFonts w:ascii="Arial" w:hAnsi="Arial" w:cs="Arial"/>
          <w:shd w:val="clear" w:color="auto" w:fill="FFFFFF"/>
        </w:rPr>
        <w:t>Pepinsky</w:t>
      </w:r>
      <w:proofErr w:type="spellEnd"/>
      <w:r w:rsidRPr="00541991">
        <w:rPr>
          <w:rFonts w:ascii="Arial" w:hAnsi="Arial" w:cs="Arial"/>
          <w:shd w:val="clear" w:color="auto" w:fill="FFFFFF"/>
        </w:rPr>
        <w:t xml:space="preserve">, T. B., &amp; Walter, S. (2020). Introduction to the debate section: understanding contemporary challenges to the global order, </w:t>
      </w:r>
      <w:r w:rsidRPr="00541991">
        <w:rPr>
          <w:rFonts w:ascii="Arial" w:hAnsi="Arial" w:cs="Arial"/>
          <w:i/>
          <w:shd w:val="clear" w:color="auto" w:fill="FFFFFF"/>
        </w:rPr>
        <w:t xml:space="preserve">Journal of European Public Policy, </w:t>
      </w:r>
      <w:r w:rsidRPr="00541991">
        <w:rPr>
          <w:rFonts w:ascii="Arial" w:hAnsi="Arial" w:cs="Arial"/>
          <w:shd w:val="clear" w:color="auto" w:fill="FFFFFF"/>
        </w:rPr>
        <w:t xml:space="preserve">27(7), 1074-1076, </w:t>
      </w:r>
      <w:hyperlink r:id="rId22" w:history="1">
        <w:r w:rsidRPr="00541991">
          <w:rPr>
            <w:rStyle w:val="Hyperlink"/>
            <w:rFonts w:ascii="Arial" w:hAnsi="Arial" w:cs="Arial"/>
            <w:color w:val="auto"/>
            <w:u w:val="none"/>
          </w:rPr>
          <w:t>https://doi.org/10.1080/13501763.2019.1678663</w:t>
        </w:r>
      </w:hyperlink>
      <w:r w:rsidR="004356F4" w:rsidRPr="00541991">
        <w:rPr>
          <w:rStyle w:val="Hyperlink"/>
          <w:rFonts w:ascii="Arial" w:hAnsi="Arial" w:cs="Arial"/>
          <w:color w:val="auto"/>
          <w:u w:val="none"/>
        </w:rPr>
        <w:t>.</w:t>
      </w:r>
    </w:p>
    <w:p w:rsidR="004356F4" w:rsidRPr="00541991" w:rsidRDefault="004356F4" w:rsidP="00A206D0">
      <w:pPr>
        <w:spacing w:line="360" w:lineRule="auto"/>
        <w:jc w:val="both"/>
        <w:rPr>
          <w:rFonts w:ascii="Arial" w:eastAsiaTheme="minorHAnsi" w:hAnsi="Arial" w:cs="Arial"/>
          <w:lang w:eastAsia="en-US"/>
        </w:rPr>
      </w:pPr>
    </w:p>
    <w:p w:rsidR="00E83023" w:rsidRPr="00541991" w:rsidRDefault="00E83023" w:rsidP="00A206D0">
      <w:pPr>
        <w:spacing w:line="360" w:lineRule="auto"/>
        <w:jc w:val="both"/>
        <w:rPr>
          <w:rFonts w:ascii="Arial" w:hAnsi="Arial" w:cs="Arial"/>
        </w:rPr>
      </w:pPr>
      <w:proofErr w:type="spellStart"/>
      <w:r w:rsidRPr="00541991">
        <w:rPr>
          <w:rFonts w:ascii="Arial" w:hAnsi="Arial" w:cs="Arial"/>
        </w:rPr>
        <w:t>Portes</w:t>
      </w:r>
      <w:proofErr w:type="spellEnd"/>
      <w:r w:rsidRPr="00541991">
        <w:rPr>
          <w:rFonts w:ascii="Arial" w:hAnsi="Arial" w:cs="Arial"/>
        </w:rPr>
        <w:t xml:space="preserve">, R.  (2017, May 9) "I think the people of this country have had enough of experts" Who needs experts? Richard </w:t>
      </w:r>
      <w:proofErr w:type="spellStart"/>
      <w:r w:rsidRPr="00541991">
        <w:rPr>
          <w:rFonts w:ascii="Arial" w:hAnsi="Arial" w:cs="Arial"/>
        </w:rPr>
        <w:t>Portes</w:t>
      </w:r>
      <w:proofErr w:type="spellEnd"/>
      <w:r w:rsidRPr="00541991">
        <w:rPr>
          <w:rFonts w:ascii="Arial" w:hAnsi="Arial" w:cs="Arial"/>
        </w:rPr>
        <w:t xml:space="preserve"> comes to the defence of an embattled breed, </w:t>
      </w:r>
      <w:proofErr w:type="gramStart"/>
      <w:r w:rsidRPr="00541991">
        <w:rPr>
          <w:rFonts w:ascii="Arial" w:hAnsi="Arial" w:cs="Arial"/>
        </w:rPr>
        <w:t>Retrieved</w:t>
      </w:r>
      <w:proofErr w:type="gramEnd"/>
      <w:r w:rsidRPr="00541991">
        <w:rPr>
          <w:rFonts w:ascii="Arial" w:hAnsi="Arial" w:cs="Arial"/>
        </w:rPr>
        <w:t xml:space="preserve"> from:  </w:t>
      </w:r>
      <w:hyperlink r:id="rId23" w:history="1">
        <w:r w:rsidRPr="00541991">
          <w:rPr>
            <w:rFonts w:ascii="Arial" w:hAnsi="Arial" w:cs="Arial"/>
          </w:rPr>
          <w:t>https://www.london.edu/think/who-needs-experts</w:t>
        </w:r>
      </w:hyperlink>
      <w:r w:rsidRPr="00541991">
        <w:rPr>
          <w:rFonts w:ascii="Arial" w:hAnsi="Arial" w:cs="Arial"/>
        </w:rPr>
        <w:t>.</w:t>
      </w:r>
    </w:p>
    <w:p w:rsidR="00E83023" w:rsidRPr="00541991" w:rsidRDefault="00E83023" w:rsidP="00A206D0">
      <w:pPr>
        <w:spacing w:line="360" w:lineRule="auto"/>
        <w:jc w:val="both"/>
        <w:rPr>
          <w:rFonts w:ascii="Arial" w:hAnsi="Arial" w:cs="Arial"/>
          <w:iCs/>
        </w:rPr>
      </w:pPr>
    </w:p>
    <w:p w:rsidR="00797728" w:rsidRPr="00541991" w:rsidRDefault="00797728" w:rsidP="00A206D0">
      <w:pPr>
        <w:spacing w:line="360" w:lineRule="auto"/>
        <w:jc w:val="both"/>
        <w:rPr>
          <w:rFonts w:ascii="Arial" w:hAnsi="Arial" w:cs="Arial"/>
          <w:iCs/>
        </w:rPr>
      </w:pPr>
      <w:proofErr w:type="spellStart"/>
      <w:r w:rsidRPr="00541991">
        <w:rPr>
          <w:rFonts w:ascii="Arial" w:hAnsi="Arial" w:cs="Arial"/>
          <w:iCs/>
        </w:rPr>
        <w:t>Rolnik</w:t>
      </w:r>
      <w:proofErr w:type="spellEnd"/>
      <w:r w:rsidRPr="00541991">
        <w:rPr>
          <w:rFonts w:ascii="Arial" w:hAnsi="Arial" w:cs="Arial"/>
          <w:iCs/>
        </w:rPr>
        <w:t xml:space="preserve">, R. (2019) </w:t>
      </w:r>
      <w:r w:rsidRPr="00541991">
        <w:rPr>
          <w:rFonts w:ascii="Arial" w:hAnsi="Arial" w:cs="Arial"/>
          <w:i/>
          <w:iCs/>
        </w:rPr>
        <w:t xml:space="preserve">Urban Warfare: Housing Under the Empire of Finance, </w:t>
      </w:r>
      <w:r w:rsidRPr="00541991">
        <w:rPr>
          <w:rFonts w:ascii="Arial" w:hAnsi="Arial" w:cs="Arial"/>
          <w:iCs/>
        </w:rPr>
        <w:t xml:space="preserve">Verso: London. </w:t>
      </w:r>
    </w:p>
    <w:p w:rsidR="0089483B" w:rsidRPr="00541991" w:rsidRDefault="0089483B" w:rsidP="00A206D0">
      <w:pPr>
        <w:spacing w:line="360" w:lineRule="auto"/>
        <w:jc w:val="both"/>
        <w:rPr>
          <w:rFonts w:ascii="Arial" w:hAnsi="Arial" w:cs="Arial"/>
          <w:iCs/>
        </w:rPr>
      </w:pPr>
    </w:p>
    <w:p w:rsidR="00E83023" w:rsidRPr="00541991" w:rsidRDefault="00E83023" w:rsidP="00A206D0">
      <w:pPr>
        <w:spacing w:line="360" w:lineRule="auto"/>
        <w:jc w:val="both"/>
        <w:rPr>
          <w:rFonts w:ascii="Arial" w:hAnsi="Arial" w:cs="Arial"/>
          <w:iCs/>
        </w:rPr>
      </w:pPr>
      <w:proofErr w:type="spellStart"/>
      <w:r w:rsidRPr="00541991">
        <w:rPr>
          <w:rFonts w:ascii="Arial" w:hAnsi="Arial" w:cs="Arial"/>
          <w:iCs/>
        </w:rPr>
        <w:t>Turnpenny</w:t>
      </w:r>
      <w:proofErr w:type="spellEnd"/>
      <w:r w:rsidRPr="00541991">
        <w:rPr>
          <w:rFonts w:ascii="Arial" w:hAnsi="Arial" w:cs="Arial"/>
          <w:iCs/>
        </w:rPr>
        <w:t xml:space="preserve">, J., Jordan, A. J., Benson, D. and Rayner, T. (2015) </w:t>
      </w:r>
      <w:proofErr w:type="gramStart"/>
      <w:r w:rsidRPr="00541991">
        <w:rPr>
          <w:rFonts w:ascii="Arial" w:hAnsi="Arial" w:cs="Arial"/>
          <w:iCs/>
        </w:rPr>
        <w:t>The</w:t>
      </w:r>
      <w:proofErr w:type="gramEnd"/>
      <w:r w:rsidRPr="00541991">
        <w:rPr>
          <w:rFonts w:ascii="Arial" w:hAnsi="Arial" w:cs="Arial"/>
          <w:iCs/>
        </w:rPr>
        <w:t xml:space="preserve"> tools of policy formulation: an introduction, in (eds.) Jordan, A. J, and </w:t>
      </w:r>
      <w:proofErr w:type="spellStart"/>
      <w:r w:rsidRPr="00541991">
        <w:rPr>
          <w:rFonts w:ascii="Arial" w:hAnsi="Arial" w:cs="Arial"/>
          <w:iCs/>
        </w:rPr>
        <w:t>Turnpenny</w:t>
      </w:r>
      <w:proofErr w:type="spellEnd"/>
      <w:r w:rsidRPr="00541991">
        <w:rPr>
          <w:rFonts w:ascii="Arial" w:hAnsi="Arial" w:cs="Arial"/>
          <w:iCs/>
        </w:rPr>
        <w:t xml:space="preserve">, J., </w:t>
      </w:r>
      <w:r w:rsidRPr="00541991">
        <w:rPr>
          <w:rFonts w:ascii="Arial" w:hAnsi="Arial" w:cs="Arial"/>
          <w:i/>
          <w:iCs/>
        </w:rPr>
        <w:t xml:space="preserve">The Tools of </w:t>
      </w:r>
      <w:r w:rsidRPr="00541991">
        <w:rPr>
          <w:rFonts w:ascii="Arial" w:hAnsi="Arial" w:cs="Arial"/>
          <w:i/>
          <w:iCs/>
        </w:rPr>
        <w:lastRenderedPageBreak/>
        <w:t xml:space="preserve">Policy Formulations: Actors, Capacities, Venues and Effects, </w:t>
      </w:r>
      <w:r w:rsidRPr="00541991">
        <w:rPr>
          <w:rFonts w:ascii="Arial" w:hAnsi="Arial" w:cs="Arial"/>
          <w:iCs/>
        </w:rPr>
        <w:t>Edward Elgar Publishing: Cheltenham, 3-29.</w:t>
      </w:r>
    </w:p>
    <w:p w:rsidR="00E83023" w:rsidRPr="00541991" w:rsidRDefault="00E83023" w:rsidP="00A206D0">
      <w:pPr>
        <w:spacing w:line="360" w:lineRule="auto"/>
        <w:jc w:val="both"/>
        <w:rPr>
          <w:rFonts w:ascii="Arial" w:hAnsi="Arial" w:cs="Arial"/>
        </w:rPr>
      </w:pPr>
    </w:p>
    <w:p w:rsidR="00E83023" w:rsidRPr="00541991" w:rsidRDefault="00E83023" w:rsidP="00A206D0">
      <w:pPr>
        <w:spacing w:line="360" w:lineRule="auto"/>
        <w:jc w:val="both"/>
        <w:rPr>
          <w:rFonts w:ascii="Arial" w:hAnsi="Arial" w:cs="Arial"/>
        </w:rPr>
      </w:pPr>
      <w:r w:rsidRPr="00541991">
        <w:rPr>
          <w:rFonts w:ascii="Arial" w:hAnsi="Arial" w:cs="Arial"/>
          <w:shd w:val="clear" w:color="auto" w:fill="FFFFFF"/>
        </w:rPr>
        <w:tab/>
      </w:r>
      <w:r w:rsidRPr="00541991">
        <w:rPr>
          <w:rFonts w:ascii="Arial" w:hAnsi="Arial" w:cs="Arial"/>
          <w:shd w:val="clear" w:color="auto" w:fill="FFFFFF"/>
        </w:rPr>
        <w:tab/>
      </w:r>
      <w:r w:rsidRPr="00541991">
        <w:rPr>
          <w:rFonts w:ascii="Arial" w:hAnsi="Arial" w:cs="Arial"/>
          <w:shd w:val="clear" w:color="auto" w:fill="FFFFFF"/>
        </w:rPr>
        <w:tab/>
      </w:r>
      <w:r w:rsidRPr="00541991">
        <w:rPr>
          <w:rFonts w:ascii="Arial" w:hAnsi="Arial" w:cs="Arial"/>
          <w:shd w:val="clear" w:color="auto" w:fill="FFFFFF"/>
        </w:rPr>
        <w:tab/>
      </w:r>
    </w:p>
    <w:p w:rsidR="007E0729" w:rsidRPr="00541991" w:rsidRDefault="00326CF9" w:rsidP="00A206D0">
      <w:pPr>
        <w:spacing w:line="360" w:lineRule="auto"/>
        <w:jc w:val="both"/>
        <w:rPr>
          <w:rFonts w:ascii="Arial" w:hAnsi="Arial" w:cs="Arial"/>
        </w:rPr>
      </w:pPr>
      <w:r w:rsidRPr="00541991">
        <w:rPr>
          <w:rFonts w:ascii="Arial" w:hAnsi="Arial" w:cs="Arial"/>
        </w:rPr>
        <w:t xml:space="preserve"> </w:t>
      </w:r>
    </w:p>
    <w:p w:rsidR="0077239C" w:rsidRPr="00541991" w:rsidRDefault="0077239C" w:rsidP="00A206D0">
      <w:pPr>
        <w:spacing w:line="360" w:lineRule="auto"/>
        <w:jc w:val="both"/>
        <w:rPr>
          <w:rFonts w:ascii="Arial" w:hAnsi="Arial" w:cs="Arial"/>
        </w:rPr>
      </w:pPr>
    </w:p>
    <w:sectPr w:rsidR="0077239C" w:rsidRPr="00541991">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FF5" w:rsidRDefault="00836FF5" w:rsidP="00FA0E33">
      <w:r>
        <w:separator/>
      </w:r>
    </w:p>
  </w:endnote>
  <w:endnote w:type="continuationSeparator" w:id="0">
    <w:p w:rsidR="00836FF5" w:rsidRDefault="00836FF5" w:rsidP="00FA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889981"/>
      <w:docPartObj>
        <w:docPartGallery w:val="Page Numbers (Bottom of Page)"/>
        <w:docPartUnique/>
      </w:docPartObj>
    </w:sdtPr>
    <w:sdtEndPr>
      <w:rPr>
        <w:noProof/>
      </w:rPr>
    </w:sdtEndPr>
    <w:sdtContent>
      <w:p w:rsidR="00FA0E33" w:rsidRDefault="00FA0E33">
        <w:pPr>
          <w:pStyle w:val="Footer"/>
          <w:jc w:val="right"/>
        </w:pPr>
        <w:r>
          <w:fldChar w:fldCharType="begin"/>
        </w:r>
        <w:r>
          <w:instrText xml:space="preserve"> PAGE   \* MERGEFORMAT </w:instrText>
        </w:r>
        <w:r>
          <w:fldChar w:fldCharType="separate"/>
        </w:r>
        <w:r w:rsidR="00193547">
          <w:rPr>
            <w:noProof/>
          </w:rPr>
          <w:t>11</w:t>
        </w:r>
        <w:r>
          <w:rPr>
            <w:noProof/>
          </w:rPr>
          <w:fldChar w:fldCharType="end"/>
        </w:r>
      </w:p>
    </w:sdtContent>
  </w:sdt>
  <w:p w:rsidR="00FA0E33" w:rsidRDefault="00FA0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FF5" w:rsidRDefault="00836FF5" w:rsidP="00FA0E33">
      <w:r>
        <w:separator/>
      </w:r>
    </w:p>
  </w:footnote>
  <w:footnote w:type="continuationSeparator" w:id="0">
    <w:p w:rsidR="00836FF5" w:rsidRDefault="00836FF5" w:rsidP="00FA0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C5505"/>
    <w:multiLevelType w:val="multilevel"/>
    <w:tmpl w:val="CC3C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481732"/>
    <w:multiLevelType w:val="hybridMultilevel"/>
    <w:tmpl w:val="C10EC12E"/>
    <w:lvl w:ilvl="0" w:tplc="282A43F0">
      <w:numFmt w:val="bullet"/>
      <w:lvlText w:val="-"/>
      <w:lvlJc w:val="left"/>
      <w:pPr>
        <w:ind w:left="420" w:hanging="360"/>
      </w:pPr>
      <w:rPr>
        <w:rFonts w:ascii="Gill Sans MT" w:eastAsia="Times New Roman" w:hAnsi="Gill Sans MT"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C2"/>
    <w:rsid w:val="00002A63"/>
    <w:rsid w:val="000144F7"/>
    <w:rsid w:val="0001582B"/>
    <w:rsid w:val="0002784F"/>
    <w:rsid w:val="00031FBC"/>
    <w:rsid w:val="00052D80"/>
    <w:rsid w:val="00082972"/>
    <w:rsid w:val="00092E30"/>
    <w:rsid w:val="00095BC2"/>
    <w:rsid w:val="000972C2"/>
    <w:rsid w:val="000C6442"/>
    <w:rsid w:val="000D3513"/>
    <w:rsid w:val="000E3591"/>
    <w:rsid w:val="00114CA1"/>
    <w:rsid w:val="001157A1"/>
    <w:rsid w:val="00124510"/>
    <w:rsid w:val="0017052E"/>
    <w:rsid w:val="00182A8A"/>
    <w:rsid w:val="00193547"/>
    <w:rsid w:val="001A72A8"/>
    <w:rsid w:val="001B4C64"/>
    <w:rsid w:val="001D69D5"/>
    <w:rsid w:val="001E4A41"/>
    <w:rsid w:val="001E5BCB"/>
    <w:rsid w:val="00205B86"/>
    <w:rsid w:val="00223FDD"/>
    <w:rsid w:val="00237402"/>
    <w:rsid w:val="002725AE"/>
    <w:rsid w:val="00272DFF"/>
    <w:rsid w:val="00280FFF"/>
    <w:rsid w:val="00287D5C"/>
    <w:rsid w:val="002948D0"/>
    <w:rsid w:val="002A7FDF"/>
    <w:rsid w:val="002B363F"/>
    <w:rsid w:val="002E1487"/>
    <w:rsid w:val="0031102B"/>
    <w:rsid w:val="00326CF9"/>
    <w:rsid w:val="00327FAB"/>
    <w:rsid w:val="003523DC"/>
    <w:rsid w:val="00353133"/>
    <w:rsid w:val="003920FB"/>
    <w:rsid w:val="00393EB0"/>
    <w:rsid w:val="003A130F"/>
    <w:rsid w:val="003A35A8"/>
    <w:rsid w:val="003E52D0"/>
    <w:rsid w:val="004014E1"/>
    <w:rsid w:val="00414B70"/>
    <w:rsid w:val="004233FD"/>
    <w:rsid w:val="004356F4"/>
    <w:rsid w:val="00457F57"/>
    <w:rsid w:val="00467DC1"/>
    <w:rsid w:val="00471EC3"/>
    <w:rsid w:val="00476BF2"/>
    <w:rsid w:val="00483D0F"/>
    <w:rsid w:val="00485383"/>
    <w:rsid w:val="004C23F1"/>
    <w:rsid w:val="004C6AA9"/>
    <w:rsid w:val="00503DA1"/>
    <w:rsid w:val="00512EAB"/>
    <w:rsid w:val="00516015"/>
    <w:rsid w:val="005330AF"/>
    <w:rsid w:val="00541991"/>
    <w:rsid w:val="0055509C"/>
    <w:rsid w:val="005735D9"/>
    <w:rsid w:val="00597578"/>
    <w:rsid w:val="005B06BB"/>
    <w:rsid w:val="005F42D6"/>
    <w:rsid w:val="005F67E1"/>
    <w:rsid w:val="00623912"/>
    <w:rsid w:val="006244B5"/>
    <w:rsid w:val="00637766"/>
    <w:rsid w:val="00681B4C"/>
    <w:rsid w:val="00683D82"/>
    <w:rsid w:val="006A16AE"/>
    <w:rsid w:val="006F5779"/>
    <w:rsid w:val="00705675"/>
    <w:rsid w:val="007313B0"/>
    <w:rsid w:val="00740143"/>
    <w:rsid w:val="00750189"/>
    <w:rsid w:val="0077239C"/>
    <w:rsid w:val="00797728"/>
    <w:rsid w:val="007A3794"/>
    <w:rsid w:val="007B18AB"/>
    <w:rsid w:val="007C2F2B"/>
    <w:rsid w:val="007D0E70"/>
    <w:rsid w:val="007D6260"/>
    <w:rsid w:val="007F7D87"/>
    <w:rsid w:val="008124D8"/>
    <w:rsid w:val="00836FF5"/>
    <w:rsid w:val="00844728"/>
    <w:rsid w:val="00870888"/>
    <w:rsid w:val="00881F07"/>
    <w:rsid w:val="0089483B"/>
    <w:rsid w:val="008A0E8F"/>
    <w:rsid w:val="008A17A8"/>
    <w:rsid w:val="008D4FBA"/>
    <w:rsid w:val="008F1D37"/>
    <w:rsid w:val="008F3EB6"/>
    <w:rsid w:val="008F6DEC"/>
    <w:rsid w:val="0090020F"/>
    <w:rsid w:val="00901969"/>
    <w:rsid w:val="00903D5E"/>
    <w:rsid w:val="009279D8"/>
    <w:rsid w:val="00965150"/>
    <w:rsid w:val="0098308C"/>
    <w:rsid w:val="00997C85"/>
    <w:rsid w:val="009D10D1"/>
    <w:rsid w:val="009D3467"/>
    <w:rsid w:val="009F1824"/>
    <w:rsid w:val="00A1412F"/>
    <w:rsid w:val="00A206D0"/>
    <w:rsid w:val="00A279D3"/>
    <w:rsid w:val="00A40071"/>
    <w:rsid w:val="00A6687C"/>
    <w:rsid w:val="00A709D3"/>
    <w:rsid w:val="00A87AAA"/>
    <w:rsid w:val="00AA4F9C"/>
    <w:rsid w:val="00AA5648"/>
    <w:rsid w:val="00AA6F45"/>
    <w:rsid w:val="00AB4247"/>
    <w:rsid w:val="00AC3E60"/>
    <w:rsid w:val="00AC58DD"/>
    <w:rsid w:val="00AE77CF"/>
    <w:rsid w:val="00AF0AE1"/>
    <w:rsid w:val="00B042FD"/>
    <w:rsid w:val="00B07C87"/>
    <w:rsid w:val="00B17474"/>
    <w:rsid w:val="00B35190"/>
    <w:rsid w:val="00B41EED"/>
    <w:rsid w:val="00B5001E"/>
    <w:rsid w:val="00BA1CAB"/>
    <w:rsid w:val="00BA5889"/>
    <w:rsid w:val="00BC11B7"/>
    <w:rsid w:val="00BC1550"/>
    <w:rsid w:val="00BC2741"/>
    <w:rsid w:val="00BC27AC"/>
    <w:rsid w:val="00BD3CE1"/>
    <w:rsid w:val="00C04EF3"/>
    <w:rsid w:val="00C2350C"/>
    <w:rsid w:val="00C247AA"/>
    <w:rsid w:val="00C53608"/>
    <w:rsid w:val="00C57366"/>
    <w:rsid w:val="00C77009"/>
    <w:rsid w:val="00C85E89"/>
    <w:rsid w:val="00CA1E54"/>
    <w:rsid w:val="00CB6C65"/>
    <w:rsid w:val="00CC4970"/>
    <w:rsid w:val="00CD0BB8"/>
    <w:rsid w:val="00CD7344"/>
    <w:rsid w:val="00CE29A4"/>
    <w:rsid w:val="00CF1A90"/>
    <w:rsid w:val="00CF55EF"/>
    <w:rsid w:val="00D0383D"/>
    <w:rsid w:val="00D22493"/>
    <w:rsid w:val="00D3124D"/>
    <w:rsid w:val="00D41C0E"/>
    <w:rsid w:val="00D52409"/>
    <w:rsid w:val="00DA73FF"/>
    <w:rsid w:val="00DD40D0"/>
    <w:rsid w:val="00DF27CF"/>
    <w:rsid w:val="00E00FE6"/>
    <w:rsid w:val="00E14D84"/>
    <w:rsid w:val="00E215DF"/>
    <w:rsid w:val="00E36E3A"/>
    <w:rsid w:val="00E40C83"/>
    <w:rsid w:val="00E752BD"/>
    <w:rsid w:val="00E83023"/>
    <w:rsid w:val="00ED65D7"/>
    <w:rsid w:val="00EF5752"/>
    <w:rsid w:val="00F01EF8"/>
    <w:rsid w:val="00F02BA2"/>
    <w:rsid w:val="00F1451C"/>
    <w:rsid w:val="00F478CF"/>
    <w:rsid w:val="00F6657C"/>
    <w:rsid w:val="00F71D57"/>
    <w:rsid w:val="00FA0E33"/>
    <w:rsid w:val="00FA3C9D"/>
    <w:rsid w:val="00FC5C2A"/>
    <w:rsid w:val="00FF6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DE25"/>
  <w15:chartTrackingRefBased/>
  <w15:docId w15:val="{566058AC-E3E8-4DCA-A4CF-1A33BAE5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BC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BC2"/>
    <w:pPr>
      <w:spacing w:before="100" w:beforeAutospacing="1" w:after="100" w:afterAutospacing="1"/>
    </w:pPr>
  </w:style>
  <w:style w:type="character" w:styleId="Hyperlink">
    <w:name w:val="Hyperlink"/>
    <w:basedOn w:val="DefaultParagraphFont"/>
    <w:uiPriority w:val="99"/>
    <w:unhideWhenUsed/>
    <w:rsid w:val="00095BC2"/>
    <w:rPr>
      <w:color w:val="0000FF"/>
      <w:u w:val="single"/>
    </w:rPr>
  </w:style>
  <w:style w:type="character" w:customStyle="1" w:styleId="apple-tab-span">
    <w:name w:val="apple-tab-span"/>
    <w:basedOn w:val="DefaultParagraphFont"/>
    <w:rsid w:val="00095BC2"/>
  </w:style>
  <w:style w:type="paragraph" w:styleId="ListParagraph">
    <w:name w:val="List Paragraph"/>
    <w:basedOn w:val="Normal"/>
    <w:uiPriority w:val="34"/>
    <w:qFormat/>
    <w:rsid w:val="0017052E"/>
    <w:pPr>
      <w:ind w:left="720"/>
      <w:contextualSpacing/>
    </w:pPr>
  </w:style>
  <w:style w:type="paragraph" w:styleId="BalloonText">
    <w:name w:val="Balloon Text"/>
    <w:basedOn w:val="Normal"/>
    <w:link w:val="BalloonTextChar"/>
    <w:uiPriority w:val="99"/>
    <w:semiHidden/>
    <w:unhideWhenUsed/>
    <w:rsid w:val="00C04E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EF3"/>
    <w:rPr>
      <w:rFonts w:ascii="Segoe UI" w:eastAsia="Times New Roman" w:hAnsi="Segoe UI" w:cs="Segoe UI"/>
      <w:sz w:val="18"/>
      <w:szCs w:val="18"/>
      <w:lang w:eastAsia="en-GB"/>
    </w:rPr>
  </w:style>
  <w:style w:type="paragraph" w:styleId="Header">
    <w:name w:val="header"/>
    <w:basedOn w:val="Normal"/>
    <w:link w:val="HeaderChar"/>
    <w:uiPriority w:val="99"/>
    <w:unhideWhenUsed/>
    <w:rsid w:val="00FA0E33"/>
    <w:pPr>
      <w:tabs>
        <w:tab w:val="center" w:pos="4513"/>
        <w:tab w:val="right" w:pos="9026"/>
      </w:tabs>
    </w:pPr>
  </w:style>
  <w:style w:type="character" w:customStyle="1" w:styleId="HeaderChar">
    <w:name w:val="Header Char"/>
    <w:basedOn w:val="DefaultParagraphFont"/>
    <w:link w:val="Header"/>
    <w:uiPriority w:val="99"/>
    <w:rsid w:val="00FA0E3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A0E33"/>
    <w:pPr>
      <w:tabs>
        <w:tab w:val="center" w:pos="4513"/>
        <w:tab w:val="right" w:pos="9026"/>
      </w:tabs>
    </w:pPr>
  </w:style>
  <w:style w:type="character" w:customStyle="1" w:styleId="FooterChar">
    <w:name w:val="Footer Char"/>
    <w:basedOn w:val="DefaultParagraphFont"/>
    <w:link w:val="Footer"/>
    <w:uiPriority w:val="99"/>
    <w:rsid w:val="00FA0E3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462901120301787" TargetMode="External"/><Relationship Id="rId13" Type="http://schemas.openxmlformats.org/officeDocument/2006/relationships/hyperlink" Target="https://doi.org/10.1111/area.12597" TargetMode="External"/><Relationship Id="rId18" Type="http://schemas.openxmlformats.org/officeDocument/2006/relationships/hyperlink" Target="https://doi.org/10.1177%2F239965441770844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111/area.12581" TargetMode="External"/><Relationship Id="rId7" Type="http://schemas.openxmlformats.org/officeDocument/2006/relationships/endnotes" Target="endnotes.xml"/><Relationship Id="rId12" Type="http://schemas.openxmlformats.org/officeDocument/2006/relationships/hyperlink" Target="https://doi.org/10.1111/area.12612" TargetMode="External"/><Relationship Id="rId17" Type="http://schemas.openxmlformats.org/officeDocument/2006/relationships/hyperlink" Target="https://dx.doi.org/10.5751%2FES-08879-22013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16/j.futures.2019.04.003" TargetMode="External"/><Relationship Id="rId20" Type="http://schemas.openxmlformats.org/officeDocument/2006/relationships/hyperlink" Target="https://doi.org/10.1016/j.envsci.2020.07.0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environment/2021/sep/15/pollution-is-damaging-uk-rivers-more-than-public-thinks-report-say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98/rstb.2004.1602" TargetMode="External"/><Relationship Id="rId23" Type="http://schemas.openxmlformats.org/officeDocument/2006/relationships/hyperlink" Target="https://www.london.edu/think/who-needs-experts" TargetMode="External"/><Relationship Id="rId10" Type="http://schemas.openxmlformats.org/officeDocument/2006/relationships/hyperlink" Target="https://doi.org/10.1016/j.biocon.2016.08.040" TargetMode="External"/><Relationship Id="rId19" Type="http://schemas.openxmlformats.org/officeDocument/2006/relationships/hyperlink" Target="https://doi.org/10.1111/area.12641" TargetMode="External"/><Relationship Id="rId4" Type="http://schemas.openxmlformats.org/officeDocument/2006/relationships/settings" Target="settings.xml"/><Relationship Id="rId9" Type="http://schemas.openxmlformats.org/officeDocument/2006/relationships/hyperlink" Target="https://www.sciencedirect.com/science/article/pii/S1462901120301787" TargetMode="External"/><Relationship Id="rId14" Type="http://schemas.openxmlformats.org/officeDocument/2006/relationships/hyperlink" Target="https://doi.org/10.1068%2Fc13192j" TargetMode="External"/><Relationship Id="rId22" Type="http://schemas.openxmlformats.org/officeDocument/2006/relationships/hyperlink" Target="https://doi.org/10.1080/13501763.2019.1678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32F5A-031B-4DC1-9B66-DE22E6C5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12</Pages>
  <Words>3738</Words>
  <Characters>21313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Elsmore, Sophie</dc:creator>
  <cp:keywords/>
  <dc:description/>
  <cp:lastModifiedBy>Elsmore, Sophie</cp:lastModifiedBy>
  <cp:revision>33</cp:revision>
  <cp:lastPrinted>2022-05-19T10:34:00Z</cp:lastPrinted>
  <dcterms:created xsi:type="dcterms:W3CDTF">2022-05-17T14:15:00Z</dcterms:created>
  <dcterms:modified xsi:type="dcterms:W3CDTF">2022-05-23T18:26:00Z</dcterms:modified>
</cp:coreProperties>
</file>