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3F" w:rsidRDefault="000D483F" w:rsidP="000D483F">
      <w:pPr>
        <w:rPr>
          <w:rFonts w:asciiTheme="majorBidi" w:hAnsiTheme="majorBidi" w:cstheme="majorBidi"/>
          <w:b/>
          <w:bCs/>
          <w:lang w:val="es-ES"/>
        </w:rPr>
      </w:pPr>
      <w:bookmarkStart w:id="0" w:name="_GoBack"/>
      <w:bookmarkEnd w:id="0"/>
      <w:r>
        <w:rPr>
          <w:rFonts w:asciiTheme="majorBidi" w:hAnsiTheme="majorBidi" w:cstheme="majorBidi"/>
          <w:b/>
          <w:bCs/>
          <w:lang w:val="es-ES"/>
        </w:rPr>
        <w:t xml:space="preserve">RECURSOS DE PODER DE LOS SINDICATOS EN ESPAÑA. </w:t>
      </w:r>
    </w:p>
    <w:p w:rsidR="000D483F" w:rsidRDefault="000D483F" w:rsidP="000D483F">
      <w:pPr>
        <w:rPr>
          <w:rFonts w:asciiTheme="majorBidi" w:hAnsiTheme="majorBidi" w:cstheme="majorBidi"/>
          <w:lang w:val="es-ES"/>
        </w:rPr>
      </w:pPr>
      <w:r>
        <w:rPr>
          <w:rFonts w:asciiTheme="majorBidi" w:hAnsiTheme="majorBidi" w:cstheme="majorBidi"/>
          <w:b/>
          <w:bCs/>
          <w:lang w:val="es-ES"/>
        </w:rPr>
        <w:t>(Su examen a través de la negociación colectiva).</w:t>
      </w:r>
    </w:p>
    <w:p w:rsidR="000D483F" w:rsidRDefault="000D483F" w:rsidP="000D483F">
      <w:pPr>
        <w:rPr>
          <w:rFonts w:asciiTheme="majorBidi" w:hAnsiTheme="majorBidi" w:cstheme="majorBidi"/>
          <w:lang w:val="es-ES"/>
        </w:rPr>
      </w:pPr>
    </w:p>
    <w:p w:rsidR="000D483F" w:rsidRDefault="000D483F" w:rsidP="0081638A">
      <w:pPr>
        <w:rPr>
          <w:rFonts w:ascii="Times New Roman" w:hAnsi="Times New Roman"/>
          <w:lang w:val="es-ES"/>
        </w:rPr>
      </w:pPr>
      <w:r>
        <w:rPr>
          <w:rFonts w:asciiTheme="majorBidi" w:hAnsiTheme="majorBidi" w:cstheme="majorBidi"/>
          <w:lang w:val="es-ES"/>
        </w:rPr>
        <w:t xml:space="preserve">En el presente artículo, se examinan los recursos que los sindicatos han dispuesto y utilizado en España en la negociación colectiva, un tema frecuentemente descuidado. Se considera que el poder sindical tiene diversas bases. </w:t>
      </w:r>
      <w:r>
        <w:rPr>
          <w:rFonts w:ascii="Times New Roman" w:hAnsi="Times New Roman"/>
          <w:lang w:val="es-ES"/>
        </w:rPr>
        <w:t>Una está relacionada con la posición de los trabajadores en el sistema productivo, el poder estructural, esto es, con la posición de los trabajadores en el mercado de trabajo, el poder de negociación en el mercado de trabajo, y en el proceso de trabajo, el poder en el lugar de trabajo. Otra está relacionada con la afiliación de los trabajadores y compromiso activo, el poder asociativo y organizacional de los sindicatos (Silver, 2005: 26-27</w:t>
      </w:r>
      <w:r w:rsidR="003E39A3">
        <w:rPr>
          <w:rFonts w:ascii="Times New Roman" w:hAnsi="Times New Roman"/>
          <w:lang w:val="es-ES"/>
        </w:rPr>
        <w:t xml:space="preserve">) aunque </w:t>
      </w:r>
      <w:r>
        <w:rPr>
          <w:rFonts w:ascii="Times New Roman" w:hAnsi="Times New Roman"/>
          <w:lang w:val="es-ES"/>
        </w:rPr>
        <w:t>Gumbrell-McCormick y Hyman</w:t>
      </w:r>
      <w:r w:rsidR="003E39A3">
        <w:rPr>
          <w:rFonts w:ascii="Times New Roman" w:hAnsi="Times New Roman"/>
          <w:lang w:val="es-ES"/>
        </w:rPr>
        <w:t xml:space="preserve"> lo desglosan en dos</w:t>
      </w:r>
      <w:r>
        <w:rPr>
          <w:rFonts w:ascii="Times New Roman" w:hAnsi="Times New Roman"/>
          <w:lang w:val="es-ES"/>
        </w:rPr>
        <w:t xml:space="preserve"> </w:t>
      </w:r>
      <w:r w:rsidR="003E39A3">
        <w:rPr>
          <w:rFonts w:ascii="Times New Roman" w:hAnsi="Times New Roman"/>
          <w:lang w:val="es-ES"/>
        </w:rPr>
        <w:t>(</w:t>
      </w:r>
      <w:r>
        <w:rPr>
          <w:rFonts w:ascii="Times New Roman" w:hAnsi="Times New Roman"/>
          <w:lang w:val="es-ES"/>
        </w:rPr>
        <w:t>2013: 30). La última base considerada se asocia con la posición de los sindicatos en los acuerdos institucionales que resulta de herencias históricas y de correlaciones de poder específicas, el poder institucional. En lo que se refiere al poder institucional de negociación colectiva de los sindicatos, se basa en una serie de normas, entre otras, la de concluir acuerdos colectivos en nombre de los asalariados, conjugadas con un sistema de negociaciones en ámbitos diferentes al de empresa configurado a partir de compromisos históricos entre los actores sociales (Bisping y al. 2010: 39; Gumbrell-McCormick y Hyman, 2013: 31).</w:t>
      </w:r>
    </w:p>
    <w:p w:rsidR="000D483F" w:rsidRDefault="000D483F" w:rsidP="000D483F">
      <w:pPr>
        <w:rPr>
          <w:rFonts w:ascii="Times New Roman" w:hAnsi="Times New Roman"/>
          <w:lang w:val="es-ES"/>
        </w:rPr>
      </w:pPr>
      <w:r>
        <w:rPr>
          <w:rFonts w:ascii="Times New Roman" w:hAnsi="Times New Roman"/>
          <w:lang w:val="es-ES"/>
        </w:rPr>
        <w:t>En distintas investigaciones, se apunta un debilitamiento de los recursos de los sindicatos. En una parte, se observa que el debilitamiento de los de carácter estructural y asociativo consecutivo a modificaciones del entorno económico y social y a un retroceso de la afiliación, coincide con el socavamiento de los institucionales de la negociación colectiva. Ahora bien, el grado de socavamiento varía de unos países a otros aún cuando en muchos han tenido lugar alteraciones económicas y sociales y un descenso significativo del poder asociativo de los sindicatos. De aquí que se apele a factores de matriz política, como la legislación, para explicar el alcance del socavamiento (Traxler, 2003: 143). Asimismo, se invocan factores de índole cultural, como las estrategias, “habilidades” y experiencias de los actores manejando la legislación (Ferner y Hyman, 2002: 29; Bisping, 2010: 40). En este contexto, el examen de los recursos utilizados por los sindicatos resulta relevante, así como el de la fundamentación de los de carácter institucional.</w:t>
      </w:r>
    </w:p>
    <w:p w:rsidR="000D483F" w:rsidRDefault="000D483F" w:rsidP="000D483F">
      <w:pPr>
        <w:rPr>
          <w:rFonts w:ascii="Times New Roman" w:hAnsi="Times New Roman"/>
          <w:lang w:val="es-ES"/>
        </w:rPr>
      </w:pPr>
      <w:r>
        <w:rPr>
          <w:rFonts w:ascii="Times New Roman" w:hAnsi="Times New Roman"/>
          <w:lang w:val="es-ES"/>
        </w:rPr>
        <w:t>En España, la regulación legal ha asegurado que los convenios colectivos de ámbito funcional diferente al de empresa se apliquen a empresas y trabajadores que quedan dentro de los mismos sin intervención administrativa. También, que no se puedan modificar unilateralmente las condiciones laborales acordadas, una vez finalizado su plazo de validez si no se renuevan los convenios. Ahora bien, desde 1994 han tenido lugar reformas, recientemente, con motivo de la crisis iniciada en 2008 que se han podido dejar sentir en las normas que fundan y vehiculan la negociación colectiva así como en las formas de (re)acción de los actores social</w:t>
      </w:r>
      <w:r w:rsidR="00E76B0A">
        <w:rPr>
          <w:rFonts w:ascii="Times New Roman" w:hAnsi="Times New Roman"/>
          <w:lang w:val="es-ES"/>
        </w:rPr>
        <w:t>es</w:t>
      </w:r>
      <w:r>
        <w:rPr>
          <w:rFonts w:ascii="Times New Roman" w:hAnsi="Times New Roman"/>
          <w:lang w:val="es-ES"/>
        </w:rPr>
        <w:t xml:space="preserve">. Por tanto, es un escenario idóneo para preguntarse no solo cómo han evolucionado los recursos de poder sino también para examinar en qué se fundamenta la operatividad de los recursos de carácter institucional. Su respuesta estructura el presente artículo. Previamente, se revisa bibliografía en la que se ha abordado las preguntas efectuadas estableciéndose algunas hipótesis en relación con las mismas. Se usan como fuentes de información principales las del Ministerio de Empleo y de Seguridad Social aunque también documentales. </w:t>
      </w:r>
    </w:p>
    <w:p w:rsidR="000D483F" w:rsidRDefault="000D483F" w:rsidP="000D483F">
      <w:pPr>
        <w:rPr>
          <w:rFonts w:ascii="Times New Roman" w:hAnsi="Times New Roman"/>
          <w:lang w:val="es-ES"/>
        </w:rPr>
      </w:pPr>
    </w:p>
    <w:p w:rsidR="000D483F" w:rsidRDefault="000D483F" w:rsidP="000D483F">
      <w:pPr>
        <w:rPr>
          <w:rFonts w:ascii="Times New Roman" w:hAnsi="Times New Roman"/>
          <w:b/>
          <w:bCs/>
          <w:lang w:val="es-ES"/>
        </w:rPr>
      </w:pPr>
      <w:r>
        <w:rPr>
          <w:rFonts w:ascii="Times New Roman" w:hAnsi="Times New Roman"/>
          <w:b/>
          <w:bCs/>
          <w:lang w:val="es-ES"/>
        </w:rPr>
        <w:t>Explicando el estado de los recursos de poder de los sindicatos en la negociación colectiva y la fundamentación de los recursos institucionales</w:t>
      </w:r>
    </w:p>
    <w:p w:rsidR="000D483F" w:rsidRDefault="000D483F" w:rsidP="000D483F">
      <w:pPr>
        <w:rPr>
          <w:rFonts w:ascii="Times New Roman" w:hAnsi="Times New Roman"/>
          <w:lang w:val="es-ES"/>
        </w:rPr>
      </w:pPr>
    </w:p>
    <w:p w:rsidR="000D483F" w:rsidRDefault="000D483F" w:rsidP="000D483F">
      <w:pPr>
        <w:rPr>
          <w:rFonts w:ascii="Times New Roman" w:hAnsi="Times New Roman"/>
          <w:lang w:val="es-ES"/>
        </w:rPr>
      </w:pPr>
      <w:r>
        <w:rPr>
          <w:rFonts w:ascii="Times New Roman" w:hAnsi="Times New Roman"/>
          <w:lang w:val="es-ES"/>
        </w:rPr>
        <w:lastRenderedPageBreak/>
        <w:t>En principio, no se ha prodigado mucho la investigación de los recursos de poder de los actores sociales, por tanto, de los sindicatos, en relación con la negociación colectiva, y, mayoritariamente, ha tenido como objeto su poder asociativo y organizacional. Ahora bien, de las publicaciones existentes se pueden extraer algunos hallazgos. En primer lugar, se apunta una mayor asimetría de fuerzas a favor de los empresarios en la correlación con los asalariados que se traduce en modificaciones de distinto carácter en los sistemas de negociación colectiva. El factor más importante que se invoca para explicar esta mayor asimetría es la persistencia de elevados niveles de paro (Bisping, 2010: 46; Silver, 2003: 25). Este debilitamiento de su poder en el mercado laboral hace que los asalariados estén cada vez más expuestos a las presiones de los empresarios, en particular, cuando se añaden las amenazas de renunciar a invertir, deslocalizar o externalizar. Además del paro, la precarización de la mano de obra a través de la contratación inestable, del trabajo cedido o del trabajo a tiempo parcial afecta mucho también al poder estructural de los trabajadores que se refleja en el desarrollo y en los resultados de la negociación colectiva.</w:t>
      </w:r>
    </w:p>
    <w:p w:rsidR="000D483F" w:rsidRDefault="000D483F" w:rsidP="000D483F">
      <w:pPr>
        <w:rPr>
          <w:rFonts w:ascii="Times New Roman" w:hAnsi="Times New Roman"/>
          <w:lang w:val="es-ES"/>
        </w:rPr>
      </w:pPr>
      <w:r>
        <w:rPr>
          <w:rFonts w:ascii="Times New Roman" w:hAnsi="Times New Roman"/>
          <w:lang w:val="es-ES"/>
        </w:rPr>
        <w:t>En segundo lugar, se señala una pérdida de poder asocia</w:t>
      </w:r>
      <w:r w:rsidRPr="00CD1620">
        <w:rPr>
          <w:rFonts w:ascii="Times New Roman" w:hAnsi="Times New Roman"/>
          <w:lang w:val="es-ES"/>
        </w:rPr>
        <w:t>tivo de los trabajadores cuyo aspecto más sobresaliente es el descenso del número de afi</w:t>
      </w:r>
      <w:r>
        <w:rPr>
          <w:rFonts w:ascii="Times New Roman" w:hAnsi="Times New Roman"/>
          <w:lang w:val="es-ES"/>
        </w:rPr>
        <w:t xml:space="preserve">liados lo que hace improbable que la cobertura convencional en el futuro se apoye en esta base. Una cobertura convencional amplia </w:t>
      </w:r>
      <w:r w:rsidR="0081638A">
        <w:rPr>
          <w:rFonts w:ascii="Times New Roman" w:hAnsi="Times New Roman"/>
          <w:lang w:val="es-ES"/>
        </w:rPr>
        <w:t>que descanse en el poder asoci</w:t>
      </w:r>
      <w:r w:rsidR="00CD1620" w:rsidRPr="0081638A">
        <w:rPr>
          <w:rFonts w:ascii="Times New Roman" w:hAnsi="Times New Roman"/>
          <w:lang w:val="es-ES"/>
        </w:rPr>
        <w:t>at</w:t>
      </w:r>
      <w:r w:rsidRPr="0081638A">
        <w:rPr>
          <w:rFonts w:ascii="Times New Roman" w:hAnsi="Times New Roman"/>
          <w:lang w:val="es-ES"/>
        </w:rPr>
        <w:t xml:space="preserve">ivo de </w:t>
      </w:r>
      <w:r w:rsidR="00CD1620" w:rsidRPr="0081638A">
        <w:rPr>
          <w:rFonts w:ascii="Times New Roman" w:hAnsi="Times New Roman"/>
          <w:lang w:val="es-ES"/>
        </w:rPr>
        <w:t>los sindicato</w:t>
      </w:r>
      <w:r w:rsidRPr="0081638A">
        <w:rPr>
          <w:rFonts w:ascii="Times New Roman" w:hAnsi="Times New Roman"/>
          <w:lang w:val="es-ES"/>
        </w:rPr>
        <w:t>s</w:t>
      </w:r>
      <w:r>
        <w:rPr>
          <w:rFonts w:ascii="Times New Roman" w:hAnsi="Times New Roman"/>
          <w:lang w:val="es-ES"/>
        </w:rPr>
        <w:t xml:space="preserve"> exige una alta afiliación, caso de los países nórdicos (Bisping, 2010: 52). Una de las razones de este descenso se encuentra en los procesos de reestructuración habidos desde hace tiempo que han destruido masivamente empleo en los bastiones sindicales de la industria y del sector público. Otra en las dificultades que los sindicatos han tenido para organizar a los trabajadores de los sectores en expansión y para atraer a los más jóvenes (Bryson, Ebbinghaus y Visser, 2011: 98). Además, se matiza que detrás de los datos generales existen disparidades: en algunos sectores, la presencia sindical es fuerte mientras que en otros es débil o escasa. Esto se reflejará, también, en la capacidad de negociación de los sindicatos en los distintos sectores de la economía y en la capacidad de tener éxito en sus reivindicaciones y en su alcance: mayor en unos sectores que en otros. De ahí que se sugiera q</w:t>
      </w:r>
      <w:r w:rsidR="007131AB">
        <w:rPr>
          <w:rFonts w:ascii="Times New Roman" w:hAnsi="Times New Roman"/>
          <w:lang w:val="es-ES"/>
        </w:rPr>
        <w:t>ue donde el poder asociativo</w:t>
      </w:r>
      <w:r>
        <w:rPr>
          <w:rFonts w:ascii="Times New Roman" w:hAnsi="Times New Roman"/>
          <w:lang w:val="es-ES"/>
        </w:rPr>
        <w:t xml:space="preserve"> es débil, los sindicatos deben orientar sus estrategias en primer lugar hacia el estado y politizar el conflicto (Bisping, 2010: 52).</w:t>
      </w:r>
    </w:p>
    <w:p w:rsidR="000D483F" w:rsidRDefault="000D483F" w:rsidP="000D483F">
      <w:pPr>
        <w:rPr>
          <w:rFonts w:ascii="Times New Roman" w:hAnsi="Times New Roman"/>
          <w:lang w:val="es-ES"/>
        </w:rPr>
      </w:pPr>
      <w:r>
        <w:rPr>
          <w:rFonts w:ascii="Times New Roman" w:hAnsi="Times New Roman"/>
          <w:lang w:val="es-ES"/>
        </w:rPr>
        <w:t>Y en tercer lugar, se hace referencia a un debilitamiento del poder institucional de los sindicatos en la negociación colectiva en distintos países que se corresponde con cambios legales o equivalentes que reducen significativamente el alcance de los acuerdos en el espacio y en el tiempo. Al mismo tiempo, se indica que hay países en los que la cobertura del sistema de negociación permanece más o menos amplia, por tanto, los recursos institucionales; la razón reside en determinados sostenes gubernamentales y parlamentarios que mantienen relativamente estable un poder institucional compensando el debilit</w:t>
      </w:r>
      <w:r w:rsidR="007131AB">
        <w:rPr>
          <w:rFonts w:ascii="Times New Roman" w:hAnsi="Times New Roman"/>
          <w:lang w:val="es-ES"/>
        </w:rPr>
        <w:t>amiento del poder asociativo</w:t>
      </w:r>
      <w:r>
        <w:rPr>
          <w:rFonts w:ascii="Times New Roman" w:hAnsi="Times New Roman"/>
          <w:lang w:val="es-ES"/>
        </w:rPr>
        <w:t xml:space="preserve"> de los sindicatos (Frege y Kelly, 2003: 8; Bisping y otros, 2010: 53-54): por tanto, en la legislación u otros mecanismos semejantes adicionales sosteniendo la acción colectiva (Traxler, 2003: 144). </w:t>
      </w:r>
    </w:p>
    <w:p w:rsidR="000D483F" w:rsidRDefault="000D483F" w:rsidP="000D483F">
      <w:pPr>
        <w:rPr>
          <w:rFonts w:ascii="Times New Roman" w:hAnsi="Times New Roman"/>
          <w:lang w:val="es-ES"/>
        </w:rPr>
      </w:pPr>
      <w:r>
        <w:rPr>
          <w:rFonts w:ascii="Times New Roman" w:hAnsi="Times New Roman"/>
          <w:lang w:val="es-ES"/>
        </w:rPr>
        <w:t xml:space="preserve">Ahora bien, este hecho no agota la explicación de los fundamentos de la operatividad de los recursos institucionales. Además, se encuentra en las consideraciones y planes de los sindicatos, pero también, de las patronales, así como, en su pericia y vivencia manejando los dispositivos formales establecidos en las instituciones. Solo en los países en los que ha existido una sólida cultura institucional, los mecanismos formales resultan más eficientes mientras que en países en los que no se ha desarrollado suficientemente, los recursos son menos eficientes aunque exista una fuerte regulación legal. Así, esta cultura institucional de los actores es la que permite utilizar eficientemente los recursos de este carácter y (re)crearlos (Ferner y Hyman, 2002: 29). </w:t>
      </w:r>
    </w:p>
    <w:p w:rsidR="000D483F" w:rsidRDefault="000D483F" w:rsidP="000D483F">
      <w:pPr>
        <w:rPr>
          <w:rFonts w:ascii="Times New Roman" w:hAnsi="Times New Roman"/>
          <w:lang w:val="es-ES"/>
        </w:rPr>
      </w:pPr>
      <w:r>
        <w:rPr>
          <w:rFonts w:ascii="Times New Roman" w:hAnsi="Times New Roman"/>
          <w:lang w:val="es-ES"/>
        </w:rPr>
        <w:lastRenderedPageBreak/>
        <w:t xml:space="preserve">Por otro lado, el reconocimiento de la permanencia de las instituciones en las que los sindicatos han intervenido e incluso, su presencia en nuevas instituciones, no debiera encubrir las transformaciones que pueden estar en marcha en la determinación de las condiciones laborales o en la correlación de fuerzas (Streeck y Thelen, 2005: 5; Bevort </w:t>
      </w:r>
      <w:r w:rsidR="00421062">
        <w:rPr>
          <w:rFonts w:ascii="Times New Roman" w:hAnsi="Times New Roman"/>
          <w:lang w:val="es-ES"/>
        </w:rPr>
        <w:t>y Jobert, 2008: 12</w:t>
      </w:r>
      <w:r>
        <w:rPr>
          <w:rFonts w:ascii="Times New Roman" w:hAnsi="Times New Roman"/>
          <w:lang w:val="es-ES"/>
        </w:rPr>
        <w:t>). A este respecto, se apunta una reconversión de sus funciones con una orientación neoliberal (Baccaro y Howell: 2011: 523) o que no siempre implica una mayor capacidad de influencia en las políticas laborales (</w:t>
      </w:r>
      <w:r w:rsidR="00D240E1">
        <w:rPr>
          <w:rFonts w:ascii="Times New Roman" w:hAnsi="Times New Roman"/>
          <w:lang w:val="es-ES"/>
        </w:rPr>
        <w:t>Hamann y Martínez Lucio</w:t>
      </w:r>
      <w:r>
        <w:rPr>
          <w:rFonts w:ascii="Times New Roman" w:hAnsi="Times New Roman"/>
          <w:lang w:val="es-ES"/>
        </w:rPr>
        <w:t>, 2003: 64).</w:t>
      </w:r>
    </w:p>
    <w:p w:rsidR="000D483F" w:rsidRDefault="000D483F" w:rsidP="000D483F">
      <w:pPr>
        <w:rPr>
          <w:rFonts w:ascii="Times New Roman" w:hAnsi="Times New Roman"/>
          <w:color w:val="FF0000"/>
          <w:lang w:val="es-ES"/>
        </w:rPr>
      </w:pPr>
      <w:r>
        <w:rPr>
          <w:rFonts w:ascii="Times New Roman" w:hAnsi="Times New Roman"/>
          <w:color w:val="222222"/>
          <w:lang w:val="es-ES"/>
        </w:rPr>
        <w:t>En este contexto, la investigación de los recursos de los sindicatos en España a través de la negociación colectiva es importante para conocer su influencia. Además, en el caso de los de carácter institucional, también, para observar sus transformaciones y ahondar en los fundamentos más determinantes de su eficie</w:t>
      </w:r>
      <w:r>
        <w:rPr>
          <w:rFonts w:ascii="Times New Roman" w:hAnsi="Times New Roman"/>
          <w:lang w:val="es-ES"/>
        </w:rPr>
        <w:t>ncia dirimiendo su relación con la acción política. Para ello, se examina su utilización antes</w:t>
      </w:r>
      <w:r>
        <w:rPr>
          <w:rFonts w:ascii="Times New Roman" w:hAnsi="Times New Roman"/>
          <w:color w:val="222222"/>
          <w:lang w:val="es-ES"/>
        </w:rPr>
        <w:t xml:space="preserve"> y después de las reformas legales que han acompañado a la crisis iniciada en 2008. </w:t>
      </w:r>
      <w:r>
        <w:rPr>
          <w:rFonts w:ascii="Times New Roman" w:hAnsi="Times New Roman"/>
          <w:lang w:val="es-ES"/>
        </w:rPr>
        <w:t>Los supuestos de partida son</w:t>
      </w:r>
      <w:r w:rsidR="00B33533">
        <w:rPr>
          <w:rFonts w:ascii="Times New Roman" w:hAnsi="Times New Roman"/>
          <w:lang w:val="es-ES"/>
        </w:rPr>
        <w:t>,</w:t>
      </w:r>
      <w:r>
        <w:rPr>
          <w:rFonts w:ascii="Times New Roman" w:hAnsi="Times New Roman"/>
          <w:lang w:val="es-ES"/>
        </w:rPr>
        <w:t xml:space="preserve"> </w:t>
      </w:r>
      <w:r w:rsidR="00BA0216">
        <w:rPr>
          <w:rFonts w:ascii="Times New Roman" w:hAnsi="Times New Roman"/>
          <w:lang w:val="es-ES"/>
        </w:rPr>
        <w:t xml:space="preserve">en primer lugar, </w:t>
      </w:r>
      <w:r>
        <w:rPr>
          <w:rFonts w:ascii="Times New Roman" w:hAnsi="Times New Roman"/>
          <w:lang w:val="es-ES"/>
        </w:rPr>
        <w:t>que los recursos institucionales han sido los más importantes que han utilizado los sindicatos en España dado el alto nivel de paro existente y la juventud de los propios sindicatos que dificulta la</w:t>
      </w:r>
      <w:r w:rsidR="00BA0216">
        <w:rPr>
          <w:rFonts w:ascii="Times New Roman" w:hAnsi="Times New Roman"/>
          <w:lang w:val="es-ES"/>
        </w:rPr>
        <w:t xml:space="preserve"> disposición de un poder asoci</w:t>
      </w:r>
      <w:r>
        <w:rPr>
          <w:rFonts w:ascii="Times New Roman" w:hAnsi="Times New Roman"/>
          <w:lang w:val="es-ES"/>
        </w:rPr>
        <w:t>ativo importante; y en segundo lugar, que la legislación ha constituido la base de la eficacia de dichos recursos institucionales puesto que el sistema español de relaciones laborales tiene esta matriz; y por tanto, que la operatividad de los recursos institucionales puede ser reorientable si se pierde la capacidad de influir políticamente</w:t>
      </w:r>
      <w:r>
        <w:rPr>
          <w:rFonts w:ascii="Times New Roman" w:hAnsi="Times New Roman"/>
          <w:color w:val="FF0000"/>
          <w:lang w:val="es-ES"/>
        </w:rPr>
        <w:t>.</w:t>
      </w:r>
    </w:p>
    <w:p w:rsidR="000D483F" w:rsidRDefault="000D483F" w:rsidP="000D483F">
      <w:pPr>
        <w:ind w:left="0"/>
        <w:rPr>
          <w:rFonts w:ascii="Times New Roman" w:hAnsi="Times New Roman"/>
          <w:lang w:val="es-ES"/>
        </w:rPr>
      </w:pPr>
    </w:p>
    <w:p w:rsidR="000D483F" w:rsidRDefault="000D483F" w:rsidP="000D483F">
      <w:pPr>
        <w:ind w:firstLine="708"/>
        <w:rPr>
          <w:rFonts w:ascii="Times New Roman" w:hAnsi="Times New Roman"/>
          <w:b/>
          <w:lang w:val="es-ES"/>
        </w:rPr>
      </w:pPr>
      <w:r>
        <w:rPr>
          <w:rFonts w:ascii="Times New Roman" w:hAnsi="Times New Roman"/>
          <w:b/>
          <w:lang w:val="es-ES"/>
        </w:rPr>
        <w:t>Un poder estructural débil que se desvanece más en tiempos de crisis</w:t>
      </w:r>
    </w:p>
    <w:p w:rsidR="000D483F" w:rsidRDefault="000D483F" w:rsidP="000D483F">
      <w:pPr>
        <w:ind w:left="0"/>
        <w:rPr>
          <w:rFonts w:ascii="Times New Roman" w:hAnsi="Times New Roman"/>
          <w:lang w:val="es-ES"/>
        </w:rPr>
      </w:pPr>
    </w:p>
    <w:p w:rsidR="000D483F" w:rsidRDefault="000D483F" w:rsidP="000D483F">
      <w:pPr>
        <w:ind w:firstLine="708"/>
        <w:rPr>
          <w:rFonts w:ascii="Times New Roman" w:hAnsi="Times New Roman"/>
          <w:lang w:val="es-ES"/>
        </w:rPr>
      </w:pPr>
      <w:r>
        <w:rPr>
          <w:rFonts w:ascii="Times New Roman" w:hAnsi="Times New Roman"/>
          <w:lang w:val="es-ES"/>
        </w:rPr>
        <w:t xml:space="preserve">Uno de los hechos que caracteriza el funcionamiento del mercado de trabajo en España ha sido la persistencia de un elevado nivel de paro desde la restauración de la democracia, e incluso, muy elevado entre 2010 y 2014 con tasas superiores al 20% (Cuadro 1). Esto supone que la correlación de fuerzas ha estado inclinada considerablemente a favor de los empresarios no solo en la relación individual sino asimismo en la colectiva a lo largo del tiempo y que incluso se ha agudizado en tiempo de crisis con el incremento del paro. </w:t>
      </w:r>
    </w:p>
    <w:p w:rsidR="000D483F" w:rsidRDefault="000D483F" w:rsidP="000D483F">
      <w:pPr>
        <w:ind w:firstLine="708"/>
        <w:rPr>
          <w:rFonts w:ascii="Times New Roman" w:hAnsi="Times New Roman"/>
          <w:lang w:val="es-ES"/>
        </w:rPr>
      </w:pPr>
      <w:r>
        <w:rPr>
          <w:rFonts w:ascii="Times New Roman" w:hAnsi="Times New Roman"/>
          <w:lang w:val="es-ES"/>
        </w:rPr>
        <w:t>Otro de los hechos que distingue el funcionamiento del mercado de trabajo en España es la contratación temporal que permitió la primera reforma del Estatuto de los Trabajadores en 1984. Desde entonces, bajo distintas modalidades, el porcentaje de trabajadores contratados con pocas garantías de estabilidad temporal es muy importante: entre 2000 y 2013, oscila entre el 33 % en los años de expansión y el 25 % en los años de recesión (Cuadro 1). El empleo creado se formaliza contractualmente bajo modalidades temporales que luego es el primero que se destruye. A estos porcentajes, hay que añadir los que corresponden al tiempo parcial bajo modalidades estables aunque no voluntario. Este elevado grado de precarización del empleo ha afectado gravemente al poder estructural de los trabajadores. Además, estas formas de empleo atípicas provocan una fragmentación importante de la fuerza de trabajo en la empresa y contribuyen asimismo a socavar el poder de negociación de los trabajadores en la misma. En este entorno, los representantes de los trabajadores en las empresas y los sindicatos han de afrontar los importantes retos que supone la construcción de la solidaridad y de un programa común.</w:t>
      </w:r>
    </w:p>
    <w:p w:rsidR="000D483F" w:rsidRPr="00C473AA" w:rsidRDefault="000D483F" w:rsidP="00A11BA6">
      <w:pPr>
        <w:ind w:firstLine="708"/>
        <w:rPr>
          <w:rFonts w:ascii="Times New Roman" w:hAnsi="Times New Roman"/>
          <w:lang w:val="es-ES"/>
        </w:rPr>
      </w:pPr>
      <w:r w:rsidRPr="00C473AA">
        <w:rPr>
          <w:rFonts w:ascii="Times New Roman" w:hAnsi="Times New Roman"/>
          <w:lang w:val="es-ES"/>
        </w:rPr>
        <w:t xml:space="preserve">Este panorama del funcionamiento del mercado de trabajo se completa con el nivel de cobertura del desempleo, medido a través de la percepción de prestaciones, subsidios o rentas mínimas de inserción por los parados, la tasa bruta de cobertura, que alcanza a algo más del 70% de los parados en los mejores años (2006-2007) pero cae al 50% en 2012 o 2013 (Cuadro 1). Si la medición se efectúa mediante la percepción de prestaciones relacionadas con el tiempo trabajado anteriormente y con el salario recibido, esto es, las prestaciones que proporcionan más ingresos, la tasa estricta de cobertura, los valores son </w:t>
      </w:r>
      <w:r w:rsidRPr="00C473AA">
        <w:rPr>
          <w:rFonts w:ascii="Times New Roman" w:hAnsi="Times New Roman"/>
          <w:lang w:val="es-ES"/>
        </w:rPr>
        <w:lastRenderedPageBreak/>
        <w:t xml:space="preserve">bastante inferiores: los máximos tienen lugar en los años 2007 y 2008 y los mínimos en los años 2012 y 2013 (Cuadro 1). Así, el porcentaje de desempleados que reciben ingresos relacionados con el empleo anterior es relativamente bajo. Por otro lado, una garantía de condiciones salariales decentes para una parte de las ofertas de empleo que puedan surgir mediante prestaciones dignas, también, es baja puesto que difícilmente las primeras se rechazarán si las segundas no se perciben o son raquíticas. En estas circunstancias, la capacidad de negociación de los sindicatos se resiente más aún si bien han solicitado y conseguido la activación de rentas mínimas en distintos años de la reciente crisis. </w:t>
      </w:r>
    </w:p>
    <w:p w:rsidR="000D483F" w:rsidRDefault="000D483F" w:rsidP="000D483F">
      <w:pPr>
        <w:rPr>
          <w:rFonts w:ascii="Times New Roman" w:hAnsi="Times New Roman"/>
          <w:lang w:val="es-ES"/>
        </w:rPr>
      </w:pPr>
    </w:p>
    <w:tbl>
      <w:tblPr>
        <w:tblW w:w="7711" w:type="dxa"/>
        <w:tblInd w:w="-318" w:type="dxa"/>
        <w:tblLayout w:type="fixed"/>
        <w:tblLook w:val="04A0" w:firstRow="1" w:lastRow="0" w:firstColumn="1" w:lastColumn="0" w:noHBand="0" w:noVBand="1"/>
      </w:tblPr>
      <w:tblGrid>
        <w:gridCol w:w="1449"/>
        <w:gridCol w:w="1585"/>
        <w:gridCol w:w="1559"/>
        <w:gridCol w:w="1559"/>
        <w:gridCol w:w="1559"/>
      </w:tblGrid>
      <w:tr w:rsidR="009A7C5A" w:rsidRPr="00B87AD6" w:rsidTr="009A7C5A">
        <w:tc>
          <w:tcPr>
            <w:tcW w:w="1449" w:type="dxa"/>
            <w:tcBorders>
              <w:top w:val="single" w:sz="4" w:space="0" w:color="auto"/>
              <w:left w:val="single" w:sz="4" w:space="0" w:color="auto"/>
              <w:bottom w:val="single" w:sz="4" w:space="0" w:color="auto"/>
              <w:right w:val="single" w:sz="4" w:space="0" w:color="auto"/>
            </w:tcBorders>
          </w:tcPr>
          <w:p w:rsidR="009A7C5A" w:rsidRDefault="009A7C5A">
            <w:pPr>
              <w:jc w:val="center"/>
              <w:rPr>
                <w:rFonts w:ascii="Times New Roman" w:hAnsi="Times New Roman"/>
                <w:lang w:val="es-ES"/>
              </w:rPr>
            </w:pP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Tasa de paro</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Tasa contratación temporal </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Tasa bruta </w:t>
            </w:r>
          </w:p>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de cobertura </w:t>
            </w:r>
          </w:p>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    de prestaciones por desempleo </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Tasa estricta </w:t>
            </w:r>
          </w:p>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de cobertura </w:t>
            </w:r>
          </w:p>
          <w:p w:rsidR="009A7C5A" w:rsidRDefault="009A7C5A">
            <w:pPr>
              <w:jc w:val="center"/>
              <w:rPr>
                <w:rFonts w:ascii="Times New Roman" w:hAnsi="Times New Roman"/>
                <w:sz w:val="16"/>
                <w:szCs w:val="16"/>
                <w:lang w:val="es-ES"/>
              </w:rPr>
            </w:pPr>
            <w:r>
              <w:rPr>
                <w:rFonts w:ascii="Times New Roman" w:hAnsi="Times New Roman"/>
                <w:sz w:val="16"/>
                <w:szCs w:val="16"/>
                <w:lang w:val="es-ES"/>
              </w:rPr>
              <w:t xml:space="preserve">      de prestaciones  por desempleo</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2000</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13,9</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32</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41,9</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17,9</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2001</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10,5</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31,7</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58,8</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26,8</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2002</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11,4</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31</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57,4</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27,1</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2003</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11,5</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31,8</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53,8</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29,6</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2004</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color w:val="FF0000"/>
                <w:sz w:val="16"/>
                <w:szCs w:val="16"/>
                <w:lang w:val="es-ES"/>
              </w:rPr>
            </w:pPr>
            <w:r>
              <w:rPr>
                <w:rFonts w:ascii="Times New Roman" w:hAnsi="Times New Roman"/>
                <w:color w:val="FF0000"/>
                <w:sz w:val="16"/>
                <w:szCs w:val="16"/>
                <w:lang w:val="es-ES"/>
              </w:rPr>
              <w:t>11</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32,5</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57</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29,9</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2005</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color w:val="FF0000"/>
                <w:sz w:val="16"/>
                <w:szCs w:val="16"/>
                <w:lang w:val="es-ES"/>
              </w:rPr>
            </w:pPr>
            <w:r>
              <w:rPr>
                <w:rFonts w:ascii="Times New Roman" w:hAnsi="Times New Roman"/>
                <w:color w:val="FF0000"/>
                <w:sz w:val="16"/>
                <w:szCs w:val="16"/>
                <w:lang w:val="es-ES"/>
              </w:rPr>
              <w:t>9,2</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33,3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67,7</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35,9</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2006</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color w:val="FF0000"/>
                <w:sz w:val="16"/>
                <w:szCs w:val="16"/>
                <w:lang w:val="es-ES"/>
              </w:rPr>
            </w:pPr>
            <w:r>
              <w:rPr>
                <w:rFonts w:ascii="Times New Roman" w:hAnsi="Times New Roman"/>
                <w:color w:val="FF0000"/>
                <w:sz w:val="16"/>
                <w:szCs w:val="16"/>
                <w:lang w:val="es-ES"/>
              </w:rPr>
              <w:t>8,5</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34</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72,4</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39,2</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2007</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8,3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31,7</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77,5</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42,5</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2008</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11,3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29,3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70</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42,5</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2009</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18,0</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25,3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64,6</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39,1</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2010</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20,1</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24,9</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65,7</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31,8</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2011</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tabs>
                <w:tab w:val="center" w:pos="756"/>
                <w:tab w:val="left" w:pos="1410"/>
              </w:tabs>
              <w:jc w:val="center"/>
              <w:rPr>
                <w:rFonts w:ascii="Times New Roman" w:hAnsi="Times New Roman"/>
                <w:sz w:val="16"/>
                <w:szCs w:val="16"/>
                <w:lang w:val="es-ES"/>
              </w:rPr>
            </w:pPr>
            <w:r>
              <w:rPr>
                <w:rFonts w:ascii="Times New Roman" w:hAnsi="Times New Roman"/>
                <w:sz w:val="16"/>
                <w:szCs w:val="16"/>
                <w:lang w:val="es-ES"/>
              </w:rPr>
              <w:t>21,6</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25,3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56,9</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26,5</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2012</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25,0</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23,6</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50,1</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23,7</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2013</w:t>
            </w:r>
          </w:p>
        </w:tc>
        <w:tc>
          <w:tcPr>
            <w:tcW w:w="1585"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26,1</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n-US"/>
              </w:rPr>
            </w:pPr>
            <w:r>
              <w:rPr>
                <w:rFonts w:ascii="Times New Roman" w:hAnsi="Times New Roman"/>
                <w:sz w:val="16"/>
                <w:szCs w:val="16"/>
                <w:lang w:val="en-US"/>
              </w:rPr>
              <w:t>23,1</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47,3</w:t>
            </w:r>
          </w:p>
        </w:tc>
        <w:tc>
          <w:tcPr>
            <w:tcW w:w="155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21,6</w:t>
            </w:r>
          </w:p>
        </w:tc>
      </w:tr>
      <w:tr w:rsidR="009A7C5A" w:rsidTr="009A7C5A">
        <w:tc>
          <w:tcPr>
            <w:tcW w:w="1449" w:type="dxa"/>
            <w:tcBorders>
              <w:top w:val="single" w:sz="4" w:space="0" w:color="auto"/>
              <w:left w:val="single" w:sz="4" w:space="0" w:color="auto"/>
              <w:bottom w:val="single" w:sz="4" w:space="0" w:color="auto"/>
              <w:right w:val="single" w:sz="4" w:space="0" w:color="auto"/>
            </w:tcBorders>
            <w:hideMark/>
          </w:tcPr>
          <w:p w:rsidR="009A7C5A" w:rsidRDefault="009A7C5A">
            <w:pPr>
              <w:jc w:val="center"/>
              <w:rPr>
                <w:rFonts w:ascii="Times New Roman" w:hAnsi="Times New Roman"/>
                <w:sz w:val="16"/>
                <w:szCs w:val="16"/>
                <w:lang w:val="es-ES"/>
              </w:rPr>
            </w:pPr>
            <w:r>
              <w:rPr>
                <w:rFonts w:ascii="Times New Roman" w:hAnsi="Times New Roman"/>
                <w:sz w:val="16"/>
                <w:szCs w:val="16"/>
                <w:lang w:val="es-ES"/>
              </w:rPr>
              <w:t>2014</w:t>
            </w:r>
          </w:p>
        </w:tc>
        <w:tc>
          <w:tcPr>
            <w:tcW w:w="1585" w:type="dxa"/>
            <w:tcBorders>
              <w:top w:val="single" w:sz="4" w:space="0" w:color="auto"/>
              <w:left w:val="single" w:sz="4" w:space="0" w:color="auto"/>
              <w:bottom w:val="single" w:sz="4" w:space="0" w:color="auto"/>
              <w:right w:val="single" w:sz="4" w:space="0" w:color="auto"/>
            </w:tcBorders>
          </w:tcPr>
          <w:p w:rsidR="009A7C5A" w:rsidRPr="002714B9" w:rsidRDefault="002714B9">
            <w:pPr>
              <w:jc w:val="center"/>
              <w:rPr>
                <w:rFonts w:ascii="Times New Roman" w:hAnsi="Times New Roman"/>
                <w:color w:val="FF0000"/>
                <w:sz w:val="16"/>
                <w:szCs w:val="16"/>
                <w:lang w:val="es-ES"/>
              </w:rPr>
            </w:pPr>
            <w:r>
              <w:rPr>
                <w:rFonts w:ascii="Times New Roman" w:hAnsi="Times New Roman"/>
                <w:color w:val="FF0000"/>
                <w:sz w:val="16"/>
                <w:szCs w:val="16"/>
                <w:lang w:val="es-ES"/>
              </w:rPr>
              <w:t>24,4</w:t>
            </w:r>
          </w:p>
        </w:tc>
        <w:tc>
          <w:tcPr>
            <w:tcW w:w="1559" w:type="dxa"/>
            <w:tcBorders>
              <w:top w:val="single" w:sz="4" w:space="0" w:color="auto"/>
              <w:left w:val="single" w:sz="4" w:space="0" w:color="auto"/>
              <w:bottom w:val="single" w:sz="4" w:space="0" w:color="auto"/>
              <w:right w:val="single" w:sz="4" w:space="0" w:color="auto"/>
            </w:tcBorders>
          </w:tcPr>
          <w:p w:rsidR="009A7C5A" w:rsidRPr="002714B9" w:rsidRDefault="002714B9">
            <w:pPr>
              <w:jc w:val="center"/>
              <w:rPr>
                <w:rFonts w:ascii="Times New Roman" w:hAnsi="Times New Roman"/>
                <w:color w:val="FF0000"/>
                <w:sz w:val="16"/>
                <w:szCs w:val="16"/>
                <w:lang w:val="en-US"/>
              </w:rPr>
            </w:pPr>
            <w:r w:rsidRPr="002714B9">
              <w:rPr>
                <w:rFonts w:ascii="Times New Roman" w:hAnsi="Times New Roman"/>
                <w:color w:val="FF0000"/>
                <w:sz w:val="16"/>
                <w:szCs w:val="16"/>
                <w:lang w:val="en-US"/>
              </w:rPr>
              <w:t>24,0</w:t>
            </w:r>
          </w:p>
        </w:tc>
        <w:tc>
          <w:tcPr>
            <w:tcW w:w="1559" w:type="dxa"/>
            <w:tcBorders>
              <w:top w:val="single" w:sz="4" w:space="0" w:color="auto"/>
              <w:left w:val="single" w:sz="4" w:space="0" w:color="auto"/>
              <w:bottom w:val="single" w:sz="4" w:space="0" w:color="auto"/>
              <w:right w:val="single" w:sz="4" w:space="0" w:color="auto"/>
            </w:tcBorders>
          </w:tcPr>
          <w:p w:rsidR="009A7C5A" w:rsidRDefault="009A7C5A">
            <w:pPr>
              <w:jc w:val="center"/>
              <w:rPr>
                <w:rFonts w:ascii="Times New Roman" w:hAnsi="Times New Roman"/>
                <w:sz w:val="16"/>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9A7C5A" w:rsidRDefault="009A7C5A">
            <w:pPr>
              <w:jc w:val="center"/>
              <w:rPr>
                <w:rFonts w:ascii="Times New Roman" w:hAnsi="Times New Roman"/>
                <w:sz w:val="16"/>
                <w:szCs w:val="16"/>
                <w:lang w:val="es-ES"/>
              </w:rPr>
            </w:pPr>
          </w:p>
        </w:tc>
      </w:tr>
    </w:tbl>
    <w:p w:rsidR="000D483F" w:rsidRDefault="000D483F" w:rsidP="000D483F">
      <w:pPr>
        <w:ind w:left="0"/>
        <w:rPr>
          <w:rFonts w:ascii="Times New Roman" w:hAnsi="Times New Roman"/>
          <w:sz w:val="16"/>
          <w:szCs w:val="16"/>
          <w:lang w:val="es-ES"/>
        </w:rPr>
      </w:pPr>
      <w:r>
        <w:rPr>
          <w:rFonts w:ascii="Times New Roman" w:hAnsi="Times New Roman"/>
          <w:sz w:val="16"/>
          <w:szCs w:val="16"/>
          <w:lang w:val="es-ES"/>
        </w:rPr>
        <w:t>Cuadro 1.- Evolución de las tasas de paro, contratación temporal y de cobertura del</w:t>
      </w:r>
      <w:r w:rsidR="00DE5D4C">
        <w:rPr>
          <w:rFonts w:ascii="Times New Roman" w:hAnsi="Times New Roman"/>
          <w:sz w:val="16"/>
          <w:szCs w:val="16"/>
          <w:lang w:val="es-ES"/>
        </w:rPr>
        <w:t xml:space="preserve"> desempleo.</w:t>
      </w:r>
    </w:p>
    <w:p w:rsidR="000D483F" w:rsidRDefault="000D483F" w:rsidP="000D483F">
      <w:pPr>
        <w:ind w:left="0"/>
        <w:rPr>
          <w:rFonts w:ascii="Times New Roman" w:hAnsi="Times New Roman"/>
          <w:sz w:val="16"/>
          <w:szCs w:val="16"/>
          <w:lang w:val="es-ES"/>
        </w:rPr>
      </w:pPr>
      <w:r>
        <w:rPr>
          <w:rFonts w:ascii="Times New Roman" w:hAnsi="Times New Roman"/>
          <w:sz w:val="16"/>
          <w:szCs w:val="16"/>
          <w:lang w:val="es-ES"/>
        </w:rPr>
        <w:t>Fuente: Anuarios de estadísticas del Ministerio de Empleo y Seguridad Social (EPAs)</w:t>
      </w:r>
    </w:p>
    <w:p w:rsidR="000D483F" w:rsidRDefault="000D483F" w:rsidP="000D483F">
      <w:pPr>
        <w:ind w:left="0"/>
        <w:rPr>
          <w:rFonts w:ascii="Times New Roman" w:hAnsi="Times New Roman"/>
          <w:sz w:val="16"/>
          <w:szCs w:val="16"/>
          <w:lang w:val="es-ES"/>
        </w:rPr>
      </w:pPr>
      <w:r>
        <w:rPr>
          <w:rFonts w:ascii="Times New Roman" w:hAnsi="Times New Roman"/>
          <w:sz w:val="16"/>
          <w:szCs w:val="16"/>
          <w:lang w:val="es-ES"/>
        </w:rPr>
        <w:t>Elaboración propia.</w:t>
      </w:r>
    </w:p>
    <w:p w:rsidR="000D483F" w:rsidRDefault="000D483F" w:rsidP="000D483F">
      <w:pPr>
        <w:ind w:left="0"/>
        <w:rPr>
          <w:rFonts w:ascii="Times New Roman" w:hAnsi="Times New Roman"/>
          <w:lang w:val="es-ES"/>
        </w:rPr>
      </w:pPr>
    </w:p>
    <w:p w:rsidR="000D483F" w:rsidRDefault="000D483F" w:rsidP="000D483F">
      <w:pPr>
        <w:ind w:firstLine="678"/>
        <w:rPr>
          <w:rFonts w:ascii="Times New Roman" w:hAnsi="Times New Roman"/>
          <w:lang w:val="es-ES"/>
        </w:rPr>
      </w:pPr>
      <w:r>
        <w:rPr>
          <w:rFonts w:ascii="Times New Roman" w:hAnsi="Times New Roman"/>
          <w:lang w:val="es-ES"/>
        </w:rPr>
        <w:t xml:space="preserve">Esta correlación de fuerzas en el mercado de trabajo permite que los asalariados estén cada vez más expuestos a las presiones de los empresarios en la actividad laboral en los centros de trabajo. Más aún, cuando los asalariados han estado sometidos a procesos de reducción de plantillas: en los años de expansión económica (incluso, en los de fuerte), entre un 40 y un 44 % de las empresas grandes y medianas que existen un año y permanecen al siguiente, los experimentan; y en los de crisis, entre un 55 y un 60 % (Cuadro 2). Unas presiones empresariales para conseguir demandas que suponen frecuentemente una renuncia parcial de derechos y un empeoramiento de las condiciones de trabajo. </w:t>
      </w:r>
    </w:p>
    <w:p w:rsidR="000D483F" w:rsidRDefault="000D483F" w:rsidP="000D483F">
      <w:pPr>
        <w:rPr>
          <w:rFonts w:ascii="Times New Roman" w:hAnsi="Times New Roman"/>
          <w:sz w:val="16"/>
          <w:szCs w:val="16"/>
          <w:lang w:val="es-ES"/>
        </w:rPr>
      </w:pPr>
    </w:p>
    <w:tbl>
      <w:tblPr>
        <w:tblStyle w:val="TableGrid"/>
        <w:tblW w:w="0" w:type="auto"/>
        <w:tblInd w:w="-318" w:type="dxa"/>
        <w:tblLook w:val="04A0" w:firstRow="1" w:lastRow="0" w:firstColumn="1" w:lastColumn="0" w:noHBand="0" w:noVBand="1"/>
      </w:tblPr>
      <w:tblGrid>
        <w:gridCol w:w="1440"/>
        <w:gridCol w:w="1440"/>
        <w:gridCol w:w="1441"/>
        <w:gridCol w:w="1441"/>
        <w:gridCol w:w="1441"/>
        <w:gridCol w:w="1441"/>
      </w:tblGrid>
      <w:tr w:rsidR="000D483F" w:rsidRPr="00B87AD6" w:rsidTr="000D483F">
        <w:tc>
          <w:tcPr>
            <w:tcW w:w="1440" w:type="dxa"/>
            <w:tcBorders>
              <w:top w:val="single" w:sz="4" w:space="0" w:color="auto"/>
              <w:left w:val="single" w:sz="4" w:space="0" w:color="auto"/>
              <w:bottom w:val="single" w:sz="4" w:space="0" w:color="auto"/>
              <w:right w:val="single" w:sz="4" w:space="0" w:color="auto"/>
            </w:tcBorders>
          </w:tcPr>
          <w:p w:rsidR="000D483F" w:rsidRDefault="000D483F">
            <w:pPr>
              <w:rPr>
                <w:rFonts w:ascii="Times New Roman" w:hAnsi="Times New Roman"/>
                <w:sz w:val="16"/>
                <w:szCs w:val="16"/>
                <w:lang w:val="es-ES"/>
              </w:rPr>
            </w:pP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Empresas</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Empresas Medianas (EM)</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%EM con plantilla reducida respecto al año anterior</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Empresas Grandes (EG)</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 EG con plantilla reducida respecto al año anterior</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2001</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1.152.678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236.042</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39,3</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24.050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43,0</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2002</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1.190.467</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245.006</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40,0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24.931</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44,3</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2003</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1.227.989</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252.293</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41,3</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25.639</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45,0</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2004</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1.272.595</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258.882</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40,1</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26.216</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42,8</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2005</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1.347.758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269.718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38,3</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27.407</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41,6</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2006</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1.386.157</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287.441</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40,8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28.911</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40,0</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2007</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1.405.938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295.136</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42,3</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30.298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41,6</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2008</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1.332.090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291.228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55,7</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30.917</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57,3</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2009</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1.264.689</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262.022</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53,9</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28.605</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60,1</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2010</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1.323.810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259.563</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45,2</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28.045</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53,3</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2011</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1.300.992</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253.829</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48,0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27.676</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57.4</w:t>
            </w:r>
          </w:p>
        </w:tc>
      </w:tr>
      <w:tr w:rsidR="000D483F" w:rsidTr="000D483F">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rPr>
                <w:rFonts w:ascii="Times New Roman" w:hAnsi="Times New Roman"/>
                <w:sz w:val="16"/>
                <w:szCs w:val="16"/>
                <w:lang w:val="es-ES"/>
              </w:rPr>
            </w:pPr>
            <w:r>
              <w:rPr>
                <w:rFonts w:ascii="Times New Roman" w:hAnsi="Times New Roman"/>
                <w:sz w:val="16"/>
                <w:szCs w:val="16"/>
                <w:lang w:val="es-ES"/>
              </w:rPr>
              <w:t>2012</w:t>
            </w:r>
          </w:p>
        </w:tc>
        <w:tc>
          <w:tcPr>
            <w:tcW w:w="1440"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1.257.128</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241.600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52,0</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26.594</w:t>
            </w:r>
          </w:p>
        </w:tc>
        <w:tc>
          <w:tcPr>
            <w:tcW w:w="1441"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64,0</w:t>
            </w:r>
          </w:p>
        </w:tc>
      </w:tr>
      <w:tr w:rsidR="000D483F" w:rsidTr="000D483F">
        <w:tc>
          <w:tcPr>
            <w:tcW w:w="1440" w:type="dxa"/>
            <w:tcBorders>
              <w:top w:val="single" w:sz="4" w:space="0" w:color="auto"/>
              <w:left w:val="single" w:sz="4" w:space="0" w:color="auto"/>
              <w:bottom w:val="single" w:sz="4" w:space="0" w:color="auto"/>
              <w:right w:val="single" w:sz="4" w:space="0" w:color="auto"/>
            </w:tcBorders>
          </w:tcPr>
          <w:p w:rsidR="000D483F" w:rsidRDefault="00DE5D4C">
            <w:pPr>
              <w:rPr>
                <w:rFonts w:ascii="Times New Roman" w:hAnsi="Times New Roman"/>
                <w:sz w:val="16"/>
                <w:szCs w:val="16"/>
                <w:lang w:val="es-ES"/>
              </w:rPr>
            </w:pPr>
            <w:r>
              <w:rPr>
                <w:rFonts w:ascii="Times New Roman" w:hAnsi="Times New Roman"/>
                <w:sz w:val="16"/>
                <w:szCs w:val="16"/>
                <w:lang w:val="es-ES"/>
              </w:rPr>
              <w:t>2013</w:t>
            </w:r>
          </w:p>
        </w:tc>
        <w:tc>
          <w:tcPr>
            <w:tcW w:w="1440"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r>
      <w:tr w:rsidR="000D483F" w:rsidTr="000D483F">
        <w:tc>
          <w:tcPr>
            <w:tcW w:w="1440" w:type="dxa"/>
            <w:tcBorders>
              <w:top w:val="single" w:sz="4" w:space="0" w:color="auto"/>
              <w:left w:val="single" w:sz="4" w:space="0" w:color="auto"/>
              <w:bottom w:val="single" w:sz="4" w:space="0" w:color="auto"/>
              <w:right w:val="single" w:sz="4" w:space="0" w:color="auto"/>
            </w:tcBorders>
          </w:tcPr>
          <w:p w:rsidR="000D483F" w:rsidRDefault="00DE5D4C">
            <w:pPr>
              <w:rPr>
                <w:rFonts w:ascii="Times New Roman" w:hAnsi="Times New Roman"/>
                <w:sz w:val="16"/>
                <w:szCs w:val="16"/>
                <w:lang w:val="es-ES"/>
              </w:rPr>
            </w:pPr>
            <w:r>
              <w:rPr>
                <w:rFonts w:ascii="Times New Roman" w:hAnsi="Times New Roman"/>
                <w:sz w:val="16"/>
                <w:szCs w:val="16"/>
                <w:lang w:val="es-ES"/>
              </w:rPr>
              <w:t>2014</w:t>
            </w:r>
          </w:p>
        </w:tc>
        <w:tc>
          <w:tcPr>
            <w:tcW w:w="1440"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r>
    </w:tbl>
    <w:p w:rsidR="00DE5D4C" w:rsidRDefault="00DE5D4C" w:rsidP="000D483F">
      <w:pPr>
        <w:rPr>
          <w:rFonts w:ascii="Times New Roman" w:hAnsi="Times New Roman"/>
          <w:sz w:val="16"/>
          <w:szCs w:val="16"/>
          <w:lang w:val="es-ES"/>
        </w:rPr>
      </w:pPr>
    </w:p>
    <w:p w:rsidR="000D483F" w:rsidRDefault="000D483F" w:rsidP="000D483F">
      <w:pPr>
        <w:rPr>
          <w:rFonts w:ascii="Times New Roman" w:hAnsi="Times New Roman"/>
          <w:sz w:val="16"/>
          <w:szCs w:val="16"/>
          <w:lang w:val="es-ES"/>
        </w:rPr>
      </w:pPr>
      <w:r>
        <w:rPr>
          <w:rFonts w:ascii="Times New Roman" w:hAnsi="Times New Roman"/>
          <w:sz w:val="16"/>
          <w:szCs w:val="16"/>
          <w:lang w:val="es-ES"/>
        </w:rPr>
        <w:t>Cuadro 2.- Empresas con asalariados inscritas en el Régimen de la Seguridad Social y de la Minería por tamaño y según tipo de evolución de las plantillas hasta 2009 (y desde 2010 más sistema especial agrario y en el régimen especial de Trabajadores del Mar)</w:t>
      </w:r>
    </w:p>
    <w:p w:rsidR="000D483F" w:rsidRDefault="000D483F" w:rsidP="000D483F">
      <w:pPr>
        <w:rPr>
          <w:rFonts w:ascii="Times New Roman" w:hAnsi="Times New Roman"/>
          <w:sz w:val="16"/>
          <w:szCs w:val="16"/>
          <w:lang w:val="es-ES"/>
        </w:rPr>
      </w:pPr>
      <w:r>
        <w:rPr>
          <w:rFonts w:ascii="Times New Roman" w:hAnsi="Times New Roman"/>
          <w:sz w:val="16"/>
          <w:szCs w:val="16"/>
          <w:lang w:val="es-ES"/>
        </w:rPr>
        <w:t>Fuente: Anuario de estadísticas del Ministerio de Empleo y Seguridad Social.</w:t>
      </w:r>
    </w:p>
    <w:p w:rsidR="000D483F" w:rsidRDefault="000D483F" w:rsidP="000D483F">
      <w:pPr>
        <w:rPr>
          <w:rFonts w:ascii="Times New Roman" w:hAnsi="Times New Roman"/>
          <w:sz w:val="16"/>
          <w:szCs w:val="16"/>
          <w:lang w:val="es-ES"/>
        </w:rPr>
      </w:pPr>
    </w:p>
    <w:p w:rsidR="000D483F" w:rsidRPr="009865C9" w:rsidRDefault="000D483F" w:rsidP="00A11BA6">
      <w:pPr>
        <w:ind w:firstLine="1026"/>
        <w:rPr>
          <w:rFonts w:ascii="Times New Roman" w:hAnsi="Times New Roman"/>
          <w:color w:val="FF0000"/>
          <w:lang w:val="es-ES"/>
        </w:rPr>
      </w:pPr>
      <w:r>
        <w:rPr>
          <w:rFonts w:ascii="Times New Roman" w:hAnsi="Times New Roman"/>
          <w:lang w:val="es-ES"/>
        </w:rPr>
        <w:lastRenderedPageBreak/>
        <w:t xml:space="preserve">Así pues, el poder estructural de los trabajadores en el sistema económico es débil. Una debilidad que se acentúa en las fases de crisis económica en las que se destruye empleo masivamente con el correspondiente aumento del número de desempleados y de ajustes de plantillas, y se reduce la cobertura por prestaciones por desempleo. </w:t>
      </w:r>
    </w:p>
    <w:p w:rsidR="000D483F" w:rsidRDefault="000D483F" w:rsidP="000D483F">
      <w:pPr>
        <w:ind w:left="0"/>
        <w:rPr>
          <w:rFonts w:ascii="Times New Roman" w:hAnsi="Times New Roman"/>
          <w:lang w:val="es-ES"/>
        </w:rPr>
      </w:pPr>
    </w:p>
    <w:p w:rsidR="000D483F" w:rsidRDefault="000D483F" w:rsidP="000D483F">
      <w:pPr>
        <w:ind w:firstLine="1026"/>
        <w:rPr>
          <w:rFonts w:ascii="Times New Roman" w:hAnsi="Times New Roman"/>
          <w:b/>
          <w:lang w:val="es-ES"/>
        </w:rPr>
      </w:pPr>
      <w:r>
        <w:rPr>
          <w:rFonts w:ascii="Times New Roman" w:hAnsi="Times New Roman"/>
          <w:b/>
          <w:lang w:val="es-ES"/>
        </w:rPr>
        <w:t>Un poder asociativo reducido si bien la audiencia electoral es grande</w:t>
      </w:r>
    </w:p>
    <w:p w:rsidR="000D483F" w:rsidRDefault="000D483F" w:rsidP="000D483F">
      <w:pPr>
        <w:rPr>
          <w:rFonts w:ascii="Times New Roman" w:hAnsi="Times New Roman"/>
          <w:lang w:val="es-ES"/>
        </w:rPr>
      </w:pPr>
    </w:p>
    <w:p w:rsidR="000D483F" w:rsidRDefault="000D483F" w:rsidP="000D483F">
      <w:pPr>
        <w:ind w:firstLine="1026"/>
        <w:rPr>
          <w:rFonts w:ascii="Times New Roman" w:hAnsi="Times New Roman"/>
          <w:lang w:val="es-ES"/>
        </w:rPr>
      </w:pPr>
      <w:r>
        <w:rPr>
          <w:rFonts w:ascii="Times New Roman" w:hAnsi="Times New Roman"/>
          <w:lang w:val="es-ES"/>
        </w:rPr>
        <w:t xml:space="preserve">El número de afiliados registrados en los sindicatos en España ha crecido hasta los primeros años de la crisis económica iniciada en 2008. A partir de este año no se dispone de datos globales. La tasa de afiliación también ha aumentado paulatinamente hasta situarse en </w:t>
      </w:r>
      <w:r w:rsidRPr="0081638A">
        <w:rPr>
          <w:rFonts w:ascii="Times New Roman" w:hAnsi="Times New Roman"/>
          <w:lang w:val="es-ES"/>
        </w:rPr>
        <w:t>2007</w:t>
      </w:r>
      <w:r w:rsidR="0081638A" w:rsidRPr="0081638A">
        <w:rPr>
          <w:rFonts w:ascii="Times New Roman" w:hAnsi="Times New Roman"/>
          <w:lang w:val="es-ES"/>
        </w:rPr>
        <w:t xml:space="preserve"> e</w:t>
      </w:r>
      <w:r w:rsidR="0081638A">
        <w:rPr>
          <w:rFonts w:ascii="Times New Roman" w:hAnsi="Times New Roman"/>
          <w:lang w:val="es-ES"/>
        </w:rPr>
        <w:t>n 19,3 (Beneyto, 2008: 70</w:t>
      </w:r>
      <w:r>
        <w:rPr>
          <w:rFonts w:ascii="Times New Roman" w:hAnsi="Times New Roman"/>
          <w:lang w:val="es-ES"/>
        </w:rPr>
        <w:t xml:space="preserve">). Una evolución constatada en las Encuestas de Calidad de Vida en el Trabajo (ECVT) efectuadas por el Ministerio de Empleo desde 1999 y que desde 2007 hasta 2010 estima los porcentajes de asalariados afiliados a algún sindicato: aumenta ligeramente entre 2007 y 2008 en que llega a un 17,4 % si bien en 2010 desciende hasta 16,4 % (el número de afiliados estimados es de 2.894.200). Las tendencias en los valores absolutos de la afiliación sindical se confirman asimismo en la principal confederación sindical en España, CC.OO.: el máximo se alcanza en 2010 y a partir de entonces se reduce todos los años situándose a finales de 2014 en casi un millón lo que supone que en cinco años se ha reducido en un 20 %; la mayor desafiliación ocurre entre los que tienen entre 30 y 44 años. Los efectos de la crisis se traducen en la afiliación sindical de manera que si el poder derivado de la afiliación ha sido siempre bajo, con la reciente crisis es menor todavía. </w:t>
      </w:r>
    </w:p>
    <w:p w:rsidR="000D483F" w:rsidRDefault="000D483F" w:rsidP="000D483F">
      <w:pPr>
        <w:ind w:firstLine="1026"/>
        <w:rPr>
          <w:rFonts w:ascii="Times New Roman" w:hAnsi="Times New Roman"/>
          <w:lang w:val="es-ES"/>
        </w:rPr>
      </w:pPr>
      <w:r>
        <w:rPr>
          <w:rFonts w:ascii="Times New Roman" w:hAnsi="Times New Roman"/>
          <w:lang w:val="es-ES"/>
        </w:rPr>
        <w:t xml:space="preserve">Detrás de estas cifras globales, se observa una mayor dispersión por sectores según la Encuesta de Calidad de Vida en el Trabajo del año 2010. Así, en la administración pública, el porcentaje estimado es de un 33%; en educación, un 25 %; en sanidad un 22,2%; en la industria, un 20,4 %; en el otro extremo, hostelería, un 8,3 %; comercio, un 8,9; y construcción, un 9,5 %. En este sentido, los sindicatos tienen diferente capacidad de negociación de unos sectores a otros. También, por grupos de edad: entre los menores de 29 años, los porcentajes son inferiores al 9,2 % (Ministerio de Empleo y Seguridad Social, 2010: 85-86). </w:t>
      </w:r>
    </w:p>
    <w:p w:rsidR="000D483F" w:rsidRDefault="000D483F" w:rsidP="000D483F">
      <w:pPr>
        <w:ind w:firstLine="1026"/>
        <w:rPr>
          <w:rFonts w:ascii="Times New Roman" w:hAnsi="Times New Roman"/>
          <w:lang w:val="es-ES"/>
        </w:rPr>
      </w:pPr>
      <w:r>
        <w:rPr>
          <w:rFonts w:ascii="Times New Roman" w:hAnsi="Times New Roman"/>
          <w:lang w:val="es-ES"/>
        </w:rPr>
        <w:t xml:space="preserve">Además, los resultados obtenidos en las elecciones permiten acreditar la representatividad de los sindicatos de modo que son considerados como más representativos los que obtienen al menos el 10 % de los delegados y de los miembros de los comités de empresa en las elecciones sindicales a nivel nacional o el 15 % a nivel de comunidad autónoma. Los que resultan acreditados pueden negociar convenios de eficacia general (más allá de la empresa) y estar presente en organismos tripartitos. En este sentido, su representatividad se ha ampliado por ley poniéndose de manifiesto la importancia de la acción del estado. Así, la influencia de los sindicatos depende no sólo de los recursos </w:t>
      </w:r>
      <w:r>
        <w:rPr>
          <w:rFonts w:ascii="Times New Roman" w:hAnsi="Times New Roman"/>
          <w:color w:val="FF0000"/>
          <w:lang w:val="es-ES"/>
        </w:rPr>
        <w:t>asociativos</w:t>
      </w:r>
      <w:r>
        <w:rPr>
          <w:rFonts w:ascii="Times New Roman" w:hAnsi="Times New Roman"/>
          <w:lang w:val="es-ES"/>
        </w:rPr>
        <w:t xml:space="preserve"> sino también del entorno institucional y legal que les reconoce distintas facultades y les provee de medios de distinto tipo.</w:t>
      </w:r>
    </w:p>
    <w:p w:rsidR="000D483F" w:rsidRDefault="000D483F" w:rsidP="000D483F">
      <w:pPr>
        <w:ind w:firstLine="1026"/>
        <w:rPr>
          <w:rFonts w:ascii="Times New Roman" w:hAnsi="Times New Roman"/>
          <w:lang w:val="es-ES"/>
        </w:rPr>
      </w:pPr>
      <w:r>
        <w:rPr>
          <w:rFonts w:ascii="Times New Roman" w:hAnsi="Times New Roman"/>
          <w:lang w:val="es-ES"/>
        </w:rPr>
        <w:t>Desde la restauración de la democracia, la participación de los trabajadores es alta. En las empresas en las que se celebran elecciones, la participación está alrededor del 80 % y las tres cuartas partes de los votos son para las candidaturas de CC.OO. y UGT. Esto se traduce en que un porcentaje similar de los representantes de los trabajadores en la negociación de los convenios de empresas pertenecen a estos dos sindicatos; en este mismo sentido, casi el 90 % de los que negocian convenios colectivos de eficacia general pertenecen a CC.OO. y UGT La capacidad de negociar de los dos sindicatos, proporcionada por los representantes elegidos,  es, pues, elevada</w:t>
      </w:r>
    </w:p>
    <w:p w:rsidR="000D483F" w:rsidRDefault="000D483F" w:rsidP="000D483F">
      <w:pPr>
        <w:rPr>
          <w:rFonts w:ascii="Times New Roman" w:hAnsi="Times New Roman"/>
          <w:lang w:val="es-ES"/>
        </w:rPr>
      </w:pPr>
    </w:p>
    <w:p w:rsidR="00701DDC" w:rsidRDefault="00701DDC" w:rsidP="000D483F">
      <w:pPr>
        <w:rPr>
          <w:rFonts w:ascii="Times New Roman" w:hAnsi="Times New Roman"/>
          <w:lang w:val="es-ES"/>
        </w:rPr>
      </w:pPr>
    </w:p>
    <w:p w:rsidR="00421062" w:rsidRDefault="00421062" w:rsidP="000D483F">
      <w:pPr>
        <w:rPr>
          <w:rFonts w:ascii="Times New Roman" w:hAnsi="Times New Roman"/>
          <w:lang w:val="es-ES"/>
        </w:rPr>
      </w:pPr>
    </w:p>
    <w:tbl>
      <w:tblPr>
        <w:tblW w:w="0" w:type="auto"/>
        <w:tblInd w:w="-318" w:type="dxa"/>
        <w:tblLook w:val="04A0" w:firstRow="1" w:lastRow="0" w:firstColumn="1" w:lastColumn="0" w:noHBand="0" w:noVBand="1"/>
      </w:tblPr>
      <w:tblGrid>
        <w:gridCol w:w="864"/>
        <w:gridCol w:w="864"/>
        <w:gridCol w:w="864"/>
        <w:gridCol w:w="864"/>
        <w:gridCol w:w="864"/>
        <w:gridCol w:w="864"/>
        <w:gridCol w:w="865"/>
        <w:gridCol w:w="865"/>
        <w:gridCol w:w="865"/>
        <w:gridCol w:w="865"/>
      </w:tblGrid>
      <w:tr w:rsidR="000D483F" w:rsidTr="000D483F">
        <w:tc>
          <w:tcPr>
            <w:tcW w:w="864" w:type="dxa"/>
            <w:tcBorders>
              <w:top w:val="single" w:sz="4" w:space="0" w:color="auto"/>
              <w:left w:val="single" w:sz="4" w:space="0" w:color="auto"/>
              <w:bottom w:val="single" w:sz="4" w:space="0" w:color="auto"/>
              <w:right w:val="single" w:sz="4" w:space="0" w:color="auto"/>
            </w:tcBorders>
          </w:tcPr>
          <w:p w:rsidR="000D483F" w:rsidRDefault="000D483F">
            <w:pPr>
              <w:rPr>
                <w:rFonts w:ascii="Times New Roman" w:hAnsi="Times New Roman"/>
                <w:sz w:val="16"/>
                <w:szCs w:val="16"/>
                <w:lang w:val="es-ES"/>
              </w:rPr>
            </w:pP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b/>
                <w:sz w:val="16"/>
                <w:szCs w:val="16"/>
                <w:lang w:val="es-ES"/>
              </w:rPr>
            </w:pPr>
            <w:r>
              <w:rPr>
                <w:rFonts w:ascii="Times New Roman" w:hAnsi="Times New Roman"/>
                <w:b/>
                <w:sz w:val="16"/>
                <w:szCs w:val="16"/>
                <w:lang w:val="es-ES"/>
              </w:rPr>
              <w:t>Total</w:t>
            </w:r>
          </w:p>
        </w:tc>
        <w:tc>
          <w:tcPr>
            <w:tcW w:w="1728" w:type="dxa"/>
            <w:gridSpan w:val="2"/>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CCOO</w:t>
            </w:r>
          </w:p>
        </w:tc>
        <w:tc>
          <w:tcPr>
            <w:tcW w:w="1728" w:type="dxa"/>
            <w:gridSpan w:val="2"/>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UGT</w:t>
            </w:r>
          </w:p>
        </w:tc>
        <w:tc>
          <w:tcPr>
            <w:tcW w:w="1730" w:type="dxa"/>
            <w:gridSpan w:val="2"/>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Otros sindicatos</w:t>
            </w:r>
          </w:p>
        </w:tc>
        <w:tc>
          <w:tcPr>
            <w:tcW w:w="1730" w:type="dxa"/>
            <w:gridSpan w:val="2"/>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No sindicales</w:t>
            </w:r>
          </w:p>
        </w:tc>
      </w:tr>
      <w:tr w:rsidR="000D483F" w:rsidTr="000D483F">
        <w:tc>
          <w:tcPr>
            <w:tcW w:w="864" w:type="dxa"/>
            <w:tcBorders>
              <w:top w:val="single" w:sz="4" w:space="0" w:color="auto"/>
              <w:left w:val="single" w:sz="4" w:space="0" w:color="auto"/>
              <w:bottom w:val="single" w:sz="4" w:space="0" w:color="auto"/>
              <w:right w:val="single" w:sz="4" w:space="0" w:color="auto"/>
            </w:tcBorders>
          </w:tcPr>
          <w:p w:rsidR="000D483F" w:rsidRDefault="000D483F">
            <w:pPr>
              <w:rPr>
                <w:rFonts w:ascii="Times New Roman" w:hAnsi="Times New Roman"/>
                <w:sz w:val="16"/>
                <w:szCs w:val="16"/>
                <w:lang w:val="es-ES"/>
              </w:rPr>
            </w:pPr>
          </w:p>
        </w:tc>
        <w:tc>
          <w:tcPr>
            <w:tcW w:w="864"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Nº</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Nº</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Nº</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center"/>
              <w:rPr>
                <w:rFonts w:ascii="Times New Roman" w:hAnsi="Times New Roman"/>
                <w:sz w:val="16"/>
                <w:szCs w:val="16"/>
                <w:lang w:val="es-ES"/>
              </w:rPr>
            </w:pPr>
            <w:r>
              <w:rPr>
                <w:rFonts w:ascii="Times New Roman" w:hAnsi="Times New Roman"/>
                <w:sz w:val="16"/>
                <w:szCs w:val="16"/>
                <w:lang w:val="es-ES"/>
              </w:rPr>
              <w:t>%</w:t>
            </w:r>
          </w:p>
        </w:tc>
        <w:tc>
          <w:tcPr>
            <w:tcW w:w="865"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c>
          <w:tcPr>
            <w:tcW w:w="865" w:type="dxa"/>
            <w:tcBorders>
              <w:top w:val="single" w:sz="4" w:space="0" w:color="auto"/>
              <w:left w:val="single" w:sz="4" w:space="0" w:color="auto"/>
              <w:bottom w:val="single" w:sz="4" w:space="0" w:color="auto"/>
              <w:right w:val="single" w:sz="4" w:space="0" w:color="auto"/>
            </w:tcBorders>
          </w:tcPr>
          <w:p w:rsidR="000D483F" w:rsidRDefault="000D483F">
            <w:pPr>
              <w:jc w:val="center"/>
              <w:rPr>
                <w:rFonts w:ascii="Times New Roman" w:hAnsi="Times New Roman"/>
                <w:sz w:val="16"/>
                <w:szCs w:val="16"/>
                <w:lang w:val="es-ES"/>
              </w:rPr>
            </w:pPr>
          </w:p>
        </w:tc>
      </w:tr>
      <w:tr w:rsidR="000D483F" w:rsidTr="000D483F">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1999</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260.285</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98.440</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37,8</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96.770</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37,2</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57.006</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21,9</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8.969</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3,1</w:t>
            </w:r>
          </w:p>
        </w:tc>
      </w:tr>
      <w:tr w:rsidR="000D483F" w:rsidTr="000D483F">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2003</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283.075</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110.208</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38,9</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103.805</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36,7</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69.062</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24,4</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w:t>
            </w:r>
          </w:p>
        </w:tc>
      </w:tr>
      <w:tr w:rsidR="000D483F" w:rsidTr="000D483F">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2007</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312.017</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122.079</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39,1</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114.973</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36,8</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74.965</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24</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w:t>
            </w:r>
          </w:p>
        </w:tc>
      </w:tr>
      <w:tr w:rsidR="000D483F" w:rsidTr="000D483F">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2011</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309.817</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117.172</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37,8</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110.755</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35,7</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81.890</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26,4</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w:t>
            </w:r>
          </w:p>
        </w:tc>
      </w:tr>
      <w:tr w:rsidR="000D483F" w:rsidTr="000D483F">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2014</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278.879</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103.130</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37</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96.481</w:t>
            </w:r>
          </w:p>
        </w:tc>
        <w:tc>
          <w:tcPr>
            <w:tcW w:w="864"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34,6</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54.648</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19,6</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24.620</w:t>
            </w:r>
          </w:p>
        </w:tc>
        <w:tc>
          <w:tcPr>
            <w:tcW w:w="865" w:type="dxa"/>
            <w:tcBorders>
              <w:top w:val="single" w:sz="4" w:space="0" w:color="auto"/>
              <w:left w:val="single" w:sz="4" w:space="0" w:color="auto"/>
              <w:bottom w:val="single" w:sz="4" w:space="0" w:color="auto"/>
              <w:right w:val="single" w:sz="4" w:space="0" w:color="auto"/>
            </w:tcBorders>
            <w:hideMark/>
          </w:tcPr>
          <w:p w:rsidR="000D483F" w:rsidRDefault="000D483F">
            <w:pPr>
              <w:jc w:val="right"/>
              <w:rPr>
                <w:rFonts w:ascii="Times New Roman" w:hAnsi="Times New Roman"/>
                <w:sz w:val="16"/>
                <w:szCs w:val="16"/>
                <w:lang w:val="es-ES"/>
              </w:rPr>
            </w:pPr>
            <w:r>
              <w:rPr>
                <w:rFonts w:ascii="Times New Roman" w:hAnsi="Times New Roman"/>
                <w:sz w:val="16"/>
                <w:szCs w:val="16"/>
                <w:lang w:val="es-ES"/>
              </w:rPr>
              <w:t>8,8</w:t>
            </w:r>
          </w:p>
        </w:tc>
      </w:tr>
    </w:tbl>
    <w:p w:rsidR="000D483F" w:rsidRDefault="000D483F" w:rsidP="000D483F">
      <w:pPr>
        <w:rPr>
          <w:rFonts w:ascii="Times New Roman" w:hAnsi="Times New Roman"/>
          <w:sz w:val="16"/>
          <w:szCs w:val="16"/>
          <w:lang w:val="es-ES"/>
        </w:rPr>
      </w:pPr>
      <w:r>
        <w:rPr>
          <w:rFonts w:ascii="Times New Roman" w:hAnsi="Times New Roman"/>
          <w:sz w:val="16"/>
          <w:szCs w:val="16"/>
          <w:lang w:val="es-ES"/>
        </w:rPr>
        <w:t>Cuadro 3.- Elecciones sindicales</w:t>
      </w:r>
    </w:p>
    <w:p w:rsidR="000D483F" w:rsidRDefault="000D483F" w:rsidP="00421062">
      <w:pPr>
        <w:rPr>
          <w:rFonts w:ascii="Times New Roman" w:hAnsi="Times New Roman"/>
          <w:sz w:val="16"/>
          <w:szCs w:val="16"/>
          <w:lang w:val="es-ES"/>
        </w:rPr>
      </w:pPr>
      <w:r>
        <w:rPr>
          <w:rFonts w:ascii="Times New Roman" w:hAnsi="Times New Roman"/>
          <w:sz w:val="16"/>
          <w:szCs w:val="16"/>
          <w:lang w:val="es-ES"/>
        </w:rPr>
        <w:t>Fuente: Alós y otros (2014)</w:t>
      </w:r>
    </w:p>
    <w:p w:rsidR="00421062" w:rsidRPr="00421062" w:rsidRDefault="00421062" w:rsidP="00421062">
      <w:pPr>
        <w:rPr>
          <w:rStyle w:val="hps"/>
          <w:rFonts w:ascii="Times New Roman" w:hAnsi="Times New Roman"/>
          <w:sz w:val="16"/>
          <w:szCs w:val="16"/>
          <w:lang w:val="es-ES"/>
        </w:rPr>
      </w:pPr>
    </w:p>
    <w:p w:rsidR="000D483F" w:rsidRPr="00ED1C4A" w:rsidRDefault="000D483F" w:rsidP="000D483F">
      <w:pPr>
        <w:ind w:firstLine="708"/>
        <w:rPr>
          <w:rStyle w:val="hps"/>
          <w:rFonts w:ascii="Times New Roman" w:hAnsi="Times New Roman"/>
          <w:lang w:val="es-ES"/>
        </w:rPr>
      </w:pPr>
      <w:r w:rsidRPr="00ED1C4A">
        <w:rPr>
          <w:rStyle w:val="hps"/>
          <w:rFonts w:ascii="Times New Roman" w:hAnsi="Times New Roman"/>
          <w:lang w:val="es-ES"/>
        </w:rPr>
        <w:t>La afiliación a CC.OO. y UGT es, pues, débil mientras que su audiencia electoral es alta. En tanto que la intervención en el dominio de la negociación está relacionada con derechos que derivan de la audiencia electoral, los dos sindicatos tienen reconocido un importante protagonismo que no siempre pueden ejercer dado que el número de afiliados es bajo y, por tanto, el de sindicalistas para mantener el amplio sistema de negociación colectiva y asegurar el cumplimiento de los acuerdos. Esto plantea problemas, sobre todo, fuera del sector público y de las grandes y medianas empresas (H</w:t>
      </w:r>
      <w:r w:rsidR="00ED1C4A" w:rsidRPr="00ED1C4A">
        <w:rPr>
          <w:rStyle w:val="hps"/>
          <w:rFonts w:ascii="Times New Roman" w:hAnsi="Times New Roman"/>
          <w:lang w:val="es-ES"/>
        </w:rPr>
        <w:t>amann y Martínez Lucio, 2003: 68</w:t>
      </w:r>
      <w:r w:rsidRPr="00ED1C4A">
        <w:rPr>
          <w:rStyle w:val="hps"/>
          <w:rFonts w:ascii="Times New Roman" w:hAnsi="Times New Roman"/>
          <w:lang w:val="es-ES"/>
        </w:rPr>
        <w:t>). Por otro lado, esta intervención se ha visto facilitado porque ambos sindicatos han adoptado la “unidad de acción” como uno de los ejes de sus respectivas estrategias desde 1988.</w:t>
      </w:r>
    </w:p>
    <w:p w:rsidR="000D483F" w:rsidRDefault="000D483F" w:rsidP="000D483F">
      <w:pPr>
        <w:rPr>
          <w:rStyle w:val="hps"/>
          <w:lang w:val="es-ES"/>
        </w:rPr>
      </w:pPr>
    </w:p>
    <w:p w:rsidR="000D483F" w:rsidRPr="000D483F" w:rsidRDefault="000D483F" w:rsidP="000D483F">
      <w:pPr>
        <w:ind w:left="390"/>
        <w:rPr>
          <w:rFonts w:ascii="Times New Roman" w:hAnsi="Times New Roman"/>
          <w:b/>
          <w:lang w:val="es-ES"/>
        </w:rPr>
      </w:pPr>
      <w:r>
        <w:rPr>
          <w:rFonts w:ascii="Times New Roman" w:hAnsi="Times New Roman"/>
          <w:b/>
          <w:lang w:val="es-ES"/>
        </w:rPr>
        <w:t>Un poder institucional fuerte (en la negociación colectiva) pero que se erosiona</w:t>
      </w:r>
    </w:p>
    <w:p w:rsidR="000D483F" w:rsidRDefault="000D483F" w:rsidP="000D483F">
      <w:pPr>
        <w:ind w:left="0"/>
        <w:rPr>
          <w:rFonts w:ascii="Times New Roman" w:hAnsi="Times New Roman"/>
          <w:lang w:val="es-ES"/>
        </w:rPr>
      </w:pPr>
    </w:p>
    <w:p w:rsidR="000D483F" w:rsidRDefault="000D483F" w:rsidP="00905BBD">
      <w:pPr>
        <w:ind w:firstLine="708"/>
        <w:rPr>
          <w:rFonts w:ascii="Times New Roman" w:hAnsi="Times New Roman"/>
          <w:lang w:val="es-ES"/>
        </w:rPr>
      </w:pPr>
      <w:r>
        <w:rPr>
          <w:rFonts w:ascii="Times New Roman" w:hAnsi="Times New Roman"/>
          <w:lang w:val="es-ES"/>
        </w:rPr>
        <w:t>La negociación colectiva constituye uno de los dominios institucionales centrales de las relaciones laborales. En España, está reconocida como derecho constitucional. Su práctica está regulada legalmente en el Estatuto de los Trabajadores atendiendo a la recomendación constitucional de que garantice la fuerza vinculante de los convenios. Su articulació</w:t>
      </w:r>
      <w:r w:rsidR="00FA3869">
        <w:rPr>
          <w:rFonts w:ascii="Times New Roman" w:hAnsi="Times New Roman"/>
          <w:lang w:val="es-ES"/>
        </w:rPr>
        <w:t>n legal asegura originariamente</w:t>
      </w:r>
      <w:r w:rsidR="00905BBD">
        <w:rPr>
          <w:rFonts w:ascii="Times New Roman" w:hAnsi="Times New Roman"/>
          <w:lang w:val="es-ES"/>
        </w:rPr>
        <w:t xml:space="preserve"> </w:t>
      </w:r>
      <w:r>
        <w:rPr>
          <w:rFonts w:ascii="Times New Roman" w:hAnsi="Times New Roman"/>
          <w:lang w:val="es-ES"/>
        </w:rPr>
        <w:t>la aplicación obligatoria de las condiciones pactad</w:t>
      </w:r>
      <w:r w:rsidR="00905BBD">
        <w:rPr>
          <w:rFonts w:ascii="Times New Roman" w:hAnsi="Times New Roman"/>
          <w:lang w:val="es-ES"/>
        </w:rPr>
        <w:t xml:space="preserve">as en los convenios colectivos a los contratos individuales (el carácter normativo); la </w:t>
      </w:r>
      <w:r>
        <w:rPr>
          <w:rFonts w:ascii="Times New Roman" w:hAnsi="Times New Roman"/>
          <w:lang w:val="es-ES"/>
        </w:rPr>
        <w:t>extensión automática de las clausulas pactadas en todas las empresas y a todos los trabajadores del ámbito funcional del acuerdo</w:t>
      </w:r>
      <w:r w:rsidR="00905BBD">
        <w:rPr>
          <w:rFonts w:ascii="Times New Roman" w:hAnsi="Times New Roman"/>
          <w:lang w:val="es-ES"/>
        </w:rPr>
        <w:t xml:space="preserve"> (la eficacia general); y la</w:t>
      </w:r>
      <w:r>
        <w:rPr>
          <w:rFonts w:ascii="Times New Roman" w:hAnsi="Times New Roman"/>
          <w:lang w:val="es-ES"/>
        </w:rPr>
        <w:t xml:space="preserve"> prórroga automática del contenido normativo del convenio una vez finalizado su plazo de vigencia si no se renueva</w:t>
      </w:r>
      <w:r w:rsidR="00905BBD">
        <w:rPr>
          <w:rFonts w:ascii="Times New Roman" w:hAnsi="Times New Roman"/>
          <w:lang w:val="es-ES"/>
        </w:rPr>
        <w:t xml:space="preserve"> (la ultraactividad)</w:t>
      </w:r>
      <w:r>
        <w:rPr>
          <w:rFonts w:ascii="Times New Roman" w:hAnsi="Times New Roman"/>
          <w:lang w:val="es-ES"/>
        </w:rPr>
        <w:t>. Así, se garantiza unas condiciones mínimas, también, que no pueden ser modificadas unilateralmente, mediante una serie de normas legales que configuran un entorno institucional y que constituyen recursos que los sindicatos disponen y utilizan.</w:t>
      </w:r>
    </w:p>
    <w:p w:rsidR="000D483F" w:rsidRDefault="000D483F" w:rsidP="00905BBD">
      <w:pPr>
        <w:ind w:firstLine="708"/>
        <w:rPr>
          <w:rFonts w:ascii="Times New Roman" w:hAnsi="Times New Roman"/>
          <w:lang w:val="es-ES"/>
        </w:rPr>
      </w:pPr>
      <w:r>
        <w:rPr>
          <w:rFonts w:ascii="Times New Roman" w:hAnsi="Times New Roman"/>
          <w:lang w:val="es-ES"/>
        </w:rPr>
        <w:t>Desde la aprobación del Estatuto de los Trabajadores en 1980, gobiernos de distinta orientación política han llevado a cabo diferentes reformas laborales que han afectado a</w:t>
      </w:r>
      <w:r w:rsidR="00905BBD">
        <w:rPr>
          <w:rFonts w:ascii="Times New Roman" w:hAnsi="Times New Roman"/>
          <w:lang w:val="es-ES"/>
        </w:rPr>
        <w:t xml:space="preserve"> las garantías con las que contaban los acuerdos de </w:t>
      </w:r>
      <w:r>
        <w:rPr>
          <w:rFonts w:ascii="Times New Roman" w:hAnsi="Times New Roman"/>
          <w:lang w:val="es-ES"/>
        </w:rPr>
        <w:t>la negociación colectiva. En 1994 con motivo de la crisis de esos años, se impuso la obligación de que los convenios recogiesen las condiciones en las que las empresas con dificultades económicas podían “descolgarse” de la aplicación de las condiciones salaria</w:t>
      </w:r>
      <w:r w:rsidR="00AC5A63">
        <w:rPr>
          <w:rFonts w:ascii="Times New Roman" w:hAnsi="Times New Roman"/>
          <w:lang w:val="es-ES"/>
        </w:rPr>
        <w:t>les pactadas. Asimismo, se abrió</w:t>
      </w:r>
      <w:r>
        <w:rPr>
          <w:rFonts w:ascii="Times New Roman" w:hAnsi="Times New Roman"/>
          <w:lang w:val="es-ES"/>
        </w:rPr>
        <w:t xml:space="preserve"> la posibilidad de reorganizar en la empresa acuerdos o convenios de ámbito superior en materias de ordenación del tiempo de trabajo u organización </w:t>
      </w:r>
      <w:r w:rsidR="00AC5A63">
        <w:rPr>
          <w:rFonts w:ascii="Times New Roman" w:hAnsi="Times New Roman"/>
          <w:lang w:val="es-ES"/>
        </w:rPr>
        <w:t>del trabajo. Esto ha permitido</w:t>
      </w:r>
      <w:r>
        <w:rPr>
          <w:rFonts w:ascii="Times New Roman" w:hAnsi="Times New Roman"/>
          <w:lang w:val="es-ES"/>
        </w:rPr>
        <w:t xml:space="preserve"> la erosión de la eficacia general de los convenios colectivos de sector en determinadas circunstancias y por tanto, </w:t>
      </w:r>
      <w:r w:rsidR="00AC5A63">
        <w:rPr>
          <w:rFonts w:ascii="Times New Roman" w:hAnsi="Times New Roman"/>
          <w:lang w:val="es-ES"/>
        </w:rPr>
        <w:t>ha reducido</w:t>
      </w:r>
      <w:r>
        <w:rPr>
          <w:rFonts w:ascii="Times New Roman" w:hAnsi="Times New Roman"/>
          <w:lang w:val="es-ES"/>
        </w:rPr>
        <w:t xml:space="preserve"> los recursos basados en la regulación legal.</w:t>
      </w:r>
    </w:p>
    <w:p w:rsidR="000D483F" w:rsidRDefault="000D483F" w:rsidP="0041757C">
      <w:pPr>
        <w:ind w:firstLine="708"/>
        <w:rPr>
          <w:rFonts w:ascii="Times New Roman" w:hAnsi="Times New Roman"/>
          <w:lang w:val="es-ES"/>
        </w:rPr>
      </w:pPr>
      <w:r>
        <w:rPr>
          <w:rFonts w:ascii="Times New Roman" w:hAnsi="Times New Roman"/>
          <w:lang w:val="es-ES"/>
        </w:rPr>
        <w:t xml:space="preserve">A partir de la crisis económica de 2008, nuevamente, distintos gobiernos han realizado reformas. Especialmente, la de 2012 ha ahondado alguna de las tendencias aprobada en aquel año, facilitando la posibilidad de “descolgarse” de los convenios sectoriales en determinadas materias. Esto posibilita continuar socavando el recurso de la eficacia general y el poder sindical de carácter institucional. También, han limitado la ultractividad en el tiempo (a un periodo inferior a 18 meses), otro de los recursos de la </w:t>
      </w:r>
      <w:r>
        <w:rPr>
          <w:rFonts w:ascii="Times New Roman" w:hAnsi="Times New Roman"/>
          <w:lang w:val="es-ES"/>
        </w:rPr>
        <w:lastRenderedPageBreak/>
        <w:t>negociación colectiva, si bien una sentencia del Tribunal Supremo de enero de 2015</w:t>
      </w:r>
      <w:r w:rsidR="0041757C">
        <w:rPr>
          <w:rFonts w:ascii="Times New Roman" w:hAnsi="Times New Roman"/>
          <w:lang w:val="es-ES"/>
        </w:rPr>
        <w:t>, a instancias de una demanda de los sindicatos,</w:t>
      </w:r>
      <w:r>
        <w:rPr>
          <w:rFonts w:ascii="Times New Roman" w:hAnsi="Times New Roman"/>
          <w:lang w:val="es-ES"/>
        </w:rPr>
        <w:t xml:space="preserve"> ha declarado esta me</w:t>
      </w:r>
      <w:r w:rsidR="0041757C">
        <w:rPr>
          <w:rFonts w:ascii="Times New Roman" w:hAnsi="Times New Roman"/>
          <w:lang w:val="es-ES"/>
        </w:rPr>
        <w:t>dida como inconstitucional. La limitación de la ultraactividad</w:t>
      </w:r>
      <w:r>
        <w:rPr>
          <w:rFonts w:ascii="Times New Roman" w:hAnsi="Times New Roman"/>
          <w:lang w:val="es-ES"/>
        </w:rPr>
        <w:t xml:space="preserve"> ha permitido a la parte no interesada en su mantenimiento, las patronales, dilatar en el tiempo su renovación con el fin de rebajar las demandas de la otra parte, los sindicatos. </w:t>
      </w:r>
    </w:p>
    <w:p w:rsidR="000D483F" w:rsidRDefault="000D483F" w:rsidP="000D483F">
      <w:pPr>
        <w:ind w:firstLine="708"/>
        <w:rPr>
          <w:rFonts w:ascii="Times New Roman" w:hAnsi="Times New Roman"/>
          <w:lang w:val="es-ES"/>
        </w:rPr>
      </w:pPr>
      <w:r>
        <w:rPr>
          <w:rFonts w:ascii="Times New Roman" w:hAnsi="Times New Roman"/>
          <w:lang w:val="es-ES"/>
        </w:rPr>
        <w:t xml:space="preserve">Al mismo tiempo, los actores sociales han promovido diversas iniciativas orientadas, primero, a profundizar líneas o abrir nuevas – la “ampliación temática” </w:t>
      </w:r>
      <w:r w:rsidR="007B4AAD">
        <w:rPr>
          <w:rFonts w:ascii="Times New Roman" w:hAnsi="Times New Roman"/>
          <w:lang w:val="es-ES"/>
        </w:rPr>
        <w:t xml:space="preserve">(Rigby, </w:t>
      </w:r>
      <w:r w:rsidR="001E493A">
        <w:rPr>
          <w:rFonts w:ascii="Times New Roman" w:hAnsi="Times New Roman"/>
          <w:lang w:val="es-ES"/>
        </w:rPr>
        <w:t>1999</w:t>
      </w:r>
      <w:r w:rsidR="007B4AAD">
        <w:rPr>
          <w:rFonts w:ascii="Times New Roman" w:hAnsi="Times New Roman"/>
          <w:lang w:val="es-ES"/>
        </w:rPr>
        <w:t xml:space="preserve">) </w:t>
      </w:r>
      <w:r>
        <w:rPr>
          <w:rFonts w:ascii="Times New Roman" w:hAnsi="Times New Roman"/>
          <w:lang w:val="es-ES"/>
        </w:rPr>
        <w:t>– o a modificar la articulación de la negociación colectiva y después, desde principios de siglo, a encuadrar la negociación colectiva mediante pactos sociales de ámbito nacional (sin intervención del estado). En el caso de estos últimos, se han firmado acuerdos todos los años desde 2002 a 2008 que</w:t>
      </w:r>
      <w:r w:rsidR="0041757C">
        <w:rPr>
          <w:rFonts w:ascii="Times New Roman" w:hAnsi="Times New Roman"/>
          <w:lang w:val="es-ES"/>
        </w:rPr>
        <w:t xml:space="preserve"> la patro</w:t>
      </w:r>
      <w:r w:rsidR="0041757C" w:rsidRPr="0041757C">
        <w:rPr>
          <w:rFonts w:ascii="Times New Roman" w:hAnsi="Times New Roman"/>
          <w:lang w:val="es-ES"/>
        </w:rPr>
        <w:t>nal</w:t>
      </w:r>
      <w:r w:rsidRPr="0041757C">
        <w:rPr>
          <w:rFonts w:ascii="Times New Roman" w:hAnsi="Times New Roman"/>
          <w:lang w:val="es-ES"/>
        </w:rPr>
        <w:t xml:space="preserve"> abandona</w:t>
      </w:r>
      <w:r w:rsidR="0041757C" w:rsidRPr="0041757C">
        <w:rPr>
          <w:rFonts w:ascii="Times New Roman" w:hAnsi="Times New Roman"/>
          <w:lang w:val="es-ES"/>
        </w:rPr>
        <w:t xml:space="preserve"> e</w:t>
      </w:r>
      <w:r w:rsidR="0041757C">
        <w:rPr>
          <w:rFonts w:ascii="Times New Roman" w:hAnsi="Times New Roman"/>
          <w:lang w:val="es-ES"/>
        </w:rPr>
        <w:t>l marco de la concertación</w:t>
      </w:r>
      <w:r>
        <w:rPr>
          <w:rFonts w:ascii="Times New Roman" w:hAnsi="Times New Roman"/>
          <w:lang w:val="es-ES"/>
        </w:rPr>
        <w:t>. El eje que los recorre es el intercambio de moderación salarial por generación de empleo aunque sus recomendaciones afectan a muchas más materias: seguridad y salud laboral, igualdad, estabilidad laboral,… Con posterioridad, se retomaron los acuerdos firmándose el I Acuerdo para el Empleo y la Negociación Colectiva 2010, 2011 y 2012 (I AENC) y el II Acuerdo 2012, 2013 y 2014 (II AENC), que recogía criterios y recomendaciones específicas en materia de flexibilidad interna en salarios, tiempo de trabaj</w:t>
      </w:r>
      <w:r w:rsidRPr="001E493A">
        <w:rPr>
          <w:rFonts w:ascii="Times New Roman" w:hAnsi="Times New Roman"/>
          <w:lang w:val="es-ES"/>
        </w:rPr>
        <w:t xml:space="preserve">o y funciones. </w:t>
      </w:r>
      <w:r>
        <w:rPr>
          <w:rFonts w:ascii="Times New Roman" w:hAnsi="Times New Roman"/>
          <w:lang w:val="es-ES"/>
        </w:rPr>
        <w:t xml:space="preserve">Pocos días después de la firma del II Acuerdo, se aprobó el R.D. 3/2012 de medidas urgentes para la reforma del mercado laboral, que fue más allá de lo previsto en el pacto y afectó a los equilibrios internos del mismo. A pesar de ello, su cumplimiento ha sido exigido y promovido por </w:t>
      </w:r>
      <w:r w:rsidR="006B14AC">
        <w:rPr>
          <w:rFonts w:ascii="Times New Roman" w:hAnsi="Times New Roman"/>
          <w:lang w:val="es-ES"/>
        </w:rPr>
        <w:t xml:space="preserve">los sindicatos y </w:t>
      </w:r>
      <w:r>
        <w:rPr>
          <w:rFonts w:ascii="Times New Roman" w:hAnsi="Times New Roman"/>
          <w:lang w:val="es-ES"/>
        </w:rPr>
        <w:t>las asociaciones</w:t>
      </w:r>
      <w:r w:rsidR="006B14AC">
        <w:rPr>
          <w:rFonts w:ascii="Times New Roman" w:hAnsi="Times New Roman"/>
          <w:lang w:val="es-ES"/>
        </w:rPr>
        <w:t xml:space="preserve"> empresariales </w:t>
      </w:r>
      <w:r>
        <w:rPr>
          <w:rFonts w:ascii="Times New Roman" w:hAnsi="Times New Roman"/>
          <w:lang w:val="es-ES"/>
        </w:rPr>
        <w:t>firmantes (CES, 2015: 357</w:t>
      </w:r>
      <w:r w:rsidRPr="0041757C">
        <w:rPr>
          <w:rFonts w:ascii="Times New Roman" w:hAnsi="Times New Roman"/>
          <w:lang w:val="es-ES"/>
        </w:rPr>
        <w:t>). De este modo, se evidencia, por un lado, que los recursos de matriz legal son su</w:t>
      </w:r>
      <w:r w:rsidR="001E5E31" w:rsidRPr="0041757C">
        <w:rPr>
          <w:rFonts w:ascii="Times New Roman" w:hAnsi="Times New Roman"/>
          <w:lang w:val="es-ES"/>
        </w:rPr>
        <w:t xml:space="preserve">sceptibles de </w:t>
      </w:r>
      <w:r w:rsidRPr="0041757C">
        <w:rPr>
          <w:rFonts w:ascii="Times New Roman" w:hAnsi="Times New Roman"/>
          <w:lang w:val="es-ES"/>
        </w:rPr>
        <w:t>reorientación por la intervención del gobierno; por otr</w:t>
      </w:r>
      <w:r w:rsidR="001E5E31" w:rsidRPr="0041757C">
        <w:rPr>
          <w:rFonts w:ascii="Times New Roman" w:hAnsi="Times New Roman"/>
          <w:lang w:val="es-ES"/>
        </w:rPr>
        <w:t xml:space="preserve">o, que existe la posibilidad de </w:t>
      </w:r>
      <w:r w:rsidRPr="0041757C">
        <w:rPr>
          <w:rFonts w:ascii="Times New Roman" w:hAnsi="Times New Roman"/>
          <w:lang w:val="es-ES"/>
        </w:rPr>
        <w:t>amortiguamiento, en algún grado, de esta reorientación por parte de los actores sociales, especialmente, los sindicatos.</w:t>
      </w:r>
      <w:r>
        <w:rPr>
          <w:rFonts w:ascii="Times New Roman" w:hAnsi="Times New Roman"/>
          <w:lang w:val="es-ES"/>
        </w:rPr>
        <w:t xml:space="preserve"> </w:t>
      </w:r>
    </w:p>
    <w:p w:rsidR="002028A2" w:rsidRDefault="00423A21" w:rsidP="00D50A2B">
      <w:pPr>
        <w:ind w:firstLine="708"/>
        <w:rPr>
          <w:rFonts w:ascii="Times New Roman" w:hAnsi="Times New Roman"/>
          <w:lang w:val="es-ES"/>
        </w:rPr>
      </w:pPr>
      <w:r>
        <w:rPr>
          <w:rFonts w:ascii="Times New Roman" w:hAnsi="Times New Roman"/>
          <w:lang w:val="es-ES"/>
        </w:rPr>
        <w:t xml:space="preserve">La evolución del </w:t>
      </w:r>
      <w:r w:rsidR="004A2CE5">
        <w:rPr>
          <w:rFonts w:ascii="Times New Roman" w:hAnsi="Times New Roman"/>
          <w:lang w:val="es-ES"/>
        </w:rPr>
        <w:t xml:space="preserve">número de convenios y </w:t>
      </w:r>
      <w:r w:rsidR="00AA7871">
        <w:rPr>
          <w:rFonts w:ascii="Times New Roman" w:hAnsi="Times New Roman"/>
          <w:lang w:val="es-ES"/>
        </w:rPr>
        <w:t>de trabajadores afectados</w:t>
      </w:r>
      <w:r w:rsidR="00006D70">
        <w:rPr>
          <w:rFonts w:ascii="Times New Roman" w:hAnsi="Times New Roman"/>
          <w:lang w:val="es-ES"/>
        </w:rPr>
        <w:t xml:space="preserve"> (</w:t>
      </w:r>
      <w:r w:rsidR="002E5DDB">
        <w:rPr>
          <w:rFonts w:ascii="Times New Roman" w:hAnsi="Times New Roman"/>
          <w:lang w:val="es-ES"/>
        </w:rPr>
        <w:t>“cubiertos”</w:t>
      </w:r>
      <w:r w:rsidR="00006D70">
        <w:rPr>
          <w:rFonts w:ascii="Times New Roman" w:hAnsi="Times New Roman"/>
          <w:lang w:val="es-ES"/>
        </w:rPr>
        <w:t>)</w:t>
      </w:r>
      <w:r w:rsidR="00AA7871">
        <w:rPr>
          <w:rFonts w:ascii="Times New Roman" w:hAnsi="Times New Roman"/>
          <w:lang w:val="es-ES"/>
        </w:rPr>
        <w:t xml:space="preserve"> por los mismos</w:t>
      </w:r>
      <w:r w:rsidR="002E5DDB">
        <w:rPr>
          <w:rFonts w:ascii="Times New Roman" w:hAnsi="Times New Roman"/>
          <w:lang w:val="es-ES"/>
        </w:rPr>
        <w:t xml:space="preserve"> suministra</w:t>
      </w:r>
      <w:r w:rsidR="00192319">
        <w:rPr>
          <w:rFonts w:ascii="Times New Roman" w:hAnsi="Times New Roman"/>
          <w:lang w:val="es-ES"/>
        </w:rPr>
        <w:t xml:space="preserve"> información sobre la dinámica de la negociación y sobre su eficacia nominal. </w:t>
      </w:r>
      <w:r w:rsidR="004B142A">
        <w:rPr>
          <w:rFonts w:ascii="Times New Roman" w:hAnsi="Times New Roman"/>
          <w:lang w:val="es-ES"/>
        </w:rPr>
        <w:t>La de las</w:t>
      </w:r>
      <w:r w:rsidR="002028A2">
        <w:rPr>
          <w:rFonts w:ascii="Times New Roman" w:hAnsi="Times New Roman"/>
          <w:lang w:val="es-ES"/>
        </w:rPr>
        <w:t xml:space="preserve"> </w:t>
      </w:r>
      <w:r w:rsidR="001E5E31">
        <w:rPr>
          <w:rFonts w:ascii="Times New Roman" w:hAnsi="Times New Roman"/>
          <w:lang w:val="es-ES"/>
        </w:rPr>
        <w:t>cláusulas abiertas/ flexibles</w:t>
      </w:r>
      <w:r w:rsidR="004B142A">
        <w:rPr>
          <w:rFonts w:ascii="Times New Roman" w:hAnsi="Times New Roman"/>
          <w:lang w:val="es-ES"/>
        </w:rPr>
        <w:t xml:space="preserve"> introducidas</w:t>
      </w:r>
      <w:r w:rsidR="001E5E31">
        <w:rPr>
          <w:rFonts w:ascii="Times New Roman" w:hAnsi="Times New Roman"/>
          <w:lang w:val="es-ES"/>
        </w:rPr>
        <w:t xml:space="preserve"> en los</w:t>
      </w:r>
      <w:r w:rsidR="00D50A2B">
        <w:rPr>
          <w:rFonts w:ascii="Times New Roman" w:hAnsi="Times New Roman"/>
          <w:lang w:val="es-ES"/>
        </w:rPr>
        <w:t xml:space="preserve"> convenios </w:t>
      </w:r>
      <w:r w:rsidR="001E5E31">
        <w:rPr>
          <w:rFonts w:ascii="Times New Roman" w:hAnsi="Times New Roman"/>
          <w:lang w:val="es-ES"/>
        </w:rPr>
        <w:t>de ámbito superior al de empresa</w:t>
      </w:r>
      <w:r w:rsidR="00D50A2B">
        <w:rPr>
          <w:rFonts w:ascii="Times New Roman" w:hAnsi="Times New Roman"/>
          <w:lang w:val="es-ES"/>
        </w:rPr>
        <w:t>, como las relativas a la ordenación del tiempo de trabajo,</w:t>
      </w:r>
      <w:r w:rsidR="001E5E31">
        <w:rPr>
          <w:rFonts w:ascii="Times New Roman" w:hAnsi="Times New Roman"/>
          <w:lang w:val="es-ES"/>
        </w:rPr>
        <w:t xml:space="preserve"> matiza esta eficacia y</w:t>
      </w:r>
      <w:r w:rsidR="00D50A2B">
        <w:rPr>
          <w:rFonts w:ascii="Times New Roman" w:hAnsi="Times New Roman"/>
          <w:lang w:val="es-ES"/>
        </w:rPr>
        <w:t xml:space="preserve"> </w:t>
      </w:r>
      <w:r w:rsidR="001E5E31">
        <w:rPr>
          <w:rFonts w:ascii="Times New Roman" w:hAnsi="Times New Roman"/>
          <w:lang w:val="es-ES"/>
        </w:rPr>
        <w:t xml:space="preserve">apunta como se estructura la regulación convencional. </w:t>
      </w:r>
    </w:p>
    <w:p w:rsidR="000D483F" w:rsidRDefault="00912AB2" w:rsidP="00BA6773">
      <w:pPr>
        <w:ind w:firstLine="708"/>
        <w:rPr>
          <w:rFonts w:ascii="Times New Roman" w:hAnsi="Times New Roman"/>
          <w:lang w:val="es-ES"/>
        </w:rPr>
      </w:pPr>
      <w:r>
        <w:rPr>
          <w:rFonts w:ascii="Times New Roman" w:hAnsi="Times New Roman"/>
          <w:lang w:val="es-ES"/>
        </w:rPr>
        <w:t>En lo que se refiere a</w:t>
      </w:r>
      <w:r w:rsidR="00D50A2B">
        <w:rPr>
          <w:rFonts w:ascii="Times New Roman" w:hAnsi="Times New Roman"/>
          <w:lang w:val="es-ES"/>
        </w:rPr>
        <w:t>l número de convenios</w:t>
      </w:r>
      <w:r>
        <w:rPr>
          <w:rFonts w:ascii="Times New Roman" w:hAnsi="Times New Roman"/>
          <w:lang w:val="es-ES"/>
        </w:rPr>
        <w:t>, ha aumentado relativamente cuando la economía crece, desde principios de siglo hasta 2008, año de inicio de la crisis, y ha disminuido, también, relativame</w:t>
      </w:r>
      <w:r w:rsidR="00934424">
        <w:rPr>
          <w:rFonts w:ascii="Times New Roman" w:hAnsi="Times New Roman"/>
          <w:lang w:val="es-ES"/>
        </w:rPr>
        <w:t>nte, cuando se contrae, después</w:t>
      </w:r>
      <w:r w:rsidR="00660035">
        <w:rPr>
          <w:rFonts w:ascii="Times New Roman" w:hAnsi="Times New Roman"/>
          <w:lang w:val="es-ES"/>
        </w:rPr>
        <w:t>.</w:t>
      </w:r>
      <w:r>
        <w:rPr>
          <w:rFonts w:ascii="Times New Roman" w:hAnsi="Times New Roman"/>
          <w:lang w:val="es-ES"/>
        </w:rPr>
        <w:t xml:space="preserve"> </w:t>
      </w:r>
      <w:r w:rsidR="002E5DDB">
        <w:rPr>
          <w:rFonts w:ascii="Times New Roman" w:hAnsi="Times New Roman"/>
          <w:lang w:val="es-ES"/>
        </w:rPr>
        <w:t>En cuanto a los trabajadores afectados por los convenios</w:t>
      </w:r>
      <w:r w:rsidR="00934424">
        <w:rPr>
          <w:rFonts w:ascii="Times New Roman" w:hAnsi="Times New Roman"/>
          <w:lang w:val="es-ES"/>
        </w:rPr>
        <w:t>, la cobertura ha sido elevada, sobre todo, por los de ámbito superior al de empresa</w:t>
      </w:r>
      <w:r w:rsidR="00934424" w:rsidRPr="001E493A">
        <w:rPr>
          <w:rFonts w:ascii="Times New Roman" w:hAnsi="Times New Roman"/>
          <w:lang w:val="es-ES"/>
        </w:rPr>
        <w:t xml:space="preserve"> </w:t>
      </w:r>
      <w:r w:rsidR="004060C9" w:rsidRPr="001E493A">
        <w:rPr>
          <w:rFonts w:ascii="Times New Roman" w:hAnsi="Times New Roman"/>
          <w:lang w:val="es-ES"/>
        </w:rPr>
        <w:t>(Cuadro 4</w:t>
      </w:r>
      <w:r w:rsidR="00006D70" w:rsidRPr="001E493A">
        <w:rPr>
          <w:rFonts w:ascii="Times New Roman" w:hAnsi="Times New Roman"/>
          <w:lang w:val="es-ES"/>
        </w:rPr>
        <w:t>)</w:t>
      </w:r>
      <w:r w:rsidR="000D483F" w:rsidRPr="001E493A">
        <w:rPr>
          <w:rFonts w:ascii="Times New Roman" w:hAnsi="Times New Roman"/>
          <w:lang w:val="es-ES"/>
        </w:rPr>
        <w:t xml:space="preserve">. La </w:t>
      </w:r>
      <w:r w:rsidR="000D483F">
        <w:rPr>
          <w:rFonts w:ascii="Times New Roman" w:hAnsi="Times New Roman"/>
          <w:lang w:val="es-ES"/>
        </w:rPr>
        <w:t>tasa de cobertura (porcentaje de asalariados incluidos en los convenios en relación al porcentaje de asalariados estimados por la EPA) aumentaría si se descontaran los funcionarios computados por la EPA ya que sus condiciones salariales y laborales no se fijan mediante la negociación colecti</w:t>
      </w:r>
      <w:r w:rsidR="00D50A2B">
        <w:rPr>
          <w:rFonts w:ascii="Times New Roman" w:hAnsi="Times New Roman"/>
          <w:lang w:val="es-ES"/>
        </w:rPr>
        <w:t>va. Por otro lado, hay que señal</w:t>
      </w:r>
      <w:r w:rsidR="000D483F">
        <w:rPr>
          <w:rFonts w:ascii="Times New Roman" w:hAnsi="Times New Roman"/>
          <w:lang w:val="es-ES"/>
        </w:rPr>
        <w:t>ar que los cambios metodológicos en la EPA a partir de 2002 comportan una reponderación al alza de los asalariados estimados lo que se refleja a partir de 2003 y contribuye a explicar que las tasas de cobertura disminuyen con respecto a años anteriores a pesar de que crecen significativamente el número de asalariados cubiertos.</w:t>
      </w:r>
    </w:p>
    <w:p w:rsidR="000D483F" w:rsidRDefault="000D483F" w:rsidP="000D483F">
      <w:pPr>
        <w:ind w:firstLine="1026"/>
        <w:rPr>
          <w:rFonts w:ascii="Times New Roman" w:hAnsi="Times New Roman"/>
          <w:lang w:val="es-ES"/>
        </w:rPr>
      </w:pPr>
    </w:p>
    <w:p w:rsidR="000D483F" w:rsidRDefault="000D483F" w:rsidP="00BA6773">
      <w:pPr>
        <w:ind w:left="0"/>
        <w:rPr>
          <w:rFonts w:ascii="Times New Roman" w:hAnsi="Times New Roman"/>
          <w:lang w:val="es-ES"/>
        </w:rPr>
      </w:pPr>
    </w:p>
    <w:p w:rsidR="001E493A" w:rsidRDefault="001E493A" w:rsidP="00BA6773">
      <w:pPr>
        <w:ind w:left="0"/>
        <w:rPr>
          <w:rFonts w:ascii="Times New Roman" w:hAnsi="Times New Roman"/>
          <w:lang w:val="es-ES"/>
        </w:rPr>
      </w:pPr>
    </w:p>
    <w:p w:rsidR="001E493A" w:rsidRDefault="001E493A" w:rsidP="00BA6773">
      <w:pPr>
        <w:ind w:left="0"/>
        <w:rPr>
          <w:rFonts w:ascii="Times New Roman" w:hAnsi="Times New Roman"/>
          <w:lang w:val="es-ES"/>
        </w:rPr>
      </w:pPr>
    </w:p>
    <w:p w:rsidR="001E493A" w:rsidRDefault="001E493A" w:rsidP="00BA6773">
      <w:pPr>
        <w:ind w:left="0"/>
        <w:rPr>
          <w:rFonts w:ascii="Times New Roman" w:hAnsi="Times New Roman"/>
          <w:lang w:val="es-ES"/>
        </w:rPr>
      </w:pPr>
    </w:p>
    <w:p w:rsidR="001E493A" w:rsidRDefault="001E493A" w:rsidP="00BA6773">
      <w:pPr>
        <w:ind w:left="0"/>
        <w:rPr>
          <w:rFonts w:ascii="Times New Roman" w:hAnsi="Times New Roman"/>
          <w:lang w:val="es-ES"/>
        </w:rPr>
      </w:pPr>
    </w:p>
    <w:p w:rsidR="001E493A" w:rsidRDefault="001E493A" w:rsidP="00BA6773">
      <w:pPr>
        <w:ind w:left="0"/>
        <w:rPr>
          <w:rFonts w:ascii="Times New Roman" w:hAnsi="Times New Roman"/>
          <w:lang w:val="es-ES"/>
        </w:rPr>
      </w:pPr>
    </w:p>
    <w:p w:rsidR="001E493A" w:rsidRDefault="001E493A" w:rsidP="00BA6773">
      <w:pPr>
        <w:ind w:left="0"/>
        <w:rPr>
          <w:rFonts w:ascii="Times New Roman" w:hAnsi="Times New Roman"/>
          <w:lang w:val="es-ES"/>
        </w:rPr>
      </w:pPr>
    </w:p>
    <w:p w:rsidR="00BA6773" w:rsidRDefault="00BA6773" w:rsidP="00BA6773">
      <w:pPr>
        <w:ind w:left="0"/>
        <w:rPr>
          <w:rFonts w:ascii="Times New Roman" w:hAnsi="Times New Roman"/>
          <w:lang w:val="es-ES"/>
        </w:rPr>
      </w:pPr>
    </w:p>
    <w:tbl>
      <w:tblPr>
        <w:tblStyle w:val="TableGrid"/>
        <w:tblW w:w="8645" w:type="dxa"/>
        <w:tblInd w:w="-318" w:type="dxa"/>
        <w:tblLook w:val="04A0" w:firstRow="1" w:lastRow="0" w:firstColumn="1" w:lastColumn="0" w:noHBand="0" w:noVBand="1"/>
      </w:tblPr>
      <w:tblGrid>
        <w:gridCol w:w="1440"/>
        <w:gridCol w:w="1441"/>
        <w:gridCol w:w="1441"/>
        <w:gridCol w:w="1441"/>
        <w:gridCol w:w="1441"/>
        <w:gridCol w:w="1441"/>
      </w:tblGrid>
      <w:tr w:rsidR="001564A8" w:rsidRPr="00B87AD6" w:rsidTr="001564A8">
        <w:tc>
          <w:tcPr>
            <w:tcW w:w="1440" w:type="dxa"/>
            <w:tcBorders>
              <w:top w:val="single" w:sz="4" w:space="0" w:color="auto"/>
              <w:left w:val="single" w:sz="4" w:space="0" w:color="auto"/>
              <w:bottom w:val="single" w:sz="4" w:space="0" w:color="auto"/>
              <w:right w:val="single" w:sz="4" w:space="0" w:color="auto"/>
            </w:tcBorders>
          </w:tcPr>
          <w:p w:rsidR="001564A8" w:rsidRPr="00785128" w:rsidRDefault="001564A8">
            <w:pP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Nº de convenios</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Trabajadores Afectados</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Tasa de cobertura de los convenios de empresa</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Tasa de cobertura de los convenios ámbito superior</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1564A8" w:rsidP="001564A8">
            <w:pPr>
              <w:jc w:val="center"/>
              <w:rPr>
                <w:rFonts w:ascii="Times New Roman" w:hAnsi="Times New Roman"/>
                <w:sz w:val="16"/>
                <w:szCs w:val="16"/>
                <w:lang w:val="es-ES"/>
              </w:rPr>
            </w:pPr>
            <w:r w:rsidRPr="00785128">
              <w:rPr>
                <w:rFonts w:ascii="Times New Roman" w:hAnsi="Times New Roman"/>
                <w:sz w:val="16"/>
                <w:szCs w:val="16"/>
                <w:lang w:val="es-ES"/>
              </w:rPr>
              <w:t>Distribuciones irregulares de la jornada a lo largo del año</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5252</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9230400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8,8</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66,3</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B06245" w:rsidP="001564A8">
            <w:pPr>
              <w:jc w:val="center"/>
              <w:rPr>
                <w:rFonts w:ascii="Times New Roman" w:hAnsi="Times New Roman"/>
                <w:sz w:val="16"/>
                <w:szCs w:val="16"/>
                <w:lang w:val="es-ES"/>
              </w:rPr>
            </w:pPr>
            <w:r w:rsidRPr="00785128">
              <w:rPr>
                <w:rFonts w:ascii="Times New Roman" w:hAnsi="Times New Roman"/>
                <w:sz w:val="16"/>
                <w:szCs w:val="16"/>
                <w:lang w:val="es-ES"/>
              </w:rPr>
              <w:t>25,0</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2001</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5421</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9496000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8,1</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66,1</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CA44DB" w:rsidP="001564A8">
            <w:pPr>
              <w:jc w:val="center"/>
              <w:rPr>
                <w:rFonts w:ascii="Times New Roman" w:hAnsi="Times New Roman"/>
                <w:sz w:val="16"/>
                <w:szCs w:val="16"/>
                <w:lang w:val="es-ES"/>
              </w:rPr>
            </w:pPr>
            <w:r w:rsidRPr="00785128">
              <w:rPr>
                <w:rFonts w:ascii="Times New Roman" w:hAnsi="Times New Roman"/>
                <w:sz w:val="16"/>
                <w:szCs w:val="16"/>
                <w:lang w:val="es-ES"/>
              </w:rPr>
              <w:t>25,6</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2002</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5462</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9696500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7,8</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66,0</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CA44DB" w:rsidP="001564A8">
            <w:pPr>
              <w:jc w:val="center"/>
              <w:rPr>
                <w:rFonts w:ascii="Times New Roman" w:hAnsi="Times New Roman"/>
                <w:sz w:val="16"/>
                <w:szCs w:val="16"/>
                <w:lang w:val="es-ES"/>
              </w:rPr>
            </w:pPr>
            <w:r w:rsidRPr="00785128">
              <w:rPr>
                <w:rFonts w:ascii="Times New Roman" w:hAnsi="Times New Roman"/>
                <w:sz w:val="16"/>
                <w:szCs w:val="16"/>
                <w:lang w:val="es-ES"/>
              </w:rPr>
              <w:t>25,9</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2003</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5522</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9995000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7,6</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63,1</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4541D7" w:rsidP="001564A8">
            <w:pPr>
              <w:jc w:val="center"/>
              <w:rPr>
                <w:rFonts w:ascii="Times New Roman" w:hAnsi="Times New Roman"/>
                <w:sz w:val="16"/>
                <w:szCs w:val="16"/>
                <w:lang w:val="es-ES"/>
              </w:rPr>
            </w:pPr>
            <w:r w:rsidRPr="00785128">
              <w:rPr>
                <w:rFonts w:ascii="Times New Roman" w:hAnsi="Times New Roman"/>
                <w:sz w:val="16"/>
                <w:szCs w:val="16"/>
                <w:lang w:val="es-ES"/>
              </w:rPr>
              <w:t>25,9</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2004</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5474</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10193500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6,9</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62,3</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4541D7" w:rsidP="001564A8">
            <w:pPr>
              <w:jc w:val="center"/>
              <w:rPr>
                <w:rFonts w:ascii="Times New Roman" w:hAnsi="Times New Roman"/>
                <w:sz w:val="16"/>
                <w:szCs w:val="16"/>
                <w:lang w:val="es-ES"/>
              </w:rPr>
            </w:pPr>
            <w:r w:rsidRPr="00785128">
              <w:rPr>
                <w:rFonts w:ascii="Times New Roman" w:hAnsi="Times New Roman"/>
                <w:sz w:val="16"/>
                <w:szCs w:val="16"/>
                <w:lang w:val="es-ES"/>
              </w:rPr>
              <w:t>27,4</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2005</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5776</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10755700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7,5</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61,9</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785128" w:rsidP="001564A8">
            <w:pPr>
              <w:jc w:val="center"/>
              <w:rPr>
                <w:rFonts w:ascii="Times New Roman" w:hAnsi="Times New Roman"/>
                <w:sz w:val="16"/>
                <w:szCs w:val="16"/>
                <w:lang w:val="es-ES"/>
              </w:rPr>
            </w:pPr>
            <w:r w:rsidRPr="00785128">
              <w:rPr>
                <w:rFonts w:ascii="Times New Roman" w:hAnsi="Times New Roman"/>
                <w:sz w:val="16"/>
                <w:szCs w:val="16"/>
                <w:lang w:val="es-ES"/>
              </w:rPr>
              <w:t>27,1</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2006</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5887</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11119300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7,6</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61,0</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785128" w:rsidP="001564A8">
            <w:pPr>
              <w:jc w:val="center"/>
              <w:rPr>
                <w:rFonts w:ascii="Times New Roman" w:hAnsi="Times New Roman"/>
                <w:sz w:val="16"/>
                <w:szCs w:val="16"/>
                <w:lang w:val="es-ES"/>
              </w:rPr>
            </w:pPr>
            <w:r w:rsidRPr="00785128">
              <w:rPr>
                <w:rFonts w:ascii="Times New Roman" w:hAnsi="Times New Roman"/>
                <w:sz w:val="16"/>
                <w:szCs w:val="16"/>
                <w:lang w:val="es-ES"/>
              </w:rPr>
              <w:t>27,6</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2007</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6016</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11606500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7,5</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61,8</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785128" w:rsidP="001564A8">
            <w:pPr>
              <w:jc w:val="center"/>
              <w:rPr>
                <w:rFonts w:ascii="Times New Roman" w:hAnsi="Times New Roman"/>
                <w:sz w:val="16"/>
                <w:szCs w:val="16"/>
                <w:lang w:val="es-ES"/>
              </w:rPr>
            </w:pPr>
            <w:r w:rsidRPr="00785128">
              <w:rPr>
                <w:rFonts w:ascii="Times New Roman" w:hAnsi="Times New Roman"/>
                <w:sz w:val="16"/>
                <w:szCs w:val="16"/>
                <w:lang w:val="es-ES"/>
              </w:rPr>
              <w:t>29,8</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2008</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5987</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11968100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7,3</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64,5</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B06245" w:rsidP="001564A8">
            <w:pPr>
              <w:jc w:val="center"/>
              <w:rPr>
                <w:rFonts w:ascii="Times New Roman" w:hAnsi="Times New Roman"/>
                <w:sz w:val="16"/>
                <w:szCs w:val="16"/>
                <w:lang w:val="es-ES"/>
              </w:rPr>
            </w:pPr>
            <w:r w:rsidRPr="00785128">
              <w:rPr>
                <w:rFonts w:ascii="Times New Roman" w:hAnsi="Times New Roman"/>
                <w:sz w:val="16"/>
                <w:szCs w:val="16"/>
                <w:lang w:val="es-ES"/>
              </w:rPr>
              <w:t>30,1</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2009</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5689</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11557800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7,1</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66,6</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B06245" w:rsidP="001564A8">
            <w:pPr>
              <w:jc w:val="center"/>
              <w:rPr>
                <w:rFonts w:ascii="Times New Roman" w:hAnsi="Times New Roman"/>
                <w:sz w:val="16"/>
                <w:szCs w:val="16"/>
                <w:lang w:val="es-ES"/>
              </w:rPr>
            </w:pPr>
            <w:r w:rsidRPr="00785128">
              <w:rPr>
                <w:rFonts w:ascii="Times New Roman" w:hAnsi="Times New Roman"/>
                <w:sz w:val="16"/>
                <w:szCs w:val="16"/>
                <w:lang w:val="es-ES"/>
              </w:rPr>
              <w:t>30,4</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2010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5067</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10794300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64,3</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B06245" w:rsidP="001564A8">
            <w:pPr>
              <w:jc w:val="center"/>
              <w:rPr>
                <w:rFonts w:ascii="Times New Roman" w:hAnsi="Times New Roman"/>
                <w:sz w:val="16"/>
                <w:szCs w:val="16"/>
                <w:lang w:val="es-ES"/>
              </w:rPr>
            </w:pPr>
            <w:r w:rsidRPr="00785128">
              <w:rPr>
                <w:rFonts w:ascii="Times New Roman" w:hAnsi="Times New Roman"/>
                <w:sz w:val="16"/>
                <w:szCs w:val="16"/>
                <w:lang w:val="es-ES"/>
              </w:rPr>
              <w:t>34,1</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2011</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4585</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10662800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6,2</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64,4</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B06245" w:rsidP="001564A8">
            <w:pPr>
              <w:jc w:val="center"/>
              <w:rPr>
                <w:rFonts w:ascii="Times New Roman" w:hAnsi="Times New Roman"/>
                <w:sz w:val="16"/>
                <w:szCs w:val="16"/>
                <w:lang w:val="es-ES"/>
              </w:rPr>
            </w:pPr>
            <w:r w:rsidRPr="00785128">
              <w:rPr>
                <w:rFonts w:ascii="Times New Roman" w:hAnsi="Times New Roman"/>
                <w:sz w:val="16"/>
                <w:szCs w:val="16"/>
                <w:lang w:val="es-ES"/>
              </w:rPr>
              <w:t>37,2</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2012</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4376</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10099000</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6,5</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64,4</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785128" w:rsidP="001564A8">
            <w:pPr>
              <w:jc w:val="center"/>
              <w:rPr>
                <w:rFonts w:ascii="Times New Roman" w:hAnsi="Times New Roman"/>
                <w:sz w:val="16"/>
                <w:szCs w:val="16"/>
                <w:lang w:val="es-ES"/>
              </w:rPr>
            </w:pPr>
            <w:r w:rsidRPr="00785128">
              <w:rPr>
                <w:rFonts w:ascii="Times New Roman" w:hAnsi="Times New Roman"/>
                <w:sz w:val="16"/>
                <w:szCs w:val="16"/>
                <w:lang w:val="es-ES"/>
              </w:rPr>
              <w:t>-</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2013</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4589</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10265400</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6,6</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66,3</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785128" w:rsidP="001564A8">
            <w:pPr>
              <w:jc w:val="center"/>
              <w:rPr>
                <w:rFonts w:ascii="Times New Roman" w:hAnsi="Times New Roman"/>
                <w:sz w:val="16"/>
                <w:szCs w:val="16"/>
                <w:lang w:val="es-ES"/>
              </w:rPr>
            </w:pPr>
            <w:r w:rsidRPr="00785128">
              <w:rPr>
                <w:rFonts w:ascii="Times New Roman" w:hAnsi="Times New Roman"/>
                <w:sz w:val="16"/>
                <w:szCs w:val="16"/>
                <w:lang w:val="es-ES"/>
              </w:rPr>
              <w:t>-</w:t>
            </w:r>
          </w:p>
        </w:tc>
      </w:tr>
      <w:tr w:rsidR="001564A8" w:rsidRPr="00785128" w:rsidTr="001564A8">
        <w:tc>
          <w:tcPr>
            <w:tcW w:w="1440" w:type="dxa"/>
            <w:tcBorders>
              <w:top w:val="single" w:sz="4" w:space="0" w:color="auto"/>
              <w:left w:val="single" w:sz="4" w:space="0" w:color="auto"/>
              <w:bottom w:val="single" w:sz="4" w:space="0" w:color="auto"/>
              <w:right w:val="single" w:sz="4" w:space="0" w:color="auto"/>
            </w:tcBorders>
            <w:hideMark/>
          </w:tcPr>
          <w:p w:rsidR="001564A8" w:rsidRPr="00785128" w:rsidRDefault="001564A8">
            <w:pPr>
              <w:rPr>
                <w:rFonts w:ascii="Times New Roman" w:hAnsi="Times New Roman"/>
                <w:sz w:val="16"/>
                <w:szCs w:val="16"/>
                <w:lang w:val="es-ES"/>
              </w:rPr>
            </w:pPr>
            <w:r w:rsidRPr="00785128">
              <w:rPr>
                <w:rFonts w:ascii="Times New Roman" w:hAnsi="Times New Roman"/>
                <w:sz w:val="16"/>
                <w:szCs w:val="16"/>
                <w:lang w:val="es-ES"/>
              </w:rPr>
              <w:t>2014*</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3794</w:t>
            </w:r>
          </w:p>
        </w:tc>
        <w:tc>
          <w:tcPr>
            <w:tcW w:w="1441" w:type="dxa"/>
            <w:tcBorders>
              <w:top w:val="single" w:sz="4" w:space="0" w:color="auto"/>
              <w:left w:val="single" w:sz="4" w:space="0" w:color="auto"/>
              <w:bottom w:val="single" w:sz="4" w:space="0" w:color="auto"/>
              <w:right w:val="single" w:sz="4" w:space="0" w:color="auto"/>
            </w:tcBorders>
            <w:hideMark/>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8122600</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1564A8">
            <w:pPr>
              <w:jc w:val="center"/>
              <w:rPr>
                <w:rFonts w:ascii="Times New Roman" w:hAnsi="Times New Roman"/>
                <w:sz w:val="16"/>
                <w:szCs w:val="16"/>
                <w:lang w:val="es-ES"/>
              </w:rPr>
            </w:pPr>
            <w:r w:rsidRPr="00785128">
              <w:rPr>
                <w:rFonts w:ascii="Times New Roman" w:hAnsi="Times New Roman"/>
                <w:sz w:val="16"/>
                <w:szCs w:val="16"/>
                <w:lang w:val="es-ES"/>
              </w:rPr>
              <w:t>-</w:t>
            </w:r>
          </w:p>
        </w:tc>
        <w:tc>
          <w:tcPr>
            <w:tcW w:w="1441" w:type="dxa"/>
            <w:tcBorders>
              <w:top w:val="single" w:sz="4" w:space="0" w:color="auto"/>
              <w:left w:val="single" w:sz="4" w:space="0" w:color="auto"/>
              <w:bottom w:val="single" w:sz="4" w:space="0" w:color="auto"/>
              <w:right w:val="single" w:sz="4" w:space="0" w:color="auto"/>
            </w:tcBorders>
          </w:tcPr>
          <w:p w:rsidR="001564A8" w:rsidRPr="00785128" w:rsidRDefault="00785128" w:rsidP="001564A8">
            <w:pPr>
              <w:jc w:val="center"/>
              <w:rPr>
                <w:rFonts w:ascii="Times New Roman" w:hAnsi="Times New Roman"/>
                <w:sz w:val="16"/>
                <w:szCs w:val="16"/>
                <w:lang w:val="es-ES"/>
              </w:rPr>
            </w:pPr>
            <w:r w:rsidRPr="00785128">
              <w:rPr>
                <w:rFonts w:ascii="Times New Roman" w:hAnsi="Times New Roman"/>
                <w:sz w:val="16"/>
                <w:szCs w:val="16"/>
                <w:lang w:val="es-ES"/>
              </w:rPr>
              <w:t>-</w:t>
            </w:r>
          </w:p>
        </w:tc>
      </w:tr>
    </w:tbl>
    <w:p w:rsidR="000D483F" w:rsidRPr="00785128" w:rsidRDefault="00DF4A60" w:rsidP="003766CA">
      <w:pPr>
        <w:ind w:left="0"/>
        <w:rPr>
          <w:rFonts w:ascii="Times New Roman" w:hAnsi="Times New Roman"/>
          <w:sz w:val="16"/>
          <w:szCs w:val="16"/>
          <w:lang w:val="es-ES"/>
        </w:rPr>
      </w:pPr>
      <w:r>
        <w:rPr>
          <w:rFonts w:ascii="Times New Roman" w:hAnsi="Times New Roman"/>
          <w:sz w:val="16"/>
          <w:szCs w:val="16"/>
          <w:lang w:val="es-ES"/>
        </w:rPr>
        <w:t>Cuadro 4</w:t>
      </w:r>
      <w:r w:rsidR="000D483F" w:rsidRPr="00785128">
        <w:rPr>
          <w:rFonts w:ascii="Times New Roman" w:hAnsi="Times New Roman"/>
          <w:sz w:val="16"/>
          <w:szCs w:val="16"/>
          <w:lang w:val="es-ES"/>
        </w:rPr>
        <w:t>.- Evolución del número de con</w:t>
      </w:r>
      <w:r w:rsidR="00C1184D">
        <w:rPr>
          <w:rFonts w:ascii="Times New Roman" w:hAnsi="Times New Roman"/>
          <w:sz w:val="16"/>
          <w:szCs w:val="16"/>
          <w:lang w:val="es-ES"/>
        </w:rPr>
        <w:t>venios, trabajadores afectados, tasas de cobertura y distribuciones irregulares de la jornada a lo largo del año en los convenios de ámbito superior al de empresa.</w:t>
      </w:r>
    </w:p>
    <w:p w:rsidR="003766CA" w:rsidRPr="00785128" w:rsidRDefault="003766CA" w:rsidP="003766CA">
      <w:pPr>
        <w:ind w:firstLine="318"/>
        <w:rPr>
          <w:rFonts w:ascii="Times New Roman" w:hAnsi="Times New Roman"/>
          <w:sz w:val="16"/>
          <w:szCs w:val="16"/>
          <w:lang w:val="es-ES"/>
        </w:rPr>
      </w:pPr>
      <w:r w:rsidRPr="00785128">
        <w:rPr>
          <w:rFonts w:ascii="Times New Roman" w:hAnsi="Times New Roman"/>
          <w:sz w:val="16"/>
          <w:szCs w:val="16"/>
          <w:lang w:val="es-ES"/>
        </w:rPr>
        <w:t>Fuente: Anuario de estadísticas del Ministerio de Empleo. Elaboración propia.</w:t>
      </w:r>
    </w:p>
    <w:p w:rsidR="00BA6773" w:rsidRPr="00785128" w:rsidRDefault="006E3504" w:rsidP="00BA6773">
      <w:pPr>
        <w:ind w:firstLine="318"/>
        <w:rPr>
          <w:rFonts w:ascii="Times New Roman" w:hAnsi="Times New Roman"/>
          <w:sz w:val="16"/>
          <w:szCs w:val="16"/>
          <w:lang w:val="es-ES"/>
        </w:rPr>
      </w:pPr>
      <w:r w:rsidRPr="00785128">
        <w:rPr>
          <w:rFonts w:ascii="Times New Roman" w:hAnsi="Times New Roman"/>
          <w:sz w:val="16"/>
          <w:szCs w:val="16"/>
          <w:lang w:val="es-ES"/>
        </w:rPr>
        <w:t>* Cifras provisionales. Por ello, no se calcula la tasa de cobertura.</w:t>
      </w:r>
    </w:p>
    <w:p w:rsidR="00BA6773" w:rsidRPr="00785128" w:rsidRDefault="00BA6773" w:rsidP="00BA6773">
      <w:pPr>
        <w:rPr>
          <w:rFonts w:ascii="Times New Roman" w:hAnsi="Times New Roman"/>
          <w:lang w:val="es-ES"/>
        </w:rPr>
      </w:pPr>
    </w:p>
    <w:p w:rsidR="00BA6773" w:rsidRPr="00BC5F2F" w:rsidRDefault="00BA6773" w:rsidP="00182C49">
      <w:pPr>
        <w:ind w:firstLine="708"/>
        <w:rPr>
          <w:rFonts w:ascii="Times New Roman" w:hAnsi="Times New Roman"/>
          <w:lang w:val="es-ES"/>
        </w:rPr>
      </w:pPr>
      <w:r w:rsidRPr="00785128">
        <w:rPr>
          <w:rFonts w:ascii="Times New Roman" w:hAnsi="Times New Roman"/>
          <w:lang w:val="es-ES"/>
        </w:rPr>
        <w:t>Con respecto a la posibilidad de distribuciones irregulares de la jornada a lo largo del año a partir de una regulación convencional abierta del cómputo d</w:t>
      </w:r>
      <w:r w:rsidR="00B06245" w:rsidRPr="00785128">
        <w:rPr>
          <w:rFonts w:ascii="Times New Roman" w:hAnsi="Times New Roman"/>
          <w:lang w:val="es-ES"/>
        </w:rPr>
        <w:t>e hora anuales se ha ampliado: así, desde 2008, alrededor de la tercera parte</w:t>
      </w:r>
      <w:r w:rsidRPr="00785128">
        <w:rPr>
          <w:rFonts w:ascii="Times New Roman" w:hAnsi="Times New Roman"/>
          <w:lang w:val="es-ES"/>
        </w:rPr>
        <w:t xml:space="preserve"> de los convenios colectivos</w:t>
      </w:r>
      <w:r w:rsidR="00B06245" w:rsidRPr="00785128">
        <w:rPr>
          <w:rFonts w:ascii="Times New Roman" w:hAnsi="Times New Roman"/>
          <w:lang w:val="es-ES"/>
        </w:rPr>
        <w:t xml:space="preserve"> de ámbito superior al de empresa</w:t>
      </w:r>
      <w:r w:rsidRPr="00785128">
        <w:rPr>
          <w:rFonts w:ascii="Times New Roman" w:hAnsi="Times New Roman"/>
          <w:lang w:val="es-ES"/>
        </w:rPr>
        <w:t xml:space="preserve"> contienen cláusulas de distribución irregular de la jornada a lo largo del año; en 2000, solamente la cuarta parte</w:t>
      </w:r>
      <w:r w:rsidR="004060C9">
        <w:rPr>
          <w:rFonts w:ascii="Times New Roman" w:hAnsi="Times New Roman"/>
          <w:lang w:val="es-ES"/>
        </w:rPr>
        <w:t xml:space="preserve"> (Cuadro 4</w:t>
      </w:r>
      <w:r w:rsidR="00182C49" w:rsidRPr="00785128">
        <w:rPr>
          <w:rFonts w:ascii="Times New Roman" w:hAnsi="Times New Roman"/>
          <w:lang w:val="es-ES"/>
        </w:rPr>
        <w:t>)</w:t>
      </w:r>
      <w:r w:rsidRPr="00785128">
        <w:rPr>
          <w:rFonts w:ascii="Times New Roman" w:hAnsi="Times New Roman"/>
          <w:lang w:val="es-ES"/>
        </w:rPr>
        <w:t>. Subyaciendo a estos últimos datos, la “empresarización” de la negociación colectiva</w:t>
      </w:r>
      <w:r>
        <w:rPr>
          <w:rFonts w:ascii="Times New Roman" w:hAnsi="Times New Roman"/>
          <w:lang w:val="es-ES"/>
        </w:rPr>
        <w:t xml:space="preserve"> o mejor, la “desectorialización”, esto es, el mayor peso del ámbito de la empresa en la delimitación del proceso de trabajo en detrimento de otros ámbitos entendiendo este proceso no tanto como un desplazamiento de las relaciones laborales entre empresarios y trabajadores a un nuevo espacio físico sino sobre todo al espacio donde los empresarios tienen más poder </w:t>
      </w:r>
      <w:r>
        <w:rPr>
          <w:rFonts w:ascii="Times New Roman" w:hAnsi="Times New Roman"/>
          <w:color w:val="FF0000"/>
          <w:lang w:val="es-ES"/>
        </w:rPr>
        <w:t>(y los trabajadores menos)</w:t>
      </w:r>
      <w:r>
        <w:rPr>
          <w:rFonts w:ascii="Times New Roman" w:hAnsi="Times New Roman"/>
          <w:lang w:val="es-ES"/>
        </w:rPr>
        <w:t xml:space="preserve">. Se trata de un hecho significativo en relación con la estructuración de </w:t>
      </w:r>
      <w:r w:rsidRPr="00BC5F2F">
        <w:rPr>
          <w:rFonts w:ascii="Times New Roman" w:hAnsi="Times New Roman"/>
          <w:lang w:val="es-ES"/>
        </w:rPr>
        <w:t xml:space="preserve">la negociación colectiva y que afecta al desarrollo de la eficacia general reconfigurándola en perjuicio de los trabajadores. Su origen fue la reforma legal de 1994. A partir de este momento, comienza a reconocerse en la regulación convencional la posibilidad de distribuir irregularmente el tiempo de trabajo a lo largo del año y de modificar lo establecido en los convenios de ámbito superior en el ámbito de la empresa. </w:t>
      </w:r>
    </w:p>
    <w:p w:rsidR="00FA2394" w:rsidRDefault="00182C49" w:rsidP="00182C49">
      <w:pPr>
        <w:ind w:firstLine="708"/>
        <w:rPr>
          <w:rFonts w:ascii="Times New Roman" w:hAnsi="Times New Roman"/>
          <w:lang w:val="es-ES"/>
        </w:rPr>
      </w:pPr>
      <w:r w:rsidRPr="00BC5F2F">
        <w:rPr>
          <w:rFonts w:ascii="Times New Roman" w:hAnsi="Times New Roman"/>
          <w:lang w:val="es-ES"/>
        </w:rPr>
        <w:t xml:space="preserve">En lo que se refiere a la cobertura, conviene precisar que </w:t>
      </w:r>
      <w:r w:rsidR="000D483F" w:rsidRPr="00BC5F2F">
        <w:rPr>
          <w:rFonts w:ascii="Times New Roman" w:hAnsi="Times New Roman"/>
          <w:lang w:val="es-ES"/>
        </w:rPr>
        <w:t xml:space="preserve">resulta de difícil medición </w:t>
      </w:r>
      <w:r w:rsidR="000D483F" w:rsidRPr="00182C49">
        <w:rPr>
          <w:rFonts w:ascii="Times New Roman" w:hAnsi="Times New Roman"/>
          <w:lang w:val="es-ES"/>
        </w:rPr>
        <w:t xml:space="preserve">porque </w:t>
      </w:r>
      <w:r w:rsidR="000D483F">
        <w:rPr>
          <w:rFonts w:ascii="Times New Roman" w:hAnsi="Times New Roman"/>
          <w:lang w:val="es-ES"/>
        </w:rPr>
        <w:t xml:space="preserve">en los convenios sectoriales no siempre se dispone de información suficiente y real por parte de las comisiones negociadoras sobre el número nominal de trabajadores </w:t>
      </w:r>
      <w:r w:rsidR="000D483F" w:rsidRPr="00BC5F2F">
        <w:rPr>
          <w:rFonts w:ascii="Times New Roman" w:hAnsi="Times New Roman"/>
          <w:lang w:val="es-ES"/>
        </w:rPr>
        <w:t xml:space="preserve">cubiertos dándose el caso de que se repite la cifra de trabajadores en sucesivos convenios. En este sentido, las cifras correspondientes a los convenios de empresa son más fidedignas. </w:t>
      </w:r>
      <w:r w:rsidR="00721C39" w:rsidRPr="00BC5F2F">
        <w:rPr>
          <w:rFonts w:ascii="Times New Roman" w:hAnsi="Times New Roman"/>
          <w:lang w:val="es-ES"/>
        </w:rPr>
        <w:t>Más</w:t>
      </w:r>
      <w:r w:rsidR="001874C0" w:rsidRPr="00BC5F2F">
        <w:rPr>
          <w:rFonts w:ascii="Times New Roman" w:hAnsi="Times New Roman"/>
          <w:lang w:val="es-ES"/>
        </w:rPr>
        <w:t xml:space="preserve"> </w:t>
      </w:r>
      <w:r w:rsidR="00721C39" w:rsidRPr="00BC5F2F">
        <w:rPr>
          <w:rFonts w:ascii="Times New Roman" w:hAnsi="Times New Roman"/>
          <w:lang w:val="es-ES"/>
        </w:rPr>
        <w:t>aún,</w:t>
      </w:r>
      <w:r w:rsidR="001874C0" w:rsidRPr="00BC5F2F">
        <w:rPr>
          <w:rFonts w:ascii="Times New Roman" w:hAnsi="Times New Roman"/>
          <w:lang w:val="es-ES"/>
        </w:rPr>
        <w:t xml:space="preserve"> hay que puntualizar que</w:t>
      </w:r>
      <w:r w:rsidR="00721C39" w:rsidRPr="00BC5F2F">
        <w:rPr>
          <w:rFonts w:ascii="Times New Roman" w:hAnsi="Times New Roman"/>
          <w:lang w:val="es-ES"/>
        </w:rPr>
        <w:t xml:space="preserve"> </w:t>
      </w:r>
      <w:r w:rsidR="00EB56E4" w:rsidRPr="00BC5F2F">
        <w:rPr>
          <w:rFonts w:ascii="Times New Roman" w:hAnsi="Times New Roman"/>
          <w:lang w:val="es-ES"/>
        </w:rPr>
        <w:t>la cobertura nominal</w:t>
      </w:r>
      <w:r w:rsidR="00FA2394" w:rsidRPr="00BC5F2F">
        <w:rPr>
          <w:rFonts w:ascii="Times New Roman" w:hAnsi="Times New Roman"/>
          <w:lang w:val="es-ES"/>
        </w:rPr>
        <w:t xml:space="preserve"> no quiere decir que sea </w:t>
      </w:r>
      <w:r w:rsidR="00EB56E4" w:rsidRPr="00BC5F2F">
        <w:rPr>
          <w:rFonts w:ascii="Times New Roman" w:hAnsi="Times New Roman"/>
          <w:lang w:val="es-ES"/>
        </w:rPr>
        <w:t xml:space="preserve">efectiva, </w:t>
      </w:r>
      <w:r w:rsidR="00EB56E4">
        <w:rPr>
          <w:rFonts w:ascii="Times New Roman" w:hAnsi="Times New Roman"/>
          <w:lang w:val="es-ES"/>
        </w:rPr>
        <w:t xml:space="preserve">esto es, que se apliquen a todos los trabajadores afectados, especialmente en ciertas parcelas del tejido productivo español </w:t>
      </w:r>
      <w:r w:rsidR="00721C39">
        <w:rPr>
          <w:rFonts w:ascii="Times New Roman" w:hAnsi="Times New Roman"/>
          <w:lang w:val="es-ES"/>
        </w:rPr>
        <w:t>(Pitxer y Sánchez,</w:t>
      </w:r>
      <w:r w:rsidR="00EB56E4">
        <w:rPr>
          <w:rFonts w:ascii="Times New Roman" w:hAnsi="Times New Roman"/>
          <w:lang w:val="es-ES"/>
        </w:rPr>
        <w:t xml:space="preserve"> 2008: 108).</w:t>
      </w:r>
    </w:p>
    <w:p w:rsidR="00CA44DB" w:rsidRDefault="00EB56E4" w:rsidP="00CA44DB">
      <w:pPr>
        <w:ind w:firstLine="708"/>
        <w:rPr>
          <w:rFonts w:ascii="Times New Roman" w:hAnsi="Times New Roman"/>
          <w:lang w:val="es-ES"/>
        </w:rPr>
      </w:pPr>
      <w:r>
        <w:rPr>
          <w:rFonts w:ascii="Times New Roman" w:hAnsi="Times New Roman"/>
          <w:lang w:val="es-ES"/>
        </w:rPr>
        <w:t xml:space="preserve"> </w:t>
      </w:r>
      <w:r w:rsidR="000D483F" w:rsidRPr="006E3504">
        <w:rPr>
          <w:rFonts w:ascii="Times New Roman" w:hAnsi="Times New Roman"/>
          <w:lang w:val="es-ES"/>
        </w:rPr>
        <w:t>Una vez efectuada</w:t>
      </w:r>
      <w:r w:rsidR="00CF78FF">
        <w:rPr>
          <w:rFonts w:ascii="Times New Roman" w:hAnsi="Times New Roman"/>
          <w:lang w:val="es-ES"/>
        </w:rPr>
        <w:t>s</w:t>
      </w:r>
      <w:r w:rsidR="000D483F" w:rsidRPr="006E3504">
        <w:rPr>
          <w:rFonts w:ascii="Times New Roman" w:hAnsi="Times New Roman"/>
          <w:lang w:val="es-ES"/>
        </w:rPr>
        <w:t xml:space="preserve"> tal</w:t>
      </w:r>
      <w:r w:rsidR="00CF78FF">
        <w:rPr>
          <w:rFonts w:ascii="Times New Roman" w:hAnsi="Times New Roman"/>
          <w:lang w:val="es-ES"/>
        </w:rPr>
        <w:t xml:space="preserve">es </w:t>
      </w:r>
      <w:r w:rsidR="001874C0">
        <w:rPr>
          <w:rFonts w:ascii="Times New Roman" w:hAnsi="Times New Roman"/>
          <w:lang w:val="es-ES"/>
        </w:rPr>
        <w:t>con</w:t>
      </w:r>
      <w:r w:rsidR="00CF78FF">
        <w:rPr>
          <w:rFonts w:ascii="Times New Roman" w:hAnsi="Times New Roman"/>
          <w:lang w:val="es-ES"/>
        </w:rPr>
        <w:t>cisiones</w:t>
      </w:r>
      <w:r w:rsidR="000D483F" w:rsidRPr="006E3504">
        <w:rPr>
          <w:rFonts w:ascii="Times New Roman" w:hAnsi="Times New Roman"/>
          <w:lang w:val="es-ES"/>
        </w:rPr>
        <w:t xml:space="preserve">, y para poder evaluar los efectos de las últimas reformas legales, especialmente, la de 2012, </w:t>
      </w:r>
      <w:r w:rsidR="00CF78FF">
        <w:rPr>
          <w:rFonts w:ascii="Times New Roman" w:hAnsi="Times New Roman"/>
          <w:lang w:val="es-ES"/>
        </w:rPr>
        <w:t xml:space="preserve">se examina más pormenorizadamente las dinámicas convencionales y la cobertura desde 2010 (en que se crea un nuevo registro centralizado de convenios). </w:t>
      </w:r>
      <w:r w:rsidR="006B3D91">
        <w:rPr>
          <w:rFonts w:ascii="Times New Roman" w:hAnsi="Times New Roman"/>
          <w:lang w:val="es-ES"/>
        </w:rPr>
        <w:t>Comparando datos metodológicamente homologables, a partir de</w:t>
      </w:r>
      <w:r w:rsidR="00E53588">
        <w:rPr>
          <w:rFonts w:ascii="Times New Roman" w:hAnsi="Times New Roman"/>
          <w:lang w:val="es-ES"/>
        </w:rPr>
        <w:t xml:space="preserve"> 2010, se observa</w:t>
      </w:r>
      <w:r w:rsidR="0070371C">
        <w:rPr>
          <w:rFonts w:ascii="Times New Roman" w:hAnsi="Times New Roman"/>
          <w:lang w:val="es-ES"/>
        </w:rPr>
        <w:t>, en primer lugar,</w:t>
      </w:r>
      <w:r w:rsidR="00E53588">
        <w:rPr>
          <w:rFonts w:ascii="Times New Roman" w:hAnsi="Times New Roman"/>
          <w:lang w:val="es-ES"/>
        </w:rPr>
        <w:t xml:space="preserve"> una reducción de un 15 % del</w:t>
      </w:r>
      <w:r w:rsidR="00E53CCE">
        <w:rPr>
          <w:rFonts w:ascii="Times New Roman" w:hAnsi="Times New Roman"/>
          <w:lang w:val="es-ES"/>
        </w:rPr>
        <w:t xml:space="preserve"> número total de convenios hasta 2012</w:t>
      </w:r>
      <w:r w:rsidR="0070371C">
        <w:rPr>
          <w:rFonts w:ascii="Times New Roman" w:hAnsi="Times New Roman"/>
          <w:lang w:val="es-ES"/>
        </w:rPr>
        <w:t xml:space="preserve">; en segundo lugar, </w:t>
      </w:r>
      <w:r w:rsidR="00E53588">
        <w:rPr>
          <w:rFonts w:ascii="Times New Roman" w:hAnsi="Times New Roman"/>
          <w:lang w:val="es-ES"/>
        </w:rPr>
        <w:t>que la caída más</w:t>
      </w:r>
      <w:r w:rsidR="000B4D61">
        <w:rPr>
          <w:rFonts w:ascii="Times New Roman" w:hAnsi="Times New Roman"/>
          <w:lang w:val="es-ES"/>
        </w:rPr>
        <w:t xml:space="preserve"> acusada se produce en 2011, un 10 %</w:t>
      </w:r>
      <w:r w:rsidR="00E53CCE">
        <w:rPr>
          <w:rFonts w:ascii="Times New Roman" w:hAnsi="Times New Roman"/>
          <w:lang w:val="es-ES"/>
        </w:rPr>
        <w:t>, tanto en convenios firmados como revisados</w:t>
      </w:r>
      <w:r w:rsidR="008E1B40">
        <w:rPr>
          <w:rFonts w:ascii="Times New Roman" w:hAnsi="Times New Roman"/>
          <w:lang w:val="es-ES"/>
        </w:rPr>
        <w:t>; y en tercer</w:t>
      </w:r>
      <w:r w:rsidR="001874C0">
        <w:rPr>
          <w:rFonts w:ascii="Times New Roman" w:hAnsi="Times New Roman"/>
          <w:lang w:val="es-ES"/>
        </w:rPr>
        <w:t xml:space="preserve"> lugar, un aumento del </w:t>
      </w:r>
      <w:r w:rsidR="001874C0">
        <w:rPr>
          <w:rFonts w:ascii="Times New Roman" w:hAnsi="Times New Roman"/>
          <w:lang w:val="es-ES"/>
        </w:rPr>
        <w:lastRenderedPageBreak/>
        <w:t>número de convenios firmados en 2013, sobre todo, a partir de</w:t>
      </w:r>
      <w:r w:rsidR="008E1B40">
        <w:rPr>
          <w:rFonts w:ascii="Times New Roman" w:hAnsi="Times New Roman"/>
          <w:lang w:val="es-ES"/>
        </w:rPr>
        <w:t>l mes de</w:t>
      </w:r>
      <w:r w:rsidR="001874C0">
        <w:rPr>
          <w:rFonts w:ascii="Times New Roman" w:hAnsi="Times New Roman"/>
          <w:lang w:val="es-ES"/>
        </w:rPr>
        <w:t xml:space="preserve"> julio</w:t>
      </w:r>
      <w:r w:rsidR="00A72120">
        <w:rPr>
          <w:rFonts w:ascii="Times New Roman" w:hAnsi="Times New Roman"/>
          <w:lang w:val="es-ES"/>
        </w:rPr>
        <w:t xml:space="preserve"> aunque no alcanza la cifra de 2010</w:t>
      </w:r>
      <w:r w:rsidR="004060C9">
        <w:rPr>
          <w:rFonts w:ascii="Times New Roman" w:hAnsi="Times New Roman"/>
          <w:lang w:val="es-ES"/>
        </w:rPr>
        <w:t xml:space="preserve"> (Cuadro 4</w:t>
      </w:r>
      <w:r w:rsidR="00FA2394">
        <w:rPr>
          <w:rFonts w:ascii="Times New Roman" w:hAnsi="Times New Roman"/>
          <w:lang w:val="es-ES"/>
        </w:rPr>
        <w:t>)</w:t>
      </w:r>
      <w:r w:rsidR="001874C0">
        <w:rPr>
          <w:rFonts w:ascii="Times New Roman" w:hAnsi="Times New Roman"/>
          <w:lang w:val="es-ES"/>
        </w:rPr>
        <w:t>.</w:t>
      </w:r>
    </w:p>
    <w:p w:rsidR="00FA2394" w:rsidRDefault="009203CF" w:rsidP="00CA44DB">
      <w:pPr>
        <w:ind w:firstLine="708"/>
        <w:rPr>
          <w:rFonts w:ascii="Times New Roman" w:hAnsi="Times New Roman"/>
          <w:lang w:val="es-ES"/>
        </w:rPr>
      </w:pPr>
      <w:r>
        <w:rPr>
          <w:rFonts w:ascii="Times New Roman" w:hAnsi="Times New Roman"/>
          <w:lang w:val="es-ES"/>
        </w:rPr>
        <w:t>La reducción</w:t>
      </w:r>
      <w:r w:rsidR="008E1B40">
        <w:rPr>
          <w:rFonts w:ascii="Times New Roman" w:hAnsi="Times New Roman"/>
          <w:lang w:val="es-ES"/>
        </w:rPr>
        <w:t xml:space="preserve"> </w:t>
      </w:r>
      <w:r>
        <w:rPr>
          <w:rFonts w:ascii="Times New Roman" w:hAnsi="Times New Roman"/>
          <w:lang w:val="es-ES"/>
        </w:rPr>
        <w:t>se explica</w:t>
      </w:r>
      <w:r w:rsidR="008E1B40">
        <w:rPr>
          <w:rFonts w:ascii="Times New Roman" w:hAnsi="Times New Roman"/>
          <w:lang w:val="es-ES"/>
        </w:rPr>
        <w:t xml:space="preserve"> </w:t>
      </w:r>
      <w:r>
        <w:rPr>
          <w:rFonts w:ascii="Times New Roman" w:hAnsi="Times New Roman"/>
          <w:lang w:val="es-ES"/>
        </w:rPr>
        <w:t xml:space="preserve">por la fuerte resistencia empresarial a </w:t>
      </w:r>
      <w:r w:rsidR="00757B2E">
        <w:rPr>
          <w:rFonts w:ascii="Times New Roman" w:hAnsi="Times New Roman"/>
          <w:lang w:val="es-ES"/>
        </w:rPr>
        <w:t xml:space="preserve">renovar y </w:t>
      </w:r>
      <w:r>
        <w:rPr>
          <w:rFonts w:ascii="Times New Roman" w:hAnsi="Times New Roman"/>
          <w:lang w:val="es-ES"/>
        </w:rPr>
        <w:t>revisar</w:t>
      </w:r>
      <w:r w:rsidR="00757B2E">
        <w:rPr>
          <w:rFonts w:ascii="Times New Roman" w:hAnsi="Times New Roman"/>
          <w:lang w:val="es-ES"/>
        </w:rPr>
        <w:t xml:space="preserve"> </w:t>
      </w:r>
      <w:r>
        <w:rPr>
          <w:rFonts w:ascii="Times New Roman" w:hAnsi="Times New Roman"/>
          <w:lang w:val="es-ES"/>
        </w:rPr>
        <w:t>convenios firmados en el año 2010 o anteriores</w:t>
      </w:r>
      <w:r w:rsidR="008E1B40">
        <w:rPr>
          <w:rFonts w:ascii="Times New Roman" w:hAnsi="Times New Roman"/>
          <w:lang w:val="es-ES"/>
        </w:rPr>
        <w:t xml:space="preserve">. Asimismo, </w:t>
      </w:r>
      <w:r w:rsidR="00725279">
        <w:rPr>
          <w:rFonts w:ascii="Times New Roman" w:hAnsi="Times New Roman"/>
          <w:lang w:val="es-ES"/>
        </w:rPr>
        <w:t xml:space="preserve">por las oportunidades que ofrece la reforma laboral de </w:t>
      </w:r>
      <w:r w:rsidR="008C490F">
        <w:rPr>
          <w:rFonts w:ascii="Times New Roman" w:hAnsi="Times New Roman"/>
          <w:lang w:val="es-ES"/>
        </w:rPr>
        <w:t xml:space="preserve">febrero de </w:t>
      </w:r>
      <w:r w:rsidR="00725279">
        <w:rPr>
          <w:rFonts w:ascii="Times New Roman" w:hAnsi="Times New Roman"/>
          <w:lang w:val="es-ES"/>
        </w:rPr>
        <w:t>2012 que limitaba la</w:t>
      </w:r>
      <w:r w:rsidR="008C490F">
        <w:rPr>
          <w:rFonts w:ascii="Times New Roman" w:hAnsi="Times New Roman"/>
          <w:lang w:val="es-ES"/>
        </w:rPr>
        <w:t xml:space="preserve"> </w:t>
      </w:r>
      <w:r w:rsidR="00725279">
        <w:rPr>
          <w:rFonts w:ascii="Times New Roman" w:hAnsi="Times New Roman"/>
          <w:lang w:val="es-ES"/>
        </w:rPr>
        <w:t>ultraactividad</w:t>
      </w:r>
      <w:r w:rsidR="008C490F">
        <w:rPr>
          <w:rFonts w:ascii="Times New Roman" w:hAnsi="Times New Roman"/>
          <w:lang w:val="es-ES"/>
        </w:rPr>
        <w:t xml:space="preserve"> </w:t>
      </w:r>
      <w:r w:rsidR="000D483F">
        <w:rPr>
          <w:rFonts w:ascii="Times New Roman" w:hAnsi="Times New Roman"/>
          <w:lang w:val="es-ES"/>
        </w:rPr>
        <w:t>a catorce meses</w:t>
      </w:r>
      <w:r w:rsidR="00A72120">
        <w:rPr>
          <w:rFonts w:ascii="Times New Roman" w:hAnsi="Times New Roman"/>
          <w:lang w:val="es-ES"/>
        </w:rPr>
        <w:t>:</w:t>
      </w:r>
      <w:r w:rsidR="000D483F">
        <w:rPr>
          <w:rFonts w:ascii="Times New Roman" w:hAnsi="Times New Roman"/>
          <w:lang w:val="es-ES"/>
        </w:rPr>
        <w:t xml:space="preserve"> </w:t>
      </w:r>
      <w:r w:rsidR="008E1B40">
        <w:rPr>
          <w:rFonts w:ascii="Times New Roman" w:hAnsi="Times New Roman"/>
          <w:lang w:val="es-ES"/>
        </w:rPr>
        <w:t xml:space="preserve">una parte de las </w:t>
      </w:r>
      <w:r w:rsidR="000D483F">
        <w:rPr>
          <w:rFonts w:ascii="Times New Roman" w:hAnsi="Times New Roman"/>
          <w:lang w:val="es-ES"/>
        </w:rPr>
        <w:t>patronales y</w:t>
      </w:r>
      <w:r w:rsidR="00A72120">
        <w:rPr>
          <w:rFonts w:ascii="Times New Roman" w:hAnsi="Times New Roman"/>
          <w:lang w:val="es-ES"/>
        </w:rPr>
        <w:t xml:space="preserve"> de los</w:t>
      </w:r>
      <w:r w:rsidR="000D483F">
        <w:rPr>
          <w:rFonts w:ascii="Times New Roman" w:hAnsi="Times New Roman"/>
          <w:lang w:val="es-ES"/>
        </w:rPr>
        <w:t xml:space="preserve"> empresarios bloquean la </w:t>
      </w:r>
      <w:r w:rsidR="008E1B40">
        <w:rPr>
          <w:rFonts w:ascii="Times New Roman" w:hAnsi="Times New Roman"/>
          <w:lang w:val="es-ES"/>
        </w:rPr>
        <w:t xml:space="preserve">revisión y la </w:t>
      </w:r>
      <w:r w:rsidR="000D483F">
        <w:rPr>
          <w:rFonts w:ascii="Times New Roman" w:hAnsi="Times New Roman"/>
          <w:lang w:val="es-ES"/>
        </w:rPr>
        <w:t>renovación de los convenios colectivos para presionar y conseguir sus demandas aprovechando que su vigencia, una vez vencida, es temporal (</w:t>
      </w:r>
      <w:r w:rsidR="007A17D7">
        <w:rPr>
          <w:rFonts w:ascii="Times New Roman" w:hAnsi="Times New Roman"/>
          <w:color w:val="FF0000"/>
          <w:lang w:val="es-ES"/>
        </w:rPr>
        <w:t>entre 14 y 18</w:t>
      </w:r>
      <w:r w:rsidR="000D483F" w:rsidRPr="00FA2394">
        <w:rPr>
          <w:rFonts w:ascii="Times New Roman" w:hAnsi="Times New Roman"/>
          <w:color w:val="FF0000"/>
          <w:lang w:val="es-ES"/>
        </w:rPr>
        <w:t xml:space="preserve"> meses</w:t>
      </w:r>
      <w:r w:rsidR="000D483F">
        <w:rPr>
          <w:rFonts w:ascii="Times New Roman" w:hAnsi="Times New Roman"/>
          <w:lang w:val="es-ES"/>
        </w:rPr>
        <w:t>). Ahora bien, a partir de julio de 2013, los convenios firmados aumentan clarament</w:t>
      </w:r>
      <w:r w:rsidR="00A72120">
        <w:rPr>
          <w:rFonts w:ascii="Times New Roman" w:hAnsi="Times New Roman"/>
          <w:lang w:val="es-ES"/>
        </w:rPr>
        <w:t>e lo que guarda relación</w:t>
      </w:r>
      <w:r w:rsidR="000D483F">
        <w:rPr>
          <w:rFonts w:ascii="Times New Roman" w:hAnsi="Times New Roman"/>
          <w:lang w:val="es-ES"/>
        </w:rPr>
        <w:t xml:space="preserve"> con el Acuerdo Interconfederal de mayo de 2013 aprobado como respuesta a la limitación temporal de la ultraactividad; esto es, del aumento de la actividad negociadora promovida por los actores sociales, especialmente, por los sindicatos, para amortiguar los efectos de la limitación de la ultraactividad.</w:t>
      </w:r>
    </w:p>
    <w:p w:rsidR="003D02C1" w:rsidRDefault="000D483F" w:rsidP="003D02C1">
      <w:pPr>
        <w:ind w:firstLine="708"/>
        <w:rPr>
          <w:rFonts w:ascii="Times New Roman" w:hAnsi="Times New Roman"/>
          <w:lang w:val="es-ES"/>
        </w:rPr>
      </w:pPr>
      <w:r w:rsidRPr="007A17D7">
        <w:rPr>
          <w:rFonts w:ascii="Times New Roman" w:hAnsi="Times New Roman"/>
          <w:lang w:val="es-ES"/>
        </w:rPr>
        <w:t>En cuanto al número de t</w:t>
      </w:r>
      <w:r w:rsidR="00BB5175" w:rsidRPr="007A17D7">
        <w:rPr>
          <w:rFonts w:ascii="Times New Roman" w:hAnsi="Times New Roman"/>
          <w:lang w:val="es-ES"/>
        </w:rPr>
        <w:t>rabajadores afectados</w:t>
      </w:r>
      <w:r w:rsidRPr="007A17D7">
        <w:rPr>
          <w:rFonts w:ascii="Times New Roman" w:hAnsi="Times New Roman"/>
          <w:lang w:val="es-ES"/>
        </w:rPr>
        <w:t xml:space="preserve"> por convenios </w:t>
      </w:r>
      <w:r w:rsidR="00BB5175" w:rsidRPr="007A17D7">
        <w:rPr>
          <w:rFonts w:ascii="Times New Roman" w:hAnsi="Times New Roman"/>
          <w:lang w:val="es-ES"/>
        </w:rPr>
        <w:t xml:space="preserve">en </w:t>
      </w:r>
      <w:r w:rsidR="00C77DB5" w:rsidRPr="007A17D7">
        <w:rPr>
          <w:rFonts w:ascii="Times New Roman" w:hAnsi="Times New Roman"/>
          <w:lang w:val="es-ES"/>
        </w:rPr>
        <w:t>el periodo comprendido entre 2010 y 2013</w:t>
      </w:r>
      <w:r w:rsidRPr="007A17D7">
        <w:rPr>
          <w:rFonts w:ascii="Times New Roman" w:hAnsi="Times New Roman"/>
          <w:lang w:val="es-ES"/>
        </w:rPr>
        <w:t xml:space="preserve">, se observa que </w:t>
      </w:r>
      <w:r w:rsidR="00BB5175" w:rsidRPr="007A17D7">
        <w:rPr>
          <w:rFonts w:ascii="Times New Roman" w:hAnsi="Times New Roman"/>
          <w:lang w:val="es-ES"/>
        </w:rPr>
        <w:t>hay 9.500 trabajadores más cubiertos en</w:t>
      </w:r>
      <w:r w:rsidR="00C77DB5" w:rsidRPr="007A17D7">
        <w:rPr>
          <w:rFonts w:ascii="Times New Roman" w:hAnsi="Times New Roman"/>
          <w:lang w:val="es-ES"/>
        </w:rPr>
        <w:t xml:space="preserve"> los de ámbito de empresa y 538</w:t>
      </w:r>
      <w:r w:rsidR="00BB5175" w:rsidRPr="007A17D7">
        <w:rPr>
          <w:rFonts w:ascii="Times New Roman" w:hAnsi="Times New Roman"/>
          <w:lang w:val="es-ES"/>
        </w:rPr>
        <w:t>.400 menos en los de ámbito superior; y en conjunto, 528.900 menos.</w:t>
      </w:r>
      <w:r w:rsidR="00C77DB5" w:rsidRPr="007A17D7">
        <w:rPr>
          <w:rFonts w:ascii="Times New Roman" w:hAnsi="Times New Roman"/>
          <w:lang w:val="es-ES"/>
        </w:rPr>
        <w:t xml:space="preserve"> </w:t>
      </w:r>
      <w:r w:rsidRPr="007A17D7">
        <w:rPr>
          <w:rFonts w:ascii="Times New Roman" w:hAnsi="Times New Roman"/>
          <w:lang w:val="es-ES"/>
        </w:rPr>
        <w:t xml:space="preserve">Ahora bien, hay que señalar asimismo que durante estos años ha habido asimismo una disminución del empleo: según la EPA, el número de asalariados </w:t>
      </w:r>
      <w:r w:rsidR="00C77DB5" w:rsidRPr="007A17D7">
        <w:rPr>
          <w:rFonts w:ascii="Times New Roman" w:hAnsi="Times New Roman"/>
          <w:lang w:val="es-ES"/>
        </w:rPr>
        <w:t>en 2010 era 15.346.</w:t>
      </w:r>
      <w:r w:rsidR="00C77DB5">
        <w:rPr>
          <w:rFonts w:ascii="Times New Roman" w:hAnsi="Times New Roman"/>
          <w:lang w:val="es-ES"/>
        </w:rPr>
        <w:t>800 y en 2013, 14.069</w:t>
      </w:r>
      <w:r>
        <w:rPr>
          <w:rFonts w:ascii="Times New Roman" w:hAnsi="Times New Roman"/>
          <w:lang w:val="es-ES"/>
        </w:rPr>
        <w:t xml:space="preserve">.100; por tanto, hay </w:t>
      </w:r>
      <w:r w:rsidR="00C77DB5">
        <w:rPr>
          <w:rFonts w:ascii="Times New Roman" w:hAnsi="Times New Roman"/>
          <w:lang w:val="es-ES"/>
        </w:rPr>
        <w:t xml:space="preserve">1.227.700 </w:t>
      </w:r>
      <w:r>
        <w:rPr>
          <w:rFonts w:ascii="Times New Roman" w:hAnsi="Times New Roman"/>
          <w:lang w:val="es-ES"/>
        </w:rPr>
        <w:t>asalariados menos. Esta disminución de asalariados hay que tenerla en cuenta a la hora de valorar el descens</w:t>
      </w:r>
      <w:r w:rsidR="00C77DB5">
        <w:rPr>
          <w:rFonts w:ascii="Times New Roman" w:hAnsi="Times New Roman"/>
          <w:lang w:val="es-ES"/>
        </w:rPr>
        <w:t>o de los trabajadores cubiertos. Así, el grado de cobertura no sólo se ha mantenido sino que ha crecido levemente.</w:t>
      </w:r>
    </w:p>
    <w:p w:rsidR="003D02C1" w:rsidRDefault="000D483F" w:rsidP="003D02C1">
      <w:pPr>
        <w:ind w:firstLine="708"/>
        <w:rPr>
          <w:rFonts w:ascii="Times New Roman" w:hAnsi="Times New Roman"/>
          <w:lang w:val="es-ES"/>
        </w:rPr>
      </w:pPr>
      <w:r>
        <w:rPr>
          <w:rFonts w:ascii="Times New Roman" w:hAnsi="Times New Roman"/>
          <w:lang w:val="es-ES"/>
        </w:rPr>
        <w:t xml:space="preserve">El panorama actual sobre la cobertura de la negociación colectiva se completa examinando las inaplicaciones registradas de determinadas cláusulas de los convenios colectivos de ámbito superior al de empresa que permite la reforma legal de febrero de 2012, esto es, observando los efectos de una de las medidas que reducen la eficacia general, </w:t>
      </w:r>
      <w:r>
        <w:rPr>
          <w:rFonts w:ascii="Times New Roman" w:hAnsi="Times New Roman"/>
          <w:color w:val="FF0000"/>
          <w:lang w:val="es-ES"/>
        </w:rPr>
        <w:t>uno de los principios básicos del poder institucional de los sindicatos.</w:t>
      </w:r>
      <w:r>
        <w:rPr>
          <w:rFonts w:ascii="Times New Roman" w:hAnsi="Times New Roman"/>
          <w:lang w:val="es-ES"/>
        </w:rPr>
        <w:t xml:space="preserve"> A este respecto, hay que recordar que el II AENC, firmado en enero de 2012, había incluido un apartado sobre inaplicación negociada en la empresa de determinadas condiciones laborales pactadas en los convenios colectivos sectoriales.</w:t>
      </w:r>
    </w:p>
    <w:p w:rsidR="003D02C1" w:rsidRDefault="000D483F" w:rsidP="003D02C1">
      <w:pPr>
        <w:ind w:firstLine="708"/>
        <w:rPr>
          <w:rFonts w:ascii="Times New Roman" w:hAnsi="Times New Roman"/>
          <w:lang w:val="es-ES"/>
        </w:rPr>
      </w:pPr>
      <w:r w:rsidRPr="007A17D7">
        <w:rPr>
          <w:rFonts w:ascii="Times New Roman" w:hAnsi="Times New Roman"/>
          <w:lang w:val="es-ES"/>
        </w:rPr>
        <w:t xml:space="preserve">Según las fuentes estadísticas del Ministerio, entre marzo y diciembre de 2012 se registraron 748 inaplicaciones que afectaron a 29.352 trabajadores; en 2013, 2512 que afectaron a </w:t>
      </w:r>
      <w:r w:rsidR="00757B2E" w:rsidRPr="007A17D7">
        <w:rPr>
          <w:rFonts w:ascii="Times New Roman" w:hAnsi="Times New Roman"/>
          <w:lang w:val="es-ES"/>
        </w:rPr>
        <w:t>159.550 lo que representa un 1,5 % de los 10.265.4</w:t>
      </w:r>
      <w:r w:rsidRPr="007A17D7">
        <w:rPr>
          <w:rFonts w:ascii="Times New Roman" w:hAnsi="Times New Roman"/>
          <w:lang w:val="es-ES"/>
        </w:rPr>
        <w:t>0</w:t>
      </w:r>
      <w:r w:rsidR="00757B2E" w:rsidRPr="007A17D7">
        <w:rPr>
          <w:rFonts w:ascii="Times New Roman" w:hAnsi="Times New Roman"/>
          <w:lang w:val="es-ES"/>
        </w:rPr>
        <w:t>0 trabajadores cubiertos</w:t>
      </w:r>
      <w:r w:rsidRPr="007A17D7">
        <w:rPr>
          <w:rFonts w:ascii="Times New Roman" w:hAnsi="Times New Roman"/>
          <w:lang w:val="es-ES"/>
        </w:rPr>
        <w:t>; y en 2014, 2073 que afectan a 66.203 trabajadores lo que r</w:t>
      </w:r>
      <w:r w:rsidR="00757B2E" w:rsidRPr="007A17D7">
        <w:rPr>
          <w:rFonts w:ascii="Times New Roman" w:hAnsi="Times New Roman"/>
          <w:lang w:val="es-ES"/>
        </w:rPr>
        <w:t>epresenta un 0,8 % de los 8.122.6</w:t>
      </w:r>
      <w:r w:rsidRPr="007A17D7">
        <w:rPr>
          <w:rFonts w:ascii="Times New Roman" w:hAnsi="Times New Roman"/>
          <w:lang w:val="es-ES"/>
        </w:rPr>
        <w:t>00 trabajado</w:t>
      </w:r>
      <w:r w:rsidR="00757B2E" w:rsidRPr="007A17D7">
        <w:rPr>
          <w:rFonts w:ascii="Times New Roman" w:hAnsi="Times New Roman"/>
          <w:lang w:val="es-ES"/>
        </w:rPr>
        <w:t xml:space="preserve">res cubiertos (cifra </w:t>
      </w:r>
      <w:r w:rsidRPr="007A17D7">
        <w:rPr>
          <w:rFonts w:ascii="Times New Roman" w:hAnsi="Times New Roman"/>
          <w:lang w:val="es-ES"/>
        </w:rPr>
        <w:t>provisional). Por tanto, ha habido un 59 % menos de trabajadores afectados por inaplicaciones en 2014 que en el año anterior. Los primeros años de 2015 siguen apuntando un descenso lo que probablemente guarda relación con la reanimación económica y con la moderación de los incrementos salariales pactados en los convenios colectivos de ámbito superior al de empresa. En lo que se refiere al tipo de cláusul</w:t>
      </w:r>
      <w:r>
        <w:rPr>
          <w:rFonts w:ascii="Times New Roman" w:hAnsi="Times New Roman"/>
          <w:lang w:val="es-ES"/>
        </w:rPr>
        <w:t>as inaplicadas en 2013 y en 2014, se observa un predominio absoluto de las que tienen que ver con la cuantía salarial. Por tanto, aunque la medida comporta la apertura de una vía de agua en el principio de eficacia general, una grieta en el poder insti</w:t>
      </w:r>
      <w:r w:rsidR="00757B2E">
        <w:rPr>
          <w:rFonts w:ascii="Times New Roman" w:hAnsi="Times New Roman"/>
          <w:lang w:val="es-ES"/>
        </w:rPr>
        <w:t>tucional, sin embargo, el uso</w:t>
      </w:r>
      <w:r>
        <w:rPr>
          <w:rFonts w:ascii="Times New Roman" w:hAnsi="Times New Roman"/>
          <w:lang w:val="es-ES"/>
        </w:rPr>
        <w:t xml:space="preserve"> ha sido limitado y el efecto escaso.</w:t>
      </w:r>
    </w:p>
    <w:p w:rsidR="003D02C1" w:rsidRDefault="00376A7B" w:rsidP="00BF4288">
      <w:pPr>
        <w:ind w:firstLine="708"/>
        <w:rPr>
          <w:rFonts w:ascii="Times New Roman" w:hAnsi="Times New Roman"/>
          <w:lang w:val="es-ES"/>
        </w:rPr>
      </w:pPr>
      <w:r>
        <w:rPr>
          <w:rFonts w:ascii="Times New Roman" w:hAnsi="Times New Roman"/>
          <w:lang w:val="es-ES"/>
        </w:rPr>
        <w:t>La dinámica negociadora ha sido, pues, importante</w:t>
      </w:r>
      <w:r w:rsidR="003D02C1">
        <w:rPr>
          <w:rFonts w:ascii="Times New Roman" w:hAnsi="Times New Roman"/>
          <w:lang w:val="es-ES"/>
        </w:rPr>
        <w:t xml:space="preserve"> a lo largo del tiempo</w:t>
      </w:r>
      <w:r>
        <w:rPr>
          <w:rFonts w:ascii="Times New Roman" w:hAnsi="Times New Roman"/>
          <w:lang w:val="es-ES"/>
        </w:rPr>
        <w:t>; la cobertura, también, proporcionada, sobre todo, por los convenios de ámbito superior al de empresa</w:t>
      </w:r>
      <w:r w:rsidR="002028A2">
        <w:rPr>
          <w:rFonts w:ascii="Times New Roman" w:hAnsi="Times New Roman"/>
          <w:lang w:val="es-ES"/>
        </w:rPr>
        <w:t>. El origen y fundamento de su eficacia es de carácter legal si bien los sindicatos y las patronales</w:t>
      </w:r>
      <w:r w:rsidR="003D02C1">
        <w:rPr>
          <w:rFonts w:ascii="Times New Roman" w:hAnsi="Times New Roman"/>
          <w:lang w:val="es-ES"/>
        </w:rPr>
        <w:t xml:space="preserve"> </w:t>
      </w:r>
      <w:r w:rsidR="00BF4288">
        <w:rPr>
          <w:rFonts w:ascii="Times New Roman" w:hAnsi="Times New Roman"/>
          <w:lang w:val="es-ES"/>
        </w:rPr>
        <w:t xml:space="preserve">han desarrollado recursos propios. </w:t>
      </w:r>
    </w:p>
    <w:p w:rsidR="000D483F" w:rsidRPr="007A17D7" w:rsidRDefault="003B3A90" w:rsidP="00CA44DB">
      <w:pPr>
        <w:ind w:firstLine="708"/>
        <w:rPr>
          <w:rFonts w:ascii="Times New Roman" w:hAnsi="Times New Roman"/>
          <w:lang w:val="es-ES"/>
        </w:rPr>
      </w:pPr>
      <w:r>
        <w:rPr>
          <w:rFonts w:ascii="Times New Roman" w:hAnsi="Times New Roman"/>
          <w:lang w:val="es-ES"/>
        </w:rPr>
        <w:t>En los años de crisis</w:t>
      </w:r>
      <w:r w:rsidR="000D483F">
        <w:rPr>
          <w:rFonts w:ascii="Times New Roman" w:hAnsi="Times New Roman"/>
          <w:lang w:val="es-ES"/>
        </w:rPr>
        <w:t xml:space="preserve">, </w:t>
      </w:r>
      <w:r>
        <w:rPr>
          <w:rFonts w:ascii="Times New Roman" w:hAnsi="Times New Roman"/>
          <w:lang w:val="es-ES"/>
        </w:rPr>
        <w:t xml:space="preserve">los gobiernos han modificado </w:t>
      </w:r>
      <w:r w:rsidR="00C06B11">
        <w:rPr>
          <w:rFonts w:ascii="Times New Roman" w:hAnsi="Times New Roman"/>
          <w:lang w:val="es-ES"/>
        </w:rPr>
        <w:t xml:space="preserve">la regulación </w:t>
      </w:r>
      <w:r>
        <w:rPr>
          <w:rFonts w:ascii="Times New Roman" w:hAnsi="Times New Roman"/>
          <w:lang w:val="es-ES"/>
        </w:rPr>
        <w:t>de la aplicación de los  convenios</w:t>
      </w:r>
      <w:r w:rsidR="008A1DDE">
        <w:rPr>
          <w:rFonts w:ascii="Times New Roman" w:hAnsi="Times New Roman"/>
          <w:lang w:val="es-ES"/>
        </w:rPr>
        <w:t xml:space="preserve"> y de su futuro, una vez finalizada su vigencia. Esto supone </w:t>
      </w:r>
      <w:r w:rsidR="000D483F">
        <w:rPr>
          <w:rFonts w:ascii="Times New Roman" w:hAnsi="Times New Roman"/>
          <w:lang w:val="es-ES"/>
        </w:rPr>
        <w:t xml:space="preserve">recortar recursos potenciales que el dominio institucional de la negociación proporciona a los sindicatos y </w:t>
      </w:r>
      <w:r w:rsidR="000D483F">
        <w:rPr>
          <w:rFonts w:ascii="Times New Roman" w:hAnsi="Times New Roman"/>
          <w:lang w:val="es-ES"/>
        </w:rPr>
        <w:lastRenderedPageBreak/>
        <w:t>co</w:t>
      </w:r>
      <w:r w:rsidR="000D483F" w:rsidRPr="007A17D7">
        <w:rPr>
          <w:rFonts w:ascii="Times New Roman" w:hAnsi="Times New Roman"/>
          <w:lang w:val="es-ES"/>
        </w:rPr>
        <w:t>n ello, ampliar los de las patronales y empresarios. Sin embargo, las inaplicaciones</w:t>
      </w:r>
      <w:r w:rsidR="00CA44DB" w:rsidRPr="007A17D7">
        <w:rPr>
          <w:rFonts w:ascii="Times New Roman" w:hAnsi="Times New Roman"/>
          <w:lang w:val="es-ES"/>
        </w:rPr>
        <w:t xml:space="preserve"> empresariales</w:t>
      </w:r>
      <w:r w:rsidR="000D483F" w:rsidRPr="007A17D7">
        <w:rPr>
          <w:rFonts w:ascii="Times New Roman" w:hAnsi="Times New Roman"/>
          <w:lang w:val="es-ES"/>
        </w:rPr>
        <w:t xml:space="preserve"> que afectan a la eficacia general han sido escasas. Mayor uso estratégico se ha efectuado de la caducidad de la ultraactividad, declarada inconstitucional a principios de 2015, y mayor repercusión</w:t>
      </w:r>
      <w:r w:rsidR="00C06B11" w:rsidRPr="007A17D7">
        <w:rPr>
          <w:rFonts w:ascii="Times New Roman" w:hAnsi="Times New Roman"/>
          <w:lang w:val="es-ES"/>
        </w:rPr>
        <w:t xml:space="preserve"> inicial</w:t>
      </w:r>
      <w:r w:rsidR="000D483F" w:rsidRPr="007A17D7">
        <w:rPr>
          <w:rFonts w:ascii="Times New Roman" w:hAnsi="Times New Roman"/>
          <w:lang w:val="es-ES"/>
        </w:rPr>
        <w:t xml:space="preserve"> ha tenido en la firma de convenios. De todas maneras, la reacción sindical apostando por el diálogo social pone de manifiesto la disposición de unas actitudes y experiencias con las que intentan mitigar los posibles efectos de los cambios insti</w:t>
      </w:r>
      <w:r w:rsidR="00B44D1A" w:rsidRPr="007A17D7">
        <w:rPr>
          <w:rFonts w:ascii="Times New Roman" w:hAnsi="Times New Roman"/>
          <w:lang w:val="es-ES"/>
        </w:rPr>
        <w:t xml:space="preserve">tucionales y los de </w:t>
      </w:r>
      <w:r w:rsidR="000D483F" w:rsidRPr="007A17D7">
        <w:rPr>
          <w:rFonts w:ascii="Times New Roman" w:hAnsi="Times New Roman"/>
          <w:lang w:val="es-ES"/>
        </w:rPr>
        <w:t xml:space="preserve">las resistencias empresariales a negociar. </w:t>
      </w:r>
    </w:p>
    <w:p w:rsidR="00192319" w:rsidRPr="007A17D7" w:rsidRDefault="00BF4288" w:rsidP="00BF4288">
      <w:pPr>
        <w:ind w:firstLine="708"/>
        <w:rPr>
          <w:rFonts w:ascii="Times New Roman" w:hAnsi="Times New Roman"/>
          <w:lang w:val="es-ES"/>
        </w:rPr>
      </w:pPr>
      <w:r w:rsidRPr="007A17D7">
        <w:rPr>
          <w:rFonts w:ascii="Times New Roman" w:hAnsi="Times New Roman"/>
          <w:lang w:val="es-ES"/>
        </w:rPr>
        <w:t>M</w:t>
      </w:r>
      <w:r w:rsidR="000D483F" w:rsidRPr="007A17D7">
        <w:rPr>
          <w:rFonts w:ascii="Times New Roman" w:hAnsi="Times New Roman"/>
          <w:lang w:val="es-ES"/>
        </w:rPr>
        <w:t>ás presencia e influencia tienen determinadas cláusulas abiertas en los convenios colectivos que permitió la reforma laboral de hace más de veinte años, como pone de manifiesto las del tiempo de trabajo. Su uso actual traduce la orientación que toma la negociación col</w:t>
      </w:r>
      <w:r w:rsidR="00CA44DB" w:rsidRPr="007A17D7">
        <w:rPr>
          <w:rFonts w:ascii="Times New Roman" w:hAnsi="Times New Roman"/>
          <w:lang w:val="es-ES"/>
        </w:rPr>
        <w:t>ectiva</w:t>
      </w:r>
      <w:r w:rsidR="000D483F" w:rsidRPr="007A17D7">
        <w:rPr>
          <w:rFonts w:ascii="Times New Roman" w:hAnsi="Times New Roman"/>
          <w:lang w:val="es-ES"/>
        </w:rPr>
        <w:t xml:space="preserve"> de manera que la cobertura nominal de la regulación convencional, de ámbito superior al de empresa, puede ser muy amplia pero se abre la posibilidad de que algunos aspectos se concreten en la empresa. Esto es, se pueden mantener determinados recursos institucionales pero se permite vaciar sus funciones en relación con la regulación de algunos aspectos laborales. Aún así, los recursos institucio</w:t>
      </w:r>
      <w:r w:rsidR="00192319" w:rsidRPr="007A17D7">
        <w:rPr>
          <w:rFonts w:ascii="Times New Roman" w:hAnsi="Times New Roman"/>
          <w:lang w:val="es-ES"/>
        </w:rPr>
        <w:t>nales siguen siendo importantes.</w:t>
      </w:r>
    </w:p>
    <w:p w:rsidR="00CA44DB" w:rsidRDefault="00CA44DB" w:rsidP="00CA44DB">
      <w:pPr>
        <w:ind w:firstLine="708"/>
        <w:rPr>
          <w:rFonts w:ascii="Times New Roman" w:hAnsi="Times New Roman"/>
          <w:color w:val="FF0000"/>
          <w:lang w:val="es-ES"/>
        </w:rPr>
      </w:pPr>
    </w:p>
    <w:p w:rsidR="00D50A2B" w:rsidRPr="00527440" w:rsidRDefault="00C45010" w:rsidP="00527440">
      <w:pPr>
        <w:ind w:firstLine="708"/>
        <w:rPr>
          <w:rFonts w:ascii="Times New Roman" w:hAnsi="Times New Roman"/>
          <w:b/>
          <w:bCs/>
          <w:lang w:val="es-ES"/>
        </w:rPr>
      </w:pPr>
      <w:r>
        <w:rPr>
          <w:rFonts w:ascii="Times New Roman" w:hAnsi="Times New Roman"/>
          <w:b/>
          <w:bCs/>
          <w:lang w:val="es-ES"/>
        </w:rPr>
        <w:t>La regulación</w:t>
      </w:r>
      <w:r w:rsidR="00E74F34">
        <w:rPr>
          <w:rFonts w:ascii="Times New Roman" w:hAnsi="Times New Roman"/>
          <w:b/>
          <w:bCs/>
          <w:lang w:val="es-ES"/>
        </w:rPr>
        <w:t xml:space="preserve"> convencional</w:t>
      </w:r>
      <w:r>
        <w:rPr>
          <w:rFonts w:ascii="Times New Roman" w:hAnsi="Times New Roman"/>
          <w:b/>
          <w:bCs/>
          <w:lang w:val="es-ES"/>
        </w:rPr>
        <w:t xml:space="preserve"> de los salarios y de la jornada media anual y la operatividad de los recursos</w:t>
      </w:r>
    </w:p>
    <w:p w:rsidR="00D50A2B" w:rsidRDefault="00D50A2B" w:rsidP="00192319">
      <w:pPr>
        <w:ind w:firstLine="1026"/>
        <w:rPr>
          <w:rFonts w:ascii="Times New Roman" w:hAnsi="Times New Roman"/>
          <w:lang w:val="es-ES"/>
        </w:rPr>
      </w:pPr>
    </w:p>
    <w:p w:rsidR="00914531" w:rsidRPr="00162E61" w:rsidRDefault="00192319" w:rsidP="00533781">
      <w:pPr>
        <w:ind w:firstLine="708"/>
        <w:rPr>
          <w:rFonts w:ascii="Times New Roman" w:hAnsi="Times New Roman"/>
          <w:lang w:val="es-ES"/>
        </w:rPr>
      </w:pPr>
      <w:r>
        <w:rPr>
          <w:rFonts w:ascii="Times New Roman" w:hAnsi="Times New Roman"/>
          <w:lang w:val="es-ES"/>
        </w:rPr>
        <w:t>La evolución de los salarios</w:t>
      </w:r>
      <w:r w:rsidR="008A338C">
        <w:rPr>
          <w:rFonts w:ascii="Times New Roman" w:hAnsi="Times New Roman"/>
          <w:lang w:val="es-ES"/>
        </w:rPr>
        <w:t xml:space="preserve"> </w:t>
      </w:r>
      <w:r>
        <w:rPr>
          <w:rFonts w:ascii="Times New Roman" w:hAnsi="Times New Roman"/>
          <w:lang w:val="es-ES"/>
        </w:rPr>
        <w:t>proporciona información sobre resultados de la negociación colectiva; también, la del tiempo de trabaj</w:t>
      </w:r>
      <w:r w:rsidRPr="002714B9">
        <w:rPr>
          <w:rFonts w:ascii="Times New Roman" w:hAnsi="Times New Roman"/>
          <w:lang w:val="es-ES"/>
        </w:rPr>
        <w:t xml:space="preserve">o. </w:t>
      </w:r>
      <w:r w:rsidR="007B4AAD" w:rsidRPr="002714B9">
        <w:rPr>
          <w:rFonts w:ascii="Times New Roman" w:hAnsi="Times New Roman"/>
          <w:lang w:val="es-ES"/>
        </w:rPr>
        <w:t>En relación con los salarios pactados en los convenios colectivos se observa que, una vez se aplican las clausulas de revisión salarial, evolucionan bastante parale</w:t>
      </w:r>
      <w:r w:rsidR="00DF4A60" w:rsidRPr="002714B9">
        <w:rPr>
          <w:rFonts w:ascii="Times New Roman" w:hAnsi="Times New Roman"/>
          <w:lang w:val="es-ES"/>
        </w:rPr>
        <w:t>lamente a la inflación (Cuadro 5</w:t>
      </w:r>
      <w:r w:rsidR="007B4AAD" w:rsidRPr="002714B9">
        <w:rPr>
          <w:rFonts w:ascii="Times New Roman" w:hAnsi="Times New Roman"/>
          <w:lang w:val="es-ES"/>
        </w:rPr>
        <w:t>). En buena medida porque el crecimiento anual de los salarios se pacta conforme a la inflación</w:t>
      </w:r>
      <w:r w:rsidR="002714B9">
        <w:rPr>
          <w:rFonts w:ascii="Times New Roman" w:hAnsi="Times New Roman"/>
          <w:lang w:val="es-ES"/>
        </w:rPr>
        <w:t xml:space="preserve"> prevista</w:t>
      </w:r>
      <w:r w:rsidR="008A338C">
        <w:rPr>
          <w:rFonts w:ascii="Times New Roman" w:hAnsi="Times New Roman"/>
          <w:lang w:val="es-ES"/>
        </w:rPr>
        <w:t xml:space="preserve"> </w:t>
      </w:r>
      <w:r w:rsidR="008A338C" w:rsidRPr="00162E61">
        <w:rPr>
          <w:rFonts w:ascii="Times New Roman" w:hAnsi="Times New Roman"/>
          <w:lang w:val="es-ES"/>
        </w:rPr>
        <w:t>por los actores sociales</w:t>
      </w:r>
      <w:r w:rsidR="002714B9" w:rsidRPr="00162E61">
        <w:rPr>
          <w:rFonts w:ascii="Times New Roman" w:hAnsi="Times New Roman"/>
          <w:lang w:val="es-ES"/>
        </w:rPr>
        <w:t>. Desde 2000 hasta 2014</w:t>
      </w:r>
      <w:r w:rsidR="007B4AAD" w:rsidRPr="00162E61">
        <w:rPr>
          <w:rFonts w:ascii="Times New Roman" w:hAnsi="Times New Roman"/>
          <w:lang w:val="es-ES"/>
        </w:rPr>
        <w:t xml:space="preserve">, los salarios han crecido moderadamente: en </w:t>
      </w:r>
      <w:r w:rsidR="00162E61" w:rsidRPr="00162E61">
        <w:rPr>
          <w:rFonts w:ascii="Times New Roman" w:hAnsi="Times New Roman"/>
          <w:lang w:val="es-ES"/>
        </w:rPr>
        <w:t>nuev</w:t>
      </w:r>
      <w:r w:rsidR="007B4AAD" w:rsidRPr="00162E61">
        <w:rPr>
          <w:rFonts w:ascii="Times New Roman" w:hAnsi="Times New Roman"/>
          <w:lang w:val="es-ES"/>
        </w:rPr>
        <w:t>e años, por encima de la inflación</w:t>
      </w:r>
      <w:r w:rsidR="00043645" w:rsidRPr="00162E61">
        <w:rPr>
          <w:rFonts w:ascii="Times New Roman" w:hAnsi="Times New Roman"/>
          <w:lang w:val="es-ES"/>
        </w:rPr>
        <w:t xml:space="preserve">; en otros </w:t>
      </w:r>
      <w:r w:rsidR="00162E61" w:rsidRPr="00162E61">
        <w:rPr>
          <w:rFonts w:ascii="Times New Roman" w:hAnsi="Times New Roman"/>
          <w:lang w:val="es-ES"/>
        </w:rPr>
        <w:t>cinco</w:t>
      </w:r>
      <w:r w:rsidR="00043645" w:rsidRPr="00162E61">
        <w:rPr>
          <w:rFonts w:ascii="Times New Roman" w:hAnsi="Times New Roman"/>
          <w:lang w:val="es-ES"/>
        </w:rPr>
        <w:t>, por debajo</w:t>
      </w:r>
      <w:r w:rsidR="007B4AAD" w:rsidRPr="00162E61">
        <w:rPr>
          <w:rFonts w:ascii="Times New Roman" w:hAnsi="Times New Roman"/>
          <w:lang w:val="es-ES"/>
        </w:rPr>
        <w:t xml:space="preserve">. </w:t>
      </w:r>
      <w:r w:rsidR="00A201C5" w:rsidRPr="00162E61">
        <w:rPr>
          <w:rFonts w:ascii="Times New Roman" w:hAnsi="Times New Roman"/>
          <w:lang w:val="es-ES"/>
        </w:rPr>
        <w:t>Así, los aumentos salaria</w:t>
      </w:r>
      <w:r w:rsidR="008A338C" w:rsidRPr="00162E61">
        <w:rPr>
          <w:rFonts w:ascii="Times New Roman" w:hAnsi="Times New Roman"/>
          <w:lang w:val="es-ES"/>
        </w:rPr>
        <w:t xml:space="preserve">les reales pactados han traído consigo </w:t>
      </w:r>
      <w:r w:rsidR="00A201C5" w:rsidRPr="00162E61">
        <w:rPr>
          <w:rFonts w:ascii="Times New Roman" w:hAnsi="Times New Roman"/>
          <w:lang w:val="es-ES"/>
        </w:rPr>
        <w:t>un</w:t>
      </w:r>
      <w:r w:rsidR="008A338C" w:rsidRPr="00162E61">
        <w:rPr>
          <w:rFonts w:ascii="Times New Roman" w:hAnsi="Times New Roman"/>
          <w:lang w:val="es-ES"/>
        </w:rPr>
        <w:t xml:space="preserve">a mejora </w:t>
      </w:r>
      <w:r w:rsidR="00A201C5" w:rsidRPr="00162E61">
        <w:rPr>
          <w:rFonts w:ascii="Times New Roman" w:hAnsi="Times New Roman"/>
          <w:lang w:val="es-ES"/>
        </w:rPr>
        <w:t>de la capacidad adquisitiva</w:t>
      </w:r>
      <w:r w:rsidR="008A338C" w:rsidRPr="00162E61">
        <w:rPr>
          <w:rFonts w:ascii="Times New Roman" w:hAnsi="Times New Roman"/>
          <w:lang w:val="es-ES"/>
        </w:rPr>
        <w:t xml:space="preserve"> 8 años</w:t>
      </w:r>
      <w:r w:rsidR="00A201C5" w:rsidRPr="00162E61">
        <w:rPr>
          <w:rFonts w:ascii="Times New Roman" w:hAnsi="Times New Roman"/>
          <w:lang w:val="es-ES"/>
        </w:rPr>
        <w:t xml:space="preserve"> hasta 2013;</w:t>
      </w:r>
      <w:r w:rsidR="008A338C" w:rsidRPr="00162E61">
        <w:rPr>
          <w:rFonts w:ascii="Times New Roman" w:hAnsi="Times New Roman"/>
          <w:lang w:val="es-ES"/>
        </w:rPr>
        <w:t xml:space="preserve"> un empeoramiento, 5; y ni una cosa ni otra, 1. La mejora</w:t>
      </w:r>
      <w:r w:rsidR="00A201C5" w:rsidRPr="00162E61">
        <w:rPr>
          <w:rFonts w:ascii="Times New Roman" w:hAnsi="Times New Roman"/>
          <w:lang w:val="es-ES"/>
        </w:rPr>
        <w:t xml:space="preserve"> tiene lugar mayoritariamente hasta 2008 en cuya s</w:t>
      </w:r>
      <w:r w:rsidR="00162E61" w:rsidRPr="00162E61">
        <w:rPr>
          <w:rFonts w:ascii="Times New Roman" w:hAnsi="Times New Roman"/>
          <w:lang w:val="es-ES"/>
        </w:rPr>
        <w:t>egunda mitad se declara la crisis. El empeoramiento prioritariamente después.</w:t>
      </w:r>
    </w:p>
    <w:p w:rsidR="007B4AAD" w:rsidRPr="00D240E1" w:rsidRDefault="007B4AAD" w:rsidP="00533781">
      <w:pPr>
        <w:ind w:firstLine="708"/>
        <w:rPr>
          <w:rFonts w:ascii="Times New Roman" w:hAnsi="Times New Roman"/>
          <w:lang w:val="es-ES"/>
        </w:rPr>
      </w:pPr>
      <w:r w:rsidRPr="00162E61">
        <w:rPr>
          <w:rFonts w:ascii="Times New Roman" w:hAnsi="Times New Roman"/>
          <w:lang w:val="es-ES"/>
        </w:rPr>
        <w:t>Además, se observa que la evolución de los salarios pactados guarda una cierta relación con la del empleo de modo que su incremento es mayor cuando se genera una cantidad elevada de empleos, desde 2000 a 2007, y sobre todo, lo contrario, es menor, e incluso negativo, cuando se destruyen empleos, un fenómeno que ha tenido lugar ya en otras décadas</w:t>
      </w:r>
      <w:r w:rsidR="00533781" w:rsidRPr="00162E61">
        <w:rPr>
          <w:rFonts w:ascii="Times New Roman" w:hAnsi="Times New Roman"/>
          <w:lang w:val="es-ES"/>
        </w:rPr>
        <w:t xml:space="preserve">. </w:t>
      </w:r>
      <w:r w:rsidRPr="00162E61">
        <w:rPr>
          <w:rFonts w:ascii="Times New Roman" w:hAnsi="Times New Roman"/>
          <w:lang w:val="es-ES"/>
        </w:rPr>
        <w:t xml:space="preserve">Por tanto, el incremento moderado de los salarios ha sido compatible con la </w:t>
      </w:r>
      <w:r w:rsidRPr="00D240E1">
        <w:rPr>
          <w:rFonts w:ascii="Times New Roman" w:hAnsi="Times New Roman"/>
          <w:lang w:val="es-ES"/>
        </w:rPr>
        <w:t xml:space="preserve">creación de empleo; de manera bastante generalizada, con pocas garantías de estabilidad. </w:t>
      </w:r>
    </w:p>
    <w:p w:rsidR="007B4AAD" w:rsidRDefault="007B4AAD" w:rsidP="007B4AAD">
      <w:pPr>
        <w:ind w:firstLine="708"/>
        <w:rPr>
          <w:rFonts w:ascii="Times New Roman" w:hAnsi="Times New Roman"/>
          <w:lang w:val="es-ES"/>
        </w:rPr>
      </w:pPr>
    </w:p>
    <w:tbl>
      <w:tblPr>
        <w:tblStyle w:val="TableGrid"/>
        <w:tblW w:w="0" w:type="auto"/>
        <w:tblInd w:w="-318" w:type="dxa"/>
        <w:tblLook w:val="04A0" w:firstRow="1" w:lastRow="0" w:firstColumn="1" w:lastColumn="0" w:noHBand="0" w:noVBand="1"/>
      </w:tblPr>
      <w:tblGrid>
        <w:gridCol w:w="1440"/>
        <w:gridCol w:w="1487"/>
        <w:gridCol w:w="1441"/>
        <w:gridCol w:w="1441"/>
        <w:gridCol w:w="1441"/>
        <w:gridCol w:w="1441"/>
      </w:tblGrid>
      <w:tr w:rsidR="009A7C5A" w:rsidRPr="001564A8" w:rsidTr="00DF4A60">
        <w:tc>
          <w:tcPr>
            <w:tcW w:w="1440" w:type="dxa"/>
            <w:tcBorders>
              <w:top w:val="single" w:sz="4" w:space="0" w:color="auto"/>
              <w:left w:val="single" w:sz="4" w:space="0" w:color="auto"/>
              <w:bottom w:val="single" w:sz="4" w:space="0" w:color="auto"/>
              <w:right w:val="single" w:sz="4" w:space="0" w:color="auto"/>
            </w:tcBorders>
          </w:tcPr>
          <w:p w:rsidR="009A7C5A" w:rsidRPr="00043645" w:rsidRDefault="009A7C5A" w:rsidP="007B4AAD">
            <w:pPr>
              <w:rPr>
                <w:rFonts w:ascii="Times New Roman" w:hAnsi="Times New Roman"/>
                <w:sz w:val="16"/>
                <w:szCs w:val="16"/>
                <w:lang w:val="es-ES"/>
              </w:rPr>
            </w:pP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Salarios</w:t>
            </w:r>
          </w:p>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Pactados/Revisados</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IPC</w:t>
            </w:r>
          </w:p>
        </w:tc>
        <w:tc>
          <w:tcPr>
            <w:tcW w:w="1441" w:type="dxa"/>
            <w:tcBorders>
              <w:top w:val="single" w:sz="4" w:space="0" w:color="auto"/>
              <w:left w:val="single" w:sz="4" w:space="0" w:color="auto"/>
              <w:bottom w:val="single" w:sz="4" w:space="0" w:color="auto"/>
              <w:right w:val="single" w:sz="4" w:space="0" w:color="auto"/>
            </w:tcBorders>
          </w:tcPr>
          <w:p w:rsidR="009A7C5A" w:rsidRPr="00043645" w:rsidRDefault="009A7C5A" w:rsidP="00DF4A60">
            <w:pPr>
              <w:jc w:val="center"/>
              <w:rPr>
                <w:rFonts w:asciiTheme="majorBidi" w:hAnsiTheme="majorBidi" w:cstheme="majorBidi"/>
                <w:sz w:val="16"/>
                <w:szCs w:val="16"/>
                <w:lang w:val="es-ES"/>
              </w:rPr>
            </w:pPr>
            <w:r w:rsidRPr="00043645">
              <w:rPr>
                <w:rFonts w:asciiTheme="majorBidi" w:hAnsiTheme="majorBidi" w:cstheme="majorBidi"/>
                <w:sz w:val="16"/>
                <w:szCs w:val="16"/>
                <w:lang w:val="es-ES"/>
              </w:rPr>
              <w:t>Aumentos salariales reales pactados (1)</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Empleo</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Jornada anual</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2000</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3,7</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4,0</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-0,3</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7,1</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1761,3</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2001</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3,7</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2,7</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1,0</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4,1</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1758,7</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2002</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3,8</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4,0</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2,8</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1756,3</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2003</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3,7</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2,6</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1,1</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3,5</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1752,9</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2004</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3,6</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3,2</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0,4</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1752,5</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2005</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3,7</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0,3</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5,3</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1751,8</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2006</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3,6</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2,7</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0,9</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4,6</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1750,2</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2007</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4,2</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3,4</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1748,3</w:t>
            </w:r>
          </w:p>
        </w:tc>
      </w:tr>
      <w:tr w:rsidR="009A7C5A" w:rsidTr="00DF4A60">
        <w:trPr>
          <w:trHeight w:val="70"/>
        </w:trPr>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2008</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3,6</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1,4</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2,2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-0,5</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1749,0</w:t>
            </w:r>
            <w:r w:rsidR="00F06FC0">
              <w:rPr>
                <w:rFonts w:ascii="Times New Roman" w:hAnsi="Times New Roman"/>
                <w:sz w:val="16"/>
                <w:szCs w:val="16"/>
                <w:lang w:val="es-ES"/>
              </w:rPr>
              <w:t xml:space="preserve"> </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2009</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0,8</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1,4</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-6,0</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1751,0</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2010</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3,0</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-0,8</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-2,1</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1751,2</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2011</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2,3</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2,4</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9A7C5A" w:rsidP="00DF4A60">
            <w:pPr>
              <w:jc w:val="center"/>
              <w:rPr>
                <w:rFonts w:asciiTheme="majorBidi" w:hAnsiTheme="majorBidi" w:cstheme="majorBidi"/>
                <w:sz w:val="16"/>
                <w:szCs w:val="16"/>
              </w:rPr>
            </w:pPr>
            <w:r w:rsidRPr="00533781">
              <w:rPr>
                <w:rFonts w:asciiTheme="majorBidi" w:hAnsiTheme="majorBidi" w:cstheme="majorBidi"/>
                <w:sz w:val="16"/>
                <w:szCs w:val="16"/>
              </w:rPr>
              <w:t>-0,1</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-1,6</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1737,0</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2012</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1,2</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533781" w:rsidP="007B4AAD">
            <w:pPr>
              <w:jc w:val="center"/>
              <w:rPr>
                <w:rFonts w:ascii="Times New Roman" w:hAnsi="Times New Roman"/>
                <w:sz w:val="16"/>
                <w:szCs w:val="16"/>
                <w:lang w:val="es-ES"/>
              </w:rPr>
            </w:pPr>
            <w:r>
              <w:rPr>
                <w:rFonts w:ascii="Times New Roman" w:hAnsi="Times New Roman"/>
                <w:sz w:val="16"/>
                <w:szCs w:val="16"/>
                <w:lang w:val="es-ES"/>
              </w:rPr>
              <w:t>2</w:t>
            </w:r>
            <w:r w:rsidR="009A7C5A" w:rsidRPr="00043645">
              <w:rPr>
                <w:rFonts w:ascii="Times New Roman" w:hAnsi="Times New Roman"/>
                <w:sz w:val="16"/>
                <w:szCs w:val="16"/>
                <w:lang w:val="es-ES"/>
              </w:rPr>
              <w:t>,9</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533781" w:rsidP="00DF4A60">
            <w:pPr>
              <w:jc w:val="center"/>
              <w:rPr>
                <w:rFonts w:asciiTheme="majorBidi" w:hAnsiTheme="majorBidi" w:cstheme="majorBidi"/>
                <w:sz w:val="16"/>
                <w:szCs w:val="16"/>
              </w:rPr>
            </w:pPr>
            <w:r w:rsidRPr="00533781">
              <w:rPr>
                <w:rFonts w:asciiTheme="majorBidi" w:hAnsiTheme="majorBidi" w:cstheme="majorBidi"/>
                <w:sz w:val="16"/>
                <w:szCs w:val="16"/>
              </w:rPr>
              <w:t>-</w:t>
            </w:r>
            <w:r w:rsidRPr="005A196C">
              <w:rPr>
                <w:rFonts w:asciiTheme="majorBidi" w:hAnsiTheme="majorBidi" w:cstheme="majorBidi"/>
                <w:color w:val="00B050"/>
                <w:sz w:val="16"/>
                <w:szCs w:val="16"/>
              </w:rPr>
              <w:t>1</w:t>
            </w:r>
            <w:r w:rsidR="009A7C5A" w:rsidRPr="005A196C">
              <w:rPr>
                <w:rFonts w:asciiTheme="majorBidi" w:hAnsiTheme="majorBidi" w:cstheme="majorBidi"/>
                <w:color w:val="00B050"/>
                <w:sz w:val="16"/>
                <w:szCs w:val="16"/>
              </w:rPr>
              <w:t>,7</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-5,7</w:t>
            </w: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1738,4</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2013</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0,5</w:t>
            </w:r>
          </w:p>
        </w:tc>
        <w:tc>
          <w:tcPr>
            <w:tcW w:w="1441" w:type="dxa"/>
            <w:tcBorders>
              <w:top w:val="single" w:sz="4" w:space="0" w:color="auto"/>
              <w:left w:val="single" w:sz="4" w:space="0" w:color="auto"/>
              <w:bottom w:val="single" w:sz="4" w:space="0" w:color="auto"/>
              <w:right w:val="single" w:sz="4" w:space="0" w:color="auto"/>
            </w:tcBorders>
          </w:tcPr>
          <w:p w:rsidR="009A7C5A" w:rsidRPr="00043645" w:rsidRDefault="00533781" w:rsidP="007B4AAD">
            <w:pPr>
              <w:jc w:val="center"/>
              <w:rPr>
                <w:rFonts w:ascii="Times New Roman" w:hAnsi="Times New Roman"/>
                <w:sz w:val="16"/>
                <w:szCs w:val="16"/>
                <w:lang w:val="es-ES"/>
              </w:rPr>
            </w:pPr>
            <w:r>
              <w:rPr>
                <w:rFonts w:ascii="Times New Roman" w:hAnsi="Times New Roman"/>
                <w:sz w:val="16"/>
                <w:szCs w:val="16"/>
                <w:lang w:val="es-ES"/>
              </w:rPr>
              <w:t>0.3</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533781" w:rsidP="00DF4A60">
            <w:pPr>
              <w:jc w:val="center"/>
              <w:rPr>
                <w:rFonts w:asciiTheme="majorBidi" w:hAnsiTheme="majorBidi" w:cstheme="majorBidi"/>
                <w:sz w:val="16"/>
                <w:szCs w:val="16"/>
              </w:rPr>
            </w:pPr>
            <w:r w:rsidRPr="00533781">
              <w:rPr>
                <w:rFonts w:asciiTheme="majorBidi" w:hAnsiTheme="majorBidi" w:cstheme="majorBidi"/>
                <w:sz w:val="16"/>
                <w:szCs w:val="16"/>
              </w:rPr>
              <w:t>0,2</w:t>
            </w:r>
          </w:p>
        </w:tc>
        <w:tc>
          <w:tcPr>
            <w:tcW w:w="1441" w:type="dxa"/>
            <w:tcBorders>
              <w:top w:val="single" w:sz="4" w:space="0" w:color="auto"/>
              <w:left w:val="single" w:sz="4" w:space="0" w:color="auto"/>
              <w:bottom w:val="single" w:sz="4" w:space="0" w:color="auto"/>
              <w:right w:val="single" w:sz="4" w:space="0" w:color="auto"/>
            </w:tcBorders>
          </w:tcPr>
          <w:p w:rsidR="009A7C5A" w:rsidRPr="00043645" w:rsidRDefault="009A7C5A" w:rsidP="007B4AAD">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303B27" w:rsidP="007B4AAD">
            <w:pPr>
              <w:jc w:val="center"/>
              <w:rPr>
                <w:rFonts w:ascii="Times New Roman" w:hAnsi="Times New Roman"/>
                <w:sz w:val="16"/>
                <w:szCs w:val="16"/>
                <w:lang w:val="es-ES"/>
              </w:rPr>
            </w:pPr>
            <w:r w:rsidRPr="00043645">
              <w:rPr>
                <w:rFonts w:ascii="Times New Roman" w:hAnsi="Times New Roman"/>
                <w:sz w:val="16"/>
                <w:szCs w:val="16"/>
                <w:lang w:val="es-ES"/>
              </w:rPr>
              <w:t>1740,2</w:t>
            </w:r>
          </w:p>
        </w:tc>
      </w:tr>
      <w:tr w:rsidR="009A7C5A" w:rsidTr="00DF4A60">
        <w:tc>
          <w:tcPr>
            <w:tcW w:w="1440"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rPr>
                <w:rFonts w:ascii="Times New Roman" w:hAnsi="Times New Roman"/>
                <w:sz w:val="16"/>
                <w:szCs w:val="16"/>
                <w:lang w:val="es-ES"/>
              </w:rPr>
            </w:pPr>
            <w:r w:rsidRPr="00043645">
              <w:rPr>
                <w:rFonts w:ascii="Times New Roman" w:hAnsi="Times New Roman"/>
                <w:sz w:val="16"/>
                <w:szCs w:val="16"/>
                <w:lang w:val="es-ES"/>
              </w:rPr>
              <w:t>2014*</w:t>
            </w:r>
          </w:p>
        </w:tc>
        <w:tc>
          <w:tcPr>
            <w:tcW w:w="1487"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0,6</w:t>
            </w:r>
          </w:p>
        </w:tc>
        <w:tc>
          <w:tcPr>
            <w:tcW w:w="1441" w:type="dxa"/>
            <w:tcBorders>
              <w:top w:val="single" w:sz="4" w:space="0" w:color="auto"/>
              <w:left w:val="single" w:sz="4" w:space="0" w:color="auto"/>
              <w:bottom w:val="single" w:sz="4" w:space="0" w:color="auto"/>
              <w:right w:val="single" w:sz="4" w:space="0" w:color="auto"/>
            </w:tcBorders>
          </w:tcPr>
          <w:p w:rsidR="009A7C5A" w:rsidRPr="00043645" w:rsidRDefault="00533781" w:rsidP="007B4AAD">
            <w:pPr>
              <w:jc w:val="center"/>
              <w:rPr>
                <w:rFonts w:ascii="Times New Roman" w:hAnsi="Times New Roman"/>
                <w:sz w:val="16"/>
                <w:szCs w:val="16"/>
                <w:lang w:val="es-ES"/>
              </w:rPr>
            </w:pPr>
            <w:r>
              <w:rPr>
                <w:rFonts w:ascii="Times New Roman" w:hAnsi="Times New Roman"/>
                <w:sz w:val="16"/>
                <w:szCs w:val="16"/>
                <w:lang w:val="es-ES"/>
              </w:rPr>
              <w:t>-1,0</w:t>
            </w:r>
          </w:p>
        </w:tc>
        <w:tc>
          <w:tcPr>
            <w:tcW w:w="1441" w:type="dxa"/>
            <w:tcBorders>
              <w:top w:val="single" w:sz="4" w:space="0" w:color="auto"/>
              <w:left w:val="single" w:sz="4" w:space="0" w:color="auto"/>
              <w:bottom w:val="single" w:sz="4" w:space="0" w:color="auto"/>
              <w:right w:val="single" w:sz="4" w:space="0" w:color="auto"/>
            </w:tcBorders>
          </w:tcPr>
          <w:p w:rsidR="009A7C5A" w:rsidRPr="00533781" w:rsidRDefault="00533781" w:rsidP="00DF4A60">
            <w:pPr>
              <w:jc w:val="center"/>
              <w:rPr>
                <w:rFonts w:asciiTheme="majorBidi" w:hAnsiTheme="majorBidi" w:cstheme="majorBidi"/>
                <w:sz w:val="16"/>
                <w:szCs w:val="16"/>
              </w:rPr>
            </w:pPr>
            <w:r w:rsidRPr="00533781">
              <w:rPr>
                <w:rFonts w:asciiTheme="majorBidi" w:hAnsiTheme="majorBidi" w:cstheme="majorBidi"/>
                <w:sz w:val="16"/>
                <w:szCs w:val="16"/>
              </w:rPr>
              <w:t>1,6</w:t>
            </w:r>
          </w:p>
        </w:tc>
        <w:tc>
          <w:tcPr>
            <w:tcW w:w="1441" w:type="dxa"/>
            <w:tcBorders>
              <w:top w:val="single" w:sz="4" w:space="0" w:color="auto"/>
              <w:left w:val="single" w:sz="4" w:space="0" w:color="auto"/>
              <w:bottom w:val="single" w:sz="4" w:space="0" w:color="auto"/>
              <w:right w:val="single" w:sz="4" w:space="0" w:color="auto"/>
            </w:tcBorders>
          </w:tcPr>
          <w:p w:rsidR="009A7C5A" w:rsidRPr="00043645" w:rsidRDefault="009A7C5A" w:rsidP="007B4AAD">
            <w:pPr>
              <w:jc w:val="center"/>
              <w:rPr>
                <w:rFonts w:ascii="Times New Roman" w:hAnsi="Times New Roman"/>
                <w:sz w:val="16"/>
                <w:szCs w:val="16"/>
                <w:lang w:val="es-ES"/>
              </w:rPr>
            </w:pPr>
          </w:p>
        </w:tc>
        <w:tc>
          <w:tcPr>
            <w:tcW w:w="1441" w:type="dxa"/>
            <w:tcBorders>
              <w:top w:val="single" w:sz="4" w:space="0" w:color="auto"/>
              <w:left w:val="single" w:sz="4" w:space="0" w:color="auto"/>
              <w:bottom w:val="single" w:sz="4" w:space="0" w:color="auto"/>
              <w:right w:val="single" w:sz="4" w:space="0" w:color="auto"/>
            </w:tcBorders>
            <w:hideMark/>
          </w:tcPr>
          <w:p w:rsidR="009A7C5A" w:rsidRPr="00043645" w:rsidRDefault="009A7C5A" w:rsidP="007B4AAD">
            <w:pPr>
              <w:jc w:val="center"/>
              <w:rPr>
                <w:rFonts w:ascii="Times New Roman" w:hAnsi="Times New Roman"/>
                <w:sz w:val="16"/>
                <w:szCs w:val="16"/>
                <w:lang w:val="es-ES"/>
              </w:rPr>
            </w:pPr>
            <w:r w:rsidRPr="00043645">
              <w:rPr>
                <w:rFonts w:ascii="Times New Roman" w:hAnsi="Times New Roman"/>
                <w:sz w:val="16"/>
                <w:szCs w:val="16"/>
                <w:lang w:val="es-ES"/>
              </w:rPr>
              <w:t>1755,</w:t>
            </w:r>
            <w:r w:rsidR="00303B27" w:rsidRPr="00043645">
              <w:rPr>
                <w:rFonts w:ascii="Times New Roman" w:hAnsi="Times New Roman"/>
                <w:sz w:val="16"/>
                <w:szCs w:val="16"/>
                <w:lang w:val="es-ES"/>
              </w:rPr>
              <w:t>6</w:t>
            </w:r>
          </w:p>
        </w:tc>
      </w:tr>
    </w:tbl>
    <w:p w:rsidR="007B4AAD" w:rsidRDefault="007B4AAD" w:rsidP="007B4AAD">
      <w:pPr>
        <w:ind w:left="0"/>
        <w:rPr>
          <w:rFonts w:ascii="Times New Roman" w:hAnsi="Times New Roman"/>
          <w:sz w:val="16"/>
          <w:szCs w:val="16"/>
          <w:lang w:val="es-ES"/>
        </w:rPr>
      </w:pPr>
    </w:p>
    <w:p w:rsidR="007B4AAD" w:rsidRPr="00D240E1" w:rsidRDefault="00DF4A60" w:rsidP="007B4AAD">
      <w:pPr>
        <w:rPr>
          <w:rFonts w:ascii="Times New Roman" w:hAnsi="Times New Roman"/>
          <w:sz w:val="16"/>
          <w:szCs w:val="16"/>
          <w:lang w:val="es-ES"/>
        </w:rPr>
      </w:pPr>
      <w:r w:rsidRPr="00D240E1">
        <w:rPr>
          <w:rFonts w:ascii="Times New Roman" w:hAnsi="Times New Roman"/>
          <w:sz w:val="16"/>
          <w:szCs w:val="16"/>
          <w:lang w:val="es-ES"/>
        </w:rPr>
        <w:t>Cuadro 5</w:t>
      </w:r>
      <w:r w:rsidR="007B4AAD" w:rsidRPr="00D240E1">
        <w:rPr>
          <w:rFonts w:ascii="Times New Roman" w:hAnsi="Times New Roman"/>
          <w:sz w:val="16"/>
          <w:szCs w:val="16"/>
          <w:lang w:val="es-ES"/>
        </w:rPr>
        <w:t>.- Evolución de los salarios pactados/revisados en la negociación colectiva, la inflación,</w:t>
      </w:r>
      <w:r w:rsidR="00C1184D">
        <w:rPr>
          <w:rFonts w:ascii="Times New Roman" w:hAnsi="Times New Roman"/>
          <w:sz w:val="16"/>
          <w:szCs w:val="16"/>
          <w:lang w:val="es-ES"/>
        </w:rPr>
        <w:t xml:space="preserve"> los aumentos salariales pactados, el empleo y</w:t>
      </w:r>
      <w:r w:rsidR="007B4AAD" w:rsidRPr="00D240E1">
        <w:rPr>
          <w:rFonts w:ascii="Times New Roman" w:hAnsi="Times New Roman"/>
          <w:sz w:val="16"/>
          <w:szCs w:val="16"/>
          <w:lang w:val="es-ES"/>
        </w:rPr>
        <w:t xml:space="preserve"> la jornada anual. </w:t>
      </w:r>
    </w:p>
    <w:p w:rsidR="007B4AAD" w:rsidRPr="00D240E1" w:rsidRDefault="007B4AAD" w:rsidP="007B4AAD">
      <w:pPr>
        <w:rPr>
          <w:rFonts w:ascii="Times New Roman" w:hAnsi="Times New Roman"/>
          <w:sz w:val="16"/>
          <w:szCs w:val="16"/>
          <w:lang w:val="es-ES"/>
        </w:rPr>
      </w:pPr>
      <w:r w:rsidRPr="00D240E1">
        <w:rPr>
          <w:rFonts w:ascii="Times New Roman" w:hAnsi="Times New Roman"/>
          <w:sz w:val="16"/>
          <w:szCs w:val="16"/>
          <w:lang w:val="es-ES"/>
        </w:rPr>
        <w:t>Fuente: Anuario de estadísticas del Ministerio de Empleo. Elaboración propia.</w:t>
      </w:r>
    </w:p>
    <w:p w:rsidR="002714B9" w:rsidRDefault="002714B9" w:rsidP="002714B9">
      <w:pPr>
        <w:ind w:left="0"/>
        <w:rPr>
          <w:rFonts w:ascii="Times New Roman" w:hAnsi="Times New Roman"/>
          <w:sz w:val="16"/>
          <w:szCs w:val="16"/>
          <w:lang w:val="es-ES"/>
        </w:rPr>
      </w:pPr>
      <w:r>
        <w:rPr>
          <w:rFonts w:ascii="Times New Roman" w:hAnsi="Times New Roman"/>
          <w:sz w:val="16"/>
          <w:szCs w:val="16"/>
          <w:lang w:val="es-ES"/>
        </w:rPr>
        <w:t>Aumentos salariales reales pactados (Diferencia salarios pactados/revisados respecto al IPC)</w:t>
      </w:r>
    </w:p>
    <w:p w:rsidR="007B4AAD" w:rsidRPr="00C50170" w:rsidRDefault="007B4AAD" w:rsidP="007B4AAD">
      <w:pPr>
        <w:ind w:left="0"/>
        <w:rPr>
          <w:rFonts w:ascii="Times New Roman" w:hAnsi="Times New Roman"/>
          <w:color w:val="00B050"/>
          <w:lang w:val="es-ES"/>
        </w:rPr>
      </w:pPr>
      <w:r w:rsidRPr="00C50170">
        <w:rPr>
          <w:rFonts w:ascii="Times New Roman" w:hAnsi="Times New Roman"/>
          <w:color w:val="00B050"/>
          <w:lang w:val="es-ES"/>
        </w:rPr>
        <w:tab/>
      </w:r>
    </w:p>
    <w:p w:rsidR="007B4AAD" w:rsidRPr="00D240E1" w:rsidRDefault="007B4AAD" w:rsidP="00CA44DB">
      <w:pPr>
        <w:rPr>
          <w:rFonts w:ascii="Times New Roman" w:hAnsi="Times New Roman"/>
          <w:lang w:val="es-ES"/>
        </w:rPr>
      </w:pPr>
      <w:r w:rsidRPr="00C50170">
        <w:rPr>
          <w:rFonts w:ascii="Times New Roman" w:hAnsi="Times New Roman"/>
          <w:color w:val="00B050"/>
          <w:lang w:val="es-ES"/>
        </w:rPr>
        <w:tab/>
      </w:r>
      <w:r w:rsidRPr="00C50170">
        <w:rPr>
          <w:rFonts w:ascii="Times New Roman" w:hAnsi="Times New Roman"/>
          <w:color w:val="00B050"/>
          <w:lang w:val="es-ES"/>
        </w:rPr>
        <w:tab/>
      </w:r>
      <w:r w:rsidRPr="00D240E1">
        <w:rPr>
          <w:rFonts w:ascii="Times New Roman" w:hAnsi="Times New Roman"/>
          <w:lang w:val="es-ES"/>
        </w:rPr>
        <w:t xml:space="preserve">Con respecto a la jornada media anual pactada en los convenios, la tendencia ha sido la reducción paulatina desde 2000 aunque en los primeros años de la crisis (ente 2008 y 2010) cambia de orientación para volver a descender después. Si se comparan los datos de los años completos de registro, </w:t>
      </w:r>
      <w:r w:rsidR="001042DD" w:rsidRPr="00D240E1">
        <w:rPr>
          <w:rFonts w:ascii="Times New Roman" w:hAnsi="Times New Roman"/>
          <w:lang w:val="es-ES"/>
        </w:rPr>
        <w:t>se percibe que entre 2000 y 2013</w:t>
      </w:r>
      <w:r w:rsidRPr="00D240E1">
        <w:rPr>
          <w:rFonts w:ascii="Times New Roman" w:hAnsi="Times New Roman"/>
          <w:lang w:val="es-ES"/>
        </w:rPr>
        <w:t>, la jornada me</w:t>
      </w:r>
      <w:r w:rsidR="001042DD" w:rsidRPr="00D240E1">
        <w:rPr>
          <w:rFonts w:ascii="Times New Roman" w:hAnsi="Times New Roman"/>
          <w:lang w:val="es-ES"/>
        </w:rPr>
        <w:t>dia pactada se ha reducido en 21,1 horas. Más recientemente, la de 2014, año en el</w:t>
      </w:r>
      <w:r w:rsidRPr="00D240E1">
        <w:rPr>
          <w:rFonts w:ascii="Times New Roman" w:hAnsi="Times New Roman"/>
          <w:lang w:val="es-ES"/>
        </w:rPr>
        <w:t xml:space="preserve"> que los registros</w:t>
      </w:r>
      <w:r w:rsidR="00D240E1">
        <w:rPr>
          <w:rFonts w:ascii="Times New Roman" w:hAnsi="Times New Roman"/>
          <w:lang w:val="es-ES"/>
        </w:rPr>
        <w:t xml:space="preserve"> de convenios son provisionales </w:t>
      </w:r>
      <w:r w:rsidRPr="00D240E1">
        <w:rPr>
          <w:rFonts w:ascii="Times New Roman" w:hAnsi="Times New Roman"/>
          <w:lang w:val="es-ES"/>
        </w:rPr>
        <w:t xml:space="preserve">todavía, </w:t>
      </w:r>
      <w:r w:rsidR="001042DD" w:rsidRPr="00D240E1">
        <w:rPr>
          <w:rFonts w:ascii="Times New Roman" w:hAnsi="Times New Roman"/>
          <w:lang w:val="es-ES"/>
        </w:rPr>
        <w:t>el número de horas es de 1740,2.</w:t>
      </w:r>
    </w:p>
    <w:p w:rsidR="008D6691" w:rsidRPr="008D6691" w:rsidRDefault="001042DD" w:rsidP="008D6691">
      <w:pPr>
        <w:ind w:firstLine="1026"/>
        <w:rPr>
          <w:rFonts w:ascii="Times New Roman" w:hAnsi="Times New Roman"/>
          <w:color w:val="00B050"/>
          <w:lang w:val="es-ES"/>
        </w:rPr>
      </w:pPr>
      <w:r>
        <w:rPr>
          <w:rFonts w:ascii="Times New Roman" w:hAnsi="Times New Roman"/>
          <w:lang w:val="es-ES"/>
        </w:rPr>
        <w:t>Se constata, pues, una cierta operatividad de la actividad negociadora. Los sindicatos han conseguido incrementos que han mejorado muy ligeramente la capacidad adquisitiva de los salarios</w:t>
      </w:r>
      <w:r w:rsidR="000A035C">
        <w:rPr>
          <w:rFonts w:ascii="Times New Roman" w:hAnsi="Times New Roman"/>
          <w:lang w:val="es-ES"/>
        </w:rPr>
        <w:t>, sobre todo,</w:t>
      </w:r>
      <w:r>
        <w:rPr>
          <w:rFonts w:ascii="Times New Roman" w:hAnsi="Times New Roman"/>
          <w:lang w:val="es-ES"/>
        </w:rPr>
        <w:t xml:space="preserve"> en los años de bonanza. También, un descenso leve del número de horas anuales.</w:t>
      </w:r>
      <w:r w:rsidR="004A327D">
        <w:rPr>
          <w:rFonts w:ascii="Times New Roman" w:hAnsi="Times New Roman"/>
          <w:color w:val="00B050"/>
          <w:lang w:val="es-ES"/>
        </w:rPr>
        <w:t xml:space="preserve"> </w:t>
      </w:r>
      <w:r w:rsidR="00BF31BC">
        <w:rPr>
          <w:rFonts w:ascii="Times New Roman" w:hAnsi="Times New Roman"/>
          <w:lang w:val="es-ES"/>
        </w:rPr>
        <w:t>Si se correlacionan los datos relativos a</w:t>
      </w:r>
      <w:r w:rsidR="00776FAC">
        <w:rPr>
          <w:rFonts w:ascii="Times New Roman" w:hAnsi="Times New Roman"/>
          <w:lang w:val="es-ES"/>
        </w:rPr>
        <w:t xml:space="preserve"> los incrementos salariales </w:t>
      </w:r>
      <w:r>
        <w:rPr>
          <w:rFonts w:ascii="Times New Roman" w:hAnsi="Times New Roman"/>
          <w:lang w:val="es-ES"/>
        </w:rPr>
        <w:t>pactados</w:t>
      </w:r>
      <w:r w:rsidR="00776FAC">
        <w:rPr>
          <w:rFonts w:ascii="Times New Roman" w:hAnsi="Times New Roman"/>
          <w:lang w:val="es-ES"/>
        </w:rPr>
        <w:t>/revisados</w:t>
      </w:r>
      <w:r>
        <w:rPr>
          <w:rFonts w:ascii="Times New Roman" w:hAnsi="Times New Roman"/>
          <w:lang w:val="es-ES"/>
        </w:rPr>
        <w:t xml:space="preserve"> (Cuadro 5) </w:t>
      </w:r>
      <w:r w:rsidR="005B43E2">
        <w:rPr>
          <w:rFonts w:ascii="Times New Roman" w:hAnsi="Times New Roman"/>
          <w:lang w:val="es-ES"/>
        </w:rPr>
        <w:t>y l</w:t>
      </w:r>
      <w:r>
        <w:rPr>
          <w:rFonts w:ascii="Times New Roman" w:hAnsi="Times New Roman"/>
          <w:lang w:val="es-ES"/>
        </w:rPr>
        <w:t>as tasas de paro</w:t>
      </w:r>
      <w:r w:rsidR="00E76B0A">
        <w:rPr>
          <w:rFonts w:ascii="Times New Roman" w:hAnsi="Times New Roman"/>
          <w:lang w:val="es-ES"/>
        </w:rPr>
        <w:t xml:space="preserve"> (Cuadro 1)</w:t>
      </w:r>
      <w:r w:rsidR="00D240E1">
        <w:rPr>
          <w:rFonts w:ascii="Times New Roman" w:hAnsi="Times New Roman"/>
          <w:lang w:val="es-ES"/>
        </w:rPr>
        <w:t xml:space="preserve">, </w:t>
      </w:r>
      <w:r w:rsidR="009E6065">
        <w:rPr>
          <w:rFonts w:ascii="Times New Roman" w:hAnsi="Times New Roman"/>
          <w:color w:val="00B0F0"/>
          <w:lang w:val="es-ES"/>
        </w:rPr>
        <w:t>en tanto que indicadores del poder estru</w:t>
      </w:r>
      <w:r w:rsidR="00B7736D">
        <w:rPr>
          <w:rFonts w:ascii="Times New Roman" w:hAnsi="Times New Roman"/>
          <w:color w:val="00B0F0"/>
          <w:lang w:val="es-ES"/>
        </w:rPr>
        <w:t>c</w:t>
      </w:r>
      <w:r w:rsidR="009E6065">
        <w:rPr>
          <w:rFonts w:ascii="Times New Roman" w:hAnsi="Times New Roman"/>
          <w:color w:val="00B0F0"/>
          <w:lang w:val="es-ES"/>
        </w:rPr>
        <w:t xml:space="preserve">tural, </w:t>
      </w:r>
      <w:r w:rsidR="00D240E1">
        <w:rPr>
          <w:rFonts w:ascii="Times New Roman" w:hAnsi="Times New Roman"/>
          <w:lang w:val="es-ES"/>
        </w:rPr>
        <w:t xml:space="preserve">se observa que </w:t>
      </w:r>
      <w:r w:rsidR="00776FAC">
        <w:rPr>
          <w:rFonts w:ascii="Times New Roman" w:hAnsi="Times New Roman"/>
          <w:lang w:val="es-ES"/>
        </w:rPr>
        <w:t>los mayores</w:t>
      </w:r>
      <w:r w:rsidR="008D6691">
        <w:rPr>
          <w:rFonts w:ascii="Times New Roman" w:hAnsi="Times New Roman"/>
          <w:lang w:val="es-ES"/>
        </w:rPr>
        <w:t xml:space="preserve"> han sido hasta 2008 </w:t>
      </w:r>
      <w:r w:rsidR="00776FAC">
        <w:rPr>
          <w:rFonts w:ascii="Times New Roman" w:hAnsi="Times New Roman"/>
          <w:lang w:val="es-ES"/>
        </w:rPr>
        <w:t>cuando las tasas de paro son inferiores al</w:t>
      </w:r>
      <w:r w:rsidR="008D6691">
        <w:rPr>
          <w:rFonts w:ascii="Times New Roman" w:hAnsi="Times New Roman"/>
          <w:lang w:val="es-ES"/>
        </w:rPr>
        <w:t xml:space="preserve"> 13,9 % y los menores</w:t>
      </w:r>
      <w:r w:rsidR="00776FAC">
        <w:rPr>
          <w:rFonts w:ascii="Times New Roman" w:hAnsi="Times New Roman"/>
          <w:lang w:val="es-ES"/>
        </w:rPr>
        <w:t xml:space="preserve"> cuando son superiores al 13,9 %. </w:t>
      </w:r>
      <w:r w:rsidR="008D6691">
        <w:rPr>
          <w:rFonts w:ascii="Times New Roman" w:hAnsi="Times New Roman"/>
          <w:lang w:val="es-ES"/>
        </w:rPr>
        <w:t xml:space="preserve">Si en lugar de los incrementos salariales pactados, se correlacionan los aumentos salariales, se observa el mismo fenómeno. </w:t>
      </w:r>
      <w:r w:rsidR="00776FAC">
        <w:rPr>
          <w:rFonts w:ascii="Times New Roman" w:hAnsi="Times New Roman"/>
          <w:lang w:val="es-ES"/>
        </w:rPr>
        <w:t>Por tanto, aunque los recursos estructurales han sido adversos a los sindicatos, y en época de crisis, muy adversos, no han sido tan determinantes.</w:t>
      </w:r>
      <w:r w:rsidR="008D6691">
        <w:rPr>
          <w:rFonts w:ascii="Times New Roman" w:hAnsi="Times New Roman"/>
          <w:lang w:val="es-ES"/>
        </w:rPr>
        <w:t xml:space="preserve"> </w:t>
      </w:r>
    </w:p>
    <w:p w:rsidR="00B7736D" w:rsidRDefault="009315D7" w:rsidP="008D6691">
      <w:pPr>
        <w:ind w:firstLine="1026"/>
        <w:rPr>
          <w:rFonts w:ascii="Times New Roman" w:hAnsi="Times New Roman"/>
          <w:lang w:val="es-ES"/>
        </w:rPr>
      </w:pPr>
      <w:r>
        <w:rPr>
          <w:rFonts w:ascii="Times New Roman" w:hAnsi="Times New Roman"/>
          <w:lang w:val="es-ES"/>
        </w:rPr>
        <w:t>En lo que se refiere a la co</w:t>
      </w:r>
      <w:r w:rsidR="005B43E2">
        <w:rPr>
          <w:rFonts w:ascii="Times New Roman" w:hAnsi="Times New Roman"/>
          <w:lang w:val="es-ES"/>
        </w:rPr>
        <w:t xml:space="preserve">rrespondencia de </w:t>
      </w:r>
      <w:r w:rsidR="00162E61">
        <w:rPr>
          <w:rFonts w:ascii="Times New Roman" w:hAnsi="Times New Roman"/>
          <w:lang w:val="es-ES"/>
        </w:rPr>
        <w:t>increm</w:t>
      </w:r>
      <w:r>
        <w:rPr>
          <w:rFonts w:ascii="Times New Roman" w:hAnsi="Times New Roman"/>
          <w:lang w:val="es-ES"/>
        </w:rPr>
        <w:t>entos s</w:t>
      </w:r>
      <w:r w:rsidR="00BA657E">
        <w:rPr>
          <w:rFonts w:ascii="Times New Roman" w:hAnsi="Times New Roman"/>
          <w:lang w:val="es-ES"/>
        </w:rPr>
        <w:t xml:space="preserve">alariales y tasas de afiliación, </w:t>
      </w:r>
      <w:r w:rsidR="0024249E">
        <w:rPr>
          <w:rFonts w:ascii="Times New Roman" w:hAnsi="Times New Roman"/>
          <w:lang w:val="es-ES"/>
        </w:rPr>
        <w:t>no se puede observar durante los años de crisis</w:t>
      </w:r>
      <w:r w:rsidR="00BA657E">
        <w:rPr>
          <w:rFonts w:ascii="Times New Roman" w:hAnsi="Times New Roman"/>
          <w:lang w:val="es-ES"/>
        </w:rPr>
        <w:t xml:space="preserve"> ya que no se dispone de información de las tasas más que hasta 2007</w:t>
      </w:r>
      <w:r w:rsidR="00DE78D9">
        <w:rPr>
          <w:rFonts w:ascii="Times New Roman" w:hAnsi="Times New Roman"/>
          <w:lang w:val="es-ES"/>
        </w:rPr>
        <w:t xml:space="preserve"> y de tres años</w:t>
      </w:r>
      <w:r w:rsidR="0024249E">
        <w:rPr>
          <w:rFonts w:ascii="Times New Roman" w:hAnsi="Times New Roman"/>
          <w:lang w:val="es-ES"/>
        </w:rPr>
        <w:t>. Aún así, las tasas en los años 2000, 2005 y 2007 eran de un 17, 17,5 y 19,3 % (Beneyto, 2008: 70)</w:t>
      </w:r>
      <w:r w:rsidR="003E61D3">
        <w:rPr>
          <w:rFonts w:ascii="Times New Roman" w:hAnsi="Times New Roman"/>
          <w:lang w:val="es-ES"/>
        </w:rPr>
        <w:t>, bajas, y los</w:t>
      </w:r>
      <w:r w:rsidR="00C1184D">
        <w:rPr>
          <w:rFonts w:ascii="Times New Roman" w:hAnsi="Times New Roman"/>
          <w:lang w:val="es-ES"/>
        </w:rPr>
        <w:t xml:space="preserve"> incrementos salariales de 3,7, 4 y 4,2 y los</w:t>
      </w:r>
      <w:r w:rsidR="003E61D3">
        <w:rPr>
          <w:rFonts w:ascii="Times New Roman" w:hAnsi="Times New Roman"/>
          <w:lang w:val="es-ES"/>
        </w:rPr>
        <w:t xml:space="preserve"> aumentos salariales -0,3, 0,3 y 0</w:t>
      </w:r>
      <w:r w:rsidR="00C1184D">
        <w:rPr>
          <w:rFonts w:ascii="Times New Roman" w:hAnsi="Times New Roman"/>
          <w:lang w:val="es-ES"/>
        </w:rPr>
        <w:t>. R</w:t>
      </w:r>
      <w:r w:rsidR="00B16B08">
        <w:rPr>
          <w:rFonts w:ascii="Times New Roman" w:hAnsi="Times New Roman"/>
          <w:lang w:val="es-ES"/>
        </w:rPr>
        <w:t xml:space="preserve">esulta difícil </w:t>
      </w:r>
      <w:r w:rsidR="009332E6">
        <w:rPr>
          <w:rFonts w:ascii="Times New Roman" w:hAnsi="Times New Roman"/>
          <w:lang w:val="es-ES"/>
        </w:rPr>
        <w:t>derivar</w:t>
      </w:r>
      <w:r w:rsidR="00B16B08">
        <w:rPr>
          <w:rFonts w:ascii="Times New Roman" w:hAnsi="Times New Roman"/>
          <w:lang w:val="es-ES"/>
        </w:rPr>
        <w:t xml:space="preserve"> algún tipo de</w:t>
      </w:r>
      <w:r w:rsidR="009332E6">
        <w:rPr>
          <w:rFonts w:ascii="Times New Roman" w:hAnsi="Times New Roman"/>
          <w:lang w:val="es-ES"/>
        </w:rPr>
        <w:t xml:space="preserve"> conclusión que relacionen unas y otros.</w:t>
      </w:r>
    </w:p>
    <w:p w:rsidR="00A11BA6" w:rsidRPr="00C73F97" w:rsidRDefault="00B7736D" w:rsidP="00FE3DB8">
      <w:pPr>
        <w:ind w:firstLine="1026"/>
        <w:rPr>
          <w:rFonts w:ascii="Times New Roman" w:hAnsi="Times New Roman"/>
          <w:lang w:val="es-ES"/>
        </w:rPr>
      </w:pPr>
      <w:r>
        <w:rPr>
          <w:rFonts w:ascii="Times New Roman" w:hAnsi="Times New Roman"/>
          <w:lang w:val="es-ES"/>
        </w:rPr>
        <w:t>Por último</w:t>
      </w:r>
      <w:r w:rsidR="009315D7">
        <w:rPr>
          <w:rFonts w:ascii="Times New Roman" w:hAnsi="Times New Roman"/>
          <w:lang w:val="es-ES"/>
        </w:rPr>
        <w:t>,</w:t>
      </w:r>
      <w:r>
        <w:rPr>
          <w:rFonts w:ascii="Times New Roman" w:hAnsi="Times New Roman"/>
          <w:lang w:val="es-ES"/>
        </w:rPr>
        <w:t xml:space="preserve"> la correlación</w:t>
      </w:r>
      <w:r w:rsidR="00C1184D">
        <w:rPr>
          <w:rFonts w:ascii="Times New Roman" w:hAnsi="Times New Roman"/>
          <w:lang w:val="es-ES"/>
        </w:rPr>
        <w:t xml:space="preserve"> de los incrementos salariales pactados</w:t>
      </w:r>
      <w:r w:rsidR="009315D7">
        <w:rPr>
          <w:rFonts w:ascii="Times New Roman" w:hAnsi="Times New Roman"/>
          <w:lang w:val="es-ES"/>
        </w:rPr>
        <w:t xml:space="preserve"> con la ultraactividad</w:t>
      </w:r>
      <w:r w:rsidR="00326145">
        <w:rPr>
          <w:rFonts w:ascii="Times New Roman" w:hAnsi="Times New Roman"/>
          <w:lang w:val="es-ES"/>
        </w:rPr>
        <w:t>, uno de los principales recursos que proporciona la negociación colectiva,</w:t>
      </w:r>
      <w:r w:rsidR="00182568">
        <w:rPr>
          <w:rFonts w:ascii="Times New Roman" w:hAnsi="Times New Roman"/>
          <w:lang w:val="es-ES"/>
        </w:rPr>
        <w:t xml:space="preserve"> </w:t>
      </w:r>
      <w:r w:rsidR="00504038">
        <w:rPr>
          <w:rFonts w:ascii="Times New Roman" w:hAnsi="Times New Roman"/>
          <w:lang w:val="es-ES"/>
        </w:rPr>
        <w:t>pone de manifiesto</w:t>
      </w:r>
      <w:r w:rsidR="00C1184D">
        <w:rPr>
          <w:rFonts w:ascii="Times New Roman" w:hAnsi="Times New Roman"/>
          <w:lang w:val="es-ES"/>
        </w:rPr>
        <w:t xml:space="preserve"> que todos los años han sido positivos, incluso, los que </w:t>
      </w:r>
      <w:r w:rsidR="00504038">
        <w:rPr>
          <w:rFonts w:ascii="Times New Roman" w:hAnsi="Times New Roman"/>
          <w:lang w:val="es-ES"/>
        </w:rPr>
        <w:t>ha estado</w:t>
      </w:r>
      <w:r w:rsidR="00C1184D">
        <w:rPr>
          <w:rFonts w:ascii="Times New Roman" w:hAnsi="Times New Roman"/>
          <w:lang w:val="es-ES"/>
        </w:rPr>
        <w:t xml:space="preserve"> limitada temporalmente. </w:t>
      </w:r>
      <w:r w:rsidR="00504038">
        <w:rPr>
          <w:rFonts w:ascii="Times New Roman" w:hAnsi="Times New Roman"/>
          <w:lang w:val="es-ES"/>
        </w:rPr>
        <w:t xml:space="preserve">Una evidencia de su importancia. Ahora bien, los incrementos salariales pactados han estado encuadrados por los pactos sociales que se han firmado casi todos los años del periodo analizado y en los que se han establecido criterios y recomendaciones concretas. </w:t>
      </w:r>
      <w:r w:rsidR="00533781" w:rsidRPr="00D240E1">
        <w:rPr>
          <w:rFonts w:ascii="Times New Roman" w:hAnsi="Times New Roman"/>
          <w:lang w:val="es-ES"/>
        </w:rPr>
        <w:t>Desde la perspectiva de la política sindical, este hecho ha sido criticado como uno de los claroscuros de la negociación colectiva ya que si por un lado refleja un cierto éxito, por otro, ha posibilitado la viabilidad económica de proyectos empresariales basados en la moderación salarial y en la segmentación del mercado laboral, esto es, en la existencia de un amplio segmento de trabajadores en condiciones precarias (Pitxer y Sánchez, 2008: 118).</w:t>
      </w:r>
      <w:r w:rsidR="00FE3DB8">
        <w:rPr>
          <w:rFonts w:ascii="Times New Roman" w:hAnsi="Times New Roman"/>
          <w:lang w:val="es-ES"/>
        </w:rPr>
        <w:t xml:space="preserve"> </w:t>
      </w:r>
      <w:r w:rsidR="00927428" w:rsidRPr="00C73F97">
        <w:rPr>
          <w:rFonts w:ascii="Times New Roman" w:hAnsi="Times New Roman"/>
          <w:lang w:val="es-ES"/>
        </w:rPr>
        <w:t xml:space="preserve">Han sido, pues, los </w:t>
      </w:r>
      <w:r w:rsidR="004009D8" w:rsidRPr="00C73F97">
        <w:rPr>
          <w:rFonts w:ascii="Times New Roman" w:hAnsi="Times New Roman"/>
          <w:lang w:val="es-ES"/>
        </w:rPr>
        <w:t xml:space="preserve">recursos </w:t>
      </w:r>
      <w:r w:rsidR="00927428" w:rsidRPr="00C73F97">
        <w:rPr>
          <w:rFonts w:ascii="Times New Roman" w:hAnsi="Times New Roman"/>
          <w:lang w:val="es-ES"/>
        </w:rPr>
        <w:t>de carácter institucional</w:t>
      </w:r>
      <w:r w:rsidR="006A4C46" w:rsidRPr="00C73F97">
        <w:rPr>
          <w:rFonts w:ascii="Times New Roman" w:hAnsi="Times New Roman"/>
          <w:lang w:val="es-ES"/>
        </w:rPr>
        <w:t xml:space="preserve"> los que han permitido</w:t>
      </w:r>
      <w:r w:rsidR="00F2346D" w:rsidRPr="00C73F97">
        <w:rPr>
          <w:rFonts w:ascii="Times New Roman" w:hAnsi="Times New Roman"/>
          <w:lang w:val="es-ES"/>
        </w:rPr>
        <w:t xml:space="preserve"> esos resultados y</w:t>
      </w:r>
      <w:r w:rsidR="006A4C46" w:rsidRPr="00C73F97">
        <w:rPr>
          <w:rFonts w:ascii="Times New Roman" w:hAnsi="Times New Roman"/>
          <w:lang w:val="es-ES"/>
        </w:rPr>
        <w:t xml:space="preserve"> los que han garantizado la continuidad de las condiciones laborales conseguidas.</w:t>
      </w:r>
    </w:p>
    <w:p w:rsidR="001A04A8" w:rsidRDefault="001A04A8" w:rsidP="000D483F">
      <w:pPr>
        <w:ind w:firstLine="1026"/>
        <w:rPr>
          <w:rFonts w:ascii="Times New Roman" w:hAnsi="Times New Roman"/>
          <w:b/>
          <w:bCs/>
          <w:lang w:val="es-ES"/>
        </w:rPr>
      </w:pPr>
    </w:p>
    <w:p w:rsidR="000D483F" w:rsidRDefault="001A04A8" w:rsidP="000D483F">
      <w:pPr>
        <w:ind w:firstLine="1026"/>
        <w:rPr>
          <w:rFonts w:ascii="Times New Roman" w:hAnsi="Times New Roman"/>
          <w:b/>
          <w:bCs/>
          <w:lang w:val="es-ES"/>
        </w:rPr>
      </w:pPr>
      <w:r>
        <w:rPr>
          <w:rFonts w:ascii="Times New Roman" w:hAnsi="Times New Roman"/>
          <w:b/>
          <w:bCs/>
          <w:lang w:val="es-ES"/>
        </w:rPr>
        <w:t xml:space="preserve"> </w:t>
      </w:r>
      <w:r w:rsidR="000D483F">
        <w:rPr>
          <w:rFonts w:ascii="Times New Roman" w:hAnsi="Times New Roman"/>
          <w:b/>
          <w:bCs/>
          <w:lang w:val="es-ES"/>
        </w:rPr>
        <w:t>Los todavía muy importantes recursos institucionales</w:t>
      </w:r>
    </w:p>
    <w:p w:rsidR="000D483F" w:rsidRDefault="000D483F" w:rsidP="000D483F">
      <w:pPr>
        <w:ind w:firstLine="1026"/>
        <w:rPr>
          <w:rFonts w:ascii="Times New Roman" w:hAnsi="Times New Roman"/>
          <w:lang w:val="es-ES"/>
        </w:rPr>
      </w:pPr>
    </w:p>
    <w:p w:rsidR="00447FEF" w:rsidRDefault="000D483F" w:rsidP="00447FEF">
      <w:pPr>
        <w:ind w:firstLine="1026"/>
        <w:rPr>
          <w:rFonts w:ascii="Times New Roman" w:hAnsi="Times New Roman"/>
          <w:lang w:val="es-ES"/>
        </w:rPr>
      </w:pPr>
      <w:r>
        <w:rPr>
          <w:rFonts w:ascii="Times New Roman" w:hAnsi="Times New Roman"/>
          <w:lang w:val="es-ES"/>
        </w:rPr>
        <w:t xml:space="preserve">En el artículo, se ha efectuado una aproximación a los recursos de poder de los sindicatos en España. Una aproximación efectuada a partir de la observación de la utilización que han hecho de los mismos en la negociación colectiva desde principios de siglo. Por tanto, antes y durante la crisis iniciada en 2008 de modo que se ha podido observar sus efectos y los de las medidas políticas que le han acompañado; también, las (re)acciones de los actores sociales, básicamente, de los sindicatos. </w:t>
      </w:r>
    </w:p>
    <w:p w:rsidR="000D483F" w:rsidRPr="003D138D" w:rsidRDefault="00A751AB" w:rsidP="00AA738F">
      <w:pPr>
        <w:ind w:firstLine="1026"/>
        <w:rPr>
          <w:rFonts w:ascii="Times New Roman" w:hAnsi="Times New Roman"/>
          <w:color w:val="FF0000"/>
          <w:lang w:val="es-ES"/>
        </w:rPr>
      </w:pPr>
      <w:r>
        <w:rPr>
          <w:rFonts w:ascii="Times New Roman" w:hAnsi="Times New Roman"/>
          <w:lang w:val="es-ES"/>
        </w:rPr>
        <w:lastRenderedPageBreak/>
        <w:t>En el entorno descrit</w:t>
      </w:r>
      <w:r w:rsidR="007033DB">
        <w:rPr>
          <w:rFonts w:ascii="Times New Roman" w:hAnsi="Times New Roman"/>
          <w:lang w:val="es-ES"/>
        </w:rPr>
        <w:t>o, los recursos institucionales han constituido</w:t>
      </w:r>
      <w:r w:rsidR="00C14A03">
        <w:rPr>
          <w:rFonts w:ascii="Times New Roman" w:hAnsi="Times New Roman"/>
          <w:lang w:val="es-ES"/>
        </w:rPr>
        <w:t xml:space="preserve"> </w:t>
      </w:r>
      <w:r w:rsidR="00C14A03" w:rsidRPr="00551382">
        <w:rPr>
          <w:rFonts w:ascii="Times New Roman" w:hAnsi="Times New Roman"/>
          <w:color w:val="FF0000"/>
          <w:lang w:val="es-ES"/>
        </w:rPr>
        <w:t>no sólo</w:t>
      </w:r>
      <w:r w:rsidR="007033DB">
        <w:rPr>
          <w:rFonts w:ascii="Times New Roman" w:hAnsi="Times New Roman"/>
          <w:lang w:val="es-ES"/>
        </w:rPr>
        <w:t xml:space="preserve"> los recursos</w:t>
      </w:r>
      <w:r w:rsidR="00C14A03">
        <w:rPr>
          <w:rFonts w:ascii="Times New Roman" w:hAnsi="Times New Roman"/>
          <w:lang w:val="es-ES"/>
        </w:rPr>
        <w:t xml:space="preserve"> prioritarios </w:t>
      </w:r>
      <w:r w:rsidR="007033DB">
        <w:rPr>
          <w:rFonts w:ascii="Times New Roman" w:hAnsi="Times New Roman"/>
          <w:lang w:val="es-ES"/>
        </w:rPr>
        <w:t>utilizados por los sindicatos en España</w:t>
      </w:r>
      <w:r w:rsidR="00C14A03">
        <w:rPr>
          <w:rFonts w:ascii="Times New Roman" w:hAnsi="Times New Roman"/>
          <w:lang w:val="es-ES"/>
        </w:rPr>
        <w:t xml:space="preserve"> en su estrategia y práctica negociadora sino también los más determinantes</w:t>
      </w:r>
      <w:r w:rsidR="00750986">
        <w:rPr>
          <w:rFonts w:ascii="Times New Roman" w:hAnsi="Times New Roman"/>
          <w:lang w:val="es-ES"/>
        </w:rPr>
        <w:t xml:space="preserve"> en la regulación de las condiciones labora</w:t>
      </w:r>
      <w:r w:rsidR="00FE3DB8">
        <w:rPr>
          <w:rFonts w:ascii="Times New Roman" w:hAnsi="Times New Roman"/>
          <w:lang w:val="es-ES"/>
        </w:rPr>
        <w:t xml:space="preserve">les, así como de su </w:t>
      </w:r>
      <w:r w:rsidR="00750986">
        <w:rPr>
          <w:rFonts w:ascii="Times New Roman" w:hAnsi="Times New Roman"/>
          <w:lang w:val="es-ES"/>
        </w:rPr>
        <w:t>garantía intemporal</w:t>
      </w:r>
      <w:r w:rsidR="00FE3DB8">
        <w:rPr>
          <w:rFonts w:ascii="Times New Roman" w:hAnsi="Times New Roman"/>
          <w:lang w:val="es-ES"/>
        </w:rPr>
        <w:t xml:space="preserve"> y sobre todo, de su cobertura</w:t>
      </w:r>
      <w:r w:rsidR="00750986">
        <w:rPr>
          <w:rFonts w:ascii="Times New Roman" w:hAnsi="Times New Roman"/>
          <w:lang w:val="es-ES"/>
        </w:rPr>
        <w:t xml:space="preserve">. </w:t>
      </w:r>
      <w:r w:rsidR="00E86BC6">
        <w:rPr>
          <w:rFonts w:ascii="Times New Roman" w:hAnsi="Times New Roman"/>
          <w:lang w:val="es-ES"/>
        </w:rPr>
        <w:t xml:space="preserve">Esta centralidad resulta obvia teniendo en cuenta los niveles de paro y precariedad contractual, </w:t>
      </w:r>
      <w:r w:rsidR="00CC48B6">
        <w:rPr>
          <w:rFonts w:ascii="Times New Roman" w:hAnsi="Times New Roman"/>
          <w:lang w:val="es-ES"/>
        </w:rPr>
        <w:t xml:space="preserve">esto es, los recursos estructurales, y los </w:t>
      </w:r>
      <w:r w:rsidR="00E86BC6">
        <w:rPr>
          <w:rFonts w:ascii="Times New Roman" w:hAnsi="Times New Roman"/>
          <w:lang w:val="es-ES"/>
        </w:rPr>
        <w:t>de afiliación</w:t>
      </w:r>
      <w:r w:rsidR="00CC48B6">
        <w:rPr>
          <w:rFonts w:ascii="Times New Roman" w:hAnsi="Times New Roman"/>
          <w:lang w:val="es-ES"/>
        </w:rPr>
        <w:t>, esto es, los asociativos</w:t>
      </w:r>
      <w:r w:rsidR="00E86BC6">
        <w:rPr>
          <w:rFonts w:ascii="Times New Roman" w:hAnsi="Times New Roman"/>
          <w:lang w:val="es-ES"/>
        </w:rPr>
        <w:t xml:space="preserve">. </w:t>
      </w:r>
    </w:p>
    <w:p w:rsidR="00144B54" w:rsidRDefault="000D483F" w:rsidP="00CC7DEF">
      <w:pPr>
        <w:ind w:firstLine="1026"/>
        <w:rPr>
          <w:rFonts w:ascii="Times New Roman" w:hAnsi="Times New Roman"/>
          <w:lang w:val="es-ES"/>
        </w:rPr>
      </w:pPr>
      <w:r>
        <w:rPr>
          <w:rFonts w:ascii="Times New Roman" w:hAnsi="Times New Roman"/>
          <w:lang w:val="es-ES"/>
        </w:rPr>
        <w:t>La operatividad de los recursos institucionales encuentra una importante fundamentación en la legislación que es la que permite automáticamente la eficacia general (sin intervención administrativa) y la prórroga del convenio si no se renueva, por tanto, el mantenimiento y continuidad de las condiciones laborales. Por ello, también son susceptibles de modificación por parte del estado lo que ha sucedido desde 1994. Las modificaciones han supuesto transferencias de materias a la negociación colectiva (lo que a su vez ha posibilitado la negociación de cláusulas de apertura en la regulación convencional), introducción de cláusulas de descuelgue en ciertas materias o limitaciones de la ultra</w:t>
      </w:r>
      <w:r w:rsidR="00B87AD6">
        <w:rPr>
          <w:rFonts w:ascii="Times New Roman" w:hAnsi="Times New Roman"/>
          <w:lang w:val="es-ES"/>
        </w:rPr>
        <w:t>a</w:t>
      </w:r>
      <w:r>
        <w:rPr>
          <w:rFonts w:ascii="Times New Roman" w:hAnsi="Times New Roman"/>
          <w:lang w:val="es-ES"/>
        </w:rPr>
        <w:t xml:space="preserve">ctividad. Estas modificaciones favorecen a los empresarios en detrimento de los sindicatos. </w:t>
      </w:r>
    </w:p>
    <w:p w:rsidR="00B22C16" w:rsidRDefault="000D483F" w:rsidP="00AA738F">
      <w:pPr>
        <w:ind w:firstLine="1026"/>
        <w:rPr>
          <w:rFonts w:ascii="Times New Roman" w:hAnsi="Times New Roman"/>
          <w:lang w:val="es-ES"/>
        </w:rPr>
      </w:pPr>
      <w:r>
        <w:rPr>
          <w:rFonts w:ascii="Times New Roman" w:hAnsi="Times New Roman"/>
          <w:lang w:val="es-ES"/>
        </w:rPr>
        <w:t>La utilización que han hecho los empresarios y sus asociaciones de las</w:t>
      </w:r>
      <w:r w:rsidR="00CC7DEF">
        <w:rPr>
          <w:rFonts w:ascii="Times New Roman" w:hAnsi="Times New Roman"/>
          <w:lang w:val="es-ES"/>
        </w:rPr>
        <w:t xml:space="preserve"> nuevas</w:t>
      </w:r>
      <w:r>
        <w:rPr>
          <w:rFonts w:ascii="Times New Roman" w:hAnsi="Times New Roman"/>
          <w:lang w:val="es-ES"/>
        </w:rPr>
        <w:t xml:space="preserve"> normas ha sido desigual. </w:t>
      </w:r>
      <w:r w:rsidR="00CC7DEF">
        <w:rPr>
          <w:rFonts w:ascii="Times New Roman" w:hAnsi="Times New Roman"/>
          <w:lang w:val="es-ES"/>
        </w:rPr>
        <w:t>En el caso de las cláusulas de descuelgue que socava la eficacia general</w:t>
      </w:r>
      <w:r w:rsidR="00B22C16">
        <w:rPr>
          <w:rFonts w:ascii="Times New Roman" w:hAnsi="Times New Roman"/>
          <w:lang w:val="es-ES"/>
        </w:rPr>
        <w:t>, ha sido</w:t>
      </w:r>
      <w:r w:rsidR="00CC7DEF">
        <w:rPr>
          <w:rFonts w:ascii="Times New Roman" w:hAnsi="Times New Roman"/>
          <w:lang w:val="es-ES"/>
        </w:rPr>
        <w:t xml:space="preserve"> muy </w:t>
      </w:r>
      <w:r w:rsidR="006F1525">
        <w:rPr>
          <w:rFonts w:ascii="Times New Roman" w:hAnsi="Times New Roman"/>
          <w:lang w:val="es-ES"/>
        </w:rPr>
        <w:t>reducid</w:t>
      </w:r>
      <w:r w:rsidR="00CC7DEF">
        <w:rPr>
          <w:rFonts w:ascii="Times New Roman" w:hAnsi="Times New Roman"/>
          <w:lang w:val="es-ES"/>
        </w:rPr>
        <w:t>a. En el caso de la limitación de la ultraactividad que reduce temporalmente la vigencia del convenio vencido, ha sido importante</w:t>
      </w:r>
      <w:r w:rsidR="00AA738F">
        <w:rPr>
          <w:rFonts w:ascii="Times New Roman" w:hAnsi="Times New Roman"/>
          <w:lang w:val="es-ES"/>
        </w:rPr>
        <w:t xml:space="preserve"> inicialmente</w:t>
      </w:r>
      <w:r w:rsidR="006F1525">
        <w:rPr>
          <w:rFonts w:ascii="Times New Roman" w:hAnsi="Times New Roman"/>
          <w:lang w:val="es-ES"/>
        </w:rPr>
        <w:t xml:space="preserve"> para conseguir sus demandas en la renovación de los convenios colectivos</w:t>
      </w:r>
      <w:r w:rsidR="00AA738F">
        <w:rPr>
          <w:rFonts w:ascii="Times New Roman" w:hAnsi="Times New Roman"/>
          <w:lang w:val="es-ES"/>
        </w:rPr>
        <w:t xml:space="preserve"> bloqueándola en numerosos sectores y empresas</w:t>
      </w:r>
      <w:r w:rsidR="006F1525">
        <w:rPr>
          <w:rFonts w:ascii="Times New Roman" w:hAnsi="Times New Roman"/>
          <w:lang w:val="es-ES"/>
        </w:rPr>
        <w:t>. Los sindicatos han</w:t>
      </w:r>
      <w:r w:rsidR="00B22C16">
        <w:rPr>
          <w:rFonts w:ascii="Times New Roman" w:hAnsi="Times New Roman"/>
          <w:lang w:val="es-ES"/>
        </w:rPr>
        <w:t xml:space="preserve"> respondido apelando al diálogo social y poniendo</w:t>
      </w:r>
      <w:r w:rsidR="006F1525">
        <w:rPr>
          <w:rFonts w:ascii="Times New Roman" w:hAnsi="Times New Roman"/>
          <w:lang w:val="es-ES"/>
        </w:rPr>
        <w:t xml:space="preserve"> en marcha</w:t>
      </w:r>
      <w:r w:rsidR="00B22C16">
        <w:rPr>
          <w:rFonts w:ascii="Times New Roman" w:hAnsi="Times New Roman"/>
          <w:lang w:val="es-ES"/>
        </w:rPr>
        <w:t xml:space="preserve"> estrategias para amortiguar los</w:t>
      </w:r>
      <w:r w:rsidR="006F1525">
        <w:rPr>
          <w:rFonts w:ascii="Times New Roman" w:hAnsi="Times New Roman"/>
          <w:lang w:val="es-ES"/>
        </w:rPr>
        <w:t xml:space="preserve"> potenciales efectos de la nueva norma mediante </w:t>
      </w:r>
      <w:r w:rsidR="00B22C16">
        <w:rPr>
          <w:rFonts w:ascii="Times New Roman" w:hAnsi="Times New Roman"/>
          <w:lang w:val="es-ES"/>
        </w:rPr>
        <w:t>la negociación de pactos que encuadren la regulación convencional lo que refuerza su base autónoma.</w:t>
      </w:r>
    </w:p>
    <w:p w:rsidR="000D483F" w:rsidRDefault="000D483F" w:rsidP="000D483F">
      <w:pPr>
        <w:ind w:firstLine="1026"/>
        <w:rPr>
          <w:rFonts w:ascii="Times New Roman" w:hAnsi="Times New Roman"/>
          <w:lang w:val="es-ES"/>
        </w:rPr>
      </w:pPr>
      <w:r>
        <w:rPr>
          <w:rFonts w:ascii="Times New Roman" w:hAnsi="Times New Roman"/>
          <w:lang w:val="es-ES"/>
        </w:rPr>
        <w:t xml:space="preserve">Se evidencia, pues, que la operatividad de los recursos institucionales tiene una clara dependencia de la matriz legislativa/legal pero también de la cultura de los sindicatos que los (re)crea y que tiene una importancia creciente. De ahí que a la hora de explicar los fundamentos de la eficiencia de los recursos institucionales, se considere que la perspectiva de Hyman y Ferner, más centrada en aspectos culturales, es complementaria de la de Traxler, más centrada en aspectos estructurales. Asimismo, se pone de manifiesto que la potencialidad de los recursos es reorientable, ya que los sindicatos tienen actualmente menos capacidad de influir políticamente en tanto que no han conseguido detener las reformas laborales que los han restringido. Con ello, hay que aceptar la capacidad explicativa de la hipótesis de Baccaro y Howell de que las instituciones se están reconvirtiendo. Por último, se comprueba que la permanencia institucional no asegura el poder político, tal como afirman Hamann y Martínez Lucio. </w:t>
      </w:r>
    </w:p>
    <w:p w:rsidR="000D483F" w:rsidRDefault="000D483F" w:rsidP="000D483F">
      <w:pPr>
        <w:ind w:firstLine="1026"/>
        <w:rPr>
          <w:rFonts w:ascii="Times New Roman" w:hAnsi="Times New Roman"/>
          <w:lang w:val="es-ES"/>
        </w:rPr>
      </w:pPr>
      <w:r>
        <w:rPr>
          <w:rFonts w:ascii="Times New Roman" w:hAnsi="Times New Roman"/>
          <w:lang w:val="es-ES"/>
        </w:rPr>
        <w:t>A pesar de una cierta remodelación y declinación, los recursos institucionales siguen siendo importantes en España para los sindicatos. Ahora bien, su reforzamiento constituye uno de los retos a los que se enfrentan porque si bien los mantienen utilizándolos de manera eficaz en tiempo de crisis corren el riesgo de que continúen menguando. Por otro lado, hay que precisar que el mantenimiento de una institución tradicional (la negociación colectiva subsectorial) no debe encubrir la importancia de los cambios en marcha en la determinación de las condiciones de trabajo, como lo constata la introducción de cláusulas abiertas</w:t>
      </w:r>
      <w:r w:rsidR="00B22C16">
        <w:rPr>
          <w:rFonts w:ascii="Times New Roman" w:hAnsi="Times New Roman"/>
          <w:lang w:val="es-ES"/>
        </w:rPr>
        <w:t xml:space="preserve"> que permitió la reforma de 1994</w:t>
      </w:r>
      <w:r>
        <w:rPr>
          <w:rFonts w:ascii="Times New Roman" w:hAnsi="Times New Roman"/>
          <w:lang w:val="es-ES"/>
        </w:rPr>
        <w:t>: entre otras razones, porque este tipo de ajustes puede estar reflejando el debilitamiento de instituciones sólidas (como las de la negociación colectiva subsectorial). Es lo que señalan Streeck y Thelen.  El examen del alcance y consecuencias de este tipo de ajustes es una de las tareas en la agenda de investigación futura.</w:t>
      </w:r>
    </w:p>
    <w:p w:rsidR="000D483F" w:rsidRDefault="000D483F" w:rsidP="000D483F">
      <w:pPr>
        <w:ind w:left="0"/>
        <w:rPr>
          <w:rFonts w:ascii="Times New Roman" w:hAnsi="Times New Roman"/>
          <w:b/>
          <w:lang w:val="es-ES"/>
        </w:rPr>
      </w:pPr>
    </w:p>
    <w:p w:rsidR="000D483F" w:rsidRDefault="000D483F" w:rsidP="000D483F">
      <w:pPr>
        <w:ind w:firstLine="708"/>
        <w:rPr>
          <w:rFonts w:ascii="Times New Roman" w:hAnsi="Times New Roman"/>
          <w:lang w:val="es-ES"/>
        </w:rPr>
      </w:pPr>
      <w:r>
        <w:rPr>
          <w:rFonts w:ascii="Times New Roman" w:hAnsi="Times New Roman"/>
          <w:b/>
          <w:lang w:val="es-ES"/>
        </w:rPr>
        <w:lastRenderedPageBreak/>
        <w:t>Referencias bibliográficas</w:t>
      </w:r>
    </w:p>
    <w:p w:rsidR="000D483F" w:rsidRDefault="000D483F" w:rsidP="000D483F">
      <w:pPr>
        <w:rPr>
          <w:rFonts w:ascii="Times New Roman" w:hAnsi="Times New Roman"/>
          <w:lang w:val="es-ES"/>
        </w:rPr>
      </w:pPr>
    </w:p>
    <w:p w:rsidR="000D483F" w:rsidRPr="00B87AD6" w:rsidRDefault="000D483F" w:rsidP="000D483F">
      <w:pPr>
        <w:rPr>
          <w:rFonts w:ascii="Times New Roman" w:hAnsi="Times New Roman"/>
          <w:lang w:val="es-ES"/>
        </w:rPr>
      </w:pPr>
      <w:r w:rsidRPr="00B87AD6">
        <w:rPr>
          <w:rFonts w:ascii="Times New Roman" w:hAnsi="Times New Roman"/>
          <w:lang w:val="es-ES"/>
        </w:rPr>
        <w:t xml:space="preserve">Alós, R. Beneyto, P. J., Jodar, P., Molina, O. y Vidal, S.,  (2014), </w:t>
      </w:r>
      <w:r w:rsidRPr="00B87AD6">
        <w:rPr>
          <w:rFonts w:ascii="Times New Roman" w:hAnsi="Times New Roman"/>
          <w:i/>
          <w:lang w:val="es-ES"/>
        </w:rPr>
        <w:t>Análisis de las elecciones sindicales (2003/2012)</w:t>
      </w:r>
      <w:r w:rsidRPr="00B87AD6">
        <w:rPr>
          <w:rFonts w:ascii="Times New Roman" w:hAnsi="Times New Roman"/>
          <w:lang w:val="es-ES"/>
        </w:rPr>
        <w:t>, Fundación Primero de Mayo, Madrid.</w:t>
      </w:r>
    </w:p>
    <w:p w:rsidR="000D483F" w:rsidRPr="00B87AD6" w:rsidRDefault="000D483F" w:rsidP="000D483F">
      <w:pPr>
        <w:rPr>
          <w:rFonts w:ascii="Times New Roman" w:hAnsi="Times New Roman"/>
          <w:lang w:val="en-US"/>
        </w:rPr>
      </w:pPr>
      <w:r w:rsidRPr="00B87AD6">
        <w:rPr>
          <w:rFonts w:ascii="Times New Roman" w:hAnsi="Times New Roman"/>
          <w:lang w:val="en-US"/>
        </w:rPr>
        <w:t>Baccaro</w:t>
      </w:r>
      <w:r w:rsidR="00B22C16" w:rsidRPr="00B87AD6">
        <w:rPr>
          <w:rFonts w:ascii="Times New Roman" w:hAnsi="Times New Roman"/>
          <w:lang w:val="en-US"/>
        </w:rPr>
        <w:t xml:space="preserve">, L. </w:t>
      </w:r>
      <w:r w:rsidRPr="00B87AD6">
        <w:rPr>
          <w:rFonts w:ascii="Times New Roman" w:hAnsi="Times New Roman"/>
          <w:lang w:val="en-US"/>
        </w:rPr>
        <w:t xml:space="preserve"> y Howell,</w:t>
      </w:r>
      <w:r w:rsidR="00B22C16" w:rsidRPr="00B87AD6">
        <w:rPr>
          <w:rFonts w:ascii="Times New Roman" w:hAnsi="Times New Roman"/>
          <w:lang w:val="en-US"/>
        </w:rPr>
        <w:t xml:space="preserve"> C. (2011), “A c</w:t>
      </w:r>
      <w:r w:rsidR="007C1638" w:rsidRPr="00B87AD6">
        <w:rPr>
          <w:rFonts w:ascii="Times New Roman" w:hAnsi="Times New Roman"/>
          <w:lang w:val="en-US"/>
        </w:rPr>
        <w:t xml:space="preserve">ommon neoliberal trajectory: the transformation of industrial relations in advanced capitalism” en </w:t>
      </w:r>
      <w:r w:rsidR="007C1638" w:rsidRPr="00B87AD6">
        <w:rPr>
          <w:rFonts w:ascii="Times New Roman" w:hAnsi="Times New Roman"/>
          <w:i/>
          <w:iCs/>
          <w:lang w:val="en-US"/>
        </w:rPr>
        <w:t>Politics &amp; Society</w:t>
      </w:r>
      <w:r w:rsidR="007C1638" w:rsidRPr="00B87AD6">
        <w:rPr>
          <w:rFonts w:ascii="Times New Roman" w:hAnsi="Times New Roman"/>
          <w:lang w:val="en-US"/>
        </w:rPr>
        <w:t xml:space="preserve"> 39 (4), pp. 521 – 563.</w:t>
      </w:r>
    </w:p>
    <w:p w:rsidR="000D483F" w:rsidRPr="00B87AD6" w:rsidRDefault="000D483F" w:rsidP="000D483F">
      <w:pPr>
        <w:rPr>
          <w:rFonts w:ascii="Times New Roman" w:hAnsi="Times New Roman"/>
          <w:lang w:val="es-ES"/>
        </w:rPr>
      </w:pPr>
      <w:r w:rsidRPr="00B87AD6">
        <w:rPr>
          <w:rFonts w:ascii="Times New Roman" w:hAnsi="Times New Roman"/>
          <w:lang w:val="es-ES"/>
        </w:rPr>
        <w:t xml:space="preserve">Beneyto, P. J. (2008), « El sindicalismo español en perspectiva europea: de la anomalía a la convergencia” en </w:t>
      </w:r>
      <w:r w:rsidRPr="00B87AD6">
        <w:rPr>
          <w:rFonts w:ascii="Times New Roman" w:hAnsi="Times New Roman"/>
          <w:i/>
          <w:lang w:val="es-ES"/>
        </w:rPr>
        <w:t>Cuadernos de relaciones laborales</w:t>
      </w:r>
      <w:r w:rsidRPr="00B87AD6">
        <w:rPr>
          <w:rFonts w:ascii="Times New Roman" w:hAnsi="Times New Roman"/>
          <w:lang w:val="es-ES"/>
        </w:rPr>
        <w:t xml:space="preserve"> vol. 26, núm. 1, Madrid, pp. 57-88.</w:t>
      </w:r>
    </w:p>
    <w:p w:rsidR="000D483F" w:rsidRPr="00B87AD6" w:rsidRDefault="000D483F" w:rsidP="000D483F">
      <w:pPr>
        <w:rPr>
          <w:rFonts w:ascii="Times New Roman" w:hAnsi="Times New Roman"/>
        </w:rPr>
      </w:pPr>
      <w:r w:rsidRPr="00B87AD6">
        <w:rPr>
          <w:rFonts w:ascii="Times New Roman" w:hAnsi="Times New Roman"/>
        </w:rPr>
        <w:t xml:space="preserve">Bevort, A. y Jobert, A. (2008), </w:t>
      </w:r>
      <w:r w:rsidRPr="00B87AD6">
        <w:rPr>
          <w:rFonts w:ascii="Times New Roman" w:hAnsi="Times New Roman"/>
          <w:i/>
        </w:rPr>
        <w:t>Sociologie du travail: les relations professionnelles</w:t>
      </w:r>
      <w:r w:rsidRPr="00B87AD6">
        <w:rPr>
          <w:rFonts w:ascii="Times New Roman" w:hAnsi="Times New Roman"/>
        </w:rPr>
        <w:t>, Armand Colin,  Paris.</w:t>
      </w:r>
    </w:p>
    <w:p w:rsidR="000D483F" w:rsidRPr="00B87AD6" w:rsidRDefault="000D483F" w:rsidP="000D483F">
      <w:pPr>
        <w:rPr>
          <w:rFonts w:ascii="Times New Roman" w:hAnsi="Times New Roman"/>
        </w:rPr>
      </w:pPr>
      <w:r w:rsidRPr="00B87AD6">
        <w:rPr>
          <w:rFonts w:ascii="Times New Roman" w:hAnsi="Times New Roman"/>
        </w:rPr>
        <w:t xml:space="preserve">Bispinck, R., Dribbusch, H y Schulten, T. (2010), “Erosion continue ou nouvelle stabilisation de la négociation collective de branche» en </w:t>
      </w:r>
      <w:r w:rsidRPr="00B87AD6">
        <w:rPr>
          <w:rFonts w:ascii="Times New Roman" w:hAnsi="Times New Roman"/>
          <w:i/>
        </w:rPr>
        <w:t>Chronique internationale de l’IRES</w:t>
      </w:r>
      <w:r w:rsidRPr="00B87AD6">
        <w:rPr>
          <w:rFonts w:ascii="Times New Roman" w:hAnsi="Times New Roman"/>
        </w:rPr>
        <w:t xml:space="preserve">, nº 126, Paris, pp. 39-56. </w:t>
      </w:r>
    </w:p>
    <w:p w:rsidR="000D483F" w:rsidRPr="00B87AD6" w:rsidRDefault="000D483F" w:rsidP="000D483F">
      <w:pPr>
        <w:rPr>
          <w:rFonts w:ascii="Times New Roman" w:hAnsi="Times New Roman"/>
        </w:rPr>
      </w:pPr>
      <w:r w:rsidRPr="00B87AD6">
        <w:rPr>
          <w:rFonts w:ascii="Times New Roman" w:hAnsi="Times New Roman"/>
        </w:rPr>
        <w:t xml:space="preserve">Bryson, A., </w:t>
      </w:r>
      <w:r w:rsidRPr="00B87AD6">
        <w:rPr>
          <w:rStyle w:val="hps"/>
          <w:rFonts w:ascii="Times New Roman" w:hAnsi="Times New Roman"/>
        </w:rPr>
        <w:t xml:space="preserve">Ebbinghaus, B. y Visser, J. (2011), “Introduction: causes, consequences and cures of union decline” en </w:t>
      </w:r>
      <w:r w:rsidRPr="00B87AD6">
        <w:rPr>
          <w:rFonts w:ascii="Times New Roman" w:hAnsi="Times New Roman"/>
          <w:i/>
        </w:rPr>
        <w:t>European Journal Industrial Relations</w:t>
      </w:r>
      <w:r w:rsidRPr="00B87AD6">
        <w:rPr>
          <w:rFonts w:ascii="Times New Roman" w:hAnsi="Times New Roman"/>
        </w:rPr>
        <w:t xml:space="preserve"> volumen 17 nº 2, Londres, pp. 97-105.</w:t>
      </w:r>
    </w:p>
    <w:p w:rsidR="001E493A" w:rsidRPr="00D16B6C" w:rsidRDefault="001E493A" w:rsidP="000D483F">
      <w:pPr>
        <w:rPr>
          <w:rFonts w:ascii="Times New Roman" w:hAnsi="Times New Roman"/>
          <w:lang w:val="es-ES"/>
        </w:rPr>
      </w:pPr>
      <w:r w:rsidRPr="00D16B6C">
        <w:rPr>
          <w:rFonts w:ascii="Times New Roman" w:hAnsi="Times New Roman"/>
          <w:lang w:val="es-ES"/>
        </w:rPr>
        <w:t>CES (2015)</w:t>
      </w:r>
      <w:r w:rsidR="00D16B6C" w:rsidRPr="00D16B6C">
        <w:rPr>
          <w:rFonts w:ascii="Times New Roman" w:hAnsi="Times New Roman"/>
          <w:lang w:val="es-ES"/>
        </w:rPr>
        <w:t xml:space="preserve">, </w:t>
      </w:r>
      <w:r w:rsidR="00D16B6C" w:rsidRPr="00D16B6C">
        <w:rPr>
          <w:rFonts w:ascii="Times New Roman" w:hAnsi="Times New Roman"/>
          <w:i/>
          <w:iCs/>
          <w:lang w:val="es-ES"/>
        </w:rPr>
        <w:t>Memoria socioeconómica y laboral de España 2014</w:t>
      </w:r>
      <w:r w:rsidR="00D16B6C" w:rsidRPr="00D16B6C">
        <w:rPr>
          <w:rFonts w:ascii="Times New Roman" w:hAnsi="Times New Roman"/>
          <w:lang w:val="es-ES"/>
        </w:rPr>
        <w:t>, Consejo Económico y Social, Madrid.</w:t>
      </w:r>
    </w:p>
    <w:p w:rsidR="000D483F" w:rsidRPr="00D16B6C" w:rsidRDefault="000D483F" w:rsidP="000D483F">
      <w:pPr>
        <w:rPr>
          <w:rFonts w:ascii="Times New Roman" w:hAnsi="Times New Roman"/>
          <w:lang w:val="es-ES"/>
        </w:rPr>
      </w:pPr>
      <w:r w:rsidRPr="00D16B6C">
        <w:rPr>
          <w:rFonts w:ascii="Times New Roman" w:hAnsi="Times New Roman"/>
          <w:lang w:val="es-ES"/>
        </w:rPr>
        <w:t xml:space="preserve">Frege, C. y Kelly, J. (2003), “Union revitalization strategies in comparative perspective” en </w:t>
      </w:r>
      <w:r w:rsidRPr="00D16B6C">
        <w:rPr>
          <w:rFonts w:ascii="Times New Roman" w:hAnsi="Times New Roman"/>
          <w:i/>
          <w:lang w:val="es-ES"/>
        </w:rPr>
        <w:t>European Journal Industrial Relations</w:t>
      </w:r>
      <w:r w:rsidRPr="00D16B6C">
        <w:rPr>
          <w:rFonts w:ascii="Times New Roman" w:hAnsi="Times New Roman"/>
          <w:lang w:val="es-ES"/>
        </w:rPr>
        <w:t xml:space="preserve"> volumen 9 nº 1, Londres, pp. 7-24.</w:t>
      </w:r>
    </w:p>
    <w:p w:rsidR="000D483F" w:rsidRPr="00D16B6C" w:rsidRDefault="000D483F" w:rsidP="000D483F">
      <w:pPr>
        <w:rPr>
          <w:rFonts w:ascii="Times New Roman" w:hAnsi="Times New Roman"/>
        </w:rPr>
      </w:pPr>
      <w:r w:rsidRPr="00D16B6C">
        <w:rPr>
          <w:rFonts w:ascii="Times New Roman" w:hAnsi="Times New Roman"/>
        </w:rPr>
        <w:t xml:space="preserve">Hamann, K. y Martínez Lucio, M. (2003), “Strategies of unión revitalization in Spain:negotiating change and fragmentation” en </w:t>
      </w:r>
      <w:r w:rsidRPr="00D16B6C">
        <w:rPr>
          <w:rFonts w:ascii="Times New Roman" w:hAnsi="Times New Roman"/>
          <w:i/>
        </w:rPr>
        <w:t>European Journal Industrial Relations</w:t>
      </w:r>
      <w:r w:rsidRPr="00D16B6C">
        <w:rPr>
          <w:rFonts w:ascii="Times New Roman" w:hAnsi="Times New Roman"/>
        </w:rPr>
        <w:t xml:space="preserve"> volumen 9 nº 1, Londres, pp. 61-78.</w:t>
      </w:r>
    </w:p>
    <w:p w:rsidR="000D483F" w:rsidRPr="00D16B6C" w:rsidRDefault="000D483F" w:rsidP="000D483F">
      <w:pPr>
        <w:rPr>
          <w:rFonts w:ascii="Times New Roman" w:hAnsi="Times New Roman"/>
          <w:lang w:val="es-ES"/>
        </w:rPr>
      </w:pPr>
      <w:r w:rsidRPr="00D16B6C">
        <w:rPr>
          <w:rFonts w:ascii="Times New Roman" w:hAnsi="Times New Roman"/>
          <w:lang w:val="es-ES"/>
        </w:rPr>
        <w:t xml:space="preserve">Ferner, A. y Hyman, R. (2002), « Introducción: ¿Hacia unas relaciones laborales europeas?” en Ferner, A. y Hyman, R., </w:t>
      </w:r>
      <w:r w:rsidRPr="00D16B6C">
        <w:rPr>
          <w:rFonts w:ascii="Times New Roman" w:hAnsi="Times New Roman"/>
          <w:i/>
          <w:lang w:val="es-ES"/>
        </w:rPr>
        <w:t>La transformación de las relaciones laborales en Europa</w:t>
      </w:r>
      <w:r w:rsidRPr="00D16B6C">
        <w:rPr>
          <w:rFonts w:ascii="Times New Roman" w:hAnsi="Times New Roman"/>
          <w:lang w:val="es-ES"/>
        </w:rPr>
        <w:t>, Ministerio de Trabajo y Seguridad Social, Madrid, pp. 15-33.</w:t>
      </w:r>
    </w:p>
    <w:p w:rsidR="000D483F" w:rsidRPr="00D16B6C" w:rsidRDefault="000D483F" w:rsidP="000D483F">
      <w:pPr>
        <w:rPr>
          <w:rFonts w:ascii="Times New Roman" w:hAnsi="Times New Roman"/>
          <w:lang w:val="en-US"/>
        </w:rPr>
      </w:pPr>
      <w:r w:rsidRPr="00D16B6C">
        <w:rPr>
          <w:rFonts w:ascii="Times New Roman" w:hAnsi="Times New Roman"/>
          <w:lang w:val="en-US"/>
        </w:rPr>
        <w:t>Gumbrell-McKornincks y Hyman (2013)</w:t>
      </w:r>
      <w:r w:rsidR="007C1638" w:rsidRPr="00D16B6C">
        <w:rPr>
          <w:rFonts w:ascii="Times New Roman" w:hAnsi="Times New Roman"/>
          <w:lang w:val="en-US"/>
        </w:rPr>
        <w:t xml:space="preserve">, </w:t>
      </w:r>
      <w:r w:rsidR="00B87AD6" w:rsidRPr="00D16B6C">
        <w:rPr>
          <w:rFonts w:ascii="Times New Roman" w:hAnsi="Times New Roman"/>
          <w:i/>
          <w:iCs/>
          <w:lang w:val="en-US"/>
        </w:rPr>
        <w:t>Trade unions in Western Europe</w:t>
      </w:r>
      <w:r w:rsidR="00B87AD6" w:rsidRPr="00D16B6C">
        <w:rPr>
          <w:rFonts w:ascii="Times New Roman" w:hAnsi="Times New Roman"/>
          <w:lang w:val="en-US"/>
        </w:rPr>
        <w:t>, Oxford University Press</w:t>
      </w:r>
      <w:r w:rsidR="00D16B6C">
        <w:rPr>
          <w:rFonts w:ascii="Times New Roman" w:hAnsi="Times New Roman"/>
          <w:lang w:val="en-US"/>
        </w:rPr>
        <w:t>.</w:t>
      </w:r>
    </w:p>
    <w:p w:rsidR="000D483F" w:rsidRPr="00D16B6C" w:rsidRDefault="000D483F" w:rsidP="000D483F">
      <w:pPr>
        <w:rPr>
          <w:rFonts w:ascii="Times New Roman" w:hAnsi="Times New Roman"/>
          <w:lang w:val="es-ES"/>
        </w:rPr>
      </w:pPr>
      <w:r w:rsidRPr="00D16B6C">
        <w:rPr>
          <w:rFonts w:ascii="Times New Roman" w:hAnsi="Times New Roman"/>
          <w:lang w:val="es-ES"/>
        </w:rPr>
        <w:t xml:space="preserve">Pitxer, J.V. y Sánchez, A. (2008), « Estrategias sindicales y modelo económico español” en </w:t>
      </w:r>
      <w:r w:rsidRPr="00D16B6C">
        <w:rPr>
          <w:rFonts w:ascii="Times New Roman" w:hAnsi="Times New Roman"/>
          <w:i/>
          <w:lang w:val="es-ES"/>
        </w:rPr>
        <w:t>Cuadernos de relaciones laborales</w:t>
      </w:r>
      <w:r w:rsidRPr="00D16B6C">
        <w:rPr>
          <w:rFonts w:ascii="Times New Roman" w:hAnsi="Times New Roman"/>
          <w:lang w:val="es-ES"/>
        </w:rPr>
        <w:t>, 26, núm. 1, pp. 89-122.</w:t>
      </w:r>
    </w:p>
    <w:p w:rsidR="000D483F" w:rsidRPr="00D16B6C" w:rsidRDefault="000D483F" w:rsidP="000D483F">
      <w:pPr>
        <w:rPr>
          <w:rFonts w:ascii="Times New Roman" w:hAnsi="Times New Roman"/>
          <w:lang w:val="en-US"/>
        </w:rPr>
      </w:pPr>
      <w:r w:rsidRPr="00D16B6C">
        <w:rPr>
          <w:rFonts w:ascii="Times New Roman" w:hAnsi="Times New Roman"/>
          <w:lang w:val="en-US"/>
        </w:rPr>
        <w:t xml:space="preserve">Rigby, M., Smith, R. y Lawlor, T. (1999), </w:t>
      </w:r>
      <w:r w:rsidRPr="00D16B6C">
        <w:rPr>
          <w:rFonts w:ascii="Times New Roman" w:hAnsi="Times New Roman"/>
          <w:i/>
          <w:lang w:val="en-US"/>
        </w:rPr>
        <w:t>European Trade Unions: change and response</w:t>
      </w:r>
      <w:r w:rsidRPr="00D16B6C">
        <w:rPr>
          <w:rFonts w:ascii="Times New Roman" w:hAnsi="Times New Roman"/>
          <w:lang w:val="en-US"/>
        </w:rPr>
        <w:t>, Londres, Routledge.</w:t>
      </w:r>
    </w:p>
    <w:p w:rsidR="000D483F" w:rsidRPr="00D16B6C" w:rsidRDefault="000D483F" w:rsidP="000D483F">
      <w:pPr>
        <w:rPr>
          <w:rFonts w:ascii="Times New Roman" w:hAnsi="Times New Roman"/>
          <w:lang w:val="es-ES"/>
        </w:rPr>
      </w:pPr>
      <w:r w:rsidRPr="00D16B6C">
        <w:rPr>
          <w:rFonts w:ascii="Times New Roman" w:hAnsi="Times New Roman"/>
          <w:lang w:val="es-ES"/>
        </w:rPr>
        <w:t xml:space="preserve">Silver, B. J. (2005), </w:t>
      </w:r>
      <w:r w:rsidRPr="00D16B6C">
        <w:rPr>
          <w:rFonts w:ascii="Times New Roman" w:hAnsi="Times New Roman"/>
          <w:i/>
          <w:lang w:val="es-ES"/>
        </w:rPr>
        <w:t>Fuerzas de trabajo, los movimientos obreros y la globalización desde 1870</w:t>
      </w:r>
      <w:r w:rsidRPr="00D16B6C">
        <w:rPr>
          <w:rFonts w:ascii="Times New Roman" w:hAnsi="Times New Roman"/>
          <w:lang w:val="es-ES"/>
        </w:rPr>
        <w:t>,  Akal, Madrid.</w:t>
      </w:r>
    </w:p>
    <w:p w:rsidR="000D483F" w:rsidRPr="00D16B6C" w:rsidRDefault="000D483F" w:rsidP="000D483F">
      <w:pPr>
        <w:rPr>
          <w:rFonts w:ascii="Times New Roman" w:hAnsi="Times New Roman"/>
          <w:lang w:val="en-US"/>
        </w:rPr>
      </w:pPr>
      <w:r w:rsidRPr="00D16B6C">
        <w:rPr>
          <w:rFonts w:ascii="Times New Roman" w:hAnsi="Times New Roman"/>
          <w:lang w:val="en-US"/>
        </w:rPr>
        <w:t xml:space="preserve">Streeck, W. y Thelen, K. (2005), “Introduction: Institutional change in advanced political economics” en Streeck, W. y Thelen, K., </w:t>
      </w:r>
      <w:r w:rsidRPr="00D16B6C">
        <w:rPr>
          <w:rFonts w:ascii="Times New Roman" w:hAnsi="Times New Roman"/>
          <w:i/>
          <w:lang w:val="en-US"/>
        </w:rPr>
        <w:t>Beyond Continuity. Institutional Change in advanced political economics</w:t>
      </w:r>
      <w:r w:rsidRPr="00D16B6C">
        <w:rPr>
          <w:rFonts w:ascii="Times New Roman" w:hAnsi="Times New Roman"/>
          <w:lang w:val="en-US"/>
        </w:rPr>
        <w:t>. Oxford University Press, Oxford, pp. 1-39.</w:t>
      </w:r>
    </w:p>
    <w:p w:rsidR="000D483F" w:rsidRPr="00D16B6C" w:rsidRDefault="000D483F" w:rsidP="000D483F">
      <w:pPr>
        <w:rPr>
          <w:rFonts w:ascii="Times New Roman" w:hAnsi="Times New Roman"/>
          <w:lang w:val="en-US"/>
        </w:rPr>
      </w:pPr>
      <w:r w:rsidRPr="00D16B6C">
        <w:rPr>
          <w:rFonts w:ascii="Times New Roman" w:hAnsi="Times New Roman"/>
          <w:lang w:val="en-US"/>
        </w:rPr>
        <w:t xml:space="preserve">Traxler, F. (2003), “Bargaining, state regulation and the trajectories of industrial relations” en </w:t>
      </w:r>
      <w:r w:rsidRPr="00D16B6C">
        <w:rPr>
          <w:rFonts w:ascii="Times New Roman" w:hAnsi="Times New Roman"/>
          <w:i/>
          <w:lang w:val="en-US"/>
        </w:rPr>
        <w:t>European Journal Industrial Relations</w:t>
      </w:r>
      <w:r w:rsidRPr="00D16B6C">
        <w:rPr>
          <w:rFonts w:ascii="Times New Roman" w:hAnsi="Times New Roman"/>
          <w:lang w:val="en-US"/>
        </w:rPr>
        <w:t xml:space="preserve"> volumen 9 nº 2, Londres, pp. 141-161.</w:t>
      </w:r>
    </w:p>
    <w:p w:rsidR="000D483F" w:rsidRDefault="000D483F" w:rsidP="000D483F">
      <w:pPr>
        <w:rPr>
          <w:rFonts w:ascii="Times New Roman" w:hAnsi="Times New Roman"/>
          <w:lang w:val="en-US"/>
        </w:rPr>
      </w:pPr>
    </w:p>
    <w:p w:rsidR="00005559" w:rsidRPr="000D483F" w:rsidRDefault="00005559">
      <w:pPr>
        <w:rPr>
          <w:rFonts w:asciiTheme="majorBidi" w:hAnsiTheme="majorBidi" w:cstheme="majorBidi"/>
          <w:lang w:val="en-US"/>
        </w:rPr>
      </w:pPr>
    </w:p>
    <w:sectPr w:rsidR="00005559" w:rsidRPr="000D483F" w:rsidSect="0000555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A7" w:rsidRDefault="000E3CA7" w:rsidP="006F742E">
      <w:r>
        <w:separator/>
      </w:r>
    </w:p>
  </w:endnote>
  <w:endnote w:type="continuationSeparator" w:id="0">
    <w:p w:rsidR="000E3CA7" w:rsidRDefault="000E3CA7" w:rsidP="006F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16" w:rsidRDefault="00B2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138"/>
      <w:docPartObj>
        <w:docPartGallery w:val="Page Numbers (Bottom of Page)"/>
        <w:docPartUnique/>
      </w:docPartObj>
    </w:sdtPr>
    <w:sdtEndPr/>
    <w:sdtContent>
      <w:p w:rsidR="00B22C16" w:rsidRDefault="00E40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22C16" w:rsidRDefault="00B2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16" w:rsidRDefault="00B2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A7" w:rsidRDefault="000E3CA7" w:rsidP="006F742E">
      <w:r>
        <w:separator/>
      </w:r>
    </w:p>
  </w:footnote>
  <w:footnote w:type="continuationSeparator" w:id="0">
    <w:p w:rsidR="000E3CA7" w:rsidRDefault="000E3CA7" w:rsidP="006F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16" w:rsidRDefault="00B2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16" w:rsidRDefault="00B2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16" w:rsidRDefault="00B2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E34D3"/>
    <w:multiLevelType w:val="hybridMultilevel"/>
    <w:tmpl w:val="8C1EF482"/>
    <w:lvl w:ilvl="0" w:tplc="A48C071E">
      <w:numFmt w:val="bullet"/>
      <w:lvlText w:val=""/>
      <w:lvlJc w:val="left"/>
      <w:pPr>
        <w:ind w:left="42" w:hanging="360"/>
      </w:pPr>
      <w:rPr>
        <w:rFonts w:ascii="Symbol" w:eastAsiaTheme="minorHAns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05"/>
    <w:rsid w:val="00005559"/>
    <w:rsid w:val="000061CA"/>
    <w:rsid w:val="00006D70"/>
    <w:rsid w:val="00043645"/>
    <w:rsid w:val="00057CAA"/>
    <w:rsid w:val="000866B4"/>
    <w:rsid w:val="000A035C"/>
    <w:rsid w:val="000B4D61"/>
    <w:rsid w:val="000D483F"/>
    <w:rsid w:val="000E076D"/>
    <w:rsid w:val="000E217F"/>
    <w:rsid w:val="000E3CA7"/>
    <w:rsid w:val="000E5FD7"/>
    <w:rsid w:val="001042DD"/>
    <w:rsid w:val="00130B41"/>
    <w:rsid w:val="00134450"/>
    <w:rsid w:val="001347AA"/>
    <w:rsid w:val="00144B54"/>
    <w:rsid w:val="001564A8"/>
    <w:rsid w:val="00162E61"/>
    <w:rsid w:val="00170FA4"/>
    <w:rsid w:val="00176847"/>
    <w:rsid w:val="00182568"/>
    <w:rsid w:val="001825B5"/>
    <w:rsid w:val="00182C49"/>
    <w:rsid w:val="001874C0"/>
    <w:rsid w:val="00192319"/>
    <w:rsid w:val="0019705B"/>
    <w:rsid w:val="001A04A8"/>
    <w:rsid w:val="001B036E"/>
    <w:rsid w:val="001B53D2"/>
    <w:rsid w:val="001B7B5B"/>
    <w:rsid w:val="001D1187"/>
    <w:rsid w:val="001E493A"/>
    <w:rsid w:val="001E5E31"/>
    <w:rsid w:val="002028A2"/>
    <w:rsid w:val="002045E2"/>
    <w:rsid w:val="002203B9"/>
    <w:rsid w:val="0024166E"/>
    <w:rsid w:val="0024249E"/>
    <w:rsid w:val="00244C00"/>
    <w:rsid w:val="00252CB8"/>
    <w:rsid w:val="00264425"/>
    <w:rsid w:val="002714B9"/>
    <w:rsid w:val="0029630C"/>
    <w:rsid w:val="002B285B"/>
    <w:rsid w:val="002B4BC8"/>
    <w:rsid w:val="002B4FA1"/>
    <w:rsid w:val="002E5DDB"/>
    <w:rsid w:val="002F15D6"/>
    <w:rsid w:val="003025CB"/>
    <w:rsid w:val="00303B27"/>
    <w:rsid w:val="00311F4F"/>
    <w:rsid w:val="00313A84"/>
    <w:rsid w:val="00326145"/>
    <w:rsid w:val="00345C1C"/>
    <w:rsid w:val="00354671"/>
    <w:rsid w:val="003766CA"/>
    <w:rsid w:val="00376A7B"/>
    <w:rsid w:val="00385067"/>
    <w:rsid w:val="003902DF"/>
    <w:rsid w:val="003B3A90"/>
    <w:rsid w:val="003D02C1"/>
    <w:rsid w:val="003D138D"/>
    <w:rsid w:val="003D2DAC"/>
    <w:rsid w:val="003E39A3"/>
    <w:rsid w:val="003E61D3"/>
    <w:rsid w:val="003F0479"/>
    <w:rsid w:val="004005A0"/>
    <w:rsid w:val="004009D8"/>
    <w:rsid w:val="00404B34"/>
    <w:rsid w:val="004060C9"/>
    <w:rsid w:val="0041757C"/>
    <w:rsid w:val="004201E4"/>
    <w:rsid w:val="00421062"/>
    <w:rsid w:val="00423A21"/>
    <w:rsid w:val="00431CB9"/>
    <w:rsid w:val="00433CEC"/>
    <w:rsid w:val="00445237"/>
    <w:rsid w:val="00447FEF"/>
    <w:rsid w:val="004541D7"/>
    <w:rsid w:val="004602BD"/>
    <w:rsid w:val="0046207B"/>
    <w:rsid w:val="00464A9C"/>
    <w:rsid w:val="00474137"/>
    <w:rsid w:val="004974F1"/>
    <w:rsid w:val="004A2CE5"/>
    <w:rsid w:val="004A327D"/>
    <w:rsid w:val="004B142A"/>
    <w:rsid w:val="004C2C6A"/>
    <w:rsid w:val="004C6464"/>
    <w:rsid w:val="004D58C6"/>
    <w:rsid w:val="004E1065"/>
    <w:rsid w:val="004E6CC4"/>
    <w:rsid w:val="00504038"/>
    <w:rsid w:val="005066F1"/>
    <w:rsid w:val="005163EF"/>
    <w:rsid w:val="00527440"/>
    <w:rsid w:val="00532DAD"/>
    <w:rsid w:val="00533543"/>
    <w:rsid w:val="00533781"/>
    <w:rsid w:val="005358B6"/>
    <w:rsid w:val="00540AB6"/>
    <w:rsid w:val="00551382"/>
    <w:rsid w:val="00554266"/>
    <w:rsid w:val="00554515"/>
    <w:rsid w:val="0056199D"/>
    <w:rsid w:val="00563E40"/>
    <w:rsid w:val="00576AEE"/>
    <w:rsid w:val="00576E63"/>
    <w:rsid w:val="00594093"/>
    <w:rsid w:val="00597B46"/>
    <w:rsid w:val="005A196C"/>
    <w:rsid w:val="005A73CD"/>
    <w:rsid w:val="005B43E2"/>
    <w:rsid w:val="005C08E7"/>
    <w:rsid w:val="005D397E"/>
    <w:rsid w:val="005E7A24"/>
    <w:rsid w:val="005F5F49"/>
    <w:rsid w:val="0060096A"/>
    <w:rsid w:val="006030C6"/>
    <w:rsid w:val="00606E25"/>
    <w:rsid w:val="006123DB"/>
    <w:rsid w:val="00614F43"/>
    <w:rsid w:val="00626F67"/>
    <w:rsid w:val="006275A2"/>
    <w:rsid w:val="00632643"/>
    <w:rsid w:val="006452DF"/>
    <w:rsid w:val="006527FD"/>
    <w:rsid w:val="00660035"/>
    <w:rsid w:val="00664EFD"/>
    <w:rsid w:val="00665C2E"/>
    <w:rsid w:val="00670E3B"/>
    <w:rsid w:val="00674391"/>
    <w:rsid w:val="00687504"/>
    <w:rsid w:val="00696EAC"/>
    <w:rsid w:val="006A4C46"/>
    <w:rsid w:val="006A7B04"/>
    <w:rsid w:val="006B14AC"/>
    <w:rsid w:val="006B1699"/>
    <w:rsid w:val="006B3D91"/>
    <w:rsid w:val="006B4879"/>
    <w:rsid w:val="006B7793"/>
    <w:rsid w:val="006E1939"/>
    <w:rsid w:val="006E3504"/>
    <w:rsid w:val="006F1525"/>
    <w:rsid w:val="006F742E"/>
    <w:rsid w:val="00700865"/>
    <w:rsid w:val="00701DDC"/>
    <w:rsid w:val="007033DB"/>
    <w:rsid w:val="0070371C"/>
    <w:rsid w:val="00705A5D"/>
    <w:rsid w:val="007131AB"/>
    <w:rsid w:val="00721C39"/>
    <w:rsid w:val="00725279"/>
    <w:rsid w:val="00735E7B"/>
    <w:rsid w:val="00744DD9"/>
    <w:rsid w:val="00750986"/>
    <w:rsid w:val="00757B2E"/>
    <w:rsid w:val="00766C4E"/>
    <w:rsid w:val="00776FAC"/>
    <w:rsid w:val="007830E1"/>
    <w:rsid w:val="00784F03"/>
    <w:rsid w:val="00785128"/>
    <w:rsid w:val="007A17D7"/>
    <w:rsid w:val="007A3FED"/>
    <w:rsid w:val="007B4AAD"/>
    <w:rsid w:val="007C1638"/>
    <w:rsid w:val="007C3ED4"/>
    <w:rsid w:val="007D13BA"/>
    <w:rsid w:val="0081638A"/>
    <w:rsid w:val="00831F77"/>
    <w:rsid w:val="00842A3D"/>
    <w:rsid w:val="0084369F"/>
    <w:rsid w:val="00855FC8"/>
    <w:rsid w:val="00856CA4"/>
    <w:rsid w:val="008A1DDE"/>
    <w:rsid w:val="008A2FD8"/>
    <w:rsid w:val="008A338C"/>
    <w:rsid w:val="008B534B"/>
    <w:rsid w:val="008C490F"/>
    <w:rsid w:val="008D575B"/>
    <w:rsid w:val="008D6691"/>
    <w:rsid w:val="008E09C9"/>
    <w:rsid w:val="008E1B40"/>
    <w:rsid w:val="008E7C88"/>
    <w:rsid w:val="008F1C68"/>
    <w:rsid w:val="00901A1B"/>
    <w:rsid w:val="00905BBD"/>
    <w:rsid w:val="00912AB2"/>
    <w:rsid w:val="00914531"/>
    <w:rsid w:val="009203CF"/>
    <w:rsid w:val="00923E98"/>
    <w:rsid w:val="00927428"/>
    <w:rsid w:val="009315D7"/>
    <w:rsid w:val="009332E6"/>
    <w:rsid w:val="00934424"/>
    <w:rsid w:val="009865C9"/>
    <w:rsid w:val="009A7C5A"/>
    <w:rsid w:val="009B2777"/>
    <w:rsid w:val="009B34CE"/>
    <w:rsid w:val="009E6028"/>
    <w:rsid w:val="009E6065"/>
    <w:rsid w:val="00A11BA6"/>
    <w:rsid w:val="00A201C5"/>
    <w:rsid w:val="00A313A0"/>
    <w:rsid w:val="00A51EAE"/>
    <w:rsid w:val="00A558E3"/>
    <w:rsid w:val="00A57FD6"/>
    <w:rsid w:val="00A72120"/>
    <w:rsid w:val="00A751AB"/>
    <w:rsid w:val="00A82C91"/>
    <w:rsid w:val="00A835DA"/>
    <w:rsid w:val="00A865C8"/>
    <w:rsid w:val="00AA738F"/>
    <w:rsid w:val="00AA7871"/>
    <w:rsid w:val="00AB2813"/>
    <w:rsid w:val="00AC5A63"/>
    <w:rsid w:val="00AD5F8E"/>
    <w:rsid w:val="00AE423D"/>
    <w:rsid w:val="00AF1257"/>
    <w:rsid w:val="00B010CE"/>
    <w:rsid w:val="00B06245"/>
    <w:rsid w:val="00B07271"/>
    <w:rsid w:val="00B12625"/>
    <w:rsid w:val="00B16B08"/>
    <w:rsid w:val="00B226B6"/>
    <w:rsid w:val="00B22C16"/>
    <w:rsid w:val="00B24B23"/>
    <w:rsid w:val="00B33533"/>
    <w:rsid w:val="00B336FE"/>
    <w:rsid w:val="00B44D1A"/>
    <w:rsid w:val="00B5661E"/>
    <w:rsid w:val="00B607BA"/>
    <w:rsid w:val="00B7736D"/>
    <w:rsid w:val="00B8205F"/>
    <w:rsid w:val="00B839E2"/>
    <w:rsid w:val="00B87AD6"/>
    <w:rsid w:val="00B95063"/>
    <w:rsid w:val="00BA0216"/>
    <w:rsid w:val="00BA657E"/>
    <w:rsid w:val="00BA6773"/>
    <w:rsid w:val="00BB5175"/>
    <w:rsid w:val="00BB5CEA"/>
    <w:rsid w:val="00BC5F2F"/>
    <w:rsid w:val="00BD11DA"/>
    <w:rsid w:val="00BD3A4B"/>
    <w:rsid w:val="00BD7FCE"/>
    <w:rsid w:val="00BE7A7C"/>
    <w:rsid w:val="00BF0CF1"/>
    <w:rsid w:val="00BF31BC"/>
    <w:rsid w:val="00BF4288"/>
    <w:rsid w:val="00BF50E9"/>
    <w:rsid w:val="00BF5D35"/>
    <w:rsid w:val="00C06B11"/>
    <w:rsid w:val="00C1184D"/>
    <w:rsid w:val="00C14A03"/>
    <w:rsid w:val="00C15451"/>
    <w:rsid w:val="00C35534"/>
    <w:rsid w:val="00C401B1"/>
    <w:rsid w:val="00C42D39"/>
    <w:rsid w:val="00C45010"/>
    <w:rsid w:val="00C473AA"/>
    <w:rsid w:val="00C50170"/>
    <w:rsid w:val="00C524D1"/>
    <w:rsid w:val="00C565AD"/>
    <w:rsid w:val="00C73F97"/>
    <w:rsid w:val="00C77DB5"/>
    <w:rsid w:val="00C813BA"/>
    <w:rsid w:val="00CA44DB"/>
    <w:rsid w:val="00CC48B6"/>
    <w:rsid w:val="00CC7DEF"/>
    <w:rsid w:val="00CD1620"/>
    <w:rsid w:val="00CD35F6"/>
    <w:rsid w:val="00CF78FF"/>
    <w:rsid w:val="00D005DD"/>
    <w:rsid w:val="00D11BB6"/>
    <w:rsid w:val="00D168A5"/>
    <w:rsid w:val="00D16B6C"/>
    <w:rsid w:val="00D240E1"/>
    <w:rsid w:val="00D371DE"/>
    <w:rsid w:val="00D407FD"/>
    <w:rsid w:val="00D4308C"/>
    <w:rsid w:val="00D50A2B"/>
    <w:rsid w:val="00D55EAA"/>
    <w:rsid w:val="00D56AD1"/>
    <w:rsid w:val="00D67201"/>
    <w:rsid w:val="00D75DF1"/>
    <w:rsid w:val="00D94DF0"/>
    <w:rsid w:val="00D9710F"/>
    <w:rsid w:val="00DB191D"/>
    <w:rsid w:val="00DC5D97"/>
    <w:rsid w:val="00DD69AD"/>
    <w:rsid w:val="00DE5D4C"/>
    <w:rsid w:val="00DE7419"/>
    <w:rsid w:val="00DE78D9"/>
    <w:rsid w:val="00DF4A60"/>
    <w:rsid w:val="00E07EA3"/>
    <w:rsid w:val="00E402E7"/>
    <w:rsid w:val="00E53588"/>
    <w:rsid w:val="00E53CCE"/>
    <w:rsid w:val="00E74518"/>
    <w:rsid w:val="00E74F34"/>
    <w:rsid w:val="00E7687D"/>
    <w:rsid w:val="00E76B0A"/>
    <w:rsid w:val="00E86BC6"/>
    <w:rsid w:val="00E944E0"/>
    <w:rsid w:val="00EA0AF4"/>
    <w:rsid w:val="00EB56E4"/>
    <w:rsid w:val="00EC5347"/>
    <w:rsid w:val="00ED1C4A"/>
    <w:rsid w:val="00ED2202"/>
    <w:rsid w:val="00ED55DE"/>
    <w:rsid w:val="00ED5B3C"/>
    <w:rsid w:val="00ED7F03"/>
    <w:rsid w:val="00EE53E6"/>
    <w:rsid w:val="00F06FC0"/>
    <w:rsid w:val="00F2346D"/>
    <w:rsid w:val="00F37182"/>
    <w:rsid w:val="00FA2394"/>
    <w:rsid w:val="00FA3869"/>
    <w:rsid w:val="00FC6977"/>
    <w:rsid w:val="00FD1335"/>
    <w:rsid w:val="00FE3DB8"/>
    <w:rsid w:val="00FE76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ind w:left="-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3F"/>
    <w:rPr>
      <w:sz w:val="24"/>
      <w:szCs w:val="24"/>
      <w:lang w:val="fr-FR"/>
    </w:rPr>
  </w:style>
  <w:style w:type="paragraph" w:styleId="Heading1">
    <w:name w:val="heading 1"/>
    <w:basedOn w:val="Normal"/>
    <w:next w:val="Normal"/>
    <w:link w:val="Heading1Char"/>
    <w:uiPriority w:val="9"/>
    <w:qFormat/>
    <w:rsid w:val="00B226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26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26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26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26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26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26B6"/>
    <w:pPr>
      <w:spacing w:before="240" w:after="60"/>
      <w:outlineLvl w:val="6"/>
    </w:pPr>
  </w:style>
  <w:style w:type="paragraph" w:styleId="Heading8">
    <w:name w:val="heading 8"/>
    <w:basedOn w:val="Normal"/>
    <w:next w:val="Normal"/>
    <w:link w:val="Heading8Char"/>
    <w:uiPriority w:val="9"/>
    <w:semiHidden/>
    <w:unhideWhenUsed/>
    <w:qFormat/>
    <w:rsid w:val="00B226B6"/>
    <w:pPr>
      <w:spacing w:before="240" w:after="60"/>
      <w:outlineLvl w:val="7"/>
    </w:pPr>
    <w:rPr>
      <w:i/>
      <w:iCs/>
    </w:rPr>
  </w:style>
  <w:style w:type="paragraph" w:styleId="Heading9">
    <w:name w:val="heading 9"/>
    <w:basedOn w:val="Normal"/>
    <w:next w:val="Normal"/>
    <w:link w:val="Heading9Char"/>
    <w:uiPriority w:val="9"/>
    <w:semiHidden/>
    <w:unhideWhenUsed/>
    <w:qFormat/>
    <w:rsid w:val="00B226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26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26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26B6"/>
    <w:rPr>
      <w:b/>
      <w:bCs/>
      <w:sz w:val="28"/>
      <w:szCs w:val="28"/>
    </w:rPr>
  </w:style>
  <w:style w:type="character" w:customStyle="1" w:styleId="Heading5Char">
    <w:name w:val="Heading 5 Char"/>
    <w:basedOn w:val="DefaultParagraphFont"/>
    <w:link w:val="Heading5"/>
    <w:uiPriority w:val="9"/>
    <w:semiHidden/>
    <w:rsid w:val="00B226B6"/>
    <w:rPr>
      <w:b/>
      <w:bCs/>
      <w:i/>
      <w:iCs/>
      <w:sz w:val="26"/>
      <w:szCs w:val="26"/>
    </w:rPr>
  </w:style>
  <w:style w:type="character" w:customStyle="1" w:styleId="Heading6Char">
    <w:name w:val="Heading 6 Char"/>
    <w:basedOn w:val="DefaultParagraphFont"/>
    <w:link w:val="Heading6"/>
    <w:uiPriority w:val="9"/>
    <w:semiHidden/>
    <w:rsid w:val="00B226B6"/>
    <w:rPr>
      <w:b/>
      <w:bCs/>
    </w:rPr>
  </w:style>
  <w:style w:type="character" w:customStyle="1" w:styleId="Heading7Char">
    <w:name w:val="Heading 7 Char"/>
    <w:basedOn w:val="DefaultParagraphFont"/>
    <w:link w:val="Heading7"/>
    <w:uiPriority w:val="9"/>
    <w:semiHidden/>
    <w:rsid w:val="00B226B6"/>
    <w:rPr>
      <w:sz w:val="24"/>
      <w:szCs w:val="24"/>
    </w:rPr>
  </w:style>
  <w:style w:type="character" w:customStyle="1" w:styleId="Heading8Char">
    <w:name w:val="Heading 8 Char"/>
    <w:basedOn w:val="DefaultParagraphFont"/>
    <w:link w:val="Heading8"/>
    <w:uiPriority w:val="9"/>
    <w:semiHidden/>
    <w:rsid w:val="00B226B6"/>
    <w:rPr>
      <w:i/>
      <w:iCs/>
      <w:sz w:val="24"/>
      <w:szCs w:val="24"/>
    </w:rPr>
  </w:style>
  <w:style w:type="character" w:customStyle="1" w:styleId="Heading9Char">
    <w:name w:val="Heading 9 Char"/>
    <w:basedOn w:val="DefaultParagraphFont"/>
    <w:link w:val="Heading9"/>
    <w:uiPriority w:val="9"/>
    <w:semiHidden/>
    <w:rsid w:val="00B226B6"/>
    <w:rPr>
      <w:rFonts w:asciiTheme="majorHAnsi" w:eastAsiaTheme="majorEastAsia" w:hAnsiTheme="majorHAnsi"/>
    </w:rPr>
  </w:style>
  <w:style w:type="paragraph" w:styleId="Title">
    <w:name w:val="Title"/>
    <w:basedOn w:val="Normal"/>
    <w:next w:val="Normal"/>
    <w:link w:val="TitleChar"/>
    <w:uiPriority w:val="10"/>
    <w:qFormat/>
    <w:rsid w:val="00B226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26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26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26B6"/>
    <w:rPr>
      <w:rFonts w:asciiTheme="majorHAnsi" w:eastAsiaTheme="majorEastAsia" w:hAnsiTheme="majorHAnsi"/>
      <w:sz w:val="24"/>
      <w:szCs w:val="24"/>
    </w:rPr>
  </w:style>
  <w:style w:type="character" w:styleId="Strong">
    <w:name w:val="Strong"/>
    <w:basedOn w:val="DefaultParagraphFont"/>
    <w:uiPriority w:val="22"/>
    <w:qFormat/>
    <w:rsid w:val="00B226B6"/>
    <w:rPr>
      <w:b/>
      <w:bCs/>
    </w:rPr>
  </w:style>
  <w:style w:type="character" w:styleId="Emphasis">
    <w:name w:val="Emphasis"/>
    <w:basedOn w:val="DefaultParagraphFont"/>
    <w:uiPriority w:val="20"/>
    <w:qFormat/>
    <w:rsid w:val="00B226B6"/>
    <w:rPr>
      <w:rFonts w:asciiTheme="minorHAnsi" w:hAnsiTheme="minorHAnsi"/>
      <w:b/>
      <w:i/>
      <w:iCs/>
    </w:rPr>
  </w:style>
  <w:style w:type="paragraph" w:styleId="NoSpacing">
    <w:name w:val="No Spacing"/>
    <w:basedOn w:val="Normal"/>
    <w:uiPriority w:val="1"/>
    <w:qFormat/>
    <w:rsid w:val="00B226B6"/>
    <w:rPr>
      <w:szCs w:val="32"/>
    </w:rPr>
  </w:style>
  <w:style w:type="paragraph" w:styleId="ListParagraph">
    <w:name w:val="List Paragraph"/>
    <w:basedOn w:val="Normal"/>
    <w:uiPriority w:val="34"/>
    <w:qFormat/>
    <w:rsid w:val="00B226B6"/>
    <w:pPr>
      <w:ind w:left="720"/>
      <w:contextualSpacing/>
    </w:pPr>
  </w:style>
  <w:style w:type="paragraph" w:styleId="Quote">
    <w:name w:val="Quote"/>
    <w:basedOn w:val="Normal"/>
    <w:next w:val="Normal"/>
    <w:link w:val="QuoteChar"/>
    <w:uiPriority w:val="29"/>
    <w:qFormat/>
    <w:rsid w:val="00B226B6"/>
    <w:rPr>
      <w:i/>
    </w:rPr>
  </w:style>
  <w:style w:type="character" w:customStyle="1" w:styleId="QuoteChar">
    <w:name w:val="Quote Char"/>
    <w:basedOn w:val="DefaultParagraphFont"/>
    <w:link w:val="Quote"/>
    <w:uiPriority w:val="29"/>
    <w:rsid w:val="00B226B6"/>
    <w:rPr>
      <w:i/>
      <w:sz w:val="24"/>
      <w:szCs w:val="24"/>
    </w:rPr>
  </w:style>
  <w:style w:type="paragraph" w:styleId="IntenseQuote">
    <w:name w:val="Intense Quote"/>
    <w:basedOn w:val="Normal"/>
    <w:next w:val="Normal"/>
    <w:link w:val="IntenseQuoteChar"/>
    <w:uiPriority w:val="30"/>
    <w:qFormat/>
    <w:rsid w:val="00B226B6"/>
    <w:pPr>
      <w:ind w:left="720" w:right="720"/>
    </w:pPr>
    <w:rPr>
      <w:b/>
      <w:i/>
      <w:szCs w:val="22"/>
    </w:rPr>
  </w:style>
  <w:style w:type="character" w:customStyle="1" w:styleId="IntenseQuoteChar">
    <w:name w:val="Intense Quote Char"/>
    <w:basedOn w:val="DefaultParagraphFont"/>
    <w:link w:val="IntenseQuote"/>
    <w:uiPriority w:val="30"/>
    <w:rsid w:val="00B226B6"/>
    <w:rPr>
      <w:b/>
      <w:i/>
      <w:sz w:val="24"/>
    </w:rPr>
  </w:style>
  <w:style w:type="character" w:styleId="SubtleEmphasis">
    <w:name w:val="Subtle Emphasis"/>
    <w:uiPriority w:val="19"/>
    <w:qFormat/>
    <w:rsid w:val="00B226B6"/>
    <w:rPr>
      <w:i/>
      <w:color w:val="5A5A5A" w:themeColor="text1" w:themeTint="A5"/>
    </w:rPr>
  </w:style>
  <w:style w:type="character" w:styleId="IntenseEmphasis">
    <w:name w:val="Intense Emphasis"/>
    <w:basedOn w:val="DefaultParagraphFont"/>
    <w:uiPriority w:val="21"/>
    <w:qFormat/>
    <w:rsid w:val="00B226B6"/>
    <w:rPr>
      <w:b/>
      <w:i/>
      <w:sz w:val="24"/>
      <w:szCs w:val="24"/>
      <w:u w:val="single"/>
    </w:rPr>
  </w:style>
  <w:style w:type="character" w:styleId="SubtleReference">
    <w:name w:val="Subtle Reference"/>
    <w:basedOn w:val="DefaultParagraphFont"/>
    <w:uiPriority w:val="31"/>
    <w:qFormat/>
    <w:rsid w:val="00B226B6"/>
    <w:rPr>
      <w:sz w:val="24"/>
      <w:szCs w:val="24"/>
      <w:u w:val="single"/>
    </w:rPr>
  </w:style>
  <w:style w:type="character" w:styleId="IntenseReference">
    <w:name w:val="Intense Reference"/>
    <w:basedOn w:val="DefaultParagraphFont"/>
    <w:uiPriority w:val="32"/>
    <w:qFormat/>
    <w:rsid w:val="00B226B6"/>
    <w:rPr>
      <w:b/>
      <w:sz w:val="24"/>
      <w:u w:val="single"/>
    </w:rPr>
  </w:style>
  <w:style w:type="character" w:styleId="BookTitle">
    <w:name w:val="Book Title"/>
    <w:basedOn w:val="DefaultParagraphFont"/>
    <w:uiPriority w:val="33"/>
    <w:qFormat/>
    <w:rsid w:val="00B226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26B6"/>
    <w:pPr>
      <w:outlineLvl w:val="9"/>
    </w:pPr>
  </w:style>
  <w:style w:type="character" w:customStyle="1" w:styleId="hps">
    <w:name w:val="hps"/>
    <w:basedOn w:val="DefaultParagraphFont"/>
    <w:rsid w:val="000D483F"/>
  </w:style>
  <w:style w:type="table" w:styleId="TableGrid">
    <w:name w:val="Table Grid"/>
    <w:basedOn w:val="TableNormal"/>
    <w:uiPriority w:val="59"/>
    <w:rsid w:val="000D483F"/>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F742E"/>
    <w:pPr>
      <w:tabs>
        <w:tab w:val="center" w:pos="4252"/>
        <w:tab w:val="right" w:pos="8504"/>
      </w:tabs>
    </w:pPr>
  </w:style>
  <w:style w:type="character" w:customStyle="1" w:styleId="HeaderChar">
    <w:name w:val="Header Char"/>
    <w:basedOn w:val="DefaultParagraphFont"/>
    <w:link w:val="Header"/>
    <w:uiPriority w:val="99"/>
    <w:semiHidden/>
    <w:rsid w:val="006F742E"/>
    <w:rPr>
      <w:sz w:val="24"/>
      <w:szCs w:val="24"/>
      <w:lang w:val="fr-FR"/>
    </w:rPr>
  </w:style>
  <w:style w:type="paragraph" w:styleId="Footer">
    <w:name w:val="footer"/>
    <w:basedOn w:val="Normal"/>
    <w:link w:val="FooterChar"/>
    <w:uiPriority w:val="99"/>
    <w:unhideWhenUsed/>
    <w:rsid w:val="006F742E"/>
    <w:pPr>
      <w:tabs>
        <w:tab w:val="center" w:pos="4252"/>
        <w:tab w:val="right" w:pos="8504"/>
      </w:tabs>
    </w:pPr>
  </w:style>
  <w:style w:type="character" w:customStyle="1" w:styleId="FooterChar">
    <w:name w:val="Footer Char"/>
    <w:basedOn w:val="DefaultParagraphFont"/>
    <w:link w:val="Footer"/>
    <w:uiPriority w:val="99"/>
    <w:rsid w:val="006F742E"/>
    <w:rPr>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ind w:left="-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3F"/>
    <w:rPr>
      <w:sz w:val="24"/>
      <w:szCs w:val="24"/>
      <w:lang w:val="fr-FR"/>
    </w:rPr>
  </w:style>
  <w:style w:type="paragraph" w:styleId="Heading1">
    <w:name w:val="heading 1"/>
    <w:basedOn w:val="Normal"/>
    <w:next w:val="Normal"/>
    <w:link w:val="Heading1Char"/>
    <w:uiPriority w:val="9"/>
    <w:qFormat/>
    <w:rsid w:val="00B226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26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26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26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26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26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26B6"/>
    <w:pPr>
      <w:spacing w:before="240" w:after="60"/>
      <w:outlineLvl w:val="6"/>
    </w:pPr>
  </w:style>
  <w:style w:type="paragraph" w:styleId="Heading8">
    <w:name w:val="heading 8"/>
    <w:basedOn w:val="Normal"/>
    <w:next w:val="Normal"/>
    <w:link w:val="Heading8Char"/>
    <w:uiPriority w:val="9"/>
    <w:semiHidden/>
    <w:unhideWhenUsed/>
    <w:qFormat/>
    <w:rsid w:val="00B226B6"/>
    <w:pPr>
      <w:spacing w:before="240" w:after="60"/>
      <w:outlineLvl w:val="7"/>
    </w:pPr>
    <w:rPr>
      <w:i/>
      <w:iCs/>
    </w:rPr>
  </w:style>
  <w:style w:type="paragraph" w:styleId="Heading9">
    <w:name w:val="heading 9"/>
    <w:basedOn w:val="Normal"/>
    <w:next w:val="Normal"/>
    <w:link w:val="Heading9Char"/>
    <w:uiPriority w:val="9"/>
    <w:semiHidden/>
    <w:unhideWhenUsed/>
    <w:qFormat/>
    <w:rsid w:val="00B226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26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26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26B6"/>
    <w:rPr>
      <w:b/>
      <w:bCs/>
      <w:sz w:val="28"/>
      <w:szCs w:val="28"/>
    </w:rPr>
  </w:style>
  <w:style w:type="character" w:customStyle="1" w:styleId="Heading5Char">
    <w:name w:val="Heading 5 Char"/>
    <w:basedOn w:val="DefaultParagraphFont"/>
    <w:link w:val="Heading5"/>
    <w:uiPriority w:val="9"/>
    <w:semiHidden/>
    <w:rsid w:val="00B226B6"/>
    <w:rPr>
      <w:b/>
      <w:bCs/>
      <w:i/>
      <w:iCs/>
      <w:sz w:val="26"/>
      <w:szCs w:val="26"/>
    </w:rPr>
  </w:style>
  <w:style w:type="character" w:customStyle="1" w:styleId="Heading6Char">
    <w:name w:val="Heading 6 Char"/>
    <w:basedOn w:val="DefaultParagraphFont"/>
    <w:link w:val="Heading6"/>
    <w:uiPriority w:val="9"/>
    <w:semiHidden/>
    <w:rsid w:val="00B226B6"/>
    <w:rPr>
      <w:b/>
      <w:bCs/>
    </w:rPr>
  </w:style>
  <w:style w:type="character" w:customStyle="1" w:styleId="Heading7Char">
    <w:name w:val="Heading 7 Char"/>
    <w:basedOn w:val="DefaultParagraphFont"/>
    <w:link w:val="Heading7"/>
    <w:uiPriority w:val="9"/>
    <w:semiHidden/>
    <w:rsid w:val="00B226B6"/>
    <w:rPr>
      <w:sz w:val="24"/>
      <w:szCs w:val="24"/>
    </w:rPr>
  </w:style>
  <w:style w:type="character" w:customStyle="1" w:styleId="Heading8Char">
    <w:name w:val="Heading 8 Char"/>
    <w:basedOn w:val="DefaultParagraphFont"/>
    <w:link w:val="Heading8"/>
    <w:uiPriority w:val="9"/>
    <w:semiHidden/>
    <w:rsid w:val="00B226B6"/>
    <w:rPr>
      <w:i/>
      <w:iCs/>
      <w:sz w:val="24"/>
      <w:szCs w:val="24"/>
    </w:rPr>
  </w:style>
  <w:style w:type="character" w:customStyle="1" w:styleId="Heading9Char">
    <w:name w:val="Heading 9 Char"/>
    <w:basedOn w:val="DefaultParagraphFont"/>
    <w:link w:val="Heading9"/>
    <w:uiPriority w:val="9"/>
    <w:semiHidden/>
    <w:rsid w:val="00B226B6"/>
    <w:rPr>
      <w:rFonts w:asciiTheme="majorHAnsi" w:eastAsiaTheme="majorEastAsia" w:hAnsiTheme="majorHAnsi"/>
    </w:rPr>
  </w:style>
  <w:style w:type="paragraph" w:styleId="Title">
    <w:name w:val="Title"/>
    <w:basedOn w:val="Normal"/>
    <w:next w:val="Normal"/>
    <w:link w:val="TitleChar"/>
    <w:uiPriority w:val="10"/>
    <w:qFormat/>
    <w:rsid w:val="00B226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26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26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26B6"/>
    <w:rPr>
      <w:rFonts w:asciiTheme="majorHAnsi" w:eastAsiaTheme="majorEastAsia" w:hAnsiTheme="majorHAnsi"/>
      <w:sz w:val="24"/>
      <w:szCs w:val="24"/>
    </w:rPr>
  </w:style>
  <w:style w:type="character" w:styleId="Strong">
    <w:name w:val="Strong"/>
    <w:basedOn w:val="DefaultParagraphFont"/>
    <w:uiPriority w:val="22"/>
    <w:qFormat/>
    <w:rsid w:val="00B226B6"/>
    <w:rPr>
      <w:b/>
      <w:bCs/>
    </w:rPr>
  </w:style>
  <w:style w:type="character" w:styleId="Emphasis">
    <w:name w:val="Emphasis"/>
    <w:basedOn w:val="DefaultParagraphFont"/>
    <w:uiPriority w:val="20"/>
    <w:qFormat/>
    <w:rsid w:val="00B226B6"/>
    <w:rPr>
      <w:rFonts w:asciiTheme="minorHAnsi" w:hAnsiTheme="minorHAnsi"/>
      <w:b/>
      <w:i/>
      <w:iCs/>
    </w:rPr>
  </w:style>
  <w:style w:type="paragraph" w:styleId="NoSpacing">
    <w:name w:val="No Spacing"/>
    <w:basedOn w:val="Normal"/>
    <w:uiPriority w:val="1"/>
    <w:qFormat/>
    <w:rsid w:val="00B226B6"/>
    <w:rPr>
      <w:szCs w:val="32"/>
    </w:rPr>
  </w:style>
  <w:style w:type="paragraph" w:styleId="ListParagraph">
    <w:name w:val="List Paragraph"/>
    <w:basedOn w:val="Normal"/>
    <w:uiPriority w:val="34"/>
    <w:qFormat/>
    <w:rsid w:val="00B226B6"/>
    <w:pPr>
      <w:ind w:left="720"/>
      <w:contextualSpacing/>
    </w:pPr>
  </w:style>
  <w:style w:type="paragraph" w:styleId="Quote">
    <w:name w:val="Quote"/>
    <w:basedOn w:val="Normal"/>
    <w:next w:val="Normal"/>
    <w:link w:val="QuoteChar"/>
    <w:uiPriority w:val="29"/>
    <w:qFormat/>
    <w:rsid w:val="00B226B6"/>
    <w:rPr>
      <w:i/>
    </w:rPr>
  </w:style>
  <w:style w:type="character" w:customStyle="1" w:styleId="QuoteChar">
    <w:name w:val="Quote Char"/>
    <w:basedOn w:val="DefaultParagraphFont"/>
    <w:link w:val="Quote"/>
    <w:uiPriority w:val="29"/>
    <w:rsid w:val="00B226B6"/>
    <w:rPr>
      <w:i/>
      <w:sz w:val="24"/>
      <w:szCs w:val="24"/>
    </w:rPr>
  </w:style>
  <w:style w:type="paragraph" w:styleId="IntenseQuote">
    <w:name w:val="Intense Quote"/>
    <w:basedOn w:val="Normal"/>
    <w:next w:val="Normal"/>
    <w:link w:val="IntenseQuoteChar"/>
    <w:uiPriority w:val="30"/>
    <w:qFormat/>
    <w:rsid w:val="00B226B6"/>
    <w:pPr>
      <w:ind w:left="720" w:right="720"/>
    </w:pPr>
    <w:rPr>
      <w:b/>
      <w:i/>
      <w:szCs w:val="22"/>
    </w:rPr>
  </w:style>
  <w:style w:type="character" w:customStyle="1" w:styleId="IntenseQuoteChar">
    <w:name w:val="Intense Quote Char"/>
    <w:basedOn w:val="DefaultParagraphFont"/>
    <w:link w:val="IntenseQuote"/>
    <w:uiPriority w:val="30"/>
    <w:rsid w:val="00B226B6"/>
    <w:rPr>
      <w:b/>
      <w:i/>
      <w:sz w:val="24"/>
    </w:rPr>
  </w:style>
  <w:style w:type="character" w:styleId="SubtleEmphasis">
    <w:name w:val="Subtle Emphasis"/>
    <w:uiPriority w:val="19"/>
    <w:qFormat/>
    <w:rsid w:val="00B226B6"/>
    <w:rPr>
      <w:i/>
      <w:color w:val="5A5A5A" w:themeColor="text1" w:themeTint="A5"/>
    </w:rPr>
  </w:style>
  <w:style w:type="character" w:styleId="IntenseEmphasis">
    <w:name w:val="Intense Emphasis"/>
    <w:basedOn w:val="DefaultParagraphFont"/>
    <w:uiPriority w:val="21"/>
    <w:qFormat/>
    <w:rsid w:val="00B226B6"/>
    <w:rPr>
      <w:b/>
      <w:i/>
      <w:sz w:val="24"/>
      <w:szCs w:val="24"/>
      <w:u w:val="single"/>
    </w:rPr>
  </w:style>
  <w:style w:type="character" w:styleId="SubtleReference">
    <w:name w:val="Subtle Reference"/>
    <w:basedOn w:val="DefaultParagraphFont"/>
    <w:uiPriority w:val="31"/>
    <w:qFormat/>
    <w:rsid w:val="00B226B6"/>
    <w:rPr>
      <w:sz w:val="24"/>
      <w:szCs w:val="24"/>
      <w:u w:val="single"/>
    </w:rPr>
  </w:style>
  <w:style w:type="character" w:styleId="IntenseReference">
    <w:name w:val="Intense Reference"/>
    <w:basedOn w:val="DefaultParagraphFont"/>
    <w:uiPriority w:val="32"/>
    <w:qFormat/>
    <w:rsid w:val="00B226B6"/>
    <w:rPr>
      <w:b/>
      <w:sz w:val="24"/>
      <w:u w:val="single"/>
    </w:rPr>
  </w:style>
  <w:style w:type="character" w:styleId="BookTitle">
    <w:name w:val="Book Title"/>
    <w:basedOn w:val="DefaultParagraphFont"/>
    <w:uiPriority w:val="33"/>
    <w:qFormat/>
    <w:rsid w:val="00B226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26B6"/>
    <w:pPr>
      <w:outlineLvl w:val="9"/>
    </w:pPr>
  </w:style>
  <w:style w:type="character" w:customStyle="1" w:styleId="hps">
    <w:name w:val="hps"/>
    <w:basedOn w:val="DefaultParagraphFont"/>
    <w:rsid w:val="000D483F"/>
  </w:style>
  <w:style w:type="table" w:styleId="TableGrid">
    <w:name w:val="Table Grid"/>
    <w:basedOn w:val="TableNormal"/>
    <w:uiPriority w:val="59"/>
    <w:rsid w:val="000D483F"/>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F742E"/>
    <w:pPr>
      <w:tabs>
        <w:tab w:val="center" w:pos="4252"/>
        <w:tab w:val="right" w:pos="8504"/>
      </w:tabs>
    </w:pPr>
  </w:style>
  <w:style w:type="character" w:customStyle="1" w:styleId="HeaderChar">
    <w:name w:val="Header Char"/>
    <w:basedOn w:val="DefaultParagraphFont"/>
    <w:link w:val="Header"/>
    <w:uiPriority w:val="99"/>
    <w:semiHidden/>
    <w:rsid w:val="006F742E"/>
    <w:rPr>
      <w:sz w:val="24"/>
      <w:szCs w:val="24"/>
      <w:lang w:val="fr-FR"/>
    </w:rPr>
  </w:style>
  <w:style w:type="paragraph" w:styleId="Footer">
    <w:name w:val="footer"/>
    <w:basedOn w:val="Normal"/>
    <w:link w:val="FooterChar"/>
    <w:uiPriority w:val="99"/>
    <w:unhideWhenUsed/>
    <w:rsid w:val="006F742E"/>
    <w:pPr>
      <w:tabs>
        <w:tab w:val="center" w:pos="4252"/>
        <w:tab w:val="right" w:pos="8504"/>
      </w:tabs>
    </w:pPr>
  </w:style>
  <w:style w:type="character" w:customStyle="1" w:styleId="FooterChar">
    <w:name w:val="Footer Char"/>
    <w:basedOn w:val="DefaultParagraphFont"/>
    <w:link w:val="Footer"/>
    <w:uiPriority w:val="99"/>
    <w:rsid w:val="006F742E"/>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7194</Words>
  <Characters>41006</Characters>
  <Application>Microsoft Office Word</Application>
  <DocSecurity>4</DocSecurity>
  <Lines>341</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UVEG</Company>
  <LinksUpToDate>false</LinksUpToDate>
  <CharactersWithSpaces>48104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Calavia</dc:creator>
  <cp:lastModifiedBy>John's</cp:lastModifiedBy>
  <cp:revision>2</cp:revision>
  <dcterms:created xsi:type="dcterms:W3CDTF">2017-05-22T15:15:00Z</dcterms:created>
  <dcterms:modified xsi:type="dcterms:W3CDTF">2017-05-22T15:15:00Z</dcterms:modified>
</cp:coreProperties>
</file>