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E8C3" w14:textId="77777777" w:rsidR="006B1592" w:rsidRPr="009F75F6" w:rsidRDefault="006B1592" w:rsidP="006B1592">
      <w:pPr>
        <w:spacing w:line="360" w:lineRule="auto"/>
        <w:jc w:val="both"/>
      </w:pPr>
    </w:p>
    <w:p w14:paraId="6B004E8A" w14:textId="77777777" w:rsidR="006B1592" w:rsidRPr="009F75F6" w:rsidRDefault="006B1592" w:rsidP="006B1592">
      <w:pPr>
        <w:spacing w:line="360" w:lineRule="auto"/>
        <w:jc w:val="both"/>
        <w:rPr>
          <w:b/>
        </w:rPr>
      </w:pPr>
      <w:r w:rsidRPr="009F75F6">
        <w:rPr>
          <w:b/>
        </w:rPr>
        <w:t>A Virtual Chromoendoscopy Artificial Intelligence system to detect endoscopic and histologic activity/remission and predict clinical outcomes in Ulcerative Colitis</w:t>
      </w:r>
    </w:p>
    <w:p w14:paraId="05D1EBD6" w14:textId="77777777" w:rsidR="006B1592" w:rsidRPr="009F75F6" w:rsidRDefault="006B1592" w:rsidP="006B1592">
      <w:pPr>
        <w:spacing w:line="360" w:lineRule="auto"/>
        <w:jc w:val="both"/>
        <w:rPr>
          <w:b/>
        </w:rPr>
      </w:pPr>
      <w:r w:rsidRPr="009F75F6">
        <w:rPr>
          <w:b/>
        </w:rPr>
        <w:t xml:space="preserve"> </w:t>
      </w:r>
    </w:p>
    <w:p w14:paraId="61513334" w14:textId="77777777" w:rsidR="006B1592" w:rsidRPr="007F0A70" w:rsidRDefault="006B1592" w:rsidP="006B1592">
      <w:pPr>
        <w:spacing w:line="360" w:lineRule="auto"/>
        <w:jc w:val="both"/>
        <w:rPr>
          <w:vertAlign w:val="superscript"/>
          <w:lang w:val="it-IT"/>
        </w:rPr>
      </w:pPr>
      <w:proofErr w:type="spellStart"/>
      <w:proofErr w:type="gramStart"/>
      <w:r w:rsidRPr="007F0A70">
        <w:rPr>
          <w:b/>
          <w:lang w:val="it-IT"/>
        </w:rPr>
        <w:t>Authors</w:t>
      </w:r>
      <w:proofErr w:type="spellEnd"/>
      <w:r w:rsidRPr="007F0A70">
        <w:rPr>
          <w:lang w:val="it-IT"/>
        </w:rPr>
        <w:t>:  M.</w:t>
      </w:r>
      <w:proofErr w:type="gramEnd"/>
      <w:r w:rsidRPr="007F0A70">
        <w:rPr>
          <w:lang w:val="it-IT"/>
        </w:rPr>
        <w:t xml:space="preserve"> </w:t>
      </w:r>
      <w:proofErr w:type="spellStart"/>
      <w:r w:rsidRPr="007F0A70">
        <w:rPr>
          <w:lang w:val="it-IT"/>
        </w:rPr>
        <w:t>Iacucci</w:t>
      </w:r>
      <w:proofErr w:type="spellEnd"/>
      <w:r w:rsidRPr="007F0A70">
        <w:rPr>
          <w:lang w:val="it-IT"/>
        </w:rPr>
        <w:t xml:space="preserve"> </w:t>
      </w:r>
      <w:r w:rsidRPr="007F0A70">
        <w:rPr>
          <w:vertAlign w:val="superscript"/>
          <w:lang w:val="it-IT"/>
        </w:rPr>
        <w:t>1, 2, 3</w:t>
      </w:r>
      <w:r w:rsidRPr="007F0A70">
        <w:rPr>
          <w:lang w:val="it-IT"/>
        </w:rPr>
        <w:t xml:space="preserve">,  R. Cannatelli * </w:t>
      </w:r>
      <w:r w:rsidRPr="007F0A70">
        <w:rPr>
          <w:vertAlign w:val="superscript"/>
          <w:lang w:val="it-IT"/>
        </w:rPr>
        <w:t>1, 4</w:t>
      </w:r>
      <w:r w:rsidRPr="007F0A70">
        <w:rPr>
          <w:lang w:val="it-IT"/>
        </w:rPr>
        <w:t>,  T.L. Parigi *</w:t>
      </w:r>
      <w:r w:rsidRPr="007F0A70">
        <w:rPr>
          <w:vertAlign w:val="superscript"/>
          <w:lang w:val="it-IT"/>
        </w:rPr>
        <w:t>1, 5</w:t>
      </w:r>
      <w:r w:rsidRPr="007F0A70">
        <w:rPr>
          <w:lang w:val="it-IT"/>
        </w:rPr>
        <w:t xml:space="preserve">, O.M. Nardone </w:t>
      </w:r>
      <w:r w:rsidRPr="007F0A70">
        <w:rPr>
          <w:vertAlign w:val="superscript"/>
          <w:lang w:val="it-IT"/>
        </w:rPr>
        <w:t>1, 6</w:t>
      </w:r>
      <w:r w:rsidRPr="007F0A70">
        <w:rPr>
          <w:lang w:val="it-IT"/>
        </w:rPr>
        <w:t xml:space="preserve">, G.E. Tontini </w:t>
      </w:r>
      <w:r w:rsidRPr="007F0A70">
        <w:rPr>
          <w:vertAlign w:val="superscript"/>
          <w:lang w:val="it-IT"/>
        </w:rPr>
        <w:t>7,8</w:t>
      </w:r>
      <w:r w:rsidRPr="007F0A70">
        <w:rPr>
          <w:lang w:val="it-IT"/>
        </w:rPr>
        <w:t xml:space="preserve">, N. </w:t>
      </w:r>
      <w:proofErr w:type="spellStart"/>
      <w:r w:rsidRPr="007F0A70">
        <w:rPr>
          <w:lang w:val="it-IT"/>
        </w:rPr>
        <w:t>Labarile</w:t>
      </w:r>
      <w:proofErr w:type="spellEnd"/>
      <w:r w:rsidRPr="007F0A70">
        <w:rPr>
          <w:lang w:val="it-IT"/>
        </w:rPr>
        <w:t xml:space="preserve"> </w:t>
      </w:r>
      <w:r w:rsidRPr="007F0A70">
        <w:rPr>
          <w:vertAlign w:val="superscript"/>
          <w:lang w:val="it-IT"/>
        </w:rPr>
        <w:t>9</w:t>
      </w:r>
      <w:r w:rsidRPr="007F0A70">
        <w:rPr>
          <w:lang w:val="it-IT"/>
        </w:rPr>
        <w:t xml:space="preserve">, A. Buda </w:t>
      </w:r>
      <w:r w:rsidRPr="007F0A70">
        <w:rPr>
          <w:vertAlign w:val="superscript"/>
          <w:lang w:val="it-IT"/>
        </w:rPr>
        <w:t>10</w:t>
      </w:r>
      <w:r w:rsidRPr="007F0A70">
        <w:rPr>
          <w:lang w:val="it-IT"/>
        </w:rPr>
        <w:t xml:space="preserve">, A. Rimondi </w:t>
      </w:r>
      <w:r w:rsidRPr="007F0A70">
        <w:rPr>
          <w:vertAlign w:val="superscript"/>
          <w:lang w:val="it-IT"/>
        </w:rPr>
        <w:t>8</w:t>
      </w:r>
      <w:r w:rsidRPr="007F0A70">
        <w:rPr>
          <w:lang w:val="it-IT"/>
        </w:rPr>
        <w:t>, A. Bazarova</w:t>
      </w:r>
      <w:r w:rsidRPr="007F0A70">
        <w:rPr>
          <w:vertAlign w:val="superscript"/>
          <w:lang w:val="it-IT"/>
        </w:rPr>
        <w:t>1, 11</w:t>
      </w:r>
      <w:r w:rsidRPr="007F0A70">
        <w:rPr>
          <w:lang w:val="it-IT"/>
        </w:rPr>
        <w:t xml:space="preserve">, </w:t>
      </w:r>
      <w:proofErr w:type="spellStart"/>
      <w:r w:rsidRPr="007F0A70">
        <w:rPr>
          <w:lang w:val="it-IT"/>
        </w:rPr>
        <w:t>PICaSSO</w:t>
      </w:r>
      <w:proofErr w:type="spellEnd"/>
      <w:r w:rsidRPr="007F0A70">
        <w:rPr>
          <w:lang w:val="it-IT"/>
        </w:rPr>
        <w:t xml:space="preserve"> Group</w:t>
      </w:r>
      <w:r w:rsidRPr="007F0A70">
        <w:rPr>
          <w:vertAlign w:val="superscript"/>
          <w:lang w:val="it-IT"/>
        </w:rPr>
        <w:t>†</w:t>
      </w:r>
      <w:r w:rsidRPr="007F0A70">
        <w:rPr>
          <w:lang w:val="it-IT"/>
        </w:rPr>
        <w:t xml:space="preserve">, S. </w:t>
      </w:r>
      <w:proofErr w:type="spellStart"/>
      <w:r w:rsidRPr="007F0A70">
        <w:rPr>
          <w:lang w:val="it-IT"/>
        </w:rPr>
        <w:t>Ghosh</w:t>
      </w:r>
      <w:proofErr w:type="spellEnd"/>
      <w:r w:rsidRPr="007F0A70">
        <w:rPr>
          <w:lang w:val="it-IT"/>
        </w:rPr>
        <w:t xml:space="preserve"> </w:t>
      </w:r>
      <w:r w:rsidRPr="007F0A70">
        <w:rPr>
          <w:vertAlign w:val="superscript"/>
          <w:lang w:val="it-IT"/>
        </w:rPr>
        <w:t>1,2,3,28</w:t>
      </w:r>
      <w:r w:rsidRPr="007F0A70">
        <w:rPr>
          <w:lang w:val="it-IT"/>
        </w:rPr>
        <w:t xml:space="preserve">, E. Grisan </w:t>
      </w:r>
      <w:r w:rsidRPr="007F0A70">
        <w:rPr>
          <w:vertAlign w:val="superscript"/>
          <w:lang w:val="it-IT"/>
        </w:rPr>
        <w:t>29, 30</w:t>
      </w:r>
    </w:p>
    <w:p w14:paraId="03263028" w14:textId="77777777" w:rsidR="006B1592" w:rsidRPr="007F0A70" w:rsidRDefault="006B1592" w:rsidP="006B1592">
      <w:pPr>
        <w:spacing w:line="360" w:lineRule="auto"/>
        <w:jc w:val="both"/>
        <w:rPr>
          <w:sz w:val="24"/>
          <w:szCs w:val="24"/>
          <w:vertAlign w:val="superscript"/>
          <w:lang w:val="it-IT"/>
        </w:rPr>
      </w:pPr>
    </w:p>
    <w:p w14:paraId="6B120EF9" w14:textId="77777777" w:rsidR="006B1592" w:rsidRPr="007F0A70" w:rsidRDefault="006B1592" w:rsidP="006B1592">
      <w:pPr>
        <w:spacing w:line="360" w:lineRule="auto"/>
        <w:jc w:val="both"/>
        <w:rPr>
          <w:sz w:val="30"/>
          <w:szCs w:val="30"/>
          <w:vertAlign w:val="superscript"/>
          <w:lang w:val="it-IT"/>
        </w:rPr>
      </w:pPr>
      <w:r w:rsidRPr="007F0A70">
        <w:rPr>
          <w:sz w:val="30"/>
          <w:szCs w:val="30"/>
          <w:vertAlign w:val="superscript"/>
          <w:lang w:val="it-IT"/>
        </w:rPr>
        <w:t>*</w:t>
      </w:r>
      <w:proofErr w:type="spellStart"/>
      <w:r w:rsidRPr="007F0A70">
        <w:rPr>
          <w:sz w:val="30"/>
          <w:szCs w:val="30"/>
          <w:vertAlign w:val="superscript"/>
          <w:lang w:val="it-IT"/>
        </w:rPr>
        <w:t>Contributed</w:t>
      </w:r>
      <w:proofErr w:type="spellEnd"/>
      <w:r w:rsidRPr="007F0A70">
        <w:rPr>
          <w:sz w:val="30"/>
          <w:szCs w:val="30"/>
          <w:vertAlign w:val="superscript"/>
          <w:lang w:val="it-IT"/>
        </w:rPr>
        <w:t xml:space="preserve"> </w:t>
      </w:r>
      <w:proofErr w:type="spellStart"/>
      <w:r w:rsidRPr="007F0A70">
        <w:rPr>
          <w:sz w:val="30"/>
          <w:szCs w:val="30"/>
          <w:vertAlign w:val="superscript"/>
          <w:lang w:val="it-IT"/>
        </w:rPr>
        <w:t>equally</w:t>
      </w:r>
      <w:proofErr w:type="spellEnd"/>
      <w:r w:rsidRPr="007F0A70">
        <w:rPr>
          <w:sz w:val="30"/>
          <w:szCs w:val="30"/>
          <w:vertAlign w:val="superscript"/>
          <w:lang w:val="it-IT"/>
        </w:rPr>
        <w:t xml:space="preserve"> to the </w:t>
      </w:r>
      <w:proofErr w:type="spellStart"/>
      <w:r w:rsidRPr="007F0A70">
        <w:rPr>
          <w:sz w:val="30"/>
          <w:szCs w:val="30"/>
          <w:vertAlign w:val="superscript"/>
          <w:lang w:val="it-IT"/>
        </w:rPr>
        <w:t>manuscript</w:t>
      </w:r>
      <w:proofErr w:type="spellEnd"/>
      <w:r w:rsidRPr="007F0A70">
        <w:rPr>
          <w:sz w:val="30"/>
          <w:szCs w:val="30"/>
          <w:vertAlign w:val="superscript"/>
          <w:lang w:val="it-IT"/>
        </w:rPr>
        <w:t xml:space="preserve"> </w:t>
      </w:r>
    </w:p>
    <w:p w14:paraId="2ED55940" w14:textId="77777777" w:rsidR="006B1592" w:rsidRPr="007F0A70" w:rsidRDefault="006B1592" w:rsidP="006B1592">
      <w:pPr>
        <w:spacing w:line="360" w:lineRule="auto"/>
        <w:jc w:val="both"/>
        <w:rPr>
          <w:lang w:val="it-IT"/>
        </w:rPr>
      </w:pPr>
      <w:r w:rsidRPr="007F0A70">
        <w:rPr>
          <w:b/>
          <w:lang w:val="it-IT"/>
        </w:rPr>
        <w:t xml:space="preserve"> </w:t>
      </w:r>
      <w:r w:rsidRPr="007F0A70">
        <w:rPr>
          <w:lang w:val="it-IT"/>
        </w:rPr>
        <w:t xml:space="preserve">†: </w:t>
      </w:r>
      <w:r w:rsidRPr="007F0A70">
        <w:rPr>
          <w:lang w:val="it-IT"/>
        </w:rPr>
        <w:t>P. Bhandari</w:t>
      </w:r>
      <w:r w:rsidRPr="007F0A70">
        <w:rPr>
          <w:vertAlign w:val="superscript"/>
          <w:lang w:val="it-IT"/>
        </w:rPr>
        <w:t>12</w:t>
      </w:r>
      <w:r w:rsidRPr="007F0A70">
        <w:rPr>
          <w:lang w:val="it-IT"/>
        </w:rPr>
        <w:t>, R. Bisschops</w:t>
      </w:r>
      <w:r w:rsidRPr="007F0A70">
        <w:rPr>
          <w:vertAlign w:val="superscript"/>
          <w:lang w:val="it-IT"/>
        </w:rPr>
        <w:t>13</w:t>
      </w:r>
      <w:r w:rsidRPr="007F0A70">
        <w:rPr>
          <w:lang w:val="it-IT"/>
        </w:rPr>
        <w:t>, G. De Hertogh</w:t>
      </w:r>
      <w:r w:rsidRPr="007F0A70">
        <w:rPr>
          <w:vertAlign w:val="superscript"/>
          <w:lang w:val="it-IT"/>
        </w:rPr>
        <w:t>13</w:t>
      </w:r>
      <w:r w:rsidRPr="007F0A70">
        <w:rPr>
          <w:lang w:val="it-IT"/>
        </w:rPr>
        <w:t>, R. del Amor</w:t>
      </w:r>
      <w:r w:rsidRPr="007F0A70">
        <w:rPr>
          <w:vertAlign w:val="superscript"/>
          <w:lang w:val="it-IT"/>
        </w:rPr>
        <w:t>14</w:t>
      </w:r>
      <w:r w:rsidRPr="007F0A70">
        <w:rPr>
          <w:lang w:val="it-IT"/>
        </w:rPr>
        <w:t xml:space="preserve">, J.G. Ferraz </w:t>
      </w:r>
      <w:r w:rsidRPr="007F0A70">
        <w:rPr>
          <w:vertAlign w:val="superscript"/>
          <w:lang w:val="it-IT"/>
        </w:rPr>
        <w:t>3</w:t>
      </w:r>
      <w:r w:rsidRPr="007F0A70">
        <w:rPr>
          <w:lang w:val="it-IT"/>
        </w:rPr>
        <w:t xml:space="preserve">, M. </w:t>
      </w:r>
      <w:proofErr w:type="spellStart"/>
      <w:r w:rsidRPr="007F0A70">
        <w:rPr>
          <w:lang w:val="it-IT"/>
        </w:rPr>
        <w:t>Goetz</w:t>
      </w:r>
      <w:proofErr w:type="spellEnd"/>
      <w:r w:rsidRPr="007F0A70">
        <w:rPr>
          <w:lang w:val="it-IT"/>
        </w:rPr>
        <w:t xml:space="preserve"> </w:t>
      </w:r>
      <w:r w:rsidRPr="007F0A70">
        <w:rPr>
          <w:vertAlign w:val="superscript"/>
          <w:lang w:val="it-IT"/>
        </w:rPr>
        <w:t>15</w:t>
      </w:r>
      <w:r w:rsidRPr="007F0A70">
        <w:rPr>
          <w:lang w:val="it-IT"/>
        </w:rPr>
        <w:t xml:space="preserve">, X. Gui </w:t>
      </w:r>
      <w:r w:rsidRPr="007F0A70">
        <w:rPr>
          <w:vertAlign w:val="superscript"/>
          <w:lang w:val="it-IT"/>
        </w:rPr>
        <w:t>16,17</w:t>
      </w:r>
      <w:r w:rsidRPr="007F0A70">
        <w:rPr>
          <w:lang w:val="it-IT"/>
        </w:rPr>
        <w:t xml:space="preserve">, B. </w:t>
      </w:r>
      <w:proofErr w:type="spellStart"/>
      <w:r w:rsidRPr="007F0A70">
        <w:rPr>
          <w:lang w:val="it-IT"/>
        </w:rPr>
        <w:t>Hayee</w:t>
      </w:r>
      <w:proofErr w:type="spellEnd"/>
      <w:r w:rsidRPr="007F0A70">
        <w:rPr>
          <w:lang w:val="it-IT"/>
        </w:rPr>
        <w:t xml:space="preserve"> </w:t>
      </w:r>
      <w:r w:rsidRPr="007F0A70">
        <w:rPr>
          <w:vertAlign w:val="superscript"/>
          <w:lang w:val="it-IT"/>
        </w:rPr>
        <w:t>18</w:t>
      </w:r>
      <w:r w:rsidRPr="007F0A70">
        <w:rPr>
          <w:lang w:val="it-IT"/>
        </w:rPr>
        <w:t xml:space="preserve">, R. </w:t>
      </w:r>
      <w:proofErr w:type="spellStart"/>
      <w:r w:rsidRPr="007F0A70">
        <w:rPr>
          <w:lang w:val="it-IT"/>
        </w:rPr>
        <w:t>Kiesslich</w:t>
      </w:r>
      <w:proofErr w:type="spellEnd"/>
      <w:r w:rsidRPr="007F0A70">
        <w:rPr>
          <w:lang w:val="it-IT"/>
        </w:rPr>
        <w:t xml:space="preserve"> </w:t>
      </w:r>
      <w:r w:rsidRPr="007F0A70">
        <w:rPr>
          <w:vertAlign w:val="superscript"/>
          <w:lang w:val="it-IT"/>
        </w:rPr>
        <w:t>19</w:t>
      </w:r>
      <w:r w:rsidRPr="007F0A70">
        <w:rPr>
          <w:lang w:val="it-IT"/>
        </w:rPr>
        <w:t>, C Metelli</w:t>
      </w:r>
      <w:r w:rsidRPr="007F0A70">
        <w:rPr>
          <w:vertAlign w:val="superscript"/>
          <w:lang w:val="it-IT"/>
        </w:rPr>
        <w:t>20</w:t>
      </w:r>
      <w:r w:rsidRPr="007F0A70">
        <w:rPr>
          <w:lang w:val="it-IT"/>
        </w:rPr>
        <w:t>, P Meseguer</w:t>
      </w:r>
      <w:r w:rsidRPr="007F0A70">
        <w:rPr>
          <w:vertAlign w:val="superscript"/>
          <w:lang w:val="it-IT"/>
        </w:rPr>
        <w:t>14</w:t>
      </w:r>
      <w:r w:rsidRPr="007F0A70">
        <w:rPr>
          <w:lang w:val="it-IT"/>
        </w:rPr>
        <w:t xml:space="preserve">, M. Lazarev </w:t>
      </w:r>
      <w:r w:rsidRPr="007F0A70">
        <w:rPr>
          <w:vertAlign w:val="superscript"/>
          <w:lang w:val="it-IT"/>
        </w:rPr>
        <w:t>21</w:t>
      </w:r>
      <w:r w:rsidRPr="007F0A70">
        <w:rPr>
          <w:lang w:val="it-IT"/>
        </w:rPr>
        <w:t>, V. Naranjo</w:t>
      </w:r>
      <w:r w:rsidRPr="007F0A70">
        <w:rPr>
          <w:vertAlign w:val="superscript"/>
          <w:lang w:val="it-IT"/>
        </w:rPr>
        <w:t>14</w:t>
      </w:r>
      <w:r w:rsidRPr="007F0A70">
        <w:rPr>
          <w:lang w:val="it-IT"/>
        </w:rPr>
        <w:t xml:space="preserve">, R. </w:t>
      </w:r>
      <w:proofErr w:type="spellStart"/>
      <w:r w:rsidRPr="007F0A70">
        <w:rPr>
          <w:lang w:val="it-IT"/>
        </w:rPr>
        <w:t>Panaccione</w:t>
      </w:r>
      <w:proofErr w:type="spellEnd"/>
      <w:r w:rsidRPr="007F0A70">
        <w:rPr>
          <w:lang w:val="it-IT"/>
        </w:rPr>
        <w:t xml:space="preserve"> </w:t>
      </w:r>
      <w:r w:rsidRPr="007F0A70">
        <w:rPr>
          <w:vertAlign w:val="superscript"/>
          <w:lang w:val="it-IT"/>
        </w:rPr>
        <w:t>3</w:t>
      </w:r>
      <w:r w:rsidRPr="007F0A70">
        <w:rPr>
          <w:lang w:val="it-IT"/>
        </w:rPr>
        <w:t xml:space="preserve">, A. Parra-Blanco </w:t>
      </w:r>
      <w:r w:rsidRPr="007F0A70">
        <w:rPr>
          <w:vertAlign w:val="superscript"/>
          <w:lang w:val="it-IT"/>
        </w:rPr>
        <w:t>22</w:t>
      </w:r>
      <w:r w:rsidRPr="007F0A70">
        <w:rPr>
          <w:lang w:val="it-IT"/>
        </w:rPr>
        <w:t xml:space="preserve">, L. Pastorelli </w:t>
      </w:r>
      <w:r w:rsidRPr="007F0A70">
        <w:rPr>
          <w:vertAlign w:val="superscript"/>
          <w:lang w:val="it-IT"/>
        </w:rPr>
        <w:t>23</w:t>
      </w:r>
      <w:r w:rsidRPr="007F0A70">
        <w:rPr>
          <w:lang w:val="it-IT"/>
        </w:rPr>
        <w:t xml:space="preserve">, T. Rath </w:t>
      </w:r>
      <w:r w:rsidRPr="007F0A70">
        <w:rPr>
          <w:vertAlign w:val="superscript"/>
          <w:lang w:val="it-IT"/>
        </w:rPr>
        <w:t>24</w:t>
      </w:r>
      <w:r w:rsidRPr="007F0A70">
        <w:rPr>
          <w:lang w:val="it-IT"/>
        </w:rPr>
        <w:t xml:space="preserve">, E.S. </w:t>
      </w:r>
      <w:proofErr w:type="spellStart"/>
      <w:r w:rsidRPr="007F0A70">
        <w:rPr>
          <w:lang w:val="it-IT"/>
        </w:rPr>
        <w:t>Røyset</w:t>
      </w:r>
      <w:proofErr w:type="spellEnd"/>
      <w:r w:rsidRPr="007F0A70">
        <w:rPr>
          <w:lang w:val="it-IT"/>
        </w:rPr>
        <w:t xml:space="preserve"> </w:t>
      </w:r>
      <w:r w:rsidRPr="007F0A70">
        <w:rPr>
          <w:vertAlign w:val="superscript"/>
          <w:lang w:val="it-IT"/>
        </w:rPr>
        <w:t>25</w:t>
      </w:r>
      <w:r w:rsidRPr="007F0A70">
        <w:rPr>
          <w:lang w:val="it-IT"/>
        </w:rPr>
        <w:t xml:space="preserve">, M. </w:t>
      </w:r>
      <w:proofErr w:type="spellStart"/>
      <w:r w:rsidRPr="007F0A70">
        <w:rPr>
          <w:lang w:val="it-IT"/>
        </w:rPr>
        <w:t>Vieth</w:t>
      </w:r>
      <w:proofErr w:type="spellEnd"/>
      <w:r w:rsidRPr="007F0A70">
        <w:rPr>
          <w:lang w:val="it-IT"/>
        </w:rPr>
        <w:t xml:space="preserve"> </w:t>
      </w:r>
      <w:r w:rsidRPr="007F0A70">
        <w:rPr>
          <w:vertAlign w:val="superscript"/>
          <w:lang w:val="it-IT"/>
        </w:rPr>
        <w:t>26</w:t>
      </w:r>
      <w:r w:rsidRPr="007F0A70">
        <w:rPr>
          <w:lang w:val="it-IT"/>
        </w:rPr>
        <w:t xml:space="preserve">, V. Villanacci </w:t>
      </w:r>
      <w:r w:rsidRPr="007F0A70">
        <w:rPr>
          <w:vertAlign w:val="superscript"/>
          <w:lang w:val="it-IT"/>
        </w:rPr>
        <w:t>20</w:t>
      </w:r>
      <w:r w:rsidRPr="007F0A70">
        <w:rPr>
          <w:lang w:val="it-IT"/>
        </w:rPr>
        <w:t xml:space="preserve">, D. Zardo </w:t>
      </w:r>
      <w:r w:rsidRPr="007F0A70">
        <w:rPr>
          <w:vertAlign w:val="superscript"/>
          <w:lang w:val="it-IT"/>
        </w:rPr>
        <w:t>27</w:t>
      </w:r>
      <w:r w:rsidRPr="007F0A70">
        <w:rPr>
          <w:lang w:val="it-IT"/>
        </w:rPr>
        <w:t>,</w:t>
      </w:r>
    </w:p>
    <w:p w14:paraId="49CDC14B" w14:textId="77777777" w:rsidR="006B1592" w:rsidRPr="007F0A70" w:rsidRDefault="006B1592" w:rsidP="006B1592">
      <w:pPr>
        <w:spacing w:line="360" w:lineRule="auto"/>
        <w:jc w:val="both"/>
        <w:rPr>
          <w:b/>
          <w:lang w:val="it-IT"/>
        </w:rPr>
      </w:pPr>
    </w:p>
    <w:p w14:paraId="757D3A4D" w14:textId="77777777" w:rsidR="006B1592" w:rsidRPr="009F75F6" w:rsidRDefault="006B1592" w:rsidP="006B1592">
      <w:pPr>
        <w:spacing w:line="360" w:lineRule="auto"/>
        <w:jc w:val="both"/>
        <w:rPr>
          <w:sz w:val="24"/>
          <w:szCs w:val="24"/>
          <w:vertAlign w:val="superscript"/>
        </w:rPr>
      </w:pPr>
      <w:r w:rsidRPr="009F75F6">
        <w:rPr>
          <w:b/>
        </w:rPr>
        <w:t>Affiliations:</w:t>
      </w:r>
      <w:r w:rsidRPr="009F75F6">
        <w:rPr>
          <w:vertAlign w:val="superscript"/>
        </w:rPr>
        <w:t xml:space="preserve"> </w:t>
      </w:r>
    </w:p>
    <w:p w14:paraId="603296EE" w14:textId="77777777" w:rsidR="006B1592" w:rsidRPr="009F75F6" w:rsidRDefault="006B1592" w:rsidP="006B1592">
      <w:pPr>
        <w:spacing w:line="360" w:lineRule="auto"/>
        <w:jc w:val="both"/>
      </w:pPr>
      <w:r w:rsidRPr="009F75F6">
        <w:rPr>
          <w:vertAlign w:val="superscript"/>
        </w:rPr>
        <w:t>1</w:t>
      </w:r>
      <w:r w:rsidRPr="009F75F6">
        <w:t xml:space="preserve">Institute of Immunology and Immunotherapy, NIHR </w:t>
      </w:r>
      <w:proofErr w:type="spellStart"/>
      <w:r w:rsidRPr="009F75F6">
        <w:t>Wellcome</w:t>
      </w:r>
      <w:proofErr w:type="spellEnd"/>
      <w:r w:rsidRPr="009F75F6">
        <w:t xml:space="preserve"> Trust Clinical Research Facilities, University of Birmingham, and University Hospitals Birmingham NHS Trust, Birmingham, United Kingdom </w:t>
      </w:r>
    </w:p>
    <w:p w14:paraId="0FD50527" w14:textId="77777777" w:rsidR="006B1592" w:rsidRPr="009F75F6" w:rsidRDefault="006B1592" w:rsidP="006B1592">
      <w:pPr>
        <w:spacing w:line="360" w:lineRule="auto"/>
        <w:jc w:val="both"/>
      </w:pPr>
      <w:r w:rsidRPr="009F75F6">
        <w:rPr>
          <w:vertAlign w:val="superscript"/>
        </w:rPr>
        <w:t>2</w:t>
      </w:r>
      <w:r w:rsidRPr="009F75F6">
        <w:t xml:space="preserve">National Institute for Health Research (NIHR) Birmingham Biomedical Research Centre, Birmingham, United Kingdom, </w:t>
      </w:r>
    </w:p>
    <w:p w14:paraId="7A3350BA" w14:textId="77777777" w:rsidR="006B1592" w:rsidRPr="009F75F6" w:rsidRDefault="006B1592" w:rsidP="006B1592">
      <w:pPr>
        <w:spacing w:line="360" w:lineRule="auto"/>
        <w:jc w:val="both"/>
      </w:pPr>
      <w:r w:rsidRPr="009F75F6">
        <w:rPr>
          <w:vertAlign w:val="superscript"/>
        </w:rPr>
        <w:t>3</w:t>
      </w:r>
      <w:r w:rsidRPr="009F75F6">
        <w:t>Division of Gastroenterology and Hepatology, University of Calgary, Calgary, Canada</w:t>
      </w:r>
    </w:p>
    <w:p w14:paraId="1DACEC2E" w14:textId="77777777" w:rsidR="006B1592" w:rsidRPr="009F75F6" w:rsidRDefault="006B1592" w:rsidP="006B1592">
      <w:pPr>
        <w:spacing w:line="360" w:lineRule="auto"/>
        <w:jc w:val="both"/>
      </w:pPr>
      <w:r w:rsidRPr="009F75F6">
        <w:rPr>
          <w:vertAlign w:val="superscript"/>
        </w:rPr>
        <w:t>4</w:t>
      </w:r>
      <w:r w:rsidRPr="009F75F6">
        <w:t xml:space="preserve">Gastroenterolgy and Digestive Endoscopy Unit, Department of Biochemical and Clinical Sciences "L. Sacco", University of Milan, ASST </w:t>
      </w:r>
      <w:proofErr w:type="spellStart"/>
      <w:r w:rsidRPr="009F75F6">
        <w:t>Fatebenefratelli</w:t>
      </w:r>
      <w:proofErr w:type="spellEnd"/>
      <w:r w:rsidRPr="009F75F6">
        <w:t xml:space="preserve"> Sacco, Milan, Italy,</w:t>
      </w:r>
    </w:p>
    <w:p w14:paraId="0DED56E3" w14:textId="77777777" w:rsidR="006B1592" w:rsidRPr="009F75F6" w:rsidRDefault="006B1592" w:rsidP="006B1592">
      <w:pPr>
        <w:spacing w:line="360" w:lineRule="auto"/>
        <w:jc w:val="both"/>
      </w:pPr>
      <w:r w:rsidRPr="009F75F6">
        <w:rPr>
          <w:vertAlign w:val="superscript"/>
        </w:rPr>
        <w:t>5</w:t>
      </w:r>
      <w:r w:rsidRPr="009F75F6">
        <w:t xml:space="preserve">Department of Biomedical Science, </w:t>
      </w:r>
      <w:proofErr w:type="spellStart"/>
      <w:r w:rsidRPr="009F75F6">
        <w:t>Humanitas</w:t>
      </w:r>
      <w:proofErr w:type="spellEnd"/>
      <w:r w:rsidRPr="009F75F6">
        <w:t xml:space="preserve"> University, Milan, Italy </w:t>
      </w:r>
    </w:p>
    <w:p w14:paraId="652B0274" w14:textId="77777777" w:rsidR="006B1592" w:rsidRPr="00864069" w:rsidRDefault="006B1592" w:rsidP="006B1592">
      <w:pPr>
        <w:spacing w:line="360" w:lineRule="auto"/>
        <w:jc w:val="both"/>
      </w:pPr>
      <w:r w:rsidRPr="009F75F6">
        <w:rPr>
          <w:vertAlign w:val="superscript"/>
        </w:rPr>
        <w:t>6</w:t>
      </w:r>
      <w:r w:rsidRPr="009F75F6">
        <w:t xml:space="preserve">Gastroenterology, Department of Clinical Medicine and Surgery, University Federico II of Naples, </w:t>
      </w:r>
      <w:proofErr w:type="spellStart"/>
      <w:r w:rsidRPr="009F75F6">
        <w:t>Naplesitit</w:t>
      </w:r>
      <w:proofErr w:type="spellEnd"/>
      <w:r w:rsidRPr="009F75F6">
        <w:t>, Italy</w:t>
      </w:r>
    </w:p>
    <w:p w14:paraId="3E09FAA0" w14:textId="77777777" w:rsidR="006B1592" w:rsidRPr="007F0A70" w:rsidRDefault="006B1592" w:rsidP="006B1592">
      <w:pPr>
        <w:spacing w:line="360" w:lineRule="auto"/>
        <w:jc w:val="both"/>
        <w:rPr>
          <w:lang w:val="it-IT"/>
        </w:rPr>
      </w:pPr>
      <w:r w:rsidRPr="007F0A70">
        <w:rPr>
          <w:vertAlign w:val="superscript"/>
          <w:lang w:val="it-IT"/>
        </w:rPr>
        <w:t>7</w:t>
      </w:r>
      <w:r w:rsidRPr="007F0A70">
        <w:rPr>
          <w:lang w:val="it-IT"/>
        </w:rPr>
        <w:t xml:space="preserve">Division of </w:t>
      </w:r>
      <w:proofErr w:type="spellStart"/>
      <w:r w:rsidRPr="007F0A70">
        <w:rPr>
          <w:lang w:val="it-IT"/>
        </w:rPr>
        <w:t>Gastroenterology</w:t>
      </w:r>
      <w:proofErr w:type="spellEnd"/>
      <w:r w:rsidRPr="007F0A70">
        <w:rPr>
          <w:lang w:val="it-IT"/>
        </w:rPr>
        <w:t xml:space="preserve">, Fondazione IRCCS Ca’ Granda Ospedale Maggiore Policlinico, Milan, </w:t>
      </w:r>
      <w:proofErr w:type="spellStart"/>
      <w:r w:rsidRPr="007F0A70">
        <w:rPr>
          <w:lang w:val="it-IT"/>
        </w:rPr>
        <w:t>Italy</w:t>
      </w:r>
      <w:proofErr w:type="spellEnd"/>
    </w:p>
    <w:p w14:paraId="1FE0A7D7" w14:textId="77777777" w:rsidR="006B1592" w:rsidRPr="009F75F6" w:rsidRDefault="006B1592" w:rsidP="006B1592">
      <w:pPr>
        <w:spacing w:line="360" w:lineRule="auto"/>
        <w:jc w:val="both"/>
      </w:pPr>
      <w:r>
        <w:rPr>
          <w:vertAlign w:val="superscript"/>
        </w:rPr>
        <w:t>8</w:t>
      </w:r>
      <w:r w:rsidRPr="009F75F6">
        <w:t xml:space="preserve">Department of Pathophysiology and Transplantation, University of Milan, Milan, Italy </w:t>
      </w:r>
    </w:p>
    <w:p w14:paraId="0893A32C" w14:textId="77777777" w:rsidR="006B1592" w:rsidRDefault="006B1592" w:rsidP="006B1592">
      <w:pPr>
        <w:spacing w:line="360" w:lineRule="auto"/>
        <w:jc w:val="both"/>
      </w:pPr>
      <w:r>
        <w:rPr>
          <w:vertAlign w:val="superscript"/>
        </w:rPr>
        <w:t>9</w:t>
      </w:r>
      <w:r w:rsidRPr="009F75F6">
        <w:t>Section of Gastroenterology II, National Institute of Research "</w:t>
      </w:r>
      <w:proofErr w:type="spellStart"/>
      <w:r w:rsidRPr="009F75F6">
        <w:t>Saverio</w:t>
      </w:r>
      <w:proofErr w:type="spellEnd"/>
      <w:r w:rsidRPr="009F75F6">
        <w:t xml:space="preserve"> De Bellis", </w:t>
      </w:r>
      <w:proofErr w:type="spellStart"/>
      <w:r w:rsidRPr="009F75F6">
        <w:t>Castellana</w:t>
      </w:r>
      <w:proofErr w:type="spellEnd"/>
      <w:r w:rsidRPr="009F75F6">
        <w:t xml:space="preserve"> </w:t>
      </w:r>
      <w:proofErr w:type="spellStart"/>
      <w:r w:rsidRPr="009F75F6">
        <w:t>Grotte</w:t>
      </w:r>
      <w:proofErr w:type="spellEnd"/>
      <w:r w:rsidRPr="009F75F6">
        <w:t>, Italy</w:t>
      </w:r>
    </w:p>
    <w:p w14:paraId="22E78E13" w14:textId="77777777" w:rsidR="006B1592" w:rsidRPr="009F75F6" w:rsidRDefault="006B1592" w:rsidP="006B1592">
      <w:pPr>
        <w:spacing w:line="360" w:lineRule="auto"/>
        <w:jc w:val="both"/>
      </w:pPr>
      <w:r>
        <w:rPr>
          <w:vertAlign w:val="superscript"/>
        </w:rPr>
        <w:t>10</w:t>
      </w:r>
      <w:r w:rsidRPr="009F75F6">
        <w:t>Department of Gastrointestinal Oncological Surgery, Santa Maria del Prato Hospital, Feltre, Italy</w:t>
      </w:r>
    </w:p>
    <w:p w14:paraId="2842467F" w14:textId="77777777" w:rsidR="006B1592" w:rsidRPr="009F75F6" w:rsidRDefault="006B1592" w:rsidP="006B1592">
      <w:pPr>
        <w:spacing w:line="360" w:lineRule="auto"/>
        <w:jc w:val="both"/>
      </w:pPr>
      <w:r w:rsidRPr="009F75F6">
        <w:rPr>
          <w:vertAlign w:val="superscript"/>
        </w:rPr>
        <w:t>11</w:t>
      </w:r>
      <w:r w:rsidRPr="009F75F6">
        <w:t>Institute for Biological Physics, University of Cologne, Cologne, Germany</w:t>
      </w:r>
    </w:p>
    <w:p w14:paraId="11973694" w14:textId="77777777" w:rsidR="006B1592" w:rsidRPr="009F75F6" w:rsidRDefault="006B1592" w:rsidP="006B1592">
      <w:pPr>
        <w:spacing w:line="360" w:lineRule="auto"/>
        <w:jc w:val="both"/>
      </w:pPr>
      <w:r w:rsidRPr="009F75F6">
        <w:rPr>
          <w:vertAlign w:val="superscript"/>
        </w:rPr>
        <w:t>12</w:t>
      </w:r>
      <w:r w:rsidRPr="009F75F6">
        <w:t>Division of Gastroenterology, Queen Alexandra Hospital, Portsmouth, United Kingdom</w:t>
      </w:r>
    </w:p>
    <w:p w14:paraId="71158755" w14:textId="77777777" w:rsidR="006B1592" w:rsidRPr="009F75F6" w:rsidRDefault="006B1592" w:rsidP="006B1592">
      <w:pPr>
        <w:spacing w:line="360" w:lineRule="auto"/>
        <w:jc w:val="both"/>
      </w:pPr>
      <w:r w:rsidRPr="009F75F6">
        <w:rPr>
          <w:vertAlign w:val="superscript"/>
        </w:rPr>
        <w:t>13</w:t>
      </w:r>
      <w:r w:rsidRPr="009F75F6">
        <w:t>Division of Gastroenterology, University Hospitals Leuven, Leuven, Belgium</w:t>
      </w:r>
    </w:p>
    <w:p w14:paraId="61F5B13A" w14:textId="77777777" w:rsidR="006B1592" w:rsidRPr="007F0A70" w:rsidRDefault="006B1592" w:rsidP="006B1592">
      <w:pPr>
        <w:spacing w:line="360" w:lineRule="auto"/>
        <w:jc w:val="both"/>
        <w:rPr>
          <w:lang w:val="it-IT"/>
        </w:rPr>
      </w:pPr>
      <w:r w:rsidRPr="007F0A70">
        <w:rPr>
          <w:vertAlign w:val="superscript"/>
          <w:lang w:val="it-IT"/>
        </w:rPr>
        <w:lastRenderedPageBreak/>
        <w:t>14</w:t>
      </w:r>
      <w:r w:rsidRPr="007F0A70">
        <w:rPr>
          <w:lang w:val="it-IT"/>
        </w:rPr>
        <w:t xml:space="preserve">Instituto de </w:t>
      </w:r>
      <w:proofErr w:type="spellStart"/>
      <w:r w:rsidRPr="007F0A70">
        <w:rPr>
          <w:lang w:val="it-IT"/>
        </w:rPr>
        <w:t>Investigación</w:t>
      </w:r>
      <w:proofErr w:type="spellEnd"/>
      <w:r w:rsidRPr="007F0A70">
        <w:rPr>
          <w:lang w:val="it-IT"/>
        </w:rPr>
        <w:t xml:space="preserve"> e </w:t>
      </w:r>
      <w:proofErr w:type="spellStart"/>
      <w:r w:rsidRPr="007F0A70">
        <w:rPr>
          <w:lang w:val="it-IT"/>
        </w:rPr>
        <w:t>Innovación</w:t>
      </w:r>
      <w:proofErr w:type="spellEnd"/>
      <w:r w:rsidRPr="007F0A70">
        <w:rPr>
          <w:lang w:val="it-IT"/>
        </w:rPr>
        <w:t xml:space="preserve"> en </w:t>
      </w:r>
      <w:proofErr w:type="spellStart"/>
      <w:r w:rsidRPr="007F0A70">
        <w:rPr>
          <w:lang w:val="it-IT"/>
        </w:rPr>
        <w:t>Bioingeniería</w:t>
      </w:r>
      <w:proofErr w:type="spellEnd"/>
      <w:r w:rsidRPr="007F0A70">
        <w:rPr>
          <w:lang w:val="it-IT"/>
        </w:rPr>
        <w:t xml:space="preserve">, </w:t>
      </w:r>
      <w:proofErr w:type="spellStart"/>
      <w:r w:rsidRPr="007F0A70">
        <w:rPr>
          <w:lang w:val="it-IT"/>
        </w:rPr>
        <w:t>Universitat</w:t>
      </w:r>
      <w:proofErr w:type="spellEnd"/>
      <w:r w:rsidRPr="007F0A70">
        <w:rPr>
          <w:lang w:val="it-IT"/>
        </w:rPr>
        <w:t xml:space="preserve"> </w:t>
      </w:r>
      <w:proofErr w:type="spellStart"/>
      <w:r w:rsidRPr="007F0A70">
        <w:rPr>
          <w:lang w:val="it-IT"/>
        </w:rPr>
        <w:t>Politècnica</w:t>
      </w:r>
      <w:proofErr w:type="spellEnd"/>
      <w:r w:rsidRPr="007F0A70">
        <w:rPr>
          <w:lang w:val="it-IT"/>
        </w:rPr>
        <w:t xml:space="preserve"> de </w:t>
      </w:r>
      <w:proofErr w:type="spellStart"/>
      <w:r w:rsidRPr="007F0A70">
        <w:rPr>
          <w:lang w:val="it-IT"/>
        </w:rPr>
        <w:t>València</w:t>
      </w:r>
      <w:proofErr w:type="spellEnd"/>
      <w:r w:rsidRPr="007F0A70">
        <w:rPr>
          <w:lang w:val="it-IT"/>
        </w:rPr>
        <w:t xml:space="preserve">, </w:t>
      </w:r>
      <w:proofErr w:type="spellStart"/>
      <w:r w:rsidRPr="007F0A70">
        <w:rPr>
          <w:lang w:val="it-IT"/>
        </w:rPr>
        <w:t>València</w:t>
      </w:r>
      <w:proofErr w:type="spellEnd"/>
      <w:r w:rsidRPr="007F0A70">
        <w:rPr>
          <w:lang w:val="it-IT"/>
        </w:rPr>
        <w:t xml:space="preserve">, </w:t>
      </w:r>
      <w:proofErr w:type="spellStart"/>
      <w:r w:rsidRPr="007F0A70">
        <w:rPr>
          <w:lang w:val="it-IT"/>
        </w:rPr>
        <w:t>Spain</w:t>
      </w:r>
      <w:proofErr w:type="spellEnd"/>
    </w:p>
    <w:p w14:paraId="299CE6E6" w14:textId="77777777" w:rsidR="006B1592" w:rsidRPr="009F75F6" w:rsidRDefault="006B1592" w:rsidP="006B1592">
      <w:pPr>
        <w:spacing w:line="360" w:lineRule="auto"/>
        <w:jc w:val="both"/>
      </w:pPr>
      <w:r w:rsidRPr="009F75F6">
        <w:rPr>
          <w:vertAlign w:val="superscript"/>
        </w:rPr>
        <w:t>15</w:t>
      </w:r>
      <w:r w:rsidRPr="009F75F6">
        <w:t xml:space="preserve">Division of Gastroenterology, </w:t>
      </w:r>
      <w:proofErr w:type="spellStart"/>
      <w:r w:rsidRPr="009F75F6">
        <w:t>Klinikum</w:t>
      </w:r>
      <w:proofErr w:type="spellEnd"/>
      <w:r w:rsidRPr="009F75F6">
        <w:t xml:space="preserve">, </w:t>
      </w:r>
      <w:proofErr w:type="spellStart"/>
      <w:r w:rsidRPr="009F75F6">
        <w:t>Böblingen</w:t>
      </w:r>
      <w:proofErr w:type="spellEnd"/>
      <w:r w:rsidRPr="009F75F6">
        <w:t>, Germany</w:t>
      </w:r>
    </w:p>
    <w:p w14:paraId="0352BD75" w14:textId="77777777" w:rsidR="006B1592" w:rsidRPr="009F75F6" w:rsidRDefault="006B1592" w:rsidP="006B1592">
      <w:pPr>
        <w:spacing w:line="360" w:lineRule="auto"/>
        <w:jc w:val="both"/>
      </w:pPr>
      <w:r w:rsidRPr="009F75F6">
        <w:rPr>
          <w:vertAlign w:val="superscript"/>
        </w:rPr>
        <w:t>16</w:t>
      </w:r>
      <w:r w:rsidRPr="009F75F6">
        <w:t>Department of Laboratory Medicine and Pathology, University of Washington, Seattle, Washington, United States</w:t>
      </w:r>
    </w:p>
    <w:p w14:paraId="183AD1F3" w14:textId="77777777" w:rsidR="006B1592" w:rsidRPr="009F75F6" w:rsidRDefault="006B1592" w:rsidP="006B1592">
      <w:pPr>
        <w:spacing w:line="360" w:lineRule="auto"/>
        <w:jc w:val="both"/>
      </w:pPr>
      <w:r w:rsidRPr="009F75F6">
        <w:rPr>
          <w:vertAlign w:val="superscript"/>
        </w:rPr>
        <w:t>17</w:t>
      </w:r>
      <w:r w:rsidRPr="009F75F6">
        <w:t>Department of Pathology and Laboratory Medicine, University of Calgary, Calgary, Alberta, Canada</w:t>
      </w:r>
    </w:p>
    <w:p w14:paraId="239523B5" w14:textId="77777777" w:rsidR="006B1592" w:rsidRPr="009F75F6" w:rsidRDefault="006B1592" w:rsidP="006B1592">
      <w:pPr>
        <w:spacing w:line="360" w:lineRule="auto"/>
        <w:jc w:val="both"/>
      </w:pPr>
      <w:r w:rsidRPr="009F75F6">
        <w:rPr>
          <w:vertAlign w:val="superscript"/>
        </w:rPr>
        <w:t>18</w:t>
      </w:r>
      <w:r w:rsidRPr="009F75F6">
        <w:t>Division of Gastroenterology, Kings College London, London, United Kingdom</w:t>
      </w:r>
    </w:p>
    <w:p w14:paraId="2B87ABB9" w14:textId="77777777" w:rsidR="006B1592" w:rsidRPr="009F75F6" w:rsidRDefault="006B1592" w:rsidP="006B1592">
      <w:pPr>
        <w:spacing w:line="360" w:lineRule="auto"/>
        <w:jc w:val="both"/>
      </w:pPr>
      <w:r w:rsidRPr="009F75F6">
        <w:rPr>
          <w:vertAlign w:val="superscript"/>
        </w:rPr>
        <w:t>19</w:t>
      </w:r>
      <w:r w:rsidRPr="009F75F6">
        <w:t>Helios HSK Wiesbaden, Wiesbaden, Germany</w:t>
      </w:r>
    </w:p>
    <w:p w14:paraId="0ED3B14D" w14:textId="77777777" w:rsidR="006B1592" w:rsidRPr="009F75F6" w:rsidRDefault="006B1592" w:rsidP="006B1592">
      <w:pPr>
        <w:spacing w:line="360" w:lineRule="auto"/>
        <w:jc w:val="both"/>
      </w:pPr>
      <w:r w:rsidRPr="009F75F6">
        <w:rPr>
          <w:vertAlign w:val="superscript"/>
        </w:rPr>
        <w:t>2</w:t>
      </w:r>
      <w:r>
        <w:rPr>
          <w:vertAlign w:val="superscript"/>
        </w:rPr>
        <w:t>0</w:t>
      </w:r>
      <w:r w:rsidRPr="009F75F6">
        <w:t xml:space="preserve">Institute of Pathology, </w:t>
      </w:r>
      <w:proofErr w:type="spellStart"/>
      <w:r w:rsidRPr="009F75F6">
        <w:t>Spedali</w:t>
      </w:r>
      <w:proofErr w:type="spellEnd"/>
      <w:r w:rsidRPr="009F75F6">
        <w:t xml:space="preserve"> </w:t>
      </w:r>
      <w:proofErr w:type="spellStart"/>
      <w:r w:rsidRPr="009F75F6">
        <w:t>Civili</w:t>
      </w:r>
      <w:proofErr w:type="spellEnd"/>
      <w:r w:rsidRPr="009F75F6">
        <w:t>, Brescia, Italy</w:t>
      </w:r>
    </w:p>
    <w:p w14:paraId="6A458952" w14:textId="77777777" w:rsidR="006B1592" w:rsidRPr="009F75F6" w:rsidRDefault="006B1592" w:rsidP="006B1592">
      <w:pPr>
        <w:spacing w:line="360" w:lineRule="auto"/>
        <w:jc w:val="both"/>
      </w:pPr>
      <w:r w:rsidRPr="009F75F6">
        <w:rPr>
          <w:vertAlign w:val="superscript"/>
        </w:rPr>
        <w:t>2</w:t>
      </w:r>
      <w:r>
        <w:rPr>
          <w:vertAlign w:val="superscript"/>
        </w:rPr>
        <w:t>1</w:t>
      </w:r>
      <w:r w:rsidRPr="009F75F6">
        <w:t>Division of Gastroenterology, Johns Hopkins Hospital, Baltimore, Maryland, United States</w:t>
      </w:r>
    </w:p>
    <w:p w14:paraId="08B21165" w14:textId="77777777" w:rsidR="006B1592" w:rsidRPr="009F75F6" w:rsidRDefault="006B1592" w:rsidP="006B1592">
      <w:pPr>
        <w:spacing w:line="360" w:lineRule="auto"/>
        <w:jc w:val="both"/>
      </w:pPr>
      <w:r w:rsidRPr="009F75F6">
        <w:rPr>
          <w:vertAlign w:val="superscript"/>
        </w:rPr>
        <w:t>2</w:t>
      </w:r>
      <w:r>
        <w:rPr>
          <w:vertAlign w:val="superscript"/>
        </w:rPr>
        <w:t>2</w:t>
      </w:r>
      <w:r w:rsidRPr="009F75F6">
        <w:t>Division of Gastroenterology, University of Nottingham, Nottingham, United Kingdom</w:t>
      </w:r>
    </w:p>
    <w:p w14:paraId="3251F3CF" w14:textId="77777777" w:rsidR="006B1592" w:rsidRPr="009F75F6" w:rsidRDefault="006B1592" w:rsidP="006B1592">
      <w:pPr>
        <w:spacing w:line="360" w:lineRule="auto"/>
        <w:jc w:val="both"/>
      </w:pPr>
      <w:r w:rsidRPr="009F75F6">
        <w:rPr>
          <w:vertAlign w:val="superscript"/>
        </w:rPr>
        <w:t>2</w:t>
      </w:r>
      <w:r>
        <w:rPr>
          <w:vertAlign w:val="superscript"/>
        </w:rPr>
        <w:t>3</w:t>
      </w:r>
      <w:r w:rsidRPr="009F75F6">
        <w:t xml:space="preserve">Liver and Gastroenterology Unit, Department of Health Sciences, </w:t>
      </w:r>
      <w:proofErr w:type="spellStart"/>
      <w:r w:rsidRPr="009F75F6">
        <w:t>Universita</w:t>
      </w:r>
      <w:proofErr w:type="spellEnd"/>
      <w:r w:rsidRPr="009F75F6">
        <w:t xml:space="preserve">' </w:t>
      </w:r>
      <w:proofErr w:type="spellStart"/>
      <w:r w:rsidRPr="009F75F6">
        <w:t>degli</w:t>
      </w:r>
      <w:proofErr w:type="spellEnd"/>
      <w:r w:rsidRPr="009F75F6">
        <w:t xml:space="preserve"> </w:t>
      </w:r>
      <w:proofErr w:type="spellStart"/>
      <w:r w:rsidRPr="009F75F6">
        <w:t>Studi</w:t>
      </w:r>
      <w:proofErr w:type="spellEnd"/>
      <w:r w:rsidRPr="009F75F6">
        <w:t xml:space="preserve"> di Milano, ASST Santi Paolo E Carlo, University Hospital San Paolo, Milan, Italy</w:t>
      </w:r>
    </w:p>
    <w:p w14:paraId="0D0314CF" w14:textId="77777777" w:rsidR="006B1592" w:rsidRPr="009F75F6" w:rsidRDefault="006B1592" w:rsidP="006B1592">
      <w:pPr>
        <w:spacing w:line="360" w:lineRule="auto"/>
        <w:jc w:val="both"/>
      </w:pPr>
      <w:r w:rsidRPr="009F75F6">
        <w:rPr>
          <w:vertAlign w:val="superscript"/>
        </w:rPr>
        <w:t>2</w:t>
      </w:r>
      <w:r>
        <w:rPr>
          <w:vertAlign w:val="superscript"/>
        </w:rPr>
        <w:t>4</w:t>
      </w:r>
      <w:r w:rsidRPr="009F75F6">
        <w:t>Division of Gastroenterology, University of Erlangen, Erlangen, Germany</w:t>
      </w:r>
    </w:p>
    <w:p w14:paraId="4A41FD0D" w14:textId="77777777" w:rsidR="006B1592" w:rsidRPr="009F75F6" w:rsidRDefault="006B1592" w:rsidP="006B1592">
      <w:pPr>
        <w:spacing w:line="360" w:lineRule="auto"/>
        <w:jc w:val="both"/>
      </w:pPr>
      <w:r w:rsidRPr="009F75F6">
        <w:rPr>
          <w:vertAlign w:val="superscript"/>
        </w:rPr>
        <w:t>2</w:t>
      </w:r>
      <w:r>
        <w:rPr>
          <w:vertAlign w:val="superscript"/>
        </w:rPr>
        <w:t>5</w:t>
      </w:r>
      <w:r w:rsidRPr="009F75F6">
        <w:t>Department of Clinical and Molecular Medicine, Norwegian University of Science and Technology, Trondheim, Norway</w:t>
      </w:r>
    </w:p>
    <w:p w14:paraId="6095A9DF" w14:textId="77777777" w:rsidR="006B1592" w:rsidRPr="009F75F6" w:rsidRDefault="006B1592" w:rsidP="006B1592">
      <w:pPr>
        <w:spacing w:line="360" w:lineRule="auto"/>
        <w:jc w:val="both"/>
      </w:pPr>
      <w:r w:rsidRPr="009F75F6">
        <w:rPr>
          <w:vertAlign w:val="superscript"/>
        </w:rPr>
        <w:t>2</w:t>
      </w:r>
      <w:r>
        <w:rPr>
          <w:vertAlign w:val="superscript"/>
        </w:rPr>
        <w:t>6</w:t>
      </w:r>
      <w:r w:rsidRPr="009F75F6">
        <w:t xml:space="preserve">Institute of Pathology, Friedrich-Alexander-University Erlangen-Nuremberg, </w:t>
      </w:r>
      <w:proofErr w:type="spellStart"/>
      <w:r w:rsidRPr="009F75F6">
        <w:t>Klinikum</w:t>
      </w:r>
      <w:proofErr w:type="spellEnd"/>
      <w:r w:rsidRPr="009F75F6">
        <w:t xml:space="preserve"> Bayreuth, Bayreuth, Germany </w:t>
      </w:r>
    </w:p>
    <w:p w14:paraId="68A2BB28" w14:textId="77777777" w:rsidR="006B1592" w:rsidRPr="009F75F6" w:rsidRDefault="006B1592" w:rsidP="006B1592">
      <w:pPr>
        <w:spacing w:line="360" w:lineRule="auto"/>
        <w:jc w:val="both"/>
      </w:pPr>
      <w:r w:rsidRPr="009F75F6">
        <w:rPr>
          <w:vertAlign w:val="superscript"/>
        </w:rPr>
        <w:t>27</w:t>
      </w:r>
      <w:r w:rsidRPr="009F75F6">
        <w:t xml:space="preserve">Department of Pathology, San </w:t>
      </w:r>
      <w:proofErr w:type="spellStart"/>
      <w:r w:rsidRPr="009F75F6">
        <w:t>Bortolo</w:t>
      </w:r>
      <w:proofErr w:type="spellEnd"/>
      <w:r w:rsidRPr="009F75F6">
        <w:t xml:space="preserve"> Hospital, Vicenza, Italy</w:t>
      </w:r>
    </w:p>
    <w:p w14:paraId="45F2E3FE" w14:textId="77777777" w:rsidR="006B1592" w:rsidRPr="009F75F6" w:rsidRDefault="006B1592" w:rsidP="006B1592">
      <w:pPr>
        <w:spacing w:line="360" w:lineRule="auto"/>
        <w:jc w:val="both"/>
      </w:pPr>
      <w:r w:rsidRPr="009F75F6">
        <w:rPr>
          <w:vertAlign w:val="superscript"/>
        </w:rPr>
        <w:t>28</w:t>
      </w:r>
      <w:r w:rsidRPr="009F75F6">
        <w:t>APC Microbiome Ireland, College of Medicine and Health, Cork, Ireland</w:t>
      </w:r>
    </w:p>
    <w:p w14:paraId="122167C9" w14:textId="77777777" w:rsidR="006B1592" w:rsidRPr="009F75F6" w:rsidRDefault="006B1592" w:rsidP="006B1592">
      <w:pPr>
        <w:spacing w:line="360" w:lineRule="auto"/>
        <w:jc w:val="both"/>
      </w:pPr>
      <w:r w:rsidRPr="009F75F6">
        <w:rPr>
          <w:vertAlign w:val="superscript"/>
        </w:rPr>
        <w:t>29</w:t>
      </w:r>
      <w:r w:rsidRPr="009F75F6">
        <w:t xml:space="preserve">School of Engineering Computer Science and Informatics, London South Bank University, London, United Kingdom, </w:t>
      </w:r>
    </w:p>
    <w:p w14:paraId="26973BB3" w14:textId="77777777" w:rsidR="006B1592" w:rsidRPr="009F75F6" w:rsidRDefault="006B1592" w:rsidP="006B1592">
      <w:pPr>
        <w:spacing w:line="360" w:lineRule="auto"/>
        <w:jc w:val="both"/>
      </w:pPr>
      <w:r w:rsidRPr="009F75F6">
        <w:rPr>
          <w:vertAlign w:val="superscript"/>
        </w:rPr>
        <w:t>30</w:t>
      </w:r>
      <w:r w:rsidRPr="009F75F6">
        <w:t>Department of Engineering, University of Padova, Padova, Italy</w:t>
      </w:r>
    </w:p>
    <w:p w14:paraId="12DA05EA" w14:textId="77777777" w:rsidR="006B1592" w:rsidRPr="009F75F6" w:rsidRDefault="006B1592" w:rsidP="006B1592">
      <w:pPr>
        <w:spacing w:line="360" w:lineRule="auto"/>
        <w:jc w:val="both"/>
      </w:pPr>
      <w:r w:rsidRPr="009F75F6">
        <w:t xml:space="preserve"> </w:t>
      </w:r>
    </w:p>
    <w:p w14:paraId="5121AB36" w14:textId="77777777" w:rsidR="006B1592" w:rsidRPr="009F75F6" w:rsidRDefault="006B1592" w:rsidP="006B1592">
      <w:pPr>
        <w:spacing w:line="360" w:lineRule="auto"/>
        <w:jc w:val="both"/>
      </w:pPr>
    </w:p>
    <w:p w14:paraId="13B22238" w14:textId="77777777" w:rsidR="006B1592" w:rsidRPr="009F75F6" w:rsidRDefault="006B1592" w:rsidP="006B1592">
      <w:pPr>
        <w:spacing w:line="360" w:lineRule="auto"/>
        <w:jc w:val="both"/>
      </w:pPr>
      <w:r w:rsidRPr="009F75F6">
        <w:t xml:space="preserve"> </w:t>
      </w:r>
    </w:p>
    <w:p w14:paraId="33D76B87" w14:textId="77777777" w:rsidR="006B1592" w:rsidRPr="009F75F6" w:rsidRDefault="006B1592" w:rsidP="006B1592">
      <w:pPr>
        <w:spacing w:line="360" w:lineRule="auto"/>
        <w:jc w:val="both"/>
      </w:pPr>
      <w:r w:rsidRPr="009F75F6">
        <w:t>Correspondence</w:t>
      </w:r>
    </w:p>
    <w:p w14:paraId="6A44E1D2" w14:textId="77777777" w:rsidR="006B1592" w:rsidRPr="009F75F6" w:rsidRDefault="006B1592" w:rsidP="006B1592">
      <w:pPr>
        <w:spacing w:line="360" w:lineRule="auto"/>
        <w:jc w:val="both"/>
      </w:pPr>
      <w:r w:rsidRPr="009F75F6">
        <w:rPr>
          <w:i/>
        </w:rPr>
        <w:t>Address for correspondence</w:t>
      </w:r>
      <w:r w:rsidRPr="009F75F6">
        <w:t>:</w:t>
      </w:r>
    </w:p>
    <w:p w14:paraId="6F9835F0" w14:textId="77777777" w:rsidR="006B1592" w:rsidRPr="009F75F6" w:rsidRDefault="006B1592" w:rsidP="006B1592">
      <w:pPr>
        <w:spacing w:line="360" w:lineRule="auto"/>
        <w:jc w:val="both"/>
      </w:pPr>
      <w:r w:rsidRPr="009F75F6">
        <w:t xml:space="preserve">Prof. Marietta </w:t>
      </w:r>
      <w:proofErr w:type="spellStart"/>
      <w:r w:rsidRPr="009F75F6">
        <w:t>Iacucci</w:t>
      </w:r>
      <w:proofErr w:type="spellEnd"/>
      <w:r w:rsidRPr="009F75F6">
        <w:t xml:space="preserve"> MD, PhD, FASGE, AGAF</w:t>
      </w:r>
    </w:p>
    <w:p w14:paraId="3D5A33AB" w14:textId="77777777" w:rsidR="006B1592" w:rsidRPr="009F75F6" w:rsidRDefault="006B1592" w:rsidP="006B1592">
      <w:pPr>
        <w:spacing w:line="360" w:lineRule="auto"/>
        <w:jc w:val="both"/>
      </w:pPr>
      <w:r w:rsidRPr="009F75F6">
        <w:t>Institute of Immunology and Immunotherapy</w:t>
      </w:r>
    </w:p>
    <w:p w14:paraId="487D0E26" w14:textId="77777777" w:rsidR="006B1592" w:rsidRPr="009F75F6" w:rsidRDefault="006B1592" w:rsidP="006B1592">
      <w:pPr>
        <w:spacing w:line="360" w:lineRule="auto"/>
        <w:jc w:val="both"/>
      </w:pPr>
      <w:r w:rsidRPr="009F75F6">
        <w:t>Heritage Building for Research and Development</w:t>
      </w:r>
    </w:p>
    <w:p w14:paraId="00949848" w14:textId="77777777" w:rsidR="006B1592" w:rsidRPr="009F75F6" w:rsidRDefault="006B1592" w:rsidP="006B1592">
      <w:pPr>
        <w:spacing w:line="360" w:lineRule="auto"/>
        <w:jc w:val="both"/>
      </w:pPr>
      <w:r w:rsidRPr="009F75F6">
        <w:t>University Hospitals Birmingham NHS Foundation Trust</w:t>
      </w:r>
    </w:p>
    <w:p w14:paraId="5FA2B8C7" w14:textId="77777777" w:rsidR="006B1592" w:rsidRPr="009F75F6" w:rsidRDefault="006B1592" w:rsidP="006B1592">
      <w:pPr>
        <w:spacing w:line="360" w:lineRule="auto"/>
        <w:jc w:val="both"/>
      </w:pPr>
      <w:r w:rsidRPr="009F75F6">
        <w:t>Edgbaston, Birmingham, UK B15 2TT</w:t>
      </w:r>
    </w:p>
    <w:p w14:paraId="00979419" w14:textId="77777777" w:rsidR="006B1592" w:rsidRPr="009F75F6" w:rsidRDefault="006B1592" w:rsidP="006B1592">
      <w:pPr>
        <w:spacing w:line="360" w:lineRule="auto"/>
        <w:jc w:val="both"/>
        <w:rPr>
          <w:color w:val="0563C1"/>
        </w:rPr>
      </w:pPr>
      <w:r w:rsidRPr="009F75F6">
        <w:t xml:space="preserve">Phone: +44 (0) 121 3718119, Email: </w:t>
      </w:r>
      <w:hyperlink r:id="rId7">
        <w:r w:rsidRPr="009F75F6">
          <w:rPr>
            <w:color w:val="1155CC"/>
            <w:u w:val="single"/>
          </w:rPr>
          <w:t>m.iacucci@bham.ac.uk</w:t>
        </w:r>
      </w:hyperlink>
      <w:r w:rsidRPr="009F75F6">
        <w:rPr>
          <w:color w:val="0563C1"/>
        </w:rPr>
        <w:t>; iacuccim@yahoo.it</w:t>
      </w:r>
    </w:p>
    <w:p w14:paraId="52192DF1" w14:textId="77777777" w:rsidR="006B1592" w:rsidRPr="009F75F6" w:rsidRDefault="006B1592" w:rsidP="006B1592">
      <w:pPr>
        <w:spacing w:line="360" w:lineRule="auto"/>
        <w:jc w:val="both"/>
      </w:pPr>
      <w:r w:rsidRPr="009F75F6">
        <w:t xml:space="preserve"> </w:t>
      </w:r>
    </w:p>
    <w:p w14:paraId="2B044C7F" w14:textId="77777777" w:rsidR="006B1592" w:rsidRPr="009F75F6" w:rsidRDefault="006B1592" w:rsidP="006B1592">
      <w:pPr>
        <w:spacing w:line="360" w:lineRule="auto"/>
        <w:jc w:val="both"/>
        <w:rPr>
          <w:b/>
        </w:rPr>
      </w:pPr>
      <w:r w:rsidRPr="009F75F6">
        <w:rPr>
          <w:b/>
        </w:rPr>
        <w:t xml:space="preserve"> </w:t>
      </w:r>
    </w:p>
    <w:p w14:paraId="5EF77030" w14:textId="77777777" w:rsidR="006B1592" w:rsidRPr="009F75F6" w:rsidRDefault="006B1592" w:rsidP="006B1592">
      <w:pPr>
        <w:spacing w:line="360" w:lineRule="auto"/>
        <w:jc w:val="both"/>
        <w:rPr>
          <w:b/>
        </w:rPr>
      </w:pPr>
      <w:r w:rsidRPr="009F75F6">
        <w:rPr>
          <w:b/>
        </w:rPr>
        <w:lastRenderedPageBreak/>
        <w:t xml:space="preserve"> </w:t>
      </w:r>
    </w:p>
    <w:p w14:paraId="5597C94A" w14:textId="77777777" w:rsidR="006B1592" w:rsidRPr="009F75F6" w:rsidRDefault="006B1592" w:rsidP="006B1592">
      <w:pPr>
        <w:spacing w:line="360" w:lineRule="auto"/>
        <w:jc w:val="both"/>
        <w:rPr>
          <w:b/>
        </w:rPr>
      </w:pPr>
      <w:r w:rsidRPr="009F75F6">
        <w:rPr>
          <w:b/>
        </w:rPr>
        <w:t xml:space="preserve"> </w:t>
      </w:r>
    </w:p>
    <w:p w14:paraId="3B11EC48" w14:textId="77777777" w:rsidR="006B1592" w:rsidRPr="009F75F6" w:rsidRDefault="006B1592" w:rsidP="006B1592">
      <w:pPr>
        <w:spacing w:line="360" w:lineRule="auto"/>
        <w:jc w:val="both"/>
        <w:rPr>
          <w:b/>
        </w:rPr>
      </w:pPr>
      <w:r w:rsidRPr="009F75F6">
        <w:rPr>
          <w:b/>
        </w:rPr>
        <w:t>Funding</w:t>
      </w:r>
    </w:p>
    <w:p w14:paraId="39A25C2D" w14:textId="77777777" w:rsidR="006B1592" w:rsidRPr="009F75F6" w:rsidRDefault="006B1592" w:rsidP="006B1592">
      <w:pPr>
        <w:spacing w:line="360" w:lineRule="auto"/>
        <w:jc w:val="both"/>
      </w:pPr>
      <w:r w:rsidRPr="009F75F6">
        <w:t>MI and SG are funded by the NIHR Birmingham Biomedical Research Centre at the University Hospitals Birmingham NHS Foundation Trust and the University of Birmingham. The views expressed are those of the author(s) and not necessarily those of the NHS, the NIHR or the Department of Health.</w:t>
      </w:r>
    </w:p>
    <w:p w14:paraId="24B6F1E8" w14:textId="77777777" w:rsidR="006B1592" w:rsidRPr="009F75F6" w:rsidRDefault="006B1592" w:rsidP="006B1592">
      <w:pPr>
        <w:spacing w:line="360" w:lineRule="auto"/>
        <w:jc w:val="both"/>
      </w:pPr>
      <w:r w:rsidRPr="009F75F6">
        <w:t xml:space="preserve"> </w:t>
      </w:r>
    </w:p>
    <w:p w14:paraId="196B16AB" w14:textId="77777777" w:rsidR="006B1592" w:rsidRPr="009F75F6" w:rsidRDefault="006B1592" w:rsidP="006B1592">
      <w:pPr>
        <w:spacing w:line="360" w:lineRule="auto"/>
        <w:jc w:val="both"/>
        <w:rPr>
          <w:b/>
        </w:rPr>
      </w:pPr>
      <w:r w:rsidRPr="009F75F6">
        <w:rPr>
          <w:b/>
        </w:rPr>
        <w:t>Competing interests</w:t>
      </w:r>
    </w:p>
    <w:p w14:paraId="3C51593D" w14:textId="77777777" w:rsidR="006B1592" w:rsidRPr="009F75F6" w:rsidRDefault="006B1592" w:rsidP="006B1592">
      <w:pPr>
        <w:spacing w:line="360" w:lineRule="auto"/>
        <w:jc w:val="both"/>
      </w:pPr>
      <w:r w:rsidRPr="009F75F6">
        <w:t>None of the other authors have any conflict of interest to declare related to this manuscript.</w:t>
      </w:r>
    </w:p>
    <w:p w14:paraId="17D95F11" w14:textId="77777777" w:rsidR="006B1592" w:rsidRPr="009F75F6" w:rsidRDefault="006B1592" w:rsidP="006B1592">
      <w:pPr>
        <w:spacing w:line="360" w:lineRule="auto"/>
        <w:jc w:val="both"/>
      </w:pPr>
    </w:p>
    <w:p w14:paraId="0920C3DB" w14:textId="77777777" w:rsidR="006B1592" w:rsidRPr="009F75F6" w:rsidRDefault="006B1592" w:rsidP="006B1592">
      <w:pPr>
        <w:spacing w:line="360" w:lineRule="auto"/>
        <w:jc w:val="both"/>
        <w:rPr>
          <w:b/>
        </w:rPr>
      </w:pPr>
      <w:r w:rsidRPr="009F75F6">
        <w:rPr>
          <w:b/>
        </w:rPr>
        <w:t>Patient consent for publication</w:t>
      </w:r>
    </w:p>
    <w:p w14:paraId="49065045" w14:textId="77777777" w:rsidR="006B1592" w:rsidRPr="009F75F6" w:rsidRDefault="006B1592" w:rsidP="006B1592">
      <w:pPr>
        <w:spacing w:line="360" w:lineRule="auto"/>
        <w:jc w:val="both"/>
      </w:pPr>
      <w:r w:rsidRPr="009F75F6">
        <w:t>Not required</w:t>
      </w:r>
    </w:p>
    <w:p w14:paraId="12424B40" w14:textId="77777777" w:rsidR="006B1592" w:rsidRPr="009F75F6" w:rsidRDefault="006B1592" w:rsidP="006B1592">
      <w:pPr>
        <w:spacing w:line="360" w:lineRule="auto"/>
        <w:jc w:val="both"/>
        <w:rPr>
          <w:b/>
        </w:rPr>
      </w:pPr>
    </w:p>
    <w:p w14:paraId="144D841C" w14:textId="77777777" w:rsidR="006B1592" w:rsidRPr="009F75F6" w:rsidRDefault="006B1592" w:rsidP="006B1592">
      <w:pPr>
        <w:spacing w:line="360" w:lineRule="auto"/>
        <w:jc w:val="both"/>
        <w:rPr>
          <w:b/>
        </w:rPr>
      </w:pPr>
      <w:r w:rsidRPr="009F75F6">
        <w:rPr>
          <w:b/>
        </w:rPr>
        <w:t>Ethics approval</w:t>
      </w:r>
    </w:p>
    <w:p w14:paraId="7CD1DFF0" w14:textId="77777777" w:rsidR="006B1592" w:rsidRPr="009F75F6" w:rsidRDefault="006B1592" w:rsidP="006B1592">
      <w:pPr>
        <w:spacing w:line="360" w:lineRule="auto"/>
        <w:jc w:val="both"/>
      </w:pPr>
      <w:r w:rsidRPr="009F75F6">
        <w:t xml:space="preserve">The study was approved by the West Midlands Research Ethics Committee (17/WM/0223). All patients gave informed consent to participate in the study. </w:t>
      </w:r>
    </w:p>
    <w:p w14:paraId="1A88FC1E" w14:textId="77777777" w:rsidR="006B1592" w:rsidRPr="009F75F6" w:rsidRDefault="006B1592" w:rsidP="006B1592">
      <w:pPr>
        <w:spacing w:line="360" w:lineRule="auto"/>
        <w:jc w:val="both"/>
      </w:pPr>
      <w:r w:rsidRPr="009F75F6">
        <w:t xml:space="preserve"> </w:t>
      </w:r>
    </w:p>
    <w:p w14:paraId="143CBD2E" w14:textId="77777777" w:rsidR="006B1592" w:rsidRPr="009F75F6" w:rsidRDefault="006B1592" w:rsidP="006B1592">
      <w:pPr>
        <w:spacing w:line="360" w:lineRule="auto"/>
        <w:jc w:val="both"/>
        <w:rPr>
          <w:b/>
        </w:rPr>
      </w:pPr>
      <w:r w:rsidRPr="009F75F6">
        <w:rPr>
          <w:b/>
        </w:rPr>
        <w:t>Abbreviations</w:t>
      </w:r>
    </w:p>
    <w:p w14:paraId="79323C9D" w14:textId="77777777" w:rsidR="006B1592" w:rsidRPr="009F75F6" w:rsidRDefault="006B1592" w:rsidP="006B1592">
      <w:pPr>
        <w:spacing w:line="360" w:lineRule="auto"/>
        <w:jc w:val="both"/>
      </w:pPr>
      <w:r w:rsidRPr="009F75F6">
        <w:t xml:space="preserve">IBD, inflammatory bowel disease; UC, ulcerative colitis; CD, Crohn’s disease; WLE, white light endoscopy; HD, high definition; VCE, virtual chromoendoscopy; ER, endoscopic remission; HR, histologic remission; UCEIS, ulcerative colitis endoscopic index of severity; MES, Mayo endoscopic score; PICASSO, Paddington International virtual </w:t>
      </w:r>
      <w:proofErr w:type="spellStart"/>
      <w:r w:rsidRPr="009F75F6">
        <w:t>ChromoendoScopy</w:t>
      </w:r>
      <w:proofErr w:type="spellEnd"/>
      <w:r w:rsidRPr="009F75F6">
        <w:t xml:space="preserve"> </w:t>
      </w:r>
      <w:proofErr w:type="spellStart"/>
      <w:r w:rsidRPr="009F75F6">
        <w:t>ScOre</w:t>
      </w:r>
      <w:proofErr w:type="spellEnd"/>
      <w:r w:rsidRPr="009F75F6">
        <w:t xml:space="preserve">; RHI, </w:t>
      </w:r>
      <w:proofErr w:type="spellStart"/>
      <w:r w:rsidRPr="009F75F6">
        <w:t>Robart</w:t>
      </w:r>
      <w:proofErr w:type="spellEnd"/>
      <w:r w:rsidRPr="009F75F6">
        <w:t xml:space="preserve"> Histopathology  index; NHI, Nancy Histological index; PHRI, Picasso Histologic remission index; CAD, Computer-aided design; AI, Artificial Intelligence; CNN, convolutional neural network;</w:t>
      </w:r>
    </w:p>
    <w:p w14:paraId="174C4800" w14:textId="77777777" w:rsidR="006B1592" w:rsidRPr="009F75F6" w:rsidRDefault="006B1592" w:rsidP="006B1592">
      <w:pPr>
        <w:spacing w:line="360" w:lineRule="auto"/>
        <w:jc w:val="both"/>
        <w:rPr>
          <w:b/>
        </w:rPr>
      </w:pPr>
    </w:p>
    <w:p w14:paraId="6472F04E" w14:textId="77777777" w:rsidR="006B1592" w:rsidRPr="009F75F6" w:rsidRDefault="006B1592" w:rsidP="006B1592">
      <w:pPr>
        <w:spacing w:line="360" w:lineRule="auto"/>
        <w:jc w:val="both"/>
        <w:rPr>
          <w:b/>
        </w:rPr>
      </w:pPr>
    </w:p>
    <w:p w14:paraId="2879C50B" w14:textId="77777777" w:rsidR="006B1592" w:rsidRPr="009F75F6" w:rsidRDefault="006B1592" w:rsidP="006B1592">
      <w:pPr>
        <w:spacing w:line="360" w:lineRule="auto"/>
        <w:rPr>
          <w:b/>
        </w:rPr>
      </w:pPr>
      <w:r w:rsidRPr="009F75F6">
        <w:rPr>
          <w:b/>
        </w:rPr>
        <w:t xml:space="preserve">Authors contributions </w:t>
      </w:r>
    </w:p>
    <w:p w14:paraId="6288EF44" w14:textId="77777777" w:rsidR="006B1592" w:rsidRPr="009F75F6" w:rsidRDefault="006B1592" w:rsidP="006B1592">
      <w:pPr>
        <w:spacing w:line="360" w:lineRule="auto"/>
      </w:pPr>
      <w:r w:rsidRPr="009F75F6">
        <w:t xml:space="preserve">MI: Study conception and design, Concept of AI for endoscopy scoring, Data acquisition, </w:t>
      </w:r>
      <w:proofErr w:type="gramStart"/>
      <w:r w:rsidRPr="009F75F6">
        <w:t>Analysis</w:t>
      </w:r>
      <w:proofErr w:type="gramEnd"/>
      <w:r w:rsidRPr="009F75F6">
        <w:t xml:space="preserve"> and interpretation of data, Drafting of the manuscript, Critical revision of manuscript for important intellectual content </w:t>
      </w:r>
    </w:p>
    <w:p w14:paraId="3A4FED5A" w14:textId="77777777" w:rsidR="006B1592" w:rsidRPr="009F75F6" w:rsidRDefault="006B1592" w:rsidP="006B1592">
      <w:pPr>
        <w:spacing w:line="360" w:lineRule="auto"/>
      </w:pPr>
      <w:r w:rsidRPr="009F75F6">
        <w:t xml:space="preserve">RC: Data acquisition, </w:t>
      </w:r>
      <w:proofErr w:type="gramStart"/>
      <w:r w:rsidRPr="009F75F6">
        <w:t>Analysis</w:t>
      </w:r>
      <w:proofErr w:type="gramEnd"/>
      <w:r w:rsidRPr="009F75F6">
        <w:t xml:space="preserve"> and interpretation of data, Drafting of the manuscript, Critical revision of manuscript for important intellectual content </w:t>
      </w:r>
    </w:p>
    <w:p w14:paraId="275173E2" w14:textId="77777777" w:rsidR="006B1592" w:rsidRPr="009F75F6" w:rsidRDefault="006B1592" w:rsidP="006B1592">
      <w:pPr>
        <w:spacing w:line="360" w:lineRule="auto"/>
      </w:pPr>
      <w:r w:rsidRPr="009F75F6">
        <w:t xml:space="preserve">TLP: Data </w:t>
      </w:r>
      <w:proofErr w:type="spellStart"/>
      <w:proofErr w:type="gramStart"/>
      <w:r w:rsidRPr="009F75F6">
        <w:t>acquisition,Analysis</w:t>
      </w:r>
      <w:proofErr w:type="spellEnd"/>
      <w:proofErr w:type="gramEnd"/>
      <w:r w:rsidRPr="009F75F6">
        <w:t xml:space="preserve"> and interpretation of data, Drafting of the manuscript, Critical revision of manuscript for important intellectual content </w:t>
      </w:r>
    </w:p>
    <w:p w14:paraId="7AD764F0" w14:textId="77777777" w:rsidR="006B1592" w:rsidRPr="009F75F6" w:rsidRDefault="006B1592" w:rsidP="006B1592">
      <w:pPr>
        <w:spacing w:line="360" w:lineRule="auto"/>
      </w:pPr>
      <w:proofErr w:type="spellStart"/>
      <w:proofErr w:type="gramStart"/>
      <w:r w:rsidRPr="009F75F6">
        <w:lastRenderedPageBreak/>
        <w:t>M.N:Data</w:t>
      </w:r>
      <w:proofErr w:type="spellEnd"/>
      <w:proofErr w:type="gramEnd"/>
      <w:r w:rsidRPr="009F75F6">
        <w:t xml:space="preserve"> acquisition, Analysis and interpretation of data, Critical revision of manuscript for important intellectual content </w:t>
      </w:r>
    </w:p>
    <w:p w14:paraId="3448421A" w14:textId="77777777" w:rsidR="006B1592" w:rsidRPr="009F75F6" w:rsidRDefault="006B1592" w:rsidP="006B1592">
      <w:pPr>
        <w:spacing w:line="360" w:lineRule="auto"/>
      </w:pPr>
      <w:proofErr w:type="spellStart"/>
      <w:proofErr w:type="gramStart"/>
      <w:r w:rsidRPr="009F75F6">
        <w:t>GET:Data</w:t>
      </w:r>
      <w:proofErr w:type="spellEnd"/>
      <w:proofErr w:type="gramEnd"/>
      <w:r w:rsidRPr="009F75F6">
        <w:t xml:space="preserve"> acquisition, Analysis and interpretation of data, Critical revision of manuscript for important intellectual content </w:t>
      </w:r>
    </w:p>
    <w:p w14:paraId="531C9D1C" w14:textId="77777777" w:rsidR="006B1592" w:rsidRPr="009F75F6" w:rsidRDefault="006B1592" w:rsidP="006B1592">
      <w:pPr>
        <w:spacing w:line="360" w:lineRule="auto"/>
      </w:pPr>
      <w:r w:rsidRPr="009F75F6">
        <w:t xml:space="preserve">N.L: Analysis and interpretation of data, Critical revision of manuscript for important intellectual content </w:t>
      </w:r>
    </w:p>
    <w:p w14:paraId="0BC427D2" w14:textId="77777777" w:rsidR="006B1592" w:rsidRPr="009F75F6" w:rsidRDefault="006B1592" w:rsidP="006B1592">
      <w:pPr>
        <w:spacing w:line="360" w:lineRule="auto"/>
      </w:pPr>
      <w:proofErr w:type="spellStart"/>
      <w:proofErr w:type="gramStart"/>
      <w:r w:rsidRPr="009F75F6">
        <w:t>AB:Analysis</w:t>
      </w:r>
      <w:proofErr w:type="spellEnd"/>
      <w:proofErr w:type="gramEnd"/>
      <w:r w:rsidRPr="009F75F6">
        <w:t xml:space="preserve"> and interpretation of data, Critical revision of manuscript for important intellectual content </w:t>
      </w:r>
    </w:p>
    <w:p w14:paraId="7F38654C" w14:textId="77777777" w:rsidR="006B1592" w:rsidRPr="009F75F6" w:rsidRDefault="006B1592" w:rsidP="006B1592">
      <w:pPr>
        <w:spacing w:line="360" w:lineRule="auto"/>
      </w:pPr>
      <w:proofErr w:type="spellStart"/>
      <w:proofErr w:type="gramStart"/>
      <w:r w:rsidRPr="009F75F6">
        <w:t>AR:Data</w:t>
      </w:r>
      <w:proofErr w:type="spellEnd"/>
      <w:proofErr w:type="gramEnd"/>
      <w:r w:rsidRPr="009F75F6">
        <w:t xml:space="preserve"> acquisition, Analysis and interpretation of data, Critical revision of manuscript for important intellectual content </w:t>
      </w:r>
    </w:p>
    <w:p w14:paraId="319315C9" w14:textId="77777777" w:rsidR="006B1592" w:rsidRPr="009F75F6" w:rsidRDefault="006B1592" w:rsidP="006B1592">
      <w:pPr>
        <w:spacing w:line="360" w:lineRule="auto"/>
      </w:pPr>
      <w:proofErr w:type="spellStart"/>
      <w:proofErr w:type="gramStart"/>
      <w:r w:rsidRPr="009F75F6">
        <w:t>A.B:Analysis</w:t>
      </w:r>
      <w:proofErr w:type="spellEnd"/>
      <w:proofErr w:type="gramEnd"/>
      <w:r w:rsidRPr="009F75F6">
        <w:t xml:space="preserve"> and interpretation of data, Critical revision of manuscript for important intellectual content </w:t>
      </w:r>
    </w:p>
    <w:p w14:paraId="72B79F8D" w14:textId="77777777" w:rsidR="006B1592" w:rsidRPr="009F75F6" w:rsidRDefault="006B1592" w:rsidP="006B1592">
      <w:pPr>
        <w:spacing w:line="360" w:lineRule="auto"/>
      </w:pPr>
      <w:r w:rsidRPr="009F75F6">
        <w:t xml:space="preserve">P.B: Data </w:t>
      </w:r>
      <w:proofErr w:type="spellStart"/>
      <w:proofErr w:type="gramStart"/>
      <w:r w:rsidRPr="009F75F6">
        <w:t>acquisition,Critical</w:t>
      </w:r>
      <w:proofErr w:type="spellEnd"/>
      <w:proofErr w:type="gramEnd"/>
      <w:r w:rsidRPr="009F75F6">
        <w:t xml:space="preserve"> revision of manuscript for important intellectual content </w:t>
      </w:r>
    </w:p>
    <w:p w14:paraId="0970D4C5" w14:textId="77777777" w:rsidR="006B1592" w:rsidRPr="009F75F6" w:rsidRDefault="006B1592" w:rsidP="006B1592">
      <w:pPr>
        <w:spacing w:line="360" w:lineRule="auto"/>
      </w:pPr>
      <w:r w:rsidRPr="009F75F6">
        <w:t xml:space="preserve">R.B: Data </w:t>
      </w:r>
      <w:proofErr w:type="spellStart"/>
      <w:proofErr w:type="gramStart"/>
      <w:r w:rsidRPr="009F75F6">
        <w:t>acquisition,Critical</w:t>
      </w:r>
      <w:proofErr w:type="spellEnd"/>
      <w:proofErr w:type="gramEnd"/>
      <w:r w:rsidRPr="009F75F6">
        <w:t xml:space="preserve"> revision of manuscript for important intellectual content </w:t>
      </w:r>
    </w:p>
    <w:p w14:paraId="489F3673" w14:textId="77777777" w:rsidR="006B1592" w:rsidRPr="009F75F6" w:rsidRDefault="006B1592" w:rsidP="006B1592">
      <w:pPr>
        <w:spacing w:line="360" w:lineRule="auto"/>
      </w:pPr>
      <w:r w:rsidRPr="009F75F6">
        <w:t xml:space="preserve">G.DDH: Data acquisition, Critical revision of manuscript for important intellectual content </w:t>
      </w:r>
    </w:p>
    <w:p w14:paraId="1EF8AC0D" w14:textId="77777777" w:rsidR="006B1592" w:rsidRPr="009F75F6" w:rsidRDefault="006B1592" w:rsidP="006B1592">
      <w:pPr>
        <w:spacing w:line="360" w:lineRule="auto"/>
      </w:pPr>
      <w:proofErr w:type="gramStart"/>
      <w:r w:rsidRPr="009F75F6">
        <w:t>R.DA</w:t>
      </w:r>
      <w:proofErr w:type="gramEnd"/>
      <w:r w:rsidRPr="009F75F6">
        <w:t xml:space="preserve">: Data acquisition, Critical revision of manuscript for important intellectual content </w:t>
      </w:r>
    </w:p>
    <w:p w14:paraId="44ED3322" w14:textId="77777777" w:rsidR="006B1592" w:rsidRPr="009F75F6" w:rsidRDefault="006B1592" w:rsidP="006B1592">
      <w:pPr>
        <w:spacing w:line="360" w:lineRule="auto"/>
      </w:pPr>
      <w:r w:rsidRPr="009F75F6">
        <w:t xml:space="preserve">J.G.F: Data acquisition, Critical revision of manuscript for important intellectual content </w:t>
      </w:r>
    </w:p>
    <w:p w14:paraId="5ACF72F8" w14:textId="77777777" w:rsidR="006B1592" w:rsidRPr="009F75F6" w:rsidRDefault="006B1592" w:rsidP="006B1592">
      <w:pPr>
        <w:spacing w:line="360" w:lineRule="auto"/>
      </w:pPr>
      <w:r w:rsidRPr="009F75F6">
        <w:t xml:space="preserve">M.G: Data acquisition, Critical revision of manuscript for important intellectual content </w:t>
      </w:r>
    </w:p>
    <w:p w14:paraId="637A8934" w14:textId="77777777" w:rsidR="006B1592" w:rsidRPr="009F75F6" w:rsidRDefault="006B1592" w:rsidP="006B1592">
      <w:pPr>
        <w:spacing w:line="360" w:lineRule="auto"/>
      </w:pPr>
      <w:r w:rsidRPr="009F75F6">
        <w:t xml:space="preserve">X.G: Data acquisition, Interpretation of data Critical revision of manuscript for important intellectual content </w:t>
      </w:r>
    </w:p>
    <w:p w14:paraId="6EEE8C6B" w14:textId="77777777" w:rsidR="006B1592" w:rsidRPr="009F75F6" w:rsidRDefault="006B1592" w:rsidP="006B1592">
      <w:pPr>
        <w:spacing w:line="360" w:lineRule="auto"/>
      </w:pPr>
      <w:r w:rsidRPr="009F75F6">
        <w:t xml:space="preserve">B.H: Data </w:t>
      </w:r>
      <w:proofErr w:type="spellStart"/>
      <w:proofErr w:type="gramStart"/>
      <w:r w:rsidRPr="009F75F6">
        <w:t>acquisition,Critical</w:t>
      </w:r>
      <w:proofErr w:type="spellEnd"/>
      <w:proofErr w:type="gramEnd"/>
      <w:r w:rsidRPr="009F75F6">
        <w:t xml:space="preserve"> revision of manuscript for important intellectual content </w:t>
      </w:r>
    </w:p>
    <w:p w14:paraId="508DE0BA" w14:textId="77777777" w:rsidR="006B1592" w:rsidRPr="009F75F6" w:rsidRDefault="006B1592" w:rsidP="006B1592">
      <w:pPr>
        <w:spacing w:line="360" w:lineRule="auto"/>
      </w:pPr>
      <w:r w:rsidRPr="009F75F6">
        <w:t xml:space="preserve">R.K: Critical revision of manuscript for important intellectual content </w:t>
      </w:r>
    </w:p>
    <w:p w14:paraId="6DF32326" w14:textId="77777777" w:rsidR="006B1592" w:rsidRPr="009F75F6" w:rsidRDefault="006B1592" w:rsidP="006B1592">
      <w:pPr>
        <w:spacing w:line="360" w:lineRule="auto"/>
      </w:pPr>
      <w:r w:rsidRPr="009F75F6">
        <w:t xml:space="preserve">M.L: Data acquisition, Interpretation of data Critical revision of manuscript for important intellectual content </w:t>
      </w:r>
    </w:p>
    <w:p w14:paraId="23985202" w14:textId="77777777" w:rsidR="006B1592" w:rsidRPr="009F75F6" w:rsidRDefault="006B1592" w:rsidP="006B1592">
      <w:pPr>
        <w:spacing w:line="360" w:lineRule="auto"/>
      </w:pPr>
      <w:r w:rsidRPr="009F75F6">
        <w:t xml:space="preserve">V.N: Interpretation of data Critical revision of manuscript for important intellectual content </w:t>
      </w:r>
    </w:p>
    <w:p w14:paraId="258ECB1A" w14:textId="77777777" w:rsidR="006B1592" w:rsidRPr="009F75F6" w:rsidRDefault="006B1592" w:rsidP="006B1592">
      <w:pPr>
        <w:spacing w:line="360" w:lineRule="auto"/>
      </w:pPr>
      <w:r w:rsidRPr="009F75F6">
        <w:t xml:space="preserve">R.P: Interpretation of data Critical revision of manuscript for important intellectual content </w:t>
      </w:r>
    </w:p>
    <w:p w14:paraId="72127D02" w14:textId="77777777" w:rsidR="006B1592" w:rsidRPr="009F75F6" w:rsidRDefault="006B1592" w:rsidP="006B1592">
      <w:pPr>
        <w:spacing w:line="360" w:lineRule="auto"/>
      </w:pPr>
      <w:r w:rsidRPr="009F75F6">
        <w:t xml:space="preserve">A.P: Data acquisition, Interpretation of data Critical revision of manuscript for important intellectual content </w:t>
      </w:r>
    </w:p>
    <w:p w14:paraId="4A52AA64" w14:textId="77777777" w:rsidR="006B1592" w:rsidRPr="009F75F6" w:rsidRDefault="006B1592" w:rsidP="006B1592">
      <w:pPr>
        <w:spacing w:line="360" w:lineRule="auto"/>
      </w:pPr>
      <w:r w:rsidRPr="009F75F6">
        <w:t xml:space="preserve">L.P: Data acquisition, Interpretation of data Critical revision of manuscript for important intellectual content </w:t>
      </w:r>
    </w:p>
    <w:p w14:paraId="605F911F" w14:textId="77777777" w:rsidR="006B1592" w:rsidRPr="009F75F6" w:rsidRDefault="006B1592" w:rsidP="006B1592">
      <w:pPr>
        <w:spacing w:line="360" w:lineRule="auto"/>
      </w:pPr>
      <w:r w:rsidRPr="009F75F6">
        <w:t xml:space="preserve">T.R: Data acquisition, Interpretation of data Critical revision of manuscript for important intellectual content </w:t>
      </w:r>
    </w:p>
    <w:p w14:paraId="4D4F4773" w14:textId="77777777" w:rsidR="006B1592" w:rsidRPr="009F75F6" w:rsidRDefault="006B1592" w:rsidP="006B1592">
      <w:pPr>
        <w:spacing w:line="360" w:lineRule="auto"/>
      </w:pPr>
      <w:r w:rsidRPr="009F75F6">
        <w:t xml:space="preserve">E.S.R: Interpretation of data Critical revision of manuscript for important intellectual content </w:t>
      </w:r>
    </w:p>
    <w:p w14:paraId="7574E3E9" w14:textId="77777777" w:rsidR="006B1592" w:rsidRPr="009F75F6" w:rsidRDefault="006B1592" w:rsidP="006B1592">
      <w:pPr>
        <w:spacing w:line="360" w:lineRule="auto"/>
      </w:pPr>
      <w:r w:rsidRPr="009F75F6">
        <w:t xml:space="preserve">M.V: Data </w:t>
      </w:r>
      <w:proofErr w:type="gramStart"/>
      <w:r w:rsidRPr="009F75F6">
        <w:t>acquisition  Interpretation</w:t>
      </w:r>
      <w:proofErr w:type="gramEnd"/>
      <w:r w:rsidRPr="009F75F6">
        <w:t xml:space="preserve"> of data Critical revision of manuscript for important intellectual content </w:t>
      </w:r>
    </w:p>
    <w:p w14:paraId="20585962" w14:textId="77777777" w:rsidR="006B1592" w:rsidRPr="009F75F6" w:rsidRDefault="006B1592" w:rsidP="006B1592">
      <w:pPr>
        <w:spacing w:line="360" w:lineRule="auto"/>
      </w:pPr>
      <w:r w:rsidRPr="009F75F6">
        <w:t xml:space="preserve">V. V: Interpretation of data Critical revision of manuscript for important intellectual content </w:t>
      </w:r>
    </w:p>
    <w:p w14:paraId="7869C244" w14:textId="77777777" w:rsidR="006B1592" w:rsidRPr="009F75F6" w:rsidRDefault="006B1592" w:rsidP="006B1592">
      <w:pPr>
        <w:spacing w:line="360" w:lineRule="auto"/>
      </w:pPr>
      <w:r w:rsidRPr="009F75F6">
        <w:lastRenderedPageBreak/>
        <w:t xml:space="preserve">D. Z: Data acquisition, Interpretation of data Critical revision of manuscript for important intellectual content </w:t>
      </w:r>
    </w:p>
    <w:p w14:paraId="0C4E975A" w14:textId="77777777" w:rsidR="006B1592" w:rsidRPr="009F75F6" w:rsidRDefault="006B1592" w:rsidP="006B1592">
      <w:pPr>
        <w:spacing w:line="360" w:lineRule="auto"/>
      </w:pPr>
      <w:r w:rsidRPr="009F75F6">
        <w:t xml:space="preserve">S.G: Study conception and design, Concept of AI for endoscopy scoring, Data acquisition, </w:t>
      </w:r>
      <w:proofErr w:type="gramStart"/>
      <w:r w:rsidRPr="009F75F6">
        <w:t>Analysis</w:t>
      </w:r>
      <w:proofErr w:type="gramEnd"/>
      <w:r w:rsidRPr="009F75F6">
        <w:t xml:space="preserve"> and interpretation of data, Drafting of the manuscript, Critical revision of manuscript for important intellectual content </w:t>
      </w:r>
    </w:p>
    <w:p w14:paraId="3E1119DC" w14:textId="77777777" w:rsidR="006B1592" w:rsidRPr="009F75F6" w:rsidRDefault="006B1592" w:rsidP="006B1592">
      <w:pPr>
        <w:spacing w:line="360" w:lineRule="auto"/>
      </w:pPr>
      <w:r w:rsidRPr="009F75F6">
        <w:t xml:space="preserve">E.G: Study conception and design, Concept of AI for endoscopy scoring, Data acquisition, </w:t>
      </w:r>
      <w:proofErr w:type="gramStart"/>
      <w:r w:rsidRPr="009F75F6">
        <w:t>Analysis</w:t>
      </w:r>
      <w:proofErr w:type="gramEnd"/>
      <w:r w:rsidRPr="009F75F6">
        <w:t xml:space="preserve"> and interpretation of data, Drafting of the manuscript, Critical revision of manuscript for important intellectual content </w:t>
      </w:r>
    </w:p>
    <w:p w14:paraId="3119CF4F" w14:textId="77777777" w:rsidR="006B1592" w:rsidRPr="009F75F6" w:rsidRDefault="006B1592" w:rsidP="006B1592">
      <w:pPr>
        <w:spacing w:line="360" w:lineRule="auto"/>
        <w:jc w:val="both"/>
        <w:rPr>
          <w:b/>
        </w:rPr>
      </w:pPr>
      <w:r w:rsidRPr="009F75F6">
        <w:br w:type="page"/>
      </w:r>
    </w:p>
    <w:p w14:paraId="4632E0FE" w14:textId="77777777" w:rsidR="006B1592" w:rsidRPr="009F75F6" w:rsidRDefault="006B1592" w:rsidP="006B1592">
      <w:pPr>
        <w:spacing w:line="360" w:lineRule="auto"/>
        <w:jc w:val="both"/>
        <w:rPr>
          <w:sz w:val="28"/>
          <w:szCs w:val="28"/>
        </w:rPr>
      </w:pPr>
      <w:r w:rsidRPr="009F75F6">
        <w:rPr>
          <w:b/>
          <w:sz w:val="28"/>
          <w:szCs w:val="28"/>
        </w:rPr>
        <w:lastRenderedPageBreak/>
        <w:t>Abstract</w:t>
      </w:r>
    </w:p>
    <w:p w14:paraId="28EE3B34" w14:textId="77777777" w:rsidR="006B1592" w:rsidRPr="009F75F6" w:rsidRDefault="006B1592" w:rsidP="006B1592">
      <w:pPr>
        <w:spacing w:line="360" w:lineRule="auto"/>
        <w:jc w:val="both"/>
        <w:rPr>
          <w:b/>
        </w:rPr>
      </w:pPr>
    </w:p>
    <w:p w14:paraId="566205F1" w14:textId="77777777" w:rsidR="006B1592" w:rsidRPr="009F75F6" w:rsidRDefault="006B1592" w:rsidP="006B1592">
      <w:pPr>
        <w:spacing w:line="360" w:lineRule="auto"/>
        <w:jc w:val="both"/>
        <w:rPr>
          <w:b/>
        </w:rPr>
      </w:pPr>
      <w:r w:rsidRPr="009F75F6">
        <w:rPr>
          <w:b/>
        </w:rPr>
        <w:t xml:space="preserve">Background and study </w:t>
      </w:r>
      <w:proofErr w:type="gramStart"/>
      <w:r w:rsidRPr="009F75F6">
        <w:rPr>
          <w:b/>
        </w:rPr>
        <w:t>aims</w:t>
      </w:r>
      <w:proofErr w:type="gramEnd"/>
    </w:p>
    <w:p w14:paraId="098AD668" w14:textId="77777777" w:rsidR="006B1592" w:rsidRPr="009F75F6" w:rsidRDefault="006B1592" w:rsidP="006B1592">
      <w:pPr>
        <w:spacing w:line="360" w:lineRule="auto"/>
        <w:jc w:val="both"/>
      </w:pPr>
      <w:r w:rsidRPr="009F75F6">
        <w:t>Endoscopic and histologic remission (ER, HR) are therapeutic targets in ulcerative colitis (UC) and virtual chromoendoscopy (VCE) improves the endoscopic assessment and the prediction of histology. However, interobserver variability is a limitation for widespread standardised endoscopic assessment using all scoring systems. We aimed to develop an artificial intelligence tool to distinguish ER/</w:t>
      </w:r>
      <w:proofErr w:type="gramStart"/>
      <w:r w:rsidRPr="009F75F6">
        <w:t>activity, and</w:t>
      </w:r>
      <w:proofErr w:type="gramEnd"/>
      <w:r w:rsidRPr="009F75F6">
        <w:t xml:space="preserve"> predict histology and </w:t>
      </w:r>
      <w:r>
        <w:t xml:space="preserve">risk of flare </w:t>
      </w:r>
      <w:r w:rsidRPr="009F75F6">
        <w:t>from white-light-endoscopy (WLE) and VCE videos.</w:t>
      </w:r>
    </w:p>
    <w:p w14:paraId="2E4FFDD1" w14:textId="77777777" w:rsidR="006B1592" w:rsidRPr="009F75F6" w:rsidRDefault="006B1592" w:rsidP="006B1592">
      <w:pPr>
        <w:spacing w:line="360" w:lineRule="auto"/>
        <w:jc w:val="both"/>
        <w:rPr>
          <w:b/>
        </w:rPr>
      </w:pPr>
    </w:p>
    <w:p w14:paraId="4DC910F1" w14:textId="77777777" w:rsidR="006B1592" w:rsidRPr="009F75F6" w:rsidRDefault="006B1592" w:rsidP="006B1592">
      <w:pPr>
        <w:spacing w:line="360" w:lineRule="auto"/>
        <w:jc w:val="both"/>
        <w:rPr>
          <w:b/>
        </w:rPr>
      </w:pPr>
      <w:r w:rsidRPr="009F75F6">
        <w:rPr>
          <w:b/>
        </w:rPr>
        <w:t>Patients and methods</w:t>
      </w:r>
    </w:p>
    <w:p w14:paraId="359BDB79" w14:textId="77777777" w:rsidR="006B1592" w:rsidRPr="009F75F6" w:rsidRDefault="006B1592" w:rsidP="006B1592">
      <w:pPr>
        <w:spacing w:line="360" w:lineRule="auto"/>
        <w:jc w:val="both"/>
      </w:pPr>
      <w:r w:rsidRPr="009F75F6">
        <w:t xml:space="preserve">1090 endoscopic videos (638287 frames), from 283 patients, were used to develop a convolutional neural network (CNN). UC endoscopic activity was graded by experts with Ulcerative Colitis Endoscopic Index of Severity (UCEIS) and </w:t>
      </w:r>
      <w:proofErr w:type="spellStart"/>
      <w:r w:rsidRPr="009F75F6">
        <w:t>PICaSSO</w:t>
      </w:r>
      <w:proofErr w:type="spellEnd"/>
      <w:r w:rsidRPr="009F75F6">
        <w:t xml:space="preserve">. The CNN was trained to distinguish ER/activity on endoscopy videos, and retrained to predict HR/activity, defined according to multiple indices, and predict outcome; CNN and </w:t>
      </w:r>
      <w:proofErr w:type="gramStart"/>
      <w:r w:rsidRPr="009F75F6">
        <w:t>humans</w:t>
      </w:r>
      <w:proofErr w:type="gramEnd"/>
      <w:r w:rsidRPr="009F75F6">
        <w:t xml:space="preserve"> agreement was measured.</w:t>
      </w:r>
    </w:p>
    <w:p w14:paraId="373F7657" w14:textId="77777777" w:rsidR="006B1592" w:rsidRPr="009F75F6" w:rsidRDefault="006B1592" w:rsidP="006B1592">
      <w:pPr>
        <w:spacing w:line="360" w:lineRule="auto"/>
        <w:jc w:val="both"/>
      </w:pPr>
    </w:p>
    <w:p w14:paraId="18ABC917" w14:textId="77777777" w:rsidR="006B1592" w:rsidRPr="009F75F6" w:rsidRDefault="006B1592" w:rsidP="006B1592">
      <w:pPr>
        <w:spacing w:line="360" w:lineRule="auto"/>
        <w:jc w:val="both"/>
        <w:rPr>
          <w:b/>
        </w:rPr>
      </w:pPr>
      <w:r w:rsidRPr="009F75F6">
        <w:rPr>
          <w:b/>
        </w:rPr>
        <w:t>Results</w:t>
      </w:r>
    </w:p>
    <w:p w14:paraId="114E36E6" w14:textId="77777777" w:rsidR="006B1592" w:rsidRPr="009F75F6" w:rsidRDefault="006B1592" w:rsidP="006B1592">
      <w:pPr>
        <w:spacing w:line="360" w:lineRule="auto"/>
        <w:jc w:val="both"/>
        <w:rPr>
          <w:color w:val="00B0F0"/>
        </w:rPr>
      </w:pPr>
      <w:r w:rsidRPr="009F75F6">
        <w:t>T</w:t>
      </w:r>
      <w:r w:rsidRPr="009F75F6">
        <w:rPr>
          <w:rFonts w:eastAsia="Arial Unicode MS"/>
        </w:rPr>
        <w:t>he AI system detected ER (UCEIS ≤1) in WLE videos with 72% sensitivity (Se), 87% specificity (</w:t>
      </w:r>
      <w:proofErr w:type="spellStart"/>
      <w:r w:rsidRPr="009F75F6">
        <w:rPr>
          <w:rFonts w:eastAsia="Arial Unicode MS"/>
        </w:rPr>
        <w:t>Sp</w:t>
      </w:r>
      <w:proofErr w:type="spellEnd"/>
      <w:r w:rsidRPr="009F75F6">
        <w:rPr>
          <w:rFonts w:eastAsia="Arial Unicode MS"/>
        </w:rPr>
        <w:t>), and area under the ROC curve (AUROC) of 0.85; For detection of ER in VCE videos (</w:t>
      </w:r>
      <w:proofErr w:type="spellStart"/>
      <w:r w:rsidRPr="009F75F6">
        <w:rPr>
          <w:rFonts w:eastAsia="Arial Unicode MS"/>
        </w:rPr>
        <w:t>PICaSSO</w:t>
      </w:r>
      <w:proofErr w:type="spellEnd"/>
      <w:r w:rsidRPr="009F75F6">
        <w:rPr>
          <w:rFonts w:eastAsia="Arial Unicode MS"/>
        </w:rPr>
        <w:t xml:space="preserve"> ≤3) Se was 79%, </w:t>
      </w:r>
      <w:proofErr w:type="spellStart"/>
      <w:r w:rsidRPr="009F75F6">
        <w:rPr>
          <w:rFonts w:eastAsia="Arial Unicode MS"/>
        </w:rPr>
        <w:t>Sp</w:t>
      </w:r>
      <w:proofErr w:type="spellEnd"/>
      <w:r w:rsidRPr="009F75F6">
        <w:rPr>
          <w:rFonts w:eastAsia="Arial Unicode MS"/>
        </w:rPr>
        <w:t xml:space="preserve"> 95%, and the AUROC 0.</w:t>
      </w:r>
      <w:r w:rsidRPr="009F75F6">
        <w:t>94.</w:t>
      </w:r>
      <w:r w:rsidRPr="009F75F6">
        <w:rPr>
          <w:color w:val="00B0F0"/>
        </w:rPr>
        <w:t xml:space="preserve"> </w:t>
      </w:r>
      <w:r w:rsidRPr="009F75F6">
        <w:t xml:space="preserve">Prediction of HR was similar between WLE and VCE videos (accuracies ranging 80%-85%). The model’s </w:t>
      </w:r>
      <w:r>
        <w:t>stratification</w:t>
      </w:r>
      <w:r w:rsidRPr="009F75F6">
        <w:t xml:space="preserve"> of </w:t>
      </w:r>
      <w:r>
        <w:t xml:space="preserve">risk of </w:t>
      </w:r>
      <w:r w:rsidRPr="009F75F6">
        <w:t xml:space="preserve">clinical outcomes was </w:t>
      </w:r>
      <w:proofErr w:type="gramStart"/>
      <w:r w:rsidRPr="009F75F6">
        <w:t>similar to</w:t>
      </w:r>
      <w:proofErr w:type="gramEnd"/>
      <w:r w:rsidRPr="009F75F6">
        <w:t xml:space="preserve"> that of physician-assessed endoscopy scores.</w:t>
      </w:r>
    </w:p>
    <w:p w14:paraId="009CCA3C" w14:textId="77777777" w:rsidR="006B1592" w:rsidRPr="009F75F6" w:rsidRDefault="006B1592" w:rsidP="006B1592">
      <w:pPr>
        <w:spacing w:line="360" w:lineRule="auto"/>
        <w:jc w:val="both"/>
        <w:rPr>
          <w:b/>
        </w:rPr>
      </w:pPr>
      <w:r w:rsidRPr="009F75F6">
        <w:rPr>
          <w:b/>
        </w:rPr>
        <w:t xml:space="preserve"> </w:t>
      </w:r>
    </w:p>
    <w:p w14:paraId="1A070783" w14:textId="77777777" w:rsidR="006B1592" w:rsidRPr="009F75F6" w:rsidRDefault="006B1592" w:rsidP="006B1592">
      <w:pPr>
        <w:spacing w:line="360" w:lineRule="auto"/>
        <w:jc w:val="both"/>
        <w:rPr>
          <w:b/>
        </w:rPr>
      </w:pPr>
      <w:r w:rsidRPr="009F75F6">
        <w:rPr>
          <w:b/>
        </w:rPr>
        <w:t>Conclusions</w:t>
      </w:r>
    </w:p>
    <w:p w14:paraId="1AB7EA69" w14:textId="77777777" w:rsidR="006B1592" w:rsidRPr="009F75F6" w:rsidRDefault="006B1592" w:rsidP="006B1592">
      <w:pPr>
        <w:spacing w:line="360" w:lineRule="auto"/>
        <w:jc w:val="both"/>
      </w:pPr>
      <w:r w:rsidRPr="009F75F6">
        <w:t xml:space="preserve">Our system accurately distinguished ER/activity and predicted HR and clinical outcomes from colonoscopy videos. This is the first computer model developed to detect inflammation/healing using VCE through the </w:t>
      </w:r>
      <w:proofErr w:type="spellStart"/>
      <w:r w:rsidRPr="009F75F6">
        <w:t>PICaSSO</w:t>
      </w:r>
      <w:proofErr w:type="spellEnd"/>
      <w:r w:rsidRPr="009F75F6">
        <w:t xml:space="preserve"> score and the first computer tool providing endoscopic, histologic, and clinical assessment.</w:t>
      </w:r>
    </w:p>
    <w:p w14:paraId="1CA87781" w14:textId="77777777" w:rsidR="006B1592" w:rsidRPr="009F75F6" w:rsidRDefault="006B1592" w:rsidP="006B1592">
      <w:pPr>
        <w:spacing w:line="360" w:lineRule="auto"/>
        <w:jc w:val="both"/>
        <w:rPr>
          <w:b/>
        </w:rPr>
      </w:pPr>
      <w:r w:rsidRPr="009F75F6">
        <w:br w:type="page"/>
      </w:r>
    </w:p>
    <w:p w14:paraId="05FD5849" w14:textId="77777777" w:rsidR="006B1592" w:rsidRPr="009F75F6" w:rsidRDefault="006B1592" w:rsidP="006B1592">
      <w:pPr>
        <w:spacing w:line="360" w:lineRule="auto"/>
        <w:jc w:val="both"/>
        <w:rPr>
          <w:b/>
        </w:rPr>
      </w:pPr>
      <w:r w:rsidRPr="009F75F6">
        <w:rPr>
          <w:b/>
        </w:rPr>
        <w:lastRenderedPageBreak/>
        <w:t>INTRODUCTION</w:t>
      </w:r>
    </w:p>
    <w:p w14:paraId="63309E21" w14:textId="77777777" w:rsidR="006B1592" w:rsidRPr="009F75F6" w:rsidRDefault="006B1592" w:rsidP="006B1592">
      <w:pPr>
        <w:spacing w:line="360" w:lineRule="auto"/>
        <w:jc w:val="both"/>
        <w:rPr>
          <w:color w:val="00B0F0"/>
        </w:rPr>
      </w:pPr>
      <w:r w:rsidRPr="009F75F6">
        <w:t>Ulcerative colitis (UC) is a chronic immune-mediated disease characterised by episodes of activity and remission.</w:t>
      </w:r>
      <w:r>
        <w:t>[1]</w:t>
      </w:r>
      <w:r w:rsidRPr="009F75F6">
        <w:t xml:space="preserve"> Over the past decade, there has been an evolution in the treatment targets in UC, from clinical to more objective outcome measures. The first STRIDE </w:t>
      </w:r>
      <w:proofErr w:type="gramStart"/>
      <w:r w:rsidRPr="009F75F6">
        <w:t>consensus</w:t>
      </w:r>
      <w:r>
        <w:t>[</w:t>
      </w:r>
      <w:proofErr w:type="gramEnd"/>
      <w:r>
        <w:t>2]</w:t>
      </w:r>
      <w:r w:rsidRPr="009F75F6">
        <w:t xml:space="preserve"> established the importance of endoscopic remission (ER) for the maintenance of long-term clinical remission, and the updated STRIDE II</w:t>
      </w:r>
      <w:r>
        <w:t>[2]</w:t>
      </w:r>
      <w:r w:rsidRPr="009F75F6">
        <w:rPr>
          <w:color w:val="00B0F0"/>
        </w:rPr>
        <w:t xml:space="preserve"> </w:t>
      </w:r>
      <w:r w:rsidRPr="009F75F6">
        <w:t xml:space="preserve">introduced the concept of histological remission (HR) as a useful adjunctive measure. The evidence supporting these recommendations arises from a consistent association between deeper mucosal healing (MH) and improved clinical outcomes. On the contrary, the persistence of inflammatory activity, even when limited to the histological assessment, is associated with increases in flares, hospitalisation and, </w:t>
      </w:r>
      <w:proofErr w:type="spellStart"/>
      <w:r w:rsidRPr="009F75F6">
        <w:t>longterm</w:t>
      </w:r>
      <w:proofErr w:type="spellEnd"/>
      <w:r w:rsidRPr="009F75F6">
        <w:t>, the development of dysplasia.</w:t>
      </w:r>
      <w:r>
        <w:t>[3]</w:t>
      </w:r>
      <w:r w:rsidRPr="009F75F6">
        <w:t xml:space="preserve"> </w:t>
      </w:r>
    </w:p>
    <w:p w14:paraId="5B2F439F" w14:textId="77777777" w:rsidR="006B1592" w:rsidRPr="009F75F6" w:rsidRDefault="006B1592" w:rsidP="006B1592">
      <w:pPr>
        <w:spacing w:line="360" w:lineRule="auto"/>
        <w:jc w:val="both"/>
      </w:pPr>
    </w:p>
    <w:p w14:paraId="3F421503" w14:textId="77777777" w:rsidR="006B1592" w:rsidRPr="009F75F6" w:rsidRDefault="006B1592" w:rsidP="006B1592">
      <w:pPr>
        <w:spacing w:line="360" w:lineRule="auto"/>
        <w:jc w:val="both"/>
      </w:pPr>
      <w:r w:rsidRPr="009F75F6">
        <w:t>Several definitions of ER have been proposed based on different</w:t>
      </w:r>
      <w:r w:rsidRPr="009F75F6">
        <w:rPr>
          <w:rFonts w:eastAsia="Arial Unicode MS"/>
        </w:rPr>
        <w:t xml:space="preserve"> endoscopic scores. Mayo Endoscopic </w:t>
      </w:r>
      <w:proofErr w:type="spellStart"/>
      <w:r w:rsidRPr="009F75F6">
        <w:rPr>
          <w:rFonts w:eastAsia="Arial Unicode MS"/>
        </w:rPr>
        <w:t>Subscore</w:t>
      </w:r>
      <w:proofErr w:type="spellEnd"/>
      <w:r w:rsidRPr="009F75F6">
        <w:rPr>
          <w:rFonts w:eastAsia="Arial Unicode MS"/>
        </w:rPr>
        <w:t xml:space="preserve"> (MES), the first to be introduced, defined ER as MES ≤1.</w:t>
      </w:r>
      <w:r>
        <w:rPr>
          <w:rFonts w:eastAsia="Arial Unicode MS"/>
        </w:rPr>
        <w:t>[4]</w:t>
      </w:r>
      <w:r w:rsidRPr="009F75F6">
        <w:t xml:space="preserve"> Afterward, other scores such as Ulcerative Colitis Endoscopic Index of Severity (UCEIS) have been developed and validated to improve the reliability and reproducibility.</w:t>
      </w:r>
      <w:r>
        <w:t>[5]</w:t>
      </w:r>
      <w:r w:rsidRPr="009F75F6">
        <w:t xml:space="preserve"> However, </w:t>
      </w:r>
      <w:proofErr w:type="spellStart"/>
      <w:r w:rsidRPr="009F75F6">
        <w:t>a</w:t>
      </w:r>
      <w:proofErr w:type="spellEnd"/>
      <w:r w:rsidRPr="009F75F6">
        <w:t xml:space="preserve"> </w:t>
      </w:r>
      <w:r>
        <w:t>important</w:t>
      </w:r>
      <w:r w:rsidRPr="009F75F6">
        <w:t xml:space="preserve"> discrepancy between endoscopic and histologic remission remains, largely due to minimal inflammatory activity being misclassified.</w:t>
      </w:r>
      <w:r>
        <w:t>[3,6]</w:t>
      </w:r>
      <w:r w:rsidRPr="009F75F6">
        <w:t xml:space="preserve"> Hence, in clinical practice biopsies to assess disease activity remain important. </w:t>
      </w:r>
    </w:p>
    <w:p w14:paraId="652CDD4B" w14:textId="77777777" w:rsidR="006B1592" w:rsidRPr="009F75F6" w:rsidRDefault="006B1592" w:rsidP="006B1592">
      <w:pPr>
        <w:spacing w:line="360" w:lineRule="auto"/>
        <w:jc w:val="both"/>
      </w:pPr>
    </w:p>
    <w:p w14:paraId="053271D9" w14:textId="77777777" w:rsidR="006B1592" w:rsidRPr="009F75F6" w:rsidRDefault="006B1592" w:rsidP="006B1592">
      <w:pPr>
        <w:spacing w:line="360" w:lineRule="auto"/>
        <w:jc w:val="both"/>
        <w:rPr>
          <w:b/>
        </w:rPr>
      </w:pPr>
      <w:r w:rsidRPr="009F75F6">
        <w:t xml:space="preserve">The Paddington International virtual </w:t>
      </w:r>
      <w:proofErr w:type="spellStart"/>
      <w:r w:rsidRPr="009F75F6">
        <w:t>ChromoendoScopy</w:t>
      </w:r>
      <w:proofErr w:type="spellEnd"/>
      <w:r w:rsidRPr="009F75F6">
        <w:t xml:space="preserve"> </w:t>
      </w:r>
      <w:proofErr w:type="spellStart"/>
      <w:r w:rsidRPr="009F75F6">
        <w:t>ScOre</w:t>
      </w:r>
      <w:proofErr w:type="spellEnd"/>
      <w:r w:rsidRPr="009F75F6">
        <w:t xml:space="preserve"> (</w:t>
      </w:r>
      <w:proofErr w:type="spellStart"/>
      <w:r w:rsidRPr="009F75F6">
        <w:t>PICaSSO</w:t>
      </w:r>
      <w:proofErr w:type="spellEnd"/>
      <w:r w:rsidRPr="009F75F6">
        <w:t xml:space="preserve">) was developed and validated to assess UC mucosal activity and healing with </w:t>
      </w:r>
      <w:proofErr w:type="spellStart"/>
      <w:r w:rsidRPr="009F75F6">
        <w:t>VirtualChromoEndoscopy</w:t>
      </w:r>
      <w:proofErr w:type="spellEnd"/>
      <w:r w:rsidRPr="009F75F6">
        <w:t xml:space="preserve"> (VCE</w:t>
      </w:r>
      <w:proofErr w:type="gramStart"/>
      <w:r w:rsidRPr="009F75F6">
        <w:t>)</w:t>
      </w:r>
      <w:r>
        <w:t>.[</w:t>
      </w:r>
      <w:proofErr w:type="gramEnd"/>
      <w:r>
        <w:t>7,8]</w:t>
      </w:r>
      <w:r w:rsidRPr="009F75F6">
        <w:t xml:space="preserve"> VCE enhances mucosal and vascular changes allowing more accurate characteri</w:t>
      </w:r>
      <w:r>
        <w:t>s</w:t>
      </w:r>
      <w:r w:rsidRPr="009F75F6">
        <w:t xml:space="preserve">ation of subtle disease activity. Consistent with this, a large multicentre study demonstrated that compared to MES and UCEIS scores, </w:t>
      </w:r>
      <w:proofErr w:type="spellStart"/>
      <w:r w:rsidRPr="009F75F6">
        <w:t>PICaSSO</w:t>
      </w:r>
      <w:proofErr w:type="spellEnd"/>
      <w:r w:rsidRPr="009F75F6">
        <w:t xml:space="preserve"> was more strongly correlated with histologic activity and was more accurate in predicting clinical outcomes.</w:t>
      </w:r>
      <w:r>
        <w:t>[9]</w:t>
      </w:r>
      <w:r w:rsidRPr="009F75F6">
        <w:t xml:space="preserve"> Therefore, the advent of VCE has overcome the limitations of WLE bringing endoscopic activity closer to histologic activity.</w:t>
      </w:r>
      <w:r>
        <w:t>[10]</w:t>
      </w:r>
      <w:r w:rsidDel="00AA335F">
        <w:t xml:space="preserve"> </w:t>
      </w:r>
    </w:p>
    <w:p w14:paraId="7B463F03" w14:textId="77777777" w:rsidR="006B1592" w:rsidRPr="009F75F6" w:rsidRDefault="006B1592" w:rsidP="006B1592">
      <w:pPr>
        <w:spacing w:line="360" w:lineRule="auto"/>
        <w:jc w:val="both"/>
      </w:pPr>
    </w:p>
    <w:p w14:paraId="50EC443C" w14:textId="77777777" w:rsidR="006B1592" w:rsidRPr="009F75F6" w:rsidRDefault="006B1592" w:rsidP="006B1592">
      <w:pPr>
        <w:spacing w:line="360" w:lineRule="auto"/>
        <w:jc w:val="both"/>
      </w:pPr>
      <w:r w:rsidRPr="009F75F6">
        <w:t>The  major limitation of endoscopic scores is their high inter-rater variability due to the unavoidable subjectivity of the assessments despite improvements in standardisation of training.</w:t>
      </w:r>
      <w:r>
        <w:t>[11]</w:t>
      </w:r>
      <w:r w:rsidRPr="009F75F6">
        <w:t xml:space="preserve"> This is particularly relevant in the context of  clinical trials where central reading has become a necessary countermeasure.</w:t>
      </w:r>
      <w:r>
        <w:t>[12,13]</w:t>
      </w:r>
      <w:r w:rsidRPr="009F75F6">
        <w:t xml:space="preserve"> To help standardise endoscopic assessment, </w:t>
      </w:r>
      <w:proofErr w:type="spellStart"/>
      <w:r w:rsidRPr="009F75F6">
        <w:t>Takenaka</w:t>
      </w:r>
      <w:proofErr w:type="spellEnd"/>
      <w:r w:rsidRPr="009F75F6">
        <w:t xml:space="preserve"> et al. developed a convoluted neural network (CNN) based on an artificial intelligence (AI) system that predicted the degree of inflammation according to UCEIS. This system was proved to be extremely accurate in replicating the endoscopist </w:t>
      </w:r>
      <w:proofErr w:type="gramStart"/>
      <w:r w:rsidRPr="009F75F6">
        <w:t>judgment</w:t>
      </w:r>
      <w:r>
        <w:t>[</w:t>
      </w:r>
      <w:proofErr w:type="gramEnd"/>
      <w:r>
        <w:t>10]</w:t>
      </w:r>
      <w:r w:rsidRPr="009F75F6">
        <w:t xml:space="preserve"> and predicting histological activity.</w:t>
      </w:r>
      <w:r>
        <w:t>[14-16]</w:t>
      </w:r>
      <w:r w:rsidRPr="009F75F6">
        <w:t xml:space="preserve"> </w:t>
      </w:r>
    </w:p>
    <w:p w14:paraId="13028C3D" w14:textId="77777777" w:rsidR="006B1592" w:rsidRPr="009F75F6" w:rsidRDefault="006B1592" w:rsidP="006B1592">
      <w:pPr>
        <w:spacing w:line="360" w:lineRule="auto"/>
        <w:jc w:val="both"/>
      </w:pPr>
    </w:p>
    <w:p w14:paraId="63CABCDA" w14:textId="77777777" w:rsidR="006B1592" w:rsidRPr="009F75F6" w:rsidRDefault="006B1592" w:rsidP="006B1592">
      <w:pPr>
        <w:spacing w:line="360" w:lineRule="auto"/>
        <w:jc w:val="both"/>
        <w:rPr>
          <w:b/>
        </w:rPr>
      </w:pPr>
      <w:r w:rsidRPr="009F75F6">
        <w:t xml:space="preserve">Taking advantage of the accurate prediction of histologic activity by VCE and </w:t>
      </w:r>
      <w:proofErr w:type="spellStart"/>
      <w:r w:rsidRPr="009F75F6">
        <w:t>PICaSSO</w:t>
      </w:r>
      <w:proofErr w:type="spellEnd"/>
      <w:r w:rsidRPr="009F75F6">
        <w:t>, we aimed to develop an AI-VCE system able in real-time to assess ER and predict HR and specified clinical outcomes on live colonoscopy videos.</w:t>
      </w:r>
    </w:p>
    <w:p w14:paraId="73BBD5FA" w14:textId="77777777" w:rsidR="006B1592" w:rsidRPr="009F75F6" w:rsidRDefault="006B1592" w:rsidP="006B1592">
      <w:pPr>
        <w:spacing w:line="360" w:lineRule="auto"/>
        <w:jc w:val="both"/>
        <w:rPr>
          <w:b/>
        </w:rPr>
      </w:pPr>
    </w:p>
    <w:p w14:paraId="080CCF69" w14:textId="77777777" w:rsidR="006B1592" w:rsidRPr="009F75F6" w:rsidRDefault="006B1592" w:rsidP="006B1592">
      <w:pPr>
        <w:spacing w:line="360" w:lineRule="auto"/>
        <w:jc w:val="both"/>
        <w:rPr>
          <w:b/>
        </w:rPr>
      </w:pPr>
      <w:r>
        <w:rPr>
          <w:b/>
        </w:rPr>
        <w:t xml:space="preserve">MATERIALS AND </w:t>
      </w:r>
      <w:r w:rsidRPr="009F75F6">
        <w:rPr>
          <w:b/>
        </w:rPr>
        <w:t>METHODS</w:t>
      </w:r>
    </w:p>
    <w:p w14:paraId="6E7D9EB9" w14:textId="77777777" w:rsidR="006B1592" w:rsidRPr="009F75F6" w:rsidRDefault="006B1592" w:rsidP="006B1592">
      <w:pPr>
        <w:spacing w:line="360" w:lineRule="auto"/>
        <w:jc w:val="both"/>
        <w:rPr>
          <w:b/>
        </w:rPr>
      </w:pPr>
      <w:r w:rsidRPr="009F75F6">
        <w:rPr>
          <w:b/>
        </w:rPr>
        <w:t xml:space="preserve">Patients </w:t>
      </w:r>
    </w:p>
    <w:p w14:paraId="643F0628" w14:textId="77777777" w:rsidR="006B1592" w:rsidRPr="009F75F6" w:rsidRDefault="006B1592" w:rsidP="006B1592">
      <w:pPr>
        <w:spacing w:line="360" w:lineRule="auto"/>
        <w:jc w:val="both"/>
        <w:rPr>
          <w:b/>
        </w:rPr>
      </w:pPr>
      <w:r w:rsidRPr="009F75F6">
        <w:t>Patients were recruited from 11 international centres between September 2016 and November 2019.</w:t>
      </w:r>
      <w:r>
        <w:t>[9]</w:t>
      </w:r>
      <w:r w:rsidRPr="009F75F6">
        <w:t xml:space="preserve"> Inclusion criteria were an established diagnosis of UC for more than 1 year and an indication for endoscopic assessment, regardless of disease activity. The study was approved by the research ethics committee (17/WM/0223) for the UK centres</w:t>
      </w:r>
      <w:r>
        <w:t xml:space="preserve">, and </w:t>
      </w:r>
      <w:r w:rsidRPr="009F75F6">
        <w:t>local committee</w:t>
      </w:r>
      <w:r>
        <w:t>s</w:t>
      </w:r>
      <w:r w:rsidRPr="009F75F6">
        <w:t>.</w:t>
      </w:r>
    </w:p>
    <w:p w14:paraId="60DC1C8C" w14:textId="77777777" w:rsidR="006B1592" w:rsidRPr="009F75F6" w:rsidRDefault="006B1592" w:rsidP="006B1592">
      <w:pPr>
        <w:spacing w:line="360" w:lineRule="auto"/>
        <w:jc w:val="both"/>
      </w:pPr>
    </w:p>
    <w:p w14:paraId="774015E6" w14:textId="77777777" w:rsidR="006B1592" w:rsidRPr="009F75F6" w:rsidRDefault="006B1592" w:rsidP="006B1592">
      <w:pPr>
        <w:spacing w:line="360" w:lineRule="auto"/>
        <w:jc w:val="both"/>
        <w:rPr>
          <w:b/>
        </w:rPr>
      </w:pPr>
      <w:r w:rsidRPr="009F75F6">
        <w:rPr>
          <w:b/>
        </w:rPr>
        <w:t>Endoscopy and Videos</w:t>
      </w:r>
    </w:p>
    <w:p w14:paraId="70952019" w14:textId="77777777" w:rsidR="006B1592" w:rsidRPr="009F75F6" w:rsidRDefault="006B1592" w:rsidP="006B1592">
      <w:pPr>
        <w:spacing w:line="360" w:lineRule="auto"/>
        <w:jc w:val="both"/>
        <w:rPr>
          <w:color w:val="0563C1"/>
        </w:rPr>
      </w:pPr>
      <w:r w:rsidRPr="009F75F6">
        <w:t xml:space="preserve">All procedures were performed with WLE-high definition (HD) and VCE </w:t>
      </w:r>
      <w:proofErr w:type="spellStart"/>
      <w:r w:rsidRPr="009F75F6">
        <w:t>iSCAN</w:t>
      </w:r>
      <w:proofErr w:type="spellEnd"/>
      <w:r w:rsidRPr="009F75F6">
        <w:t xml:space="preserve"> (7010 processor and </w:t>
      </w:r>
      <w:proofErr w:type="spellStart"/>
      <w:r w:rsidRPr="009F75F6">
        <w:t>HiLine</w:t>
      </w:r>
      <w:proofErr w:type="spellEnd"/>
      <w:r w:rsidRPr="009F75F6">
        <w:t xml:space="preserve"> series colonoscopes, Pentax, Tokyo, Japan). The colonic mucosa was assessed in WLE-HD and in VCE (iSCAN1, iSCAN2, and iSCAN3). For each patient two videos, with a length of 60-90 seconds</w:t>
      </w:r>
      <w:r>
        <w:t xml:space="preserve"> each</w:t>
      </w:r>
      <w:r w:rsidRPr="009F75F6">
        <w:t xml:space="preserve">, were recorded, </w:t>
      </w:r>
      <w:r>
        <w:t xml:space="preserve">in </w:t>
      </w:r>
      <w:r w:rsidRPr="009F75F6">
        <w:t>the most inflamed areas or representative of endoscopic healing</w:t>
      </w:r>
      <w:r>
        <w:t xml:space="preserve"> of </w:t>
      </w:r>
      <w:r w:rsidRPr="009F75F6">
        <w:t xml:space="preserve">the rectum and </w:t>
      </w:r>
      <w:r>
        <w:t xml:space="preserve">of </w:t>
      </w:r>
      <w:r w:rsidRPr="009F75F6">
        <w:t xml:space="preserve">the sigmoid. The recordings were edited to separate the sections in WLE and VCE into two different clips and annotated and scored by experienced endoscopists from the </w:t>
      </w:r>
      <w:proofErr w:type="spellStart"/>
      <w:r w:rsidRPr="009F75F6">
        <w:t>PICaSSO</w:t>
      </w:r>
      <w:proofErr w:type="spellEnd"/>
      <w:r w:rsidRPr="009F75F6">
        <w:t xml:space="preserve"> group of investigators.</w:t>
      </w:r>
      <w:r>
        <w:t>[9]</w:t>
      </w:r>
      <w:r w:rsidRPr="009F75F6">
        <w:rPr>
          <w:rFonts w:eastAsia="Arial Unicode MS"/>
        </w:rPr>
        <w:t xml:space="preserve"> In HD-WLE videos endoscopic activity was assessed according to UCEIS and ER was defined as UCEIS ≤1</w:t>
      </w:r>
      <w:r w:rsidRPr="009F75F6">
        <w:t xml:space="preserve"> </w:t>
      </w:r>
      <w:hyperlink r:id="rId8">
        <w:r w:rsidRPr="009F75F6">
          <w:t>5</w:t>
        </w:r>
      </w:hyperlink>
      <w:r w:rsidRPr="009F75F6">
        <w:rPr>
          <w:rFonts w:eastAsia="Arial Unicode MS"/>
        </w:rPr>
        <w:t xml:space="preserve"> whereas VCE videos were assessed with the </w:t>
      </w:r>
      <w:proofErr w:type="spellStart"/>
      <w:r w:rsidRPr="009F75F6">
        <w:rPr>
          <w:rFonts w:eastAsia="Arial Unicode MS"/>
        </w:rPr>
        <w:t>PICaSSO</w:t>
      </w:r>
      <w:proofErr w:type="spellEnd"/>
      <w:r w:rsidRPr="009F75F6">
        <w:rPr>
          <w:rFonts w:eastAsia="Arial Unicode MS"/>
        </w:rPr>
        <w:t xml:space="preserve"> score and ER was defined as </w:t>
      </w:r>
      <w:proofErr w:type="spellStart"/>
      <w:r w:rsidRPr="009F75F6">
        <w:rPr>
          <w:rFonts w:eastAsia="Arial Unicode MS"/>
        </w:rPr>
        <w:t>PICaSSO</w:t>
      </w:r>
      <w:proofErr w:type="spellEnd"/>
      <w:r w:rsidRPr="009F75F6">
        <w:rPr>
          <w:rFonts w:eastAsia="Arial Unicode MS"/>
        </w:rPr>
        <w:t xml:space="preserve"> ≤3</w:t>
      </w:r>
      <w:r w:rsidRPr="009F75F6">
        <w:t>.</w:t>
      </w:r>
      <w:r>
        <w:t>[9]</w:t>
      </w:r>
      <w:r w:rsidRPr="009F75F6">
        <w:t xml:space="preserve"> In addition, each video clip was graded as high (HQ) and low (LQ) depending on the visibility and clarity of relevant endoscopic findings. Finally, the edited videos were divided into three sets for training (484), validation (120), and testing (486) of the WLE and VCE system to predict ER and HR. </w:t>
      </w:r>
      <w:r w:rsidRPr="009F75F6">
        <w:rPr>
          <w:color w:val="0563C1"/>
        </w:rPr>
        <w:t>(Figure 1)</w:t>
      </w:r>
    </w:p>
    <w:p w14:paraId="23FD4F8D" w14:textId="77777777" w:rsidR="006B1592" w:rsidRPr="009F75F6" w:rsidRDefault="006B1592" w:rsidP="006B1592">
      <w:pPr>
        <w:spacing w:line="360" w:lineRule="auto"/>
        <w:jc w:val="both"/>
        <w:rPr>
          <w:b/>
        </w:rPr>
      </w:pPr>
    </w:p>
    <w:p w14:paraId="47E1A06D" w14:textId="77777777" w:rsidR="006B1592" w:rsidRPr="009F75F6" w:rsidRDefault="006B1592" w:rsidP="006B1592">
      <w:pPr>
        <w:spacing w:line="360" w:lineRule="auto"/>
        <w:jc w:val="both"/>
      </w:pPr>
      <w:r w:rsidRPr="009F75F6">
        <w:rPr>
          <w:b/>
        </w:rPr>
        <w:t>Digital Pathology</w:t>
      </w:r>
    </w:p>
    <w:p w14:paraId="35D44506" w14:textId="77777777" w:rsidR="006B1592" w:rsidRPr="009F75F6" w:rsidRDefault="006B1592" w:rsidP="006B1592">
      <w:pPr>
        <w:spacing w:line="360" w:lineRule="auto"/>
        <w:jc w:val="both"/>
      </w:pPr>
      <w:r w:rsidRPr="009F75F6">
        <w:t xml:space="preserve">At least two target biopsies were taken from the same areas where the endoscopic assessment was recorded and graded. </w:t>
      </w:r>
      <w:r>
        <w:t>S</w:t>
      </w:r>
      <w:r w:rsidRPr="009F75F6">
        <w:t xml:space="preserve">amples were fixed in formalin, </w:t>
      </w:r>
      <w:r>
        <w:t xml:space="preserve">stained with </w:t>
      </w:r>
      <w:r w:rsidRPr="009F75F6">
        <w:t>H&amp;E</w:t>
      </w:r>
      <w:r>
        <w:t xml:space="preserve">, </w:t>
      </w:r>
      <w:r w:rsidRPr="009F75F6">
        <w:t xml:space="preserve">digitalized at 40× (0.25 </w:t>
      </w:r>
      <w:proofErr w:type="spellStart"/>
      <w:r w:rsidRPr="009F75F6">
        <w:t>μm</w:t>
      </w:r>
      <w:proofErr w:type="spellEnd"/>
      <w:r w:rsidRPr="009F75F6">
        <w:t xml:space="preserve"> per pixel) using </w:t>
      </w:r>
      <w:proofErr w:type="spellStart"/>
      <w:r w:rsidRPr="009F75F6">
        <w:t>Aperio</w:t>
      </w:r>
      <w:proofErr w:type="spellEnd"/>
      <w:r w:rsidRPr="009F75F6">
        <w:t xml:space="preserve"> Digital Pathology Scanning system (Leica Biosystem, Illinois, USA) and assessed by expert pathologists (DZ, MV, VV, GDH, ESR and XG), blind to clinical information, at each centre. The histological activity was graded according to Robarts Histological Index (RHI</w:t>
      </w:r>
      <w:proofErr w:type="gramStart"/>
      <w:r w:rsidRPr="009F75F6">
        <w:t>)</w:t>
      </w:r>
      <w:r>
        <w:t>[</w:t>
      </w:r>
      <w:proofErr w:type="gramEnd"/>
      <w:r>
        <w:t>17]</w:t>
      </w:r>
      <w:r w:rsidRPr="009F75F6">
        <w:t>, Nancy Histologic Index (NHI)</w:t>
      </w:r>
      <w:r>
        <w:t>[18]</w:t>
      </w:r>
      <w:r w:rsidRPr="009F75F6">
        <w:t xml:space="preserve"> and the newly developed PHRI score.</w:t>
      </w:r>
      <w:r>
        <w:t>[19]</w:t>
      </w:r>
      <w:r w:rsidRPr="009F75F6">
        <w:rPr>
          <w:rFonts w:eastAsia="Arial Unicode MS"/>
        </w:rPr>
        <w:t xml:space="preserve"> HR was defined as RHI ≤3 without neutrophils in the epithelium or lamina propria, NHI ≤ 1, and PHRI =0, respectively. </w:t>
      </w:r>
    </w:p>
    <w:p w14:paraId="2B68BF56" w14:textId="77777777" w:rsidR="006B1592" w:rsidRPr="009F75F6" w:rsidRDefault="006B1592" w:rsidP="006B1592">
      <w:pPr>
        <w:spacing w:line="360" w:lineRule="auto"/>
        <w:jc w:val="both"/>
      </w:pPr>
    </w:p>
    <w:p w14:paraId="6C811D02" w14:textId="77777777" w:rsidR="006B1592" w:rsidRPr="009F75F6" w:rsidRDefault="006B1592" w:rsidP="006B1592">
      <w:pPr>
        <w:spacing w:line="360" w:lineRule="auto"/>
        <w:jc w:val="both"/>
      </w:pPr>
      <w:r w:rsidRPr="009F75F6">
        <w:rPr>
          <w:b/>
        </w:rPr>
        <w:lastRenderedPageBreak/>
        <w:t xml:space="preserve">Clinical outcomes </w:t>
      </w:r>
    </w:p>
    <w:p w14:paraId="3042BC9B" w14:textId="77777777" w:rsidR="006B1592" w:rsidRPr="009F75F6" w:rsidRDefault="006B1592" w:rsidP="006B1592">
      <w:pPr>
        <w:spacing w:line="360" w:lineRule="auto"/>
        <w:jc w:val="both"/>
      </w:pPr>
      <w:r w:rsidRPr="009F75F6">
        <w:t>UC-related hospitalisation, colectomy, and initiation or changes in UC therapy (including steroids, immunomodulators, and biological agents) within 12 months after colonoscopy were collected from clinical records and follow-up phone calls.</w:t>
      </w:r>
    </w:p>
    <w:p w14:paraId="0B4A48EC" w14:textId="77777777" w:rsidR="006B1592" w:rsidRPr="009F75F6" w:rsidRDefault="006B1592" w:rsidP="006B1592">
      <w:pPr>
        <w:spacing w:line="360" w:lineRule="auto"/>
        <w:jc w:val="both"/>
        <w:rPr>
          <w:b/>
        </w:rPr>
      </w:pPr>
    </w:p>
    <w:p w14:paraId="3BDC4B91" w14:textId="77777777" w:rsidR="006B1592" w:rsidRPr="009F75F6" w:rsidRDefault="006B1592" w:rsidP="006B1592">
      <w:pPr>
        <w:spacing w:line="360" w:lineRule="auto"/>
        <w:jc w:val="both"/>
        <w:rPr>
          <w:b/>
        </w:rPr>
      </w:pPr>
      <w:r w:rsidRPr="009F75F6">
        <w:rPr>
          <w:b/>
        </w:rPr>
        <w:t xml:space="preserve">Artificial intelligence model development </w:t>
      </w:r>
    </w:p>
    <w:p w14:paraId="0D4BDE9C" w14:textId="77777777" w:rsidR="006B1592" w:rsidRPr="009F75F6" w:rsidRDefault="006B1592" w:rsidP="006B1592">
      <w:pPr>
        <w:spacing w:before="240" w:after="240" w:line="360" w:lineRule="auto"/>
        <w:jc w:val="both"/>
      </w:pPr>
      <w:r w:rsidRPr="009F75F6">
        <w:t xml:space="preserve">An AI system to analyse endoscopic videos and compose a patient-wide probability of inflammation was developed using WLE-HD and VCE videos clips. Characteristics of the architecture are detailed in the appendix and summarised in </w:t>
      </w:r>
      <w:r w:rsidRPr="009F75F6">
        <w:rPr>
          <w:color w:val="0563C1"/>
        </w:rPr>
        <w:t>figure 2</w:t>
      </w:r>
      <w:r w:rsidRPr="009F75F6">
        <w:t xml:space="preserve">. Briefly, the system is based on a transfer learning approach using a ResNet-50 deep residual convolutional neural network; the network is trained on all frames extracted from videos labelled as containing any signs of endoscopic activity corresponding to </w:t>
      </w:r>
      <w:proofErr w:type="spellStart"/>
      <w:r w:rsidRPr="009F75F6">
        <w:t>PICaSSO</w:t>
      </w:r>
      <w:proofErr w:type="spellEnd"/>
      <w:r w:rsidRPr="009F75F6">
        <w:t>&gt;3 or UCEIS&gt;1.</w:t>
      </w:r>
      <w:r w:rsidRPr="009F75F6">
        <w:rPr>
          <w:color w:val="0563C1"/>
        </w:rPr>
        <w:t xml:space="preserve"> </w:t>
      </w:r>
      <w:r w:rsidRPr="009F75F6">
        <w:t>When applied on endoscopic videos, the network analyses each frame as it is acquired, and the frame scores are composed during the video acquisition to provide a patient-wide assessment.</w:t>
      </w:r>
      <w:r w:rsidRPr="009F75F6">
        <w:rPr>
          <w:color w:val="0563C1"/>
        </w:rPr>
        <w:t xml:space="preserve"> </w:t>
      </w:r>
      <w:r w:rsidRPr="009F75F6">
        <w:t xml:space="preserve">To assess histological activity and to predict clinical outcome, the same model was retrained with the same videos associated to new ground truths: histological scores as per pathologist reading, and occurrence of clinical events as recorded at follow-up. </w:t>
      </w:r>
      <w:r w:rsidRPr="009F75F6">
        <w:rPr>
          <w:color w:val="0563C1"/>
        </w:rPr>
        <w:t>Figure 2 and video</w:t>
      </w:r>
    </w:p>
    <w:p w14:paraId="32A7AD7C" w14:textId="77777777" w:rsidR="006B1592" w:rsidRPr="009F75F6" w:rsidRDefault="006B1592" w:rsidP="006B1592">
      <w:pPr>
        <w:spacing w:line="360" w:lineRule="auto"/>
        <w:jc w:val="both"/>
        <w:rPr>
          <w:b/>
        </w:rPr>
      </w:pPr>
    </w:p>
    <w:p w14:paraId="65B74B55" w14:textId="77777777" w:rsidR="006B1592" w:rsidRPr="009F75F6" w:rsidRDefault="006B1592" w:rsidP="006B1592">
      <w:pPr>
        <w:spacing w:line="360" w:lineRule="auto"/>
        <w:jc w:val="both"/>
        <w:rPr>
          <w:b/>
        </w:rPr>
      </w:pPr>
      <w:r w:rsidRPr="009F75F6">
        <w:rPr>
          <w:b/>
        </w:rPr>
        <w:t>Objectives</w:t>
      </w:r>
    </w:p>
    <w:p w14:paraId="43D1DB30" w14:textId="77777777" w:rsidR="006B1592" w:rsidRPr="009F75F6" w:rsidRDefault="006B1592" w:rsidP="006B1592">
      <w:pPr>
        <w:spacing w:line="360" w:lineRule="auto"/>
        <w:jc w:val="both"/>
      </w:pPr>
      <w:r w:rsidRPr="009F75F6">
        <w:rPr>
          <w:rFonts w:eastAsia="Arial Unicode MS"/>
        </w:rPr>
        <w:t xml:space="preserve">The primary objective of our study was to develop an AI-based CAD system to assess endoscopic activity/remission defined as UCEIS ≤1 and </w:t>
      </w:r>
      <w:proofErr w:type="spellStart"/>
      <w:r w:rsidRPr="009F75F6">
        <w:rPr>
          <w:rFonts w:eastAsia="Arial Unicode MS"/>
        </w:rPr>
        <w:t>PICaSSO</w:t>
      </w:r>
      <w:proofErr w:type="spellEnd"/>
      <w:r w:rsidRPr="009F75F6">
        <w:rPr>
          <w:rFonts w:eastAsia="Arial Unicode MS"/>
        </w:rPr>
        <w:t xml:space="preserve"> ≤3, in WLE-HD and VCE videos, respectively.</w:t>
      </w:r>
    </w:p>
    <w:p w14:paraId="64D29C13" w14:textId="77777777" w:rsidR="006B1592" w:rsidRPr="009F75F6" w:rsidRDefault="006B1592" w:rsidP="006B1592">
      <w:pPr>
        <w:spacing w:line="360" w:lineRule="auto"/>
        <w:jc w:val="both"/>
      </w:pPr>
    </w:p>
    <w:p w14:paraId="7EBA645C" w14:textId="77777777" w:rsidR="006B1592" w:rsidRPr="009F75F6" w:rsidRDefault="006B1592" w:rsidP="006B1592">
      <w:pPr>
        <w:spacing w:line="360" w:lineRule="auto"/>
        <w:jc w:val="both"/>
      </w:pPr>
      <w:r w:rsidRPr="009F75F6">
        <w:t>The secondary objectives were the following:</w:t>
      </w:r>
    </w:p>
    <w:p w14:paraId="4FA906FF" w14:textId="77777777" w:rsidR="006B1592" w:rsidRPr="009F75F6" w:rsidRDefault="006B1592" w:rsidP="006B1592">
      <w:pPr>
        <w:spacing w:line="360" w:lineRule="auto"/>
        <w:jc w:val="both"/>
      </w:pPr>
      <w:r w:rsidRPr="009F75F6">
        <w:rPr>
          <w:rFonts w:eastAsia="Arial Unicode MS"/>
        </w:rPr>
        <w:t>- to assess the ability of the AI CAD system to predict histological remission/activity defined as RHI ≤3 without neutrophils in the epithelium and lamina propria, NHI ≤1, and PHRI=0</w:t>
      </w:r>
    </w:p>
    <w:p w14:paraId="227E3BEE" w14:textId="77777777" w:rsidR="006B1592" w:rsidRPr="009F75F6" w:rsidRDefault="006B1592" w:rsidP="006B1592">
      <w:pPr>
        <w:spacing w:line="360" w:lineRule="auto"/>
        <w:jc w:val="both"/>
      </w:pPr>
      <w:r w:rsidRPr="009F75F6">
        <w:t>- to assess the inter-rater agreement between the CAD system and human endoscopists</w:t>
      </w:r>
    </w:p>
    <w:p w14:paraId="5FCDE463" w14:textId="77777777" w:rsidR="006B1592" w:rsidRPr="009F75F6" w:rsidRDefault="006B1592" w:rsidP="006B1592">
      <w:pPr>
        <w:spacing w:line="360" w:lineRule="auto"/>
        <w:jc w:val="both"/>
      </w:pPr>
      <w:r w:rsidRPr="009F75F6">
        <w:t xml:space="preserve">- the ability of the AI CAD system to </w:t>
      </w:r>
      <w:r>
        <w:t>stratify</w:t>
      </w:r>
      <w:r w:rsidRPr="009F75F6">
        <w:t xml:space="preserve"> the </w:t>
      </w:r>
      <w:r>
        <w:t xml:space="preserve">risk </w:t>
      </w:r>
      <w:r w:rsidRPr="009F75F6">
        <w:t>of prespecified clinical outcomes at 12 months.</w:t>
      </w:r>
    </w:p>
    <w:p w14:paraId="78BF9C61" w14:textId="77777777" w:rsidR="006B1592" w:rsidRPr="009F75F6" w:rsidRDefault="006B1592" w:rsidP="006B1592">
      <w:pPr>
        <w:spacing w:line="360" w:lineRule="auto"/>
        <w:jc w:val="both"/>
      </w:pPr>
    </w:p>
    <w:p w14:paraId="69DF1D16" w14:textId="77777777" w:rsidR="006B1592" w:rsidRPr="009F75F6" w:rsidRDefault="006B1592" w:rsidP="006B1592">
      <w:pPr>
        <w:spacing w:line="360" w:lineRule="auto"/>
        <w:jc w:val="both"/>
        <w:rPr>
          <w:b/>
          <w:highlight w:val="yellow"/>
        </w:rPr>
      </w:pPr>
      <w:r w:rsidRPr="009F75F6">
        <w:rPr>
          <w:b/>
        </w:rPr>
        <w:t>Statistical analysis</w:t>
      </w:r>
    </w:p>
    <w:p w14:paraId="2F6BCBE8" w14:textId="77777777" w:rsidR="006B1592" w:rsidRPr="009F75F6" w:rsidRDefault="006B1592" w:rsidP="006B1592">
      <w:pPr>
        <w:spacing w:line="360" w:lineRule="auto"/>
        <w:jc w:val="both"/>
      </w:pPr>
      <w:r w:rsidRPr="009F75F6">
        <w:rPr>
          <w:highlight w:val="white"/>
        </w:rPr>
        <w:t xml:space="preserve">The sample size was previously calculated for the </w:t>
      </w:r>
      <w:proofErr w:type="spellStart"/>
      <w:r w:rsidRPr="009F75F6">
        <w:rPr>
          <w:highlight w:val="white"/>
        </w:rPr>
        <w:t>PICaSSO</w:t>
      </w:r>
      <w:proofErr w:type="spellEnd"/>
      <w:r w:rsidRPr="009F75F6">
        <w:rPr>
          <w:highlight w:val="white"/>
        </w:rPr>
        <w:t xml:space="preserve"> multicentre study to observe a difference in correlation with histology between </w:t>
      </w:r>
      <w:proofErr w:type="spellStart"/>
      <w:r w:rsidRPr="009F75F6">
        <w:rPr>
          <w:highlight w:val="white"/>
        </w:rPr>
        <w:t>PICaSSO</w:t>
      </w:r>
      <w:proofErr w:type="spellEnd"/>
      <w:r w:rsidRPr="009F75F6">
        <w:rPr>
          <w:highlight w:val="white"/>
        </w:rPr>
        <w:t xml:space="preserve"> and MES.</w:t>
      </w:r>
      <w:r>
        <w:t>[9]</w:t>
      </w:r>
      <w:r w:rsidRPr="007F0A70">
        <w:rPr>
          <w:highlight w:val="white"/>
          <w:vertAlign w:val="superscript"/>
        </w:rPr>
        <w:t xml:space="preserve"> </w:t>
      </w:r>
      <w:r w:rsidRPr="009F75F6">
        <w:rPr>
          <w:highlight w:val="white"/>
        </w:rPr>
        <w:t xml:space="preserve">Data was stored in </w:t>
      </w:r>
      <w:proofErr w:type="spellStart"/>
      <w:r w:rsidRPr="009F75F6">
        <w:rPr>
          <w:highlight w:val="white"/>
        </w:rPr>
        <w:t>REDCap</w:t>
      </w:r>
      <w:proofErr w:type="spellEnd"/>
      <w:r w:rsidRPr="009F75F6">
        <w:rPr>
          <w:highlight w:val="white"/>
        </w:rPr>
        <w:t xml:space="preserve"> and analysed with </w:t>
      </w:r>
      <w:proofErr w:type="spellStart"/>
      <w:r w:rsidRPr="009F75F6">
        <w:t>Matlab</w:t>
      </w:r>
      <w:proofErr w:type="spellEnd"/>
      <w:r w:rsidRPr="009F75F6">
        <w:t xml:space="preserve"> (R2021b, The </w:t>
      </w:r>
      <w:proofErr w:type="spellStart"/>
      <w:r w:rsidRPr="009F75F6">
        <w:t>Mathworks</w:t>
      </w:r>
      <w:proofErr w:type="spellEnd"/>
      <w:r w:rsidRPr="009F75F6">
        <w:t xml:space="preserve"> Inc, MA, USA).</w:t>
      </w:r>
      <w:r w:rsidRPr="009F75F6">
        <w:rPr>
          <w:highlight w:val="white"/>
        </w:rPr>
        <w:t xml:space="preserve"> Continuous variables were reported as mean ± standard deviation (SD)</w:t>
      </w:r>
      <w:r w:rsidRPr="009F75F6">
        <w:t xml:space="preserve">. Percentages were calculated and </w:t>
      </w:r>
      <w:r w:rsidRPr="009F75F6">
        <w:lastRenderedPageBreak/>
        <w:t xml:space="preserve">Fisher’s exact test or Chi-squared statistics were used. </w:t>
      </w:r>
      <w:r>
        <w:t>The operating point of the AI system (the probability cut-off value to determine endoscopic remission/endoscopic activity) was chosen as the one with the highest sensitivity without deteriorating substantially the specificity.</w:t>
      </w:r>
      <w:r w:rsidRPr="009F75F6">
        <w:t xml:space="preserve"> </w:t>
      </w:r>
      <w:r>
        <w:t>To compare human and AI c</w:t>
      </w:r>
      <w:r w:rsidRPr="009F75F6">
        <w:t xml:space="preserve">ontingency tables were prepared </w:t>
      </w:r>
      <w:r>
        <w:t xml:space="preserve">and </w:t>
      </w:r>
      <w:r w:rsidRPr="009F75F6">
        <w:t xml:space="preserve">diagnostic </w:t>
      </w:r>
      <w:r>
        <w:t>performance</w:t>
      </w:r>
      <w:r w:rsidRPr="009F75F6">
        <w:t xml:space="preserve"> was </w:t>
      </w:r>
      <w:r>
        <w:t xml:space="preserve">reported </w:t>
      </w:r>
      <w:r w:rsidRPr="009F75F6">
        <w:t xml:space="preserve">as </w:t>
      </w:r>
      <w:commentRangeStart w:id="0"/>
      <w:commentRangeStart w:id="1"/>
      <w:r w:rsidRPr="009F75F6">
        <w:t>sensitivity, specificity, positive predictive value [PPV], negative predictive value [NPV], accuracy</w:t>
      </w:r>
      <w:commentRangeEnd w:id="0"/>
      <w:r>
        <w:rPr>
          <w:rStyle w:val="CommentReference"/>
        </w:rPr>
        <w:commentReference w:id="0"/>
      </w:r>
      <w:commentRangeEnd w:id="1"/>
      <w:r>
        <w:rPr>
          <w:rStyle w:val="CommentReference"/>
        </w:rPr>
        <w:commentReference w:id="1"/>
      </w:r>
      <w:r>
        <w:t xml:space="preserve"> and AUROC</w:t>
      </w:r>
      <w:r w:rsidRPr="009F75F6">
        <w:t xml:space="preserve">. </w:t>
      </w:r>
      <w:r w:rsidRPr="009F75F6">
        <w:rPr>
          <w:rFonts w:eastAsia="Arial Unicode MS"/>
        </w:rPr>
        <w:t xml:space="preserve">Confidence interval for the AUROCs were obtained by bootstrapping 1000 times the data and </w:t>
      </w:r>
      <w:r>
        <w:rPr>
          <w:rFonts w:eastAsia="Arial Unicode MS"/>
        </w:rPr>
        <w:t xml:space="preserve">computing the 5 and 95 </w:t>
      </w:r>
      <w:proofErr w:type="gramStart"/>
      <w:r>
        <w:rPr>
          <w:rFonts w:eastAsia="Arial Unicode MS"/>
        </w:rPr>
        <w:t>percentile</w:t>
      </w:r>
      <w:proofErr w:type="gramEnd"/>
      <w:r>
        <w:rPr>
          <w:rFonts w:eastAsia="Arial Unicode MS"/>
        </w:rPr>
        <w:t xml:space="preserve"> of the bootstrapped sample. The </w:t>
      </w:r>
      <w:r w:rsidRPr="009F75F6">
        <w:rPr>
          <w:rFonts w:eastAsia="Arial Unicode MS"/>
        </w:rPr>
        <w:t xml:space="preserve">statistical differences in AUROC for different classifiers were computed using the non-parametric approach by DeLong </w:t>
      </w:r>
      <w:proofErr w:type="gramStart"/>
      <w:r w:rsidRPr="009F75F6">
        <w:rPr>
          <w:rFonts w:eastAsia="Arial Unicode MS"/>
        </w:rPr>
        <w:t>et al.</w:t>
      </w:r>
      <w:r>
        <w:rPr>
          <w:rFonts w:eastAsia="Arial Unicode MS"/>
        </w:rPr>
        <w:t>[</w:t>
      </w:r>
      <w:proofErr w:type="gramEnd"/>
      <w:r>
        <w:rPr>
          <w:rFonts w:eastAsia="Arial Unicode MS"/>
        </w:rPr>
        <w:t>20]</w:t>
      </w:r>
      <w:r w:rsidRPr="009F75F6">
        <w:t xml:space="preserve"> </w:t>
      </w:r>
      <w:r w:rsidRPr="009F75F6">
        <w:t xml:space="preserve">The agreement among human endoscopic assessments and AI-estimated outputs was measured with Cohen </w:t>
      </w:r>
      <w:r w:rsidRPr="009F75F6">
        <w:rPr>
          <w:i/>
        </w:rPr>
        <w:t>kappa</w:t>
      </w:r>
      <w:r w:rsidRPr="009F75F6">
        <w:t xml:space="preserve"> coefficient, values </w:t>
      </w:r>
      <w:r w:rsidRPr="009F75F6">
        <w:rPr>
          <w:rFonts w:eastAsia="Arial Unicode MS"/>
        </w:rPr>
        <w:t xml:space="preserve">≤0 indicating no agreement, 0.01-0.20 none to slight, 0.21-0.40 fair, 0.41-0.60 moderate, 0.61-0.80 substantial, and 0.81-1.00 almost perfect agreement. </w:t>
      </w:r>
      <w:r w:rsidRPr="009F75F6">
        <w:t>Kaplan-Meier survival functions for the two groups of patients (remission versus inflammation) were estimated to evaluate the cumulative risk of incurring any of the specified adverse clinical outcomes (surgery, hospitalisation, drug change or optimisation) within 12 months. Different survival curves and hazard ratios were computed for the groups obtained by endo</w:t>
      </w:r>
      <w:r>
        <w:t>s</w:t>
      </w:r>
      <w:r w:rsidRPr="009F75F6">
        <w:t xml:space="preserve">copist’s </w:t>
      </w:r>
      <w:proofErr w:type="spellStart"/>
      <w:r w:rsidRPr="009F75F6">
        <w:t>PICaSSO</w:t>
      </w:r>
      <w:proofErr w:type="spellEnd"/>
      <w:r w:rsidRPr="009F75F6">
        <w:t xml:space="preserve"> scoring, AI VCE scoring, end</w:t>
      </w:r>
      <w:r>
        <w:t>o</w:t>
      </w:r>
      <w:r w:rsidRPr="009F75F6">
        <w:t xml:space="preserve">scopist’s UCEIS scoring, AI WLE scoring, and the </w:t>
      </w:r>
      <w:commentRangeStart w:id="2"/>
      <w:r w:rsidRPr="009F75F6">
        <w:t>AI system trained directly to predict outcome occurrence with WLE and VCE videos.</w:t>
      </w:r>
      <w:commentRangeEnd w:id="2"/>
      <w:r>
        <w:rPr>
          <w:rStyle w:val="CommentReference"/>
        </w:rPr>
        <w:commentReference w:id="2"/>
      </w:r>
    </w:p>
    <w:p w14:paraId="557A40DF" w14:textId="77777777" w:rsidR="006B1592" w:rsidRPr="009F75F6" w:rsidRDefault="006B1592" w:rsidP="006B1592">
      <w:pPr>
        <w:spacing w:line="360" w:lineRule="auto"/>
        <w:jc w:val="both"/>
        <w:rPr>
          <w:highlight w:val="yellow"/>
        </w:rPr>
      </w:pPr>
    </w:p>
    <w:p w14:paraId="4E1790B0" w14:textId="77777777" w:rsidR="006B1592" w:rsidRPr="009F75F6" w:rsidRDefault="006B1592" w:rsidP="006B1592">
      <w:pPr>
        <w:spacing w:line="360" w:lineRule="auto"/>
        <w:jc w:val="both"/>
      </w:pPr>
      <w:r w:rsidRPr="009F75F6">
        <w:t>The study was conducted and reported following the Checklist for artificial intelligence in Medical Imaging (CLAIM) criteria and the Checklist for Prediction Model Development and Validation (TRIPOD) (</w:t>
      </w:r>
      <w:r w:rsidRPr="009F75F6">
        <w:rPr>
          <w:color w:val="0000FF"/>
        </w:rPr>
        <w:t>supplementary material</w:t>
      </w:r>
      <w:r w:rsidRPr="009F75F6">
        <w:t>)</w:t>
      </w:r>
    </w:p>
    <w:p w14:paraId="79169C6E" w14:textId="77777777" w:rsidR="006B1592" w:rsidRPr="009F75F6" w:rsidRDefault="006B1592" w:rsidP="006B1592">
      <w:pPr>
        <w:spacing w:line="360" w:lineRule="auto"/>
        <w:jc w:val="both"/>
        <w:rPr>
          <w:b/>
        </w:rPr>
      </w:pPr>
    </w:p>
    <w:p w14:paraId="737C28C3" w14:textId="77777777" w:rsidR="006B1592" w:rsidRPr="009F75F6" w:rsidRDefault="006B1592" w:rsidP="006B1592">
      <w:pPr>
        <w:spacing w:line="360" w:lineRule="auto"/>
        <w:jc w:val="both"/>
        <w:rPr>
          <w:b/>
        </w:rPr>
      </w:pPr>
      <w:r w:rsidRPr="009F75F6">
        <w:rPr>
          <w:b/>
        </w:rPr>
        <w:t xml:space="preserve">RESULTS </w:t>
      </w:r>
    </w:p>
    <w:p w14:paraId="7D34A3F7" w14:textId="77777777" w:rsidR="006B1592" w:rsidRPr="009F75F6" w:rsidRDefault="006B1592" w:rsidP="006B1592">
      <w:pPr>
        <w:spacing w:line="360" w:lineRule="auto"/>
        <w:jc w:val="both"/>
        <w:rPr>
          <w:color w:val="0000FF"/>
        </w:rPr>
      </w:pPr>
      <w:r w:rsidRPr="009F75F6">
        <w:t xml:space="preserve">Demographic characteristics of our study population are summarised in </w:t>
      </w:r>
      <w:r w:rsidRPr="009F75F6">
        <w:rPr>
          <w:color w:val="0000FF"/>
        </w:rPr>
        <w:t>table 1</w:t>
      </w:r>
      <w:r w:rsidRPr="009F75F6">
        <w:t>.</w:t>
      </w:r>
      <w:r>
        <w:t>[9]</w:t>
      </w:r>
      <w:r w:rsidRPr="009F75F6">
        <w:t xml:space="preserve"> Briefly, we included 283 patients, with an average age of 48.2 years (SD 14.8). Around 2/3 of patients were in histologic remission depending on biopsy location and histologic score used. </w:t>
      </w:r>
      <w:r w:rsidRPr="009F75F6">
        <w:rPr>
          <w:color w:val="0000FF"/>
        </w:rPr>
        <w:t>Supplementary Table 1.</w:t>
      </w:r>
    </w:p>
    <w:p w14:paraId="678346EB" w14:textId="77777777" w:rsidR="006B1592" w:rsidRPr="009F75F6" w:rsidRDefault="006B1592" w:rsidP="006B1592">
      <w:pPr>
        <w:spacing w:line="360" w:lineRule="auto"/>
        <w:jc w:val="both"/>
      </w:pPr>
    </w:p>
    <w:p w14:paraId="32449FE1" w14:textId="77777777" w:rsidR="006B1592" w:rsidRPr="009F75F6" w:rsidRDefault="006B1592" w:rsidP="006B1592">
      <w:pPr>
        <w:spacing w:line="360" w:lineRule="auto"/>
        <w:jc w:val="both"/>
        <w:rPr>
          <w:b/>
        </w:rPr>
      </w:pPr>
      <w:r w:rsidRPr="009F75F6">
        <w:rPr>
          <w:b/>
        </w:rPr>
        <w:t>Videos collection</w:t>
      </w:r>
    </w:p>
    <w:p w14:paraId="0DB653E8" w14:textId="77777777" w:rsidR="006B1592" w:rsidRPr="009F75F6" w:rsidRDefault="006B1592" w:rsidP="006B1592">
      <w:pPr>
        <w:spacing w:line="360" w:lineRule="auto"/>
        <w:jc w:val="both"/>
        <w:rPr>
          <w:color w:val="0000FF"/>
        </w:rPr>
      </w:pPr>
      <w:r w:rsidRPr="009F75F6">
        <w:t xml:space="preserve">Two videos, one in the rectum and one in the sigmoid, were recorded for each of the 283 patients included. </w:t>
      </w:r>
      <w:r>
        <w:t>A</w:t>
      </w:r>
      <w:r w:rsidRPr="009F75F6">
        <w:t>fter excluding damaged files and recordings with inadequate bowel preparation,</w:t>
      </w:r>
      <w:r>
        <w:t xml:space="preserve"> t</w:t>
      </w:r>
      <w:r w:rsidRPr="009F75F6">
        <w:t>he videos were di</w:t>
      </w:r>
      <w:r w:rsidRPr="005D7F59">
        <w:t>vided into WLE-HD (539) and VCE (551) clips. In total 1090 clips comprised 638287 frames. 901 clips were rated as HQ, 189 LQ.</w:t>
      </w:r>
      <w:r w:rsidRPr="007F0A70">
        <w:t xml:space="preserve"> Training, </w:t>
      </w:r>
      <w:proofErr w:type="gramStart"/>
      <w:r w:rsidRPr="007F0A70">
        <w:t>validation</w:t>
      </w:r>
      <w:proofErr w:type="gramEnd"/>
      <w:r w:rsidRPr="007F0A70">
        <w:t xml:space="preserve"> and testing was conducted on a video-wide basis, to remove the possible influence of highly correlated frames coming from the same video when reporting the system performance. We assumed that videos from different sections (rectum and sigmoid) of the same patient can be </w:t>
      </w:r>
      <w:r w:rsidRPr="007F0A70">
        <w:lastRenderedPageBreak/>
        <w:t>treated as independent.</w:t>
      </w:r>
      <w:r>
        <w:rPr>
          <w:b/>
        </w:rPr>
        <w:t xml:space="preserve"> </w:t>
      </w:r>
      <w:r w:rsidRPr="009F75F6">
        <w:t>For WLE-HD, 239 videos were used for the training set, 58 videos for the validation set, and the remaining 242 for testing. For VCE, 245 videos were used for the training set, 62 videos for the validation set, and the remaining 244 for testing. When VCE and WLE-HD videos were available for the same patient and section, they were assigned to the same data set (train, validation, or test) for better method comparison. The process is illustrated in</w:t>
      </w:r>
      <w:r w:rsidRPr="009F75F6">
        <w:rPr>
          <w:color w:val="0563C1"/>
        </w:rPr>
        <w:t xml:space="preserve"> </w:t>
      </w:r>
      <w:r w:rsidRPr="009F75F6">
        <w:rPr>
          <w:color w:val="0000FF"/>
        </w:rPr>
        <w:t>Figure 1.</w:t>
      </w:r>
    </w:p>
    <w:p w14:paraId="26BDA49A" w14:textId="77777777" w:rsidR="006B1592" w:rsidRPr="009F75F6" w:rsidRDefault="006B1592" w:rsidP="006B1592">
      <w:pPr>
        <w:spacing w:line="360" w:lineRule="auto"/>
        <w:jc w:val="both"/>
      </w:pPr>
    </w:p>
    <w:p w14:paraId="5460800F" w14:textId="77777777" w:rsidR="006B1592" w:rsidRPr="009F75F6" w:rsidRDefault="006B1592" w:rsidP="006B1592">
      <w:pPr>
        <w:spacing w:line="360" w:lineRule="auto"/>
        <w:jc w:val="both"/>
        <w:rPr>
          <w:b/>
        </w:rPr>
      </w:pPr>
      <w:r w:rsidRPr="009F75F6">
        <w:rPr>
          <w:b/>
        </w:rPr>
        <w:t xml:space="preserve">Primary Outcome </w:t>
      </w:r>
    </w:p>
    <w:p w14:paraId="151DB0AB" w14:textId="77777777" w:rsidR="006B1592" w:rsidRPr="009F75F6" w:rsidRDefault="006B1592" w:rsidP="006B1592">
      <w:pPr>
        <w:numPr>
          <w:ilvl w:val="0"/>
          <w:numId w:val="3"/>
        </w:numPr>
        <w:spacing w:line="360" w:lineRule="auto"/>
        <w:jc w:val="both"/>
        <w:rPr>
          <w:b/>
        </w:rPr>
      </w:pPr>
      <w:r w:rsidRPr="009F75F6">
        <w:rPr>
          <w:rFonts w:eastAsia="Arial Unicode MS"/>
          <w:b/>
        </w:rPr>
        <w:t xml:space="preserve">Distinguish endoscopic remission (PICaSSO≤3) from UC activity in VCE </w:t>
      </w:r>
    </w:p>
    <w:p w14:paraId="2F0F5535" w14:textId="77777777" w:rsidR="006B1592" w:rsidRPr="009F75F6" w:rsidRDefault="006B1592" w:rsidP="006B1592">
      <w:pPr>
        <w:spacing w:line="360" w:lineRule="auto"/>
        <w:jc w:val="both"/>
        <w:rPr>
          <w:b/>
        </w:rPr>
      </w:pPr>
      <w:r w:rsidRPr="009F75F6">
        <w:t>In the testing set, our system detected endoscopic re</w:t>
      </w:r>
      <w:r w:rsidRPr="009F75F6">
        <w:rPr>
          <w:rFonts w:eastAsia="Arial Unicode MS"/>
        </w:rPr>
        <w:t>mission/activity (</w:t>
      </w:r>
      <w:proofErr w:type="spellStart"/>
      <w:r w:rsidRPr="009F75F6">
        <w:rPr>
          <w:rFonts w:eastAsia="Arial Unicode MS"/>
        </w:rPr>
        <w:t>PICaSSO</w:t>
      </w:r>
      <w:proofErr w:type="spellEnd"/>
      <w:r w:rsidRPr="009F75F6">
        <w:rPr>
          <w:rFonts w:eastAsia="Arial Unicode MS"/>
        </w:rPr>
        <w:t xml:space="preserve"> ≤3) in VCE videos with 79%</w:t>
      </w:r>
      <w:r>
        <w:rPr>
          <w:rFonts w:eastAsia="Arial Unicode MS"/>
        </w:rPr>
        <w:t xml:space="preserve"> </w:t>
      </w:r>
      <w:r w:rsidRPr="00004C03">
        <w:rPr>
          <w:rFonts w:eastAsia="Calibri"/>
          <w:color w:val="002060"/>
        </w:rPr>
        <w:t>(95% CI 63-90</w:t>
      </w:r>
      <w:r>
        <w:rPr>
          <w:rFonts w:eastAsia="Calibri"/>
          <w:color w:val="002060"/>
        </w:rPr>
        <w:t>%</w:t>
      </w:r>
      <w:r w:rsidRPr="00004C03">
        <w:rPr>
          <w:rFonts w:eastAsia="Calibri"/>
          <w:color w:val="002060"/>
        </w:rPr>
        <w:t>)</w:t>
      </w:r>
      <w:r w:rsidRPr="009F75F6">
        <w:rPr>
          <w:rFonts w:eastAsia="Arial Unicode MS"/>
        </w:rPr>
        <w:t xml:space="preserve"> sensitivity, 95%</w:t>
      </w:r>
      <w:r>
        <w:rPr>
          <w:rFonts w:eastAsia="Arial Unicode MS"/>
        </w:rPr>
        <w:t xml:space="preserve"> </w:t>
      </w:r>
      <w:r w:rsidRPr="00004C03">
        <w:rPr>
          <w:rFonts w:eastAsia="Calibri"/>
          <w:color w:val="002060"/>
        </w:rPr>
        <w:t>(95% CI 91-98</w:t>
      </w:r>
      <w:r>
        <w:rPr>
          <w:rFonts w:eastAsia="Calibri"/>
          <w:color w:val="002060"/>
        </w:rPr>
        <w:t>%</w:t>
      </w:r>
      <w:r w:rsidRPr="00004C03">
        <w:rPr>
          <w:rFonts w:eastAsia="Calibri"/>
          <w:color w:val="002060"/>
        </w:rPr>
        <w:t>)</w:t>
      </w:r>
      <w:r w:rsidRPr="009F75F6">
        <w:rPr>
          <w:rFonts w:eastAsia="Arial Unicode MS"/>
        </w:rPr>
        <w:t xml:space="preserve"> specificity, 77%</w:t>
      </w:r>
      <w:r>
        <w:rPr>
          <w:rFonts w:eastAsia="Arial Unicode MS"/>
        </w:rPr>
        <w:t xml:space="preserve"> </w:t>
      </w:r>
      <w:r w:rsidRPr="00004C03">
        <w:rPr>
          <w:rFonts w:eastAsia="Calibri"/>
          <w:color w:val="002060"/>
        </w:rPr>
        <w:t>(95% CI 64-86</w:t>
      </w:r>
      <w:r>
        <w:rPr>
          <w:rFonts w:eastAsia="Calibri"/>
          <w:color w:val="002060"/>
        </w:rPr>
        <w:t>%</w:t>
      </w:r>
      <w:r w:rsidRPr="00004C03">
        <w:rPr>
          <w:rFonts w:eastAsia="Calibri"/>
          <w:color w:val="002060"/>
        </w:rPr>
        <w:t>)</w:t>
      </w:r>
      <w:r w:rsidRPr="009F75F6">
        <w:rPr>
          <w:rFonts w:eastAsia="Arial Unicode MS"/>
        </w:rPr>
        <w:t xml:space="preserve"> PPV, 96% </w:t>
      </w:r>
      <w:r w:rsidRPr="00004C03">
        <w:rPr>
          <w:rFonts w:eastAsia="Calibri"/>
          <w:color w:val="002060"/>
        </w:rPr>
        <w:t>(</w:t>
      </w:r>
      <w:r w:rsidRPr="003A3D03">
        <w:rPr>
          <w:rFonts w:eastAsia="Calibri"/>
          <w:color w:val="002060"/>
        </w:rPr>
        <w:t xml:space="preserve">95% CI </w:t>
      </w:r>
      <w:r w:rsidRPr="00004C03">
        <w:rPr>
          <w:rFonts w:eastAsia="Calibri"/>
          <w:color w:val="002060"/>
        </w:rPr>
        <w:t>92-97</w:t>
      </w:r>
      <w:r>
        <w:rPr>
          <w:rFonts w:eastAsia="Calibri"/>
          <w:color w:val="002060"/>
        </w:rPr>
        <w:t>%</w:t>
      </w:r>
      <w:r w:rsidRPr="00004C03">
        <w:rPr>
          <w:rFonts w:eastAsia="Calibri"/>
          <w:color w:val="002060"/>
        </w:rPr>
        <w:t xml:space="preserve">) </w:t>
      </w:r>
      <w:r w:rsidRPr="009F75F6">
        <w:rPr>
          <w:rFonts w:eastAsia="Arial Unicode MS"/>
        </w:rPr>
        <w:t xml:space="preserve">NPV, 92% </w:t>
      </w:r>
      <w:r w:rsidRPr="00004C03">
        <w:rPr>
          <w:rFonts w:eastAsia="Calibri"/>
          <w:color w:val="002060"/>
        </w:rPr>
        <w:t>(</w:t>
      </w:r>
      <w:r w:rsidRPr="003A3D03">
        <w:rPr>
          <w:rFonts w:eastAsia="Calibri"/>
          <w:color w:val="002060"/>
        </w:rPr>
        <w:t xml:space="preserve">95% CI </w:t>
      </w:r>
      <w:r w:rsidRPr="00004C03">
        <w:rPr>
          <w:rFonts w:eastAsia="Calibri"/>
          <w:color w:val="002060"/>
        </w:rPr>
        <w:t>88-95</w:t>
      </w:r>
      <w:r>
        <w:rPr>
          <w:rFonts w:eastAsia="Calibri"/>
          <w:color w:val="002060"/>
        </w:rPr>
        <w:t>%</w:t>
      </w:r>
      <w:r w:rsidRPr="00004C03">
        <w:rPr>
          <w:rFonts w:eastAsia="Calibri"/>
          <w:color w:val="002060"/>
        </w:rPr>
        <w:t>)</w:t>
      </w:r>
      <w:r>
        <w:rPr>
          <w:rFonts w:eastAsia="Calibri"/>
          <w:color w:val="002060"/>
        </w:rPr>
        <w:t xml:space="preserve"> </w:t>
      </w:r>
      <w:r w:rsidRPr="009F75F6">
        <w:rPr>
          <w:rFonts w:eastAsia="Arial Unicode MS"/>
        </w:rPr>
        <w:t>accuracy, and an area under the ROC curve (AUROC)</w:t>
      </w:r>
      <w:r w:rsidRPr="009F75F6">
        <w:t xml:space="preserve"> of 0.94</w:t>
      </w:r>
      <w:r>
        <w:t xml:space="preserve"> </w:t>
      </w:r>
      <w:r w:rsidRPr="00004C03">
        <w:rPr>
          <w:rFonts w:eastAsia="Calibri"/>
          <w:color w:val="002060"/>
        </w:rPr>
        <w:t>(</w:t>
      </w:r>
      <w:r w:rsidRPr="003A3D03">
        <w:rPr>
          <w:rFonts w:eastAsia="Calibri"/>
          <w:color w:val="002060"/>
        </w:rPr>
        <w:t xml:space="preserve">95% CI </w:t>
      </w:r>
      <w:r w:rsidRPr="00004C03">
        <w:rPr>
          <w:rFonts w:eastAsia="Calibri"/>
          <w:color w:val="002060"/>
        </w:rPr>
        <w:t>0.91-0.97)</w:t>
      </w:r>
      <w:r w:rsidRPr="009F75F6">
        <w:t xml:space="preserve"> </w:t>
      </w:r>
      <w:r w:rsidRPr="009F75F6">
        <w:rPr>
          <w:color w:val="0000FF"/>
        </w:rPr>
        <w:t>(Table 2)</w:t>
      </w:r>
      <w:r w:rsidRPr="009F75F6">
        <w:t>. When restricting the analysis to high-quality videos, the sensitivity increased to 86%</w:t>
      </w:r>
      <w:r>
        <w:t xml:space="preserve"> (95% CI 68-95%)</w:t>
      </w:r>
      <w:r w:rsidRPr="009F75F6">
        <w:t xml:space="preserve"> and the remaining metrics improved slightly.</w:t>
      </w:r>
    </w:p>
    <w:p w14:paraId="7A4497DC" w14:textId="77777777" w:rsidR="006B1592" w:rsidRPr="009F75F6" w:rsidRDefault="006B1592" w:rsidP="006B1592">
      <w:pPr>
        <w:spacing w:line="360" w:lineRule="auto"/>
        <w:jc w:val="both"/>
        <w:rPr>
          <w:b/>
        </w:rPr>
      </w:pPr>
    </w:p>
    <w:p w14:paraId="3482C94F" w14:textId="77777777" w:rsidR="006B1592" w:rsidRPr="009F75F6" w:rsidRDefault="006B1592" w:rsidP="006B1592">
      <w:pPr>
        <w:numPr>
          <w:ilvl w:val="0"/>
          <w:numId w:val="5"/>
        </w:numPr>
        <w:spacing w:line="360" w:lineRule="auto"/>
        <w:jc w:val="both"/>
        <w:rPr>
          <w:b/>
        </w:rPr>
      </w:pPr>
      <w:r w:rsidRPr="009F75F6">
        <w:rPr>
          <w:rFonts w:eastAsia="Arial Unicode MS"/>
          <w:b/>
        </w:rPr>
        <w:t>Distinguish endoscopic remission (UCEIS≤1) from UC activity in WLE-HD</w:t>
      </w:r>
      <w:r w:rsidRPr="009F75F6">
        <w:rPr>
          <w:b/>
        </w:rPr>
        <w:t xml:space="preserve"> </w:t>
      </w:r>
    </w:p>
    <w:p w14:paraId="1871B53E" w14:textId="77777777" w:rsidR="006B1592" w:rsidRPr="009F75F6" w:rsidRDefault="006B1592" w:rsidP="006B1592">
      <w:pPr>
        <w:spacing w:line="360" w:lineRule="auto"/>
        <w:jc w:val="both"/>
        <w:rPr>
          <w:b/>
        </w:rPr>
      </w:pPr>
      <w:r w:rsidRPr="009F75F6">
        <w:rPr>
          <w:rFonts w:eastAsia="Arial Unicode MS"/>
        </w:rPr>
        <w:t>For the detection of endoscopic remission/activity in WLE-HD videos (UCEIS ≤1) in the testing cohort sensitivity was 72%</w:t>
      </w:r>
      <w:r>
        <w:rPr>
          <w:rFonts w:eastAsia="Arial Unicode MS"/>
        </w:rPr>
        <w:t xml:space="preserve"> </w:t>
      </w:r>
      <w:r w:rsidRPr="00004C03">
        <w:rPr>
          <w:rFonts w:eastAsia="Calibri"/>
          <w:color w:val="002060"/>
        </w:rPr>
        <w:t>(</w:t>
      </w:r>
      <w:r w:rsidRPr="003A3D03">
        <w:rPr>
          <w:rFonts w:eastAsia="Calibri"/>
          <w:color w:val="002060"/>
        </w:rPr>
        <w:t xml:space="preserve">95% CI </w:t>
      </w:r>
      <w:r w:rsidRPr="00004C03">
        <w:rPr>
          <w:rFonts w:eastAsia="Calibri"/>
          <w:color w:val="002060"/>
        </w:rPr>
        <w:t>55-85</w:t>
      </w:r>
      <w:r>
        <w:rPr>
          <w:rFonts w:eastAsia="Calibri"/>
          <w:color w:val="002060"/>
        </w:rPr>
        <w:t>%</w:t>
      </w:r>
      <w:r w:rsidRPr="00004C03">
        <w:rPr>
          <w:rFonts w:eastAsia="Calibri"/>
          <w:color w:val="002060"/>
        </w:rPr>
        <w:t>)</w:t>
      </w:r>
      <w:r w:rsidRPr="009F75F6">
        <w:rPr>
          <w:rFonts w:eastAsia="Arial Unicode MS"/>
        </w:rPr>
        <w:t>, Specificity 87%</w:t>
      </w:r>
      <w:r>
        <w:rPr>
          <w:rFonts w:eastAsia="Arial Unicode MS"/>
        </w:rPr>
        <w:t xml:space="preserve"> </w:t>
      </w:r>
      <w:r w:rsidRPr="00004C03">
        <w:rPr>
          <w:rFonts w:eastAsia="Calibri"/>
          <w:color w:val="002060"/>
        </w:rPr>
        <w:t>(</w:t>
      </w:r>
      <w:r w:rsidRPr="003A3D03">
        <w:rPr>
          <w:rFonts w:eastAsia="Calibri"/>
          <w:color w:val="002060"/>
        </w:rPr>
        <w:t xml:space="preserve">95% CI </w:t>
      </w:r>
      <w:r w:rsidRPr="00004C03">
        <w:rPr>
          <w:rFonts w:eastAsia="Calibri"/>
          <w:color w:val="002060"/>
        </w:rPr>
        <w:t>81-91</w:t>
      </w:r>
      <w:r>
        <w:rPr>
          <w:rFonts w:eastAsia="Calibri"/>
          <w:color w:val="002060"/>
        </w:rPr>
        <w:t>%</w:t>
      </w:r>
      <w:r w:rsidRPr="00004C03">
        <w:rPr>
          <w:rFonts w:eastAsia="Calibri"/>
          <w:color w:val="002060"/>
        </w:rPr>
        <w:t>)</w:t>
      </w:r>
      <w:r w:rsidRPr="009F75F6">
        <w:rPr>
          <w:rFonts w:eastAsia="Arial Unicode MS"/>
        </w:rPr>
        <w:t>, PPV 53%</w:t>
      </w:r>
      <w:r>
        <w:rPr>
          <w:rFonts w:eastAsia="Arial Unicode MS"/>
        </w:rPr>
        <w:t xml:space="preserve"> </w:t>
      </w:r>
      <w:r w:rsidRPr="00004C03">
        <w:rPr>
          <w:rFonts w:eastAsia="Calibri"/>
          <w:color w:val="002060"/>
        </w:rPr>
        <w:t>(</w:t>
      </w:r>
      <w:r w:rsidRPr="003A3D03">
        <w:rPr>
          <w:rFonts w:eastAsia="Calibri"/>
          <w:color w:val="002060"/>
        </w:rPr>
        <w:t>95% CI</w:t>
      </w:r>
      <w:r>
        <w:rPr>
          <w:rFonts w:eastAsia="Calibri"/>
          <w:color w:val="002060"/>
        </w:rPr>
        <w:t xml:space="preserve"> </w:t>
      </w:r>
      <w:r w:rsidRPr="00004C03">
        <w:rPr>
          <w:rFonts w:eastAsia="Calibri"/>
          <w:color w:val="002060"/>
        </w:rPr>
        <w:t>43-63</w:t>
      </w:r>
      <w:r>
        <w:rPr>
          <w:rFonts w:eastAsia="Calibri"/>
          <w:color w:val="002060"/>
        </w:rPr>
        <w:t>%</w:t>
      </w:r>
      <w:r w:rsidRPr="00004C03">
        <w:rPr>
          <w:rFonts w:eastAsia="Calibri"/>
          <w:color w:val="002060"/>
        </w:rPr>
        <w:t>)</w:t>
      </w:r>
      <w:r w:rsidRPr="009F75F6">
        <w:rPr>
          <w:rFonts w:eastAsia="Arial Unicode MS"/>
        </w:rPr>
        <w:t>, NPV 94%</w:t>
      </w:r>
      <w:r>
        <w:rPr>
          <w:rFonts w:eastAsia="Arial Unicode MS"/>
        </w:rPr>
        <w:t xml:space="preserve"> </w:t>
      </w:r>
      <w:r w:rsidRPr="00004C03">
        <w:rPr>
          <w:rFonts w:eastAsia="Calibri"/>
          <w:color w:val="002060"/>
        </w:rPr>
        <w:t>(</w:t>
      </w:r>
      <w:r w:rsidRPr="003A3D03">
        <w:rPr>
          <w:rFonts w:eastAsia="Calibri"/>
          <w:color w:val="002060"/>
        </w:rPr>
        <w:t xml:space="preserve">95% CI </w:t>
      </w:r>
      <w:r w:rsidRPr="00004C03">
        <w:rPr>
          <w:rFonts w:eastAsia="Calibri"/>
          <w:color w:val="002060"/>
        </w:rPr>
        <w:t>90-96</w:t>
      </w:r>
      <w:r>
        <w:rPr>
          <w:rFonts w:eastAsia="Calibri"/>
          <w:color w:val="002060"/>
        </w:rPr>
        <w:t>%</w:t>
      </w:r>
      <w:r w:rsidRPr="00004C03">
        <w:rPr>
          <w:rFonts w:eastAsia="Calibri"/>
          <w:color w:val="002060"/>
        </w:rPr>
        <w:t>)</w:t>
      </w:r>
      <w:r w:rsidRPr="009F75F6">
        <w:rPr>
          <w:rFonts w:eastAsia="Arial Unicode MS"/>
        </w:rPr>
        <w:t>, accuracy 84%</w:t>
      </w:r>
      <w:r>
        <w:rPr>
          <w:rFonts w:eastAsia="Arial Unicode MS"/>
        </w:rPr>
        <w:t xml:space="preserve"> </w:t>
      </w:r>
      <w:r w:rsidRPr="00004C03">
        <w:rPr>
          <w:rFonts w:eastAsia="Calibri"/>
          <w:color w:val="002060"/>
        </w:rPr>
        <w:t>(</w:t>
      </w:r>
      <w:r w:rsidRPr="003A3D03">
        <w:rPr>
          <w:rFonts w:eastAsia="Calibri"/>
          <w:color w:val="002060"/>
        </w:rPr>
        <w:t xml:space="preserve">95% CI </w:t>
      </w:r>
      <w:r w:rsidRPr="00004C03">
        <w:rPr>
          <w:rFonts w:eastAsia="Calibri"/>
          <w:color w:val="002060"/>
        </w:rPr>
        <w:t>79-89</w:t>
      </w:r>
      <w:r>
        <w:rPr>
          <w:rFonts w:eastAsia="Calibri"/>
          <w:color w:val="002060"/>
        </w:rPr>
        <w:t>%</w:t>
      </w:r>
      <w:r w:rsidRPr="00004C03">
        <w:rPr>
          <w:rFonts w:eastAsia="Calibri"/>
          <w:color w:val="002060"/>
        </w:rPr>
        <w:t>)</w:t>
      </w:r>
      <w:r w:rsidRPr="009F75F6">
        <w:rPr>
          <w:rFonts w:eastAsia="Arial Unicode MS"/>
        </w:rPr>
        <w:t>, and AUROC 0.</w:t>
      </w:r>
      <w:r w:rsidRPr="009F75F6">
        <w:t>85</w:t>
      </w:r>
      <w:r>
        <w:t xml:space="preserve"> </w:t>
      </w:r>
      <w:r w:rsidRPr="00004C03">
        <w:rPr>
          <w:rFonts w:eastAsia="Calibri"/>
          <w:color w:val="002060"/>
        </w:rPr>
        <w:t>(</w:t>
      </w:r>
      <w:r w:rsidRPr="003A3D03">
        <w:rPr>
          <w:rFonts w:eastAsia="Calibri"/>
          <w:color w:val="002060"/>
        </w:rPr>
        <w:t xml:space="preserve">95% CI </w:t>
      </w:r>
      <w:r w:rsidRPr="00004C03">
        <w:rPr>
          <w:rFonts w:eastAsia="Calibri"/>
          <w:color w:val="002060"/>
        </w:rPr>
        <w:t>0.79-0.90)</w:t>
      </w:r>
      <w:r w:rsidRPr="009F75F6">
        <w:t xml:space="preserve"> </w:t>
      </w:r>
      <w:r w:rsidRPr="009F75F6">
        <w:rPr>
          <w:color w:val="0563C1"/>
        </w:rPr>
        <w:t>(Table 2).</w:t>
      </w:r>
      <w:r w:rsidRPr="009F75F6">
        <w:t xml:space="preserve"> In the HQ videos sub-analysis, sensitivity increased to 79%</w:t>
      </w:r>
      <w:r>
        <w:t xml:space="preserve"> (95% CI 60-92%)</w:t>
      </w:r>
      <w:r w:rsidRPr="009F75F6">
        <w:t>, specificity to 89%</w:t>
      </w:r>
      <w:r>
        <w:t xml:space="preserve"> (95% CI 83-94%)</w:t>
      </w:r>
      <w:r w:rsidRPr="009F75F6">
        <w:t>, PPV to 59%</w:t>
      </w:r>
      <w:r>
        <w:t xml:space="preserve"> (95% CI 47-70%)</w:t>
      </w:r>
      <w:r w:rsidRPr="009F75F6">
        <w:t>, NPV to 96%</w:t>
      </w:r>
      <w:r>
        <w:t xml:space="preserve"> (95% CI 91-98%). </w:t>
      </w:r>
      <w:r w:rsidRPr="009F75F6">
        <w:t xml:space="preserve">The AUROCs of the two AI models, developed on WLE-HD </w:t>
      </w:r>
      <w:r>
        <w:t xml:space="preserve">(0.85) </w:t>
      </w:r>
      <w:r w:rsidRPr="009F75F6">
        <w:t xml:space="preserve">and VCE </w:t>
      </w:r>
      <w:r>
        <w:t xml:space="preserve">(0.94) </w:t>
      </w:r>
      <w:r w:rsidRPr="009F75F6">
        <w:t>videos, were compared using DeLong's test for uncorrelated ROC curves resulting in a</w:t>
      </w:r>
      <w:r>
        <w:t xml:space="preserve"> statistically</w:t>
      </w:r>
      <w:r w:rsidRPr="009F75F6">
        <w:t xml:space="preserve"> significant difference between the two (p=0.02).</w:t>
      </w:r>
    </w:p>
    <w:p w14:paraId="5D42C152" w14:textId="77777777" w:rsidR="006B1592" w:rsidRPr="009F75F6" w:rsidRDefault="006B1592" w:rsidP="006B1592">
      <w:pPr>
        <w:spacing w:line="360" w:lineRule="auto"/>
        <w:ind w:left="720"/>
        <w:jc w:val="both"/>
      </w:pPr>
    </w:p>
    <w:p w14:paraId="64FF50A9" w14:textId="77777777" w:rsidR="006B1592" w:rsidRPr="009F75F6" w:rsidRDefault="006B1592" w:rsidP="006B1592">
      <w:pPr>
        <w:spacing w:line="360" w:lineRule="auto"/>
        <w:jc w:val="both"/>
        <w:rPr>
          <w:b/>
        </w:rPr>
      </w:pPr>
      <w:r w:rsidRPr="009F75F6">
        <w:rPr>
          <w:b/>
        </w:rPr>
        <w:t>Secondary Outcomes</w:t>
      </w:r>
    </w:p>
    <w:p w14:paraId="31C6567C" w14:textId="77777777" w:rsidR="006B1592" w:rsidRPr="009F75F6" w:rsidRDefault="006B1592" w:rsidP="006B1592">
      <w:pPr>
        <w:numPr>
          <w:ilvl w:val="0"/>
          <w:numId w:val="4"/>
        </w:numPr>
        <w:spacing w:line="360" w:lineRule="auto"/>
        <w:jc w:val="both"/>
        <w:rPr>
          <w:b/>
        </w:rPr>
      </w:pPr>
      <w:r w:rsidRPr="009F75F6">
        <w:rPr>
          <w:rFonts w:eastAsia="Arial Unicode MS"/>
          <w:b/>
        </w:rPr>
        <w:t xml:space="preserve">Prediction of histological remission (RHI≤3; NHI≤1; PHRI=0) from VCE endoscopy </w:t>
      </w:r>
    </w:p>
    <w:p w14:paraId="20F0ACE3" w14:textId="77777777" w:rsidR="006B1592" w:rsidRPr="009F75F6" w:rsidRDefault="006B1592" w:rsidP="006B1592">
      <w:pPr>
        <w:spacing w:line="360" w:lineRule="auto"/>
        <w:jc w:val="both"/>
        <w:rPr>
          <w:color w:val="0000FF"/>
          <w:highlight w:val="yellow"/>
        </w:rPr>
      </w:pPr>
      <w:r w:rsidRPr="009F75F6">
        <w:t>Our CAD system, analysing the same VCE endoscopic videos, was able to predict HR defined according to RHI, NHI, and PHRI with accuracies of 83</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78-88</w:t>
      </w:r>
      <w:r>
        <w:rPr>
          <w:rFonts w:eastAsia="Calibri"/>
          <w:color w:val="002060"/>
        </w:rPr>
        <w:t>%</w:t>
      </w:r>
      <w:r w:rsidRPr="009F75F6">
        <w:rPr>
          <w:rFonts w:eastAsia="Calibri"/>
          <w:color w:val="002060"/>
        </w:rPr>
        <w:t>)</w:t>
      </w:r>
      <w:r w:rsidRPr="00B92A76">
        <w:t>, 81%</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75-86</w:t>
      </w:r>
      <w:r>
        <w:rPr>
          <w:rFonts w:eastAsia="Calibri"/>
          <w:color w:val="002060"/>
        </w:rPr>
        <w:t>%</w:t>
      </w:r>
      <w:r w:rsidRPr="009F75F6">
        <w:rPr>
          <w:rFonts w:eastAsia="Calibri"/>
          <w:color w:val="002060"/>
        </w:rPr>
        <w:t>)</w:t>
      </w:r>
      <w:r w:rsidRPr="00B92A76">
        <w:t>, and 83%</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78-88</w:t>
      </w:r>
      <w:r>
        <w:rPr>
          <w:rFonts w:eastAsia="Calibri"/>
          <w:color w:val="002060"/>
        </w:rPr>
        <w:t>%</w:t>
      </w:r>
      <w:r w:rsidRPr="009F75F6">
        <w:rPr>
          <w:rFonts w:eastAsia="Calibri"/>
          <w:color w:val="002060"/>
        </w:rPr>
        <w:t>)</w:t>
      </w:r>
      <w:r w:rsidRPr="009F75F6">
        <w:t>, respectively, depending on the score used, and AUROCs of 0.83</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0.75-0.90)</w:t>
      </w:r>
      <w:r w:rsidRPr="00B92A76">
        <w:t xml:space="preserve">, 0.81 </w:t>
      </w:r>
      <w:r w:rsidRPr="009F75F6">
        <w:rPr>
          <w:rFonts w:eastAsia="Calibri"/>
          <w:color w:val="002060"/>
        </w:rPr>
        <w:t>(</w:t>
      </w:r>
      <w:r w:rsidRPr="003A3D03">
        <w:rPr>
          <w:rFonts w:eastAsia="Calibri"/>
          <w:color w:val="002060"/>
        </w:rPr>
        <w:t xml:space="preserve">95% CI </w:t>
      </w:r>
      <w:r w:rsidRPr="009F75F6">
        <w:rPr>
          <w:rFonts w:eastAsia="Calibri"/>
          <w:color w:val="002060"/>
        </w:rPr>
        <w:t>0.74-0.88)</w:t>
      </w:r>
      <w:r>
        <w:rPr>
          <w:rFonts w:eastAsia="Calibri"/>
          <w:color w:val="002060"/>
        </w:rPr>
        <w:t xml:space="preserve"> </w:t>
      </w:r>
      <w:r w:rsidRPr="00B92A76">
        <w:t>and 0.81</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0.73-0.88)</w:t>
      </w:r>
      <w:r w:rsidRPr="009F75F6">
        <w:t xml:space="preserve"> for the same analyses. Regardless of the definition of HR, the accuracy increased by 2-3% when restricting to HQ videos only. </w:t>
      </w:r>
      <w:r w:rsidRPr="009F75F6">
        <w:rPr>
          <w:color w:val="0000FF"/>
        </w:rPr>
        <w:t>(Table 3)</w:t>
      </w:r>
    </w:p>
    <w:p w14:paraId="4C255223" w14:textId="77777777" w:rsidR="006B1592" w:rsidRPr="009F75F6" w:rsidRDefault="006B1592" w:rsidP="006B1592">
      <w:pPr>
        <w:spacing w:line="360" w:lineRule="auto"/>
        <w:jc w:val="both"/>
      </w:pPr>
    </w:p>
    <w:p w14:paraId="4ECCE21B" w14:textId="77777777" w:rsidR="006B1592" w:rsidRPr="009F75F6" w:rsidRDefault="006B1592" w:rsidP="006B1592">
      <w:pPr>
        <w:numPr>
          <w:ilvl w:val="0"/>
          <w:numId w:val="2"/>
        </w:numPr>
        <w:spacing w:line="360" w:lineRule="auto"/>
        <w:jc w:val="both"/>
        <w:rPr>
          <w:b/>
        </w:rPr>
      </w:pPr>
      <w:r w:rsidRPr="009F75F6">
        <w:rPr>
          <w:rFonts w:eastAsia="Arial Unicode MS"/>
          <w:b/>
        </w:rPr>
        <w:lastRenderedPageBreak/>
        <w:t>Prediction of histological remission (RHI≤3; NHI≤1; PHRI=0) from WLE-HD endoscopy</w:t>
      </w:r>
    </w:p>
    <w:p w14:paraId="250AF409" w14:textId="77777777" w:rsidR="006B1592" w:rsidRPr="009F75F6" w:rsidRDefault="006B1592" w:rsidP="006B1592">
      <w:pPr>
        <w:spacing w:line="360" w:lineRule="auto"/>
        <w:jc w:val="both"/>
        <w:rPr>
          <w:color w:val="0563C1"/>
        </w:rPr>
      </w:pPr>
      <w:r w:rsidRPr="009F75F6">
        <w:t>AI prediction of HR with WLE-HD endoscopic videos had accuracies of 80%</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74-85</w:t>
      </w:r>
      <w:r>
        <w:rPr>
          <w:rFonts w:eastAsia="Calibri"/>
          <w:color w:val="002060"/>
        </w:rPr>
        <w:t>%</w:t>
      </w:r>
      <w:r w:rsidRPr="009F75F6">
        <w:rPr>
          <w:rFonts w:eastAsia="Calibri"/>
          <w:color w:val="002060"/>
        </w:rPr>
        <w:t>)</w:t>
      </w:r>
      <w:r w:rsidRPr="00B92A76">
        <w:t>, 81%</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75-86</w:t>
      </w:r>
      <w:r>
        <w:rPr>
          <w:rFonts w:eastAsia="Calibri"/>
          <w:color w:val="002060"/>
        </w:rPr>
        <w:t>%</w:t>
      </w:r>
      <w:r w:rsidRPr="009F75F6">
        <w:rPr>
          <w:rFonts w:eastAsia="Calibri"/>
          <w:color w:val="002060"/>
        </w:rPr>
        <w:t>)</w:t>
      </w:r>
      <w:r w:rsidRPr="00B92A76">
        <w:t>, and 80%</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75-86</w:t>
      </w:r>
      <w:r>
        <w:rPr>
          <w:rFonts w:eastAsia="Calibri"/>
          <w:color w:val="002060"/>
        </w:rPr>
        <w:t>%</w:t>
      </w:r>
      <w:r w:rsidRPr="009F75F6">
        <w:rPr>
          <w:rFonts w:eastAsia="Calibri"/>
          <w:color w:val="002060"/>
        </w:rPr>
        <w:t>)</w:t>
      </w:r>
      <w:r w:rsidRPr="00B92A76">
        <w:t>, and AUROCs of 0.80</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0.72-0.88</w:t>
      </w:r>
      <w:r>
        <w:rPr>
          <w:rFonts w:eastAsia="Calibri"/>
          <w:color w:val="002060"/>
        </w:rPr>
        <w:t>%</w:t>
      </w:r>
      <w:r w:rsidRPr="009F75F6">
        <w:rPr>
          <w:rFonts w:eastAsia="Calibri"/>
          <w:color w:val="002060"/>
        </w:rPr>
        <w:t>)</w:t>
      </w:r>
      <w:r>
        <w:t xml:space="preserve">, </w:t>
      </w:r>
      <w:r w:rsidRPr="00B92A76">
        <w:t>0.81</w:t>
      </w:r>
      <w:r>
        <w:t xml:space="preserve"> </w:t>
      </w:r>
      <w:r w:rsidRPr="009F75F6">
        <w:rPr>
          <w:rFonts w:eastAsia="Calibri"/>
          <w:color w:val="002060"/>
        </w:rPr>
        <w:t>(</w:t>
      </w:r>
      <w:r w:rsidRPr="003A3D03">
        <w:rPr>
          <w:rFonts w:eastAsia="Calibri"/>
          <w:color w:val="002060"/>
        </w:rPr>
        <w:t xml:space="preserve">95% CI </w:t>
      </w:r>
      <w:r w:rsidRPr="009F75F6">
        <w:rPr>
          <w:rFonts w:eastAsia="Calibri"/>
          <w:color w:val="002060"/>
        </w:rPr>
        <w:t>0.73-0.88</w:t>
      </w:r>
      <w:r>
        <w:rPr>
          <w:rFonts w:eastAsia="Calibri"/>
          <w:color w:val="002060"/>
        </w:rPr>
        <w:t>%</w:t>
      </w:r>
      <w:r w:rsidRPr="009F75F6">
        <w:rPr>
          <w:rFonts w:eastAsia="Calibri"/>
          <w:color w:val="002060"/>
        </w:rPr>
        <w:t>)</w:t>
      </w:r>
      <w:r w:rsidRPr="00B92A76">
        <w:t xml:space="preserve"> and </w:t>
      </w:r>
      <w:r w:rsidRPr="009F75F6">
        <w:rPr>
          <w:rFonts w:eastAsia="Calibri"/>
          <w:color w:val="002060"/>
        </w:rPr>
        <w:t>0.79 (</w:t>
      </w:r>
      <w:r w:rsidRPr="003A3D03">
        <w:rPr>
          <w:rFonts w:eastAsia="Calibri"/>
          <w:color w:val="002060"/>
        </w:rPr>
        <w:t xml:space="preserve">95% CI </w:t>
      </w:r>
      <w:r w:rsidRPr="009F75F6">
        <w:rPr>
          <w:rFonts w:eastAsia="Calibri"/>
          <w:color w:val="002060"/>
        </w:rPr>
        <w:t>0.72-0.87</w:t>
      </w:r>
      <w:r>
        <w:rPr>
          <w:rFonts w:eastAsia="Calibri"/>
          <w:color w:val="002060"/>
        </w:rPr>
        <w:t>%</w:t>
      </w:r>
      <w:r w:rsidRPr="009F75F6">
        <w:rPr>
          <w:rFonts w:eastAsia="Calibri"/>
          <w:color w:val="002060"/>
        </w:rPr>
        <w:t>)</w:t>
      </w:r>
      <w:r>
        <w:rPr>
          <w:rFonts w:eastAsia="Calibri"/>
          <w:color w:val="002060"/>
        </w:rPr>
        <w:t xml:space="preserve"> </w:t>
      </w:r>
      <w:r w:rsidRPr="009F75F6">
        <w:t xml:space="preserve">for RHI, NHI, and PHRI, respectively. When removing lower quality </w:t>
      </w:r>
      <w:proofErr w:type="gramStart"/>
      <w:r w:rsidRPr="009F75F6">
        <w:t>videos</w:t>
      </w:r>
      <w:proofErr w:type="gramEnd"/>
      <w:r w:rsidRPr="009F75F6">
        <w:t xml:space="preserve"> the accuracy improved by 4-5%. (</w:t>
      </w:r>
      <w:r>
        <w:rPr>
          <w:color w:val="0563C1"/>
        </w:rPr>
        <w:t>Supplementary Table</w:t>
      </w:r>
      <w:r w:rsidRPr="009F75F6">
        <w:rPr>
          <w:color w:val="0563C1"/>
        </w:rPr>
        <w:t xml:space="preserve"> </w:t>
      </w:r>
      <w:r>
        <w:rPr>
          <w:color w:val="0563C1"/>
        </w:rPr>
        <w:t>2</w:t>
      </w:r>
      <w:r w:rsidRPr="009F75F6">
        <w:rPr>
          <w:color w:val="0563C1"/>
        </w:rPr>
        <w:t>)</w:t>
      </w:r>
    </w:p>
    <w:p w14:paraId="3040C906" w14:textId="77777777" w:rsidR="006B1592" w:rsidRPr="009F75F6" w:rsidRDefault="006B1592" w:rsidP="006B1592">
      <w:pPr>
        <w:spacing w:line="360" w:lineRule="auto"/>
        <w:jc w:val="both"/>
      </w:pPr>
    </w:p>
    <w:p w14:paraId="406CB728" w14:textId="77777777" w:rsidR="006B1592" w:rsidRPr="009F75F6" w:rsidRDefault="006B1592" w:rsidP="006B1592">
      <w:pPr>
        <w:numPr>
          <w:ilvl w:val="0"/>
          <w:numId w:val="1"/>
        </w:numPr>
        <w:spacing w:line="360" w:lineRule="auto"/>
        <w:jc w:val="both"/>
        <w:rPr>
          <w:b/>
        </w:rPr>
      </w:pPr>
      <w:r w:rsidRPr="009F75F6">
        <w:rPr>
          <w:b/>
        </w:rPr>
        <w:t xml:space="preserve">Inter-rater agreement between AI and human endoscopists </w:t>
      </w:r>
    </w:p>
    <w:p w14:paraId="25BB5A6A" w14:textId="77777777" w:rsidR="006B1592" w:rsidRPr="009F75F6" w:rsidRDefault="006B1592" w:rsidP="006B1592">
      <w:pPr>
        <w:spacing w:line="360" w:lineRule="auto"/>
        <w:jc w:val="both"/>
        <w:rPr>
          <w:color w:val="0563C1"/>
          <w:sz w:val="24"/>
          <w:szCs w:val="24"/>
        </w:rPr>
      </w:pPr>
      <w:r w:rsidRPr="009F75F6">
        <w:t>The inter-rater agreement between the AI system and the human endoscopists in detecting endoscopic activity/remission, expressed as Cohen Kappa coefficient, was substantial (0.73) in VCE videos and moderate (0.51) in WLE-HD; (</w:t>
      </w:r>
      <w:r w:rsidRPr="009F75F6">
        <w:rPr>
          <w:color w:val="0563C1"/>
        </w:rPr>
        <w:t>Table 2)</w:t>
      </w:r>
      <w:r w:rsidRPr="009F75F6">
        <w:rPr>
          <w:b/>
        </w:rPr>
        <w:t xml:space="preserve"> </w:t>
      </w:r>
      <w:r w:rsidRPr="009F75F6">
        <w:t>In detecting histologic remission/activity agreement between the AI CAD and human pathologist was moderate in both sets of videos, VCE and WLE-HQ, ranging between 0.45 and 0.59.</w:t>
      </w:r>
      <w:r w:rsidRPr="009F75F6">
        <w:rPr>
          <w:b/>
        </w:rPr>
        <w:t xml:space="preserve"> (</w:t>
      </w:r>
      <w:r w:rsidRPr="009F75F6">
        <w:rPr>
          <w:color w:val="0563C1"/>
        </w:rPr>
        <w:t xml:space="preserve">Table 3 and </w:t>
      </w:r>
      <w:r>
        <w:rPr>
          <w:color w:val="0563C1"/>
        </w:rPr>
        <w:t>Supplementary Table 2</w:t>
      </w:r>
      <w:r w:rsidRPr="009F75F6">
        <w:rPr>
          <w:color w:val="0563C1"/>
        </w:rPr>
        <w:t>)</w:t>
      </w:r>
    </w:p>
    <w:p w14:paraId="1F886907" w14:textId="77777777" w:rsidR="006B1592" w:rsidRPr="009F75F6" w:rsidRDefault="006B1592" w:rsidP="006B1592">
      <w:pPr>
        <w:spacing w:line="360" w:lineRule="auto"/>
        <w:jc w:val="both"/>
      </w:pPr>
    </w:p>
    <w:p w14:paraId="4F32072F" w14:textId="77777777" w:rsidR="006B1592" w:rsidRPr="009F75F6" w:rsidRDefault="006B1592" w:rsidP="006B1592">
      <w:pPr>
        <w:numPr>
          <w:ilvl w:val="0"/>
          <w:numId w:val="1"/>
        </w:numPr>
        <w:spacing w:line="360" w:lineRule="auto"/>
        <w:jc w:val="both"/>
        <w:rPr>
          <w:b/>
        </w:rPr>
      </w:pPr>
      <w:r w:rsidRPr="009F75F6">
        <w:rPr>
          <w:b/>
        </w:rPr>
        <w:t xml:space="preserve">AI </w:t>
      </w:r>
      <w:r>
        <w:rPr>
          <w:b/>
        </w:rPr>
        <w:t>assessment</w:t>
      </w:r>
      <w:r w:rsidRPr="009F75F6">
        <w:rPr>
          <w:b/>
        </w:rPr>
        <w:t xml:space="preserve"> of </w:t>
      </w:r>
      <w:r>
        <w:rPr>
          <w:b/>
        </w:rPr>
        <w:t xml:space="preserve">risk of </w:t>
      </w:r>
      <w:r w:rsidRPr="009F75F6">
        <w:rPr>
          <w:b/>
        </w:rPr>
        <w:t xml:space="preserve">pre-specified clinical outcomes at 12 months </w:t>
      </w:r>
    </w:p>
    <w:p w14:paraId="4D4A8784" w14:textId="77777777" w:rsidR="006B1592" w:rsidRPr="009F75F6" w:rsidRDefault="006B1592" w:rsidP="006B1592">
      <w:pPr>
        <w:spacing w:line="360" w:lineRule="auto"/>
        <w:jc w:val="both"/>
      </w:pPr>
      <w:r w:rsidRPr="009F75F6">
        <w:t xml:space="preserve">Of the 283 patients included in the study, 232 patients completed 12 months of follow-up. Of these, 87 suffered one or more of the prespecified adverse clinical outcomes (UC-related hospitalisation, colectomy, and UC treatment change due to relapse). Figure 3 presents the Kaplan-Meier curves for patients in remission or activity according to </w:t>
      </w:r>
      <w:proofErr w:type="spellStart"/>
      <w:r w:rsidRPr="009F75F6">
        <w:t>PICaSSO</w:t>
      </w:r>
      <w:proofErr w:type="spellEnd"/>
      <w:r w:rsidRPr="009F75F6">
        <w:t xml:space="preserve"> assessed by human endoscopists (</w:t>
      </w:r>
      <w:r w:rsidRPr="009F75F6">
        <w:rPr>
          <w:color w:val="0000FF"/>
        </w:rPr>
        <w:t>panel A</w:t>
      </w:r>
      <w:r w:rsidRPr="009F75F6">
        <w:t>) and the AI system (</w:t>
      </w:r>
      <w:r w:rsidRPr="009F75F6">
        <w:rPr>
          <w:color w:val="0000FF"/>
        </w:rPr>
        <w:t>panel B</w:t>
      </w:r>
      <w:r w:rsidRPr="009F75F6">
        <w:t xml:space="preserve">). Panel A </w:t>
      </w:r>
      <w:r>
        <w:t>shows</w:t>
      </w:r>
      <w:r w:rsidRPr="009F75F6">
        <w:t xml:space="preserve"> a </w:t>
      </w:r>
      <w:r>
        <w:t>strong association</w:t>
      </w:r>
      <w:r w:rsidRPr="009F75F6">
        <w:t xml:space="preserve"> </w:t>
      </w:r>
      <w:r>
        <w:t>with</w:t>
      </w:r>
      <w:r w:rsidRPr="009F75F6">
        <w:t xml:space="preserve"> </w:t>
      </w:r>
      <w:r>
        <w:t xml:space="preserve">risk of </w:t>
      </w:r>
      <w:r w:rsidRPr="009F75F6">
        <w:t xml:space="preserve">outcome </w:t>
      </w:r>
      <w:r>
        <w:t xml:space="preserve">for patient with </w:t>
      </w:r>
      <w:r w:rsidRPr="009F75F6">
        <w:t xml:space="preserve">activity (hazard ratio 4.59; 95% CI 1.88 - 11.2); panel B </w:t>
      </w:r>
      <w:r>
        <w:t xml:space="preserve">confirms </w:t>
      </w:r>
      <w:r w:rsidRPr="009F75F6">
        <w:t>how AI-</w:t>
      </w:r>
      <w:r>
        <w:t>assessed</w:t>
      </w:r>
      <w:r w:rsidRPr="009F75F6">
        <w:t xml:space="preserve"> endoscopic </w:t>
      </w:r>
      <w:r>
        <w:t xml:space="preserve">activity was similarly associated with the same outcomes </w:t>
      </w:r>
      <w:r w:rsidRPr="009F75F6">
        <w:t xml:space="preserve">(hazard ratio 4.05; 95% CI 1.71 - 9.57). </w:t>
      </w:r>
      <w:commentRangeStart w:id="3"/>
      <w:commentRangeEnd w:id="3"/>
      <w:r w:rsidRPr="007F0A70">
        <w:rPr>
          <w:rStyle w:val="CommentReference"/>
          <w:strike/>
        </w:rPr>
        <w:commentReference w:id="3"/>
      </w:r>
      <w:r w:rsidRPr="009F75F6">
        <w:t>The same analysis obtained with WLE-HD classifying remission/activity according to UCEIS yielded lower hazard ratios (3.64 95% CI 1.66 - 8.0</w:t>
      </w:r>
      <w:r>
        <w:t xml:space="preserve"> for human </w:t>
      </w:r>
      <w:proofErr w:type="gramStart"/>
      <w:r>
        <w:t>pathologists</w:t>
      </w:r>
      <w:r w:rsidRPr="009F75F6">
        <w:t>;</w:t>
      </w:r>
      <w:proofErr w:type="gramEnd"/>
      <w:r w:rsidRPr="009F75F6">
        <w:t xml:space="preserve"> 2.86 95% CI 1.37 - 5.97 </w:t>
      </w:r>
      <w:r>
        <w:t xml:space="preserve">for AI-assessed endoscopy </w:t>
      </w:r>
      <w:r w:rsidRPr="009F75F6">
        <w:t>(</w:t>
      </w:r>
      <w:r w:rsidRPr="009F75F6">
        <w:rPr>
          <w:color w:val="0000FF"/>
        </w:rPr>
        <w:t>Figure 3, panels D</w:t>
      </w:r>
      <w:r>
        <w:rPr>
          <w:color w:val="0000FF"/>
        </w:rPr>
        <w:t xml:space="preserve"> and</w:t>
      </w:r>
      <w:r w:rsidRPr="009F75F6">
        <w:rPr>
          <w:color w:val="0000FF"/>
        </w:rPr>
        <w:t xml:space="preserve"> E</w:t>
      </w:r>
      <w:r w:rsidRPr="009F75F6">
        <w:t>). Bootstrap comparison of the AUROCs for outcome prediction confirmed a</w:t>
      </w:r>
      <w:r>
        <w:t xml:space="preserve"> statistically</w:t>
      </w:r>
      <w:r w:rsidRPr="009F75F6">
        <w:t xml:space="preserve"> significant difference between endoscopist-assessed UCEIS (0.69) and </w:t>
      </w:r>
      <w:proofErr w:type="spellStart"/>
      <w:r w:rsidRPr="009F75F6">
        <w:t>PICaSSO</w:t>
      </w:r>
      <w:proofErr w:type="spellEnd"/>
      <w:r w:rsidRPr="009F75F6">
        <w:t xml:space="preserve"> (0.73), and between endoscopist-assessed UCEIS and AI-predicted </w:t>
      </w:r>
      <w:proofErr w:type="spellStart"/>
      <w:r w:rsidRPr="009F75F6">
        <w:t>PICaSSO</w:t>
      </w:r>
      <w:proofErr w:type="spellEnd"/>
      <w:r w:rsidRPr="009F75F6">
        <w:t xml:space="preserve"> (0.80). AI-</w:t>
      </w:r>
      <w:proofErr w:type="spellStart"/>
      <w:r w:rsidRPr="009F75F6">
        <w:t>PICaSSO</w:t>
      </w:r>
      <w:proofErr w:type="spellEnd"/>
      <w:r w:rsidRPr="009F75F6">
        <w:t xml:space="preserve"> was also numerically superior to AI-UCEIS (0.74) though the difference did not reach statistical significance. </w:t>
      </w:r>
      <w:r w:rsidRPr="009F75F6">
        <w:rPr>
          <w:color w:val="0000FF"/>
        </w:rPr>
        <w:t>Supplementary figure 1</w:t>
      </w:r>
      <w:r w:rsidRPr="009F75F6">
        <w:t xml:space="preserve">. </w:t>
      </w:r>
    </w:p>
    <w:p w14:paraId="3F3DACF1" w14:textId="77777777" w:rsidR="006B1592" w:rsidRPr="009F75F6" w:rsidRDefault="006B1592" w:rsidP="006B1592">
      <w:pPr>
        <w:spacing w:line="360" w:lineRule="auto"/>
        <w:jc w:val="both"/>
        <w:rPr>
          <w:b/>
        </w:rPr>
      </w:pPr>
    </w:p>
    <w:p w14:paraId="3C207929" w14:textId="77777777" w:rsidR="006B1592" w:rsidRPr="009F75F6" w:rsidRDefault="006B1592" w:rsidP="006B1592">
      <w:pPr>
        <w:spacing w:line="360" w:lineRule="auto"/>
        <w:jc w:val="both"/>
        <w:rPr>
          <w:b/>
        </w:rPr>
      </w:pPr>
      <w:r>
        <w:rPr>
          <w:b/>
        </w:rPr>
        <w:t>DISCUSSION</w:t>
      </w:r>
    </w:p>
    <w:p w14:paraId="44D4EB0B" w14:textId="77777777" w:rsidR="006B1592" w:rsidRPr="009F75F6" w:rsidRDefault="006B1592" w:rsidP="006B1592">
      <w:pPr>
        <w:spacing w:line="360" w:lineRule="auto"/>
        <w:jc w:val="both"/>
        <w:rPr>
          <w:color w:val="0563C1"/>
        </w:rPr>
      </w:pPr>
      <w:r w:rsidRPr="009F75F6">
        <w:t xml:space="preserve">The objective and reproducible evaluation of endoscopic activity is crucial to generalise assessment. VCE, through the </w:t>
      </w:r>
      <w:proofErr w:type="spellStart"/>
      <w:r w:rsidRPr="009F75F6">
        <w:t>PICaSSO</w:t>
      </w:r>
      <w:proofErr w:type="spellEnd"/>
      <w:r w:rsidRPr="009F75F6">
        <w:t xml:space="preserve"> score, has shown to bridge the discrepancy between </w:t>
      </w:r>
      <w:r w:rsidRPr="009F75F6">
        <w:lastRenderedPageBreak/>
        <w:t>traditional endoscopic and histologic evaluation, allowing the detection of subtle changes overlooked in conventional WL endoscopy,</w:t>
      </w:r>
      <w:r>
        <w:t>[21]</w:t>
      </w:r>
      <w:r w:rsidRPr="009F75F6">
        <w:t xml:space="preserve"> </w:t>
      </w:r>
      <w:r>
        <w:t xml:space="preserve">regardless of the VCE </w:t>
      </w:r>
      <w:r w:rsidRPr="009F75F6">
        <w:t>platform.</w:t>
      </w:r>
      <w:r>
        <w:t>[22]</w:t>
      </w:r>
      <w:r w:rsidDel="0016024B">
        <w:t xml:space="preserve"> </w:t>
      </w:r>
    </w:p>
    <w:p w14:paraId="3749D3F9" w14:textId="77777777" w:rsidR="006B1592" w:rsidRPr="009F75F6" w:rsidRDefault="006B1592" w:rsidP="006B1592">
      <w:pPr>
        <w:spacing w:line="360" w:lineRule="auto"/>
        <w:jc w:val="both"/>
      </w:pPr>
    </w:p>
    <w:p w14:paraId="2655BC2B" w14:textId="77777777" w:rsidR="006B1592" w:rsidRPr="009F75F6" w:rsidRDefault="006B1592" w:rsidP="006B1592">
      <w:pPr>
        <w:spacing w:line="360" w:lineRule="auto"/>
        <w:jc w:val="both"/>
      </w:pPr>
      <w:r w:rsidRPr="009F75F6">
        <w:t>We developed the first CAD system to evaluate endoscopic and histologic activity and remission and predict clinical specified outcomes through VCE, in addition to conventional WLE-HD, thus harnessing the potential of image enhancement technology. When applied to VCE videos, our system detected endoscopic inflammatory activity with excellent specificity (95%) and good sensitivity (79%). Consistently with the hypothesis that VCE improves optical diagnosis, the same model had slightly worse diagnostic performance with WLE-HD (specificity 87% and sensitivity 72%).</w:t>
      </w:r>
      <w:r w:rsidRPr="009F75F6">
        <w:rPr>
          <w:rFonts w:eastAsia="Arial Unicode MS"/>
        </w:rPr>
        <w:t xml:space="preserve"> The statistical comparison of the two AUROCs supports this difference (p=0.02), although caution is necessary since the performance of the two models (VCE and WLE-HD) is assessed with different scores and cut-offs (PICaSSO≤3 for VCE and UCEIS≤1 for WLE-HD). </w:t>
      </w:r>
      <w:r w:rsidRPr="009F75F6">
        <w:t xml:space="preserve">We chose not to use the Mayo endoscopic score (MES) as it is not fully validated, its ER definition includes 0 or 1, and, as several studies show, its correlation with histology is lower than that of </w:t>
      </w:r>
      <w:proofErr w:type="spellStart"/>
      <w:r w:rsidRPr="009F75F6">
        <w:t>PICaSSO</w:t>
      </w:r>
      <w:proofErr w:type="spellEnd"/>
      <w:r w:rsidRPr="009F75F6">
        <w:t xml:space="preserve"> and </w:t>
      </w:r>
      <w:proofErr w:type="gramStart"/>
      <w:r w:rsidRPr="009F75F6">
        <w:t>UCEIS.</w:t>
      </w:r>
      <w:r>
        <w:t>[</w:t>
      </w:r>
      <w:proofErr w:type="gramEnd"/>
      <w:r>
        <w:t>6,9]</w:t>
      </w:r>
    </w:p>
    <w:p w14:paraId="422086C0" w14:textId="77777777" w:rsidR="006B1592" w:rsidRPr="009F75F6" w:rsidRDefault="006B1592" w:rsidP="006B1592">
      <w:pPr>
        <w:spacing w:line="360" w:lineRule="auto"/>
        <w:jc w:val="both"/>
      </w:pPr>
    </w:p>
    <w:p w14:paraId="74DE5860" w14:textId="77777777" w:rsidR="006B1592" w:rsidRDefault="006B1592" w:rsidP="006B1592">
      <w:pPr>
        <w:spacing w:line="360" w:lineRule="auto"/>
        <w:jc w:val="both"/>
      </w:pPr>
      <w:r w:rsidRPr="009F75F6">
        <w:t xml:space="preserve">In real-time, our CAD can provide an initial assessment of inflammation when using WLE-HD and then support a more accurate evaluation after switching to VCE, which increases the contrast between healthy and inflamed tissue improving diagnostic performance and requiring only passive confirmation of inflammation or healing by the endoscopists. </w:t>
      </w:r>
      <w:r>
        <w:t>Trusting the AI-predicted endoscopic activity from VCE only 5% (10/202) of remission videos would be misclassified as activity and possibly overtreated. The chance of the opposite error, activity mistaken for remission, would be 21% (9/42 videos, from 8 patients), or 14% considering only HQ videos. Of the 8 patients at risk of undertreatment 3 suffered a disease flare during follow up.</w:t>
      </w:r>
      <w:r w:rsidRPr="009F75F6">
        <w:t xml:space="preserve"> </w:t>
      </w:r>
    </w:p>
    <w:p w14:paraId="10F158E8" w14:textId="77777777" w:rsidR="006B1592" w:rsidRDefault="006B1592" w:rsidP="006B1592">
      <w:pPr>
        <w:spacing w:line="360" w:lineRule="auto"/>
        <w:jc w:val="both"/>
      </w:pPr>
    </w:p>
    <w:p w14:paraId="15EC83D7" w14:textId="77777777" w:rsidR="006B1592" w:rsidRPr="009F75F6" w:rsidRDefault="006B1592" w:rsidP="006B1592">
      <w:pPr>
        <w:spacing w:line="360" w:lineRule="auto"/>
        <w:jc w:val="both"/>
      </w:pPr>
      <w:r>
        <w:t>I</w:t>
      </w:r>
      <w:r w:rsidRPr="009F75F6">
        <w:t xml:space="preserve">n the future, our system could successfully be implemented in both non-expert and expert clinical practice as well as clinical trials. When using the AI model to predict histology, the specificity remained strong (&gt;80%), suggesting that the inflammatory activity seen in endoscopy corresponds to that found in histology. On the contrary, sensitivity ranged between 66 and 74% depending on the score, supporting the common notion that some features of histological inflammation are not visible with endoscopy. However, </w:t>
      </w:r>
      <w:proofErr w:type="gramStart"/>
      <w:r w:rsidRPr="009F75F6">
        <w:t>overall</w:t>
      </w:r>
      <w:proofErr w:type="gramEnd"/>
      <w:r w:rsidRPr="009F75F6">
        <w:t xml:space="preserve"> the diagnostic accuracy in determining HR remained good and greater than 80%. The similar diagnostic performance of the CAD system in predicting histological activity with VCE and WLE-HD has different possible explanations. First and foremost, VCE improve</w:t>
      </w:r>
      <w:r>
        <w:t>s</w:t>
      </w:r>
      <w:r w:rsidRPr="009F75F6">
        <w:t xml:space="preserve"> the detection of inflammation in human endoscopists, but there is no guarantee that an algorithm derives its predictions from the same mucosal features humans use. Secondly, even if it did, the system </w:t>
      </w:r>
      <w:r w:rsidRPr="009F75F6">
        <w:lastRenderedPageBreak/>
        <w:t>might still detect subtle changes also in WLE-HD without the need for optical enhancement. The results show that inter-rater agreement between AI and human endoscopists was substantial for VCE and moderate for WLE-HD. Although different scores prevent a direct comparison, the results suggest that the assessment using VCE might be more reproducible.</w:t>
      </w:r>
    </w:p>
    <w:p w14:paraId="2D8A947E" w14:textId="77777777" w:rsidR="006B1592" w:rsidRPr="009F75F6" w:rsidRDefault="006B1592" w:rsidP="006B1592">
      <w:pPr>
        <w:spacing w:line="360" w:lineRule="auto"/>
        <w:jc w:val="both"/>
      </w:pPr>
    </w:p>
    <w:p w14:paraId="386F60E5" w14:textId="77777777" w:rsidR="006B1592" w:rsidRPr="009F75F6" w:rsidRDefault="006B1592" w:rsidP="006B1592">
      <w:pPr>
        <w:spacing w:line="360" w:lineRule="auto"/>
        <w:jc w:val="both"/>
      </w:pPr>
      <w:r w:rsidRPr="009F75F6">
        <w:t>P</w:t>
      </w:r>
      <w:r w:rsidRPr="009F75F6">
        <w:rPr>
          <w:rFonts w:eastAsia="Arial Unicode MS"/>
        </w:rPr>
        <w:t xml:space="preserve">rediction of prognosis represents an exciting further step in the development of computer tools. The hazard ratios of suffering an adverse clinical outcome in the endoscopic remission and activity groups identified by human </w:t>
      </w:r>
      <w:r>
        <w:rPr>
          <w:rFonts w:eastAsia="Arial Unicode MS"/>
        </w:rPr>
        <w:t>and VCE-AI</w:t>
      </w:r>
      <w:r w:rsidRPr="009F75F6">
        <w:rPr>
          <w:rFonts w:eastAsia="Arial Unicode MS"/>
        </w:rPr>
        <w:t xml:space="preserve"> point to an accurate </w:t>
      </w:r>
      <w:r>
        <w:rPr>
          <w:rFonts w:eastAsia="Arial Unicode MS"/>
        </w:rPr>
        <w:t>stratification of risk of flare</w:t>
      </w:r>
      <w:r w:rsidRPr="009F75F6">
        <w:rPr>
          <w:rFonts w:eastAsia="Arial Unicode MS"/>
        </w:rPr>
        <w:t xml:space="preserve">. </w:t>
      </w:r>
      <w:r>
        <w:rPr>
          <w:rFonts w:eastAsia="Arial Unicode MS"/>
        </w:rPr>
        <w:t>T</w:t>
      </w:r>
      <w:r w:rsidRPr="009F75F6">
        <w:rPr>
          <w:rFonts w:eastAsia="Arial Unicode MS"/>
        </w:rPr>
        <w:t xml:space="preserve">he same </w:t>
      </w:r>
      <w:r>
        <w:rPr>
          <w:rFonts w:eastAsia="Arial Unicode MS"/>
        </w:rPr>
        <w:t>classification</w:t>
      </w:r>
      <w:r w:rsidRPr="009F75F6">
        <w:rPr>
          <w:rFonts w:eastAsia="Arial Unicode MS"/>
        </w:rPr>
        <w:t xml:space="preserve"> using WLE-HD/UCEIS </w:t>
      </w:r>
      <w:r>
        <w:rPr>
          <w:rFonts w:eastAsia="Arial Unicode MS"/>
        </w:rPr>
        <w:t xml:space="preserve">was slightly </w:t>
      </w:r>
      <w:r w:rsidRPr="009F75F6">
        <w:rPr>
          <w:rFonts w:eastAsia="Arial Unicode MS"/>
        </w:rPr>
        <w:t>less robust</w:t>
      </w:r>
      <w:r>
        <w:rPr>
          <w:rFonts w:eastAsia="Arial Unicode MS"/>
        </w:rPr>
        <w:t xml:space="preserve"> though</w:t>
      </w:r>
      <w:r w:rsidRPr="009F75F6">
        <w:rPr>
          <w:rFonts w:eastAsia="Arial Unicode MS"/>
        </w:rPr>
        <w:t xml:space="preserve"> caution is necessary </w:t>
      </w:r>
      <w:r>
        <w:rPr>
          <w:rFonts w:eastAsia="Arial Unicode MS"/>
        </w:rPr>
        <w:t>as the</w:t>
      </w:r>
      <w:r w:rsidRPr="009F75F6">
        <w:rPr>
          <w:rFonts w:eastAsia="Arial Unicode MS"/>
        </w:rPr>
        <w:t xml:space="preserve"> definitions of endoscopic remission (UCEIS≤1 and PICaSSO≤3) are different. </w:t>
      </w:r>
      <w:r>
        <w:rPr>
          <w:rFonts w:eastAsia="Arial Unicode MS"/>
        </w:rPr>
        <w:t>Altogether</w:t>
      </w:r>
      <w:r w:rsidRPr="009F75F6">
        <w:rPr>
          <w:rFonts w:eastAsia="Arial Unicode MS"/>
        </w:rPr>
        <w:t>, we expect the accuracy of this type of prediction to increase as larger data sets become available and the system is further refined.</w:t>
      </w:r>
    </w:p>
    <w:p w14:paraId="23E4F0BC" w14:textId="77777777" w:rsidR="006B1592" w:rsidRPr="009F75F6" w:rsidRDefault="006B1592" w:rsidP="006B1592">
      <w:pPr>
        <w:spacing w:line="360" w:lineRule="auto"/>
        <w:jc w:val="both"/>
      </w:pPr>
    </w:p>
    <w:p w14:paraId="20F410F9" w14:textId="77777777" w:rsidR="006B1592" w:rsidRPr="009F75F6" w:rsidRDefault="006B1592" w:rsidP="006B1592">
      <w:pPr>
        <w:spacing w:line="360" w:lineRule="auto"/>
        <w:jc w:val="both"/>
      </w:pPr>
      <w:r w:rsidRPr="009F75F6">
        <w:t xml:space="preserve">Our work has several strengths. Firstly, to the best of our knowledge, it is the first AI model developed for the assessment of colonoscopy videos based on an optical enhancement system </w:t>
      </w:r>
      <w:proofErr w:type="gramStart"/>
      <w:r w:rsidRPr="009F75F6">
        <w:t>and also</w:t>
      </w:r>
      <w:proofErr w:type="gramEnd"/>
      <w:r w:rsidRPr="009F75F6">
        <w:t xml:space="preserve"> using several endoscopic and histological scores. The robustness of the dataset is another important factor. Because the </w:t>
      </w:r>
      <w:proofErr w:type="spellStart"/>
      <w:r w:rsidRPr="009F75F6">
        <w:t>PICaSSO</w:t>
      </w:r>
      <w:proofErr w:type="spellEnd"/>
      <w:r w:rsidRPr="009F75F6">
        <w:t xml:space="preserve"> study aimed to stress the association between endoscopy and histology, biopsies were matched to the very same areas where the video were </w:t>
      </w:r>
      <w:proofErr w:type="gramStart"/>
      <w:r w:rsidRPr="009F75F6">
        <w:t>recorded</w:t>
      </w:r>
      <w:proofErr w:type="gramEnd"/>
      <w:r w:rsidRPr="009F75F6">
        <w:t xml:space="preserve"> and endoscopic scores derived. This apparently simple shrewdness is seldom found in other works and reinforces our observation. Furthermore, our cohort of patients was prospectively enrolled, avoiding possible selection or retrieval bias that could have occurred in other </w:t>
      </w:r>
      <w:proofErr w:type="gramStart"/>
      <w:r w:rsidRPr="009F75F6">
        <w:t>studies.</w:t>
      </w:r>
      <w:r>
        <w:t>[</w:t>
      </w:r>
      <w:proofErr w:type="gramEnd"/>
      <w:r>
        <w:t>14,23]</w:t>
      </w:r>
      <w:r w:rsidRPr="009F75F6">
        <w:t xml:space="preserve"> </w:t>
      </w:r>
    </w:p>
    <w:p w14:paraId="4E3BEE88" w14:textId="77777777" w:rsidR="006B1592" w:rsidRPr="009F75F6" w:rsidRDefault="006B1592" w:rsidP="006B1592">
      <w:pPr>
        <w:spacing w:line="360" w:lineRule="auto"/>
        <w:jc w:val="both"/>
      </w:pPr>
    </w:p>
    <w:p w14:paraId="6C3ABB95" w14:textId="77777777" w:rsidR="006B1592" w:rsidRPr="009F75F6" w:rsidRDefault="006B1592" w:rsidP="006B1592">
      <w:pPr>
        <w:spacing w:line="360" w:lineRule="auto"/>
        <w:jc w:val="both"/>
      </w:pPr>
      <w:r w:rsidRPr="009F75F6">
        <w:t xml:space="preserve">Secondly, and important for clinical practice, our AI model is designed to assess whole videos, considered the state-of-the-art approach, rather than single still frames. Although videos are made of frames, the endoscopist’s assessment remains based on the entire procedure. To resemble human </w:t>
      </w:r>
      <w:proofErr w:type="gramStart"/>
      <w:r w:rsidRPr="009F75F6">
        <w:t>judgement</w:t>
      </w:r>
      <w:proofErr w:type="gramEnd"/>
      <w:r w:rsidRPr="009F75F6">
        <w:t xml:space="preserve"> we designed our system to detect the most relevant features of the video and ignore frames with milder signs of activity, no signs of disease, or poor image quality, in order to provide a unique result. This approach might sa</w:t>
      </w:r>
      <w:r w:rsidRPr="009F75F6">
        <w:rPr>
          <w:color w:val="2E2E2E"/>
        </w:rPr>
        <w:t xml:space="preserve">crifice some diagnostics accuracy, as compared to others, notably the work of </w:t>
      </w:r>
      <w:proofErr w:type="spellStart"/>
      <w:r w:rsidRPr="009F75F6">
        <w:rPr>
          <w:color w:val="2E2E2E"/>
        </w:rPr>
        <w:t>Takenaka</w:t>
      </w:r>
      <w:proofErr w:type="spellEnd"/>
      <w:r w:rsidRPr="009F75F6">
        <w:rPr>
          <w:color w:val="2E2E2E"/>
        </w:rPr>
        <w:t xml:space="preserve"> </w:t>
      </w:r>
      <w:proofErr w:type="gramStart"/>
      <w:r w:rsidRPr="009F75F6">
        <w:rPr>
          <w:color w:val="2E2E2E"/>
        </w:rPr>
        <w:t>et al.</w:t>
      </w:r>
      <w:r>
        <w:rPr>
          <w:color w:val="2E2E2E"/>
        </w:rPr>
        <w:t>[</w:t>
      </w:r>
      <w:proofErr w:type="gramEnd"/>
      <w:r>
        <w:rPr>
          <w:color w:val="2E2E2E"/>
        </w:rPr>
        <w:t>14]</w:t>
      </w:r>
      <w:r w:rsidRPr="009F75F6">
        <w:rPr>
          <w:color w:val="2E2E2E"/>
        </w:rPr>
        <w:t xml:space="preserve"> but allows a practical use more similar to real-life clinical observation</w:t>
      </w:r>
      <w:r>
        <w:rPr>
          <w:color w:val="2E2E2E"/>
        </w:rPr>
        <w:t xml:space="preserve"> while </w:t>
      </w:r>
      <w:r>
        <w:rPr>
          <w:color w:val="2E2E2E"/>
          <w:lang w:val="en-US"/>
        </w:rPr>
        <w:t>avoids the discontinuity and possible selection bias of</w:t>
      </w:r>
      <w:r w:rsidRPr="009F75F6">
        <w:t xml:space="preserve"> assessing selected pictures.</w:t>
      </w:r>
      <w:r>
        <w:t xml:space="preserve"> </w:t>
      </w:r>
      <w:r>
        <w:rPr>
          <w:lang w:val="en-US"/>
        </w:rPr>
        <w:t xml:space="preserve">Moreover, the </w:t>
      </w:r>
      <w:r>
        <w:rPr>
          <w:lang w:val="en-US"/>
        </w:rPr>
        <w:pgNum/>
      </w:r>
      <w:proofErr w:type="spellStart"/>
      <w:r>
        <w:rPr>
          <w:lang w:val="en-US"/>
        </w:rPr>
        <w:t>omputerized</w:t>
      </w:r>
      <w:proofErr w:type="spellEnd"/>
      <w:r>
        <w:rPr>
          <w:lang w:val="en-US"/>
        </w:rPr>
        <w:t xml:space="preserve"> analysis can take place in real time (see example videos) or later, on request, providing a simple and immediately available result to the clinician. Because the video interface shows which areas are identified as inflamed, this ensures the results remain interpretable, a feature often missing in “black box” AI systems.</w:t>
      </w:r>
    </w:p>
    <w:p w14:paraId="243B3DB7" w14:textId="77777777" w:rsidR="006B1592" w:rsidRPr="009F75F6" w:rsidRDefault="006B1592" w:rsidP="006B1592">
      <w:pPr>
        <w:spacing w:line="360" w:lineRule="auto"/>
        <w:jc w:val="both"/>
      </w:pPr>
    </w:p>
    <w:p w14:paraId="0FBB4F41" w14:textId="77777777" w:rsidR="006B1592" w:rsidRPr="009F75F6" w:rsidRDefault="006B1592" w:rsidP="006B1592">
      <w:pPr>
        <w:spacing w:line="360" w:lineRule="auto"/>
        <w:jc w:val="both"/>
      </w:pPr>
      <w:r w:rsidRPr="009F75F6">
        <w:lastRenderedPageBreak/>
        <w:t xml:space="preserve">Thirdly, overfitting is a major concern in AI development. An unsupervised, or loosely supervised, machine-learning model trained with too homogenous data might underperform when applied to a different setting. This happens because the AI learns from associations that are relevant in a training setting but may result from which </w:t>
      </w:r>
      <w:r>
        <w:t xml:space="preserve">and how </w:t>
      </w:r>
      <w:r w:rsidRPr="009F75F6">
        <w:t>data are presented (</w:t>
      </w:r>
      <w:proofErr w:type="spellStart"/>
      <w:r w:rsidRPr="009F75F6">
        <w:t>ie</w:t>
      </w:r>
      <w:proofErr w:type="spellEnd"/>
      <w:r w:rsidRPr="009F75F6">
        <w:t xml:space="preserve">. if dye is only used in quiescent patients, the algorithm might predict remission from presence of dye rather than </w:t>
      </w:r>
      <w:r>
        <w:t xml:space="preserve">the </w:t>
      </w:r>
      <w:r w:rsidRPr="009F75F6">
        <w:t xml:space="preserve">mucosa). This applies also to aspects such as video capture, </w:t>
      </w:r>
      <w:proofErr w:type="gramStart"/>
      <w:r w:rsidRPr="009F75F6">
        <w:t>lighting</w:t>
      </w:r>
      <w:proofErr w:type="gramEnd"/>
      <w:r w:rsidRPr="009F75F6">
        <w:t xml:space="preserve"> and recording. </w:t>
      </w:r>
      <w:r>
        <w:t>The</w:t>
      </w:r>
      <w:r w:rsidRPr="009F75F6">
        <w:t xml:space="preserve"> multicentre source of data (11 centres, in 6 countries) each with differences in population and recording equipment, is a major strength and reduces the risk of overfitting.</w:t>
      </w:r>
    </w:p>
    <w:p w14:paraId="1FDC25D1" w14:textId="77777777" w:rsidR="006B1592" w:rsidRPr="009F75F6" w:rsidRDefault="006B1592" w:rsidP="006B1592">
      <w:pPr>
        <w:spacing w:line="360" w:lineRule="auto"/>
        <w:jc w:val="both"/>
      </w:pPr>
    </w:p>
    <w:p w14:paraId="5BA3750D" w14:textId="77777777" w:rsidR="006B1592" w:rsidRPr="009F75F6" w:rsidRDefault="006B1592" w:rsidP="006B1592">
      <w:pPr>
        <w:spacing w:line="360" w:lineRule="auto"/>
        <w:jc w:val="both"/>
        <w:rPr>
          <w:highlight w:val="yellow"/>
        </w:rPr>
      </w:pPr>
      <w:r w:rsidRPr="009F75F6">
        <w:t xml:space="preserve">Our work has some potential limitations. First, all procedures were carried out in tertiary centres by endoscopists experienced in IBD optical diagnosis, potentially less representative of ordinary care settings. Secondly, </w:t>
      </w:r>
      <w:r>
        <w:rPr>
          <w:lang w:val="en-US"/>
        </w:rPr>
        <w:t xml:space="preserve">the dataset was limited to the rectum and the sigmoid. Nevertheless, given the distribution of UC, the absence of more proximal segments is unlikely to impact the model </w:t>
      </w:r>
      <w:commentRangeStart w:id="4"/>
      <w:r>
        <w:rPr>
          <w:lang w:val="en-US"/>
        </w:rPr>
        <w:t>functioning</w:t>
      </w:r>
      <w:commentRangeEnd w:id="4"/>
      <w:r>
        <w:rPr>
          <w:rStyle w:val="CommentReference"/>
        </w:rPr>
        <w:commentReference w:id="4"/>
      </w:r>
      <w:r>
        <w:rPr>
          <w:lang w:val="en-US"/>
        </w:rPr>
        <w:t>. [24]</w:t>
      </w:r>
      <w:r>
        <w:t xml:space="preserve"> V</w:t>
      </w:r>
      <w:r w:rsidRPr="009F75F6">
        <w:t xml:space="preserve">ideos were of different </w:t>
      </w:r>
      <w:proofErr w:type="gramStart"/>
      <w:r w:rsidRPr="009F75F6">
        <w:t>quality</w:t>
      </w:r>
      <w:proofErr w:type="gramEnd"/>
      <w:r w:rsidRPr="009F75F6">
        <w:t xml:space="preserve"> </w:t>
      </w:r>
      <w:r>
        <w:t xml:space="preserve">and this </w:t>
      </w:r>
      <w:r w:rsidRPr="009F75F6">
        <w:t>may have affected the diagnostic performance</w:t>
      </w:r>
      <w:r>
        <w:t>, u</w:t>
      </w:r>
      <w:r w:rsidRPr="009F75F6">
        <w:t xml:space="preserve">nsurprisingly, </w:t>
      </w:r>
      <w:r>
        <w:t xml:space="preserve">in fact </w:t>
      </w:r>
      <w:r w:rsidRPr="009F75F6">
        <w:t>after removing lower quality</w:t>
      </w:r>
      <w:r>
        <w:t xml:space="preserve"> clips</w:t>
      </w:r>
      <w:r w:rsidRPr="009F75F6">
        <w:t xml:space="preserve">, the model performance increased. </w:t>
      </w:r>
      <w:r>
        <w:t>In addition, the system has not yet been assessed on responsiveness to treatment. Finally</w:t>
      </w:r>
      <w:r w:rsidRPr="009F75F6">
        <w:t xml:space="preserve">, our model was developed and tested with videos recorded only with the </w:t>
      </w:r>
      <w:proofErr w:type="spellStart"/>
      <w:r w:rsidRPr="009F75F6">
        <w:t>iScan</w:t>
      </w:r>
      <w:proofErr w:type="spellEnd"/>
      <w:r w:rsidRPr="009F75F6">
        <w:t xml:space="preserve"> (Pentax, Tokyo, Japan) platform. We recently reported that </w:t>
      </w:r>
      <w:proofErr w:type="spellStart"/>
      <w:r w:rsidRPr="009F75F6">
        <w:t>PICaSSO</w:t>
      </w:r>
      <w:proofErr w:type="spellEnd"/>
      <w:r w:rsidRPr="009F75F6">
        <w:t xml:space="preserve"> is valid for other optical enhancement platforms.</w:t>
      </w:r>
      <w:r>
        <w:t>[22]</w:t>
      </w:r>
      <w:r w:rsidRPr="009F75F6">
        <w:t xml:space="preserve"> Nevertheless, a prospective multicentre study to validate the system on other VCE platforms is planned.</w:t>
      </w:r>
    </w:p>
    <w:p w14:paraId="28CE616B" w14:textId="77777777" w:rsidR="006B1592" w:rsidRPr="009F75F6" w:rsidRDefault="006B1592" w:rsidP="006B1592">
      <w:pPr>
        <w:spacing w:line="360" w:lineRule="auto"/>
        <w:jc w:val="both"/>
      </w:pPr>
    </w:p>
    <w:p w14:paraId="107C1CB7" w14:textId="77777777" w:rsidR="006B1592" w:rsidRPr="009F75F6" w:rsidRDefault="006B1592" w:rsidP="006B1592">
      <w:pPr>
        <w:spacing w:line="360" w:lineRule="auto"/>
        <w:jc w:val="both"/>
      </w:pPr>
      <w:r w:rsidRPr="009F75F6">
        <w:t xml:space="preserve">In conclusion, we developed and tested an AI to distinguish endoscopic and histologic activity from remission of UC in colonoscopy videos of both WLE-HD and VCE. The CAD system developed on VCE videos showed a greater diagnostic performance for assessment of endoscopic activity compared to the same system based on WLE-HD videos. This tool has multiple potential applications, such as standardising the assessment of disease activity in daily practice, providing a central readout for clinical trials, supporting less experienced endoscopists, and guiding physicians to target biopsies to most affected areas. Building on our previous work on computerised assessment of </w:t>
      </w:r>
      <w:r>
        <w:t>UC histopathology [25]</w:t>
      </w:r>
      <w:r w:rsidRPr="009F75F6">
        <w:t xml:space="preserve">, we plan to integrate the two tools and further validate them in a large multicentre study. </w:t>
      </w:r>
    </w:p>
    <w:p w14:paraId="04665FF7" w14:textId="77777777" w:rsidR="006B1592" w:rsidRPr="009F75F6" w:rsidRDefault="006B1592" w:rsidP="006B1592">
      <w:pPr>
        <w:spacing w:line="360" w:lineRule="auto"/>
        <w:jc w:val="both"/>
        <w:rPr>
          <w:b/>
        </w:rPr>
      </w:pPr>
    </w:p>
    <w:p w14:paraId="667C4525" w14:textId="77777777" w:rsidR="006B1592" w:rsidRPr="009F75F6" w:rsidRDefault="006B1592" w:rsidP="006B1592">
      <w:pPr>
        <w:spacing w:line="360" w:lineRule="auto"/>
        <w:jc w:val="both"/>
        <w:rPr>
          <w:b/>
        </w:rPr>
      </w:pPr>
    </w:p>
    <w:p w14:paraId="4875820B" w14:textId="77777777" w:rsidR="006B1592" w:rsidRPr="009F75F6" w:rsidRDefault="006B1592" w:rsidP="006B1592">
      <w:pPr>
        <w:spacing w:line="360" w:lineRule="auto"/>
        <w:jc w:val="both"/>
        <w:rPr>
          <w:b/>
        </w:rPr>
      </w:pPr>
    </w:p>
    <w:p w14:paraId="5F0AC586"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13" w:history="1">
        <w:r w:rsidRPr="007F0A70">
          <w:rPr>
            <w:rFonts w:eastAsia="Times New Roman"/>
            <w:color w:val="000000"/>
            <w:lang w:val="de-DE"/>
          </w:rPr>
          <w:t>[1]</w:t>
        </w:r>
        <w:r w:rsidRPr="007F0A70">
          <w:rPr>
            <w:rFonts w:eastAsia="Times New Roman"/>
            <w:color w:val="000000"/>
            <w:lang w:val="de-DE"/>
          </w:rPr>
          <w:tab/>
        </w:r>
        <w:proofErr w:type="spellStart"/>
        <w:r w:rsidRPr="007F0A70">
          <w:rPr>
            <w:rFonts w:eastAsia="Times New Roman"/>
            <w:color w:val="000000"/>
            <w:lang w:val="de-DE"/>
          </w:rPr>
          <w:t>Ungaro</w:t>
        </w:r>
        <w:proofErr w:type="spellEnd"/>
        <w:r w:rsidRPr="007F0A70">
          <w:rPr>
            <w:rFonts w:eastAsia="Times New Roman"/>
            <w:color w:val="000000"/>
            <w:lang w:val="de-DE"/>
          </w:rPr>
          <w:t xml:space="preserve"> R, </w:t>
        </w:r>
        <w:proofErr w:type="spellStart"/>
        <w:r w:rsidRPr="007F0A70">
          <w:rPr>
            <w:rFonts w:eastAsia="Times New Roman"/>
            <w:color w:val="000000"/>
            <w:lang w:val="de-DE"/>
          </w:rPr>
          <w:t>Mehandru</w:t>
        </w:r>
        <w:proofErr w:type="spellEnd"/>
        <w:r w:rsidRPr="007F0A70">
          <w:rPr>
            <w:rFonts w:eastAsia="Times New Roman"/>
            <w:color w:val="000000"/>
            <w:lang w:val="de-DE"/>
          </w:rPr>
          <w:t xml:space="preserve"> S, Allen PB, et al. </w:t>
        </w:r>
        <w:r w:rsidRPr="00B6022D">
          <w:rPr>
            <w:rFonts w:eastAsia="Times New Roman"/>
            <w:color w:val="000000"/>
          </w:rPr>
          <w:t>Ulcerative colitis. The Lancet 2017; 389: 1756–1770. doi:10.1016/S0140-6736(16)32126-2</w:t>
        </w:r>
      </w:hyperlink>
    </w:p>
    <w:p w14:paraId="3B48843D"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14" w:history="1">
        <w:r w:rsidRPr="00B6022D">
          <w:rPr>
            <w:rFonts w:eastAsia="Times New Roman"/>
            <w:color w:val="000000"/>
          </w:rPr>
          <w:t>[2]</w:t>
        </w:r>
        <w:r w:rsidRPr="00B6022D">
          <w:rPr>
            <w:rFonts w:eastAsia="Times New Roman"/>
            <w:color w:val="000000"/>
          </w:rPr>
          <w:tab/>
          <w:t xml:space="preserve">Turner D, </w:t>
        </w:r>
        <w:proofErr w:type="spellStart"/>
        <w:r w:rsidRPr="00B6022D">
          <w:rPr>
            <w:rFonts w:eastAsia="Times New Roman"/>
            <w:color w:val="000000"/>
          </w:rPr>
          <w:t>Ricciuto</w:t>
        </w:r>
        <w:proofErr w:type="spellEnd"/>
        <w:r w:rsidRPr="00B6022D">
          <w:rPr>
            <w:rFonts w:eastAsia="Times New Roman"/>
            <w:color w:val="000000"/>
          </w:rPr>
          <w:t xml:space="preserve"> A, Lewis A, et al. STRIDE-II: An Update on the Selecting Therapeutic Targets in Inflammatory Bowel Disease (STRIDE) Initiative of the International Organization </w:t>
        </w:r>
        <w:r w:rsidRPr="00B6022D">
          <w:rPr>
            <w:rFonts w:eastAsia="Times New Roman"/>
            <w:color w:val="000000"/>
          </w:rPr>
          <w:lastRenderedPageBreak/>
          <w:t xml:space="preserve">for the Study of IBD (IOIBD): Determining Therapeutic Goals for Treat-to-Target strategies in IBD. Gastroenterology 2021; 160: 1570–1583. </w:t>
        </w:r>
        <w:proofErr w:type="gramStart"/>
        <w:r w:rsidRPr="00B6022D">
          <w:rPr>
            <w:rFonts w:eastAsia="Times New Roman"/>
            <w:color w:val="000000"/>
          </w:rPr>
          <w:t>doi:10.1053/j.gastro</w:t>
        </w:r>
        <w:proofErr w:type="gramEnd"/>
        <w:r w:rsidRPr="00B6022D">
          <w:rPr>
            <w:rFonts w:eastAsia="Times New Roman"/>
            <w:color w:val="000000"/>
          </w:rPr>
          <w:t>.2020.12.031</w:t>
        </w:r>
      </w:hyperlink>
    </w:p>
    <w:p w14:paraId="6805FAD7"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15" w:history="1">
        <w:r w:rsidRPr="00B6022D">
          <w:rPr>
            <w:rFonts w:eastAsia="Times New Roman"/>
            <w:color w:val="000000"/>
          </w:rPr>
          <w:t>[3]</w:t>
        </w:r>
        <w:r w:rsidRPr="00B6022D">
          <w:rPr>
            <w:rFonts w:eastAsia="Times New Roman"/>
            <w:color w:val="000000"/>
          </w:rPr>
          <w:tab/>
          <w:t xml:space="preserve">Yoon H, </w:t>
        </w:r>
        <w:proofErr w:type="spellStart"/>
        <w:r w:rsidRPr="00B6022D">
          <w:rPr>
            <w:rFonts w:eastAsia="Times New Roman"/>
            <w:color w:val="000000"/>
          </w:rPr>
          <w:t>Jangi</w:t>
        </w:r>
        <w:proofErr w:type="spellEnd"/>
        <w:r w:rsidRPr="00B6022D">
          <w:rPr>
            <w:rFonts w:eastAsia="Times New Roman"/>
            <w:color w:val="000000"/>
          </w:rPr>
          <w:t xml:space="preserve"> S, </w:t>
        </w:r>
        <w:proofErr w:type="spellStart"/>
        <w:r w:rsidRPr="00B6022D">
          <w:rPr>
            <w:rFonts w:eastAsia="Times New Roman"/>
            <w:color w:val="000000"/>
          </w:rPr>
          <w:t>Dulai</w:t>
        </w:r>
        <w:proofErr w:type="spellEnd"/>
        <w:r w:rsidRPr="00B6022D">
          <w:rPr>
            <w:rFonts w:eastAsia="Times New Roman"/>
            <w:color w:val="000000"/>
          </w:rPr>
          <w:t xml:space="preserve"> PS, et al. Incremental Benefit of Achieving Endoscopic and Histologic Remission in Patients </w:t>
        </w:r>
        <w:proofErr w:type="gramStart"/>
        <w:r w:rsidRPr="00B6022D">
          <w:rPr>
            <w:rFonts w:eastAsia="Times New Roman"/>
            <w:color w:val="000000"/>
          </w:rPr>
          <w:t>With</w:t>
        </w:r>
        <w:proofErr w:type="gramEnd"/>
        <w:r w:rsidRPr="00B6022D">
          <w:rPr>
            <w:rFonts w:eastAsia="Times New Roman"/>
            <w:color w:val="000000"/>
          </w:rPr>
          <w:t xml:space="preserve"> Ulcerative Colitis: A Systematic Review and Meta-Analysis. Gastroenterology 2020; 159: 1262-1275.e7. </w:t>
        </w:r>
        <w:proofErr w:type="gramStart"/>
        <w:r w:rsidRPr="00B6022D">
          <w:rPr>
            <w:rFonts w:eastAsia="Times New Roman"/>
            <w:color w:val="000000"/>
          </w:rPr>
          <w:t>doi:10.1053/j.gastro</w:t>
        </w:r>
        <w:proofErr w:type="gramEnd"/>
        <w:r w:rsidRPr="00B6022D">
          <w:rPr>
            <w:rFonts w:eastAsia="Times New Roman"/>
            <w:color w:val="000000"/>
          </w:rPr>
          <w:t>.2020.06.043</w:t>
        </w:r>
      </w:hyperlink>
    </w:p>
    <w:p w14:paraId="4874EC69"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16" w:history="1">
        <w:r w:rsidRPr="007F0A70">
          <w:rPr>
            <w:rFonts w:eastAsia="Times New Roman"/>
            <w:color w:val="000000"/>
          </w:rPr>
          <w:t>[4]</w:t>
        </w:r>
        <w:r w:rsidRPr="007F0A70">
          <w:rPr>
            <w:rFonts w:eastAsia="Times New Roman"/>
            <w:color w:val="000000"/>
          </w:rPr>
          <w:tab/>
          <w:t xml:space="preserve">Schroeder KW, Tremaine WJ, </w:t>
        </w:r>
        <w:proofErr w:type="spellStart"/>
        <w:r w:rsidRPr="007F0A70">
          <w:rPr>
            <w:rFonts w:eastAsia="Times New Roman"/>
            <w:color w:val="000000"/>
          </w:rPr>
          <w:t>Ilstrup</w:t>
        </w:r>
        <w:proofErr w:type="spellEnd"/>
        <w:r w:rsidRPr="007F0A70">
          <w:rPr>
            <w:rFonts w:eastAsia="Times New Roman"/>
            <w:color w:val="000000"/>
          </w:rPr>
          <w:t xml:space="preserve"> DM. </w:t>
        </w:r>
        <w:r w:rsidRPr="00B6022D">
          <w:rPr>
            <w:rFonts w:eastAsia="Times New Roman"/>
            <w:color w:val="000000"/>
          </w:rPr>
          <w:t xml:space="preserve">Coated oral 5-aminosalicylic acid therapy for mildly to moderately active ulcerative colitis. A randomized study. N </w:t>
        </w:r>
        <w:proofErr w:type="spellStart"/>
        <w:r w:rsidRPr="00B6022D">
          <w:rPr>
            <w:rFonts w:eastAsia="Times New Roman"/>
            <w:color w:val="000000"/>
          </w:rPr>
          <w:t>Engl</w:t>
        </w:r>
        <w:proofErr w:type="spellEnd"/>
        <w:r w:rsidRPr="00B6022D">
          <w:rPr>
            <w:rFonts w:eastAsia="Times New Roman"/>
            <w:color w:val="000000"/>
          </w:rPr>
          <w:t xml:space="preserve"> J Med 1987; 317: 1625–1629. doi:10.1056/NEJM198712243172603</w:t>
        </w:r>
      </w:hyperlink>
    </w:p>
    <w:p w14:paraId="489E5DF9" w14:textId="77777777" w:rsidR="006B1592" w:rsidRPr="007F0A70" w:rsidRDefault="006B1592" w:rsidP="006B1592">
      <w:pPr>
        <w:spacing w:line="360" w:lineRule="auto"/>
        <w:ind w:hanging="504"/>
        <w:rPr>
          <w:rFonts w:ascii="Times New Roman" w:eastAsia="Times New Roman" w:hAnsi="Times New Roman" w:cs="Times New Roman"/>
          <w:sz w:val="24"/>
          <w:szCs w:val="24"/>
          <w:lang w:val="fr-FR"/>
        </w:rPr>
      </w:pPr>
      <w:hyperlink r:id="rId17" w:history="1">
        <w:r w:rsidRPr="00B6022D">
          <w:rPr>
            <w:rFonts w:eastAsia="Times New Roman"/>
            <w:color w:val="000000"/>
          </w:rPr>
          <w:t>[5]</w:t>
        </w:r>
        <w:r w:rsidRPr="00B6022D">
          <w:rPr>
            <w:rFonts w:eastAsia="Times New Roman"/>
            <w:color w:val="000000"/>
          </w:rPr>
          <w:tab/>
          <w:t xml:space="preserve">Travis SPL, Schnell D, </w:t>
        </w:r>
        <w:proofErr w:type="spellStart"/>
        <w:r w:rsidRPr="00B6022D">
          <w:rPr>
            <w:rFonts w:eastAsia="Times New Roman"/>
            <w:color w:val="000000"/>
          </w:rPr>
          <w:t>Krzeski</w:t>
        </w:r>
        <w:proofErr w:type="spellEnd"/>
        <w:r w:rsidRPr="00B6022D">
          <w:rPr>
            <w:rFonts w:eastAsia="Times New Roman"/>
            <w:color w:val="000000"/>
          </w:rPr>
          <w:t xml:space="preserve"> P, et al. Developing an instrument to assess the endoscopic severity of ulcerative colitis: the Ulcerative Colitis Endoscopic Index of Severity (UCEIS). </w:t>
        </w:r>
        <w:r w:rsidRPr="007F0A70">
          <w:rPr>
            <w:rFonts w:eastAsia="Times New Roman"/>
            <w:color w:val="000000"/>
            <w:lang w:val="fr-FR"/>
          </w:rPr>
          <w:t xml:space="preserve">Gut </w:t>
        </w:r>
        <w:proofErr w:type="gramStart"/>
        <w:r w:rsidRPr="007F0A70">
          <w:rPr>
            <w:rFonts w:eastAsia="Times New Roman"/>
            <w:color w:val="000000"/>
            <w:lang w:val="fr-FR"/>
          </w:rPr>
          <w:t>2012;</w:t>
        </w:r>
        <w:proofErr w:type="gramEnd"/>
        <w:r w:rsidRPr="007F0A70">
          <w:rPr>
            <w:rFonts w:eastAsia="Times New Roman"/>
            <w:color w:val="000000"/>
            <w:lang w:val="fr-FR"/>
          </w:rPr>
          <w:t xml:space="preserve"> 61: 535–542. </w:t>
        </w:r>
        <w:proofErr w:type="gramStart"/>
        <w:r w:rsidRPr="007F0A70">
          <w:rPr>
            <w:rFonts w:eastAsia="Times New Roman"/>
            <w:color w:val="000000"/>
            <w:lang w:val="fr-FR"/>
          </w:rPr>
          <w:t>doi:</w:t>
        </w:r>
        <w:proofErr w:type="gramEnd"/>
        <w:r w:rsidRPr="007F0A70">
          <w:rPr>
            <w:rFonts w:eastAsia="Times New Roman"/>
            <w:color w:val="000000"/>
            <w:lang w:val="fr-FR"/>
          </w:rPr>
          <w:t>10.1136/gutjnl-2011-300486</w:t>
        </w:r>
      </w:hyperlink>
    </w:p>
    <w:p w14:paraId="7E87ED86"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18" w:history="1">
        <w:r w:rsidRPr="007F0A70">
          <w:rPr>
            <w:rFonts w:eastAsia="Times New Roman"/>
            <w:color w:val="000000"/>
            <w:lang w:val="fr-FR"/>
          </w:rPr>
          <w:t>[6]</w:t>
        </w:r>
        <w:r w:rsidRPr="007F0A70">
          <w:rPr>
            <w:rFonts w:eastAsia="Times New Roman"/>
            <w:color w:val="000000"/>
            <w:lang w:val="fr-FR"/>
          </w:rPr>
          <w:tab/>
          <w:t xml:space="preserve">Bryant RV, Burger DC, </w:t>
        </w:r>
        <w:proofErr w:type="spellStart"/>
        <w:r w:rsidRPr="007F0A70">
          <w:rPr>
            <w:rFonts w:eastAsia="Times New Roman"/>
            <w:color w:val="000000"/>
            <w:lang w:val="fr-FR"/>
          </w:rPr>
          <w:t>Delo</w:t>
        </w:r>
        <w:proofErr w:type="spellEnd"/>
        <w:r w:rsidRPr="007F0A70">
          <w:rPr>
            <w:rFonts w:eastAsia="Times New Roman"/>
            <w:color w:val="000000"/>
            <w:lang w:val="fr-FR"/>
          </w:rPr>
          <w:t xml:space="preserve"> J, et al. </w:t>
        </w:r>
        <w:r w:rsidRPr="00B6022D">
          <w:rPr>
            <w:rFonts w:eastAsia="Times New Roman"/>
            <w:color w:val="000000"/>
          </w:rPr>
          <w:t xml:space="preserve">Beyond endoscopic mucosal healing in UC: histological remission better predicts corticosteroid use and hospitalisation over 6 years of follow-up. </w:t>
        </w:r>
        <w:r w:rsidRPr="007F0A70">
          <w:rPr>
            <w:rFonts w:eastAsia="Times New Roman"/>
            <w:color w:val="000000"/>
            <w:lang w:val="it-IT"/>
          </w:rPr>
          <w:t xml:space="preserve">Gut 2016; 65: 408–414. </w:t>
        </w:r>
        <w:proofErr w:type="gramStart"/>
        <w:r w:rsidRPr="007F0A70">
          <w:rPr>
            <w:rFonts w:eastAsia="Times New Roman"/>
            <w:color w:val="000000"/>
            <w:lang w:val="it-IT"/>
          </w:rPr>
          <w:t>doi:10.1136</w:t>
        </w:r>
        <w:proofErr w:type="gramEnd"/>
        <w:r w:rsidRPr="007F0A70">
          <w:rPr>
            <w:rFonts w:eastAsia="Times New Roman"/>
            <w:color w:val="000000"/>
            <w:lang w:val="it-IT"/>
          </w:rPr>
          <w:t>/gutjnl-2015-309598</w:t>
        </w:r>
      </w:hyperlink>
    </w:p>
    <w:p w14:paraId="3FB0263D"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19" w:history="1">
        <w:r w:rsidRPr="007F0A70">
          <w:rPr>
            <w:rFonts w:eastAsia="Times New Roman"/>
            <w:color w:val="000000"/>
            <w:lang w:val="it-IT"/>
          </w:rPr>
          <w:t>[7]</w:t>
        </w:r>
        <w:r w:rsidRPr="007F0A70">
          <w:rPr>
            <w:rFonts w:eastAsia="Times New Roman"/>
            <w:color w:val="000000"/>
            <w:lang w:val="it-IT"/>
          </w:rPr>
          <w:tab/>
        </w:r>
        <w:proofErr w:type="spellStart"/>
        <w:r w:rsidRPr="007F0A70">
          <w:rPr>
            <w:rFonts w:eastAsia="Times New Roman"/>
            <w:color w:val="000000"/>
            <w:lang w:val="it-IT"/>
          </w:rPr>
          <w:t>Iacucci</w:t>
        </w:r>
        <w:proofErr w:type="spellEnd"/>
        <w:r w:rsidRPr="007F0A70">
          <w:rPr>
            <w:rFonts w:eastAsia="Times New Roman"/>
            <w:color w:val="000000"/>
            <w:lang w:val="it-IT"/>
          </w:rPr>
          <w:t xml:space="preserve"> M, </w:t>
        </w:r>
        <w:proofErr w:type="spellStart"/>
        <w:r w:rsidRPr="007F0A70">
          <w:rPr>
            <w:rFonts w:eastAsia="Times New Roman"/>
            <w:color w:val="000000"/>
            <w:lang w:val="it-IT"/>
          </w:rPr>
          <w:t>Daperno</w:t>
        </w:r>
        <w:proofErr w:type="spellEnd"/>
        <w:r w:rsidRPr="007F0A70">
          <w:rPr>
            <w:rFonts w:eastAsia="Times New Roman"/>
            <w:color w:val="000000"/>
            <w:lang w:val="it-IT"/>
          </w:rPr>
          <w:t xml:space="preserve"> M, Lazarev M, et al. </w:t>
        </w:r>
        <w:r w:rsidRPr="00B6022D">
          <w:rPr>
            <w:rFonts w:eastAsia="Times New Roman"/>
            <w:color w:val="000000"/>
          </w:rPr>
          <w:t xml:space="preserve">Development and reliability of the new endoscopic virtual chromoendoscopy score: the </w:t>
        </w:r>
        <w:proofErr w:type="spellStart"/>
        <w:r w:rsidRPr="00B6022D">
          <w:rPr>
            <w:rFonts w:eastAsia="Times New Roman"/>
            <w:color w:val="000000"/>
          </w:rPr>
          <w:t>PICaSSO</w:t>
        </w:r>
        <w:proofErr w:type="spellEnd"/>
        <w:r w:rsidRPr="00B6022D">
          <w:rPr>
            <w:rFonts w:eastAsia="Times New Roman"/>
            <w:color w:val="000000"/>
          </w:rPr>
          <w:t xml:space="preserve"> (Paddington International Virtual </w:t>
        </w:r>
        <w:proofErr w:type="spellStart"/>
        <w:r w:rsidRPr="00B6022D">
          <w:rPr>
            <w:rFonts w:eastAsia="Times New Roman"/>
            <w:color w:val="000000"/>
          </w:rPr>
          <w:t>ChromoendoScopy</w:t>
        </w:r>
        <w:proofErr w:type="spellEnd"/>
        <w:r w:rsidRPr="00B6022D">
          <w:rPr>
            <w:rFonts w:eastAsia="Times New Roman"/>
            <w:color w:val="000000"/>
          </w:rPr>
          <w:t xml:space="preserve"> </w:t>
        </w:r>
        <w:proofErr w:type="spellStart"/>
        <w:r w:rsidRPr="00B6022D">
          <w:rPr>
            <w:rFonts w:eastAsia="Times New Roman"/>
            <w:color w:val="000000"/>
          </w:rPr>
          <w:t>ScOre</w:t>
        </w:r>
        <w:proofErr w:type="spellEnd"/>
        <w:r w:rsidRPr="00B6022D">
          <w:rPr>
            <w:rFonts w:eastAsia="Times New Roman"/>
            <w:color w:val="000000"/>
          </w:rPr>
          <w:t xml:space="preserve">) in ulcerative colitis. </w:t>
        </w:r>
        <w:proofErr w:type="spellStart"/>
        <w:r w:rsidRPr="00B6022D">
          <w:rPr>
            <w:rFonts w:eastAsia="Times New Roman"/>
            <w:color w:val="000000"/>
          </w:rPr>
          <w:t>Gastrointest</w:t>
        </w:r>
        <w:proofErr w:type="spellEnd"/>
        <w:r w:rsidRPr="00B6022D">
          <w:rPr>
            <w:rFonts w:eastAsia="Times New Roman"/>
            <w:color w:val="000000"/>
          </w:rPr>
          <w:t xml:space="preserve"> </w:t>
        </w:r>
        <w:proofErr w:type="spellStart"/>
        <w:r w:rsidRPr="00B6022D">
          <w:rPr>
            <w:rFonts w:eastAsia="Times New Roman"/>
            <w:color w:val="000000"/>
          </w:rPr>
          <w:t>Endosc</w:t>
        </w:r>
        <w:proofErr w:type="spellEnd"/>
        <w:r w:rsidRPr="00B6022D">
          <w:rPr>
            <w:rFonts w:eastAsia="Times New Roman"/>
            <w:color w:val="000000"/>
          </w:rPr>
          <w:t xml:space="preserve"> 2017; 86: 1118-1127.e5. </w:t>
        </w:r>
        <w:proofErr w:type="gramStart"/>
        <w:r w:rsidRPr="00B6022D">
          <w:rPr>
            <w:rFonts w:eastAsia="Times New Roman"/>
            <w:color w:val="000000"/>
          </w:rPr>
          <w:t>doi:10.1016/j.gie</w:t>
        </w:r>
        <w:proofErr w:type="gramEnd"/>
        <w:r w:rsidRPr="00B6022D">
          <w:rPr>
            <w:rFonts w:eastAsia="Times New Roman"/>
            <w:color w:val="000000"/>
          </w:rPr>
          <w:t>.2017.03.012</w:t>
        </w:r>
      </w:hyperlink>
    </w:p>
    <w:p w14:paraId="63B7D60A"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0" w:history="1">
        <w:r w:rsidRPr="00B6022D">
          <w:rPr>
            <w:rFonts w:eastAsia="Times New Roman"/>
            <w:color w:val="000000"/>
          </w:rPr>
          <w:t>[8]</w:t>
        </w:r>
        <w:r w:rsidRPr="00B6022D">
          <w:rPr>
            <w:rFonts w:eastAsia="Times New Roman"/>
            <w:color w:val="000000"/>
          </w:rPr>
          <w:tab/>
          <w:t xml:space="preserve">Trivedi PJ, </w:t>
        </w:r>
        <w:proofErr w:type="spellStart"/>
        <w:r w:rsidRPr="00B6022D">
          <w:rPr>
            <w:rFonts w:eastAsia="Times New Roman"/>
            <w:color w:val="000000"/>
          </w:rPr>
          <w:t>Kiesslich</w:t>
        </w:r>
        <w:proofErr w:type="spellEnd"/>
        <w:r w:rsidRPr="00B6022D">
          <w:rPr>
            <w:rFonts w:eastAsia="Times New Roman"/>
            <w:color w:val="000000"/>
          </w:rPr>
          <w:t xml:space="preserve"> R, Hodson J, et al. The Paddington International Virtual Chromoendoscopy Score in ulcerative colitis exhibits very good inter-rater agreement after computerized module training: a </w:t>
        </w:r>
        <w:proofErr w:type="spellStart"/>
        <w:r w:rsidRPr="00B6022D">
          <w:rPr>
            <w:rFonts w:eastAsia="Times New Roman"/>
            <w:color w:val="000000"/>
          </w:rPr>
          <w:t>multicenter</w:t>
        </w:r>
        <w:proofErr w:type="spellEnd"/>
        <w:r w:rsidRPr="00B6022D">
          <w:rPr>
            <w:rFonts w:eastAsia="Times New Roman"/>
            <w:color w:val="000000"/>
          </w:rPr>
          <w:t xml:space="preserve"> study across academic and community practice (with video). </w:t>
        </w:r>
        <w:proofErr w:type="spellStart"/>
        <w:r w:rsidRPr="00B6022D">
          <w:rPr>
            <w:rFonts w:eastAsia="Times New Roman"/>
            <w:color w:val="000000"/>
          </w:rPr>
          <w:t>Gastrointest</w:t>
        </w:r>
        <w:proofErr w:type="spellEnd"/>
        <w:r w:rsidRPr="00B6022D">
          <w:rPr>
            <w:rFonts w:eastAsia="Times New Roman"/>
            <w:color w:val="000000"/>
          </w:rPr>
          <w:t xml:space="preserve"> </w:t>
        </w:r>
        <w:proofErr w:type="spellStart"/>
        <w:r w:rsidRPr="00B6022D">
          <w:rPr>
            <w:rFonts w:eastAsia="Times New Roman"/>
            <w:color w:val="000000"/>
          </w:rPr>
          <w:t>Endosc</w:t>
        </w:r>
        <w:proofErr w:type="spellEnd"/>
        <w:r w:rsidRPr="00B6022D">
          <w:rPr>
            <w:rFonts w:eastAsia="Times New Roman"/>
            <w:color w:val="000000"/>
          </w:rPr>
          <w:t xml:space="preserve"> 2018; 88: 95-106.e2. </w:t>
        </w:r>
        <w:proofErr w:type="gramStart"/>
        <w:r w:rsidRPr="00B6022D">
          <w:rPr>
            <w:rFonts w:eastAsia="Times New Roman"/>
            <w:color w:val="000000"/>
          </w:rPr>
          <w:t>doi:10.1016/j.gie</w:t>
        </w:r>
        <w:proofErr w:type="gramEnd"/>
        <w:r w:rsidRPr="00B6022D">
          <w:rPr>
            <w:rFonts w:eastAsia="Times New Roman"/>
            <w:color w:val="000000"/>
          </w:rPr>
          <w:t>.2018.02.044</w:t>
        </w:r>
      </w:hyperlink>
    </w:p>
    <w:p w14:paraId="1E9B1C58"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21" w:history="1">
        <w:r w:rsidRPr="00B6022D">
          <w:rPr>
            <w:rFonts w:eastAsia="Times New Roman"/>
            <w:color w:val="000000"/>
          </w:rPr>
          <w:t>[9]</w:t>
        </w:r>
        <w:r w:rsidRPr="00B6022D">
          <w:rPr>
            <w:rFonts w:eastAsia="Times New Roman"/>
            <w:color w:val="000000"/>
          </w:rPr>
          <w:tab/>
        </w:r>
        <w:proofErr w:type="spellStart"/>
        <w:r w:rsidRPr="00B6022D">
          <w:rPr>
            <w:rFonts w:eastAsia="Times New Roman"/>
            <w:color w:val="000000"/>
          </w:rPr>
          <w:t>Iacucci</w:t>
        </w:r>
        <w:proofErr w:type="spellEnd"/>
        <w:r w:rsidRPr="00B6022D">
          <w:rPr>
            <w:rFonts w:eastAsia="Times New Roman"/>
            <w:color w:val="000000"/>
          </w:rPr>
          <w:t xml:space="preserve"> M, Smith SCL, </w:t>
        </w:r>
        <w:proofErr w:type="spellStart"/>
        <w:r w:rsidRPr="00B6022D">
          <w:rPr>
            <w:rFonts w:eastAsia="Times New Roman"/>
            <w:color w:val="000000"/>
          </w:rPr>
          <w:t>Bazarova</w:t>
        </w:r>
        <w:proofErr w:type="spellEnd"/>
        <w:r w:rsidRPr="00B6022D">
          <w:rPr>
            <w:rFonts w:eastAsia="Times New Roman"/>
            <w:color w:val="000000"/>
          </w:rPr>
          <w:t xml:space="preserve"> A, et al. An International </w:t>
        </w:r>
        <w:proofErr w:type="spellStart"/>
        <w:r w:rsidRPr="00B6022D">
          <w:rPr>
            <w:rFonts w:eastAsia="Times New Roman"/>
            <w:color w:val="000000"/>
          </w:rPr>
          <w:t>Multicenter</w:t>
        </w:r>
        <w:proofErr w:type="spellEnd"/>
        <w:r w:rsidRPr="00B6022D">
          <w:rPr>
            <w:rFonts w:eastAsia="Times New Roman"/>
            <w:color w:val="000000"/>
          </w:rPr>
          <w:t xml:space="preserve"> Real-Life Prospective Study of Electronic Chromoendoscopy Score </w:t>
        </w:r>
        <w:proofErr w:type="spellStart"/>
        <w:r w:rsidRPr="00B6022D">
          <w:rPr>
            <w:rFonts w:eastAsia="Times New Roman"/>
            <w:color w:val="000000"/>
          </w:rPr>
          <w:t>PICaSSO</w:t>
        </w:r>
        <w:proofErr w:type="spellEnd"/>
        <w:r w:rsidRPr="00B6022D">
          <w:rPr>
            <w:rFonts w:eastAsia="Times New Roman"/>
            <w:color w:val="000000"/>
          </w:rPr>
          <w:t xml:space="preserve"> in Ulcerative Colitis. </w:t>
        </w:r>
        <w:proofErr w:type="spellStart"/>
        <w:r w:rsidRPr="007F0A70">
          <w:rPr>
            <w:rFonts w:eastAsia="Times New Roman"/>
            <w:color w:val="000000"/>
            <w:lang w:val="it-IT"/>
          </w:rPr>
          <w:t>Gastroenterology</w:t>
        </w:r>
        <w:proofErr w:type="spellEnd"/>
        <w:r w:rsidRPr="007F0A70">
          <w:rPr>
            <w:rFonts w:eastAsia="Times New Roman"/>
            <w:color w:val="000000"/>
            <w:lang w:val="it-IT"/>
          </w:rPr>
          <w:t xml:space="preserve"> 2021; 160: 1558-1569.e8. </w:t>
        </w:r>
        <w:proofErr w:type="gramStart"/>
        <w:r w:rsidRPr="007F0A70">
          <w:rPr>
            <w:rFonts w:eastAsia="Times New Roman"/>
            <w:color w:val="000000"/>
            <w:lang w:val="it-IT"/>
          </w:rPr>
          <w:t>doi:10.1053/j.gastro</w:t>
        </w:r>
        <w:proofErr w:type="gramEnd"/>
        <w:r w:rsidRPr="007F0A70">
          <w:rPr>
            <w:rFonts w:eastAsia="Times New Roman"/>
            <w:color w:val="000000"/>
            <w:lang w:val="it-IT"/>
          </w:rPr>
          <w:t>.2020.12.024</w:t>
        </w:r>
      </w:hyperlink>
    </w:p>
    <w:p w14:paraId="3F9B2639"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22" w:history="1">
        <w:r w:rsidRPr="007F0A70">
          <w:rPr>
            <w:rFonts w:eastAsia="Times New Roman"/>
            <w:color w:val="000000"/>
            <w:lang w:val="it-IT"/>
          </w:rPr>
          <w:t>[10]</w:t>
        </w:r>
        <w:r w:rsidRPr="007F0A70">
          <w:rPr>
            <w:rFonts w:eastAsia="Times New Roman"/>
            <w:color w:val="000000"/>
            <w:lang w:val="it-IT"/>
          </w:rPr>
          <w:tab/>
          <w:t xml:space="preserve">Nardone OM, Cannatelli R, Zardo D, et al. </w:t>
        </w:r>
        <w:r w:rsidRPr="00B6022D">
          <w:rPr>
            <w:rFonts w:eastAsia="Times New Roman"/>
            <w:color w:val="000000"/>
          </w:rPr>
          <w:t xml:space="preserve">Can advanced endoscopic techniques for assessment of mucosal inflammation and healing approximate histology in inflammatory bowel disease? </w:t>
        </w:r>
        <w:proofErr w:type="spellStart"/>
        <w:r w:rsidRPr="007F0A70">
          <w:rPr>
            <w:rFonts w:eastAsia="Times New Roman"/>
            <w:color w:val="000000"/>
            <w:lang w:val="it-IT"/>
          </w:rPr>
          <w:t>Therap</w:t>
        </w:r>
        <w:proofErr w:type="spellEnd"/>
        <w:r w:rsidRPr="007F0A70">
          <w:rPr>
            <w:rFonts w:eastAsia="Times New Roman"/>
            <w:color w:val="000000"/>
            <w:lang w:val="it-IT"/>
          </w:rPr>
          <w:t xml:space="preserve"> </w:t>
        </w:r>
        <w:proofErr w:type="spellStart"/>
        <w:r w:rsidRPr="007F0A70">
          <w:rPr>
            <w:rFonts w:eastAsia="Times New Roman"/>
            <w:color w:val="000000"/>
            <w:lang w:val="it-IT"/>
          </w:rPr>
          <w:t>Adv</w:t>
        </w:r>
        <w:proofErr w:type="spellEnd"/>
        <w:r w:rsidRPr="007F0A70">
          <w:rPr>
            <w:rFonts w:eastAsia="Times New Roman"/>
            <w:color w:val="000000"/>
            <w:lang w:val="it-IT"/>
          </w:rPr>
          <w:t xml:space="preserve"> </w:t>
        </w:r>
        <w:proofErr w:type="spellStart"/>
        <w:r w:rsidRPr="007F0A70">
          <w:rPr>
            <w:rFonts w:eastAsia="Times New Roman"/>
            <w:color w:val="000000"/>
            <w:lang w:val="it-IT"/>
          </w:rPr>
          <w:t>Gastroenterol</w:t>
        </w:r>
        <w:proofErr w:type="spellEnd"/>
        <w:r w:rsidRPr="007F0A70">
          <w:rPr>
            <w:rFonts w:eastAsia="Times New Roman"/>
            <w:color w:val="000000"/>
            <w:lang w:val="it-IT"/>
          </w:rPr>
          <w:t xml:space="preserve"> 2019; 12: 1756284819863015. </w:t>
        </w:r>
        <w:proofErr w:type="gramStart"/>
        <w:r w:rsidRPr="007F0A70">
          <w:rPr>
            <w:rFonts w:eastAsia="Times New Roman"/>
            <w:color w:val="000000"/>
            <w:lang w:val="it-IT"/>
          </w:rPr>
          <w:t>doi:10.1177</w:t>
        </w:r>
        <w:proofErr w:type="gramEnd"/>
        <w:r w:rsidRPr="007F0A70">
          <w:rPr>
            <w:rFonts w:eastAsia="Times New Roman"/>
            <w:color w:val="000000"/>
            <w:lang w:val="it-IT"/>
          </w:rPr>
          <w:t>/1756284819863015</w:t>
        </w:r>
      </w:hyperlink>
    </w:p>
    <w:p w14:paraId="3E1632C5"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3" w:history="1">
        <w:r w:rsidRPr="007F0A70">
          <w:rPr>
            <w:rFonts w:eastAsia="Times New Roman"/>
            <w:color w:val="000000"/>
            <w:lang w:val="it-IT"/>
          </w:rPr>
          <w:t>[11]</w:t>
        </w:r>
        <w:r w:rsidRPr="007F0A70">
          <w:rPr>
            <w:rFonts w:eastAsia="Times New Roman"/>
            <w:color w:val="000000"/>
            <w:lang w:val="it-IT"/>
          </w:rPr>
          <w:tab/>
          <w:t xml:space="preserve">Fernandes SR, Pinto JSLD, Marques da Costa P, et al. </w:t>
        </w:r>
        <w:r w:rsidRPr="00B6022D">
          <w:rPr>
            <w:rFonts w:eastAsia="Times New Roman"/>
            <w:color w:val="000000"/>
          </w:rPr>
          <w:t xml:space="preserve">Disagreement Among Gastroenterologists Using the Mayo and </w:t>
        </w:r>
        <w:proofErr w:type="spellStart"/>
        <w:r w:rsidRPr="00B6022D">
          <w:rPr>
            <w:rFonts w:eastAsia="Times New Roman"/>
            <w:color w:val="000000"/>
          </w:rPr>
          <w:t>Rutgeerts</w:t>
        </w:r>
        <w:proofErr w:type="spellEnd"/>
        <w:r w:rsidRPr="00B6022D">
          <w:rPr>
            <w:rFonts w:eastAsia="Times New Roman"/>
            <w:color w:val="000000"/>
          </w:rPr>
          <w:t xml:space="preserve"> Endoscopic Scores. </w:t>
        </w:r>
        <w:proofErr w:type="spellStart"/>
        <w:r w:rsidRPr="00B6022D">
          <w:rPr>
            <w:rFonts w:eastAsia="Times New Roman"/>
            <w:color w:val="000000"/>
          </w:rPr>
          <w:t>Inflamm</w:t>
        </w:r>
        <w:proofErr w:type="spellEnd"/>
        <w:r w:rsidRPr="00B6022D">
          <w:rPr>
            <w:rFonts w:eastAsia="Times New Roman"/>
            <w:color w:val="000000"/>
          </w:rPr>
          <w:t xml:space="preserve"> Bowel Dis 2018; 24: 254–260. doi:10.1093/</w:t>
        </w:r>
        <w:proofErr w:type="spellStart"/>
        <w:r w:rsidRPr="00B6022D">
          <w:rPr>
            <w:rFonts w:eastAsia="Times New Roman"/>
            <w:color w:val="000000"/>
          </w:rPr>
          <w:t>ibd</w:t>
        </w:r>
        <w:proofErr w:type="spellEnd"/>
        <w:r w:rsidRPr="00B6022D">
          <w:rPr>
            <w:rFonts w:eastAsia="Times New Roman"/>
            <w:color w:val="000000"/>
          </w:rPr>
          <w:t>/izx066</w:t>
        </w:r>
      </w:hyperlink>
    </w:p>
    <w:p w14:paraId="74A69624"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4" w:history="1">
        <w:r w:rsidRPr="00B6022D">
          <w:rPr>
            <w:rFonts w:eastAsia="Times New Roman"/>
            <w:color w:val="000000"/>
          </w:rPr>
          <w:t>[12]</w:t>
        </w:r>
        <w:r w:rsidRPr="00B6022D">
          <w:rPr>
            <w:rFonts w:eastAsia="Times New Roman"/>
            <w:color w:val="000000"/>
          </w:rPr>
          <w:tab/>
          <w:t xml:space="preserve">Gottlieb K, </w:t>
        </w:r>
        <w:proofErr w:type="spellStart"/>
        <w:r w:rsidRPr="00B6022D">
          <w:rPr>
            <w:rFonts w:eastAsia="Times New Roman"/>
            <w:color w:val="000000"/>
          </w:rPr>
          <w:t>Requa</w:t>
        </w:r>
        <w:proofErr w:type="spellEnd"/>
        <w:r w:rsidRPr="00B6022D">
          <w:rPr>
            <w:rFonts w:eastAsia="Times New Roman"/>
            <w:color w:val="000000"/>
          </w:rPr>
          <w:t xml:space="preserve"> J, Karnes W, et al. Central Reading of Ulcerative Colitis Clinical Trial Videos Using Neural Networks. Gastroenterology 2021; 160: 710-719.e2. </w:t>
        </w:r>
        <w:proofErr w:type="gramStart"/>
        <w:r w:rsidRPr="00B6022D">
          <w:rPr>
            <w:rFonts w:eastAsia="Times New Roman"/>
            <w:color w:val="000000"/>
          </w:rPr>
          <w:t>doi:10.1053/j.gastro</w:t>
        </w:r>
        <w:proofErr w:type="gramEnd"/>
        <w:r w:rsidRPr="00B6022D">
          <w:rPr>
            <w:rFonts w:eastAsia="Times New Roman"/>
            <w:color w:val="000000"/>
          </w:rPr>
          <w:t>.2020.10.024</w:t>
        </w:r>
      </w:hyperlink>
    </w:p>
    <w:p w14:paraId="35DAD678"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5" w:history="1">
        <w:r w:rsidRPr="00B6022D">
          <w:rPr>
            <w:rFonts w:eastAsia="Times New Roman"/>
            <w:color w:val="000000"/>
          </w:rPr>
          <w:t>[13]</w:t>
        </w:r>
        <w:r w:rsidRPr="00B6022D">
          <w:rPr>
            <w:rFonts w:eastAsia="Times New Roman"/>
            <w:color w:val="000000"/>
          </w:rPr>
          <w:tab/>
          <w:t xml:space="preserve">Gottlieb K, </w:t>
        </w:r>
        <w:proofErr w:type="spellStart"/>
        <w:r w:rsidRPr="00B6022D">
          <w:rPr>
            <w:rFonts w:eastAsia="Times New Roman"/>
            <w:color w:val="000000"/>
          </w:rPr>
          <w:t>Daperno</w:t>
        </w:r>
        <w:proofErr w:type="spellEnd"/>
        <w:r w:rsidRPr="00B6022D">
          <w:rPr>
            <w:rFonts w:eastAsia="Times New Roman"/>
            <w:color w:val="000000"/>
          </w:rPr>
          <w:t xml:space="preserve"> M, </w:t>
        </w:r>
        <w:proofErr w:type="spellStart"/>
        <w:r w:rsidRPr="00B6022D">
          <w:rPr>
            <w:rFonts w:eastAsia="Times New Roman"/>
            <w:color w:val="000000"/>
          </w:rPr>
          <w:t>Usiskin</w:t>
        </w:r>
        <w:proofErr w:type="spellEnd"/>
        <w:r w:rsidRPr="00B6022D">
          <w:rPr>
            <w:rFonts w:eastAsia="Times New Roman"/>
            <w:color w:val="000000"/>
          </w:rPr>
          <w:t xml:space="preserve"> K, et al. Endoscopy and central reading in inflammatory bowel disease clinical trials: achievements, </w:t>
        </w:r>
        <w:proofErr w:type="gramStart"/>
        <w:r w:rsidRPr="00B6022D">
          <w:rPr>
            <w:rFonts w:eastAsia="Times New Roman"/>
            <w:color w:val="000000"/>
          </w:rPr>
          <w:t>challenges</w:t>
        </w:r>
        <w:proofErr w:type="gramEnd"/>
        <w:r w:rsidRPr="00B6022D">
          <w:rPr>
            <w:rFonts w:eastAsia="Times New Roman"/>
            <w:color w:val="000000"/>
          </w:rPr>
          <w:t xml:space="preserve"> and future developments. Gut 2021; 70: 418–426. doi:10.1136/gutjnl-2020-320690</w:t>
        </w:r>
      </w:hyperlink>
    </w:p>
    <w:p w14:paraId="276288F2"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6" w:history="1">
        <w:r w:rsidRPr="00B6022D">
          <w:rPr>
            <w:rFonts w:eastAsia="Times New Roman"/>
            <w:color w:val="000000"/>
          </w:rPr>
          <w:t>[14]</w:t>
        </w:r>
        <w:r w:rsidRPr="00B6022D">
          <w:rPr>
            <w:rFonts w:eastAsia="Times New Roman"/>
            <w:color w:val="000000"/>
          </w:rPr>
          <w:tab/>
        </w:r>
        <w:proofErr w:type="spellStart"/>
        <w:r w:rsidRPr="00B6022D">
          <w:rPr>
            <w:rFonts w:eastAsia="Times New Roman"/>
            <w:color w:val="000000"/>
          </w:rPr>
          <w:t>Takenaka</w:t>
        </w:r>
        <w:proofErr w:type="spellEnd"/>
        <w:r w:rsidRPr="00B6022D">
          <w:rPr>
            <w:rFonts w:eastAsia="Times New Roman"/>
            <w:color w:val="000000"/>
          </w:rPr>
          <w:t xml:space="preserve"> K, </w:t>
        </w:r>
        <w:proofErr w:type="spellStart"/>
        <w:r w:rsidRPr="00B6022D">
          <w:rPr>
            <w:rFonts w:eastAsia="Times New Roman"/>
            <w:color w:val="000000"/>
          </w:rPr>
          <w:t>Ohtsuka</w:t>
        </w:r>
        <w:proofErr w:type="spellEnd"/>
        <w:r w:rsidRPr="00B6022D">
          <w:rPr>
            <w:rFonts w:eastAsia="Times New Roman"/>
            <w:color w:val="000000"/>
          </w:rPr>
          <w:t xml:space="preserve"> K, </w:t>
        </w:r>
        <w:proofErr w:type="spellStart"/>
        <w:r w:rsidRPr="00B6022D">
          <w:rPr>
            <w:rFonts w:eastAsia="Times New Roman"/>
            <w:color w:val="000000"/>
          </w:rPr>
          <w:t>Fujii</w:t>
        </w:r>
        <w:proofErr w:type="spellEnd"/>
        <w:r w:rsidRPr="00B6022D">
          <w:rPr>
            <w:rFonts w:eastAsia="Times New Roman"/>
            <w:color w:val="000000"/>
          </w:rPr>
          <w:t xml:space="preserve"> T, et al. Development and Validation of a Deep Neural Network for Accurate Evaluation of Endoscopic Images </w:t>
        </w:r>
        <w:proofErr w:type="gramStart"/>
        <w:r w:rsidRPr="00B6022D">
          <w:rPr>
            <w:rFonts w:eastAsia="Times New Roman"/>
            <w:color w:val="000000"/>
          </w:rPr>
          <w:t>From</w:t>
        </w:r>
        <w:proofErr w:type="gramEnd"/>
        <w:r w:rsidRPr="00B6022D">
          <w:rPr>
            <w:rFonts w:eastAsia="Times New Roman"/>
            <w:color w:val="000000"/>
          </w:rPr>
          <w:t xml:space="preserve"> Patients With Ulcerative Colitis. Gastroenterology 2020; 158: 2150–2157. </w:t>
        </w:r>
        <w:proofErr w:type="gramStart"/>
        <w:r w:rsidRPr="00B6022D">
          <w:rPr>
            <w:rFonts w:eastAsia="Times New Roman"/>
            <w:color w:val="000000"/>
          </w:rPr>
          <w:t>doi:10.1053/j.gastro</w:t>
        </w:r>
        <w:proofErr w:type="gramEnd"/>
        <w:r w:rsidRPr="00B6022D">
          <w:rPr>
            <w:rFonts w:eastAsia="Times New Roman"/>
            <w:color w:val="000000"/>
          </w:rPr>
          <w:t>.2020.02.012</w:t>
        </w:r>
      </w:hyperlink>
    </w:p>
    <w:p w14:paraId="0A2C6D1B"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7" w:history="1">
        <w:r w:rsidRPr="00B6022D">
          <w:rPr>
            <w:rFonts w:eastAsia="Times New Roman"/>
            <w:color w:val="000000"/>
          </w:rPr>
          <w:t>[15]</w:t>
        </w:r>
        <w:r w:rsidRPr="00B6022D">
          <w:rPr>
            <w:rFonts w:eastAsia="Times New Roman"/>
            <w:color w:val="000000"/>
          </w:rPr>
          <w:tab/>
        </w:r>
        <w:proofErr w:type="spellStart"/>
        <w:r w:rsidRPr="00B6022D">
          <w:rPr>
            <w:rFonts w:eastAsia="Times New Roman"/>
            <w:color w:val="000000"/>
          </w:rPr>
          <w:t>Takenaka</w:t>
        </w:r>
        <w:proofErr w:type="spellEnd"/>
        <w:r w:rsidRPr="00B6022D">
          <w:rPr>
            <w:rFonts w:eastAsia="Times New Roman"/>
            <w:color w:val="000000"/>
          </w:rPr>
          <w:t xml:space="preserve"> K, </w:t>
        </w:r>
        <w:proofErr w:type="spellStart"/>
        <w:r w:rsidRPr="00B6022D">
          <w:rPr>
            <w:rFonts w:eastAsia="Times New Roman"/>
            <w:color w:val="000000"/>
          </w:rPr>
          <w:t>Fujii</w:t>
        </w:r>
        <w:proofErr w:type="spellEnd"/>
        <w:r w:rsidRPr="00B6022D">
          <w:rPr>
            <w:rFonts w:eastAsia="Times New Roman"/>
            <w:color w:val="000000"/>
          </w:rPr>
          <w:t xml:space="preserve"> T, Kawamoto A, et al. Deep neural network for video colonoscopy of ulcerative colitis: a cross-sectional study. The Lancet Gastroenterology &amp; Hepatology 2021; S2468125321003721. doi:10.1016/S2468-1253(21)00372-1</w:t>
        </w:r>
      </w:hyperlink>
    </w:p>
    <w:p w14:paraId="65625955"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28" w:history="1">
        <w:r w:rsidRPr="00B6022D">
          <w:rPr>
            <w:rFonts w:eastAsia="Times New Roman"/>
            <w:color w:val="000000"/>
          </w:rPr>
          <w:t>[16]</w:t>
        </w:r>
        <w:r w:rsidRPr="00B6022D">
          <w:rPr>
            <w:rFonts w:eastAsia="Times New Roman"/>
            <w:color w:val="000000"/>
          </w:rPr>
          <w:tab/>
        </w:r>
        <w:proofErr w:type="spellStart"/>
        <w:r w:rsidRPr="00B6022D">
          <w:rPr>
            <w:rFonts w:eastAsia="Times New Roman"/>
            <w:color w:val="000000"/>
          </w:rPr>
          <w:t>Takenaka</w:t>
        </w:r>
        <w:proofErr w:type="spellEnd"/>
        <w:r w:rsidRPr="00B6022D">
          <w:rPr>
            <w:rFonts w:eastAsia="Times New Roman"/>
            <w:color w:val="000000"/>
          </w:rPr>
          <w:t xml:space="preserve"> K, </w:t>
        </w:r>
        <w:proofErr w:type="spellStart"/>
        <w:r w:rsidRPr="00B6022D">
          <w:rPr>
            <w:rFonts w:eastAsia="Times New Roman"/>
            <w:color w:val="000000"/>
          </w:rPr>
          <w:t>Ohtsuka</w:t>
        </w:r>
        <w:proofErr w:type="spellEnd"/>
        <w:r w:rsidRPr="00B6022D">
          <w:rPr>
            <w:rFonts w:eastAsia="Times New Roman"/>
            <w:color w:val="000000"/>
          </w:rPr>
          <w:t xml:space="preserve"> K, </w:t>
        </w:r>
        <w:proofErr w:type="spellStart"/>
        <w:r w:rsidRPr="00B6022D">
          <w:rPr>
            <w:rFonts w:eastAsia="Times New Roman"/>
            <w:color w:val="000000"/>
          </w:rPr>
          <w:t>Fujii</w:t>
        </w:r>
        <w:proofErr w:type="spellEnd"/>
        <w:r w:rsidRPr="00B6022D">
          <w:rPr>
            <w:rFonts w:eastAsia="Times New Roman"/>
            <w:color w:val="000000"/>
          </w:rPr>
          <w:t xml:space="preserve"> T, et al. Deep Neural Network Accurately Predicts Prognosis of Ulcerative Colitis Using Endoscopic Images. Gastroenterology 2021; 160: 2175-2177.e3. </w:t>
        </w:r>
        <w:proofErr w:type="gramStart"/>
        <w:r w:rsidRPr="00B6022D">
          <w:rPr>
            <w:rFonts w:eastAsia="Times New Roman"/>
            <w:color w:val="000000"/>
          </w:rPr>
          <w:t>doi:10.1053/j.gastro</w:t>
        </w:r>
        <w:proofErr w:type="gramEnd"/>
        <w:r w:rsidRPr="00B6022D">
          <w:rPr>
            <w:rFonts w:eastAsia="Times New Roman"/>
            <w:color w:val="000000"/>
          </w:rPr>
          <w:t>.2021.01.210</w:t>
        </w:r>
      </w:hyperlink>
    </w:p>
    <w:p w14:paraId="0909F862" w14:textId="77777777" w:rsidR="006B1592" w:rsidRPr="007F0A70" w:rsidRDefault="006B1592" w:rsidP="006B1592">
      <w:pPr>
        <w:spacing w:line="360" w:lineRule="auto"/>
        <w:ind w:hanging="504"/>
        <w:rPr>
          <w:rFonts w:ascii="Times New Roman" w:eastAsia="Times New Roman" w:hAnsi="Times New Roman" w:cs="Times New Roman"/>
          <w:sz w:val="24"/>
          <w:szCs w:val="24"/>
        </w:rPr>
      </w:pPr>
      <w:hyperlink r:id="rId29" w:history="1">
        <w:r w:rsidRPr="00B6022D">
          <w:rPr>
            <w:rFonts w:eastAsia="Times New Roman"/>
            <w:color w:val="000000"/>
          </w:rPr>
          <w:t>[17]</w:t>
        </w:r>
        <w:r w:rsidRPr="00B6022D">
          <w:rPr>
            <w:rFonts w:eastAsia="Times New Roman"/>
            <w:color w:val="000000"/>
          </w:rPr>
          <w:tab/>
        </w:r>
        <w:proofErr w:type="spellStart"/>
        <w:r w:rsidRPr="00B6022D">
          <w:rPr>
            <w:rFonts w:eastAsia="Times New Roman"/>
            <w:color w:val="000000"/>
          </w:rPr>
          <w:t>Mosli</w:t>
        </w:r>
        <w:proofErr w:type="spellEnd"/>
        <w:r w:rsidRPr="00B6022D">
          <w:rPr>
            <w:rFonts w:eastAsia="Times New Roman"/>
            <w:color w:val="000000"/>
          </w:rPr>
          <w:t xml:space="preserve"> MH, </w:t>
        </w:r>
        <w:proofErr w:type="spellStart"/>
        <w:r w:rsidRPr="00B6022D">
          <w:rPr>
            <w:rFonts w:eastAsia="Times New Roman"/>
            <w:color w:val="000000"/>
          </w:rPr>
          <w:t>Feagan</w:t>
        </w:r>
        <w:proofErr w:type="spellEnd"/>
        <w:r w:rsidRPr="00B6022D">
          <w:rPr>
            <w:rFonts w:eastAsia="Times New Roman"/>
            <w:color w:val="000000"/>
          </w:rPr>
          <w:t xml:space="preserve"> BG, Zou G, et al. Development and validation of a histological index for UC. </w:t>
        </w:r>
        <w:r w:rsidRPr="007F0A70">
          <w:rPr>
            <w:rFonts w:eastAsia="Times New Roman"/>
            <w:color w:val="000000"/>
          </w:rPr>
          <w:t>Gut 2017; 66: 50–58. doi:10.1136/gutjnl-2015-310393</w:t>
        </w:r>
      </w:hyperlink>
    </w:p>
    <w:p w14:paraId="5E8A8DA8"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30" w:history="1">
        <w:r w:rsidRPr="007F0A70">
          <w:rPr>
            <w:rFonts w:eastAsia="Times New Roman"/>
            <w:color w:val="000000"/>
            <w:lang w:val="fr-FR"/>
          </w:rPr>
          <w:t>[18]</w:t>
        </w:r>
        <w:r w:rsidRPr="007F0A70">
          <w:rPr>
            <w:rFonts w:eastAsia="Times New Roman"/>
            <w:color w:val="000000"/>
            <w:lang w:val="fr-FR"/>
          </w:rPr>
          <w:tab/>
          <w:t>Marchal-</w:t>
        </w:r>
        <w:proofErr w:type="spellStart"/>
        <w:r w:rsidRPr="007F0A70">
          <w:rPr>
            <w:rFonts w:eastAsia="Times New Roman"/>
            <w:color w:val="000000"/>
            <w:lang w:val="fr-FR"/>
          </w:rPr>
          <w:t>Bressenot</w:t>
        </w:r>
        <w:proofErr w:type="spellEnd"/>
        <w:r w:rsidRPr="007F0A70">
          <w:rPr>
            <w:rFonts w:eastAsia="Times New Roman"/>
            <w:color w:val="000000"/>
            <w:lang w:val="fr-FR"/>
          </w:rPr>
          <w:t xml:space="preserve"> A, </w:t>
        </w:r>
        <w:proofErr w:type="spellStart"/>
        <w:r w:rsidRPr="007F0A70">
          <w:rPr>
            <w:rFonts w:eastAsia="Times New Roman"/>
            <w:color w:val="000000"/>
            <w:lang w:val="fr-FR"/>
          </w:rPr>
          <w:t>Salleron</w:t>
        </w:r>
        <w:proofErr w:type="spellEnd"/>
        <w:r w:rsidRPr="007F0A70">
          <w:rPr>
            <w:rFonts w:eastAsia="Times New Roman"/>
            <w:color w:val="000000"/>
            <w:lang w:val="fr-FR"/>
          </w:rPr>
          <w:t xml:space="preserve"> J, </w:t>
        </w:r>
        <w:proofErr w:type="spellStart"/>
        <w:r w:rsidRPr="007F0A70">
          <w:rPr>
            <w:rFonts w:eastAsia="Times New Roman"/>
            <w:color w:val="000000"/>
            <w:lang w:val="fr-FR"/>
          </w:rPr>
          <w:t>Boulagnon-Rombi</w:t>
        </w:r>
        <w:proofErr w:type="spellEnd"/>
        <w:r w:rsidRPr="007F0A70">
          <w:rPr>
            <w:rFonts w:eastAsia="Times New Roman"/>
            <w:color w:val="000000"/>
            <w:lang w:val="fr-FR"/>
          </w:rPr>
          <w:t xml:space="preserve"> C, et al. </w:t>
        </w:r>
        <w:r w:rsidRPr="00B6022D">
          <w:rPr>
            <w:rFonts w:eastAsia="Times New Roman"/>
            <w:color w:val="000000"/>
          </w:rPr>
          <w:t xml:space="preserve">Development and validation of the Nancy histological index for UC. </w:t>
        </w:r>
        <w:r w:rsidRPr="007F0A70">
          <w:rPr>
            <w:rFonts w:eastAsia="Times New Roman"/>
            <w:color w:val="000000"/>
            <w:lang w:val="it-IT"/>
          </w:rPr>
          <w:t xml:space="preserve">Gut 2017; 66: 43–49. </w:t>
        </w:r>
        <w:proofErr w:type="gramStart"/>
        <w:r w:rsidRPr="007F0A70">
          <w:rPr>
            <w:rFonts w:eastAsia="Times New Roman"/>
            <w:color w:val="000000"/>
            <w:lang w:val="it-IT"/>
          </w:rPr>
          <w:t>doi:10.1136</w:t>
        </w:r>
        <w:proofErr w:type="gramEnd"/>
        <w:r w:rsidRPr="007F0A70">
          <w:rPr>
            <w:rFonts w:eastAsia="Times New Roman"/>
            <w:color w:val="000000"/>
            <w:lang w:val="it-IT"/>
          </w:rPr>
          <w:t>/gutjnl-2015-310187</w:t>
        </w:r>
      </w:hyperlink>
    </w:p>
    <w:p w14:paraId="04695FDE"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31" w:history="1">
        <w:r w:rsidRPr="007F0A70">
          <w:rPr>
            <w:rFonts w:eastAsia="Times New Roman"/>
            <w:color w:val="000000"/>
            <w:lang w:val="it-IT"/>
          </w:rPr>
          <w:t>[19]</w:t>
        </w:r>
        <w:r w:rsidRPr="007F0A70">
          <w:rPr>
            <w:rFonts w:eastAsia="Times New Roman"/>
            <w:color w:val="000000"/>
            <w:lang w:val="it-IT"/>
          </w:rPr>
          <w:tab/>
          <w:t xml:space="preserve">Gui X, </w:t>
        </w:r>
        <w:proofErr w:type="spellStart"/>
        <w:r w:rsidRPr="007F0A70">
          <w:rPr>
            <w:rFonts w:eastAsia="Times New Roman"/>
            <w:color w:val="000000"/>
            <w:lang w:val="it-IT"/>
          </w:rPr>
          <w:t>Bazarova</w:t>
        </w:r>
        <w:proofErr w:type="spellEnd"/>
        <w:r w:rsidRPr="007F0A70">
          <w:rPr>
            <w:rFonts w:eastAsia="Times New Roman"/>
            <w:color w:val="000000"/>
            <w:lang w:val="it-IT"/>
          </w:rPr>
          <w:t xml:space="preserve"> A, Del Amor R, et al. </w:t>
        </w:r>
        <w:proofErr w:type="spellStart"/>
        <w:r w:rsidRPr="00B6022D">
          <w:rPr>
            <w:rFonts w:eastAsia="Times New Roman"/>
            <w:color w:val="000000"/>
          </w:rPr>
          <w:t>PICaSSO</w:t>
        </w:r>
        <w:proofErr w:type="spellEnd"/>
        <w:r w:rsidRPr="00B6022D">
          <w:rPr>
            <w:rFonts w:eastAsia="Times New Roman"/>
            <w:color w:val="000000"/>
          </w:rPr>
          <w:t xml:space="preserve"> Histologic Remission Index (PHRI) in ulcerative colitis: development of a novel simplified histological score for monitoring mucosal healing and predicting clinical outcomes and its applicability in an artificial intelligence system. Gut 2022; gutjnl-2021-326376. doi:10.1136/gutjnl-2021-326376</w:t>
        </w:r>
      </w:hyperlink>
    </w:p>
    <w:p w14:paraId="598F8876"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32" w:history="1">
        <w:r w:rsidRPr="00B6022D">
          <w:rPr>
            <w:rFonts w:eastAsia="Times New Roman"/>
            <w:color w:val="000000"/>
          </w:rPr>
          <w:t>[20]</w:t>
        </w:r>
        <w:r w:rsidRPr="00B6022D">
          <w:rPr>
            <w:rFonts w:eastAsia="Times New Roman"/>
            <w:color w:val="000000"/>
          </w:rPr>
          <w:tab/>
          <w:t xml:space="preserve">DeLong ER, DeLong DM, Clarke-Pearson DL. Comparing the Areas under Two or More Correlated Receiver Operating Characteristic Curves: A Nonparametric Approach. </w:t>
        </w:r>
        <w:proofErr w:type="spellStart"/>
        <w:r w:rsidRPr="007F0A70">
          <w:rPr>
            <w:rFonts w:eastAsia="Times New Roman"/>
            <w:color w:val="000000"/>
            <w:lang w:val="it-IT"/>
          </w:rPr>
          <w:t>Biometrics</w:t>
        </w:r>
        <w:proofErr w:type="spellEnd"/>
        <w:r w:rsidRPr="007F0A70">
          <w:rPr>
            <w:rFonts w:eastAsia="Times New Roman"/>
            <w:color w:val="000000"/>
            <w:lang w:val="it-IT"/>
          </w:rPr>
          <w:t xml:space="preserve"> 1988; 44: 837–845. </w:t>
        </w:r>
        <w:proofErr w:type="gramStart"/>
        <w:r w:rsidRPr="007F0A70">
          <w:rPr>
            <w:rFonts w:eastAsia="Times New Roman"/>
            <w:color w:val="000000"/>
            <w:lang w:val="it-IT"/>
          </w:rPr>
          <w:t>doi:10.2307</w:t>
        </w:r>
        <w:proofErr w:type="gramEnd"/>
        <w:r w:rsidRPr="007F0A70">
          <w:rPr>
            <w:rFonts w:eastAsia="Times New Roman"/>
            <w:color w:val="000000"/>
            <w:lang w:val="it-IT"/>
          </w:rPr>
          <w:t>/2531595</w:t>
        </w:r>
      </w:hyperlink>
    </w:p>
    <w:p w14:paraId="7272F546"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33" w:history="1">
        <w:r w:rsidRPr="007F0A70">
          <w:rPr>
            <w:rFonts w:eastAsia="Times New Roman"/>
            <w:color w:val="000000"/>
            <w:lang w:val="it-IT"/>
          </w:rPr>
          <w:t>[21]</w:t>
        </w:r>
        <w:r w:rsidRPr="007F0A70">
          <w:rPr>
            <w:rFonts w:eastAsia="Times New Roman"/>
            <w:color w:val="000000"/>
            <w:lang w:val="it-IT"/>
          </w:rPr>
          <w:tab/>
          <w:t xml:space="preserve">Nardone OM, </w:t>
        </w:r>
        <w:proofErr w:type="spellStart"/>
        <w:r w:rsidRPr="007F0A70">
          <w:rPr>
            <w:rFonts w:eastAsia="Times New Roman"/>
            <w:color w:val="000000"/>
            <w:lang w:val="it-IT"/>
          </w:rPr>
          <w:t>Bazarova</w:t>
        </w:r>
        <w:proofErr w:type="spellEnd"/>
        <w:r w:rsidRPr="007F0A70">
          <w:rPr>
            <w:rFonts w:eastAsia="Times New Roman"/>
            <w:color w:val="000000"/>
            <w:lang w:val="it-IT"/>
          </w:rPr>
          <w:t xml:space="preserve"> A, </w:t>
        </w:r>
        <w:proofErr w:type="spellStart"/>
        <w:r w:rsidRPr="007F0A70">
          <w:rPr>
            <w:rFonts w:eastAsia="Times New Roman"/>
            <w:color w:val="000000"/>
            <w:lang w:val="it-IT"/>
          </w:rPr>
          <w:t>Bhandari</w:t>
        </w:r>
        <w:proofErr w:type="spellEnd"/>
        <w:r w:rsidRPr="007F0A70">
          <w:rPr>
            <w:rFonts w:eastAsia="Times New Roman"/>
            <w:color w:val="000000"/>
            <w:lang w:val="it-IT"/>
          </w:rPr>
          <w:t xml:space="preserve"> P, et al. </w:t>
        </w:r>
        <w:proofErr w:type="spellStart"/>
        <w:r w:rsidRPr="00B6022D">
          <w:rPr>
            <w:rFonts w:eastAsia="Times New Roman"/>
            <w:color w:val="000000"/>
          </w:rPr>
          <w:t>PICaSSO</w:t>
        </w:r>
        <w:proofErr w:type="spellEnd"/>
        <w:r w:rsidRPr="00B6022D">
          <w:rPr>
            <w:rFonts w:eastAsia="Times New Roman"/>
            <w:color w:val="000000"/>
          </w:rPr>
          <w:t xml:space="preserve"> virtual electronic </w:t>
        </w:r>
        <w:proofErr w:type="spellStart"/>
        <w:r w:rsidRPr="00B6022D">
          <w:rPr>
            <w:rFonts w:eastAsia="Times New Roman"/>
            <w:color w:val="000000"/>
          </w:rPr>
          <w:t>chromendoscopy</w:t>
        </w:r>
        <w:proofErr w:type="spellEnd"/>
        <w:r w:rsidRPr="00B6022D">
          <w:rPr>
            <w:rFonts w:eastAsia="Times New Roman"/>
            <w:color w:val="000000"/>
          </w:rPr>
          <w:t xml:space="preserve"> accurately reflects combined endoscopic and histological assessment for prediction of clinical outcomes in ulcerative colitis. </w:t>
        </w:r>
        <w:r w:rsidRPr="007F0A70">
          <w:rPr>
            <w:rFonts w:eastAsia="Times New Roman"/>
            <w:color w:val="000000"/>
            <w:lang w:val="it-IT"/>
          </w:rPr>
          <w:t xml:space="preserve">United </w:t>
        </w:r>
        <w:proofErr w:type="spellStart"/>
        <w:r w:rsidRPr="007F0A70">
          <w:rPr>
            <w:rFonts w:eastAsia="Times New Roman"/>
            <w:color w:val="000000"/>
            <w:lang w:val="it-IT"/>
          </w:rPr>
          <w:t>European</w:t>
        </w:r>
        <w:proofErr w:type="spellEnd"/>
        <w:r w:rsidRPr="007F0A70">
          <w:rPr>
            <w:rFonts w:eastAsia="Times New Roman"/>
            <w:color w:val="000000"/>
            <w:lang w:val="it-IT"/>
          </w:rPr>
          <w:t xml:space="preserve"> </w:t>
        </w:r>
        <w:proofErr w:type="spellStart"/>
        <w:r w:rsidRPr="007F0A70">
          <w:rPr>
            <w:rFonts w:eastAsia="Times New Roman"/>
            <w:color w:val="000000"/>
            <w:lang w:val="it-IT"/>
          </w:rPr>
          <w:t>Gastroenterol</w:t>
        </w:r>
        <w:proofErr w:type="spellEnd"/>
        <w:r w:rsidRPr="007F0A70">
          <w:rPr>
            <w:rFonts w:eastAsia="Times New Roman"/>
            <w:color w:val="000000"/>
            <w:lang w:val="it-IT"/>
          </w:rPr>
          <w:t xml:space="preserve"> J 2022; 10: 147–159. </w:t>
        </w:r>
        <w:proofErr w:type="gramStart"/>
        <w:r w:rsidRPr="007F0A70">
          <w:rPr>
            <w:rFonts w:eastAsia="Times New Roman"/>
            <w:color w:val="000000"/>
            <w:lang w:val="it-IT"/>
          </w:rPr>
          <w:t>doi:10.1002</w:t>
        </w:r>
        <w:proofErr w:type="gramEnd"/>
        <w:r w:rsidRPr="007F0A70">
          <w:rPr>
            <w:rFonts w:eastAsia="Times New Roman"/>
            <w:color w:val="000000"/>
            <w:lang w:val="it-IT"/>
          </w:rPr>
          <w:t>/ueg2.12185</w:t>
        </w:r>
      </w:hyperlink>
    </w:p>
    <w:p w14:paraId="3F38798A"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34" w:history="1">
        <w:r w:rsidRPr="007F0A70">
          <w:rPr>
            <w:rFonts w:eastAsia="Times New Roman"/>
            <w:color w:val="000000"/>
            <w:lang w:val="it-IT"/>
          </w:rPr>
          <w:t>[22]</w:t>
        </w:r>
        <w:r w:rsidRPr="007F0A70">
          <w:rPr>
            <w:rFonts w:eastAsia="Times New Roman"/>
            <w:color w:val="000000"/>
            <w:lang w:val="it-IT"/>
          </w:rPr>
          <w:tab/>
          <w:t xml:space="preserve">Rosanna C, Alina B, Federica F, et al. </w:t>
        </w:r>
        <w:r w:rsidRPr="00B6022D">
          <w:rPr>
            <w:rFonts w:eastAsia="Times New Roman"/>
            <w:color w:val="000000"/>
          </w:rPr>
          <w:t xml:space="preserve">Reproducibility of the electronic chromoendoscopy </w:t>
        </w:r>
        <w:proofErr w:type="spellStart"/>
        <w:r w:rsidRPr="00B6022D">
          <w:rPr>
            <w:rFonts w:eastAsia="Times New Roman"/>
            <w:color w:val="000000"/>
          </w:rPr>
          <w:t>PICaSSO</w:t>
        </w:r>
        <w:proofErr w:type="spellEnd"/>
        <w:r w:rsidRPr="00B6022D">
          <w:rPr>
            <w:rFonts w:eastAsia="Times New Roman"/>
            <w:color w:val="000000"/>
          </w:rPr>
          <w:t xml:space="preserve"> score (Paddington International Virtual </w:t>
        </w:r>
        <w:proofErr w:type="spellStart"/>
        <w:r w:rsidRPr="00B6022D">
          <w:rPr>
            <w:rFonts w:eastAsia="Times New Roman"/>
            <w:color w:val="000000"/>
          </w:rPr>
          <w:t>ChromoendoScopy</w:t>
        </w:r>
        <w:proofErr w:type="spellEnd"/>
        <w:r w:rsidRPr="00B6022D">
          <w:rPr>
            <w:rFonts w:eastAsia="Times New Roman"/>
            <w:color w:val="000000"/>
          </w:rPr>
          <w:t xml:space="preserve"> </w:t>
        </w:r>
        <w:proofErr w:type="spellStart"/>
        <w:r w:rsidRPr="00B6022D">
          <w:rPr>
            <w:rFonts w:eastAsia="Times New Roman"/>
            <w:color w:val="000000"/>
          </w:rPr>
          <w:t>ScOre</w:t>
        </w:r>
        <w:proofErr w:type="spellEnd"/>
        <w:r w:rsidRPr="00B6022D">
          <w:rPr>
            <w:rFonts w:eastAsia="Times New Roman"/>
            <w:color w:val="000000"/>
          </w:rPr>
          <w:t xml:space="preserve">) in Ulcerative Colitis using multiple endoscopic platforms: A prospective </w:t>
        </w:r>
        <w:proofErr w:type="spellStart"/>
        <w:r w:rsidRPr="00B6022D">
          <w:rPr>
            <w:rFonts w:eastAsia="Times New Roman"/>
            <w:color w:val="000000"/>
          </w:rPr>
          <w:t>multicenter</w:t>
        </w:r>
        <w:proofErr w:type="spellEnd"/>
        <w:r w:rsidRPr="00B6022D">
          <w:rPr>
            <w:rFonts w:eastAsia="Times New Roman"/>
            <w:color w:val="000000"/>
          </w:rPr>
          <w:t xml:space="preserve"> international study. Gastrointestinal Endoscopy 2022; 0. </w:t>
        </w:r>
        <w:proofErr w:type="gramStart"/>
        <w:r w:rsidRPr="00B6022D">
          <w:rPr>
            <w:rFonts w:eastAsia="Times New Roman"/>
            <w:color w:val="000000"/>
          </w:rPr>
          <w:t>doi:10.1016/j.gie</w:t>
        </w:r>
        <w:proofErr w:type="gramEnd"/>
        <w:r w:rsidRPr="00B6022D">
          <w:rPr>
            <w:rFonts w:eastAsia="Times New Roman"/>
            <w:color w:val="000000"/>
          </w:rPr>
          <w:t>.2022.02.012</w:t>
        </w:r>
      </w:hyperlink>
    </w:p>
    <w:p w14:paraId="749B6764"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35" w:history="1">
        <w:r w:rsidRPr="00B6022D">
          <w:rPr>
            <w:rFonts w:eastAsia="Times New Roman"/>
            <w:color w:val="000000"/>
          </w:rPr>
          <w:t>[23]</w:t>
        </w:r>
        <w:r w:rsidRPr="00B6022D">
          <w:rPr>
            <w:rFonts w:eastAsia="Times New Roman"/>
            <w:color w:val="000000"/>
          </w:rPr>
          <w:tab/>
          <w:t xml:space="preserve">Ozawa T, Ishihara S, </w:t>
        </w:r>
        <w:proofErr w:type="spellStart"/>
        <w:r w:rsidRPr="00B6022D">
          <w:rPr>
            <w:rFonts w:eastAsia="Times New Roman"/>
            <w:color w:val="000000"/>
          </w:rPr>
          <w:t>Fujishiro</w:t>
        </w:r>
        <w:proofErr w:type="spellEnd"/>
        <w:r w:rsidRPr="00B6022D">
          <w:rPr>
            <w:rFonts w:eastAsia="Times New Roman"/>
            <w:color w:val="000000"/>
          </w:rPr>
          <w:t xml:space="preserve"> M, et al. Novel computer-assisted diagnosis system for endoscopic disease activity in patients with ulcerative colitis. </w:t>
        </w:r>
        <w:proofErr w:type="spellStart"/>
        <w:r w:rsidRPr="00B6022D">
          <w:rPr>
            <w:rFonts w:eastAsia="Times New Roman"/>
            <w:color w:val="000000"/>
          </w:rPr>
          <w:t>Gastrointest</w:t>
        </w:r>
        <w:proofErr w:type="spellEnd"/>
        <w:r w:rsidRPr="00B6022D">
          <w:rPr>
            <w:rFonts w:eastAsia="Times New Roman"/>
            <w:color w:val="000000"/>
          </w:rPr>
          <w:t xml:space="preserve"> </w:t>
        </w:r>
        <w:proofErr w:type="spellStart"/>
        <w:r w:rsidRPr="00B6022D">
          <w:rPr>
            <w:rFonts w:eastAsia="Times New Roman"/>
            <w:color w:val="000000"/>
          </w:rPr>
          <w:t>Endosc</w:t>
        </w:r>
        <w:proofErr w:type="spellEnd"/>
        <w:r w:rsidRPr="00B6022D">
          <w:rPr>
            <w:rFonts w:eastAsia="Times New Roman"/>
            <w:color w:val="000000"/>
          </w:rPr>
          <w:t xml:space="preserve"> 2019; 89: 416-421.e1. </w:t>
        </w:r>
        <w:proofErr w:type="gramStart"/>
        <w:r w:rsidRPr="00B6022D">
          <w:rPr>
            <w:rFonts w:eastAsia="Times New Roman"/>
            <w:color w:val="000000"/>
          </w:rPr>
          <w:t>doi:10.1016/j.gie</w:t>
        </w:r>
        <w:proofErr w:type="gramEnd"/>
        <w:r w:rsidRPr="00B6022D">
          <w:rPr>
            <w:rFonts w:eastAsia="Times New Roman"/>
            <w:color w:val="000000"/>
          </w:rPr>
          <w:t>.2018.10.020</w:t>
        </w:r>
      </w:hyperlink>
    </w:p>
    <w:p w14:paraId="08DA5361" w14:textId="77777777" w:rsidR="006B1592" w:rsidRPr="007F0A70" w:rsidRDefault="006B1592" w:rsidP="006B1592">
      <w:pPr>
        <w:spacing w:line="360" w:lineRule="auto"/>
        <w:ind w:hanging="504"/>
        <w:rPr>
          <w:rFonts w:ascii="Times New Roman" w:eastAsia="Times New Roman" w:hAnsi="Times New Roman" w:cs="Times New Roman"/>
          <w:sz w:val="24"/>
          <w:szCs w:val="24"/>
          <w:lang w:val="it-IT"/>
        </w:rPr>
      </w:pPr>
      <w:hyperlink r:id="rId36" w:history="1">
        <w:r w:rsidRPr="00B6022D">
          <w:rPr>
            <w:rFonts w:eastAsia="Times New Roman"/>
            <w:color w:val="000000"/>
          </w:rPr>
          <w:t>[24]</w:t>
        </w:r>
        <w:r w:rsidRPr="00B6022D">
          <w:rPr>
            <w:rFonts w:eastAsia="Times New Roman"/>
            <w:color w:val="000000"/>
          </w:rPr>
          <w:tab/>
        </w:r>
        <w:proofErr w:type="spellStart"/>
        <w:r w:rsidRPr="00B6022D">
          <w:rPr>
            <w:rFonts w:eastAsia="Times New Roman"/>
            <w:color w:val="000000"/>
          </w:rPr>
          <w:t>Colombel</w:t>
        </w:r>
        <w:proofErr w:type="spellEnd"/>
        <w:r w:rsidRPr="00B6022D">
          <w:rPr>
            <w:rFonts w:eastAsia="Times New Roman"/>
            <w:color w:val="000000"/>
          </w:rPr>
          <w:t xml:space="preserve"> J-F, </w:t>
        </w:r>
        <w:proofErr w:type="spellStart"/>
        <w:r w:rsidRPr="00B6022D">
          <w:rPr>
            <w:rFonts w:eastAsia="Times New Roman"/>
            <w:color w:val="000000"/>
          </w:rPr>
          <w:t>Ordás</w:t>
        </w:r>
        <w:proofErr w:type="spellEnd"/>
        <w:r w:rsidRPr="00B6022D">
          <w:rPr>
            <w:rFonts w:eastAsia="Times New Roman"/>
            <w:color w:val="000000"/>
          </w:rPr>
          <w:t xml:space="preserve"> I, Ullman T, et al. Agreement Between </w:t>
        </w:r>
        <w:proofErr w:type="spellStart"/>
        <w:r w:rsidRPr="00B6022D">
          <w:rPr>
            <w:rFonts w:eastAsia="Times New Roman"/>
            <w:color w:val="000000"/>
          </w:rPr>
          <w:t>Rectosigmoidoscopy</w:t>
        </w:r>
        <w:proofErr w:type="spellEnd"/>
        <w:r w:rsidRPr="00B6022D">
          <w:rPr>
            <w:rFonts w:eastAsia="Times New Roman"/>
            <w:color w:val="000000"/>
          </w:rPr>
          <w:t xml:space="preserve"> and Colonoscopy Analyses of Disease Activity and Healing in Patients </w:t>
        </w:r>
        <w:proofErr w:type="gramStart"/>
        <w:r w:rsidRPr="00B6022D">
          <w:rPr>
            <w:rFonts w:eastAsia="Times New Roman"/>
            <w:color w:val="000000"/>
          </w:rPr>
          <w:t>With</w:t>
        </w:r>
        <w:proofErr w:type="gramEnd"/>
        <w:r w:rsidRPr="00B6022D">
          <w:rPr>
            <w:rFonts w:eastAsia="Times New Roman"/>
            <w:color w:val="000000"/>
          </w:rPr>
          <w:t xml:space="preserve"> Ulcerative Colitis. </w:t>
        </w:r>
        <w:proofErr w:type="spellStart"/>
        <w:r w:rsidRPr="007F0A70">
          <w:rPr>
            <w:rFonts w:eastAsia="Times New Roman"/>
            <w:color w:val="000000"/>
            <w:lang w:val="it-IT"/>
          </w:rPr>
          <w:t>Gastroenterology</w:t>
        </w:r>
        <w:proofErr w:type="spellEnd"/>
        <w:r w:rsidRPr="007F0A70">
          <w:rPr>
            <w:rFonts w:eastAsia="Times New Roman"/>
            <w:color w:val="000000"/>
            <w:lang w:val="it-IT"/>
          </w:rPr>
          <w:t xml:space="preserve"> 2016; 150: 389-395.e3. </w:t>
        </w:r>
        <w:proofErr w:type="gramStart"/>
        <w:r w:rsidRPr="007F0A70">
          <w:rPr>
            <w:rFonts w:eastAsia="Times New Roman"/>
            <w:color w:val="000000"/>
            <w:lang w:val="it-IT"/>
          </w:rPr>
          <w:t>doi:10.1053/j.gastro</w:t>
        </w:r>
        <w:proofErr w:type="gramEnd"/>
        <w:r w:rsidRPr="007F0A70">
          <w:rPr>
            <w:rFonts w:eastAsia="Times New Roman"/>
            <w:color w:val="000000"/>
            <w:lang w:val="it-IT"/>
          </w:rPr>
          <w:t>.2015.10.016</w:t>
        </w:r>
      </w:hyperlink>
    </w:p>
    <w:p w14:paraId="3ABD6104" w14:textId="77777777" w:rsidR="006B1592" w:rsidRPr="00B6022D" w:rsidRDefault="006B1592" w:rsidP="006B1592">
      <w:pPr>
        <w:spacing w:line="360" w:lineRule="auto"/>
        <w:ind w:hanging="504"/>
        <w:rPr>
          <w:rFonts w:ascii="Times New Roman" w:eastAsia="Times New Roman" w:hAnsi="Times New Roman" w:cs="Times New Roman"/>
          <w:sz w:val="24"/>
          <w:szCs w:val="24"/>
        </w:rPr>
      </w:pPr>
      <w:hyperlink r:id="rId37" w:history="1">
        <w:r w:rsidRPr="007F0A70">
          <w:rPr>
            <w:rFonts w:eastAsia="Times New Roman"/>
            <w:color w:val="000000"/>
            <w:lang w:val="it-IT"/>
          </w:rPr>
          <w:t>[25]</w:t>
        </w:r>
        <w:r w:rsidRPr="007F0A70">
          <w:rPr>
            <w:rFonts w:eastAsia="Times New Roman"/>
            <w:color w:val="000000"/>
            <w:lang w:val="it-IT"/>
          </w:rPr>
          <w:tab/>
          <w:t xml:space="preserve">Gui X, </w:t>
        </w:r>
        <w:proofErr w:type="spellStart"/>
        <w:r w:rsidRPr="007F0A70">
          <w:rPr>
            <w:rFonts w:eastAsia="Times New Roman"/>
            <w:color w:val="000000"/>
            <w:lang w:val="it-IT"/>
          </w:rPr>
          <w:t>Bazarova</w:t>
        </w:r>
        <w:proofErr w:type="spellEnd"/>
        <w:r w:rsidRPr="007F0A70">
          <w:rPr>
            <w:rFonts w:eastAsia="Times New Roman"/>
            <w:color w:val="000000"/>
            <w:lang w:val="it-IT"/>
          </w:rPr>
          <w:t xml:space="preserve"> A, Del Amor R, et al. </w:t>
        </w:r>
        <w:proofErr w:type="spellStart"/>
        <w:r w:rsidRPr="00B6022D">
          <w:rPr>
            <w:rFonts w:eastAsia="Times New Roman"/>
            <w:color w:val="000000"/>
          </w:rPr>
          <w:t>PICaSSO</w:t>
        </w:r>
        <w:proofErr w:type="spellEnd"/>
        <w:r w:rsidRPr="00B6022D">
          <w:rPr>
            <w:rFonts w:eastAsia="Times New Roman"/>
            <w:color w:val="000000"/>
          </w:rPr>
          <w:t xml:space="preserve"> Histologic Remission Index (PHRI) in ulcerative colitis: development of a novel simplified histological score for monitoring mucosal healing and predicting clinical outcomes and its applicability in an artificial intelligence system. Gut 2022; 71: 889–898. doi:10.1136/gutjnl-2021-326376</w:t>
        </w:r>
      </w:hyperlink>
    </w:p>
    <w:p w14:paraId="0E3FB9D0" w14:textId="77777777" w:rsidR="006B1592" w:rsidRPr="00B6022D" w:rsidRDefault="006B1592" w:rsidP="006B1592">
      <w:pPr>
        <w:spacing w:line="360" w:lineRule="auto"/>
        <w:rPr>
          <w:rFonts w:ascii="Times New Roman" w:eastAsia="Times New Roman" w:hAnsi="Times New Roman" w:cs="Times New Roman"/>
          <w:sz w:val="24"/>
          <w:szCs w:val="24"/>
        </w:rPr>
      </w:pPr>
    </w:p>
    <w:p w14:paraId="3DC80E7E" w14:textId="77777777" w:rsidR="006B1592" w:rsidRPr="00B6022D" w:rsidRDefault="006B1592" w:rsidP="006B1592">
      <w:pPr>
        <w:spacing w:line="360" w:lineRule="auto"/>
        <w:rPr>
          <w:b/>
        </w:rPr>
      </w:pPr>
      <w:r w:rsidRPr="00B6022D">
        <w:br w:type="page"/>
      </w:r>
    </w:p>
    <w:p w14:paraId="3EE0DEE0" w14:textId="77777777" w:rsidR="006B1592" w:rsidRPr="009F75F6" w:rsidRDefault="006B1592" w:rsidP="006B1592">
      <w:pPr>
        <w:spacing w:line="360" w:lineRule="auto"/>
        <w:jc w:val="both"/>
        <w:rPr>
          <w:b/>
        </w:rPr>
      </w:pPr>
      <w:r w:rsidRPr="009F75F6">
        <w:rPr>
          <w:b/>
        </w:rPr>
        <w:lastRenderedPageBreak/>
        <w:t>References</w:t>
      </w:r>
    </w:p>
    <w:p w14:paraId="53D30ED1" w14:textId="77777777" w:rsidR="006B1592" w:rsidRPr="009F75F6" w:rsidRDefault="006B1592" w:rsidP="006B1592">
      <w:pPr>
        <w:spacing w:line="360" w:lineRule="auto"/>
        <w:jc w:val="both"/>
        <w:rPr>
          <w:b/>
        </w:rPr>
      </w:pPr>
    </w:p>
    <w:p w14:paraId="62EC40CA" w14:textId="77777777" w:rsidR="006B1592" w:rsidRPr="009F75F6" w:rsidRDefault="006B1592" w:rsidP="006B1592">
      <w:pPr>
        <w:spacing w:line="360" w:lineRule="auto"/>
        <w:jc w:val="both"/>
        <w:rPr>
          <w:b/>
        </w:rPr>
      </w:pPr>
      <w:r w:rsidRPr="009F75F6">
        <w:rPr>
          <w:b/>
        </w:rPr>
        <w:t>Legends</w:t>
      </w:r>
    </w:p>
    <w:p w14:paraId="1C7E6F8F" w14:textId="77777777" w:rsidR="006B1592" w:rsidRPr="009F75F6" w:rsidRDefault="006B1592" w:rsidP="006B1592">
      <w:pPr>
        <w:spacing w:line="360" w:lineRule="auto"/>
        <w:jc w:val="both"/>
        <w:rPr>
          <w:b/>
        </w:rPr>
      </w:pPr>
    </w:p>
    <w:p w14:paraId="398A8330" w14:textId="77777777" w:rsidR="006B1592" w:rsidRPr="009F75F6" w:rsidRDefault="006B1592" w:rsidP="006B1592">
      <w:pPr>
        <w:spacing w:line="360" w:lineRule="auto"/>
        <w:jc w:val="both"/>
        <w:rPr>
          <w:b/>
        </w:rPr>
      </w:pPr>
      <w:r w:rsidRPr="009F75F6">
        <w:rPr>
          <w:b/>
        </w:rPr>
        <w:t>Figure 1. Study videos partition</w:t>
      </w:r>
      <w:r w:rsidRPr="009F75F6">
        <w:t xml:space="preserve">. All endoscopy recordings were first edited to separate WLE and VCE parts, then videos were divided in three sets for training, validation, and testing of the AI models to detect ER/activity according to UCEIS and </w:t>
      </w:r>
      <w:proofErr w:type="spellStart"/>
      <w:r w:rsidRPr="009F75F6">
        <w:t>PICaSSO</w:t>
      </w:r>
      <w:proofErr w:type="spellEnd"/>
      <w:r w:rsidRPr="009F75F6">
        <w:t>, predict HR as defined by NHI, RHI and PHRI, and predict future outcomes.</w:t>
      </w:r>
    </w:p>
    <w:p w14:paraId="11D791CC" w14:textId="77777777" w:rsidR="006B1592" w:rsidRPr="009F75F6" w:rsidRDefault="006B1592" w:rsidP="006B1592">
      <w:pPr>
        <w:spacing w:line="360" w:lineRule="auto"/>
        <w:jc w:val="both"/>
        <w:rPr>
          <w:b/>
        </w:rPr>
      </w:pPr>
    </w:p>
    <w:p w14:paraId="1600EBEB" w14:textId="77777777" w:rsidR="006B1592" w:rsidRPr="009F75F6" w:rsidRDefault="006B1592" w:rsidP="006B1592">
      <w:pPr>
        <w:spacing w:line="360" w:lineRule="auto"/>
        <w:jc w:val="both"/>
      </w:pPr>
      <w:r w:rsidRPr="009F75F6">
        <w:rPr>
          <w:b/>
        </w:rPr>
        <w:t>Figure 2. Artificial Intelligence Architecture</w:t>
      </w:r>
      <w:r w:rsidRPr="009F75F6">
        <w:t xml:space="preserve">. The classification stage of a pre-trained ResNet50 CNN classifier was trained to detect healing or active inflammation on video frames. Two separate networks were trained to detect ER/activity according UCEIS and </w:t>
      </w:r>
      <w:proofErr w:type="spellStart"/>
      <w:r w:rsidRPr="009F75F6">
        <w:t>PICaSSO</w:t>
      </w:r>
      <w:proofErr w:type="spellEnd"/>
      <w:r w:rsidRPr="009F75F6">
        <w:t xml:space="preserve"> from frames in WLE-HD and VCE videos, respectively. We present examples of endoscopic images showing features of ER and activity in WLE-HD and VCE that were used to train the model and examples of the AI outputs frames in WLE-HD and VCE.</w:t>
      </w:r>
    </w:p>
    <w:p w14:paraId="3C6761AD" w14:textId="77777777" w:rsidR="006B1592" w:rsidRPr="009F75F6" w:rsidRDefault="006B1592" w:rsidP="006B1592">
      <w:pPr>
        <w:spacing w:line="360" w:lineRule="auto"/>
        <w:jc w:val="both"/>
        <w:rPr>
          <w:b/>
        </w:rPr>
      </w:pPr>
    </w:p>
    <w:p w14:paraId="651AF260" w14:textId="77777777" w:rsidR="006B1592" w:rsidRPr="009F75F6" w:rsidRDefault="006B1592" w:rsidP="006B1592">
      <w:pPr>
        <w:spacing w:line="360" w:lineRule="auto"/>
        <w:jc w:val="both"/>
      </w:pPr>
      <w:r w:rsidRPr="009F75F6">
        <w:rPr>
          <w:b/>
        </w:rPr>
        <w:t xml:space="preserve">Figure 3 Clinical outcome prediction. </w:t>
      </w:r>
      <w:r w:rsidRPr="009F75F6">
        <w:t xml:space="preserve">Kaplan-Meier survival functions for the two groups of patients (ER versus endoscopic activity) were estimated to evaluate the cumulative risk of incurring any of the specified adverse clinical outcomes (surgery, hospitalisation, drug change or optimisation) within 12 months as assessed by human endoscopists (panel A; panel D), by the AI predicted endoscopic score (panel B; E) </w:t>
      </w:r>
    </w:p>
    <w:p w14:paraId="55D1467C" w14:textId="77777777" w:rsidR="006B1592" w:rsidRPr="009F75F6" w:rsidRDefault="006B1592" w:rsidP="006B1592">
      <w:pPr>
        <w:spacing w:line="360" w:lineRule="auto"/>
        <w:jc w:val="both"/>
      </w:pPr>
    </w:p>
    <w:p w14:paraId="5889D551" w14:textId="77777777" w:rsidR="006B1592" w:rsidRPr="009F75F6" w:rsidRDefault="006B1592" w:rsidP="006B1592">
      <w:pPr>
        <w:spacing w:line="360" w:lineRule="auto"/>
        <w:jc w:val="both"/>
      </w:pPr>
      <w:r w:rsidRPr="009F75F6">
        <w:rPr>
          <w:b/>
        </w:rPr>
        <w:t xml:space="preserve">Supplementary Figure 1 </w:t>
      </w:r>
      <w:r w:rsidRPr="009F75F6">
        <w:t xml:space="preserve">Distribution of AUROC values (obtained through </w:t>
      </w:r>
      <w:proofErr w:type="spellStart"/>
      <w:r w:rsidRPr="009F75F6">
        <w:t>boostrapping</w:t>
      </w:r>
      <w:proofErr w:type="spellEnd"/>
      <w:r w:rsidRPr="009F75F6">
        <w:t xml:space="preserve">) to predict any adverse outcome within 12 months for a patient, given their endoscopic assessment at baseline. The different assessment </w:t>
      </w:r>
      <w:proofErr w:type="gramStart"/>
      <w:r w:rsidRPr="009F75F6">
        <w:t>are</w:t>
      </w:r>
      <w:proofErr w:type="gramEnd"/>
      <w:r w:rsidRPr="009F75F6">
        <w:t xml:space="preserve">: UCEIS (UCEIS score as assessed by the endoscopist on WLE-HD), AI UCEIS (probability of presence of active inflammation obtained by the AI trained on WLE-HD), </w:t>
      </w:r>
      <w:proofErr w:type="spellStart"/>
      <w:r w:rsidRPr="009F75F6">
        <w:t>PICaSSO</w:t>
      </w:r>
      <w:proofErr w:type="spellEnd"/>
      <w:r w:rsidRPr="009F75F6">
        <w:t xml:space="preserve"> (</w:t>
      </w:r>
      <w:proofErr w:type="spellStart"/>
      <w:r w:rsidRPr="009F75F6">
        <w:t>PICaSSO</w:t>
      </w:r>
      <w:proofErr w:type="spellEnd"/>
      <w:r w:rsidRPr="009F75F6">
        <w:t xml:space="preserve"> score as assessed by the endoscopist on VCE), AI </w:t>
      </w:r>
      <w:proofErr w:type="spellStart"/>
      <w:r w:rsidRPr="009F75F6">
        <w:t>PICaSSO</w:t>
      </w:r>
      <w:proofErr w:type="spellEnd"/>
      <w:r w:rsidRPr="009F75F6">
        <w:t xml:space="preserve"> (probability of presence of active inflammation obtained by the AI trained on VCE).</w:t>
      </w:r>
    </w:p>
    <w:p w14:paraId="3AC96F33" w14:textId="77777777" w:rsidR="006B1592" w:rsidRPr="009F75F6" w:rsidRDefault="006B1592" w:rsidP="006B1592">
      <w:pPr>
        <w:spacing w:line="360" w:lineRule="auto"/>
        <w:jc w:val="both"/>
      </w:pPr>
      <w:r w:rsidRPr="009F75F6">
        <w:t xml:space="preserve">* </w:t>
      </w:r>
      <w:proofErr w:type="gramStart"/>
      <w:r w:rsidRPr="009F75F6">
        <w:t>means</w:t>
      </w:r>
      <w:proofErr w:type="gramEnd"/>
      <w:r w:rsidRPr="009F75F6">
        <w:t xml:space="preserve"> a</w:t>
      </w:r>
      <w:r>
        <w:t xml:space="preserve"> statistical</w:t>
      </w:r>
      <w:r w:rsidRPr="009F75F6">
        <w:t xml:space="preserve"> significant difference between two AUROCs with p&lt;0.05  </w:t>
      </w:r>
    </w:p>
    <w:p w14:paraId="5CBBCB25" w14:textId="77777777" w:rsidR="006B1592" w:rsidRPr="009F75F6" w:rsidRDefault="006B1592" w:rsidP="006B1592">
      <w:pPr>
        <w:spacing w:line="360" w:lineRule="auto"/>
        <w:jc w:val="both"/>
      </w:pPr>
    </w:p>
    <w:p w14:paraId="2B6D3F8E" w14:textId="77777777" w:rsidR="006B1592" w:rsidRPr="009F75F6" w:rsidRDefault="006B1592" w:rsidP="006B1592">
      <w:pPr>
        <w:spacing w:line="360" w:lineRule="auto"/>
        <w:jc w:val="both"/>
        <w:rPr>
          <w:b/>
        </w:rPr>
      </w:pPr>
      <w:r w:rsidRPr="009F75F6">
        <w:rPr>
          <w:b/>
        </w:rPr>
        <w:t xml:space="preserve">Video: </w:t>
      </w:r>
      <w:r w:rsidRPr="009F75F6">
        <w:t xml:space="preserve">Example of the AI system detection of endoscopy remission or activity in WLE-HD and VCE videos. </w:t>
      </w:r>
      <w:proofErr w:type="gramStart"/>
      <w:r w:rsidRPr="009F75F6">
        <w:t>All of</w:t>
      </w:r>
      <w:proofErr w:type="gramEnd"/>
      <w:r w:rsidRPr="009F75F6">
        <w:t xml:space="preserve"> the AI outputs are provided in real-time.</w:t>
      </w:r>
    </w:p>
    <w:p w14:paraId="192C00C2" w14:textId="77777777" w:rsidR="006B1592" w:rsidRPr="009F75F6" w:rsidRDefault="006B1592" w:rsidP="006B1592">
      <w:pPr>
        <w:spacing w:line="360" w:lineRule="auto"/>
        <w:jc w:val="both"/>
      </w:pPr>
    </w:p>
    <w:p w14:paraId="4825C19B" w14:textId="77777777" w:rsidR="006B1592" w:rsidRDefault="006B1592" w:rsidP="006B1592">
      <w:r>
        <w:br w:type="page"/>
      </w:r>
    </w:p>
    <w:p w14:paraId="6B813AD0" w14:textId="77777777" w:rsidR="006B1592" w:rsidRPr="009F75F6" w:rsidRDefault="006B1592" w:rsidP="006B1592">
      <w:pPr>
        <w:spacing w:line="360" w:lineRule="auto"/>
        <w:jc w:val="both"/>
        <w:rPr>
          <w:b/>
        </w:rPr>
      </w:pPr>
    </w:p>
    <w:p w14:paraId="57BA1FCB" w14:textId="77777777" w:rsidR="006B1592" w:rsidRPr="009F75F6" w:rsidRDefault="006B1592" w:rsidP="006B1592">
      <w:pPr>
        <w:jc w:val="both"/>
        <w:rPr>
          <w:b/>
        </w:rPr>
      </w:pPr>
      <w:r w:rsidRPr="009F75F6">
        <w:rPr>
          <w:b/>
        </w:rPr>
        <w:t>Table 1</w:t>
      </w:r>
      <w:r>
        <w:rPr>
          <w:b/>
        </w:rPr>
        <w:t>.</w:t>
      </w:r>
      <w:r w:rsidRPr="009F75F6">
        <w:rPr>
          <w:b/>
        </w:rPr>
        <w:t xml:space="preserve"> </w:t>
      </w:r>
      <w:proofErr w:type="gramStart"/>
      <w:r w:rsidRPr="009F75F6">
        <w:rPr>
          <w:b/>
        </w:rPr>
        <w:t>Patients</w:t>
      </w:r>
      <w:proofErr w:type="gramEnd"/>
      <w:r w:rsidRPr="009F75F6">
        <w:rPr>
          <w:b/>
        </w:rPr>
        <w:t xml:space="preserve"> demographics and characteristics</w:t>
      </w:r>
    </w:p>
    <w:tbl>
      <w:tblPr>
        <w:tblStyle w:val="TableGrid"/>
        <w:tblW w:w="0" w:type="auto"/>
        <w:tblLook w:val="04A0" w:firstRow="1" w:lastRow="0" w:firstColumn="1" w:lastColumn="0" w:noHBand="0" w:noVBand="1"/>
      </w:tblPr>
      <w:tblGrid>
        <w:gridCol w:w="4508"/>
        <w:gridCol w:w="2251"/>
        <w:gridCol w:w="2257"/>
      </w:tblGrid>
      <w:tr w:rsidR="006B1592" w14:paraId="6CA6A936" w14:textId="77777777" w:rsidTr="00540CF5">
        <w:tc>
          <w:tcPr>
            <w:tcW w:w="4675" w:type="dxa"/>
          </w:tcPr>
          <w:p w14:paraId="1A628DAF" w14:textId="77777777" w:rsidR="006B1592" w:rsidRDefault="006B1592" w:rsidP="00540CF5">
            <w:pPr>
              <w:jc w:val="both"/>
              <w:rPr>
                <w:b/>
              </w:rPr>
            </w:pPr>
            <w:r w:rsidRPr="00A410AC">
              <w:rPr>
                <w:rFonts w:eastAsia="Calibri"/>
                <w:b/>
                <w:sz w:val="24"/>
                <w:szCs w:val="24"/>
              </w:rPr>
              <w:t>Characteristics</w:t>
            </w:r>
          </w:p>
        </w:tc>
        <w:tc>
          <w:tcPr>
            <w:tcW w:w="4675" w:type="dxa"/>
            <w:gridSpan w:val="2"/>
          </w:tcPr>
          <w:p w14:paraId="51E22B5E" w14:textId="77777777" w:rsidR="006B1592" w:rsidRPr="00A410AC" w:rsidRDefault="006B1592" w:rsidP="00540CF5">
            <w:pPr>
              <w:rPr>
                <w:rFonts w:eastAsia="Calibri"/>
                <w:b/>
                <w:sz w:val="24"/>
                <w:szCs w:val="24"/>
              </w:rPr>
            </w:pPr>
            <w:r w:rsidRPr="00A410AC">
              <w:rPr>
                <w:rFonts w:eastAsia="Calibri"/>
                <w:b/>
                <w:sz w:val="24"/>
                <w:szCs w:val="24"/>
              </w:rPr>
              <w:t>Patients (n=283)</w:t>
            </w:r>
          </w:p>
        </w:tc>
      </w:tr>
      <w:tr w:rsidR="006B1592" w14:paraId="4E005582" w14:textId="77777777" w:rsidTr="00540CF5">
        <w:tc>
          <w:tcPr>
            <w:tcW w:w="4675" w:type="dxa"/>
          </w:tcPr>
          <w:p w14:paraId="50B66451" w14:textId="77777777" w:rsidR="006B1592" w:rsidRDefault="006B1592" w:rsidP="00540CF5">
            <w:pPr>
              <w:jc w:val="both"/>
              <w:rPr>
                <w:b/>
              </w:rPr>
            </w:pPr>
            <w:r w:rsidRPr="00A410AC">
              <w:rPr>
                <w:rFonts w:eastAsia="Calibri"/>
                <w:sz w:val="24"/>
                <w:szCs w:val="24"/>
              </w:rPr>
              <w:t xml:space="preserve">Age (y) mean ± </w:t>
            </w:r>
            <w:proofErr w:type="spellStart"/>
            <w:r w:rsidRPr="00A410AC">
              <w:rPr>
                <w:rFonts w:eastAsia="Calibri"/>
                <w:sz w:val="24"/>
                <w:szCs w:val="24"/>
              </w:rPr>
              <w:t>sd</w:t>
            </w:r>
            <w:proofErr w:type="spellEnd"/>
          </w:p>
        </w:tc>
        <w:tc>
          <w:tcPr>
            <w:tcW w:w="4675" w:type="dxa"/>
            <w:gridSpan w:val="2"/>
          </w:tcPr>
          <w:p w14:paraId="00336041" w14:textId="77777777" w:rsidR="006B1592" w:rsidRPr="00A410AC" w:rsidRDefault="006B1592" w:rsidP="00540CF5">
            <w:pPr>
              <w:rPr>
                <w:rFonts w:eastAsia="Calibri"/>
                <w:sz w:val="24"/>
                <w:szCs w:val="24"/>
              </w:rPr>
            </w:pPr>
            <w:r w:rsidRPr="00A410AC">
              <w:rPr>
                <w:rFonts w:eastAsia="Calibri"/>
                <w:sz w:val="24"/>
                <w:szCs w:val="24"/>
              </w:rPr>
              <w:t>48.2 ± 14.8</w:t>
            </w:r>
          </w:p>
        </w:tc>
      </w:tr>
      <w:tr w:rsidR="006B1592" w14:paraId="4A3C2C2F" w14:textId="77777777" w:rsidTr="00540CF5">
        <w:tc>
          <w:tcPr>
            <w:tcW w:w="4675" w:type="dxa"/>
          </w:tcPr>
          <w:p w14:paraId="7DDD4965" w14:textId="77777777" w:rsidR="006B1592" w:rsidRDefault="006B1592" w:rsidP="00540CF5">
            <w:pPr>
              <w:jc w:val="both"/>
              <w:rPr>
                <w:b/>
              </w:rPr>
            </w:pPr>
            <w:r w:rsidRPr="00A410AC">
              <w:rPr>
                <w:rFonts w:eastAsia="Calibri"/>
                <w:sz w:val="24"/>
                <w:szCs w:val="24"/>
              </w:rPr>
              <w:t>Male sex n (%)</w:t>
            </w:r>
          </w:p>
        </w:tc>
        <w:tc>
          <w:tcPr>
            <w:tcW w:w="4675" w:type="dxa"/>
            <w:gridSpan w:val="2"/>
          </w:tcPr>
          <w:p w14:paraId="2D55A8DF" w14:textId="77777777" w:rsidR="006B1592" w:rsidRPr="00A410AC" w:rsidRDefault="006B1592" w:rsidP="00540CF5">
            <w:pPr>
              <w:rPr>
                <w:rFonts w:eastAsia="Calibri"/>
                <w:sz w:val="24"/>
                <w:szCs w:val="24"/>
              </w:rPr>
            </w:pPr>
            <w:r w:rsidRPr="00A410AC">
              <w:rPr>
                <w:rFonts w:eastAsia="Calibri"/>
                <w:sz w:val="24"/>
                <w:szCs w:val="24"/>
              </w:rPr>
              <w:t>165 (58%)</w:t>
            </w:r>
          </w:p>
        </w:tc>
      </w:tr>
      <w:tr w:rsidR="006B1592" w14:paraId="571A7374" w14:textId="77777777" w:rsidTr="00540CF5">
        <w:tc>
          <w:tcPr>
            <w:tcW w:w="4675" w:type="dxa"/>
          </w:tcPr>
          <w:p w14:paraId="0177D142" w14:textId="77777777" w:rsidR="006B1592" w:rsidRDefault="006B1592" w:rsidP="00540CF5">
            <w:pPr>
              <w:jc w:val="both"/>
              <w:rPr>
                <w:b/>
              </w:rPr>
            </w:pPr>
            <w:r w:rsidRPr="00A410AC">
              <w:rPr>
                <w:rFonts w:eastAsia="Calibri"/>
                <w:sz w:val="24"/>
                <w:szCs w:val="24"/>
              </w:rPr>
              <w:t xml:space="preserve">Disease duration (y) mean ± </w:t>
            </w:r>
            <w:proofErr w:type="spellStart"/>
            <w:r w:rsidRPr="00A410AC">
              <w:rPr>
                <w:rFonts w:eastAsia="Calibri"/>
                <w:sz w:val="24"/>
                <w:szCs w:val="24"/>
              </w:rPr>
              <w:t>sd</w:t>
            </w:r>
            <w:proofErr w:type="spellEnd"/>
          </w:p>
        </w:tc>
        <w:tc>
          <w:tcPr>
            <w:tcW w:w="4675" w:type="dxa"/>
            <w:gridSpan w:val="2"/>
          </w:tcPr>
          <w:p w14:paraId="6CA37DB5" w14:textId="77777777" w:rsidR="006B1592" w:rsidRPr="00A410AC" w:rsidRDefault="006B1592" w:rsidP="00540CF5">
            <w:pPr>
              <w:rPr>
                <w:rFonts w:eastAsia="Calibri"/>
                <w:sz w:val="24"/>
                <w:szCs w:val="24"/>
              </w:rPr>
            </w:pPr>
            <w:r w:rsidRPr="00A410AC">
              <w:rPr>
                <w:rFonts w:eastAsia="Calibri"/>
                <w:sz w:val="24"/>
                <w:szCs w:val="24"/>
              </w:rPr>
              <w:t>14.7 ± 10</w:t>
            </w:r>
          </w:p>
        </w:tc>
      </w:tr>
      <w:tr w:rsidR="006B1592" w14:paraId="466E195A" w14:textId="77777777" w:rsidTr="00540CF5">
        <w:tc>
          <w:tcPr>
            <w:tcW w:w="4675" w:type="dxa"/>
          </w:tcPr>
          <w:p w14:paraId="2CCC0155" w14:textId="77777777" w:rsidR="006B1592" w:rsidRDefault="006B1592" w:rsidP="00540CF5">
            <w:pPr>
              <w:jc w:val="both"/>
              <w:rPr>
                <w:b/>
              </w:rPr>
            </w:pPr>
            <w:r w:rsidRPr="00A410AC">
              <w:rPr>
                <w:rFonts w:eastAsia="Calibri"/>
                <w:sz w:val="24"/>
                <w:szCs w:val="24"/>
              </w:rPr>
              <w:t>Primary Sclerosing Cholangitis</w:t>
            </w:r>
          </w:p>
        </w:tc>
        <w:tc>
          <w:tcPr>
            <w:tcW w:w="4675" w:type="dxa"/>
            <w:gridSpan w:val="2"/>
          </w:tcPr>
          <w:p w14:paraId="295BEBB4" w14:textId="77777777" w:rsidR="006B1592" w:rsidRPr="00A410AC" w:rsidRDefault="006B1592" w:rsidP="00540CF5">
            <w:pPr>
              <w:rPr>
                <w:rFonts w:eastAsia="Calibri"/>
                <w:sz w:val="24"/>
                <w:szCs w:val="24"/>
              </w:rPr>
            </w:pPr>
            <w:r w:rsidRPr="00A410AC">
              <w:rPr>
                <w:rFonts w:eastAsia="Calibri"/>
                <w:sz w:val="24"/>
                <w:szCs w:val="24"/>
              </w:rPr>
              <w:t>37 (13%)</w:t>
            </w:r>
          </w:p>
        </w:tc>
      </w:tr>
      <w:tr w:rsidR="006B1592" w14:paraId="767BB5A5" w14:textId="77777777" w:rsidTr="00540CF5">
        <w:tc>
          <w:tcPr>
            <w:tcW w:w="4675" w:type="dxa"/>
          </w:tcPr>
          <w:p w14:paraId="08CF7E0C" w14:textId="77777777" w:rsidR="006B1592" w:rsidRPr="00A410AC" w:rsidRDefault="006B1592" w:rsidP="00540CF5">
            <w:pPr>
              <w:jc w:val="both"/>
              <w:rPr>
                <w:rFonts w:eastAsia="Calibri"/>
                <w:b/>
                <w:sz w:val="24"/>
                <w:szCs w:val="24"/>
              </w:rPr>
            </w:pPr>
            <w:r w:rsidRPr="00A410AC">
              <w:rPr>
                <w:rFonts w:eastAsia="Calibri"/>
                <w:b/>
                <w:sz w:val="24"/>
                <w:szCs w:val="24"/>
              </w:rPr>
              <w:t>Extension n (%)</w:t>
            </w:r>
          </w:p>
          <w:p w14:paraId="1B233880" w14:textId="77777777" w:rsidR="006B1592" w:rsidRPr="00A410AC" w:rsidRDefault="006B1592" w:rsidP="00540CF5">
            <w:pPr>
              <w:jc w:val="both"/>
              <w:rPr>
                <w:rFonts w:eastAsia="Calibri"/>
                <w:sz w:val="24"/>
                <w:szCs w:val="24"/>
              </w:rPr>
            </w:pPr>
            <w:r w:rsidRPr="00A410AC">
              <w:rPr>
                <w:rFonts w:eastAsia="Calibri"/>
                <w:sz w:val="24"/>
                <w:szCs w:val="24"/>
              </w:rPr>
              <w:t>Left-sided colitis</w:t>
            </w:r>
          </w:p>
          <w:p w14:paraId="313B4B6F" w14:textId="77777777" w:rsidR="006B1592" w:rsidRPr="00A410AC" w:rsidRDefault="006B1592" w:rsidP="00540CF5">
            <w:pPr>
              <w:jc w:val="both"/>
              <w:rPr>
                <w:rFonts w:eastAsia="Calibri"/>
                <w:sz w:val="24"/>
                <w:szCs w:val="24"/>
              </w:rPr>
            </w:pPr>
            <w:r w:rsidRPr="00A410AC">
              <w:rPr>
                <w:rFonts w:eastAsia="Calibri"/>
                <w:sz w:val="24"/>
                <w:szCs w:val="24"/>
              </w:rPr>
              <w:t>Sub-total or total colitis</w:t>
            </w:r>
          </w:p>
          <w:p w14:paraId="4AC9BF5C" w14:textId="77777777" w:rsidR="006B1592" w:rsidRDefault="006B1592" w:rsidP="00540CF5">
            <w:pPr>
              <w:jc w:val="both"/>
              <w:rPr>
                <w:b/>
              </w:rPr>
            </w:pPr>
            <w:r w:rsidRPr="00A410AC">
              <w:rPr>
                <w:rFonts w:eastAsia="Calibri"/>
                <w:sz w:val="24"/>
                <w:szCs w:val="24"/>
              </w:rPr>
              <w:t>Missing data</w:t>
            </w:r>
          </w:p>
        </w:tc>
        <w:tc>
          <w:tcPr>
            <w:tcW w:w="4675" w:type="dxa"/>
            <w:gridSpan w:val="2"/>
          </w:tcPr>
          <w:p w14:paraId="38BF04B0" w14:textId="77777777" w:rsidR="006B1592" w:rsidRPr="00A410AC" w:rsidRDefault="006B1592" w:rsidP="00540CF5">
            <w:pPr>
              <w:rPr>
                <w:rFonts w:eastAsia="Calibri"/>
                <w:b/>
                <w:sz w:val="24"/>
                <w:szCs w:val="24"/>
              </w:rPr>
            </w:pPr>
          </w:p>
          <w:p w14:paraId="1323ACBB" w14:textId="77777777" w:rsidR="006B1592" w:rsidRPr="00A410AC" w:rsidRDefault="006B1592" w:rsidP="00540CF5">
            <w:pPr>
              <w:rPr>
                <w:rFonts w:eastAsia="Calibri"/>
                <w:sz w:val="24"/>
                <w:szCs w:val="24"/>
              </w:rPr>
            </w:pPr>
            <w:r w:rsidRPr="00A410AC">
              <w:rPr>
                <w:rFonts w:eastAsia="Calibri"/>
                <w:sz w:val="24"/>
                <w:szCs w:val="24"/>
              </w:rPr>
              <w:t>122 (43.1%)</w:t>
            </w:r>
          </w:p>
          <w:p w14:paraId="5AA63EC6" w14:textId="77777777" w:rsidR="006B1592" w:rsidRPr="00A410AC" w:rsidRDefault="006B1592" w:rsidP="00540CF5">
            <w:pPr>
              <w:rPr>
                <w:rFonts w:eastAsia="Calibri"/>
                <w:sz w:val="24"/>
                <w:szCs w:val="24"/>
              </w:rPr>
            </w:pPr>
            <w:r w:rsidRPr="00A410AC">
              <w:rPr>
                <w:rFonts w:eastAsia="Calibri"/>
                <w:sz w:val="24"/>
                <w:szCs w:val="24"/>
              </w:rPr>
              <w:t>159 (56.2%)</w:t>
            </w:r>
          </w:p>
          <w:p w14:paraId="36C31EA7" w14:textId="77777777" w:rsidR="006B1592" w:rsidRPr="00A410AC" w:rsidRDefault="006B1592" w:rsidP="00540CF5">
            <w:pPr>
              <w:rPr>
                <w:rFonts w:eastAsia="Calibri"/>
                <w:sz w:val="24"/>
                <w:szCs w:val="24"/>
              </w:rPr>
            </w:pPr>
            <w:r w:rsidRPr="00A410AC">
              <w:rPr>
                <w:rFonts w:eastAsia="Calibri"/>
                <w:sz w:val="24"/>
                <w:szCs w:val="24"/>
              </w:rPr>
              <w:t>2 (0.7%)</w:t>
            </w:r>
          </w:p>
        </w:tc>
      </w:tr>
      <w:tr w:rsidR="006B1592" w14:paraId="4A82B86D" w14:textId="77777777" w:rsidTr="00540CF5">
        <w:tc>
          <w:tcPr>
            <w:tcW w:w="4675" w:type="dxa"/>
          </w:tcPr>
          <w:p w14:paraId="02F47800" w14:textId="77777777" w:rsidR="006B1592" w:rsidRPr="00A410AC" w:rsidRDefault="006B1592" w:rsidP="00540CF5">
            <w:pPr>
              <w:jc w:val="both"/>
              <w:rPr>
                <w:rFonts w:eastAsia="Calibri"/>
                <w:b/>
                <w:sz w:val="24"/>
                <w:szCs w:val="24"/>
              </w:rPr>
            </w:pPr>
            <w:r w:rsidRPr="00A410AC">
              <w:rPr>
                <w:rFonts w:eastAsia="Calibri"/>
                <w:b/>
                <w:sz w:val="24"/>
                <w:szCs w:val="24"/>
              </w:rPr>
              <w:t>Therapy in last 12 months n (%)</w:t>
            </w:r>
          </w:p>
          <w:p w14:paraId="77AC519E" w14:textId="77777777" w:rsidR="006B1592" w:rsidRPr="00A410AC" w:rsidRDefault="006B1592" w:rsidP="00540CF5">
            <w:pPr>
              <w:jc w:val="both"/>
              <w:rPr>
                <w:rFonts w:eastAsia="Calibri"/>
                <w:sz w:val="24"/>
                <w:szCs w:val="24"/>
              </w:rPr>
            </w:pPr>
            <w:r w:rsidRPr="00A410AC">
              <w:rPr>
                <w:rFonts w:eastAsia="Calibri"/>
                <w:sz w:val="24"/>
                <w:szCs w:val="24"/>
              </w:rPr>
              <w:t>No treatment</w:t>
            </w:r>
          </w:p>
          <w:p w14:paraId="28C40E64" w14:textId="77777777" w:rsidR="006B1592" w:rsidRPr="00A410AC" w:rsidRDefault="006B1592" w:rsidP="00540CF5">
            <w:pPr>
              <w:jc w:val="both"/>
              <w:rPr>
                <w:rFonts w:eastAsia="Calibri"/>
                <w:sz w:val="24"/>
                <w:szCs w:val="24"/>
              </w:rPr>
            </w:pPr>
            <w:r w:rsidRPr="00A410AC">
              <w:rPr>
                <w:rFonts w:eastAsia="Calibri"/>
                <w:sz w:val="24"/>
                <w:szCs w:val="24"/>
              </w:rPr>
              <w:t>5-ASA</w:t>
            </w:r>
          </w:p>
          <w:p w14:paraId="0468E3C7" w14:textId="77777777" w:rsidR="006B1592" w:rsidRPr="00A410AC" w:rsidRDefault="006B1592" w:rsidP="00540CF5">
            <w:pPr>
              <w:jc w:val="both"/>
              <w:rPr>
                <w:rFonts w:eastAsia="Calibri"/>
                <w:sz w:val="24"/>
                <w:szCs w:val="24"/>
              </w:rPr>
            </w:pPr>
            <w:r w:rsidRPr="00A410AC">
              <w:rPr>
                <w:rFonts w:eastAsia="Calibri"/>
                <w:sz w:val="24"/>
                <w:szCs w:val="24"/>
              </w:rPr>
              <w:t>Corticosteroids</w:t>
            </w:r>
          </w:p>
          <w:p w14:paraId="46F70DC7" w14:textId="77777777" w:rsidR="006B1592" w:rsidRPr="00A410AC" w:rsidRDefault="006B1592" w:rsidP="00540CF5">
            <w:pPr>
              <w:jc w:val="both"/>
              <w:rPr>
                <w:rFonts w:eastAsia="Calibri"/>
                <w:sz w:val="24"/>
                <w:szCs w:val="24"/>
              </w:rPr>
            </w:pPr>
            <w:r w:rsidRPr="00A410AC">
              <w:rPr>
                <w:rFonts w:eastAsia="Calibri"/>
                <w:sz w:val="24"/>
                <w:szCs w:val="24"/>
              </w:rPr>
              <w:t>Immunomodulators</w:t>
            </w:r>
          </w:p>
          <w:p w14:paraId="0ED865E2" w14:textId="77777777" w:rsidR="006B1592" w:rsidRDefault="006B1592" w:rsidP="00540CF5">
            <w:pPr>
              <w:jc w:val="both"/>
              <w:rPr>
                <w:b/>
              </w:rPr>
            </w:pPr>
            <w:r w:rsidRPr="00A410AC">
              <w:rPr>
                <w:rFonts w:eastAsia="Calibri"/>
                <w:sz w:val="24"/>
                <w:szCs w:val="24"/>
              </w:rPr>
              <w:t>Biologics</w:t>
            </w:r>
          </w:p>
        </w:tc>
        <w:tc>
          <w:tcPr>
            <w:tcW w:w="4675" w:type="dxa"/>
            <w:gridSpan w:val="2"/>
          </w:tcPr>
          <w:p w14:paraId="1EC959BC" w14:textId="77777777" w:rsidR="006B1592" w:rsidRPr="00A410AC" w:rsidRDefault="006B1592" w:rsidP="00540CF5">
            <w:pPr>
              <w:rPr>
                <w:rFonts w:eastAsia="Calibri"/>
                <w:sz w:val="24"/>
                <w:szCs w:val="24"/>
              </w:rPr>
            </w:pPr>
          </w:p>
          <w:p w14:paraId="2D84317A" w14:textId="77777777" w:rsidR="006B1592" w:rsidRPr="00A410AC" w:rsidRDefault="006B1592" w:rsidP="00540CF5">
            <w:pPr>
              <w:rPr>
                <w:rFonts w:eastAsia="Calibri"/>
                <w:sz w:val="24"/>
                <w:szCs w:val="24"/>
              </w:rPr>
            </w:pPr>
            <w:r w:rsidRPr="00A410AC">
              <w:rPr>
                <w:rFonts w:eastAsia="Calibri"/>
                <w:sz w:val="24"/>
                <w:szCs w:val="24"/>
              </w:rPr>
              <w:t>15 (5.3%)</w:t>
            </w:r>
          </w:p>
          <w:p w14:paraId="436AE74B" w14:textId="77777777" w:rsidR="006B1592" w:rsidRPr="00A410AC" w:rsidRDefault="006B1592" w:rsidP="00540CF5">
            <w:pPr>
              <w:rPr>
                <w:rFonts w:eastAsia="Calibri"/>
                <w:sz w:val="24"/>
                <w:szCs w:val="24"/>
              </w:rPr>
            </w:pPr>
            <w:r w:rsidRPr="00A410AC">
              <w:rPr>
                <w:rFonts w:eastAsia="Calibri"/>
                <w:sz w:val="24"/>
                <w:szCs w:val="24"/>
              </w:rPr>
              <w:t>220 (77.7%)</w:t>
            </w:r>
          </w:p>
          <w:p w14:paraId="7737F724" w14:textId="77777777" w:rsidR="006B1592" w:rsidRPr="00A410AC" w:rsidRDefault="006B1592" w:rsidP="00540CF5">
            <w:pPr>
              <w:rPr>
                <w:rFonts w:eastAsia="Calibri"/>
                <w:sz w:val="24"/>
                <w:szCs w:val="24"/>
              </w:rPr>
            </w:pPr>
            <w:r w:rsidRPr="00A410AC">
              <w:rPr>
                <w:rFonts w:eastAsia="Calibri"/>
                <w:sz w:val="24"/>
                <w:szCs w:val="24"/>
              </w:rPr>
              <w:t>71 (25.0%)</w:t>
            </w:r>
          </w:p>
          <w:p w14:paraId="39112A8C" w14:textId="77777777" w:rsidR="006B1592" w:rsidRPr="00A410AC" w:rsidRDefault="006B1592" w:rsidP="00540CF5">
            <w:pPr>
              <w:rPr>
                <w:rFonts w:eastAsia="Calibri"/>
                <w:sz w:val="24"/>
                <w:szCs w:val="24"/>
              </w:rPr>
            </w:pPr>
            <w:r w:rsidRPr="00A410AC">
              <w:rPr>
                <w:rFonts w:eastAsia="Calibri"/>
                <w:sz w:val="24"/>
                <w:szCs w:val="24"/>
              </w:rPr>
              <w:t>69 (24.4%)</w:t>
            </w:r>
          </w:p>
          <w:p w14:paraId="629A0A1C" w14:textId="77777777" w:rsidR="006B1592" w:rsidRPr="00A410AC" w:rsidRDefault="006B1592" w:rsidP="00540CF5">
            <w:pPr>
              <w:rPr>
                <w:rFonts w:eastAsia="Calibri"/>
                <w:sz w:val="24"/>
                <w:szCs w:val="24"/>
              </w:rPr>
            </w:pPr>
            <w:r w:rsidRPr="00A410AC">
              <w:rPr>
                <w:rFonts w:eastAsia="Calibri"/>
                <w:sz w:val="24"/>
                <w:szCs w:val="24"/>
              </w:rPr>
              <w:t>105 (37.1%)</w:t>
            </w:r>
          </w:p>
        </w:tc>
      </w:tr>
      <w:tr w:rsidR="006B1592" w14:paraId="170A5D5A" w14:textId="77777777" w:rsidTr="00540CF5">
        <w:tc>
          <w:tcPr>
            <w:tcW w:w="4675" w:type="dxa"/>
          </w:tcPr>
          <w:p w14:paraId="13EA08CA" w14:textId="77777777" w:rsidR="006B1592" w:rsidRPr="00A410AC" w:rsidRDefault="006B1592" w:rsidP="00540CF5">
            <w:pPr>
              <w:jc w:val="both"/>
              <w:rPr>
                <w:rFonts w:eastAsia="Calibri"/>
                <w:b/>
                <w:sz w:val="24"/>
                <w:szCs w:val="24"/>
              </w:rPr>
            </w:pPr>
            <w:r w:rsidRPr="00A410AC">
              <w:rPr>
                <w:rFonts w:eastAsia="Calibri"/>
                <w:b/>
                <w:sz w:val="24"/>
                <w:szCs w:val="24"/>
              </w:rPr>
              <w:t>Mayo Endoscopic Score n (%)</w:t>
            </w:r>
          </w:p>
          <w:p w14:paraId="145FE309" w14:textId="77777777" w:rsidR="006B1592" w:rsidRPr="00A410AC" w:rsidRDefault="006B1592" w:rsidP="00540CF5">
            <w:pPr>
              <w:jc w:val="both"/>
              <w:rPr>
                <w:rFonts w:eastAsia="Calibri"/>
                <w:sz w:val="24"/>
                <w:szCs w:val="24"/>
              </w:rPr>
            </w:pPr>
            <w:r w:rsidRPr="00A410AC">
              <w:rPr>
                <w:rFonts w:eastAsia="Calibri"/>
                <w:sz w:val="24"/>
                <w:szCs w:val="24"/>
              </w:rPr>
              <w:t>Mayo 0</w:t>
            </w:r>
          </w:p>
          <w:p w14:paraId="3D9585D8" w14:textId="77777777" w:rsidR="006B1592" w:rsidRPr="00A410AC" w:rsidRDefault="006B1592" w:rsidP="00540CF5">
            <w:pPr>
              <w:jc w:val="both"/>
              <w:rPr>
                <w:rFonts w:eastAsia="Calibri"/>
                <w:sz w:val="24"/>
                <w:szCs w:val="24"/>
              </w:rPr>
            </w:pPr>
            <w:r w:rsidRPr="00A410AC">
              <w:rPr>
                <w:rFonts w:eastAsia="Calibri"/>
                <w:sz w:val="24"/>
                <w:szCs w:val="24"/>
              </w:rPr>
              <w:t>Mayo 1</w:t>
            </w:r>
          </w:p>
          <w:p w14:paraId="2C3C8470" w14:textId="77777777" w:rsidR="006B1592" w:rsidRPr="00A410AC" w:rsidRDefault="006B1592" w:rsidP="00540CF5">
            <w:pPr>
              <w:jc w:val="both"/>
              <w:rPr>
                <w:rFonts w:eastAsia="Calibri"/>
                <w:sz w:val="24"/>
                <w:szCs w:val="24"/>
              </w:rPr>
            </w:pPr>
            <w:r w:rsidRPr="00A410AC">
              <w:rPr>
                <w:rFonts w:eastAsia="Calibri"/>
                <w:sz w:val="24"/>
                <w:szCs w:val="24"/>
              </w:rPr>
              <w:t>Mayo 2</w:t>
            </w:r>
          </w:p>
          <w:p w14:paraId="28B195C7" w14:textId="77777777" w:rsidR="006B1592" w:rsidRPr="00A410AC" w:rsidRDefault="006B1592" w:rsidP="00540CF5">
            <w:pPr>
              <w:jc w:val="both"/>
              <w:rPr>
                <w:rFonts w:eastAsia="Calibri"/>
                <w:sz w:val="24"/>
                <w:szCs w:val="24"/>
              </w:rPr>
            </w:pPr>
            <w:r w:rsidRPr="00A410AC">
              <w:rPr>
                <w:rFonts w:eastAsia="Calibri"/>
                <w:sz w:val="24"/>
                <w:szCs w:val="24"/>
              </w:rPr>
              <w:t>Mayo 3</w:t>
            </w:r>
          </w:p>
          <w:p w14:paraId="3FCBCC02" w14:textId="77777777" w:rsidR="006B1592" w:rsidRDefault="006B1592" w:rsidP="00540CF5">
            <w:pPr>
              <w:jc w:val="both"/>
              <w:rPr>
                <w:b/>
              </w:rPr>
            </w:pPr>
            <w:r w:rsidRPr="00A410AC">
              <w:rPr>
                <w:rFonts w:eastAsia="Calibri"/>
                <w:sz w:val="24"/>
                <w:szCs w:val="24"/>
              </w:rPr>
              <w:t>Missing data</w:t>
            </w:r>
          </w:p>
        </w:tc>
        <w:tc>
          <w:tcPr>
            <w:tcW w:w="4675" w:type="dxa"/>
            <w:gridSpan w:val="2"/>
          </w:tcPr>
          <w:p w14:paraId="085E44F8" w14:textId="77777777" w:rsidR="006B1592" w:rsidRDefault="006B1592" w:rsidP="00540CF5">
            <w:pPr>
              <w:jc w:val="both"/>
              <w:rPr>
                <w:b/>
              </w:rPr>
            </w:pPr>
          </w:p>
          <w:p w14:paraId="23888236" w14:textId="77777777" w:rsidR="006B1592" w:rsidRPr="00A410AC" w:rsidRDefault="006B1592" w:rsidP="00540CF5">
            <w:pPr>
              <w:rPr>
                <w:rFonts w:eastAsia="Calibri"/>
                <w:sz w:val="24"/>
                <w:szCs w:val="24"/>
              </w:rPr>
            </w:pPr>
            <w:r w:rsidRPr="00A410AC">
              <w:rPr>
                <w:rFonts w:eastAsia="Calibri"/>
                <w:sz w:val="24"/>
                <w:szCs w:val="24"/>
              </w:rPr>
              <w:t>156 (55.1%)</w:t>
            </w:r>
          </w:p>
          <w:p w14:paraId="46F81A39" w14:textId="77777777" w:rsidR="006B1592" w:rsidRPr="00A410AC" w:rsidRDefault="006B1592" w:rsidP="00540CF5">
            <w:pPr>
              <w:rPr>
                <w:rFonts w:eastAsia="Calibri"/>
                <w:sz w:val="24"/>
                <w:szCs w:val="24"/>
              </w:rPr>
            </w:pPr>
            <w:r w:rsidRPr="00A410AC">
              <w:rPr>
                <w:rFonts w:eastAsia="Calibri"/>
                <w:sz w:val="24"/>
                <w:szCs w:val="24"/>
              </w:rPr>
              <w:t>46 (16.3%)</w:t>
            </w:r>
          </w:p>
          <w:p w14:paraId="3712D6EC" w14:textId="77777777" w:rsidR="006B1592" w:rsidRPr="00A410AC" w:rsidRDefault="006B1592" w:rsidP="00540CF5">
            <w:pPr>
              <w:rPr>
                <w:rFonts w:eastAsia="Calibri"/>
                <w:sz w:val="24"/>
                <w:szCs w:val="24"/>
              </w:rPr>
            </w:pPr>
            <w:r w:rsidRPr="00A410AC">
              <w:rPr>
                <w:rFonts w:eastAsia="Calibri"/>
                <w:sz w:val="24"/>
                <w:szCs w:val="24"/>
              </w:rPr>
              <w:t>52 (18.4%)</w:t>
            </w:r>
          </w:p>
          <w:p w14:paraId="68CBE9E2" w14:textId="77777777" w:rsidR="006B1592" w:rsidRPr="00A410AC" w:rsidRDefault="006B1592" w:rsidP="00540CF5">
            <w:pPr>
              <w:rPr>
                <w:rFonts w:eastAsia="Calibri"/>
                <w:sz w:val="24"/>
                <w:szCs w:val="24"/>
              </w:rPr>
            </w:pPr>
            <w:r w:rsidRPr="00A410AC">
              <w:rPr>
                <w:rFonts w:eastAsia="Calibri"/>
                <w:sz w:val="24"/>
                <w:szCs w:val="24"/>
              </w:rPr>
              <w:t>27 (9.5%)</w:t>
            </w:r>
          </w:p>
          <w:p w14:paraId="71D86E3F" w14:textId="77777777" w:rsidR="006B1592" w:rsidRDefault="006B1592" w:rsidP="00540CF5">
            <w:pPr>
              <w:jc w:val="both"/>
              <w:rPr>
                <w:b/>
              </w:rPr>
            </w:pPr>
            <w:r w:rsidRPr="00A410AC">
              <w:rPr>
                <w:rFonts w:eastAsia="Calibri"/>
                <w:sz w:val="24"/>
                <w:szCs w:val="24"/>
              </w:rPr>
              <w:t>2 (0.7%)</w:t>
            </w:r>
          </w:p>
        </w:tc>
      </w:tr>
      <w:tr w:rsidR="006B1592" w14:paraId="63A37543" w14:textId="77777777" w:rsidTr="00540CF5">
        <w:tc>
          <w:tcPr>
            <w:tcW w:w="4675" w:type="dxa"/>
          </w:tcPr>
          <w:p w14:paraId="03ABFFEB" w14:textId="77777777" w:rsidR="006B1592" w:rsidRPr="00A410AC" w:rsidRDefault="006B1592" w:rsidP="00540CF5">
            <w:pPr>
              <w:jc w:val="both"/>
              <w:rPr>
                <w:rFonts w:eastAsia="Calibri"/>
                <w:b/>
                <w:sz w:val="24"/>
                <w:szCs w:val="24"/>
              </w:rPr>
            </w:pPr>
            <w:r w:rsidRPr="00A410AC">
              <w:rPr>
                <w:rFonts w:eastAsia="Calibri"/>
                <w:b/>
                <w:sz w:val="24"/>
                <w:szCs w:val="24"/>
              </w:rPr>
              <w:t>UCEIS</w:t>
            </w:r>
          </w:p>
          <w:p w14:paraId="78859304" w14:textId="77777777" w:rsidR="006B1592" w:rsidRPr="00A410AC" w:rsidRDefault="006B1592" w:rsidP="00540CF5">
            <w:pPr>
              <w:jc w:val="both"/>
            </w:pPr>
            <w:r w:rsidRPr="00A410AC">
              <w:rPr>
                <w:rFonts w:eastAsia="Calibri"/>
                <w:sz w:val="24"/>
                <w:szCs w:val="24"/>
              </w:rPr>
              <w:t xml:space="preserve">Remission </w:t>
            </w:r>
            <w:r w:rsidRPr="00A410AC">
              <w:rPr>
                <w:rFonts w:eastAsia="Arial Unicode MS"/>
              </w:rPr>
              <w:t>(≤1)</w:t>
            </w:r>
          </w:p>
          <w:p w14:paraId="3765E695" w14:textId="77777777" w:rsidR="006B1592" w:rsidRPr="00A410AC" w:rsidRDefault="006B1592" w:rsidP="00540CF5">
            <w:pPr>
              <w:jc w:val="both"/>
              <w:rPr>
                <w:rFonts w:eastAsia="Calibri"/>
                <w:b/>
                <w:sz w:val="24"/>
                <w:szCs w:val="24"/>
              </w:rPr>
            </w:pPr>
            <w:r w:rsidRPr="00A410AC">
              <w:t>Active (&gt;1)</w:t>
            </w:r>
          </w:p>
        </w:tc>
        <w:tc>
          <w:tcPr>
            <w:tcW w:w="2337" w:type="dxa"/>
          </w:tcPr>
          <w:p w14:paraId="5B4BABC8" w14:textId="77777777" w:rsidR="006B1592" w:rsidRPr="00A410AC" w:rsidRDefault="006B1592" w:rsidP="00540CF5">
            <w:pPr>
              <w:jc w:val="both"/>
              <w:rPr>
                <w:rFonts w:eastAsia="Calibri"/>
                <w:b/>
                <w:sz w:val="24"/>
                <w:szCs w:val="24"/>
              </w:rPr>
            </w:pPr>
            <w:r w:rsidRPr="00A410AC">
              <w:rPr>
                <w:rFonts w:eastAsia="Calibri"/>
                <w:b/>
                <w:sz w:val="24"/>
                <w:szCs w:val="24"/>
              </w:rPr>
              <w:t>Rectum</w:t>
            </w:r>
          </w:p>
          <w:p w14:paraId="010A06B4" w14:textId="77777777" w:rsidR="006B1592" w:rsidRPr="00A410AC" w:rsidRDefault="006B1592" w:rsidP="00540CF5">
            <w:pPr>
              <w:jc w:val="both"/>
              <w:rPr>
                <w:rFonts w:eastAsia="Calibri"/>
                <w:sz w:val="24"/>
                <w:szCs w:val="24"/>
              </w:rPr>
            </w:pPr>
            <w:r w:rsidRPr="00A410AC">
              <w:rPr>
                <w:rFonts w:eastAsia="Calibri"/>
                <w:sz w:val="24"/>
                <w:szCs w:val="24"/>
              </w:rPr>
              <w:t>200 (71%)</w:t>
            </w:r>
          </w:p>
          <w:p w14:paraId="78AFE235" w14:textId="77777777" w:rsidR="006B1592" w:rsidRDefault="006B1592" w:rsidP="00540CF5">
            <w:pPr>
              <w:jc w:val="both"/>
              <w:rPr>
                <w:b/>
              </w:rPr>
            </w:pPr>
            <w:r w:rsidRPr="00A410AC">
              <w:rPr>
                <w:rFonts w:eastAsia="Calibri"/>
                <w:sz w:val="24"/>
                <w:szCs w:val="24"/>
              </w:rPr>
              <w:t>83 (29%)</w:t>
            </w:r>
          </w:p>
        </w:tc>
        <w:tc>
          <w:tcPr>
            <w:tcW w:w="2338" w:type="dxa"/>
          </w:tcPr>
          <w:p w14:paraId="0E85FBA7" w14:textId="77777777" w:rsidR="006B1592" w:rsidRPr="00A410AC" w:rsidRDefault="006B1592" w:rsidP="00540CF5">
            <w:pPr>
              <w:jc w:val="both"/>
              <w:rPr>
                <w:rFonts w:eastAsia="Calibri"/>
                <w:b/>
                <w:sz w:val="24"/>
                <w:szCs w:val="24"/>
              </w:rPr>
            </w:pPr>
            <w:r w:rsidRPr="00A410AC">
              <w:rPr>
                <w:rFonts w:eastAsia="Calibri"/>
                <w:b/>
                <w:sz w:val="24"/>
                <w:szCs w:val="24"/>
              </w:rPr>
              <w:t>Sigmoid</w:t>
            </w:r>
          </w:p>
          <w:p w14:paraId="4513E001" w14:textId="77777777" w:rsidR="006B1592" w:rsidRPr="00A410AC" w:rsidRDefault="006B1592" w:rsidP="00540CF5">
            <w:pPr>
              <w:jc w:val="both"/>
              <w:rPr>
                <w:rFonts w:eastAsia="Calibri"/>
                <w:sz w:val="24"/>
                <w:szCs w:val="24"/>
              </w:rPr>
            </w:pPr>
            <w:r w:rsidRPr="00A410AC">
              <w:rPr>
                <w:rFonts w:eastAsia="Calibri"/>
                <w:sz w:val="24"/>
                <w:szCs w:val="24"/>
              </w:rPr>
              <w:t>208 (73%)</w:t>
            </w:r>
          </w:p>
          <w:p w14:paraId="268551E5" w14:textId="77777777" w:rsidR="006B1592" w:rsidRDefault="006B1592" w:rsidP="00540CF5">
            <w:pPr>
              <w:jc w:val="both"/>
              <w:rPr>
                <w:b/>
              </w:rPr>
            </w:pPr>
            <w:r w:rsidRPr="00A410AC">
              <w:rPr>
                <w:rFonts w:eastAsia="Calibri"/>
                <w:sz w:val="24"/>
                <w:szCs w:val="24"/>
              </w:rPr>
              <w:t>75 (</w:t>
            </w:r>
            <w:r>
              <w:rPr>
                <w:rFonts w:eastAsia="Calibri"/>
                <w:sz w:val="24"/>
                <w:szCs w:val="24"/>
              </w:rPr>
              <w:t>2</w:t>
            </w:r>
            <w:r w:rsidRPr="00A410AC">
              <w:rPr>
                <w:rFonts w:eastAsia="Calibri"/>
                <w:sz w:val="24"/>
                <w:szCs w:val="24"/>
              </w:rPr>
              <w:t>7%)</w:t>
            </w:r>
          </w:p>
        </w:tc>
      </w:tr>
      <w:tr w:rsidR="006B1592" w14:paraId="73BAEB44" w14:textId="77777777" w:rsidTr="00540CF5">
        <w:tc>
          <w:tcPr>
            <w:tcW w:w="4675" w:type="dxa"/>
          </w:tcPr>
          <w:p w14:paraId="10D67897" w14:textId="77777777" w:rsidR="006B1592" w:rsidRPr="00A410AC" w:rsidRDefault="006B1592" w:rsidP="00540CF5">
            <w:pPr>
              <w:jc w:val="both"/>
              <w:rPr>
                <w:b/>
              </w:rPr>
            </w:pPr>
            <w:proofErr w:type="spellStart"/>
            <w:r w:rsidRPr="00A410AC">
              <w:rPr>
                <w:b/>
              </w:rPr>
              <w:t>PICaSSO</w:t>
            </w:r>
            <w:proofErr w:type="spellEnd"/>
            <w:r w:rsidRPr="00A410AC">
              <w:rPr>
                <w:b/>
              </w:rPr>
              <w:t xml:space="preserve"> Score</w:t>
            </w:r>
          </w:p>
          <w:p w14:paraId="0EDCE5E4" w14:textId="77777777" w:rsidR="006B1592" w:rsidRPr="00A410AC" w:rsidRDefault="006B1592" w:rsidP="00540CF5">
            <w:pPr>
              <w:jc w:val="both"/>
            </w:pPr>
            <w:r w:rsidRPr="00A410AC">
              <w:t>Remission (&lt;3)</w:t>
            </w:r>
          </w:p>
          <w:p w14:paraId="4B6C15AC" w14:textId="77777777" w:rsidR="006B1592" w:rsidRPr="00A410AC" w:rsidRDefault="006B1592" w:rsidP="00540CF5">
            <w:pPr>
              <w:jc w:val="both"/>
              <w:rPr>
                <w:rFonts w:eastAsia="Calibri"/>
                <w:b/>
                <w:sz w:val="24"/>
                <w:szCs w:val="24"/>
              </w:rPr>
            </w:pPr>
            <w:r w:rsidRPr="00A410AC">
              <w:rPr>
                <w:rFonts w:eastAsia="Arial Unicode MS"/>
              </w:rPr>
              <w:t>Active (≥3)</w:t>
            </w:r>
          </w:p>
        </w:tc>
        <w:tc>
          <w:tcPr>
            <w:tcW w:w="2337" w:type="dxa"/>
          </w:tcPr>
          <w:p w14:paraId="0C884A05" w14:textId="77777777" w:rsidR="006B1592" w:rsidRPr="00A410AC" w:rsidRDefault="006B1592" w:rsidP="00540CF5">
            <w:pPr>
              <w:jc w:val="both"/>
              <w:rPr>
                <w:rFonts w:eastAsia="Calibri"/>
                <w:sz w:val="24"/>
                <w:szCs w:val="24"/>
              </w:rPr>
            </w:pPr>
          </w:p>
          <w:p w14:paraId="638C4FD2" w14:textId="77777777" w:rsidR="006B1592" w:rsidRPr="00A410AC" w:rsidRDefault="006B1592" w:rsidP="00540CF5">
            <w:pPr>
              <w:jc w:val="both"/>
              <w:rPr>
                <w:rFonts w:eastAsia="Calibri"/>
                <w:sz w:val="24"/>
                <w:szCs w:val="24"/>
              </w:rPr>
            </w:pPr>
            <w:r w:rsidRPr="00A410AC">
              <w:rPr>
                <w:rFonts w:eastAsia="Calibri"/>
                <w:sz w:val="24"/>
                <w:szCs w:val="24"/>
              </w:rPr>
              <w:t>191 (69%)</w:t>
            </w:r>
          </w:p>
          <w:p w14:paraId="18DF195D" w14:textId="77777777" w:rsidR="006B1592" w:rsidRDefault="006B1592" w:rsidP="00540CF5">
            <w:pPr>
              <w:jc w:val="both"/>
              <w:rPr>
                <w:b/>
              </w:rPr>
            </w:pPr>
            <w:r w:rsidRPr="00A410AC">
              <w:rPr>
                <w:rFonts w:eastAsia="Calibri"/>
                <w:sz w:val="24"/>
                <w:szCs w:val="24"/>
              </w:rPr>
              <w:t>86 (31%)</w:t>
            </w:r>
          </w:p>
        </w:tc>
        <w:tc>
          <w:tcPr>
            <w:tcW w:w="2338" w:type="dxa"/>
          </w:tcPr>
          <w:p w14:paraId="41DCB1BE" w14:textId="77777777" w:rsidR="006B1592" w:rsidRDefault="006B1592" w:rsidP="00540CF5">
            <w:pPr>
              <w:jc w:val="both"/>
              <w:rPr>
                <w:rFonts w:eastAsia="Calibri"/>
                <w:sz w:val="24"/>
                <w:szCs w:val="24"/>
              </w:rPr>
            </w:pPr>
          </w:p>
          <w:p w14:paraId="4A9B9F43" w14:textId="77777777" w:rsidR="006B1592" w:rsidRPr="00A410AC" w:rsidRDefault="006B1592" w:rsidP="00540CF5">
            <w:pPr>
              <w:jc w:val="both"/>
              <w:rPr>
                <w:rFonts w:eastAsia="Calibri"/>
                <w:sz w:val="24"/>
                <w:szCs w:val="24"/>
              </w:rPr>
            </w:pPr>
            <w:r w:rsidRPr="00A410AC">
              <w:rPr>
                <w:rFonts w:eastAsia="Calibri"/>
                <w:sz w:val="24"/>
                <w:szCs w:val="24"/>
              </w:rPr>
              <w:t xml:space="preserve">221 (78%) </w:t>
            </w:r>
          </w:p>
          <w:p w14:paraId="4F39B3FE" w14:textId="77777777" w:rsidR="006B1592" w:rsidRDefault="006B1592" w:rsidP="00540CF5">
            <w:pPr>
              <w:jc w:val="both"/>
              <w:rPr>
                <w:b/>
              </w:rPr>
            </w:pPr>
            <w:r w:rsidRPr="00A410AC">
              <w:rPr>
                <w:rFonts w:eastAsia="Calibri"/>
                <w:sz w:val="24"/>
                <w:szCs w:val="24"/>
              </w:rPr>
              <w:t>62 (22%)</w:t>
            </w:r>
          </w:p>
        </w:tc>
      </w:tr>
    </w:tbl>
    <w:p w14:paraId="64E0814B" w14:textId="77777777" w:rsidR="006B1592" w:rsidRPr="009F75F6" w:rsidRDefault="006B1592" w:rsidP="006B1592">
      <w:pPr>
        <w:jc w:val="both"/>
      </w:pPr>
    </w:p>
    <w:p w14:paraId="13CD022D" w14:textId="77777777" w:rsidR="006B1592" w:rsidRPr="009F75F6" w:rsidRDefault="006B1592" w:rsidP="006B1592">
      <w:pPr>
        <w:jc w:val="both"/>
      </w:pPr>
      <w:r w:rsidRPr="009F75F6">
        <w:t>*</w:t>
      </w:r>
      <w:proofErr w:type="gramStart"/>
      <w:r w:rsidRPr="009F75F6">
        <w:t>missing</w:t>
      </w:r>
      <w:proofErr w:type="gramEnd"/>
      <w:r w:rsidRPr="009F75F6">
        <w:t xml:space="preserve"> data due to inadequate bowel preparation precluding the endoscopic scoring. These patients were not included in the overall analysis.</w:t>
      </w:r>
    </w:p>
    <w:p w14:paraId="3AD9295A" w14:textId="77777777" w:rsidR="006B1592" w:rsidRPr="009F75F6" w:rsidRDefault="006B1592" w:rsidP="006B1592">
      <w:pPr>
        <w:jc w:val="both"/>
        <w:rPr>
          <w:b/>
        </w:rPr>
      </w:pPr>
    </w:p>
    <w:p w14:paraId="38143398" w14:textId="77777777" w:rsidR="006B1592" w:rsidRPr="009F75F6" w:rsidRDefault="006B1592" w:rsidP="006B1592">
      <w:pPr>
        <w:jc w:val="both"/>
        <w:rPr>
          <w:b/>
        </w:rPr>
      </w:pPr>
    </w:p>
    <w:p w14:paraId="7A0C1626" w14:textId="77777777" w:rsidR="006B1592" w:rsidRPr="009F75F6" w:rsidRDefault="006B1592" w:rsidP="006B1592">
      <w:pPr>
        <w:jc w:val="both"/>
        <w:rPr>
          <w:b/>
        </w:rPr>
      </w:pPr>
    </w:p>
    <w:p w14:paraId="3CBA9808" w14:textId="77777777" w:rsidR="006B1592" w:rsidRPr="009F75F6" w:rsidRDefault="006B1592" w:rsidP="006B1592">
      <w:pPr>
        <w:jc w:val="both"/>
        <w:rPr>
          <w:b/>
        </w:rPr>
      </w:pPr>
      <w:r w:rsidRPr="009F75F6">
        <w:rPr>
          <w:b/>
        </w:rPr>
        <w:t xml:space="preserve"> </w:t>
      </w:r>
    </w:p>
    <w:p w14:paraId="5D6737DB" w14:textId="77777777" w:rsidR="006B1592" w:rsidRPr="009F75F6" w:rsidRDefault="006B1592" w:rsidP="006B1592">
      <w:pPr>
        <w:jc w:val="both"/>
        <w:rPr>
          <w:b/>
        </w:rPr>
      </w:pPr>
      <w:r w:rsidRPr="009F75F6">
        <w:rPr>
          <w:b/>
        </w:rPr>
        <w:t xml:space="preserve"> </w:t>
      </w:r>
    </w:p>
    <w:p w14:paraId="5BD6BB4D" w14:textId="77777777" w:rsidR="006B1592" w:rsidRDefault="006B1592" w:rsidP="006B1592">
      <w:pPr>
        <w:rPr>
          <w:b/>
        </w:rPr>
      </w:pPr>
      <w:r>
        <w:rPr>
          <w:b/>
        </w:rPr>
        <w:br w:type="page"/>
      </w:r>
    </w:p>
    <w:p w14:paraId="57DC64A5" w14:textId="77777777" w:rsidR="006B1592" w:rsidRPr="009F75F6" w:rsidRDefault="006B1592" w:rsidP="006B1592">
      <w:pPr>
        <w:rPr>
          <w:b/>
        </w:rPr>
      </w:pPr>
      <w:r w:rsidRPr="009F75F6">
        <w:rPr>
          <w:b/>
        </w:rPr>
        <w:lastRenderedPageBreak/>
        <w:t>Table 2</w:t>
      </w:r>
      <w:r>
        <w:rPr>
          <w:b/>
        </w:rPr>
        <w:t>.</w:t>
      </w:r>
      <w:r w:rsidRPr="009F75F6">
        <w:rPr>
          <w:b/>
        </w:rPr>
        <w:t xml:space="preserve"> Algorithm performance in prediction of endoscopic healing according to </w:t>
      </w:r>
      <w:proofErr w:type="spellStart"/>
      <w:r w:rsidRPr="009F75F6">
        <w:rPr>
          <w:b/>
        </w:rPr>
        <w:t>PICaSSO</w:t>
      </w:r>
      <w:proofErr w:type="spellEnd"/>
      <w:r w:rsidRPr="009F75F6">
        <w:rPr>
          <w:b/>
        </w:rPr>
        <w:t xml:space="preserve"> score with VCE, and to UCEIS with WLE-HD.</w:t>
      </w:r>
    </w:p>
    <w:p w14:paraId="3D0DE875" w14:textId="77777777" w:rsidR="006B1592" w:rsidRPr="009F75F6" w:rsidRDefault="006B1592" w:rsidP="006B1592">
      <w:pPr>
        <w:spacing w:line="360" w:lineRule="auto"/>
        <w:jc w:val="both"/>
        <w:rPr>
          <w:b/>
        </w:rPr>
      </w:pPr>
    </w:p>
    <w:p w14:paraId="599B942A" w14:textId="77777777" w:rsidR="006B1592" w:rsidRPr="009F75F6" w:rsidRDefault="006B1592" w:rsidP="006B1592">
      <w:pPr>
        <w:spacing w:line="360" w:lineRule="auto"/>
        <w:jc w:val="both"/>
        <w:rPr>
          <w:b/>
        </w:rPr>
      </w:pP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1550"/>
        <w:gridCol w:w="1180"/>
        <w:gridCol w:w="1225"/>
        <w:gridCol w:w="1338"/>
        <w:gridCol w:w="1431"/>
        <w:gridCol w:w="1348"/>
        <w:gridCol w:w="1287"/>
      </w:tblGrid>
      <w:tr w:rsidR="006B1592" w:rsidRPr="00A1428A" w14:paraId="76FAC351" w14:textId="77777777" w:rsidTr="00540CF5">
        <w:trPr>
          <w:trHeight w:val="1135"/>
        </w:trPr>
        <w:tc>
          <w:tcPr>
            <w:tcW w:w="1550" w:type="dxa"/>
            <w:tcBorders>
              <w:top w:val="single" w:sz="8" w:space="0" w:color="5B9BD5"/>
              <w:left w:val="single" w:sz="8" w:space="0" w:color="5B9BD5"/>
              <w:bottom w:val="single" w:sz="16" w:space="0" w:color="5B9BD5"/>
              <w:right w:val="single" w:sz="8" w:space="0" w:color="5B9BD5"/>
            </w:tcBorders>
            <w:tcMar>
              <w:top w:w="20" w:type="dxa"/>
              <w:left w:w="100" w:type="dxa"/>
              <w:bottom w:w="100" w:type="dxa"/>
              <w:right w:w="100" w:type="dxa"/>
            </w:tcMar>
            <w:vAlign w:val="center"/>
          </w:tcPr>
          <w:p w14:paraId="408FE9EC"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Diagnostic performance</w:t>
            </w:r>
          </w:p>
        </w:tc>
        <w:tc>
          <w:tcPr>
            <w:tcW w:w="3743" w:type="dxa"/>
            <w:gridSpan w:val="3"/>
            <w:tcBorders>
              <w:top w:val="single" w:sz="8" w:space="0" w:color="5B9BD5"/>
              <w:left w:val="single" w:sz="8" w:space="0" w:color="5B9BD5"/>
              <w:bottom w:val="single" w:sz="16" w:space="0" w:color="5B9BD5"/>
              <w:right w:val="single" w:sz="8" w:space="0" w:color="5B9BD5"/>
            </w:tcBorders>
            <w:tcMar>
              <w:top w:w="20" w:type="dxa"/>
              <w:left w:w="100" w:type="dxa"/>
              <w:bottom w:w="100" w:type="dxa"/>
              <w:right w:w="100" w:type="dxa"/>
            </w:tcMar>
            <w:vAlign w:val="center"/>
          </w:tcPr>
          <w:p w14:paraId="6C0DD454" w14:textId="77777777" w:rsidR="006B1592" w:rsidRPr="00A1428A" w:rsidRDefault="006B1592" w:rsidP="00540CF5">
            <w:pPr>
              <w:spacing w:line="360" w:lineRule="auto"/>
              <w:jc w:val="center"/>
              <w:rPr>
                <w:rFonts w:eastAsia="Calibri"/>
                <w:b/>
                <w:color w:val="002060"/>
                <w:sz w:val="20"/>
                <w:szCs w:val="20"/>
              </w:rPr>
            </w:pPr>
            <w:proofErr w:type="spellStart"/>
            <w:r w:rsidRPr="00A1428A">
              <w:rPr>
                <w:rFonts w:eastAsia="Calibri"/>
                <w:b/>
                <w:color w:val="002060"/>
                <w:sz w:val="20"/>
                <w:szCs w:val="20"/>
              </w:rPr>
              <w:t>PICaSSO</w:t>
            </w:r>
            <w:proofErr w:type="spellEnd"/>
            <w:r w:rsidRPr="00A1428A">
              <w:rPr>
                <w:rFonts w:eastAsia="Calibri"/>
                <w:b/>
                <w:color w:val="002060"/>
                <w:sz w:val="20"/>
                <w:szCs w:val="20"/>
              </w:rPr>
              <w:t xml:space="preserve"> ≤3 or &gt;3</w:t>
            </w:r>
          </w:p>
        </w:tc>
        <w:tc>
          <w:tcPr>
            <w:tcW w:w="4066" w:type="dxa"/>
            <w:gridSpan w:val="3"/>
            <w:tcBorders>
              <w:top w:val="single" w:sz="8" w:space="0" w:color="5B9BD5"/>
              <w:left w:val="single" w:sz="8" w:space="0" w:color="5B9BD5"/>
              <w:bottom w:val="single" w:sz="16" w:space="0" w:color="5B9BD5"/>
              <w:right w:val="single" w:sz="8" w:space="0" w:color="5B9BD5"/>
            </w:tcBorders>
            <w:shd w:val="clear" w:color="auto" w:fill="auto"/>
            <w:tcMar>
              <w:top w:w="20" w:type="dxa"/>
              <w:left w:w="100" w:type="dxa"/>
              <w:bottom w:w="100" w:type="dxa"/>
              <w:right w:w="100" w:type="dxa"/>
            </w:tcMar>
            <w:vAlign w:val="center"/>
          </w:tcPr>
          <w:p w14:paraId="6997934C"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UCEIS ≤1 or &gt; 1</w:t>
            </w:r>
          </w:p>
        </w:tc>
      </w:tr>
      <w:tr w:rsidR="006B1592" w:rsidRPr="00A1428A" w14:paraId="265075DA" w14:textId="77777777" w:rsidTr="00540CF5">
        <w:trPr>
          <w:trHeight w:val="490"/>
        </w:trPr>
        <w:tc>
          <w:tcPr>
            <w:tcW w:w="1550" w:type="dxa"/>
            <w:tcBorders>
              <w:top w:val="single" w:sz="16"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0D23EC2C" w14:textId="77777777" w:rsidR="006B1592" w:rsidRPr="00A1428A" w:rsidRDefault="006B1592" w:rsidP="00540CF5">
            <w:pPr>
              <w:widowControl w:val="0"/>
              <w:pBdr>
                <w:top w:val="nil"/>
                <w:left w:val="nil"/>
                <w:bottom w:val="nil"/>
                <w:right w:val="nil"/>
                <w:between w:val="nil"/>
              </w:pBdr>
              <w:rPr>
                <w:b/>
                <w:sz w:val="20"/>
                <w:szCs w:val="20"/>
              </w:rPr>
            </w:pPr>
          </w:p>
        </w:tc>
        <w:tc>
          <w:tcPr>
            <w:tcW w:w="1180" w:type="dxa"/>
            <w:tcBorders>
              <w:top w:val="single" w:sz="16"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3627FD45"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Validation</w:t>
            </w:r>
          </w:p>
        </w:tc>
        <w:tc>
          <w:tcPr>
            <w:tcW w:w="2563" w:type="dxa"/>
            <w:gridSpan w:val="2"/>
            <w:tcBorders>
              <w:top w:val="single" w:sz="16"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372C1D21"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Testing</w:t>
            </w:r>
          </w:p>
        </w:tc>
        <w:tc>
          <w:tcPr>
            <w:tcW w:w="1431" w:type="dxa"/>
            <w:tcBorders>
              <w:top w:val="single" w:sz="16"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32664565"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Validation</w:t>
            </w:r>
          </w:p>
        </w:tc>
        <w:tc>
          <w:tcPr>
            <w:tcW w:w="2635" w:type="dxa"/>
            <w:gridSpan w:val="2"/>
            <w:tcBorders>
              <w:top w:val="single" w:sz="16"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1880F555"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Testing</w:t>
            </w:r>
          </w:p>
        </w:tc>
      </w:tr>
      <w:tr w:rsidR="006B1592" w:rsidRPr="00A1428A" w14:paraId="7E689D1D" w14:textId="77777777" w:rsidTr="00540CF5">
        <w:trPr>
          <w:trHeight w:val="1120"/>
        </w:trPr>
        <w:tc>
          <w:tcPr>
            <w:tcW w:w="155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77C5F9F8" w14:textId="77777777" w:rsidR="006B1592" w:rsidRPr="00A1428A" w:rsidRDefault="006B1592" w:rsidP="00540CF5">
            <w:pPr>
              <w:widowControl w:val="0"/>
              <w:pBdr>
                <w:top w:val="nil"/>
                <w:left w:val="nil"/>
                <w:bottom w:val="nil"/>
                <w:right w:val="nil"/>
                <w:between w:val="nil"/>
              </w:pBdr>
              <w:rPr>
                <w:b/>
                <w:sz w:val="20"/>
                <w:szCs w:val="20"/>
              </w:rPr>
            </w:pPr>
          </w:p>
        </w:tc>
        <w:tc>
          <w:tcPr>
            <w:tcW w:w="118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01138DC4"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VCE</w:t>
            </w:r>
          </w:p>
          <w:p w14:paraId="6632569E"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62 videos</w:t>
            </w:r>
          </w:p>
        </w:tc>
        <w:tc>
          <w:tcPr>
            <w:tcW w:w="1225"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3431D101"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VCE</w:t>
            </w:r>
          </w:p>
          <w:p w14:paraId="762BDDFD"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244 videos</w:t>
            </w:r>
          </w:p>
        </w:tc>
        <w:tc>
          <w:tcPr>
            <w:tcW w:w="133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0BF02FD2"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VCE</w:t>
            </w:r>
          </w:p>
          <w:p w14:paraId="186736FA"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196 HQ Videos</w:t>
            </w:r>
          </w:p>
        </w:tc>
        <w:tc>
          <w:tcPr>
            <w:tcW w:w="1431"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AB4C453"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WLE-HD</w:t>
            </w:r>
          </w:p>
          <w:p w14:paraId="13DC8423"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58 videos</w:t>
            </w:r>
          </w:p>
        </w:tc>
        <w:tc>
          <w:tcPr>
            <w:tcW w:w="134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0DC60058"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WLE-HD</w:t>
            </w:r>
          </w:p>
          <w:p w14:paraId="0007EA58"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222 videos</w:t>
            </w:r>
          </w:p>
        </w:tc>
        <w:tc>
          <w:tcPr>
            <w:tcW w:w="1287"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AB5D230"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WLE-HD</w:t>
            </w:r>
          </w:p>
          <w:p w14:paraId="3C4D5953" w14:textId="77777777" w:rsidR="006B1592" w:rsidRPr="00A1428A" w:rsidRDefault="006B1592" w:rsidP="00540CF5">
            <w:pPr>
              <w:spacing w:line="360" w:lineRule="auto"/>
              <w:jc w:val="center"/>
              <w:rPr>
                <w:rFonts w:eastAsia="Calibri"/>
                <w:b/>
                <w:color w:val="002060"/>
                <w:sz w:val="20"/>
                <w:szCs w:val="20"/>
              </w:rPr>
            </w:pPr>
            <w:r w:rsidRPr="00A1428A">
              <w:rPr>
                <w:rFonts w:eastAsia="Calibri"/>
                <w:b/>
                <w:color w:val="002060"/>
                <w:sz w:val="20"/>
                <w:szCs w:val="20"/>
              </w:rPr>
              <w:t>170 HQ videos</w:t>
            </w:r>
          </w:p>
        </w:tc>
      </w:tr>
      <w:tr w:rsidR="006B1592" w:rsidRPr="00A1428A" w14:paraId="564D6160"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0E606B2F"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Sensitivity</w:t>
            </w:r>
          </w:p>
        </w:tc>
        <w:tc>
          <w:tcPr>
            <w:tcW w:w="1180"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23FC911D"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0.89 (0.66 - 0.98</w:t>
            </w:r>
            <w:r>
              <w:rPr>
                <w:rFonts w:eastAsia="Calibri"/>
                <w:color w:val="002060"/>
                <w:sz w:val="20"/>
                <w:szCs w:val="20"/>
              </w:rPr>
              <w:t>)</w:t>
            </w:r>
          </w:p>
        </w:tc>
        <w:tc>
          <w:tcPr>
            <w:tcW w:w="1225"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2B57D15D"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0.79 (0.63-0.90)</w:t>
            </w:r>
          </w:p>
        </w:tc>
        <w:tc>
          <w:tcPr>
            <w:tcW w:w="1338"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6307AFBB"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0.86 (0.68-0.96)</w:t>
            </w:r>
          </w:p>
        </w:tc>
        <w:tc>
          <w:tcPr>
            <w:tcW w:w="1431"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38ED75B2"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0.83 (0.61-0.95)</w:t>
            </w:r>
          </w:p>
        </w:tc>
        <w:tc>
          <w:tcPr>
            <w:tcW w:w="1348"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08C90290"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0.72 (0.55-0.85)</w:t>
            </w:r>
          </w:p>
        </w:tc>
        <w:tc>
          <w:tcPr>
            <w:tcW w:w="1287"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2273FA13"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0.79 (0.60-0.92)</w:t>
            </w:r>
          </w:p>
        </w:tc>
      </w:tr>
      <w:tr w:rsidR="006B1592" w:rsidRPr="00A1428A" w14:paraId="21F82240"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719D7BBC"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Specificity</w:t>
            </w:r>
          </w:p>
        </w:tc>
        <w:tc>
          <w:tcPr>
            <w:tcW w:w="118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1A0CFA9"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0.93 (0.81 – 0.99)</w:t>
            </w:r>
          </w:p>
        </w:tc>
        <w:tc>
          <w:tcPr>
            <w:tcW w:w="1225"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514B63AE"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0.95 (0.91-0.98)</w:t>
            </w:r>
          </w:p>
        </w:tc>
        <w:tc>
          <w:tcPr>
            <w:tcW w:w="133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543BE985"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0.95 (0.90-0.98)</w:t>
            </w:r>
          </w:p>
        </w:tc>
        <w:tc>
          <w:tcPr>
            <w:tcW w:w="1431"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197A6EF5"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0.94 (0.81-0.99)</w:t>
            </w:r>
          </w:p>
        </w:tc>
        <w:tc>
          <w:tcPr>
            <w:tcW w:w="134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08FF661A"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0.87 (0.81-0.91)</w:t>
            </w:r>
          </w:p>
        </w:tc>
        <w:tc>
          <w:tcPr>
            <w:tcW w:w="1287"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8FCB6A8"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0.89 (0.83-0.94)</w:t>
            </w:r>
          </w:p>
        </w:tc>
      </w:tr>
      <w:tr w:rsidR="006B1592" w:rsidRPr="00A1428A" w14:paraId="2EAA891E"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4746B536"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PPV</w:t>
            </w:r>
          </w:p>
        </w:tc>
        <w:tc>
          <w:tcPr>
            <w:tcW w:w="1180"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7EA2A8C9"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0.85 (0.65-0.94)</w:t>
            </w:r>
          </w:p>
        </w:tc>
        <w:tc>
          <w:tcPr>
            <w:tcW w:w="1225"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413234DC"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0.77 (0.64-0.86)</w:t>
            </w:r>
          </w:p>
        </w:tc>
        <w:tc>
          <w:tcPr>
            <w:tcW w:w="1338"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3E22AFEB"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0.76 (0.61-0.86)</w:t>
            </w:r>
          </w:p>
        </w:tc>
        <w:tc>
          <w:tcPr>
            <w:tcW w:w="1431"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53C39599"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0.90 (0.71-0.97)</w:t>
            </w:r>
          </w:p>
        </w:tc>
        <w:tc>
          <w:tcPr>
            <w:tcW w:w="1348"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114EF683"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0.53 (0.43-0.63)</w:t>
            </w:r>
          </w:p>
        </w:tc>
        <w:tc>
          <w:tcPr>
            <w:tcW w:w="1287"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1D53B098"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0.59 (0.47-0.70)</w:t>
            </w:r>
          </w:p>
        </w:tc>
      </w:tr>
      <w:tr w:rsidR="006B1592" w:rsidRPr="00A1428A" w14:paraId="5A748049"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5F5B0BD4"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NPV</w:t>
            </w:r>
          </w:p>
        </w:tc>
        <w:tc>
          <w:tcPr>
            <w:tcW w:w="118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2E1AC3E"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0.95 (0.84-0.99)</w:t>
            </w:r>
          </w:p>
        </w:tc>
        <w:tc>
          <w:tcPr>
            <w:tcW w:w="1225"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66999366" w14:textId="77777777" w:rsidR="006B1592" w:rsidRPr="00A1428A" w:rsidRDefault="006B1592" w:rsidP="00540CF5">
            <w:pPr>
              <w:jc w:val="center"/>
              <w:rPr>
                <w:rFonts w:eastAsia="Calibri"/>
                <w:color w:val="002060"/>
                <w:sz w:val="20"/>
                <w:szCs w:val="20"/>
              </w:rPr>
            </w:pPr>
            <w:r w:rsidRPr="00A1428A">
              <w:rPr>
                <w:rFonts w:eastAsia="Calibri"/>
                <w:color w:val="002060"/>
                <w:sz w:val="20"/>
                <w:szCs w:val="20"/>
              </w:rPr>
              <w:t>0.96 (0.92-0.97)</w:t>
            </w:r>
          </w:p>
        </w:tc>
        <w:tc>
          <w:tcPr>
            <w:tcW w:w="133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2CB897D5" w14:textId="77777777" w:rsidR="006B1592" w:rsidRPr="00A1428A" w:rsidRDefault="006B1592" w:rsidP="00540CF5">
            <w:pPr>
              <w:jc w:val="center"/>
              <w:rPr>
                <w:rFonts w:eastAsia="Calibri"/>
                <w:color w:val="002060"/>
                <w:sz w:val="20"/>
                <w:szCs w:val="20"/>
              </w:rPr>
            </w:pPr>
            <w:r w:rsidRPr="00A1428A">
              <w:rPr>
                <w:rFonts w:eastAsia="Calibri"/>
                <w:color w:val="002060"/>
                <w:sz w:val="20"/>
                <w:szCs w:val="20"/>
              </w:rPr>
              <w:t>0.98 (0.94-0.99)</w:t>
            </w:r>
          </w:p>
        </w:tc>
        <w:tc>
          <w:tcPr>
            <w:tcW w:w="1431"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0A58FCF"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0.89 (0.77-0.95)</w:t>
            </w:r>
          </w:p>
        </w:tc>
        <w:tc>
          <w:tcPr>
            <w:tcW w:w="134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2A8AD257"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0.94 (0.90-0.96)</w:t>
            </w:r>
          </w:p>
        </w:tc>
        <w:tc>
          <w:tcPr>
            <w:tcW w:w="1287"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2AB41ACA"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0.96 (0.91-0.98)</w:t>
            </w:r>
          </w:p>
        </w:tc>
      </w:tr>
      <w:tr w:rsidR="006B1592" w:rsidRPr="00A1428A" w14:paraId="0DB332E9"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426A669B"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Accuracy</w:t>
            </w:r>
          </w:p>
        </w:tc>
        <w:tc>
          <w:tcPr>
            <w:tcW w:w="1180"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06EF2C57"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0.92 (0.82 - 0.97)</w:t>
            </w:r>
          </w:p>
        </w:tc>
        <w:tc>
          <w:tcPr>
            <w:tcW w:w="1225"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2084CBE4"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0.92 (0.88-0.95)</w:t>
            </w:r>
          </w:p>
        </w:tc>
        <w:tc>
          <w:tcPr>
            <w:tcW w:w="1338"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218EABD8"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0.94 (0.89-0.97)</w:t>
            </w:r>
          </w:p>
        </w:tc>
        <w:tc>
          <w:tcPr>
            <w:tcW w:w="1431"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796331EA"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0.90 (0.79-0.96)</w:t>
            </w:r>
          </w:p>
        </w:tc>
        <w:tc>
          <w:tcPr>
            <w:tcW w:w="1348"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6D7EE3E7"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0.84 (0.79-0.89)</w:t>
            </w:r>
          </w:p>
        </w:tc>
        <w:tc>
          <w:tcPr>
            <w:tcW w:w="1287" w:type="dxa"/>
            <w:tcBorders>
              <w:top w:val="single" w:sz="8" w:space="0" w:color="5B9BD5"/>
              <w:left w:val="single" w:sz="8" w:space="0" w:color="5B9BD5"/>
              <w:bottom w:val="single" w:sz="8" w:space="0" w:color="5B9BD5"/>
              <w:right w:val="single" w:sz="8" w:space="0" w:color="5B9BD5"/>
            </w:tcBorders>
            <w:shd w:val="clear" w:color="auto" w:fill="EAEFF7"/>
            <w:tcMar>
              <w:top w:w="20" w:type="dxa"/>
              <w:left w:w="100" w:type="dxa"/>
              <w:bottom w:w="100" w:type="dxa"/>
              <w:right w:w="100" w:type="dxa"/>
            </w:tcMar>
            <w:vAlign w:val="center"/>
          </w:tcPr>
          <w:p w14:paraId="37FA0589"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0.87 (0.81-0.92)</w:t>
            </w:r>
          </w:p>
        </w:tc>
      </w:tr>
      <w:tr w:rsidR="006B1592" w:rsidRPr="00A1428A" w14:paraId="1C20CFBA"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2EB4DBD4"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Cohen Kappa</w:t>
            </w:r>
          </w:p>
        </w:tc>
        <w:tc>
          <w:tcPr>
            <w:tcW w:w="118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6B621CEB"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0.81 (0.66-0.97)</w:t>
            </w:r>
          </w:p>
        </w:tc>
        <w:tc>
          <w:tcPr>
            <w:tcW w:w="1225"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2DFC5976" w14:textId="77777777" w:rsidR="006B1592" w:rsidRPr="00A1428A" w:rsidRDefault="006B1592" w:rsidP="00540CF5">
            <w:pPr>
              <w:jc w:val="center"/>
              <w:rPr>
                <w:rFonts w:eastAsia="Calibri"/>
                <w:color w:val="002060"/>
                <w:sz w:val="20"/>
                <w:szCs w:val="20"/>
              </w:rPr>
            </w:pPr>
            <w:r w:rsidRPr="00A1428A">
              <w:rPr>
                <w:rFonts w:eastAsia="Calibri"/>
                <w:color w:val="002060"/>
                <w:sz w:val="20"/>
                <w:szCs w:val="20"/>
              </w:rPr>
              <w:t>0.73 (0.61-0.85)</w:t>
            </w:r>
          </w:p>
        </w:tc>
        <w:tc>
          <w:tcPr>
            <w:tcW w:w="133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500C188"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0.77 (0.64-0.90)</w:t>
            </w:r>
          </w:p>
        </w:tc>
        <w:tc>
          <w:tcPr>
            <w:tcW w:w="1431"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90D6B0D"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0.78 (0.61-0.95)</w:t>
            </w:r>
          </w:p>
        </w:tc>
        <w:tc>
          <w:tcPr>
            <w:tcW w:w="134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22D0BA1A"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0.51 (0.36-0.66)</w:t>
            </w:r>
          </w:p>
        </w:tc>
        <w:tc>
          <w:tcPr>
            <w:tcW w:w="1287"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3C802BE5"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0.60 (0.44-0.76)</w:t>
            </w:r>
          </w:p>
        </w:tc>
      </w:tr>
      <w:tr w:rsidR="006B1592" w:rsidRPr="00A1428A" w14:paraId="397CCC17" w14:textId="77777777" w:rsidTr="00540CF5">
        <w:trPr>
          <w:trHeight w:val="790"/>
        </w:trPr>
        <w:tc>
          <w:tcPr>
            <w:tcW w:w="155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31CDDCC0" w14:textId="77777777" w:rsidR="006B1592" w:rsidRPr="00A1428A" w:rsidRDefault="006B1592" w:rsidP="00540CF5">
            <w:pPr>
              <w:spacing w:line="360" w:lineRule="auto"/>
              <w:jc w:val="both"/>
              <w:rPr>
                <w:rFonts w:eastAsia="Calibri"/>
                <w:b/>
                <w:color w:val="002060"/>
                <w:sz w:val="20"/>
                <w:szCs w:val="20"/>
              </w:rPr>
            </w:pPr>
            <w:r w:rsidRPr="00A1428A">
              <w:rPr>
                <w:rFonts w:eastAsia="Calibri"/>
                <w:b/>
                <w:color w:val="002060"/>
                <w:sz w:val="20"/>
                <w:szCs w:val="20"/>
              </w:rPr>
              <w:t>AUROC</w:t>
            </w:r>
          </w:p>
        </w:tc>
        <w:tc>
          <w:tcPr>
            <w:tcW w:w="1180"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19A84D9" w14:textId="77777777" w:rsidR="006B1592" w:rsidRPr="00A1428A" w:rsidRDefault="006B1592" w:rsidP="00540CF5">
            <w:pPr>
              <w:spacing w:line="360" w:lineRule="auto"/>
              <w:jc w:val="center"/>
              <w:rPr>
                <w:rFonts w:eastAsia="Calibri"/>
                <w:color w:val="002060"/>
                <w:sz w:val="20"/>
                <w:szCs w:val="20"/>
              </w:rPr>
            </w:pPr>
          </w:p>
        </w:tc>
        <w:tc>
          <w:tcPr>
            <w:tcW w:w="1225"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5FE73D2A"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0.94 (0.91-0.97)</w:t>
            </w:r>
          </w:p>
        </w:tc>
        <w:tc>
          <w:tcPr>
            <w:tcW w:w="133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45226746" w14:textId="77777777" w:rsidR="006B1592" w:rsidRPr="00A1428A" w:rsidRDefault="006B1592" w:rsidP="00540CF5">
            <w:pPr>
              <w:spacing w:line="360" w:lineRule="auto"/>
              <w:jc w:val="center"/>
              <w:rPr>
                <w:rFonts w:eastAsia="Calibri"/>
                <w:color w:val="002060"/>
                <w:sz w:val="20"/>
                <w:szCs w:val="20"/>
              </w:rPr>
            </w:pPr>
          </w:p>
        </w:tc>
        <w:tc>
          <w:tcPr>
            <w:tcW w:w="1431"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53E0BB4D" w14:textId="77777777" w:rsidR="006B1592" w:rsidRPr="00A1428A" w:rsidRDefault="006B1592" w:rsidP="00540CF5">
            <w:pPr>
              <w:spacing w:line="360" w:lineRule="auto"/>
              <w:jc w:val="center"/>
              <w:rPr>
                <w:rFonts w:eastAsia="Calibri"/>
                <w:color w:val="002060"/>
                <w:sz w:val="20"/>
                <w:szCs w:val="20"/>
              </w:rPr>
            </w:pPr>
          </w:p>
        </w:tc>
        <w:tc>
          <w:tcPr>
            <w:tcW w:w="1348"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6F7E4EC3" w14:textId="77777777" w:rsidR="006B1592" w:rsidRPr="00A1428A" w:rsidRDefault="006B1592" w:rsidP="00540CF5">
            <w:pPr>
              <w:spacing w:line="360" w:lineRule="auto"/>
              <w:jc w:val="center"/>
              <w:rPr>
                <w:rFonts w:eastAsia="Calibri"/>
                <w:color w:val="002060"/>
                <w:sz w:val="20"/>
                <w:szCs w:val="20"/>
              </w:rPr>
            </w:pPr>
            <w:r w:rsidRPr="00A1428A">
              <w:rPr>
                <w:rFonts w:eastAsia="Calibri"/>
                <w:color w:val="002060"/>
                <w:sz w:val="20"/>
                <w:szCs w:val="20"/>
              </w:rPr>
              <w:t>0.85 (0.79-0.90)</w:t>
            </w:r>
          </w:p>
        </w:tc>
        <w:tc>
          <w:tcPr>
            <w:tcW w:w="1287" w:type="dxa"/>
            <w:tcBorders>
              <w:top w:val="single" w:sz="8" w:space="0" w:color="5B9BD5"/>
              <w:left w:val="single" w:sz="8" w:space="0" w:color="5B9BD5"/>
              <w:bottom w:val="single" w:sz="8" w:space="0" w:color="5B9BD5"/>
              <w:right w:val="single" w:sz="8" w:space="0" w:color="5B9BD5"/>
            </w:tcBorders>
            <w:shd w:val="clear" w:color="auto" w:fill="auto"/>
            <w:tcMar>
              <w:top w:w="20" w:type="dxa"/>
              <w:left w:w="100" w:type="dxa"/>
              <w:bottom w:w="100" w:type="dxa"/>
              <w:right w:w="100" w:type="dxa"/>
            </w:tcMar>
            <w:vAlign w:val="center"/>
          </w:tcPr>
          <w:p w14:paraId="5BA08E37" w14:textId="77777777" w:rsidR="006B1592" w:rsidRPr="00A1428A" w:rsidRDefault="006B1592" w:rsidP="00540CF5">
            <w:pPr>
              <w:spacing w:line="360" w:lineRule="auto"/>
              <w:jc w:val="center"/>
              <w:rPr>
                <w:rFonts w:eastAsia="Calibri"/>
                <w:color w:val="002060"/>
                <w:sz w:val="20"/>
                <w:szCs w:val="20"/>
              </w:rPr>
            </w:pPr>
          </w:p>
        </w:tc>
      </w:tr>
    </w:tbl>
    <w:p w14:paraId="03AE6EB8" w14:textId="77777777" w:rsidR="006B1592" w:rsidRPr="009F75F6" w:rsidRDefault="006B1592" w:rsidP="006B1592">
      <w:pPr>
        <w:spacing w:line="360" w:lineRule="auto"/>
        <w:jc w:val="both"/>
        <w:rPr>
          <w:b/>
        </w:rPr>
      </w:pPr>
    </w:p>
    <w:p w14:paraId="55DA2C95" w14:textId="77777777" w:rsidR="006B1592" w:rsidRDefault="006B1592" w:rsidP="006B1592">
      <w:pPr>
        <w:rPr>
          <w:b/>
        </w:rPr>
      </w:pPr>
      <w:r>
        <w:rPr>
          <w:b/>
        </w:rPr>
        <w:br w:type="page"/>
      </w:r>
    </w:p>
    <w:p w14:paraId="2DED429F" w14:textId="77777777" w:rsidR="006B1592" w:rsidRPr="009F75F6" w:rsidRDefault="006B1592" w:rsidP="006B1592">
      <w:pPr>
        <w:spacing w:line="360" w:lineRule="auto"/>
        <w:jc w:val="both"/>
        <w:rPr>
          <w:b/>
          <w:sz w:val="20"/>
          <w:szCs w:val="20"/>
        </w:rPr>
      </w:pPr>
      <w:r w:rsidRPr="009F75F6">
        <w:rPr>
          <w:b/>
          <w:sz w:val="20"/>
          <w:szCs w:val="20"/>
        </w:rPr>
        <w:lastRenderedPageBreak/>
        <w:t>Table 3</w:t>
      </w:r>
      <w:r>
        <w:rPr>
          <w:b/>
          <w:sz w:val="20"/>
          <w:szCs w:val="20"/>
        </w:rPr>
        <w:t>.</w:t>
      </w:r>
      <w:r w:rsidRPr="009F75F6">
        <w:rPr>
          <w:b/>
          <w:sz w:val="20"/>
          <w:szCs w:val="20"/>
        </w:rPr>
        <w:t xml:space="preserve"> Performance in prediction of histologic healing with VCE </w:t>
      </w:r>
    </w:p>
    <w:p w14:paraId="02219639" w14:textId="77777777" w:rsidR="006B1592" w:rsidRPr="009F75F6" w:rsidRDefault="006B1592" w:rsidP="006B1592">
      <w:pPr>
        <w:spacing w:line="360" w:lineRule="auto"/>
        <w:jc w:val="both"/>
        <w:rPr>
          <w:b/>
          <w:sz w:val="20"/>
          <w:szCs w:val="2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59"/>
        <w:gridCol w:w="1316"/>
        <w:gridCol w:w="1317"/>
        <w:gridCol w:w="1317"/>
        <w:gridCol w:w="1317"/>
        <w:gridCol w:w="1317"/>
        <w:gridCol w:w="1317"/>
      </w:tblGrid>
      <w:tr w:rsidR="006B1592" w:rsidRPr="009F75F6" w14:paraId="340C7096" w14:textId="77777777" w:rsidTr="00540CF5">
        <w:trPr>
          <w:trHeight w:val="895"/>
        </w:trPr>
        <w:tc>
          <w:tcPr>
            <w:tcW w:w="1459" w:type="dxa"/>
            <w:tcBorders>
              <w:top w:val="single" w:sz="4" w:space="0" w:color="000000"/>
              <w:left w:val="single" w:sz="4" w:space="0" w:color="000000"/>
              <w:bottom w:val="single" w:sz="4" w:space="0" w:color="000000"/>
              <w:right w:val="single" w:sz="4" w:space="0" w:color="000000"/>
            </w:tcBorders>
            <w:tcMar>
              <w:top w:w="20" w:type="dxa"/>
              <w:left w:w="100" w:type="dxa"/>
              <w:bottom w:w="100" w:type="dxa"/>
              <w:right w:w="100" w:type="dxa"/>
            </w:tcMar>
            <w:vAlign w:val="center"/>
          </w:tcPr>
          <w:p w14:paraId="5D8CAE9F" w14:textId="77777777" w:rsidR="006B1592" w:rsidRPr="009F75F6" w:rsidRDefault="006B1592" w:rsidP="00540CF5">
            <w:pPr>
              <w:spacing w:line="360" w:lineRule="auto"/>
              <w:jc w:val="both"/>
              <w:rPr>
                <w:rFonts w:eastAsia="Calibri"/>
                <w:b/>
                <w:color w:val="002060"/>
              </w:rPr>
            </w:pPr>
            <w:r w:rsidRPr="009F75F6">
              <w:rPr>
                <w:rFonts w:eastAsia="Calibri"/>
                <w:b/>
                <w:color w:val="002060"/>
              </w:rPr>
              <w:t>Diagnostic performance</w:t>
            </w:r>
          </w:p>
        </w:tc>
        <w:tc>
          <w:tcPr>
            <w:tcW w:w="2632" w:type="dxa"/>
            <w:gridSpan w:val="2"/>
            <w:tcBorders>
              <w:top w:val="single" w:sz="4" w:space="0" w:color="000000"/>
              <w:left w:val="single" w:sz="4" w:space="0" w:color="000000"/>
              <w:bottom w:val="single" w:sz="4" w:space="0" w:color="000000"/>
              <w:right w:val="single" w:sz="4" w:space="0" w:color="000000"/>
            </w:tcBorders>
            <w:tcMar>
              <w:top w:w="20" w:type="dxa"/>
              <w:left w:w="100" w:type="dxa"/>
              <w:bottom w:w="100" w:type="dxa"/>
              <w:right w:w="100" w:type="dxa"/>
            </w:tcMar>
            <w:vAlign w:val="center"/>
          </w:tcPr>
          <w:p w14:paraId="7913E027" w14:textId="77777777" w:rsidR="006B1592" w:rsidRPr="009F75F6" w:rsidRDefault="006B1592" w:rsidP="00540CF5">
            <w:pPr>
              <w:spacing w:line="360" w:lineRule="auto"/>
              <w:jc w:val="center"/>
              <w:rPr>
                <w:rFonts w:eastAsia="Calibri"/>
                <w:b/>
                <w:color w:val="002060"/>
              </w:rPr>
            </w:pPr>
            <w:r w:rsidRPr="009F75F6">
              <w:rPr>
                <w:rFonts w:eastAsia="Calibri"/>
                <w:b/>
                <w:color w:val="002060"/>
              </w:rPr>
              <w:t>RHI ≤3 or &gt;3</w:t>
            </w:r>
          </w:p>
        </w:tc>
        <w:tc>
          <w:tcPr>
            <w:tcW w:w="2632"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A8B3993" w14:textId="77777777" w:rsidR="006B1592" w:rsidRPr="009F75F6" w:rsidRDefault="006B1592" w:rsidP="00540CF5">
            <w:pPr>
              <w:spacing w:line="360" w:lineRule="auto"/>
              <w:jc w:val="center"/>
              <w:rPr>
                <w:rFonts w:eastAsia="Calibri"/>
                <w:b/>
                <w:color w:val="002060"/>
              </w:rPr>
            </w:pPr>
            <w:r w:rsidRPr="009F75F6">
              <w:rPr>
                <w:rFonts w:eastAsia="Calibri"/>
                <w:b/>
                <w:color w:val="002060"/>
              </w:rPr>
              <w:t>NHI ≤1 or &gt;1</w:t>
            </w:r>
          </w:p>
        </w:tc>
        <w:tc>
          <w:tcPr>
            <w:tcW w:w="2632"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A2C6431" w14:textId="77777777" w:rsidR="006B1592" w:rsidRPr="009F75F6" w:rsidRDefault="006B1592" w:rsidP="00540CF5">
            <w:pPr>
              <w:spacing w:line="360" w:lineRule="auto"/>
              <w:jc w:val="center"/>
              <w:rPr>
                <w:rFonts w:eastAsia="Calibri"/>
                <w:b/>
                <w:color w:val="002060"/>
              </w:rPr>
            </w:pPr>
            <w:r w:rsidRPr="009F75F6">
              <w:rPr>
                <w:rFonts w:eastAsia="Calibri"/>
                <w:b/>
                <w:color w:val="002060"/>
              </w:rPr>
              <w:t>PHRI ≤</w:t>
            </w:r>
            <w:proofErr w:type="gramStart"/>
            <w:r w:rsidRPr="009F75F6">
              <w:rPr>
                <w:rFonts w:eastAsia="Calibri"/>
                <w:b/>
                <w:color w:val="002060"/>
              </w:rPr>
              <w:t>1  or</w:t>
            </w:r>
            <w:proofErr w:type="gramEnd"/>
            <w:r w:rsidRPr="009F75F6">
              <w:rPr>
                <w:rFonts w:eastAsia="Calibri"/>
                <w:b/>
                <w:color w:val="002060"/>
              </w:rPr>
              <w:t xml:space="preserve"> &gt;1</w:t>
            </w:r>
          </w:p>
        </w:tc>
      </w:tr>
      <w:tr w:rsidR="006B1592" w:rsidRPr="009F75F6" w14:paraId="4EB8F373" w14:textId="77777777" w:rsidTr="00540CF5">
        <w:trPr>
          <w:trHeight w:val="85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5C47FA97" w14:textId="77777777" w:rsidR="006B1592" w:rsidRPr="009F75F6" w:rsidRDefault="006B1592" w:rsidP="00540CF5">
            <w:pPr>
              <w:widowControl w:val="0"/>
              <w:pBdr>
                <w:top w:val="nil"/>
                <w:left w:val="nil"/>
                <w:bottom w:val="nil"/>
                <w:right w:val="nil"/>
                <w:between w:val="nil"/>
              </w:pBdr>
              <w:rPr>
                <w:b/>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5065535D" w14:textId="77777777" w:rsidR="006B1592" w:rsidRPr="009F75F6" w:rsidRDefault="006B1592" w:rsidP="00540CF5">
            <w:pPr>
              <w:spacing w:line="360" w:lineRule="auto"/>
              <w:jc w:val="center"/>
              <w:rPr>
                <w:rFonts w:eastAsia="Calibri"/>
                <w:b/>
                <w:color w:val="002060"/>
              </w:rPr>
            </w:pPr>
            <w:r w:rsidRPr="009F75F6">
              <w:rPr>
                <w:rFonts w:eastAsia="Calibri"/>
                <w:b/>
                <w:color w:val="002060"/>
              </w:rPr>
              <w:t>Testing</w:t>
            </w:r>
          </w:p>
          <w:p w14:paraId="5A3BEED3" w14:textId="77777777" w:rsidR="006B1592" w:rsidRPr="009F75F6" w:rsidRDefault="006B1592" w:rsidP="00540CF5">
            <w:pPr>
              <w:spacing w:line="360" w:lineRule="auto"/>
              <w:jc w:val="center"/>
              <w:rPr>
                <w:rFonts w:eastAsia="Calibri"/>
                <w:b/>
                <w:color w:val="002060"/>
              </w:rPr>
            </w:pPr>
            <w:r w:rsidRPr="009F75F6">
              <w:rPr>
                <w:rFonts w:eastAsia="Calibri"/>
                <w:b/>
                <w:color w:val="002060"/>
              </w:rPr>
              <w:t>cohort</w:t>
            </w:r>
          </w:p>
        </w:tc>
        <w:tc>
          <w:tcPr>
            <w:tcW w:w="2632" w:type="dxa"/>
            <w:gridSpan w:val="2"/>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845FEE7" w14:textId="77777777" w:rsidR="006B1592" w:rsidRPr="009F75F6" w:rsidRDefault="006B1592" w:rsidP="00540CF5">
            <w:pPr>
              <w:spacing w:line="360" w:lineRule="auto"/>
              <w:jc w:val="center"/>
              <w:rPr>
                <w:rFonts w:eastAsia="Calibri"/>
                <w:b/>
                <w:color w:val="002060"/>
              </w:rPr>
            </w:pPr>
            <w:r w:rsidRPr="009F75F6">
              <w:rPr>
                <w:rFonts w:eastAsia="Calibri"/>
                <w:b/>
                <w:color w:val="002060"/>
              </w:rPr>
              <w:t xml:space="preserve">Testing </w:t>
            </w:r>
          </w:p>
          <w:p w14:paraId="4050AD20" w14:textId="77777777" w:rsidR="006B1592" w:rsidRPr="009F75F6" w:rsidRDefault="006B1592" w:rsidP="00540CF5">
            <w:pPr>
              <w:spacing w:line="360" w:lineRule="auto"/>
              <w:jc w:val="center"/>
              <w:rPr>
                <w:rFonts w:eastAsia="Calibri"/>
                <w:b/>
                <w:color w:val="002060"/>
              </w:rPr>
            </w:pPr>
            <w:r w:rsidRPr="009F75F6">
              <w:rPr>
                <w:rFonts w:eastAsia="Calibri"/>
                <w:b/>
                <w:color w:val="002060"/>
              </w:rPr>
              <w:t>cohort</w:t>
            </w:r>
          </w:p>
        </w:tc>
        <w:tc>
          <w:tcPr>
            <w:tcW w:w="2632" w:type="dxa"/>
            <w:gridSpan w:val="2"/>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720E69DB" w14:textId="77777777" w:rsidR="006B1592" w:rsidRPr="009F75F6" w:rsidRDefault="006B1592" w:rsidP="00540CF5">
            <w:pPr>
              <w:spacing w:line="360" w:lineRule="auto"/>
              <w:jc w:val="center"/>
              <w:rPr>
                <w:rFonts w:eastAsia="Calibri"/>
                <w:b/>
                <w:color w:val="002060"/>
              </w:rPr>
            </w:pPr>
            <w:r w:rsidRPr="009F75F6">
              <w:rPr>
                <w:rFonts w:eastAsia="Calibri"/>
                <w:b/>
                <w:color w:val="002060"/>
              </w:rPr>
              <w:t xml:space="preserve">Testing </w:t>
            </w:r>
          </w:p>
          <w:p w14:paraId="2DFFF078" w14:textId="77777777" w:rsidR="006B1592" w:rsidRPr="009F75F6" w:rsidRDefault="006B1592" w:rsidP="00540CF5">
            <w:pPr>
              <w:spacing w:line="360" w:lineRule="auto"/>
              <w:jc w:val="center"/>
              <w:rPr>
                <w:rFonts w:eastAsia="Calibri"/>
                <w:b/>
                <w:color w:val="002060"/>
              </w:rPr>
            </w:pPr>
            <w:r w:rsidRPr="009F75F6">
              <w:rPr>
                <w:rFonts w:eastAsia="Calibri"/>
                <w:b/>
                <w:color w:val="002060"/>
              </w:rPr>
              <w:t>cohort</w:t>
            </w:r>
          </w:p>
        </w:tc>
      </w:tr>
      <w:tr w:rsidR="006B1592" w:rsidRPr="009F75F6" w14:paraId="17C72C70" w14:textId="77777777" w:rsidTr="00540CF5">
        <w:trPr>
          <w:trHeight w:val="850"/>
        </w:trPr>
        <w:tc>
          <w:tcPr>
            <w:tcW w:w="1459"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8606409" w14:textId="77777777" w:rsidR="006B1592" w:rsidRPr="009F75F6" w:rsidRDefault="006B1592" w:rsidP="00540CF5">
            <w:pPr>
              <w:widowControl w:val="0"/>
              <w:pBdr>
                <w:top w:val="nil"/>
                <w:left w:val="nil"/>
                <w:bottom w:val="nil"/>
                <w:right w:val="nil"/>
                <w:between w:val="nil"/>
              </w:pBdr>
              <w:rPr>
                <w:b/>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4EA7E45" w14:textId="77777777" w:rsidR="006B1592" w:rsidRPr="009F75F6" w:rsidRDefault="006B1592" w:rsidP="00540CF5">
            <w:pPr>
              <w:spacing w:line="360" w:lineRule="auto"/>
              <w:jc w:val="center"/>
              <w:rPr>
                <w:rFonts w:eastAsia="Calibri"/>
                <w:color w:val="002060"/>
              </w:rPr>
            </w:pPr>
            <w:r w:rsidRPr="009F75F6">
              <w:rPr>
                <w:rFonts w:eastAsia="Calibri"/>
                <w:color w:val="002060"/>
              </w:rPr>
              <w:t>VCE 242</w:t>
            </w:r>
          </w:p>
          <w:p w14:paraId="02FADE1C" w14:textId="77777777" w:rsidR="006B1592" w:rsidRPr="009F75F6" w:rsidRDefault="006B1592" w:rsidP="00540CF5">
            <w:pPr>
              <w:spacing w:line="360" w:lineRule="auto"/>
              <w:jc w:val="center"/>
              <w:rPr>
                <w:rFonts w:eastAsia="Calibri"/>
                <w:color w:val="002060"/>
              </w:rPr>
            </w:pPr>
            <w:r w:rsidRPr="009F75F6">
              <w:rPr>
                <w:rFonts w:eastAsia="Calibri"/>
                <w:color w:val="002060"/>
              </w:rPr>
              <w:t>videos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6D277EC2" w14:textId="77777777" w:rsidR="006B1592" w:rsidRPr="009F75F6" w:rsidRDefault="006B1592" w:rsidP="00540CF5">
            <w:pPr>
              <w:spacing w:line="360" w:lineRule="auto"/>
              <w:jc w:val="center"/>
              <w:rPr>
                <w:rFonts w:eastAsia="Calibri"/>
                <w:color w:val="002060"/>
              </w:rPr>
            </w:pPr>
            <w:r w:rsidRPr="009F75F6">
              <w:rPr>
                <w:rFonts w:eastAsia="Calibri"/>
                <w:color w:val="002060"/>
              </w:rPr>
              <w:t>VCE 193</w:t>
            </w:r>
          </w:p>
          <w:p w14:paraId="1F36C73A" w14:textId="77777777" w:rsidR="006B1592" w:rsidRPr="009F75F6" w:rsidRDefault="006B1592" w:rsidP="00540CF5">
            <w:pPr>
              <w:spacing w:line="360" w:lineRule="auto"/>
              <w:jc w:val="center"/>
              <w:rPr>
                <w:rFonts w:eastAsia="Calibri"/>
                <w:color w:val="002060"/>
              </w:rPr>
            </w:pPr>
            <w:r w:rsidRPr="009F75F6">
              <w:rPr>
                <w:rFonts w:eastAsia="Calibri"/>
                <w:color w:val="002060"/>
              </w:rPr>
              <w:t>HQ videos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385B219" w14:textId="77777777" w:rsidR="006B1592" w:rsidRPr="009F75F6" w:rsidRDefault="006B1592" w:rsidP="00540CF5">
            <w:pPr>
              <w:spacing w:line="360" w:lineRule="auto"/>
              <w:jc w:val="center"/>
              <w:rPr>
                <w:rFonts w:eastAsia="Calibri"/>
                <w:color w:val="002060"/>
              </w:rPr>
            </w:pPr>
            <w:r w:rsidRPr="009F75F6">
              <w:rPr>
                <w:rFonts w:eastAsia="Calibri"/>
                <w:color w:val="002060"/>
              </w:rPr>
              <w:t>VCE 242</w:t>
            </w:r>
          </w:p>
          <w:p w14:paraId="0B0E1B23" w14:textId="77777777" w:rsidR="006B1592" w:rsidRPr="009F75F6" w:rsidRDefault="006B1592" w:rsidP="00540CF5">
            <w:pPr>
              <w:spacing w:line="360" w:lineRule="auto"/>
              <w:jc w:val="center"/>
              <w:rPr>
                <w:rFonts w:eastAsia="Calibri"/>
                <w:color w:val="002060"/>
              </w:rPr>
            </w:pPr>
            <w:r w:rsidRPr="009F75F6">
              <w:rPr>
                <w:rFonts w:eastAsia="Calibri"/>
                <w:color w:val="002060"/>
              </w:rPr>
              <w:t>videos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733CE14" w14:textId="77777777" w:rsidR="006B1592" w:rsidRPr="009F75F6" w:rsidRDefault="006B1592" w:rsidP="00540CF5">
            <w:pPr>
              <w:spacing w:line="360" w:lineRule="auto"/>
              <w:jc w:val="center"/>
              <w:rPr>
                <w:rFonts w:eastAsia="Calibri"/>
                <w:color w:val="002060"/>
              </w:rPr>
            </w:pPr>
            <w:r w:rsidRPr="009F75F6">
              <w:rPr>
                <w:rFonts w:eastAsia="Calibri"/>
                <w:color w:val="002060"/>
              </w:rPr>
              <w:t>VCE 193 HQ videos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975B03A" w14:textId="77777777" w:rsidR="006B1592" w:rsidRPr="009F75F6" w:rsidRDefault="006B1592" w:rsidP="00540CF5">
            <w:pPr>
              <w:spacing w:line="360" w:lineRule="auto"/>
              <w:jc w:val="center"/>
              <w:rPr>
                <w:rFonts w:eastAsia="Calibri"/>
                <w:color w:val="002060"/>
              </w:rPr>
            </w:pPr>
            <w:r w:rsidRPr="009F75F6">
              <w:rPr>
                <w:rFonts w:eastAsia="Calibri"/>
                <w:color w:val="002060"/>
              </w:rPr>
              <w:t>VCE 242 videos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2F68E8B" w14:textId="77777777" w:rsidR="006B1592" w:rsidRPr="009F75F6" w:rsidRDefault="006B1592" w:rsidP="00540CF5">
            <w:pPr>
              <w:spacing w:line="360" w:lineRule="auto"/>
              <w:jc w:val="center"/>
              <w:rPr>
                <w:rFonts w:eastAsia="Calibri"/>
                <w:color w:val="002060"/>
              </w:rPr>
            </w:pPr>
            <w:r w:rsidRPr="009F75F6">
              <w:rPr>
                <w:rFonts w:eastAsia="Calibri"/>
                <w:color w:val="002060"/>
              </w:rPr>
              <w:t>VCE 193 HQ videos</w:t>
            </w:r>
          </w:p>
        </w:tc>
      </w:tr>
      <w:tr w:rsidR="006B1592" w:rsidRPr="009F75F6" w14:paraId="5428F501" w14:textId="77777777" w:rsidTr="00540CF5">
        <w:trPr>
          <w:trHeight w:val="445"/>
        </w:trPr>
        <w:tc>
          <w:tcPr>
            <w:tcW w:w="1459"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F00722B" w14:textId="77777777" w:rsidR="006B1592" w:rsidRPr="009F75F6" w:rsidRDefault="006B1592" w:rsidP="00540CF5">
            <w:pPr>
              <w:spacing w:line="360" w:lineRule="auto"/>
              <w:jc w:val="both"/>
              <w:rPr>
                <w:rFonts w:eastAsia="Calibri"/>
                <w:b/>
                <w:color w:val="002060"/>
              </w:rPr>
            </w:pPr>
            <w:r w:rsidRPr="009F75F6">
              <w:rPr>
                <w:rFonts w:eastAsia="Calibri"/>
                <w:b/>
                <w:color w:val="002060"/>
              </w:rPr>
              <w:t>Sensitivity</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5F28BF46" w14:textId="77777777" w:rsidR="006B1592" w:rsidRPr="009F75F6" w:rsidRDefault="006B1592" w:rsidP="00540CF5">
            <w:pPr>
              <w:spacing w:line="360" w:lineRule="auto"/>
              <w:jc w:val="center"/>
              <w:rPr>
                <w:rFonts w:eastAsia="Calibri"/>
                <w:color w:val="002060"/>
              </w:rPr>
            </w:pPr>
            <w:r w:rsidRPr="009F75F6">
              <w:rPr>
                <w:rFonts w:eastAsia="Calibri"/>
                <w:color w:val="002060"/>
              </w:rPr>
              <w:t>0.73 (0.59-0.85)</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93ED099" w14:textId="77777777" w:rsidR="006B1592" w:rsidRPr="009F75F6" w:rsidRDefault="006B1592" w:rsidP="00540CF5">
            <w:pPr>
              <w:spacing w:line="360" w:lineRule="auto"/>
              <w:jc w:val="center"/>
              <w:rPr>
                <w:rFonts w:eastAsia="Calibri"/>
                <w:color w:val="002060"/>
              </w:rPr>
            </w:pPr>
            <w:r w:rsidRPr="009F75F6">
              <w:rPr>
                <w:rFonts w:eastAsia="Calibri"/>
                <w:color w:val="002060"/>
              </w:rPr>
              <w:t>0.74 (0.56-0.87)</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9D55433" w14:textId="77777777" w:rsidR="006B1592" w:rsidRPr="009F75F6" w:rsidRDefault="006B1592" w:rsidP="00540CF5">
            <w:pPr>
              <w:spacing w:line="360" w:lineRule="auto"/>
              <w:jc w:val="center"/>
              <w:rPr>
                <w:rFonts w:eastAsia="Calibri"/>
                <w:color w:val="002060"/>
              </w:rPr>
            </w:pPr>
            <w:r w:rsidRPr="009F75F6">
              <w:rPr>
                <w:rFonts w:eastAsia="Calibri"/>
                <w:color w:val="002060"/>
              </w:rPr>
              <w:t>0.65 (0.51-0.77)</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80C0178" w14:textId="77777777" w:rsidR="006B1592" w:rsidRPr="009F75F6" w:rsidRDefault="006B1592" w:rsidP="00540CF5">
            <w:pPr>
              <w:spacing w:line="360" w:lineRule="auto"/>
              <w:jc w:val="center"/>
              <w:rPr>
                <w:rFonts w:eastAsia="Calibri"/>
                <w:color w:val="002060"/>
              </w:rPr>
            </w:pPr>
            <w:r w:rsidRPr="009F75F6">
              <w:rPr>
                <w:rFonts w:eastAsia="Calibri"/>
                <w:color w:val="002060"/>
              </w:rPr>
              <w:t>0.64 (0.48-0.78)</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FA12360" w14:textId="77777777" w:rsidR="006B1592" w:rsidRPr="009F75F6" w:rsidRDefault="006B1592" w:rsidP="00540CF5">
            <w:pPr>
              <w:spacing w:line="360" w:lineRule="auto"/>
              <w:jc w:val="center"/>
              <w:rPr>
                <w:rFonts w:eastAsia="Calibri"/>
                <w:color w:val="002060"/>
              </w:rPr>
            </w:pPr>
            <w:r w:rsidRPr="009F75F6">
              <w:rPr>
                <w:rFonts w:eastAsia="Calibri"/>
                <w:color w:val="002060"/>
              </w:rPr>
              <w:t>0.72 (0.58-0.83)</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3D6D7FE" w14:textId="77777777" w:rsidR="006B1592" w:rsidRPr="009F75F6" w:rsidRDefault="006B1592" w:rsidP="00540CF5">
            <w:pPr>
              <w:spacing w:line="360" w:lineRule="auto"/>
              <w:jc w:val="center"/>
              <w:rPr>
                <w:rFonts w:eastAsia="Calibri"/>
                <w:color w:val="002060"/>
              </w:rPr>
            </w:pPr>
            <w:r w:rsidRPr="009F75F6">
              <w:rPr>
                <w:rFonts w:eastAsia="Calibri"/>
                <w:color w:val="002060"/>
              </w:rPr>
              <w:t>0.70 (0.54-0.83)</w:t>
            </w:r>
          </w:p>
        </w:tc>
      </w:tr>
      <w:tr w:rsidR="006B1592" w:rsidRPr="009F75F6" w14:paraId="52DB2C5E" w14:textId="77777777" w:rsidTr="00540CF5">
        <w:trPr>
          <w:trHeight w:val="73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24BF703" w14:textId="77777777" w:rsidR="006B1592" w:rsidRPr="009F75F6" w:rsidRDefault="006B1592" w:rsidP="00540CF5">
            <w:pPr>
              <w:spacing w:line="360" w:lineRule="auto"/>
              <w:jc w:val="both"/>
              <w:rPr>
                <w:rFonts w:eastAsia="Calibri"/>
                <w:b/>
                <w:color w:val="002060"/>
              </w:rPr>
            </w:pPr>
            <w:r w:rsidRPr="009F75F6">
              <w:rPr>
                <w:rFonts w:eastAsia="Calibri"/>
                <w:b/>
                <w:color w:val="002060"/>
              </w:rPr>
              <w:t>Specificity</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7500B26" w14:textId="77777777" w:rsidR="006B1592" w:rsidRPr="009F75F6" w:rsidRDefault="006B1592" w:rsidP="00540CF5">
            <w:pPr>
              <w:spacing w:line="360" w:lineRule="auto"/>
              <w:jc w:val="center"/>
              <w:rPr>
                <w:rFonts w:eastAsia="Calibri"/>
                <w:color w:val="002060"/>
              </w:rPr>
            </w:pPr>
            <w:r w:rsidRPr="009F75F6">
              <w:rPr>
                <w:rFonts w:eastAsia="Calibri"/>
                <w:color w:val="002060"/>
              </w:rPr>
              <w:t>0.86 (0.80-0.91)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4C8A192" w14:textId="77777777" w:rsidR="006B1592" w:rsidRPr="009F75F6" w:rsidRDefault="006B1592" w:rsidP="00540CF5">
            <w:pPr>
              <w:spacing w:line="360" w:lineRule="auto"/>
              <w:jc w:val="center"/>
              <w:rPr>
                <w:rFonts w:eastAsia="Calibri"/>
                <w:color w:val="002060"/>
              </w:rPr>
            </w:pPr>
            <w:r w:rsidRPr="009F75F6">
              <w:rPr>
                <w:rFonts w:eastAsia="Calibri"/>
                <w:color w:val="002060"/>
              </w:rPr>
              <w:t>0.87 (0.81-0.92)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FEB461E" w14:textId="77777777" w:rsidR="006B1592" w:rsidRPr="009F75F6" w:rsidRDefault="006B1592" w:rsidP="00540CF5">
            <w:pPr>
              <w:spacing w:line="360" w:lineRule="auto"/>
              <w:jc w:val="center"/>
              <w:rPr>
                <w:rFonts w:eastAsia="Calibri"/>
                <w:color w:val="002060"/>
              </w:rPr>
            </w:pPr>
            <w:r w:rsidRPr="009F75F6">
              <w:rPr>
                <w:rFonts w:eastAsia="Calibri"/>
                <w:color w:val="002060"/>
              </w:rPr>
              <w:t>0.86 (0.80-0.91)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6FEDABD6" w14:textId="77777777" w:rsidR="006B1592" w:rsidRPr="009F75F6" w:rsidRDefault="006B1592" w:rsidP="00540CF5">
            <w:pPr>
              <w:spacing w:line="360" w:lineRule="auto"/>
              <w:jc w:val="center"/>
              <w:rPr>
                <w:rFonts w:eastAsia="Calibri"/>
                <w:color w:val="002060"/>
              </w:rPr>
            </w:pPr>
            <w:r w:rsidRPr="009F75F6">
              <w:rPr>
                <w:rFonts w:eastAsia="Calibri"/>
                <w:color w:val="002060"/>
              </w:rPr>
              <w:t>0.88 (0.82-0.93)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BE620C3" w14:textId="77777777" w:rsidR="006B1592" w:rsidRPr="009F75F6" w:rsidRDefault="006B1592" w:rsidP="00540CF5">
            <w:pPr>
              <w:spacing w:line="360" w:lineRule="auto"/>
              <w:jc w:val="center"/>
              <w:rPr>
                <w:rFonts w:eastAsia="Calibri"/>
                <w:color w:val="002060"/>
              </w:rPr>
            </w:pPr>
            <w:r w:rsidRPr="009F75F6">
              <w:rPr>
                <w:rFonts w:eastAsia="Calibri"/>
                <w:color w:val="002060"/>
              </w:rPr>
              <w:t>0.86 (0.81-0.91)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683A199" w14:textId="77777777" w:rsidR="006B1592" w:rsidRPr="009F75F6" w:rsidRDefault="006B1592" w:rsidP="00540CF5">
            <w:pPr>
              <w:spacing w:line="360" w:lineRule="auto"/>
              <w:jc w:val="center"/>
              <w:rPr>
                <w:rFonts w:eastAsia="Calibri"/>
                <w:color w:val="002060"/>
              </w:rPr>
            </w:pPr>
            <w:r w:rsidRPr="009F75F6">
              <w:rPr>
                <w:rFonts w:eastAsia="Calibri"/>
                <w:color w:val="002060"/>
              </w:rPr>
              <w:t>0.88 (0.82-0.93)</w:t>
            </w:r>
          </w:p>
        </w:tc>
      </w:tr>
      <w:tr w:rsidR="006B1592" w:rsidRPr="009F75F6" w14:paraId="5CBBC73E" w14:textId="77777777" w:rsidTr="00540CF5">
        <w:trPr>
          <w:trHeight w:val="685"/>
        </w:trPr>
        <w:tc>
          <w:tcPr>
            <w:tcW w:w="1459"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D41FE6C" w14:textId="77777777" w:rsidR="006B1592" w:rsidRPr="009F75F6" w:rsidRDefault="006B1592" w:rsidP="00540CF5">
            <w:pPr>
              <w:spacing w:line="360" w:lineRule="auto"/>
              <w:jc w:val="both"/>
              <w:rPr>
                <w:rFonts w:eastAsia="Calibri"/>
                <w:b/>
                <w:color w:val="002060"/>
              </w:rPr>
            </w:pPr>
            <w:r w:rsidRPr="009F75F6">
              <w:rPr>
                <w:rFonts w:eastAsia="Calibri"/>
                <w:b/>
                <w:color w:val="002060"/>
              </w:rPr>
              <w:t>PPV</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7CA3AC5" w14:textId="77777777" w:rsidR="006B1592" w:rsidRPr="009F75F6" w:rsidRDefault="006B1592" w:rsidP="00540CF5">
            <w:pPr>
              <w:spacing w:line="360" w:lineRule="auto"/>
              <w:jc w:val="center"/>
              <w:rPr>
                <w:rFonts w:eastAsia="Calibri"/>
                <w:color w:val="002060"/>
              </w:rPr>
            </w:pPr>
            <w:r w:rsidRPr="009F75F6">
              <w:rPr>
                <w:rFonts w:eastAsia="Calibri"/>
                <w:color w:val="002060"/>
              </w:rPr>
              <w:t>0.57 (0.47-0.66)</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143D60A0" w14:textId="77777777" w:rsidR="006B1592" w:rsidRPr="009F75F6" w:rsidRDefault="006B1592" w:rsidP="00540CF5">
            <w:pPr>
              <w:spacing w:line="360" w:lineRule="auto"/>
              <w:jc w:val="center"/>
              <w:rPr>
                <w:rFonts w:eastAsia="Calibri"/>
                <w:color w:val="002060"/>
              </w:rPr>
            </w:pPr>
            <w:r w:rsidRPr="009F75F6">
              <w:rPr>
                <w:rFonts w:eastAsia="Calibri"/>
                <w:color w:val="002060"/>
              </w:rPr>
              <w:t>0.57 (0.44-0.66)</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11B0916D" w14:textId="77777777" w:rsidR="006B1592" w:rsidRPr="009F75F6" w:rsidRDefault="006B1592" w:rsidP="00540CF5">
            <w:pPr>
              <w:spacing w:line="360" w:lineRule="auto"/>
              <w:jc w:val="center"/>
              <w:rPr>
                <w:rFonts w:eastAsia="Calibri"/>
                <w:color w:val="002060"/>
              </w:rPr>
            </w:pPr>
            <w:r w:rsidRPr="009F75F6">
              <w:rPr>
                <w:rFonts w:eastAsia="Calibri"/>
                <w:color w:val="002060"/>
              </w:rPr>
              <w:t>0.59 (0.49-0.68)</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DC7B806" w14:textId="77777777" w:rsidR="006B1592" w:rsidRPr="009F75F6" w:rsidRDefault="006B1592" w:rsidP="00540CF5">
            <w:pPr>
              <w:spacing w:line="360" w:lineRule="auto"/>
              <w:jc w:val="center"/>
              <w:rPr>
                <w:rFonts w:eastAsia="Calibri"/>
                <w:color w:val="002060"/>
              </w:rPr>
            </w:pPr>
            <w:r w:rsidRPr="009F75F6">
              <w:rPr>
                <w:rFonts w:eastAsia="Calibri"/>
                <w:color w:val="002060"/>
              </w:rPr>
              <w:t>0.70 (0.48-0.71)</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1EB8537" w14:textId="77777777" w:rsidR="006B1592" w:rsidRPr="009F75F6" w:rsidRDefault="006B1592" w:rsidP="00540CF5">
            <w:pPr>
              <w:spacing w:line="360" w:lineRule="auto"/>
              <w:jc w:val="center"/>
              <w:rPr>
                <w:rFonts w:eastAsia="Calibri"/>
                <w:color w:val="002060"/>
              </w:rPr>
            </w:pPr>
            <w:r w:rsidRPr="009F75F6">
              <w:rPr>
                <w:rFonts w:eastAsia="Calibri"/>
                <w:color w:val="002060"/>
              </w:rPr>
              <w:t>0.62 (0.52-0.71)</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36249F3" w14:textId="77777777" w:rsidR="006B1592" w:rsidRPr="009F75F6" w:rsidRDefault="006B1592" w:rsidP="00540CF5">
            <w:pPr>
              <w:spacing w:line="360" w:lineRule="auto"/>
              <w:jc w:val="center"/>
              <w:rPr>
                <w:rFonts w:eastAsia="Calibri"/>
                <w:color w:val="002060"/>
              </w:rPr>
            </w:pPr>
            <w:r w:rsidRPr="009F75F6">
              <w:rPr>
                <w:rFonts w:eastAsia="Calibri"/>
                <w:color w:val="002060"/>
              </w:rPr>
              <w:t>0.63 (0.51-0.73)</w:t>
            </w:r>
          </w:p>
        </w:tc>
      </w:tr>
      <w:tr w:rsidR="006B1592" w:rsidRPr="009F75F6" w14:paraId="5E311F58" w14:textId="77777777" w:rsidTr="00540CF5">
        <w:trPr>
          <w:trHeight w:val="745"/>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AD778CE" w14:textId="77777777" w:rsidR="006B1592" w:rsidRPr="009F75F6" w:rsidRDefault="006B1592" w:rsidP="00540CF5">
            <w:pPr>
              <w:spacing w:line="360" w:lineRule="auto"/>
              <w:jc w:val="both"/>
              <w:rPr>
                <w:rFonts w:eastAsia="Calibri"/>
                <w:b/>
                <w:color w:val="002060"/>
              </w:rPr>
            </w:pPr>
            <w:r w:rsidRPr="009F75F6">
              <w:rPr>
                <w:rFonts w:eastAsia="Calibri"/>
                <w:b/>
                <w:color w:val="002060"/>
              </w:rPr>
              <w:t>NPV</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742442A" w14:textId="77777777" w:rsidR="006B1592" w:rsidRPr="009F75F6" w:rsidRDefault="006B1592" w:rsidP="00540CF5">
            <w:pPr>
              <w:spacing w:line="360" w:lineRule="auto"/>
              <w:jc w:val="center"/>
              <w:rPr>
                <w:rFonts w:eastAsia="Calibri"/>
                <w:color w:val="002060"/>
              </w:rPr>
            </w:pPr>
            <w:r w:rsidRPr="009F75F6">
              <w:rPr>
                <w:rFonts w:eastAsia="Calibri"/>
                <w:color w:val="002060"/>
              </w:rPr>
              <w:t>0.93 (0.89-0.95)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43DC41E" w14:textId="77777777" w:rsidR="006B1592" w:rsidRPr="009F75F6" w:rsidRDefault="006B1592" w:rsidP="00540CF5">
            <w:pPr>
              <w:spacing w:line="360" w:lineRule="auto"/>
              <w:jc w:val="center"/>
              <w:rPr>
                <w:rFonts w:eastAsia="Calibri"/>
                <w:color w:val="002060"/>
              </w:rPr>
            </w:pPr>
            <w:r w:rsidRPr="009F75F6">
              <w:rPr>
                <w:rFonts w:eastAsia="Calibri"/>
                <w:color w:val="002060"/>
              </w:rPr>
              <w:t>0.94 (0.90-0.96)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09989F7" w14:textId="77777777" w:rsidR="006B1592" w:rsidRPr="009F75F6" w:rsidRDefault="006B1592" w:rsidP="00540CF5">
            <w:pPr>
              <w:spacing w:line="360" w:lineRule="auto"/>
              <w:jc w:val="center"/>
              <w:rPr>
                <w:rFonts w:eastAsia="Calibri"/>
                <w:color w:val="002060"/>
              </w:rPr>
            </w:pPr>
            <w:r w:rsidRPr="009F75F6">
              <w:rPr>
                <w:rFonts w:eastAsia="Calibri"/>
                <w:color w:val="002060"/>
              </w:rPr>
              <w:t>0.89 (0.85-0.92)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D4EA51E" w14:textId="77777777" w:rsidR="006B1592" w:rsidRPr="009F75F6" w:rsidRDefault="006B1592" w:rsidP="00540CF5">
            <w:pPr>
              <w:spacing w:line="360" w:lineRule="auto"/>
              <w:jc w:val="center"/>
              <w:rPr>
                <w:rFonts w:eastAsia="Calibri"/>
                <w:color w:val="002060"/>
              </w:rPr>
            </w:pPr>
            <w:r w:rsidRPr="009F75F6">
              <w:rPr>
                <w:rFonts w:eastAsia="Calibri"/>
                <w:color w:val="002060"/>
              </w:rPr>
              <w:t>0.90 (0.85-0.93)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D214851" w14:textId="77777777" w:rsidR="006B1592" w:rsidRPr="009F75F6" w:rsidRDefault="006B1592" w:rsidP="00540CF5">
            <w:pPr>
              <w:spacing w:line="360" w:lineRule="auto"/>
              <w:jc w:val="center"/>
              <w:rPr>
                <w:rFonts w:eastAsia="Calibri"/>
                <w:color w:val="002060"/>
              </w:rPr>
            </w:pPr>
            <w:r w:rsidRPr="009F75F6">
              <w:rPr>
                <w:rFonts w:eastAsia="Calibri"/>
                <w:color w:val="002060"/>
              </w:rPr>
              <w:t>0.91 (0.87-0.94)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0E00BC9" w14:textId="77777777" w:rsidR="006B1592" w:rsidRPr="009F75F6" w:rsidRDefault="006B1592" w:rsidP="00540CF5">
            <w:pPr>
              <w:spacing w:line="360" w:lineRule="auto"/>
              <w:jc w:val="center"/>
              <w:rPr>
                <w:rFonts w:eastAsia="Calibri"/>
                <w:color w:val="002060"/>
              </w:rPr>
            </w:pPr>
            <w:r w:rsidRPr="009F75F6">
              <w:rPr>
                <w:rFonts w:eastAsia="Calibri"/>
                <w:color w:val="002060"/>
              </w:rPr>
              <w:t>0.92 (0.87-0.94)</w:t>
            </w:r>
          </w:p>
        </w:tc>
      </w:tr>
      <w:tr w:rsidR="006B1592" w:rsidRPr="009F75F6" w14:paraId="7719F8D8" w14:textId="77777777" w:rsidTr="00540CF5">
        <w:trPr>
          <w:trHeight w:val="670"/>
        </w:trPr>
        <w:tc>
          <w:tcPr>
            <w:tcW w:w="1459"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1D8C6097" w14:textId="77777777" w:rsidR="006B1592" w:rsidRPr="009F75F6" w:rsidRDefault="006B1592" w:rsidP="00540CF5">
            <w:pPr>
              <w:spacing w:line="360" w:lineRule="auto"/>
              <w:jc w:val="both"/>
              <w:rPr>
                <w:rFonts w:eastAsia="Calibri"/>
                <w:b/>
                <w:color w:val="002060"/>
              </w:rPr>
            </w:pPr>
            <w:r w:rsidRPr="009F75F6">
              <w:rPr>
                <w:rFonts w:eastAsia="Calibri"/>
                <w:b/>
                <w:color w:val="002060"/>
              </w:rPr>
              <w:t>Accuracy</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D6250BB" w14:textId="77777777" w:rsidR="006B1592" w:rsidRPr="009F75F6" w:rsidRDefault="006B1592" w:rsidP="00540CF5">
            <w:pPr>
              <w:spacing w:line="360" w:lineRule="auto"/>
              <w:jc w:val="center"/>
              <w:rPr>
                <w:rFonts w:eastAsia="Calibri"/>
                <w:color w:val="002060"/>
              </w:rPr>
            </w:pPr>
            <w:r w:rsidRPr="009F75F6">
              <w:rPr>
                <w:rFonts w:eastAsia="Calibri"/>
                <w:color w:val="002060"/>
              </w:rPr>
              <w:t>0.83 (0.78-0.88)</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FBFE18A" w14:textId="77777777" w:rsidR="006B1592" w:rsidRPr="009F75F6" w:rsidRDefault="006B1592" w:rsidP="00540CF5">
            <w:pPr>
              <w:spacing w:line="360" w:lineRule="auto"/>
              <w:jc w:val="center"/>
              <w:rPr>
                <w:rFonts w:eastAsia="Calibri"/>
                <w:color w:val="002060"/>
              </w:rPr>
            </w:pPr>
            <w:r w:rsidRPr="009F75F6">
              <w:rPr>
                <w:rFonts w:eastAsia="Calibri"/>
                <w:color w:val="002060"/>
              </w:rPr>
              <w:t>0.85 (0.79-0.90)</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F3C292C" w14:textId="77777777" w:rsidR="006B1592" w:rsidRPr="009F75F6" w:rsidRDefault="006B1592" w:rsidP="00540CF5">
            <w:pPr>
              <w:spacing w:line="360" w:lineRule="auto"/>
              <w:jc w:val="center"/>
              <w:rPr>
                <w:rFonts w:eastAsia="Calibri"/>
                <w:color w:val="002060"/>
              </w:rPr>
            </w:pPr>
            <w:r w:rsidRPr="009F75F6">
              <w:rPr>
                <w:rFonts w:eastAsia="Calibri"/>
                <w:color w:val="002060"/>
              </w:rPr>
              <w:t>0.81 (0.75-0.86)</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7204661B" w14:textId="77777777" w:rsidR="006B1592" w:rsidRPr="009F75F6" w:rsidRDefault="006B1592" w:rsidP="00540CF5">
            <w:pPr>
              <w:spacing w:line="360" w:lineRule="auto"/>
              <w:jc w:val="center"/>
              <w:rPr>
                <w:rFonts w:eastAsia="Calibri"/>
                <w:color w:val="002060"/>
              </w:rPr>
            </w:pPr>
            <w:r w:rsidRPr="009F75F6">
              <w:rPr>
                <w:rFonts w:eastAsia="Calibri"/>
                <w:color w:val="002060"/>
              </w:rPr>
              <w:t>0.83 (0.77-0.88)</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DCE1405" w14:textId="77777777" w:rsidR="006B1592" w:rsidRPr="009F75F6" w:rsidRDefault="006B1592" w:rsidP="00540CF5">
            <w:pPr>
              <w:spacing w:line="360" w:lineRule="auto"/>
              <w:jc w:val="center"/>
              <w:rPr>
                <w:rFonts w:eastAsia="Calibri"/>
                <w:color w:val="002060"/>
              </w:rPr>
            </w:pPr>
            <w:r w:rsidRPr="009F75F6">
              <w:rPr>
                <w:rFonts w:eastAsia="Calibri"/>
                <w:color w:val="002060"/>
              </w:rPr>
              <w:t>0.83 (0.78-0.88)</w:t>
            </w:r>
          </w:p>
        </w:tc>
        <w:tc>
          <w:tcPr>
            <w:tcW w:w="1316"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55E2C12F" w14:textId="77777777" w:rsidR="006B1592" w:rsidRPr="009F75F6" w:rsidRDefault="006B1592" w:rsidP="00540CF5">
            <w:pPr>
              <w:spacing w:line="360" w:lineRule="auto"/>
              <w:jc w:val="center"/>
              <w:rPr>
                <w:rFonts w:eastAsia="Calibri"/>
                <w:color w:val="002060"/>
              </w:rPr>
            </w:pPr>
            <w:r w:rsidRPr="009F75F6">
              <w:rPr>
                <w:rFonts w:eastAsia="Calibri"/>
                <w:color w:val="002060"/>
              </w:rPr>
              <w:t>0.84 (0.79-0.89)</w:t>
            </w:r>
          </w:p>
        </w:tc>
      </w:tr>
      <w:tr w:rsidR="006B1592" w:rsidRPr="009F75F6" w14:paraId="41D5DB69" w14:textId="77777777" w:rsidTr="00540CF5">
        <w:trPr>
          <w:trHeight w:val="67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A6C6F54" w14:textId="77777777" w:rsidR="006B1592" w:rsidRPr="009F75F6" w:rsidRDefault="006B1592" w:rsidP="00540CF5">
            <w:pPr>
              <w:spacing w:line="360" w:lineRule="auto"/>
              <w:jc w:val="both"/>
              <w:rPr>
                <w:rFonts w:eastAsia="Calibri"/>
                <w:b/>
                <w:color w:val="002060"/>
              </w:rPr>
            </w:pPr>
            <w:r w:rsidRPr="009F75F6">
              <w:rPr>
                <w:rFonts w:eastAsia="Calibri"/>
                <w:b/>
                <w:color w:val="002060"/>
              </w:rPr>
              <w:t>Cohen Kappa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6CF7C2E7" w14:textId="77777777" w:rsidR="006B1592" w:rsidRPr="009F75F6" w:rsidRDefault="006B1592" w:rsidP="00540CF5">
            <w:pPr>
              <w:spacing w:line="360" w:lineRule="auto"/>
              <w:jc w:val="center"/>
              <w:rPr>
                <w:rFonts w:eastAsia="Calibri"/>
                <w:color w:val="002060"/>
              </w:rPr>
            </w:pPr>
            <w:r w:rsidRPr="009F75F6">
              <w:rPr>
                <w:rFonts w:eastAsia="Calibri"/>
                <w:color w:val="002060"/>
              </w:rPr>
              <w:t>0.54 (0.41-0.67)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7FD0C81" w14:textId="77777777" w:rsidR="006B1592" w:rsidRPr="009F75F6" w:rsidRDefault="006B1592" w:rsidP="00540CF5">
            <w:pPr>
              <w:spacing w:line="360" w:lineRule="auto"/>
              <w:jc w:val="center"/>
              <w:rPr>
                <w:rFonts w:eastAsia="Calibri"/>
                <w:color w:val="002060"/>
              </w:rPr>
            </w:pPr>
            <w:r w:rsidRPr="009F75F6">
              <w:rPr>
                <w:rFonts w:eastAsia="Calibri"/>
                <w:color w:val="002060"/>
              </w:rPr>
              <w:t>0.54 (0.39-0.69)</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1D5A2FB" w14:textId="77777777" w:rsidR="006B1592" w:rsidRPr="009F75F6" w:rsidRDefault="006B1592" w:rsidP="00540CF5">
            <w:pPr>
              <w:spacing w:line="360" w:lineRule="auto"/>
              <w:jc w:val="center"/>
              <w:rPr>
                <w:rFonts w:eastAsia="Calibri"/>
                <w:color w:val="002060"/>
              </w:rPr>
            </w:pPr>
            <w:r w:rsidRPr="009F75F6">
              <w:rPr>
                <w:rFonts w:eastAsia="Calibri"/>
                <w:color w:val="002060"/>
              </w:rPr>
              <w:t>0.49 (0.36-0.62)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BDA433D" w14:textId="77777777" w:rsidR="006B1592" w:rsidRPr="009F75F6" w:rsidRDefault="006B1592" w:rsidP="00540CF5">
            <w:pPr>
              <w:spacing w:line="360" w:lineRule="auto"/>
              <w:jc w:val="center"/>
              <w:rPr>
                <w:rFonts w:eastAsia="Calibri"/>
                <w:color w:val="002060"/>
              </w:rPr>
            </w:pPr>
            <w:r w:rsidRPr="009F75F6">
              <w:rPr>
                <w:rFonts w:eastAsia="Calibri"/>
                <w:color w:val="002060"/>
              </w:rPr>
              <w:t>0.51 (0.36-0.66)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F523CA6" w14:textId="77777777" w:rsidR="006B1592" w:rsidRPr="009F75F6" w:rsidRDefault="006B1592" w:rsidP="00540CF5">
            <w:pPr>
              <w:spacing w:line="360" w:lineRule="auto"/>
              <w:jc w:val="center"/>
              <w:rPr>
                <w:rFonts w:eastAsia="Calibri"/>
                <w:color w:val="002060"/>
              </w:rPr>
            </w:pPr>
            <w:r w:rsidRPr="009F75F6">
              <w:rPr>
                <w:rFonts w:eastAsia="Calibri"/>
                <w:color w:val="002060"/>
              </w:rPr>
              <w:t>0.55 (0.43-0.68)</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0ED7CB4" w14:textId="77777777" w:rsidR="006B1592" w:rsidRPr="009F75F6" w:rsidRDefault="006B1592" w:rsidP="00540CF5">
            <w:pPr>
              <w:spacing w:line="360" w:lineRule="auto"/>
              <w:jc w:val="center"/>
              <w:rPr>
                <w:rFonts w:eastAsia="Calibri"/>
                <w:color w:val="002060"/>
              </w:rPr>
            </w:pPr>
            <w:r w:rsidRPr="009F75F6">
              <w:rPr>
                <w:rFonts w:eastAsia="Calibri"/>
                <w:color w:val="002060"/>
              </w:rPr>
              <w:t>0.55 (0.41-0.70)</w:t>
            </w:r>
          </w:p>
        </w:tc>
      </w:tr>
      <w:tr w:rsidR="006B1592" w:rsidRPr="009F75F6" w14:paraId="2FE728D8" w14:textId="77777777" w:rsidTr="00540CF5">
        <w:trPr>
          <w:trHeight w:val="67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44F12B3" w14:textId="77777777" w:rsidR="006B1592" w:rsidRPr="009F75F6" w:rsidRDefault="006B1592" w:rsidP="00540CF5">
            <w:pPr>
              <w:spacing w:line="360" w:lineRule="auto"/>
              <w:jc w:val="both"/>
              <w:rPr>
                <w:rFonts w:eastAsia="Calibri"/>
                <w:b/>
                <w:color w:val="002060"/>
              </w:rPr>
            </w:pPr>
            <w:r w:rsidRPr="009F75F6">
              <w:rPr>
                <w:rFonts w:eastAsia="Calibri"/>
                <w:b/>
                <w:color w:val="002060"/>
              </w:rPr>
              <w:t>AUROC</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88D48C7" w14:textId="77777777" w:rsidR="006B1592" w:rsidRPr="009F75F6" w:rsidRDefault="006B1592" w:rsidP="00540CF5">
            <w:pPr>
              <w:spacing w:line="360" w:lineRule="auto"/>
              <w:jc w:val="center"/>
              <w:rPr>
                <w:rFonts w:eastAsia="Calibri"/>
                <w:color w:val="002060"/>
              </w:rPr>
            </w:pPr>
            <w:r w:rsidRPr="009F75F6">
              <w:rPr>
                <w:rFonts w:eastAsia="Calibri"/>
                <w:color w:val="002060"/>
              </w:rPr>
              <w:t>0.83 (0.75-0.90)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F2DB569" w14:textId="77777777" w:rsidR="006B1592" w:rsidRPr="009F75F6" w:rsidRDefault="006B1592" w:rsidP="00540CF5">
            <w:pPr>
              <w:spacing w:line="360" w:lineRule="auto"/>
              <w:jc w:val="center"/>
              <w:rPr>
                <w:rFonts w:eastAsia="Calibri"/>
                <w:color w:val="00206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795630C" w14:textId="77777777" w:rsidR="006B1592" w:rsidRPr="009F75F6" w:rsidRDefault="006B1592" w:rsidP="00540CF5">
            <w:pPr>
              <w:spacing w:line="360" w:lineRule="auto"/>
              <w:jc w:val="center"/>
              <w:rPr>
                <w:rFonts w:eastAsia="Calibri"/>
                <w:color w:val="002060"/>
              </w:rPr>
            </w:pPr>
            <w:r w:rsidRPr="009F75F6">
              <w:rPr>
                <w:rFonts w:eastAsia="Calibri"/>
                <w:color w:val="002060"/>
              </w:rPr>
              <w:t>0.81 (0.74-0.88)</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9059E66" w14:textId="77777777" w:rsidR="006B1592" w:rsidRPr="009F75F6" w:rsidRDefault="006B1592" w:rsidP="00540CF5">
            <w:pPr>
              <w:spacing w:line="360" w:lineRule="auto"/>
              <w:jc w:val="center"/>
              <w:rPr>
                <w:rFonts w:eastAsia="Calibri"/>
                <w:color w:val="00206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79A7D21" w14:textId="77777777" w:rsidR="006B1592" w:rsidRPr="009F75F6" w:rsidRDefault="006B1592" w:rsidP="00540CF5">
            <w:pPr>
              <w:spacing w:line="360" w:lineRule="auto"/>
              <w:jc w:val="center"/>
              <w:rPr>
                <w:rFonts w:eastAsia="Calibri"/>
                <w:color w:val="002060"/>
              </w:rPr>
            </w:pPr>
            <w:r w:rsidRPr="009F75F6">
              <w:rPr>
                <w:rFonts w:eastAsia="Calibri"/>
                <w:color w:val="002060"/>
              </w:rPr>
              <w:t>0.81 (0.73-0.88)</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CBF3F2A" w14:textId="77777777" w:rsidR="006B1592" w:rsidRPr="009F75F6" w:rsidRDefault="006B1592" w:rsidP="00540CF5">
            <w:pPr>
              <w:spacing w:line="360" w:lineRule="auto"/>
              <w:jc w:val="center"/>
              <w:rPr>
                <w:rFonts w:eastAsia="Calibri"/>
                <w:color w:val="002060"/>
              </w:rPr>
            </w:pPr>
          </w:p>
        </w:tc>
      </w:tr>
    </w:tbl>
    <w:p w14:paraId="5216A03D" w14:textId="77777777" w:rsidR="006B1592" w:rsidRPr="009F75F6" w:rsidRDefault="006B1592" w:rsidP="006B1592">
      <w:pPr>
        <w:spacing w:line="360" w:lineRule="auto"/>
        <w:jc w:val="both"/>
        <w:rPr>
          <w:b/>
        </w:rPr>
      </w:pPr>
    </w:p>
    <w:p w14:paraId="490E1FB9" w14:textId="77777777" w:rsidR="006B1592" w:rsidRDefault="006B1592" w:rsidP="006B1592">
      <w:r>
        <w:br w:type="page"/>
      </w:r>
    </w:p>
    <w:p w14:paraId="3DE3D4B3" w14:textId="77777777" w:rsidR="006B1592" w:rsidRPr="009F75F6" w:rsidRDefault="006B1592" w:rsidP="006B1592">
      <w:pPr>
        <w:jc w:val="both"/>
        <w:rPr>
          <w:b/>
        </w:rPr>
      </w:pPr>
      <w:r w:rsidRPr="009F75F6">
        <w:rPr>
          <w:b/>
        </w:rPr>
        <w:lastRenderedPageBreak/>
        <w:t>Supplementary Table 1</w:t>
      </w:r>
      <w:r>
        <w:rPr>
          <w:b/>
        </w:rPr>
        <w:t>.</w:t>
      </w:r>
      <w:r w:rsidRPr="009F75F6">
        <w:rPr>
          <w:b/>
        </w:rPr>
        <w:t xml:space="preserve"> Distribution of histological activity</w:t>
      </w:r>
    </w:p>
    <w:p w14:paraId="68639E5B" w14:textId="77777777" w:rsidR="006B1592" w:rsidRPr="009F75F6" w:rsidRDefault="006B1592" w:rsidP="006B1592">
      <w:pPr>
        <w:jc w:val="both"/>
        <w:rPr>
          <w:b/>
        </w:rPr>
      </w:pPr>
      <w:r w:rsidRPr="009F75F6">
        <w:rPr>
          <w:b/>
        </w:rPr>
        <w:t xml:space="preserve"> </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1005"/>
        <w:gridCol w:w="1050"/>
        <w:gridCol w:w="1065"/>
        <w:gridCol w:w="1005"/>
        <w:gridCol w:w="1035"/>
        <w:gridCol w:w="1065"/>
        <w:gridCol w:w="1005"/>
        <w:gridCol w:w="1050"/>
        <w:gridCol w:w="1065"/>
      </w:tblGrid>
      <w:tr w:rsidR="006B1592" w:rsidRPr="009F75F6" w14:paraId="3E95398E" w14:textId="77777777" w:rsidTr="00540CF5">
        <w:trPr>
          <w:trHeight w:val="690"/>
        </w:trPr>
        <w:tc>
          <w:tcPr>
            <w:tcW w:w="312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tcPr>
          <w:p w14:paraId="50BF0643" w14:textId="77777777" w:rsidR="006B1592" w:rsidRPr="009F75F6" w:rsidRDefault="006B1592" w:rsidP="00540CF5">
            <w:pPr>
              <w:jc w:val="center"/>
              <w:rPr>
                <w:b/>
                <w:sz w:val="24"/>
                <w:szCs w:val="24"/>
              </w:rPr>
            </w:pPr>
            <w:r w:rsidRPr="009F75F6">
              <w:rPr>
                <w:b/>
                <w:sz w:val="24"/>
                <w:szCs w:val="24"/>
              </w:rPr>
              <w:t xml:space="preserve"> </w:t>
            </w:r>
          </w:p>
          <w:p w14:paraId="4B60262F" w14:textId="77777777" w:rsidR="006B1592" w:rsidRPr="009F75F6" w:rsidRDefault="006B1592" w:rsidP="00540CF5">
            <w:pPr>
              <w:jc w:val="center"/>
              <w:rPr>
                <w:b/>
                <w:sz w:val="24"/>
                <w:szCs w:val="24"/>
              </w:rPr>
            </w:pPr>
            <w:r w:rsidRPr="009F75F6">
              <w:rPr>
                <w:b/>
                <w:sz w:val="24"/>
                <w:szCs w:val="24"/>
              </w:rPr>
              <w:t>RHI</w:t>
            </w:r>
          </w:p>
        </w:tc>
        <w:tc>
          <w:tcPr>
            <w:tcW w:w="3105" w:type="dxa"/>
            <w:gridSpan w:val="3"/>
            <w:tcBorders>
              <w:top w:val="single" w:sz="8" w:space="0" w:color="000000"/>
              <w:left w:val="nil"/>
              <w:bottom w:val="single" w:sz="8" w:space="0" w:color="000000"/>
              <w:right w:val="single" w:sz="8" w:space="0" w:color="000000"/>
            </w:tcBorders>
            <w:shd w:val="clear" w:color="auto" w:fill="FFFFFF"/>
            <w:tcMar>
              <w:top w:w="20" w:type="dxa"/>
              <w:left w:w="20" w:type="dxa"/>
              <w:bottom w:w="100" w:type="dxa"/>
              <w:right w:w="20" w:type="dxa"/>
            </w:tcMar>
          </w:tcPr>
          <w:p w14:paraId="42A5BDDA" w14:textId="77777777" w:rsidR="006B1592" w:rsidRPr="009F75F6" w:rsidRDefault="006B1592" w:rsidP="00540CF5">
            <w:pPr>
              <w:jc w:val="center"/>
              <w:rPr>
                <w:b/>
                <w:sz w:val="24"/>
                <w:szCs w:val="24"/>
              </w:rPr>
            </w:pPr>
            <w:r w:rsidRPr="009F75F6">
              <w:rPr>
                <w:b/>
                <w:sz w:val="24"/>
                <w:szCs w:val="24"/>
              </w:rPr>
              <w:t xml:space="preserve"> </w:t>
            </w:r>
          </w:p>
          <w:p w14:paraId="6B7139CC" w14:textId="77777777" w:rsidR="006B1592" w:rsidRPr="009F75F6" w:rsidRDefault="006B1592" w:rsidP="00540CF5">
            <w:pPr>
              <w:jc w:val="center"/>
              <w:rPr>
                <w:b/>
                <w:sz w:val="24"/>
                <w:szCs w:val="24"/>
              </w:rPr>
            </w:pPr>
            <w:r w:rsidRPr="009F75F6">
              <w:rPr>
                <w:b/>
                <w:sz w:val="24"/>
                <w:szCs w:val="24"/>
              </w:rPr>
              <w:t>NHI</w:t>
            </w:r>
          </w:p>
        </w:tc>
        <w:tc>
          <w:tcPr>
            <w:tcW w:w="3120" w:type="dxa"/>
            <w:gridSpan w:val="3"/>
            <w:tcBorders>
              <w:top w:val="single" w:sz="8" w:space="0" w:color="000000"/>
              <w:left w:val="nil"/>
              <w:bottom w:val="single" w:sz="8" w:space="0" w:color="000000"/>
              <w:right w:val="single" w:sz="8" w:space="0" w:color="000000"/>
            </w:tcBorders>
            <w:shd w:val="clear" w:color="auto" w:fill="FFFFFF"/>
            <w:tcMar>
              <w:top w:w="20" w:type="dxa"/>
              <w:left w:w="20" w:type="dxa"/>
              <w:bottom w:w="100" w:type="dxa"/>
              <w:right w:w="20" w:type="dxa"/>
            </w:tcMar>
          </w:tcPr>
          <w:p w14:paraId="71C32CA2" w14:textId="77777777" w:rsidR="006B1592" w:rsidRPr="009F75F6" w:rsidRDefault="006B1592" w:rsidP="00540CF5">
            <w:pPr>
              <w:jc w:val="center"/>
              <w:rPr>
                <w:b/>
                <w:sz w:val="24"/>
                <w:szCs w:val="24"/>
              </w:rPr>
            </w:pPr>
            <w:r w:rsidRPr="009F75F6">
              <w:rPr>
                <w:b/>
                <w:sz w:val="24"/>
                <w:szCs w:val="24"/>
              </w:rPr>
              <w:t xml:space="preserve"> </w:t>
            </w:r>
          </w:p>
          <w:p w14:paraId="679447D9" w14:textId="77777777" w:rsidR="006B1592" w:rsidRPr="009F75F6" w:rsidRDefault="006B1592" w:rsidP="00540CF5">
            <w:pPr>
              <w:jc w:val="center"/>
              <w:rPr>
                <w:b/>
                <w:sz w:val="24"/>
                <w:szCs w:val="24"/>
              </w:rPr>
            </w:pPr>
            <w:r w:rsidRPr="009F75F6">
              <w:rPr>
                <w:b/>
                <w:sz w:val="24"/>
                <w:szCs w:val="24"/>
              </w:rPr>
              <w:t>PHRI</w:t>
            </w:r>
          </w:p>
        </w:tc>
      </w:tr>
      <w:tr w:rsidR="006B1592" w:rsidRPr="009F75F6" w14:paraId="121508B0" w14:textId="77777777" w:rsidTr="00540CF5">
        <w:trPr>
          <w:trHeight w:val="52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DCDE1BC" w14:textId="77777777" w:rsidR="006B1592" w:rsidRPr="009F75F6" w:rsidRDefault="006B1592" w:rsidP="00540CF5">
            <w:pPr>
              <w:jc w:val="both"/>
              <w:rPr>
                <w:b/>
                <w:sz w:val="24"/>
                <w:szCs w:val="24"/>
              </w:rPr>
            </w:pPr>
            <w:r w:rsidRPr="009F75F6">
              <w:rPr>
                <w:b/>
                <w:sz w:val="24"/>
                <w:szCs w:val="24"/>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E59F1BD" w14:textId="77777777" w:rsidR="006B1592" w:rsidRPr="009F75F6" w:rsidRDefault="006B1592" w:rsidP="00540CF5">
            <w:pPr>
              <w:jc w:val="both"/>
              <w:rPr>
                <w:b/>
                <w:sz w:val="24"/>
                <w:szCs w:val="24"/>
              </w:rPr>
            </w:pPr>
            <w:r w:rsidRPr="009F75F6">
              <w:rPr>
                <w:b/>
                <w:sz w:val="24"/>
                <w:szCs w:val="24"/>
              </w:rPr>
              <w:t>Rectum</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B9BD706" w14:textId="77777777" w:rsidR="006B1592" w:rsidRPr="009F75F6" w:rsidRDefault="006B1592" w:rsidP="00540CF5">
            <w:pPr>
              <w:jc w:val="both"/>
              <w:rPr>
                <w:b/>
                <w:sz w:val="24"/>
                <w:szCs w:val="24"/>
              </w:rPr>
            </w:pPr>
            <w:r w:rsidRPr="009F75F6">
              <w:rPr>
                <w:b/>
                <w:sz w:val="24"/>
                <w:szCs w:val="24"/>
              </w:rPr>
              <w:t>Sigmoid</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494C237" w14:textId="77777777" w:rsidR="006B1592" w:rsidRPr="009F75F6" w:rsidRDefault="006B1592" w:rsidP="00540CF5">
            <w:pPr>
              <w:jc w:val="both"/>
              <w:rPr>
                <w:b/>
                <w:sz w:val="24"/>
                <w:szCs w:val="24"/>
              </w:rPr>
            </w:pPr>
            <w:r w:rsidRPr="009F75F6">
              <w:rPr>
                <w:b/>
                <w:sz w:val="24"/>
                <w:szCs w:val="24"/>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9EBAB4C" w14:textId="77777777" w:rsidR="006B1592" w:rsidRPr="009F75F6" w:rsidRDefault="006B1592" w:rsidP="00540CF5">
            <w:pPr>
              <w:jc w:val="both"/>
              <w:rPr>
                <w:b/>
                <w:sz w:val="24"/>
                <w:szCs w:val="24"/>
              </w:rPr>
            </w:pPr>
            <w:r w:rsidRPr="009F75F6">
              <w:rPr>
                <w:b/>
                <w:sz w:val="24"/>
                <w:szCs w:val="24"/>
              </w:rPr>
              <w:t>Rectum</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1174AFE" w14:textId="77777777" w:rsidR="006B1592" w:rsidRPr="009F75F6" w:rsidRDefault="006B1592" w:rsidP="00540CF5">
            <w:pPr>
              <w:jc w:val="both"/>
              <w:rPr>
                <w:b/>
                <w:sz w:val="24"/>
                <w:szCs w:val="24"/>
              </w:rPr>
            </w:pPr>
            <w:r w:rsidRPr="009F75F6">
              <w:rPr>
                <w:b/>
                <w:sz w:val="24"/>
                <w:szCs w:val="24"/>
              </w:rPr>
              <w:t>Sigmoid</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5A4B796" w14:textId="77777777" w:rsidR="006B1592" w:rsidRPr="009F75F6" w:rsidRDefault="006B1592" w:rsidP="00540CF5">
            <w:pPr>
              <w:jc w:val="both"/>
              <w:rPr>
                <w:b/>
                <w:sz w:val="24"/>
                <w:szCs w:val="24"/>
              </w:rPr>
            </w:pPr>
            <w:r w:rsidRPr="009F75F6">
              <w:rPr>
                <w:b/>
                <w:sz w:val="24"/>
                <w:szCs w:val="24"/>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B23A9A4" w14:textId="77777777" w:rsidR="006B1592" w:rsidRPr="009F75F6" w:rsidRDefault="006B1592" w:rsidP="00540CF5">
            <w:pPr>
              <w:jc w:val="both"/>
              <w:rPr>
                <w:b/>
                <w:sz w:val="24"/>
                <w:szCs w:val="24"/>
              </w:rPr>
            </w:pPr>
            <w:r w:rsidRPr="009F75F6">
              <w:rPr>
                <w:b/>
                <w:sz w:val="24"/>
                <w:szCs w:val="24"/>
              </w:rPr>
              <w:t>Rectum</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22FE29A" w14:textId="77777777" w:rsidR="006B1592" w:rsidRPr="009F75F6" w:rsidRDefault="006B1592" w:rsidP="00540CF5">
            <w:pPr>
              <w:jc w:val="both"/>
              <w:rPr>
                <w:b/>
                <w:sz w:val="24"/>
                <w:szCs w:val="24"/>
              </w:rPr>
            </w:pPr>
            <w:r w:rsidRPr="009F75F6">
              <w:rPr>
                <w:b/>
                <w:sz w:val="24"/>
                <w:szCs w:val="24"/>
              </w:rPr>
              <w:t>Sigmoid</w:t>
            </w:r>
          </w:p>
        </w:tc>
      </w:tr>
      <w:tr w:rsidR="006B1592" w:rsidRPr="009F75F6" w14:paraId="6D4CF2F8"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4BFAFA24" w14:textId="77777777" w:rsidR="006B1592" w:rsidRPr="009F75F6" w:rsidRDefault="006B1592" w:rsidP="00540CF5">
            <w:pPr>
              <w:jc w:val="both"/>
              <w:rPr>
                <w:rFonts w:eastAsia="Calibri"/>
                <w:b/>
              </w:rPr>
            </w:pPr>
            <w:r w:rsidRPr="009F75F6">
              <w:rPr>
                <w:rFonts w:eastAsia="Calibri"/>
                <w:b/>
              </w:rPr>
              <w:t>Score</w:t>
            </w:r>
          </w:p>
        </w:tc>
        <w:tc>
          <w:tcPr>
            <w:tcW w:w="2115" w:type="dxa"/>
            <w:gridSpan w:val="2"/>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65B0560" w14:textId="77777777" w:rsidR="006B1592" w:rsidRPr="009F75F6" w:rsidRDefault="006B1592" w:rsidP="00540CF5">
            <w:pPr>
              <w:jc w:val="both"/>
              <w:rPr>
                <w:rFonts w:eastAsia="Calibri"/>
                <w:b/>
              </w:rPr>
            </w:pPr>
            <w:r w:rsidRPr="009F75F6">
              <w:rPr>
                <w:rFonts w:eastAsia="Calibri"/>
                <w:b/>
              </w:rPr>
              <w:t>N of Patients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CEA2CF6" w14:textId="77777777" w:rsidR="006B1592" w:rsidRPr="009F75F6" w:rsidRDefault="006B1592" w:rsidP="00540CF5">
            <w:pPr>
              <w:jc w:val="both"/>
              <w:rPr>
                <w:rFonts w:eastAsia="Calibri"/>
                <w:b/>
              </w:rPr>
            </w:pPr>
            <w:r w:rsidRPr="009F75F6">
              <w:rPr>
                <w:rFonts w:eastAsia="Calibri"/>
                <w:b/>
              </w:rPr>
              <w:t>Score</w:t>
            </w:r>
          </w:p>
        </w:tc>
        <w:tc>
          <w:tcPr>
            <w:tcW w:w="2100" w:type="dxa"/>
            <w:gridSpan w:val="2"/>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ECBA139" w14:textId="77777777" w:rsidR="006B1592" w:rsidRPr="009F75F6" w:rsidRDefault="006B1592" w:rsidP="00540CF5">
            <w:pPr>
              <w:jc w:val="both"/>
              <w:rPr>
                <w:rFonts w:eastAsia="Calibri"/>
                <w:b/>
              </w:rPr>
            </w:pPr>
            <w:r w:rsidRPr="009F75F6">
              <w:rPr>
                <w:rFonts w:eastAsia="Calibri"/>
                <w:b/>
              </w:rPr>
              <w:t>N of patients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4F4E8F7" w14:textId="77777777" w:rsidR="006B1592" w:rsidRPr="009F75F6" w:rsidRDefault="006B1592" w:rsidP="00540CF5">
            <w:pPr>
              <w:jc w:val="both"/>
              <w:rPr>
                <w:rFonts w:eastAsia="Calibri"/>
                <w:b/>
              </w:rPr>
            </w:pPr>
            <w:r w:rsidRPr="009F75F6">
              <w:rPr>
                <w:rFonts w:eastAsia="Calibri"/>
                <w:b/>
              </w:rPr>
              <w:t>Score</w:t>
            </w:r>
          </w:p>
        </w:tc>
        <w:tc>
          <w:tcPr>
            <w:tcW w:w="2115" w:type="dxa"/>
            <w:gridSpan w:val="2"/>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29A1CBB" w14:textId="77777777" w:rsidR="006B1592" w:rsidRPr="009F75F6" w:rsidRDefault="006B1592" w:rsidP="00540CF5">
            <w:pPr>
              <w:jc w:val="both"/>
              <w:rPr>
                <w:rFonts w:eastAsia="Calibri"/>
                <w:b/>
              </w:rPr>
            </w:pPr>
            <w:r w:rsidRPr="009F75F6">
              <w:rPr>
                <w:rFonts w:eastAsia="Calibri"/>
                <w:b/>
              </w:rPr>
              <w:t>N of patients (%)</w:t>
            </w:r>
          </w:p>
        </w:tc>
      </w:tr>
      <w:tr w:rsidR="006B1592" w:rsidRPr="009F75F6" w14:paraId="70421E8E" w14:textId="77777777" w:rsidTr="00540CF5">
        <w:trPr>
          <w:trHeight w:val="645"/>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3C120769" w14:textId="77777777" w:rsidR="006B1592" w:rsidRPr="009F75F6" w:rsidRDefault="006B1592" w:rsidP="00540CF5">
            <w:pPr>
              <w:jc w:val="both"/>
              <w:rPr>
                <w:rFonts w:eastAsia="Calibri"/>
                <w:b/>
              </w:rPr>
            </w:pPr>
            <w:r w:rsidRPr="009F75F6">
              <w:rPr>
                <w:rFonts w:eastAsia="Calibri"/>
                <w:b/>
              </w:rPr>
              <w:t>0</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AB32688" w14:textId="77777777" w:rsidR="006B1592" w:rsidRPr="009F75F6" w:rsidRDefault="006B1592" w:rsidP="00540CF5">
            <w:pPr>
              <w:jc w:val="both"/>
              <w:rPr>
                <w:rFonts w:eastAsia="Calibri"/>
              </w:rPr>
            </w:pPr>
            <w:r w:rsidRPr="009F75F6">
              <w:rPr>
                <w:rFonts w:eastAsia="Calibri"/>
              </w:rPr>
              <w:t>98 (34.6)</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5D9EBA6" w14:textId="77777777" w:rsidR="006B1592" w:rsidRPr="009F75F6" w:rsidRDefault="006B1592" w:rsidP="00540CF5">
            <w:pPr>
              <w:jc w:val="both"/>
              <w:rPr>
                <w:rFonts w:eastAsia="Calibri"/>
              </w:rPr>
            </w:pPr>
            <w:r w:rsidRPr="009F75F6">
              <w:rPr>
                <w:rFonts w:eastAsia="Calibri"/>
              </w:rPr>
              <w:t>100 (35.3)</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4321AA4" w14:textId="77777777" w:rsidR="006B1592" w:rsidRPr="009F75F6" w:rsidRDefault="006B1592" w:rsidP="00540CF5">
            <w:pPr>
              <w:jc w:val="both"/>
              <w:rPr>
                <w:rFonts w:eastAsia="Calibri"/>
                <w:b/>
              </w:rPr>
            </w:pPr>
            <w:r w:rsidRPr="009F75F6">
              <w:rPr>
                <w:rFonts w:eastAsia="Calibri"/>
                <w:b/>
              </w:rPr>
              <w:t>0</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134EF87" w14:textId="77777777" w:rsidR="006B1592" w:rsidRPr="009F75F6" w:rsidRDefault="006B1592" w:rsidP="00540CF5">
            <w:pPr>
              <w:jc w:val="both"/>
              <w:rPr>
                <w:rFonts w:eastAsia="Calibri"/>
              </w:rPr>
            </w:pPr>
            <w:r w:rsidRPr="009F75F6">
              <w:rPr>
                <w:rFonts w:eastAsia="Calibri"/>
              </w:rPr>
              <w:t>167 (59.0)</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6D5E1E4" w14:textId="77777777" w:rsidR="006B1592" w:rsidRPr="009F75F6" w:rsidRDefault="006B1592" w:rsidP="00540CF5">
            <w:pPr>
              <w:jc w:val="both"/>
              <w:rPr>
                <w:rFonts w:eastAsia="Calibri"/>
              </w:rPr>
            </w:pPr>
            <w:r w:rsidRPr="009F75F6">
              <w:rPr>
                <w:rFonts w:eastAsia="Calibri"/>
              </w:rPr>
              <w:t>170 (60.0)</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647A51E" w14:textId="77777777" w:rsidR="006B1592" w:rsidRPr="009F75F6" w:rsidRDefault="006B1592" w:rsidP="00540CF5">
            <w:pPr>
              <w:jc w:val="both"/>
              <w:rPr>
                <w:rFonts w:eastAsia="Calibri"/>
                <w:b/>
              </w:rPr>
            </w:pPr>
            <w:r w:rsidRPr="009F75F6">
              <w:rPr>
                <w:rFonts w:eastAsia="Calibri"/>
                <w:b/>
              </w:rPr>
              <w:t>0</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5966011" w14:textId="77777777" w:rsidR="006B1592" w:rsidRPr="009F75F6" w:rsidRDefault="006B1592" w:rsidP="00540CF5">
            <w:pPr>
              <w:jc w:val="both"/>
              <w:rPr>
                <w:rFonts w:eastAsia="Calibri"/>
              </w:rPr>
            </w:pPr>
            <w:r w:rsidRPr="009F75F6">
              <w:rPr>
                <w:rFonts w:eastAsia="Calibri"/>
              </w:rPr>
              <w:t>197 (69.6)</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4F042DE" w14:textId="77777777" w:rsidR="006B1592" w:rsidRPr="009F75F6" w:rsidRDefault="006B1592" w:rsidP="00540CF5">
            <w:pPr>
              <w:jc w:val="both"/>
              <w:rPr>
                <w:rFonts w:eastAsia="Calibri"/>
              </w:rPr>
            </w:pPr>
            <w:r w:rsidRPr="009F75F6">
              <w:rPr>
                <w:rFonts w:eastAsia="Calibri"/>
              </w:rPr>
              <w:t>206 (72.8)</w:t>
            </w:r>
          </w:p>
        </w:tc>
      </w:tr>
      <w:tr w:rsidR="006B1592" w:rsidRPr="009F75F6" w14:paraId="09D20C68"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339B1A9C" w14:textId="77777777" w:rsidR="006B1592" w:rsidRPr="009F75F6" w:rsidRDefault="006B1592" w:rsidP="00540CF5">
            <w:pPr>
              <w:jc w:val="both"/>
              <w:rPr>
                <w:rFonts w:eastAsia="Calibri"/>
                <w:b/>
              </w:rPr>
            </w:pPr>
            <w:r w:rsidRPr="009F75F6">
              <w:rPr>
                <w:rFonts w:eastAsia="Calibri"/>
                <w:b/>
              </w:rPr>
              <w:t>1</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058913C" w14:textId="77777777" w:rsidR="006B1592" w:rsidRPr="009F75F6" w:rsidRDefault="006B1592" w:rsidP="00540CF5">
            <w:pPr>
              <w:jc w:val="both"/>
              <w:rPr>
                <w:rFonts w:eastAsia="Calibri"/>
              </w:rPr>
            </w:pPr>
            <w:r w:rsidRPr="009F75F6">
              <w:rPr>
                <w:rFonts w:eastAsia="Calibri"/>
              </w:rPr>
              <w:t>68 (24.0)</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0C89E56" w14:textId="77777777" w:rsidR="006B1592" w:rsidRPr="009F75F6" w:rsidRDefault="006B1592" w:rsidP="00540CF5">
            <w:pPr>
              <w:jc w:val="both"/>
              <w:rPr>
                <w:rFonts w:eastAsia="Calibri"/>
              </w:rPr>
            </w:pPr>
            <w:r w:rsidRPr="009F75F6">
              <w:rPr>
                <w:rFonts w:eastAsia="Calibri"/>
              </w:rPr>
              <w:t>67 (23.6)</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B6F2687" w14:textId="77777777" w:rsidR="006B1592" w:rsidRPr="009F75F6" w:rsidRDefault="006B1592" w:rsidP="00540CF5">
            <w:pPr>
              <w:jc w:val="both"/>
              <w:rPr>
                <w:rFonts w:eastAsia="Calibri"/>
                <w:b/>
              </w:rPr>
            </w:pPr>
            <w:r w:rsidRPr="009F75F6">
              <w:rPr>
                <w:rFonts w:eastAsia="Calibri"/>
                <w:b/>
              </w:rPr>
              <w:t>1</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225E85B" w14:textId="77777777" w:rsidR="006B1592" w:rsidRPr="009F75F6" w:rsidRDefault="006B1592" w:rsidP="00540CF5">
            <w:pPr>
              <w:jc w:val="both"/>
              <w:rPr>
                <w:rFonts w:eastAsia="Calibri"/>
              </w:rPr>
            </w:pPr>
            <w:r w:rsidRPr="009F75F6">
              <w:rPr>
                <w:rFonts w:eastAsia="Calibri"/>
              </w:rPr>
              <w:t>31 (10.9)</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34FA056" w14:textId="77777777" w:rsidR="006B1592" w:rsidRPr="009F75F6" w:rsidRDefault="006B1592" w:rsidP="00540CF5">
            <w:pPr>
              <w:jc w:val="both"/>
              <w:rPr>
                <w:rFonts w:eastAsia="Calibri"/>
              </w:rPr>
            </w:pPr>
            <w:r w:rsidRPr="009F75F6">
              <w:rPr>
                <w:rFonts w:eastAsia="Calibri"/>
              </w:rPr>
              <w:t>36 (12.7)</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0C6BC56" w14:textId="77777777" w:rsidR="006B1592" w:rsidRPr="009F75F6" w:rsidRDefault="006B1592" w:rsidP="00540CF5">
            <w:pPr>
              <w:jc w:val="both"/>
              <w:rPr>
                <w:rFonts w:eastAsia="Calibri"/>
                <w:b/>
              </w:rPr>
            </w:pPr>
            <w:r w:rsidRPr="009F75F6">
              <w:rPr>
                <w:rFonts w:eastAsia="Calibri"/>
                <w:b/>
              </w:rPr>
              <w:t>1</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33418D1" w14:textId="77777777" w:rsidR="006B1592" w:rsidRPr="009F75F6" w:rsidRDefault="006B1592" w:rsidP="00540CF5">
            <w:pPr>
              <w:jc w:val="both"/>
              <w:rPr>
                <w:rFonts w:eastAsia="Calibri"/>
              </w:rPr>
            </w:pPr>
            <w:r w:rsidRPr="009F75F6">
              <w:rPr>
                <w:rFonts w:eastAsia="Calibri"/>
              </w:rPr>
              <w:t>80 (28.3)</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0A8E125" w14:textId="77777777" w:rsidR="006B1592" w:rsidRPr="009F75F6" w:rsidRDefault="006B1592" w:rsidP="00540CF5">
            <w:pPr>
              <w:jc w:val="both"/>
              <w:rPr>
                <w:rFonts w:eastAsia="Calibri"/>
              </w:rPr>
            </w:pPr>
            <w:r w:rsidRPr="009F75F6">
              <w:rPr>
                <w:rFonts w:eastAsia="Calibri"/>
              </w:rPr>
              <w:t>72 (25.4)</w:t>
            </w:r>
          </w:p>
        </w:tc>
      </w:tr>
      <w:tr w:rsidR="006B1592" w:rsidRPr="009F75F6" w14:paraId="768C2C92"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5A329B97" w14:textId="77777777" w:rsidR="006B1592" w:rsidRPr="009F75F6" w:rsidRDefault="006B1592" w:rsidP="00540CF5">
            <w:pPr>
              <w:jc w:val="both"/>
              <w:rPr>
                <w:rFonts w:eastAsia="Calibri"/>
                <w:b/>
              </w:rPr>
            </w:pPr>
            <w:r w:rsidRPr="009F75F6">
              <w:rPr>
                <w:rFonts w:eastAsia="Calibri"/>
                <w:b/>
              </w:rPr>
              <w:t>2</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287D754" w14:textId="77777777" w:rsidR="006B1592" w:rsidRPr="009F75F6" w:rsidRDefault="006B1592" w:rsidP="00540CF5">
            <w:pPr>
              <w:jc w:val="both"/>
              <w:rPr>
                <w:rFonts w:eastAsia="Calibri"/>
              </w:rPr>
            </w:pPr>
            <w:r w:rsidRPr="009F75F6">
              <w:rPr>
                <w:rFonts w:eastAsia="Calibri"/>
              </w:rPr>
              <w:t>30 (10.6)</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05CABCD" w14:textId="77777777" w:rsidR="006B1592" w:rsidRPr="009F75F6" w:rsidRDefault="006B1592" w:rsidP="00540CF5">
            <w:pPr>
              <w:jc w:val="both"/>
              <w:rPr>
                <w:rFonts w:eastAsia="Calibri"/>
              </w:rPr>
            </w:pPr>
            <w:r w:rsidRPr="009F75F6">
              <w:rPr>
                <w:rFonts w:eastAsia="Calibri"/>
              </w:rPr>
              <w:t>36 (12.7)</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E379BBB" w14:textId="77777777" w:rsidR="006B1592" w:rsidRPr="009F75F6" w:rsidRDefault="006B1592" w:rsidP="00540CF5">
            <w:pPr>
              <w:jc w:val="both"/>
              <w:rPr>
                <w:rFonts w:eastAsia="Calibri"/>
                <w:b/>
              </w:rPr>
            </w:pPr>
            <w:r w:rsidRPr="009F75F6">
              <w:rPr>
                <w:rFonts w:eastAsia="Calibri"/>
                <w:b/>
              </w:rPr>
              <w:t>2</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65E40FB" w14:textId="77777777" w:rsidR="006B1592" w:rsidRPr="009F75F6" w:rsidRDefault="006B1592" w:rsidP="00540CF5">
            <w:pPr>
              <w:jc w:val="both"/>
              <w:rPr>
                <w:rFonts w:eastAsia="Calibri"/>
              </w:rPr>
            </w:pPr>
            <w:r w:rsidRPr="009F75F6">
              <w:rPr>
                <w:rFonts w:eastAsia="Calibri"/>
              </w:rPr>
              <w:t>27 (9.5)</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8EFB42D" w14:textId="77777777" w:rsidR="006B1592" w:rsidRPr="009F75F6" w:rsidRDefault="006B1592" w:rsidP="00540CF5">
            <w:pPr>
              <w:jc w:val="both"/>
              <w:rPr>
                <w:rFonts w:eastAsia="Calibri"/>
              </w:rPr>
            </w:pPr>
            <w:r w:rsidRPr="009F75F6">
              <w:rPr>
                <w:rFonts w:eastAsia="Calibri"/>
              </w:rPr>
              <w:t>28 (9.9)</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EDFF7C5" w14:textId="77777777" w:rsidR="006B1592" w:rsidRPr="009F75F6" w:rsidRDefault="006B1592" w:rsidP="00540CF5">
            <w:pPr>
              <w:jc w:val="both"/>
              <w:rPr>
                <w:rFonts w:eastAsia="Calibri"/>
                <w:b/>
              </w:rPr>
            </w:pPr>
            <w:r w:rsidRPr="009F75F6">
              <w:rPr>
                <w:rFonts w:eastAsia="Calibri"/>
                <w:b/>
              </w:rPr>
              <w:t>Missing</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130F6BD" w14:textId="77777777" w:rsidR="006B1592" w:rsidRPr="009F75F6" w:rsidRDefault="006B1592" w:rsidP="00540CF5">
            <w:pPr>
              <w:jc w:val="both"/>
              <w:rPr>
                <w:rFonts w:eastAsia="Calibri"/>
              </w:rPr>
            </w:pPr>
            <w:r w:rsidRPr="009F75F6">
              <w:rPr>
                <w:rFonts w:eastAsia="Calibri"/>
              </w:rPr>
              <w:t>6 (2.1)</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E769704" w14:textId="77777777" w:rsidR="006B1592" w:rsidRPr="009F75F6" w:rsidRDefault="006B1592" w:rsidP="00540CF5">
            <w:pPr>
              <w:jc w:val="both"/>
              <w:rPr>
                <w:rFonts w:eastAsia="Calibri"/>
              </w:rPr>
            </w:pPr>
            <w:r w:rsidRPr="009F75F6">
              <w:rPr>
                <w:rFonts w:eastAsia="Calibri"/>
              </w:rPr>
              <w:t>5 (1.8)</w:t>
            </w:r>
          </w:p>
        </w:tc>
      </w:tr>
      <w:tr w:rsidR="006B1592" w:rsidRPr="009F75F6" w14:paraId="26D5D0C2"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A96DF1C" w14:textId="77777777" w:rsidR="006B1592" w:rsidRPr="009F75F6" w:rsidRDefault="006B1592" w:rsidP="00540CF5">
            <w:pPr>
              <w:jc w:val="both"/>
              <w:rPr>
                <w:rFonts w:eastAsia="Calibri"/>
                <w:b/>
              </w:rPr>
            </w:pPr>
            <w:r w:rsidRPr="009F75F6">
              <w:rPr>
                <w:rFonts w:eastAsia="Calibri"/>
                <w:b/>
              </w:rPr>
              <w:t>3</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8FA41F7" w14:textId="77777777" w:rsidR="006B1592" w:rsidRPr="009F75F6" w:rsidRDefault="006B1592" w:rsidP="00540CF5">
            <w:pPr>
              <w:jc w:val="both"/>
              <w:rPr>
                <w:rFonts w:eastAsia="Calibri"/>
              </w:rPr>
            </w:pPr>
            <w:r w:rsidRPr="009F75F6">
              <w:rPr>
                <w:rFonts w:eastAsia="Calibri"/>
              </w:rPr>
              <w:t>10 (3.5)</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3C15FE6" w14:textId="77777777" w:rsidR="006B1592" w:rsidRPr="009F75F6" w:rsidRDefault="006B1592" w:rsidP="00540CF5">
            <w:pPr>
              <w:jc w:val="both"/>
              <w:rPr>
                <w:rFonts w:eastAsia="Calibri"/>
              </w:rPr>
            </w:pPr>
            <w:r w:rsidRPr="009F75F6">
              <w:rPr>
                <w:rFonts w:eastAsia="Calibri"/>
              </w:rPr>
              <w:t>15 (5.3)</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C88B2C1" w14:textId="77777777" w:rsidR="006B1592" w:rsidRPr="009F75F6" w:rsidRDefault="006B1592" w:rsidP="00540CF5">
            <w:pPr>
              <w:jc w:val="both"/>
              <w:rPr>
                <w:rFonts w:eastAsia="Calibri"/>
                <w:b/>
              </w:rPr>
            </w:pPr>
            <w:r w:rsidRPr="009F75F6">
              <w:rPr>
                <w:rFonts w:eastAsia="Calibri"/>
                <w:b/>
              </w:rPr>
              <w:t>3</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33E526F" w14:textId="77777777" w:rsidR="006B1592" w:rsidRPr="009F75F6" w:rsidRDefault="006B1592" w:rsidP="00540CF5">
            <w:pPr>
              <w:jc w:val="both"/>
              <w:rPr>
                <w:rFonts w:eastAsia="Calibri"/>
              </w:rPr>
            </w:pPr>
            <w:r w:rsidRPr="009F75F6">
              <w:rPr>
                <w:rFonts w:eastAsia="Calibri"/>
              </w:rPr>
              <w:t>31 (10.9)</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8ED2844" w14:textId="77777777" w:rsidR="006B1592" w:rsidRPr="009F75F6" w:rsidRDefault="006B1592" w:rsidP="00540CF5">
            <w:pPr>
              <w:jc w:val="both"/>
              <w:rPr>
                <w:rFonts w:eastAsia="Calibri"/>
              </w:rPr>
            </w:pPr>
            <w:r w:rsidRPr="009F75F6">
              <w:rPr>
                <w:rFonts w:eastAsia="Calibri"/>
              </w:rPr>
              <w:t>30 (10.6)</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D2E9E88"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0849B7A"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A4D6985"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4F5EDC81"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3B67A37" w14:textId="77777777" w:rsidR="006B1592" w:rsidRPr="009F75F6" w:rsidRDefault="006B1592" w:rsidP="00540CF5">
            <w:pPr>
              <w:jc w:val="both"/>
              <w:rPr>
                <w:rFonts w:eastAsia="Calibri"/>
                <w:b/>
              </w:rPr>
            </w:pPr>
            <w:r w:rsidRPr="009F75F6">
              <w:rPr>
                <w:rFonts w:eastAsia="Calibri"/>
                <w:b/>
              </w:rPr>
              <w:t>4</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A7B84B8" w14:textId="77777777" w:rsidR="006B1592" w:rsidRPr="009F75F6" w:rsidRDefault="006B1592" w:rsidP="00540CF5">
            <w:pPr>
              <w:jc w:val="both"/>
              <w:rPr>
                <w:rFonts w:eastAsia="Calibri"/>
              </w:rPr>
            </w:pPr>
            <w:r w:rsidRPr="009F75F6">
              <w:rPr>
                <w:rFonts w:eastAsia="Calibri"/>
              </w:rPr>
              <w:t>7 (2.5)</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F9F60AF" w14:textId="77777777" w:rsidR="006B1592" w:rsidRPr="009F75F6" w:rsidRDefault="006B1592" w:rsidP="00540CF5">
            <w:pPr>
              <w:jc w:val="both"/>
              <w:rPr>
                <w:rFonts w:eastAsia="Calibri"/>
              </w:rPr>
            </w:pPr>
            <w:r w:rsidRPr="009F75F6">
              <w:rPr>
                <w:rFonts w:eastAsia="Calibri"/>
              </w:rPr>
              <w:t>5 (1.8)</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04CEB40" w14:textId="77777777" w:rsidR="006B1592" w:rsidRPr="009F75F6" w:rsidRDefault="006B1592" w:rsidP="00540CF5">
            <w:pPr>
              <w:jc w:val="both"/>
              <w:rPr>
                <w:rFonts w:eastAsia="Calibri"/>
                <w:b/>
              </w:rPr>
            </w:pPr>
            <w:r w:rsidRPr="009F75F6">
              <w:rPr>
                <w:rFonts w:eastAsia="Calibri"/>
                <w:b/>
              </w:rPr>
              <w:t>4</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1E9A946" w14:textId="77777777" w:rsidR="006B1592" w:rsidRPr="009F75F6" w:rsidRDefault="006B1592" w:rsidP="00540CF5">
            <w:pPr>
              <w:jc w:val="both"/>
              <w:rPr>
                <w:rFonts w:eastAsia="Calibri"/>
              </w:rPr>
            </w:pPr>
            <w:r w:rsidRPr="009F75F6">
              <w:rPr>
                <w:rFonts w:eastAsia="Calibri"/>
              </w:rPr>
              <w:t>21 (7.4)</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C0FD705" w14:textId="77777777" w:rsidR="006B1592" w:rsidRPr="009F75F6" w:rsidRDefault="006B1592" w:rsidP="00540CF5">
            <w:pPr>
              <w:jc w:val="both"/>
              <w:rPr>
                <w:rFonts w:eastAsia="Calibri"/>
              </w:rPr>
            </w:pPr>
            <w:r w:rsidRPr="009F75F6">
              <w:rPr>
                <w:rFonts w:eastAsia="Calibri"/>
              </w:rPr>
              <w:t>15 (5.3)</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6B8A691"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4DAFB05"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FDCA97B"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65394099"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053E0E6B" w14:textId="77777777" w:rsidR="006B1592" w:rsidRPr="009F75F6" w:rsidRDefault="006B1592" w:rsidP="00540CF5">
            <w:pPr>
              <w:jc w:val="both"/>
              <w:rPr>
                <w:rFonts w:eastAsia="Calibri"/>
                <w:b/>
              </w:rPr>
            </w:pPr>
            <w:r w:rsidRPr="009F75F6">
              <w:rPr>
                <w:rFonts w:eastAsia="Calibri"/>
                <w:b/>
              </w:rPr>
              <w:t>5</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8BBD246" w14:textId="77777777" w:rsidR="006B1592" w:rsidRPr="009F75F6" w:rsidRDefault="006B1592" w:rsidP="00540CF5">
            <w:pPr>
              <w:jc w:val="both"/>
              <w:rPr>
                <w:rFonts w:eastAsia="Calibri"/>
              </w:rPr>
            </w:pPr>
            <w:r w:rsidRPr="009F75F6">
              <w:rPr>
                <w:rFonts w:eastAsia="Calibri"/>
              </w:rPr>
              <w:t>10 (3.5)</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87E9223" w14:textId="77777777" w:rsidR="006B1592" w:rsidRPr="009F75F6" w:rsidRDefault="006B1592" w:rsidP="00540CF5">
            <w:pPr>
              <w:jc w:val="both"/>
              <w:rPr>
                <w:rFonts w:eastAsia="Calibri"/>
              </w:rPr>
            </w:pPr>
            <w:r w:rsidRPr="009F75F6">
              <w:rPr>
                <w:rFonts w:eastAsia="Calibri"/>
              </w:rPr>
              <w:t>8 (2.8)</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AB8FFDD" w14:textId="77777777" w:rsidR="006B1592" w:rsidRPr="009F75F6" w:rsidRDefault="006B1592" w:rsidP="00540CF5">
            <w:pPr>
              <w:jc w:val="both"/>
              <w:rPr>
                <w:rFonts w:eastAsia="Calibri"/>
                <w:b/>
              </w:rPr>
            </w:pPr>
            <w:r w:rsidRPr="009F75F6">
              <w:rPr>
                <w:rFonts w:eastAsia="Calibri"/>
                <w:b/>
              </w:rPr>
              <w:t>Missing</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63C8F23" w14:textId="77777777" w:rsidR="006B1592" w:rsidRPr="009F75F6" w:rsidRDefault="006B1592" w:rsidP="00540CF5">
            <w:pPr>
              <w:jc w:val="both"/>
              <w:rPr>
                <w:rFonts w:eastAsia="Calibri"/>
              </w:rPr>
            </w:pPr>
            <w:r w:rsidRPr="009F75F6">
              <w:rPr>
                <w:rFonts w:eastAsia="Calibri"/>
              </w:rPr>
              <w:t>6 (2.1)</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C4C00FD" w14:textId="77777777" w:rsidR="006B1592" w:rsidRPr="009F75F6" w:rsidRDefault="006B1592" w:rsidP="00540CF5">
            <w:pPr>
              <w:jc w:val="both"/>
              <w:rPr>
                <w:rFonts w:eastAsia="Calibri"/>
              </w:rPr>
            </w:pPr>
            <w:r w:rsidRPr="009F75F6">
              <w:rPr>
                <w:rFonts w:eastAsia="Calibri"/>
              </w:rPr>
              <w:t>4 (1.4)</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ACECA7F"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A3B22C9"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9B238C9"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54FFD6BD"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607015A8" w14:textId="77777777" w:rsidR="006B1592" w:rsidRPr="009F75F6" w:rsidRDefault="006B1592" w:rsidP="00540CF5">
            <w:pPr>
              <w:jc w:val="both"/>
              <w:rPr>
                <w:rFonts w:eastAsia="Calibri"/>
                <w:b/>
              </w:rPr>
            </w:pPr>
            <w:r w:rsidRPr="009F75F6">
              <w:rPr>
                <w:rFonts w:eastAsia="Calibri"/>
                <w:b/>
              </w:rPr>
              <w:t>6</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6FBB356" w14:textId="77777777" w:rsidR="006B1592" w:rsidRPr="009F75F6" w:rsidRDefault="006B1592" w:rsidP="00540CF5">
            <w:pPr>
              <w:jc w:val="both"/>
              <w:rPr>
                <w:rFonts w:eastAsia="Calibri"/>
              </w:rPr>
            </w:pPr>
            <w:r w:rsidRPr="009F75F6">
              <w:rPr>
                <w:rFonts w:eastAsia="Calibri"/>
              </w:rPr>
              <w:t>5 (1.8)</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11BB3E6" w14:textId="77777777" w:rsidR="006B1592" w:rsidRPr="009F75F6" w:rsidRDefault="006B1592" w:rsidP="00540CF5">
            <w:pPr>
              <w:jc w:val="both"/>
              <w:rPr>
                <w:rFonts w:eastAsia="Calibri"/>
              </w:rPr>
            </w:pPr>
            <w:r w:rsidRPr="009F75F6">
              <w:rPr>
                <w:rFonts w:eastAsia="Calibri"/>
              </w:rPr>
              <w:t>6 (2.1)</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ED1473C"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DA6A9FB"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DD3CC37"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14E1F23"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D0D74A9"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8411CEF"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4A98676A"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5DDE94C" w14:textId="77777777" w:rsidR="006B1592" w:rsidRPr="009F75F6" w:rsidRDefault="006B1592" w:rsidP="00540CF5">
            <w:pPr>
              <w:jc w:val="both"/>
              <w:rPr>
                <w:rFonts w:eastAsia="Calibri"/>
                <w:b/>
              </w:rPr>
            </w:pPr>
            <w:r w:rsidRPr="009F75F6">
              <w:rPr>
                <w:rFonts w:eastAsia="Calibri"/>
                <w:b/>
              </w:rPr>
              <w:t>7</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D4C043D" w14:textId="77777777" w:rsidR="006B1592" w:rsidRPr="009F75F6" w:rsidRDefault="006B1592" w:rsidP="00540CF5">
            <w:pPr>
              <w:jc w:val="both"/>
              <w:rPr>
                <w:rFonts w:eastAsia="Calibri"/>
              </w:rPr>
            </w:pPr>
            <w:r w:rsidRPr="009F75F6">
              <w:rPr>
                <w:rFonts w:eastAsia="Calibri"/>
              </w:rPr>
              <w:t>8 (2.8)</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84B8D46" w14:textId="77777777" w:rsidR="006B1592" w:rsidRPr="009F75F6" w:rsidRDefault="006B1592" w:rsidP="00540CF5">
            <w:pPr>
              <w:jc w:val="both"/>
              <w:rPr>
                <w:rFonts w:eastAsia="Calibri"/>
              </w:rPr>
            </w:pPr>
            <w:r w:rsidRPr="009F75F6">
              <w:rPr>
                <w:rFonts w:eastAsia="Calibri"/>
              </w:rPr>
              <w:t>5 (1.8)</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5778C9A"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6599F14"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7387F68"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D7C9B04"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053A0F4"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3526278"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476128C8"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53C434D5" w14:textId="77777777" w:rsidR="006B1592" w:rsidRPr="009F75F6" w:rsidRDefault="006B1592" w:rsidP="00540CF5">
            <w:pPr>
              <w:jc w:val="both"/>
              <w:rPr>
                <w:rFonts w:eastAsia="Calibri"/>
                <w:b/>
              </w:rPr>
            </w:pPr>
            <w:r w:rsidRPr="009F75F6">
              <w:rPr>
                <w:rFonts w:eastAsia="Calibri"/>
                <w:b/>
              </w:rPr>
              <w:t>8</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92BBBBA" w14:textId="77777777" w:rsidR="006B1592" w:rsidRPr="009F75F6" w:rsidRDefault="006B1592" w:rsidP="00540CF5">
            <w:pPr>
              <w:jc w:val="both"/>
              <w:rPr>
                <w:rFonts w:eastAsia="Calibri"/>
              </w:rPr>
            </w:pPr>
            <w:r w:rsidRPr="009F75F6">
              <w:rPr>
                <w:rFonts w:eastAsia="Calibri"/>
              </w:rPr>
              <w:t>8 (2.8)</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DCD9B13" w14:textId="77777777" w:rsidR="006B1592" w:rsidRPr="009F75F6" w:rsidRDefault="006B1592" w:rsidP="00540CF5">
            <w:pPr>
              <w:jc w:val="both"/>
              <w:rPr>
                <w:rFonts w:eastAsia="Calibri"/>
              </w:rPr>
            </w:pPr>
            <w:r w:rsidRPr="009F75F6">
              <w:rPr>
                <w:rFonts w:eastAsia="Calibri"/>
              </w:rPr>
              <w:t>8 (2.8)</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3C2ECD7"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804ABC8"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63EC98F"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1C74BBE"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5B174DD"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3DD2F02"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3B771603"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5665E50" w14:textId="77777777" w:rsidR="006B1592" w:rsidRPr="009F75F6" w:rsidRDefault="006B1592" w:rsidP="00540CF5">
            <w:pPr>
              <w:jc w:val="both"/>
              <w:rPr>
                <w:rFonts w:eastAsia="Calibri"/>
                <w:b/>
              </w:rPr>
            </w:pPr>
            <w:r w:rsidRPr="009F75F6">
              <w:rPr>
                <w:rFonts w:eastAsia="Calibri"/>
                <w:b/>
              </w:rPr>
              <w:t>9</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33D2536" w14:textId="77777777" w:rsidR="006B1592" w:rsidRPr="009F75F6" w:rsidRDefault="006B1592" w:rsidP="00540CF5">
            <w:pPr>
              <w:jc w:val="both"/>
              <w:rPr>
                <w:rFonts w:eastAsia="Calibri"/>
              </w:rPr>
            </w:pPr>
            <w:r w:rsidRPr="009F75F6">
              <w:rPr>
                <w:rFonts w:eastAsia="Calibri"/>
              </w:rPr>
              <w:t>16 (5.6)</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BC97617" w14:textId="77777777" w:rsidR="006B1592" w:rsidRPr="009F75F6" w:rsidRDefault="006B1592" w:rsidP="00540CF5">
            <w:pPr>
              <w:jc w:val="both"/>
              <w:rPr>
                <w:rFonts w:eastAsia="Calibri"/>
              </w:rPr>
            </w:pPr>
            <w:r w:rsidRPr="009F75F6">
              <w:rPr>
                <w:rFonts w:eastAsia="Calibri"/>
              </w:rPr>
              <w:t>9 (3.2)</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AC4125E"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F017AF6"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6D70EE6"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3637E1A"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AE9582D"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4E8A10C"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7D55EF1B"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629443F5" w14:textId="77777777" w:rsidR="006B1592" w:rsidRPr="009F75F6" w:rsidRDefault="006B1592" w:rsidP="00540CF5">
            <w:pPr>
              <w:jc w:val="both"/>
              <w:rPr>
                <w:rFonts w:eastAsia="Calibri"/>
                <w:b/>
              </w:rPr>
            </w:pPr>
            <w:r w:rsidRPr="009F75F6">
              <w:rPr>
                <w:rFonts w:eastAsia="Calibri"/>
                <w:b/>
              </w:rPr>
              <w:t>10</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D000A28" w14:textId="77777777" w:rsidR="006B1592" w:rsidRPr="009F75F6" w:rsidRDefault="006B1592" w:rsidP="00540CF5">
            <w:pPr>
              <w:jc w:val="both"/>
              <w:rPr>
                <w:rFonts w:eastAsia="Calibri"/>
              </w:rPr>
            </w:pPr>
            <w:r w:rsidRPr="009F75F6">
              <w:rPr>
                <w:rFonts w:eastAsia="Calibri"/>
              </w:rPr>
              <w:t>8 (2.8)</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5929FE9" w14:textId="77777777" w:rsidR="006B1592" w:rsidRPr="009F75F6" w:rsidRDefault="006B1592" w:rsidP="00540CF5">
            <w:pPr>
              <w:jc w:val="both"/>
              <w:rPr>
                <w:rFonts w:eastAsia="Calibri"/>
              </w:rPr>
            </w:pPr>
            <w:r w:rsidRPr="009F75F6">
              <w:rPr>
                <w:rFonts w:eastAsia="Calibri"/>
              </w:rPr>
              <w:t>11 (3.9)</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50D7F64"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1DCFFB1"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649CD0B"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84BEB21"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3880A16"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4F7B135"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1223AEC5"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64C2C921" w14:textId="77777777" w:rsidR="006B1592" w:rsidRPr="009F75F6" w:rsidRDefault="006B1592" w:rsidP="00540CF5">
            <w:pPr>
              <w:jc w:val="both"/>
              <w:rPr>
                <w:rFonts w:eastAsia="Calibri"/>
                <w:b/>
              </w:rPr>
            </w:pPr>
            <w:r w:rsidRPr="009F75F6">
              <w:rPr>
                <w:rFonts w:eastAsia="Calibri"/>
                <w:b/>
              </w:rPr>
              <w:t>11</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FAAED9A" w14:textId="77777777" w:rsidR="006B1592" w:rsidRPr="009F75F6" w:rsidRDefault="006B1592" w:rsidP="00540CF5">
            <w:pPr>
              <w:jc w:val="both"/>
              <w:rPr>
                <w:rFonts w:eastAsia="Calibri"/>
              </w:rPr>
            </w:pPr>
            <w:r w:rsidRPr="009F75F6">
              <w:rPr>
                <w:rFonts w:eastAsia="Calibri"/>
              </w:rPr>
              <w:t>5 (1.8)</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B69F506" w14:textId="77777777" w:rsidR="006B1592" w:rsidRPr="009F75F6" w:rsidRDefault="006B1592" w:rsidP="00540CF5">
            <w:pPr>
              <w:jc w:val="both"/>
              <w:rPr>
                <w:rFonts w:eastAsia="Calibri"/>
              </w:rPr>
            </w:pPr>
            <w:r w:rsidRPr="009F75F6">
              <w:rPr>
                <w:rFonts w:eastAsia="Calibri"/>
              </w:rPr>
              <w:t>6 (2.1)</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AE9DD58"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8DD3DAD"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A940558"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B9DBF3B"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DBE3877"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588F4CA"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1AB38D8B"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DF476AE" w14:textId="77777777" w:rsidR="006B1592" w:rsidRPr="009F75F6" w:rsidRDefault="006B1592" w:rsidP="00540CF5">
            <w:pPr>
              <w:jc w:val="both"/>
              <w:rPr>
                <w:rFonts w:eastAsia="Calibri"/>
                <w:b/>
              </w:rPr>
            </w:pPr>
            <w:r w:rsidRPr="009F75F6">
              <w:rPr>
                <w:rFonts w:eastAsia="Calibri"/>
                <w:b/>
              </w:rPr>
              <w:t>12</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679FD7B" w14:textId="77777777" w:rsidR="006B1592" w:rsidRPr="009F75F6" w:rsidRDefault="006B1592" w:rsidP="00540CF5">
            <w:pPr>
              <w:jc w:val="both"/>
              <w:rPr>
                <w:rFonts w:eastAsia="Calibri"/>
              </w:rPr>
            </w:pPr>
            <w:r w:rsidRPr="009F75F6">
              <w:rPr>
                <w:rFonts w:eastAsia="Calibri"/>
              </w:rPr>
              <w:t>3 (1.0)</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0FE0C5C" w14:textId="77777777" w:rsidR="006B1592" w:rsidRPr="009F75F6" w:rsidRDefault="006B1592" w:rsidP="00540CF5">
            <w:pPr>
              <w:jc w:val="both"/>
              <w:rPr>
                <w:rFonts w:eastAsia="Calibri"/>
              </w:rPr>
            </w:pPr>
            <w:r w:rsidRPr="009F75F6">
              <w:rPr>
                <w:rFonts w:eastAsia="Calibri"/>
              </w:rPr>
              <w:t>3 (1.0)</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D2CF380"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0863350"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76B7EA6"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11E66014"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4E009477"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074C71B9" w14:textId="77777777" w:rsidR="006B1592" w:rsidRPr="009F75F6" w:rsidRDefault="006B1592" w:rsidP="00540CF5">
            <w:pPr>
              <w:jc w:val="both"/>
              <w:rPr>
                <w:rFonts w:eastAsia="Calibri"/>
                <w:b/>
              </w:rPr>
            </w:pPr>
            <w:r w:rsidRPr="009F75F6">
              <w:rPr>
                <w:rFonts w:eastAsia="Calibri"/>
                <w:b/>
              </w:rPr>
              <w:t xml:space="preserve"> </w:t>
            </w:r>
          </w:p>
        </w:tc>
      </w:tr>
      <w:tr w:rsidR="006B1592" w:rsidRPr="009F75F6" w14:paraId="475D2A45" w14:textId="77777777" w:rsidTr="00540CF5">
        <w:trPr>
          <w:trHeight w:val="390"/>
        </w:trPr>
        <w:tc>
          <w:tcPr>
            <w:tcW w:w="1005" w:type="dxa"/>
            <w:tcBorders>
              <w:top w:val="nil"/>
              <w:left w:val="single" w:sz="8" w:space="0" w:color="000000"/>
              <w:bottom w:val="single" w:sz="8" w:space="0" w:color="000000"/>
              <w:right w:val="single" w:sz="8" w:space="0" w:color="000000"/>
            </w:tcBorders>
            <w:shd w:val="clear" w:color="auto" w:fill="FFFFFF"/>
            <w:tcMar>
              <w:top w:w="20" w:type="dxa"/>
              <w:left w:w="20" w:type="dxa"/>
              <w:bottom w:w="100" w:type="dxa"/>
              <w:right w:w="20" w:type="dxa"/>
            </w:tcMar>
            <w:vAlign w:val="bottom"/>
          </w:tcPr>
          <w:p w14:paraId="7549BDF9" w14:textId="77777777" w:rsidR="006B1592" w:rsidRPr="009F75F6" w:rsidRDefault="006B1592" w:rsidP="00540CF5">
            <w:pPr>
              <w:jc w:val="both"/>
              <w:rPr>
                <w:rFonts w:eastAsia="Calibri"/>
                <w:b/>
              </w:rPr>
            </w:pPr>
            <w:r w:rsidRPr="009F75F6">
              <w:rPr>
                <w:rFonts w:eastAsia="Calibri"/>
                <w:b/>
              </w:rPr>
              <w:t>Missing</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2909E74E" w14:textId="77777777" w:rsidR="006B1592" w:rsidRPr="009F75F6" w:rsidRDefault="006B1592" w:rsidP="00540CF5">
            <w:pPr>
              <w:jc w:val="both"/>
              <w:rPr>
                <w:rFonts w:eastAsia="Calibri"/>
              </w:rPr>
            </w:pPr>
            <w:r w:rsidRPr="009F75F6">
              <w:rPr>
                <w:rFonts w:eastAsia="Calibri"/>
              </w:rPr>
              <w:t>7 (2.5)</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BFB59E6" w14:textId="77777777" w:rsidR="006B1592" w:rsidRPr="009F75F6" w:rsidRDefault="006B1592" w:rsidP="00540CF5">
            <w:pPr>
              <w:jc w:val="both"/>
              <w:rPr>
                <w:rFonts w:eastAsia="Calibri"/>
              </w:rPr>
            </w:pPr>
            <w:r w:rsidRPr="009F75F6">
              <w:rPr>
                <w:rFonts w:eastAsia="Calibri"/>
              </w:rPr>
              <w:t>4 (1.4)</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74B4C017" w14:textId="77777777" w:rsidR="006B1592" w:rsidRPr="009F75F6" w:rsidRDefault="006B1592" w:rsidP="00540CF5">
            <w:pPr>
              <w:jc w:val="both"/>
              <w:rPr>
                <w:rFonts w:eastAsia="Calibri"/>
                <w:b/>
              </w:rPr>
            </w:pPr>
            <w:r w:rsidRPr="009F75F6">
              <w:rPr>
                <w:rFonts w:eastAsia="Calibri"/>
                <w:b/>
              </w:rPr>
              <w:t xml:space="preserve"> </w:t>
            </w:r>
          </w:p>
        </w:tc>
        <w:tc>
          <w:tcPr>
            <w:tcW w:w="103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553A3627"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353C637D" w14:textId="77777777" w:rsidR="006B1592" w:rsidRPr="009F75F6" w:rsidRDefault="006B1592" w:rsidP="00540CF5">
            <w:pPr>
              <w:jc w:val="both"/>
              <w:rPr>
                <w:rFonts w:eastAsia="Calibri"/>
                <w:b/>
              </w:rPr>
            </w:pPr>
            <w:r w:rsidRPr="009F75F6">
              <w:rPr>
                <w:rFonts w:eastAsia="Calibri"/>
                <w:b/>
              </w:rPr>
              <w:t xml:space="preserve"> </w:t>
            </w:r>
          </w:p>
        </w:tc>
        <w:tc>
          <w:tcPr>
            <w:tcW w:w="100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8C18CC6" w14:textId="77777777" w:rsidR="006B1592" w:rsidRPr="009F75F6" w:rsidRDefault="006B1592" w:rsidP="00540CF5">
            <w:pPr>
              <w:jc w:val="both"/>
              <w:rPr>
                <w:rFonts w:eastAsia="Calibri"/>
                <w:b/>
              </w:rPr>
            </w:pPr>
            <w:r w:rsidRPr="009F75F6">
              <w:rPr>
                <w:rFonts w:eastAsia="Calibri"/>
                <w:b/>
              </w:rPr>
              <w:t xml:space="preserve"> </w:t>
            </w:r>
          </w:p>
        </w:tc>
        <w:tc>
          <w:tcPr>
            <w:tcW w:w="1050"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4426404" w14:textId="77777777" w:rsidR="006B1592" w:rsidRPr="009F75F6" w:rsidRDefault="006B1592" w:rsidP="00540CF5">
            <w:pPr>
              <w:jc w:val="both"/>
              <w:rPr>
                <w:rFonts w:eastAsia="Calibri"/>
                <w:b/>
              </w:rPr>
            </w:pPr>
            <w:r w:rsidRPr="009F75F6">
              <w:rPr>
                <w:rFonts w:eastAsia="Calibri"/>
                <w:b/>
              </w:rPr>
              <w:t xml:space="preserve"> </w:t>
            </w:r>
          </w:p>
        </w:tc>
        <w:tc>
          <w:tcPr>
            <w:tcW w:w="1065" w:type="dxa"/>
            <w:tcBorders>
              <w:top w:val="nil"/>
              <w:left w:val="nil"/>
              <w:bottom w:val="single" w:sz="8" w:space="0" w:color="000000"/>
              <w:right w:val="single" w:sz="8" w:space="0" w:color="000000"/>
            </w:tcBorders>
            <w:shd w:val="clear" w:color="auto" w:fill="FFFFFF"/>
            <w:tcMar>
              <w:top w:w="20" w:type="dxa"/>
              <w:left w:w="20" w:type="dxa"/>
              <w:bottom w:w="100" w:type="dxa"/>
              <w:right w:w="20" w:type="dxa"/>
            </w:tcMar>
            <w:vAlign w:val="bottom"/>
          </w:tcPr>
          <w:p w14:paraId="6203D05B" w14:textId="77777777" w:rsidR="006B1592" w:rsidRPr="009F75F6" w:rsidRDefault="006B1592" w:rsidP="00540CF5">
            <w:pPr>
              <w:jc w:val="both"/>
              <w:rPr>
                <w:rFonts w:eastAsia="Calibri"/>
                <w:b/>
              </w:rPr>
            </w:pPr>
            <w:r w:rsidRPr="009F75F6">
              <w:rPr>
                <w:rFonts w:eastAsia="Calibri"/>
                <w:b/>
              </w:rPr>
              <w:t xml:space="preserve"> </w:t>
            </w:r>
          </w:p>
        </w:tc>
      </w:tr>
    </w:tbl>
    <w:p w14:paraId="5C2B7288" w14:textId="77777777" w:rsidR="006B1592" w:rsidRPr="009F75F6" w:rsidRDefault="006B1592" w:rsidP="006B1592">
      <w:pPr>
        <w:jc w:val="both"/>
        <w:rPr>
          <w:b/>
        </w:rPr>
      </w:pPr>
      <w:r w:rsidRPr="009F75F6">
        <w:rPr>
          <w:b/>
        </w:rPr>
        <w:t xml:space="preserve"> </w:t>
      </w:r>
    </w:p>
    <w:p w14:paraId="09D5A09A" w14:textId="77777777" w:rsidR="006B1592" w:rsidRPr="009F75F6" w:rsidRDefault="006B1592" w:rsidP="006B1592">
      <w:pPr>
        <w:jc w:val="both"/>
        <w:rPr>
          <w:b/>
        </w:rPr>
      </w:pPr>
      <w:r w:rsidRPr="009F75F6">
        <w:rPr>
          <w:b/>
        </w:rPr>
        <w:t xml:space="preserve"> </w:t>
      </w:r>
    </w:p>
    <w:p w14:paraId="637EFB93" w14:textId="77777777" w:rsidR="006B1592" w:rsidRDefault="006B1592" w:rsidP="006B1592">
      <w:pPr>
        <w:jc w:val="both"/>
        <w:rPr>
          <w:b/>
        </w:rPr>
      </w:pPr>
      <w:r w:rsidRPr="009F75F6">
        <w:rPr>
          <w:b/>
        </w:rPr>
        <w:t xml:space="preserve"> </w:t>
      </w:r>
    </w:p>
    <w:p w14:paraId="1986291F" w14:textId="77777777" w:rsidR="006B1592" w:rsidRPr="009F75F6" w:rsidRDefault="006B1592" w:rsidP="006B1592">
      <w:pPr>
        <w:spacing w:line="360" w:lineRule="auto"/>
        <w:jc w:val="both"/>
      </w:pPr>
      <w:r w:rsidRPr="009F75F6">
        <w:t xml:space="preserve"> </w:t>
      </w:r>
    </w:p>
    <w:p w14:paraId="4AE44142" w14:textId="77777777" w:rsidR="006B1592" w:rsidRPr="009F75F6" w:rsidRDefault="006B1592" w:rsidP="006B1592">
      <w:pPr>
        <w:spacing w:line="360" w:lineRule="auto"/>
        <w:jc w:val="both"/>
      </w:pPr>
    </w:p>
    <w:p w14:paraId="31A86741" w14:textId="77777777" w:rsidR="006B1592" w:rsidRPr="009F75F6" w:rsidRDefault="006B1592" w:rsidP="006B1592">
      <w:pPr>
        <w:spacing w:line="360" w:lineRule="auto"/>
        <w:jc w:val="both"/>
      </w:pPr>
    </w:p>
    <w:p w14:paraId="248E0022" w14:textId="77777777" w:rsidR="006B1592" w:rsidRPr="009F75F6" w:rsidRDefault="006B1592" w:rsidP="006B1592">
      <w:pPr>
        <w:spacing w:line="360" w:lineRule="auto"/>
        <w:jc w:val="both"/>
      </w:pPr>
    </w:p>
    <w:p w14:paraId="76A7D1D2" w14:textId="77777777" w:rsidR="006B1592" w:rsidRPr="009F75F6" w:rsidRDefault="006B1592" w:rsidP="006B1592">
      <w:pPr>
        <w:spacing w:line="360" w:lineRule="auto"/>
        <w:jc w:val="both"/>
      </w:pPr>
    </w:p>
    <w:p w14:paraId="1F294B58" w14:textId="77777777" w:rsidR="006B1592" w:rsidRPr="009F75F6" w:rsidRDefault="006B1592" w:rsidP="006B1592">
      <w:pPr>
        <w:spacing w:line="360" w:lineRule="auto"/>
        <w:jc w:val="both"/>
      </w:pPr>
    </w:p>
    <w:p w14:paraId="0E3C31BC" w14:textId="77777777" w:rsidR="006B1592" w:rsidRPr="009F75F6" w:rsidRDefault="006B1592" w:rsidP="006B1592">
      <w:pPr>
        <w:spacing w:line="360" w:lineRule="auto"/>
        <w:jc w:val="both"/>
      </w:pPr>
      <w:r w:rsidRPr="009F75F6">
        <w:rPr>
          <w:b/>
        </w:rPr>
        <w:t xml:space="preserve">Supplementary Table </w:t>
      </w:r>
      <w:r>
        <w:rPr>
          <w:b/>
        </w:rPr>
        <w:t>2.</w:t>
      </w:r>
      <w:r w:rsidRPr="009F75F6">
        <w:t xml:space="preserve"> </w:t>
      </w:r>
      <w:r w:rsidRPr="009F75F6">
        <w:rPr>
          <w:b/>
          <w:sz w:val="20"/>
          <w:szCs w:val="20"/>
        </w:rPr>
        <w:t>Performance in prediction of histologic healing with WLE-HD</w:t>
      </w:r>
    </w:p>
    <w:p w14:paraId="364CA6B4" w14:textId="77777777" w:rsidR="006B1592" w:rsidRPr="009F75F6" w:rsidRDefault="006B1592" w:rsidP="006B1592">
      <w:pPr>
        <w:spacing w:line="360" w:lineRule="auto"/>
        <w:jc w:val="both"/>
        <w:rPr>
          <w:b/>
          <w:sz w:val="20"/>
          <w:szCs w:val="20"/>
        </w:rPr>
      </w:pPr>
    </w:p>
    <w:tbl>
      <w:tblPr>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64"/>
        <w:gridCol w:w="1305"/>
        <w:gridCol w:w="1314"/>
        <w:gridCol w:w="1304"/>
        <w:gridCol w:w="1314"/>
        <w:gridCol w:w="1304"/>
        <w:gridCol w:w="1354"/>
      </w:tblGrid>
      <w:tr w:rsidR="006B1592" w:rsidRPr="009F75F6" w14:paraId="3D7504D5" w14:textId="77777777" w:rsidTr="00540CF5">
        <w:trPr>
          <w:trHeight w:val="895"/>
        </w:trPr>
        <w:tc>
          <w:tcPr>
            <w:tcW w:w="1463" w:type="dxa"/>
            <w:tcBorders>
              <w:top w:val="single" w:sz="4" w:space="0" w:color="000000"/>
              <w:left w:val="single" w:sz="4" w:space="0" w:color="000000"/>
              <w:bottom w:val="single" w:sz="4" w:space="0" w:color="000000"/>
              <w:right w:val="single" w:sz="4" w:space="0" w:color="000000"/>
            </w:tcBorders>
            <w:tcMar>
              <w:top w:w="20" w:type="dxa"/>
              <w:left w:w="100" w:type="dxa"/>
              <w:bottom w:w="100" w:type="dxa"/>
              <w:right w:w="100" w:type="dxa"/>
            </w:tcMar>
            <w:vAlign w:val="center"/>
          </w:tcPr>
          <w:p w14:paraId="35A42414" w14:textId="77777777" w:rsidR="006B1592" w:rsidRPr="009F75F6" w:rsidRDefault="006B1592" w:rsidP="00540CF5">
            <w:pPr>
              <w:spacing w:line="360" w:lineRule="auto"/>
              <w:jc w:val="both"/>
              <w:rPr>
                <w:rFonts w:eastAsia="Calibri"/>
                <w:b/>
                <w:color w:val="002060"/>
              </w:rPr>
            </w:pPr>
            <w:r w:rsidRPr="009F75F6">
              <w:rPr>
                <w:rFonts w:eastAsia="Calibri"/>
                <w:b/>
                <w:color w:val="002060"/>
              </w:rPr>
              <w:lastRenderedPageBreak/>
              <w:t>Diagnostic performance</w:t>
            </w:r>
          </w:p>
        </w:tc>
        <w:tc>
          <w:tcPr>
            <w:tcW w:w="2618" w:type="dxa"/>
            <w:gridSpan w:val="2"/>
            <w:tcBorders>
              <w:top w:val="single" w:sz="4" w:space="0" w:color="000000"/>
              <w:left w:val="single" w:sz="4" w:space="0" w:color="000000"/>
              <w:bottom w:val="single" w:sz="4" w:space="0" w:color="000000"/>
              <w:right w:val="single" w:sz="4" w:space="0" w:color="000000"/>
            </w:tcBorders>
            <w:tcMar>
              <w:top w:w="20" w:type="dxa"/>
              <w:left w:w="100" w:type="dxa"/>
              <w:bottom w:w="100" w:type="dxa"/>
              <w:right w:w="100" w:type="dxa"/>
            </w:tcMar>
            <w:vAlign w:val="center"/>
          </w:tcPr>
          <w:p w14:paraId="7508E130" w14:textId="77777777" w:rsidR="006B1592" w:rsidRPr="009F75F6" w:rsidRDefault="006B1592" w:rsidP="00540CF5">
            <w:pPr>
              <w:spacing w:line="360" w:lineRule="auto"/>
              <w:jc w:val="center"/>
              <w:rPr>
                <w:rFonts w:eastAsia="Calibri"/>
                <w:b/>
                <w:color w:val="002060"/>
              </w:rPr>
            </w:pPr>
            <w:r w:rsidRPr="009F75F6">
              <w:rPr>
                <w:rFonts w:eastAsia="Calibri"/>
                <w:b/>
                <w:color w:val="002060"/>
              </w:rPr>
              <w:t>RHI ≤3 or &gt;3</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0B3EB0A" w14:textId="77777777" w:rsidR="006B1592" w:rsidRPr="009F75F6" w:rsidRDefault="006B1592" w:rsidP="00540CF5">
            <w:pPr>
              <w:spacing w:line="360" w:lineRule="auto"/>
              <w:jc w:val="center"/>
              <w:rPr>
                <w:rFonts w:eastAsia="Calibri"/>
                <w:b/>
                <w:color w:val="002060"/>
              </w:rPr>
            </w:pPr>
            <w:r w:rsidRPr="009F75F6">
              <w:rPr>
                <w:rFonts w:eastAsia="Calibri"/>
                <w:b/>
                <w:color w:val="002060"/>
              </w:rPr>
              <w:t>NHI ≤1 or &gt;1</w:t>
            </w:r>
          </w:p>
        </w:tc>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14CE188" w14:textId="77777777" w:rsidR="006B1592" w:rsidRPr="009F75F6" w:rsidRDefault="006B1592" w:rsidP="00540CF5">
            <w:pPr>
              <w:spacing w:line="360" w:lineRule="auto"/>
              <w:jc w:val="center"/>
              <w:rPr>
                <w:rFonts w:eastAsia="Calibri"/>
                <w:b/>
                <w:color w:val="002060"/>
              </w:rPr>
            </w:pPr>
            <w:r w:rsidRPr="009F75F6">
              <w:rPr>
                <w:rFonts w:eastAsia="Calibri"/>
                <w:b/>
                <w:color w:val="002060"/>
              </w:rPr>
              <w:t>PHRI ≤</w:t>
            </w:r>
            <w:proofErr w:type="gramStart"/>
            <w:r w:rsidRPr="009F75F6">
              <w:rPr>
                <w:rFonts w:eastAsia="Calibri"/>
                <w:b/>
                <w:color w:val="002060"/>
              </w:rPr>
              <w:t>1  or</w:t>
            </w:r>
            <w:proofErr w:type="gramEnd"/>
            <w:r w:rsidRPr="009F75F6">
              <w:rPr>
                <w:rFonts w:eastAsia="Calibri"/>
                <w:b/>
                <w:color w:val="002060"/>
              </w:rPr>
              <w:t xml:space="preserve"> &gt;1</w:t>
            </w:r>
          </w:p>
        </w:tc>
      </w:tr>
      <w:tr w:rsidR="006B1592" w:rsidRPr="009F75F6" w14:paraId="284B9059" w14:textId="77777777" w:rsidTr="00540CF5">
        <w:trPr>
          <w:trHeight w:val="865"/>
        </w:trPr>
        <w:tc>
          <w:tcPr>
            <w:tcW w:w="1463" w:type="dxa"/>
            <w:vMerge w:val="restart"/>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D4744D5" w14:textId="77777777" w:rsidR="006B1592" w:rsidRPr="009F75F6" w:rsidRDefault="006B1592" w:rsidP="00540CF5">
            <w:pPr>
              <w:widowControl w:val="0"/>
              <w:pBdr>
                <w:top w:val="nil"/>
                <w:left w:val="nil"/>
                <w:bottom w:val="nil"/>
                <w:right w:val="nil"/>
                <w:between w:val="nil"/>
              </w:pBdr>
              <w:rPr>
                <w:b/>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22876F8" w14:textId="77777777" w:rsidR="006B1592" w:rsidRPr="009F75F6" w:rsidRDefault="006B1592" w:rsidP="00540CF5">
            <w:pPr>
              <w:spacing w:line="360" w:lineRule="auto"/>
              <w:jc w:val="center"/>
              <w:rPr>
                <w:rFonts w:eastAsia="Calibri"/>
                <w:b/>
                <w:color w:val="002060"/>
              </w:rPr>
            </w:pPr>
            <w:r w:rsidRPr="009F75F6">
              <w:rPr>
                <w:rFonts w:eastAsia="Calibri"/>
                <w:b/>
                <w:color w:val="002060"/>
              </w:rPr>
              <w:t>Testing</w:t>
            </w:r>
          </w:p>
          <w:p w14:paraId="2568EEE6" w14:textId="77777777" w:rsidR="006B1592" w:rsidRPr="009F75F6" w:rsidRDefault="006B1592" w:rsidP="00540CF5">
            <w:pPr>
              <w:spacing w:line="360" w:lineRule="auto"/>
              <w:jc w:val="center"/>
              <w:rPr>
                <w:rFonts w:eastAsia="Calibri"/>
                <w:b/>
                <w:color w:val="002060"/>
              </w:rPr>
            </w:pPr>
            <w:r w:rsidRPr="009F75F6">
              <w:rPr>
                <w:rFonts w:eastAsia="Calibri"/>
                <w:b/>
                <w:color w:val="002060"/>
              </w:rPr>
              <w:t>cohort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5A1A91F" w14:textId="77777777" w:rsidR="006B1592" w:rsidRPr="009F75F6" w:rsidRDefault="006B1592" w:rsidP="00540CF5">
            <w:pPr>
              <w:spacing w:line="360" w:lineRule="auto"/>
              <w:jc w:val="center"/>
              <w:rPr>
                <w:rFonts w:eastAsia="Calibri"/>
                <w:b/>
                <w:color w:val="002060"/>
              </w:rPr>
            </w:pPr>
            <w:r w:rsidRPr="009F75F6">
              <w:rPr>
                <w:rFonts w:eastAsia="Calibri"/>
                <w:b/>
                <w:color w:val="002060"/>
              </w:rPr>
              <w:t>Testing cohort</w:t>
            </w:r>
          </w:p>
        </w:tc>
        <w:tc>
          <w:tcPr>
            <w:tcW w:w="2658" w:type="dxa"/>
            <w:gridSpan w:val="2"/>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5E1F39C" w14:textId="77777777" w:rsidR="006B1592" w:rsidRPr="009F75F6" w:rsidRDefault="006B1592" w:rsidP="00540CF5">
            <w:pPr>
              <w:spacing w:line="360" w:lineRule="auto"/>
              <w:jc w:val="center"/>
              <w:rPr>
                <w:rFonts w:eastAsia="Calibri"/>
                <w:b/>
                <w:color w:val="002060"/>
              </w:rPr>
            </w:pPr>
            <w:r w:rsidRPr="009F75F6">
              <w:rPr>
                <w:rFonts w:eastAsia="Calibri"/>
                <w:b/>
                <w:color w:val="002060"/>
              </w:rPr>
              <w:t>Testing cohort</w:t>
            </w:r>
          </w:p>
        </w:tc>
      </w:tr>
      <w:tr w:rsidR="006B1592" w:rsidRPr="009F75F6" w14:paraId="7A1DFCC8" w14:textId="77777777" w:rsidTr="00540CF5">
        <w:trPr>
          <w:trHeight w:val="865"/>
        </w:trPr>
        <w:tc>
          <w:tcPr>
            <w:tcW w:w="1463"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75ED76A7" w14:textId="77777777" w:rsidR="006B1592" w:rsidRPr="009F75F6" w:rsidRDefault="006B1592" w:rsidP="00540CF5">
            <w:pPr>
              <w:widowControl w:val="0"/>
              <w:pBdr>
                <w:top w:val="nil"/>
                <w:left w:val="nil"/>
                <w:bottom w:val="nil"/>
                <w:right w:val="nil"/>
                <w:between w:val="nil"/>
              </w:pBdr>
              <w:rPr>
                <w:b/>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1EDDA15" w14:textId="77777777" w:rsidR="006B1592" w:rsidRPr="009F75F6" w:rsidRDefault="006B1592" w:rsidP="00540CF5">
            <w:pPr>
              <w:spacing w:line="360" w:lineRule="auto"/>
              <w:jc w:val="center"/>
              <w:rPr>
                <w:rFonts w:eastAsia="Calibri"/>
                <w:color w:val="002060"/>
              </w:rPr>
            </w:pPr>
            <w:r w:rsidRPr="009F75F6">
              <w:rPr>
                <w:rFonts w:eastAsia="Calibri"/>
                <w:color w:val="002060"/>
              </w:rPr>
              <w:t>WLE-HD 242</w:t>
            </w:r>
          </w:p>
          <w:p w14:paraId="0CD42363" w14:textId="77777777" w:rsidR="006B1592" w:rsidRPr="009F75F6" w:rsidRDefault="006B1592" w:rsidP="00540CF5">
            <w:pPr>
              <w:spacing w:line="360" w:lineRule="auto"/>
              <w:jc w:val="center"/>
              <w:rPr>
                <w:rFonts w:eastAsia="Calibri"/>
                <w:color w:val="002060"/>
              </w:rPr>
            </w:pPr>
            <w:r w:rsidRPr="009F75F6">
              <w:rPr>
                <w:rFonts w:eastAsia="Calibri"/>
                <w:color w:val="002060"/>
              </w:rPr>
              <w:t>videos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15E3294" w14:textId="77777777" w:rsidR="006B1592" w:rsidRPr="009F75F6" w:rsidRDefault="006B1592" w:rsidP="00540CF5">
            <w:pPr>
              <w:spacing w:line="360" w:lineRule="auto"/>
              <w:jc w:val="center"/>
              <w:rPr>
                <w:rFonts w:eastAsia="Calibri"/>
                <w:color w:val="002060"/>
              </w:rPr>
            </w:pPr>
            <w:r w:rsidRPr="009F75F6">
              <w:rPr>
                <w:rFonts w:eastAsia="Calibri"/>
                <w:color w:val="002060"/>
              </w:rPr>
              <w:t>WLE-HD 183</w:t>
            </w:r>
          </w:p>
          <w:p w14:paraId="55C738A6" w14:textId="77777777" w:rsidR="006B1592" w:rsidRPr="009F75F6" w:rsidRDefault="006B1592" w:rsidP="00540CF5">
            <w:pPr>
              <w:spacing w:line="360" w:lineRule="auto"/>
              <w:jc w:val="center"/>
              <w:rPr>
                <w:rFonts w:eastAsia="Calibri"/>
                <w:color w:val="002060"/>
              </w:rPr>
            </w:pPr>
            <w:r w:rsidRPr="009F75F6">
              <w:rPr>
                <w:rFonts w:eastAsia="Calibri"/>
                <w:color w:val="002060"/>
              </w:rPr>
              <w:t>HQ videos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6D50CD3" w14:textId="77777777" w:rsidR="006B1592" w:rsidRPr="009F75F6" w:rsidRDefault="006B1592" w:rsidP="00540CF5">
            <w:pPr>
              <w:spacing w:line="360" w:lineRule="auto"/>
              <w:jc w:val="center"/>
              <w:rPr>
                <w:rFonts w:eastAsia="Calibri"/>
                <w:color w:val="002060"/>
              </w:rPr>
            </w:pPr>
            <w:r w:rsidRPr="009F75F6">
              <w:rPr>
                <w:rFonts w:eastAsia="Calibri"/>
                <w:color w:val="002060"/>
              </w:rPr>
              <w:t>WLE-HD 242</w:t>
            </w:r>
          </w:p>
          <w:p w14:paraId="4659D04C" w14:textId="77777777" w:rsidR="006B1592" w:rsidRPr="009F75F6" w:rsidRDefault="006B1592" w:rsidP="00540CF5">
            <w:pPr>
              <w:spacing w:line="360" w:lineRule="auto"/>
              <w:jc w:val="center"/>
              <w:rPr>
                <w:rFonts w:eastAsia="Calibri"/>
                <w:color w:val="002060"/>
              </w:rPr>
            </w:pPr>
            <w:r w:rsidRPr="009F75F6">
              <w:rPr>
                <w:rFonts w:eastAsia="Calibri"/>
                <w:color w:val="002060"/>
              </w:rPr>
              <w:t>videos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E98BEAF" w14:textId="77777777" w:rsidR="006B1592" w:rsidRPr="009F75F6" w:rsidRDefault="006B1592" w:rsidP="00540CF5">
            <w:pPr>
              <w:spacing w:line="360" w:lineRule="auto"/>
              <w:jc w:val="center"/>
              <w:rPr>
                <w:rFonts w:eastAsia="Calibri"/>
                <w:color w:val="002060"/>
              </w:rPr>
            </w:pPr>
            <w:r w:rsidRPr="009F75F6">
              <w:rPr>
                <w:rFonts w:eastAsia="Calibri"/>
                <w:color w:val="002060"/>
              </w:rPr>
              <w:t>WLE-HD 183 HQ videos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4D83FED" w14:textId="77777777" w:rsidR="006B1592" w:rsidRPr="009F75F6" w:rsidRDefault="006B1592" w:rsidP="00540CF5">
            <w:pPr>
              <w:spacing w:line="360" w:lineRule="auto"/>
              <w:jc w:val="center"/>
              <w:rPr>
                <w:rFonts w:eastAsia="Calibri"/>
                <w:color w:val="002060"/>
              </w:rPr>
            </w:pPr>
            <w:r w:rsidRPr="009F75F6">
              <w:rPr>
                <w:rFonts w:eastAsia="Calibri"/>
                <w:color w:val="002060"/>
              </w:rPr>
              <w:t>WLE-HD 242</w:t>
            </w:r>
          </w:p>
          <w:p w14:paraId="371946C8" w14:textId="77777777" w:rsidR="006B1592" w:rsidRPr="009F75F6" w:rsidRDefault="006B1592" w:rsidP="00540CF5">
            <w:pPr>
              <w:spacing w:line="360" w:lineRule="auto"/>
              <w:jc w:val="center"/>
              <w:rPr>
                <w:rFonts w:eastAsia="Calibri"/>
                <w:color w:val="002060"/>
              </w:rPr>
            </w:pPr>
            <w:r w:rsidRPr="009F75F6">
              <w:rPr>
                <w:rFonts w:eastAsia="Calibri"/>
                <w:color w:val="002060"/>
              </w:rPr>
              <w:t xml:space="preserve"> videos</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FBD3EC5" w14:textId="77777777" w:rsidR="006B1592" w:rsidRPr="009F75F6" w:rsidRDefault="006B1592" w:rsidP="00540CF5">
            <w:pPr>
              <w:spacing w:line="360" w:lineRule="auto"/>
              <w:jc w:val="center"/>
              <w:rPr>
                <w:rFonts w:eastAsia="Calibri"/>
                <w:color w:val="002060"/>
              </w:rPr>
            </w:pPr>
            <w:r w:rsidRPr="009F75F6">
              <w:rPr>
                <w:rFonts w:eastAsia="Calibri"/>
                <w:color w:val="002060"/>
              </w:rPr>
              <w:t>WLE-HD  183 HQ videos</w:t>
            </w:r>
          </w:p>
        </w:tc>
      </w:tr>
      <w:tr w:rsidR="006B1592" w:rsidRPr="009F75F6" w14:paraId="2B9E08DC" w14:textId="77777777" w:rsidTr="00540CF5">
        <w:trPr>
          <w:trHeight w:val="670"/>
        </w:trPr>
        <w:tc>
          <w:tcPr>
            <w:tcW w:w="1463"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B77701A" w14:textId="77777777" w:rsidR="006B1592" w:rsidRPr="009F75F6" w:rsidRDefault="006B1592" w:rsidP="00540CF5">
            <w:pPr>
              <w:spacing w:line="360" w:lineRule="auto"/>
              <w:jc w:val="both"/>
              <w:rPr>
                <w:rFonts w:eastAsia="Calibri"/>
                <w:b/>
                <w:color w:val="002060"/>
              </w:rPr>
            </w:pPr>
            <w:r w:rsidRPr="009F75F6">
              <w:rPr>
                <w:rFonts w:eastAsia="Calibri"/>
                <w:b/>
                <w:color w:val="002060"/>
              </w:rPr>
              <w:t>Sensitivity</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0148191" w14:textId="77777777" w:rsidR="006B1592" w:rsidRPr="009F75F6" w:rsidRDefault="006B1592" w:rsidP="00540CF5">
            <w:pPr>
              <w:spacing w:line="360" w:lineRule="auto"/>
              <w:jc w:val="center"/>
              <w:rPr>
                <w:rFonts w:eastAsia="Calibri"/>
                <w:color w:val="002060"/>
              </w:rPr>
            </w:pPr>
            <w:r w:rsidRPr="009F75F6">
              <w:rPr>
                <w:rFonts w:eastAsia="Calibri"/>
                <w:color w:val="002060"/>
              </w:rPr>
              <w:t>0.66 (0.51-0.79)</w:t>
            </w:r>
          </w:p>
        </w:tc>
        <w:tc>
          <w:tcPr>
            <w:tcW w:w="131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DBB75B7" w14:textId="77777777" w:rsidR="006B1592" w:rsidRPr="009F75F6" w:rsidRDefault="006B1592" w:rsidP="00540CF5">
            <w:pPr>
              <w:spacing w:line="360" w:lineRule="auto"/>
              <w:jc w:val="center"/>
              <w:rPr>
                <w:rFonts w:eastAsia="Calibri"/>
                <w:color w:val="002060"/>
              </w:rPr>
            </w:pPr>
            <w:r w:rsidRPr="009F75F6">
              <w:rPr>
                <w:rFonts w:eastAsia="Calibri"/>
                <w:color w:val="002060"/>
              </w:rPr>
              <w:t>0.72 (0.55-0.86)</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B9F9F61" w14:textId="77777777" w:rsidR="006B1592" w:rsidRPr="009F75F6" w:rsidRDefault="006B1592" w:rsidP="00540CF5">
            <w:pPr>
              <w:spacing w:line="360" w:lineRule="auto"/>
              <w:jc w:val="center"/>
              <w:rPr>
                <w:rFonts w:eastAsia="Calibri"/>
                <w:color w:val="002060"/>
              </w:rPr>
            </w:pPr>
            <w:r w:rsidRPr="009F75F6">
              <w:rPr>
                <w:rFonts w:eastAsia="Calibri"/>
                <w:color w:val="002060"/>
              </w:rPr>
              <w:t>0.67 (0.53-0.79)</w:t>
            </w:r>
          </w:p>
        </w:tc>
        <w:tc>
          <w:tcPr>
            <w:tcW w:w="131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5B24B64" w14:textId="77777777" w:rsidR="006B1592" w:rsidRPr="009F75F6" w:rsidRDefault="006B1592" w:rsidP="00540CF5">
            <w:pPr>
              <w:spacing w:line="360" w:lineRule="auto"/>
              <w:jc w:val="center"/>
              <w:rPr>
                <w:rFonts w:eastAsia="Calibri"/>
                <w:color w:val="002060"/>
              </w:rPr>
            </w:pPr>
            <w:r w:rsidRPr="009F75F6">
              <w:rPr>
                <w:rFonts w:eastAsia="Calibri"/>
                <w:color w:val="002060"/>
              </w:rPr>
              <w:t>0.70 (0.55-0.83)</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4031E9D" w14:textId="77777777" w:rsidR="006B1592" w:rsidRPr="009F75F6" w:rsidRDefault="006B1592" w:rsidP="00540CF5">
            <w:pPr>
              <w:spacing w:line="360" w:lineRule="auto"/>
              <w:jc w:val="center"/>
              <w:rPr>
                <w:rFonts w:eastAsia="Calibri"/>
                <w:color w:val="002060"/>
              </w:rPr>
            </w:pPr>
            <w:r w:rsidRPr="009F75F6">
              <w:rPr>
                <w:rFonts w:eastAsia="Calibri"/>
                <w:color w:val="002060"/>
              </w:rPr>
              <w:t>0.67 (0.53-0.79)</w:t>
            </w:r>
          </w:p>
        </w:tc>
        <w:tc>
          <w:tcPr>
            <w:tcW w:w="135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6BA1400" w14:textId="77777777" w:rsidR="006B1592" w:rsidRPr="009F75F6" w:rsidRDefault="006B1592" w:rsidP="00540CF5">
            <w:pPr>
              <w:spacing w:line="360" w:lineRule="auto"/>
              <w:jc w:val="center"/>
              <w:rPr>
                <w:rFonts w:eastAsia="Calibri"/>
                <w:color w:val="002060"/>
              </w:rPr>
            </w:pPr>
            <w:r w:rsidRPr="009F75F6">
              <w:rPr>
                <w:rFonts w:eastAsia="Calibri"/>
                <w:color w:val="002060"/>
              </w:rPr>
              <w:t>0.67(0.52-0.80)</w:t>
            </w:r>
          </w:p>
        </w:tc>
      </w:tr>
      <w:tr w:rsidR="006B1592" w:rsidRPr="009F75F6" w14:paraId="08CC9940" w14:textId="77777777" w:rsidTr="00540CF5">
        <w:trPr>
          <w:trHeight w:val="670"/>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68C6B6FD" w14:textId="77777777" w:rsidR="006B1592" w:rsidRPr="009F75F6" w:rsidRDefault="006B1592" w:rsidP="00540CF5">
            <w:pPr>
              <w:spacing w:line="360" w:lineRule="auto"/>
              <w:jc w:val="both"/>
              <w:rPr>
                <w:rFonts w:eastAsia="Calibri"/>
                <w:b/>
                <w:color w:val="002060"/>
              </w:rPr>
            </w:pPr>
            <w:r w:rsidRPr="009F75F6">
              <w:rPr>
                <w:rFonts w:eastAsia="Calibri"/>
                <w:b/>
                <w:color w:val="002060"/>
              </w:rPr>
              <w:t>Specificity</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A66E44C" w14:textId="77777777" w:rsidR="006B1592" w:rsidRPr="009F75F6" w:rsidRDefault="006B1592" w:rsidP="00540CF5">
            <w:pPr>
              <w:spacing w:line="360" w:lineRule="auto"/>
              <w:jc w:val="center"/>
              <w:rPr>
                <w:rFonts w:eastAsia="Calibri"/>
                <w:color w:val="002060"/>
              </w:rPr>
            </w:pPr>
            <w:r w:rsidRPr="009F75F6">
              <w:rPr>
                <w:rFonts w:eastAsia="Calibri"/>
                <w:color w:val="002060"/>
              </w:rPr>
              <w:t>0.84 (0.78-0.89)</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8511006" w14:textId="77777777" w:rsidR="006B1592" w:rsidRPr="009F75F6" w:rsidRDefault="006B1592" w:rsidP="00540CF5">
            <w:pPr>
              <w:spacing w:line="360" w:lineRule="auto"/>
              <w:jc w:val="center"/>
              <w:rPr>
                <w:rFonts w:eastAsia="Calibri"/>
                <w:color w:val="002060"/>
              </w:rPr>
            </w:pPr>
            <w:r w:rsidRPr="009F75F6">
              <w:rPr>
                <w:rFonts w:eastAsia="Calibri"/>
                <w:color w:val="002060"/>
              </w:rPr>
              <w:t>0.86 (0.78-0.91)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68E09CE7" w14:textId="77777777" w:rsidR="006B1592" w:rsidRPr="009F75F6" w:rsidRDefault="006B1592" w:rsidP="00540CF5">
            <w:pPr>
              <w:spacing w:line="360" w:lineRule="auto"/>
              <w:jc w:val="center"/>
              <w:rPr>
                <w:rFonts w:eastAsia="Calibri"/>
                <w:color w:val="002060"/>
              </w:rPr>
            </w:pPr>
            <w:r w:rsidRPr="009F75F6">
              <w:rPr>
                <w:rFonts w:eastAsia="Calibri"/>
                <w:color w:val="002060"/>
              </w:rPr>
              <w:t>0.86 (0.80-0.91)</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BF04B3F" w14:textId="77777777" w:rsidR="006B1592" w:rsidRPr="009F75F6" w:rsidRDefault="006B1592" w:rsidP="00540CF5">
            <w:pPr>
              <w:spacing w:line="360" w:lineRule="auto"/>
              <w:jc w:val="center"/>
              <w:rPr>
                <w:rFonts w:eastAsia="Calibri"/>
                <w:color w:val="002060"/>
              </w:rPr>
            </w:pPr>
            <w:r w:rsidRPr="009F75F6">
              <w:rPr>
                <w:rFonts w:eastAsia="Calibri"/>
                <w:color w:val="002060"/>
              </w:rPr>
              <w:t>0.89 (0.82-0.93)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C8376FF" w14:textId="77777777" w:rsidR="006B1592" w:rsidRPr="009F75F6" w:rsidRDefault="006B1592" w:rsidP="00540CF5">
            <w:pPr>
              <w:spacing w:line="360" w:lineRule="auto"/>
              <w:jc w:val="center"/>
              <w:rPr>
                <w:rFonts w:eastAsia="Calibri"/>
                <w:color w:val="002060"/>
              </w:rPr>
            </w:pPr>
            <w:r w:rsidRPr="009F75F6">
              <w:rPr>
                <w:rFonts w:eastAsia="Calibri"/>
                <w:color w:val="002060"/>
              </w:rPr>
              <w:t>0.85 (0.79-0.90)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A78D692" w14:textId="77777777" w:rsidR="006B1592" w:rsidRPr="009F75F6" w:rsidRDefault="006B1592" w:rsidP="00540CF5">
            <w:pPr>
              <w:spacing w:line="360" w:lineRule="auto"/>
              <w:jc w:val="center"/>
              <w:rPr>
                <w:rFonts w:eastAsia="Calibri"/>
                <w:color w:val="002060"/>
              </w:rPr>
            </w:pPr>
            <w:r w:rsidRPr="009F75F6">
              <w:rPr>
                <w:rFonts w:eastAsia="Calibri"/>
                <w:color w:val="002060"/>
              </w:rPr>
              <w:t>0.90 (0.84-0.95)</w:t>
            </w:r>
          </w:p>
        </w:tc>
      </w:tr>
      <w:tr w:rsidR="006B1592" w:rsidRPr="009F75F6" w14:paraId="17F38168" w14:textId="77777777" w:rsidTr="00540CF5">
        <w:trPr>
          <w:trHeight w:val="940"/>
        </w:trPr>
        <w:tc>
          <w:tcPr>
            <w:tcW w:w="1463"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C1FE99E" w14:textId="77777777" w:rsidR="006B1592" w:rsidRPr="009F75F6" w:rsidRDefault="006B1592" w:rsidP="00540CF5">
            <w:pPr>
              <w:spacing w:line="360" w:lineRule="auto"/>
              <w:jc w:val="both"/>
              <w:rPr>
                <w:rFonts w:eastAsia="Calibri"/>
                <w:b/>
                <w:color w:val="002060"/>
              </w:rPr>
            </w:pPr>
            <w:r w:rsidRPr="009F75F6">
              <w:rPr>
                <w:rFonts w:eastAsia="Calibri"/>
                <w:b/>
                <w:color w:val="002060"/>
              </w:rPr>
              <w:t>PPV</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5F52232B" w14:textId="77777777" w:rsidR="006B1592" w:rsidRPr="009F75F6" w:rsidRDefault="006B1592" w:rsidP="00540CF5">
            <w:pPr>
              <w:spacing w:line="360" w:lineRule="auto"/>
              <w:jc w:val="center"/>
              <w:rPr>
                <w:rFonts w:eastAsia="Calibri"/>
                <w:color w:val="002060"/>
              </w:rPr>
            </w:pPr>
            <w:r w:rsidRPr="009F75F6">
              <w:rPr>
                <w:rFonts w:eastAsia="Calibri"/>
                <w:color w:val="002060"/>
              </w:rPr>
              <w:t>0.52 (0.42-0.61)</w:t>
            </w:r>
          </w:p>
        </w:tc>
        <w:tc>
          <w:tcPr>
            <w:tcW w:w="131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D1C217A" w14:textId="77777777" w:rsidR="006B1592" w:rsidRPr="009F75F6" w:rsidRDefault="006B1592" w:rsidP="00540CF5">
            <w:pPr>
              <w:spacing w:line="360" w:lineRule="auto"/>
              <w:jc w:val="center"/>
              <w:rPr>
                <w:rFonts w:eastAsia="Calibri"/>
                <w:color w:val="002060"/>
              </w:rPr>
            </w:pPr>
            <w:r w:rsidRPr="009F75F6">
              <w:rPr>
                <w:rFonts w:eastAsia="Calibri"/>
                <w:color w:val="002060"/>
              </w:rPr>
              <w:t>0.56 (0.45-0.67)</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B3D44FF" w14:textId="77777777" w:rsidR="006B1592" w:rsidRPr="009F75F6" w:rsidRDefault="006B1592" w:rsidP="00540CF5">
            <w:pPr>
              <w:spacing w:line="360" w:lineRule="auto"/>
              <w:jc w:val="center"/>
              <w:rPr>
                <w:rFonts w:eastAsia="Calibri"/>
                <w:color w:val="002060"/>
              </w:rPr>
            </w:pPr>
            <w:r w:rsidRPr="009F75F6">
              <w:rPr>
                <w:rFonts w:eastAsia="Calibri"/>
                <w:color w:val="002060"/>
              </w:rPr>
              <w:t>0.59 (0.49-0.68)</w:t>
            </w:r>
          </w:p>
        </w:tc>
        <w:tc>
          <w:tcPr>
            <w:tcW w:w="131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88CD842" w14:textId="77777777" w:rsidR="006B1592" w:rsidRPr="009F75F6" w:rsidRDefault="006B1592" w:rsidP="00540CF5">
            <w:pPr>
              <w:spacing w:line="360" w:lineRule="auto"/>
              <w:jc w:val="center"/>
              <w:rPr>
                <w:rFonts w:eastAsia="Calibri"/>
                <w:color w:val="002060"/>
              </w:rPr>
            </w:pPr>
            <w:r w:rsidRPr="009F75F6">
              <w:rPr>
                <w:rFonts w:eastAsia="Calibri"/>
                <w:color w:val="002060"/>
              </w:rPr>
              <w:t>0.67 (0.55-0.78)</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E512BED" w14:textId="77777777" w:rsidR="006B1592" w:rsidRPr="009F75F6" w:rsidRDefault="006B1592" w:rsidP="00540CF5">
            <w:pPr>
              <w:spacing w:line="360" w:lineRule="auto"/>
              <w:jc w:val="center"/>
              <w:rPr>
                <w:rFonts w:eastAsia="Calibri"/>
                <w:color w:val="002060"/>
              </w:rPr>
            </w:pPr>
            <w:r w:rsidRPr="009F75F6">
              <w:rPr>
                <w:rFonts w:eastAsia="Calibri"/>
                <w:color w:val="002060"/>
              </w:rPr>
              <w:t>0.59 (0.49-0.68)</w:t>
            </w:r>
          </w:p>
        </w:tc>
        <w:tc>
          <w:tcPr>
            <w:tcW w:w="135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4B0EF5AB" w14:textId="77777777" w:rsidR="006B1592" w:rsidRPr="009F75F6" w:rsidRDefault="006B1592" w:rsidP="00540CF5">
            <w:pPr>
              <w:spacing w:line="360" w:lineRule="auto"/>
              <w:jc w:val="center"/>
              <w:rPr>
                <w:rFonts w:eastAsia="Calibri"/>
                <w:color w:val="002060"/>
              </w:rPr>
            </w:pPr>
            <w:r w:rsidRPr="009F75F6">
              <w:rPr>
                <w:rFonts w:eastAsia="Calibri"/>
                <w:color w:val="002060"/>
              </w:rPr>
              <w:t>0.70 (0.58-0.81)</w:t>
            </w:r>
          </w:p>
        </w:tc>
      </w:tr>
      <w:tr w:rsidR="006B1592" w:rsidRPr="009F75F6" w14:paraId="341DF275" w14:textId="77777777" w:rsidTr="00540CF5">
        <w:trPr>
          <w:trHeight w:val="805"/>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3B835EA" w14:textId="77777777" w:rsidR="006B1592" w:rsidRPr="009F75F6" w:rsidRDefault="006B1592" w:rsidP="00540CF5">
            <w:pPr>
              <w:spacing w:line="360" w:lineRule="auto"/>
              <w:jc w:val="both"/>
              <w:rPr>
                <w:rFonts w:eastAsia="Calibri"/>
                <w:b/>
                <w:color w:val="002060"/>
              </w:rPr>
            </w:pPr>
            <w:r w:rsidRPr="009F75F6">
              <w:rPr>
                <w:rFonts w:eastAsia="Calibri"/>
                <w:b/>
                <w:color w:val="002060"/>
              </w:rPr>
              <w:t>NPV</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CF9489E" w14:textId="77777777" w:rsidR="006B1592" w:rsidRPr="009F75F6" w:rsidRDefault="006B1592" w:rsidP="00540CF5">
            <w:pPr>
              <w:spacing w:line="360" w:lineRule="auto"/>
              <w:jc w:val="center"/>
              <w:rPr>
                <w:rFonts w:eastAsia="Calibri"/>
                <w:color w:val="002060"/>
              </w:rPr>
            </w:pPr>
            <w:r w:rsidRPr="009F75F6">
              <w:rPr>
                <w:rFonts w:eastAsia="Calibri"/>
                <w:color w:val="002060"/>
              </w:rPr>
              <w:t>0.90 (0.86-0.93)</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263C3EC" w14:textId="77777777" w:rsidR="006B1592" w:rsidRPr="009F75F6" w:rsidRDefault="006B1592" w:rsidP="00540CF5">
            <w:pPr>
              <w:spacing w:line="360" w:lineRule="auto"/>
              <w:jc w:val="center"/>
              <w:rPr>
                <w:rFonts w:eastAsia="Calibri"/>
                <w:color w:val="002060"/>
              </w:rPr>
            </w:pPr>
            <w:r w:rsidRPr="009F75F6">
              <w:rPr>
                <w:rFonts w:eastAsia="Calibri"/>
                <w:color w:val="002060"/>
              </w:rPr>
              <w:t>0.93 (0.88-0.96)</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85FE536" w14:textId="77777777" w:rsidR="006B1592" w:rsidRPr="009F75F6" w:rsidRDefault="006B1592" w:rsidP="00540CF5">
            <w:pPr>
              <w:spacing w:line="360" w:lineRule="auto"/>
              <w:jc w:val="center"/>
              <w:rPr>
                <w:rFonts w:eastAsia="Calibri"/>
                <w:color w:val="002060"/>
              </w:rPr>
            </w:pPr>
            <w:r w:rsidRPr="009F75F6">
              <w:rPr>
                <w:rFonts w:eastAsia="Calibri"/>
                <w:color w:val="002060"/>
              </w:rPr>
              <w:t>0.89 (0.85-0.92)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1E93677" w14:textId="77777777" w:rsidR="006B1592" w:rsidRPr="009F75F6" w:rsidRDefault="006B1592" w:rsidP="00540CF5">
            <w:pPr>
              <w:spacing w:line="360" w:lineRule="auto"/>
              <w:jc w:val="center"/>
              <w:rPr>
                <w:rFonts w:eastAsia="Calibri"/>
                <w:color w:val="002060"/>
              </w:rPr>
            </w:pPr>
            <w:r w:rsidRPr="009F75F6">
              <w:rPr>
                <w:rFonts w:eastAsia="Calibri"/>
                <w:color w:val="002060"/>
              </w:rPr>
              <w:t>0.90 (0.85-0.93)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ADB48A7" w14:textId="77777777" w:rsidR="006B1592" w:rsidRPr="009F75F6" w:rsidRDefault="006B1592" w:rsidP="00540CF5">
            <w:pPr>
              <w:spacing w:line="360" w:lineRule="auto"/>
              <w:jc w:val="center"/>
              <w:rPr>
                <w:rFonts w:eastAsia="Calibri"/>
                <w:color w:val="002060"/>
              </w:rPr>
            </w:pPr>
            <w:r w:rsidRPr="009F75F6">
              <w:rPr>
                <w:rFonts w:eastAsia="Calibri"/>
                <w:color w:val="002060"/>
              </w:rPr>
              <w:t>0.89 (0.85-0.92)</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97EE4D8" w14:textId="77777777" w:rsidR="006B1592" w:rsidRPr="009F75F6" w:rsidRDefault="006B1592" w:rsidP="00540CF5">
            <w:pPr>
              <w:spacing w:line="360" w:lineRule="auto"/>
              <w:jc w:val="center"/>
              <w:rPr>
                <w:rFonts w:eastAsia="Calibri"/>
                <w:color w:val="002060"/>
              </w:rPr>
            </w:pPr>
            <w:r w:rsidRPr="009F75F6">
              <w:rPr>
                <w:rFonts w:eastAsia="Calibri"/>
                <w:color w:val="002060"/>
              </w:rPr>
              <w:t>0.89 (0.84-0.93)</w:t>
            </w:r>
          </w:p>
        </w:tc>
      </w:tr>
      <w:tr w:rsidR="006B1592" w:rsidRPr="009F75F6" w14:paraId="00DEE3C0" w14:textId="77777777" w:rsidTr="00540CF5">
        <w:trPr>
          <w:trHeight w:val="670"/>
        </w:trPr>
        <w:tc>
          <w:tcPr>
            <w:tcW w:w="1463"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7BEB50FC" w14:textId="77777777" w:rsidR="006B1592" w:rsidRPr="009F75F6" w:rsidRDefault="006B1592" w:rsidP="00540CF5">
            <w:pPr>
              <w:spacing w:line="360" w:lineRule="auto"/>
              <w:jc w:val="both"/>
              <w:rPr>
                <w:rFonts w:eastAsia="Calibri"/>
                <w:b/>
                <w:color w:val="002060"/>
              </w:rPr>
            </w:pPr>
            <w:r w:rsidRPr="009F75F6">
              <w:rPr>
                <w:rFonts w:eastAsia="Calibri"/>
                <w:b/>
                <w:color w:val="002060"/>
              </w:rPr>
              <w:t>Accuracy</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D8ED5A0" w14:textId="77777777" w:rsidR="006B1592" w:rsidRPr="009F75F6" w:rsidRDefault="006B1592" w:rsidP="00540CF5">
            <w:pPr>
              <w:spacing w:line="360" w:lineRule="auto"/>
              <w:jc w:val="center"/>
              <w:rPr>
                <w:rFonts w:eastAsia="Calibri"/>
                <w:color w:val="002060"/>
              </w:rPr>
            </w:pPr>
            <w:r w:rsidRPr="009F75F6">
              <w:rPr>
                <w:rFonts w:eastAsia="Calibri"/>
                <w:color w:val="002060"/>
              </w:rPr>
              <w:t>0.80 (0.74-0.85)</w:t>
            </w:r>
          </w:p>
        </w:tc>
        <w:tc>
          <w:tcPr>
            <w:tcW w:w="131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3BA61B30" w14:textId="77777777" w:rsidR="006B1592" w:rsidRPr="009F75F6" w:rsidRDefault="006B1592" w:rsidP="00540CF5">
            <w:pPr>
              <w:spacing w:line="360" w:lineRule="auto"/>
              <w:jc w:val="center"/>
              <w:rPr>
                <w:rFonts w:eastAsia="Calibri"/>
                <w:color w:val="002060"/>
              </w:rPr>
            </w:pPr>
            <w:r w:rsidRPr="009F75F6">
              <w:rPr>
                <w:rFonts w:eastAsia="Calibri"/>
                <w:color w:val="002060"/>
              </w:rPr>
              <w:t>0.84 (0.77-0.89)</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6E6DE5E3" w14:textId="77777777" w:rsidR="006B1592" w:rsidRPr="009F75F6" w:rsidRDefault="006B1592" w:rsidP="00540CF5">
            <w:pPr>
              <w:spacing w:line="360" w:lineRule="auto"/>
              <w:jc w:val="center"/>
              <w:rPr>
                <w:rFonts w:eastAsia="Calibri"/>
                <w:color w:val="002060"/>
              </w:rPr>
            </w:pPr>
            <w:r w:rsidRPr="009F75F6">
              <w:rPr>
                <w:rFonts w:eastAsia="Calibri"/>
                <w:color w:val="002060"/>
              </w:rPr>
              <w:t>0.81 (0.75-0.86)</w:t>
            </w:r>
          </w:p>
        </w:tc>
        <w:tc>
          <w:tcPr>
            <w:tcW w:w="131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919336C" w14:textId="77777777" w:rsidR="006B1592" w:rsidRPr="009F75F6" w:rsidRDefault="006B1592" w:rsidP="00540CF5">
            <w:pPr>
              <w:spacing w:line="360" w:lineRule="auto"/>
              <w:jc w:val="center"/>
              <w:rPr>
                <w:rFonts w:eastAsia="Calibri"/>
                <w:color w:val="002060"/>
              </w:rPr>
            </w:pPr>
            <w:r w:rsidRPr="009F75F6">
              <w:rPr>
                <w:rFonts w:eastAsia="Calibri"/>
                <w:color w:val="002060"/>
              </w:rPr>
              <w:t>0.85 (0.78-0.90)</w:t>
            </w:r>
          </w:p>
        </w:tc>
        <w:tc>
          <w:tcPr>
            <w:tcW w:w="130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26D676C0" w14:textId="77777777" w:rsidR="006B1592" w:rsidRPr="009F75F6" w:rsidRDefault="006B1592" w:rsidP="00540CF5">
            <w:pPr>
              <w:spacing w:line="360" w:lineRule="auto"/>
              <w:jc w:val="center"/>
              <w:rPr>
                <w:rFonts w:eastAsia="Calibri"/>
                <w:color w:val="002060"/>
              </w:rPr>
            </w:pPr>
            <w:r w:rsidRPr="009F75F6">
              <w:rPr>
                <w:rFonts w:eastAsia="Calibri"/>
                <w:color w:val="002060"/>
              </w:rPr>
              <w:t>0.80 (0.75-0.86)</w:t>
            </w:r>
          </w:p>
        </w:tc>
        <w:tc>
          <w:tcPr>
            <w:tcW w:w="1354" w:type="dxa"/>
            <w:tcBorders>
              <w:top w:val="single" w:sz="4" w:space="0" w:color="000000"/>
              <w:left w:val="single" w:sz="4" w:space="0" w:color="000000"/>
              <w:bottom w:val="single" w:sz="4" w:space="0" w:color="000000"/>
              <w:right w:val="single" w:sz="4" w:space="0" w:color="000000"/>
            </w:tcBorders>
            <w:shd w:val="clear" w:color="auto" w:fill="EAEFF7"/>
            <w:tcMar>
              <w:top w:w="20" w:type="dxa"/>
              <w:left w:w="100" w:type="dxa"/>
              <w:bottom w:w="100" w:type="dxa"/>
              <w:right w:w="100" w:type="dxa"/>
            </w:tcMar>
            <w:vAlign w:val="center"/>
          </w:tcPr>
          <w:p w14:paraId="0C96664A" w14:textId="77777777" w:rsidR="006B1592" w:rsidRPr="009F75F6" w:rsidRDefault="006B1592" w:rsidP="00540CF5">
            <w:pPr>
              <w:spacing w:line="360" w:lineRule="auto"/>
              <w:jc w:val="center"/>
              <w:rPr>
                <w:rFonts w:eastAsia="Calibri"/>
                <w:color w:val="002060"/>
              </w:rPr>
            </w:pPr>
            <w:r w:rsidRPr="009F75F6">
              <w:rPr>
                <w:rFonts w:eastAsia="Calibri"/>
                <w:color w:val="002060"/>
              </w:rPr>
              <w:t>0.85 (0.79-0.90)</w:t>
            </w:r>
          </w:p>
        </w:tc>
      </w:tr>
      <w:tr w:rsidR="006B1592" w:rsidRPr="009F75F6" w14:paraId="4DA22B18" w14:textId="77777777" w:rsidTr="00540CF5">
        <w:trPr>
          <w:trHeight w:val="670"/>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1D3FF71" w14:textId="77777777" w:rsidR="006B1592" w:rsidRPr="009F75F6" w:rsidRDefault="006B1592" w:rsidP="00540CF5">
            <w:pPr>
              <w:spacing w:line="360" w:lineRule="auto"/>
              <w:jc w:val="both"/>
              <w:rPr>
                <w:rFonts w:eastAsia="Calibri"/>
                <w:b/>
                <w:color w:val="002060"/>
              </w:rPr>
            </w:pPr>
            <w:r w:rsidRPr="009F75F6">
              <w:rPr>
                <w:rFonts w:eastAsia="Calibri"/>
                <w:b/>
                <w:color w:val="002060"/>
              </w:rPr>
              <w:t>Cohen Kappa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3CFB387E" w14:textId="77777777" w:rsidR="006B1592" w:rsidRPr="009F75F6" w:rsidRDefault="006B1592" w:rsidP="00540CF5">
            <w:pPr>
              <w:spacing w:line="360" w:lineRule="auto"/>
              <w:jc w:val="center"/>
              <w:rPr>
                <w:rFonts w:eastAsia="Calibri"/>
                <w:color w:val="002060"/>
              </w:rPr>
            </w:pPr>
            <w:r w:rsidRPr="009F75F6">
              <w:rPr>
                <w:rFonts w:eastAsia="Calibri"/>
                <w:color w:val="002060"/>
              </w:rPr>
              <w:t>0.45 (0.31-0.69)</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0CB2FFB8" w14:textId="77777777" w:rsidR="006B1592" w:rsidRPr="009F75F6" w:rsidRDefault="006B1592" w:rsidP="00540CF5">
            <w:pPr>
              <w:spacing w:line="360" w:lineRule="auto"/>
              <w:jc w:val="center"/>
              <w:rPr>
                <w:rFonts w:eastAsia="Calibri"/>
                <w:color w:val="002060"/>
              </w:rPr>
            </w:pPr>
            <w:r w:rsidRPr="009F75F6">
              <w:rPr>
                <w:rFonts w:eastAsia="Calibri"/>
                <w:color w:val="002060"/>
              </w:rPr>
              <w:t>0.53 (0.38-0.68)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4A08FB14" w14:textId="77777777" w:rsidR="006B1592" w:rsidRPr="009F75F6" w:rsidRDefault="006B1592" w:rsidP="00540CF5">
            <w:pPr>
              <w:spacing w:line="360" w:lineRule="auto"/>
              <w:jc w:val="center"/>
              <w:rPr>
                <w:rFonts w:eastAsia="Calibri"/>
                <w:color w:val="002060"/>
              </w:rPr>
            </w:pPr>
            <w:r w:rsidRPr="009F75F6">
              <w:rPr>
                <w:rFonts w:eastAsia="Calibri"/>
                <w:color w:val="002060"/>
              </w:rPr>
              <w:t>0.50 (0.37-0.63)</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59501CF" w14:textId="77777777" w:rsidR="006B1592" w:rsidRPr="009F75F6" w:rsidRDefault="006B1592" w:rsidP="00540CF5">
            <w:pPr>
              <w:spacing w:line="360" w:lineRule="auto"/>
              <w:jc w:val="center"/>
              <w:rPr>
                <w:rFonts w:eastAsia="Calibri"/>
                <w:color w:val="002060"/>
              </w:rPr>
            </w:pPr>
            <w:r w:rsidRPr="009F75F6">
              <w:rPr>
                <w:rFonts w:eastAsia="Calibri"/>
                <w:color w:val="002060"/>
              </w:rPr>
              <w:t>0.59 (0.45-0.73)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50735058" w14:textId="77777777" w:rsidR="006B1592" w:rsidRPr="009F75F6" w:rsidRDefault="006B1592" w:rsidP="00540CF5">
            <w:pPr>
              <w:spacing w:line="360" w:lineRule="auto"/>
              <w:jc w:val="center"/>
              <w:rPr>
                <w:rFonts w:eastAsia="Calibri"/>
                <w:color w:val="002060"/>
              </w:rPr>
            </w:pPr>
            <w:r w:rsidRPr="009F75F6">
              <w:rPr>
                <w:rFonts w:eastAsia="Calibri"/>
                <w:color w:val="002060"/>
              </w:rPr>
              <w:t>0.50 (0.36-0.63)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2DE1A41" w14:textId="77777777" w:rsidR="006B1592" w:rsidRPr="009F75F6" w:rsidRDefault="006B1592" w:rsidP="00540CF5">
            <w:pPr>
              <w:spacing w:line="360" w:lineRule="auto"/>
              <w:jc w:val="center"/>
              <w:rPr>
                <w:rFonts w:eastAsia="Calibri"/>
                <w:color w:val="002060"/>
              </w:rPr>
            </w:pPr>
            <w:r w:rsidRPr="009F75F6">
              <w:rPr>
                <w:rFonts w:eastAsia="Calibri"/>
                <w:color w:val="002060"/>
              </w:rPr>
              <w:t>0.59 (0.45-0.73)</w:t>
            </w:r>
          </w:p>
        </w:tc>
      </w:tr>
      <w:tr w:rsidR="006B1592" w:rsidRPr="009F75F6" w14:paraId="092FA19B" w14:textId="77777777" w:rsidTr="00540CF5">
        <w:trPr>
          <w:trHeight w:val="670"/>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615C1EBE" w14:textId="77777777" w:rsidR="006B1592" w:rsidRPr="009F75F6" w:rsidRDefault="006B1592" w:rsidP="00540CF5">
            <w:pPr>
              <w:spacing w:line="360" w:lineRule="auto"/>
              <w:jc w:val="both"/>
              <w:rPr>
                <w:rFonts w:eastAsia="Calibri"/>
                <w:b/>
                <w:color w:val="002060"/>
              </w:rPr>
            </w:pPr>
            <w:r w:rsidRPr="009F75F6">
              <w:rPr>
                <w:rFonts w:eastAsia="Calibri"/>
                <w:b/>
                <w:color w:val="002060"/>
              </w:rPr>
              <w:t>AUROC</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61455DD" w14:textId="77777777" w:rsidR="006B1592" w:rsidRPr="009F75F6" w:rsidRDefault="006B1592" w:rsidP="00540CF5">
            <w:pPr>
              <w:spacing w:line="360" w:lineRule="auto"/>
              <w:jc w:val="center"/>
              <w:rPr>
                <w:rFonts w:eastAsia="Calibri"/>
                <w:color w:val="002060"/>
              </w:rPr>
            </w:pPr>
            <w:r w:rsidRPr="009F75F6">
              <w:rPr>
                <w:rFonts w:eastAsia="Calibri"/>
                <w:color w:val="002060"/>
              </w:rPr>
              <w:t>0.80 (0.72-0.88)</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752EB5E8" w14:textId="77777777" w:rsidR="006B1592" w:rsidRPr="009F75F6" w:rsidRDefault="006B1592" w:rsidP="00540CF5">
            <w:pPr>
              <w:spacing w:line="360" w:lineRule="auto"/>
              <w:jc w:val="center"/>
              <w:rPr>
                <w:rFonts w:eastAsia="Calibri"/>
                <w:color w:val="00206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C056F15" w14:textId="77777777" w:rsidR="006B1592" w:rsidRPr="009F75F6" w:rsidRDefault="006B1592" w:rsidP="00540CF5">
            <w:pPr>
              <w:spacing w:line="360" w:lineRule="auto"/>
              <w:jc w:val="center"/>
              <w:rPr>
                <w:rFonts w:eastAsia="Calibri"/>
                <w:color w:val="002060"/>
              </w:rPr>
            </w:pPr>
            <w:r w:rsidRPr="009F75F6">
              <w:rPr>
                <w:rFonts w:eastAsia="Calibri"/>
                <w:color w:val="002060"/>
              </w:rPr>
              <w:t>0.81 (0.73-0.88)</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17833E64" w14:textId="77777777" w:rsidR="006B1592" w:rsidRPr="009F75F6" w:rsidRDefault="006B1592" w:rsidP="00540CF5">
            <w:pPr>
              <w:spacing w:line="360" w:lineRule="auto"/>
              <w:jc w:val="center"/>
              <w:rPr>
                <w:rFonts w:eastAsia="Calibri"/>
                <w:color w:val="00206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0FD39ED" w14:textId="77777777" w:rsidR="006B1592" w:rsidRPr="009F75F6" w:rsidRDefault="006B1592" w:rsidP="00540CF5">
            <w:pPr>
              <w:spacing w:line="360" w:lineRule="auto"/>
              <w:jc w:val="center"/>
              <w:rPr>
                <w:rFonts w:eastAsia="Calibri"/>
                <w:color w:val="002060"/>
              </w:rPr>
            </w:pPr>
            <w:r w:rsidRPr="009F75F6">
              <w:rPr>
                <w:rFonts w:eastAsia="Calibri"/>
                <w:color w:val="002060"/>
              </w:rPr>
              <w:t>0.79 (0.72-0.87)</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20" w:type="dxa"/>
              <w:left w:w="100" w:type="dxa"/>
              <w:bottom w:w="100" w:type="dxa"/>
              <w:right w:w="100" w:type="dxa"/>
            </w:tcMar>
            <w:vAlign w:val="center"/>
          </w:tcPr>
          <w:p w14:paraId="2DA40A65" w14:textId="77777777" w:rsidR="006B1592" w:rsidRPr="009F75F6" w:rsidRDefault="006B1592" w:rsidP="00540CF5">
            <w:pPr>
              <w:spacing w:line="360" w:lineRule="auto"/>
              <w:jc w:val="center"/>
              <w:rPr>
                <w:rFonts w:eastAsia="Calibri"/>
                <w:color w:val="002060"/>
              </w:rPr>
            </w:pPr>
          </w:p>
        </w:tc>
      </w:tr>
    </w:tbl>
    <w:p w14:paraId="035773C8" w14:textId="77777777" w:rsidR="006B1592" w:rsidRPr="009F75F6" w:rsidRDefault="006B1592" w:rsidP="006B1592">
      <w:pPr>
        <w:spacing w:line="360" w:lineRule="auto"/>
        <w:jc w:val="both"/>
        <w:rPr>
          <w:b/>
          <w:sz w:val="20"/>
          <w:szCs w:val="20"/>
        </w:rPr>
      </w:pPr>
    </w:p>
    <w:p w14:paraId="4D01632C" w14:textId="77777777" w:rsidR="006B1592" w:rsidRPr="009F75F6" w:rsidRDefault="006B1592" w:rsidP="006B1592">
      <w:pPr>
        <w:spacing w:line="360" w:lineRule="auto"/>
        <w:jc w:val="both"/>
      </w:pPr>
    </w:p>
    <w:p w14:paraId="49466C92" w14:textId="77777777" w:rsidR="009014A8" w:rsidRDefault="009014A8"/>
    <w:sectPr w:rsidR="009014A8">
      <w:footerReference w:type="default" r:id="rId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maso Parigi" w:date="2022-07-10T17:16:00Z" w:initials="TP">
    <w:p w14:paraId="561BC781" w14:textId="77777777" w:rsidR="006B1592" w:rsidRDefault="006B1592" w:rsidP="006B1592">
      <w:r>
        <w:rPr>
          <w:rStyle w:val="CommentReference"/>
        </w:rPr>
        <w:annotationRef/>
      </w:r>
      <w:r>
        <w:rPr>
          <w:sz w:val="20"/>
          <w:szCs w:val="20"/>
        </w:rPr>
        <w:t>@enrico how did we obtain the confidence intervals for these?</w:t>
      </w:r>
    </w:p>
  </w:comment>
  <w:comment w:id="1" w:author="Grisan, Enrico" w:date="2022-07-14T12:18:00Z" w:initials="GE">
    <w:p w14:paraId="02C17356" w14:textId="77777777" w:rsidR="006B1592" w:rsidRDefault="006B1592" w:rsidP="006B1592">
      <w:pPr>
        <w:pStyle w:val="CommentText"/>
      </w:pPr>
      <w:r>
        <w:rPr>
          <w:rStyle w:val="CommentReference"/>
        </w:rPr>
        <w:annotationRef/>
      </w:r>
      <w:r>
        <w:t>We used medcalc:</w:t>
      </w:r>
      <w:r>
        <w:br/>
        <w:t>-for PPV and NPV logit confidence intervals are used (</w:t>
      </w:r>
      <w:r>
        <w:rPr>
          <w:color w:val="000000"/>
        </w:rPr>
        <w:t>Mercaldo ND, Lau KF, Zhou XH (2007) Confidence intervals for predictive values with an emphasis to case-control studies. Statistics in Medicine 26:2170-2183.</w:t>
      </w:r>
      <w:r>
        <w:t xml:space="preserve"> )</w:t>
      </w:r>
    </w:p>
    <w:p w14:paraId="52726B0E" w14:textId="77777777" w:rsidR="006B1592" w:rsidRDefault="006B1592" w:rsidP="006B1592">
      <w:pPr>
        <w:pStyle w:val="CommentText"/>
      </w:pPr>
      <w:r>
        <w:t xml:space="preserve">- for acc, sens and spec exact </w:t>
      </w:r>
      <w:r>
        <w:rPr>
          <w:color w:val="000000"/>
        </w:rPr>
        <w:t>Clopper-Pearson confidence intervals</w:t>
      </w:r>
      <w:r>
        <w:t xml:space="preserve"> are used (</w:t>
      </w:r>
      <w:r>
        <w:rPr>
          <w:color w:val="777777"/>
        </w:rPr>
        <w:t>Clopper,C.J.,and Pearson,E.S.(1934),“The Use of Confidence or Fiducial Limits Illustrated in the Case of the Binomial”, Biometrika 26, 404–413.</w:t>
      </w:r>
      <w:r>
        <w:t xml:space="preserve"> )</w:t>
      </w:r>
    </w:p>
  </w:comment>
  <w:comment w:id="2" w:author="Tommaso Parigi" w:date="2022-07-02T23:20:00Z" w:initials="TP">
    <w:p w14:paraId="0A81D680" w14:textId="77777777" w:rsidR="006B1592" w:rsidRDefault="006B1592" w:rsidP="006B1592">
      <w:r>
        <w:rPr>
          <w:rStyle w:val="CommentReference"/>
        </w:rPr>
        <w:annotationRef/>
      </w:r>
      <w:r>
        <w:rPr>
          <w:sz w:val="20"/>
          <w:szCs w:val="20"/>
        </w:rPr>
        <w:t>Not sure if to keep</w:t>
      </w:r>
    </w:p>
  </w:comment>
  <w:comment w:id="3" w:author="Tommaso Parigi" w:date="2022-07-02T23:12:00Z" w:initials="TP">
    <w:p w14:paraId="320EB1E3" w14:textId="77777777" w:rsidR="006B1592" w:rsidRDefault="006B1592" w:rsidP="006B1592">
      <w:r>
        <w:rPr>
          <w:rStyle w:val="CommentReference"/>
        </w:rPr>
        <w:annotationRef/>
      </w:r>
      <w:r>
        <w:rPr>
          <w:sz w:val="20"/>
          <w:szCs w:val="20"/>
        </w:rPr>
        <w:t>this is a bit confusing for someone reading it the first time. what if we keep only human-endoscopy and AI-endoscopy cutting the third (AI-prediction)</w:t>
      </w:r>
    </w:p>
  </w:comment>
  <w:comment w:id="4" w:author="Tommaso Parigi" w:date="2022-07-10T18:13:00Z" w:initials="TP">
    <w:p w14:paraId="78CB0C95" w14:textId="77777777" w:rsidR="006B1592" w:rsidRDefault="006B1592" w:rsidP="006B1592">
      <w:r>
        <w:rPr>
          <w:rStyle w:val="CommentReference"/>
        </w:rPr>
        <w:annotationRef/>
      </w:r>
      <w:r>
        <w:rPr>
          <w:sz w:val="20"/>
          <w:szCs w:val="20"/>
        </w:rPr>
        <w:t>Colombel JF et al. Gastroenterology 2016;150(2):389-95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1BC781" w15:done="0"/>
  <w15:commentEx w15:paraId="52726B0E" w15:paraIdParent="561BC781" w15:done="0"/>
  <w15:commentEx w15:paraId="0A81D680" w15:done="0"/>
  <w15:commentEx w15:paraId="320EB1E3" w15:done="1"/>
  <w15:commentEx w15:paraId="78CB0C9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87F0" w16cex:dateUtc="2022-07-10T15:16:00Z"/>
  <w16cex:commentExtensible w16cex:durableId="267A87FF" w16cex:dateUtc="2022-07-14T10:18:00Z"/>
  <w16cex:commentExtensible w16cex:durableId="266B5139" w16cex:dateUtc="2022-07-02T21:20:00Z"/>
  <w16cex:commentExtensible w16cex:durableId="266B4F65" w16cex:dateUtc="2022-07-02T21:12:00Z"/>
  <w16cex:commentExtensible w16cex:durableId="26759564" w16cex:dateUtc="2022-07-10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BC781" w16cid:durableId="267587F0"/>
  <w16cid:commentId w16cid:paraId="52726B0E" w16cid:durableId="267A87FF"/>
  <w16cid:commentId w16cid:paraId="0A81D680" w16cid:durableId="266B5139"/>
  <w16cid:commentId w16cid:paraId="320EB1E3" w16cid:durableId="266B4F65"/>
  <w16cid:commentId w16cid:paraId="78CB0C95" w16cid:durableId="267595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832B" w14:textId="77777777" w:rsidR="008E56AA" w:rsidRDefault="008E56AA" w:rsidP="006B1592">
      <w:pPr>
        <w:spacing w:line="240" w:lineRule="auto"/>
      </w:pPr>
      <w:r>
        <w:separator/>
      </w:r>
    </w:p>
  </w:endnote>
  <w:endnote w:type="continuationSeparator" w:id="0">
    <w:p w14:paraId="31F2701F" w14:textId="77777777" w:rsidR="008E56AA" w:rsidRDefault="008E56AA" w:rsidP="006B1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115949"/>
      <w:docPartObj>
        <w:docPartGallery w:val="Page Numbers (Bottom of Page)"/>
        <w:docPartUnique/>
      </w:docPartObj>
    </w:sdtPr>
    <w:sdtEndPr>
      <w:rPr>
        <w:noProof/>
      </w:rPr>
    </w:sdtEndPr>
    <w:sdtContent>
      <w:p w14:paraId="4C860D0A" w14:textId="3187EBD3" w:rsidR="006B1592" w:rsidRDefault="006B15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C069E" w14:textId="77777777" w:rsidR="006B1592" w:rsidRDefault="006B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C880" w14:textId="77777777" w:rsidR="008E56AA" w:rsidRDefault="008E56AA" w:rsidP="006B1592">
      <w:pPr>
        <w:spacing w:line="240" w:lineRule="auto"/>
      </w:pPr>
      <w:r>
        <w:separator/>
      </w:r>
    </w:p>
  </w:footnote>
  <w:footnote w:type="continuationSeparator" w:id="0">
    <w:p w14:paraId="2155E611" w14:textId="77777777" w:rsidR="008E56AA" w:rsidRDefault="008E56AA" w:rsidP="006B1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349"/>
    <w:multiLevelType w:val="multilevel"/>
    <w:tmpl w:val="1A20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A71A9"/>
    <w:multiLevelType w:val="multilevel"/>
    <w:tmpl w:val="82FC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F4E47"/>
    <w:multiLevelType w:val="multilevel"/>
    <w:tmpl w:val="77B27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D43C2"/>
    <w:multiLevelType w:val="multilevel"/>
    <w:tmpl w:val="60AE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851700"/>
    <w:multiLevelType w:val="multilevel"/>
    <w:tmpl w:val="320EC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8268202">
    <w:abstractNumId w:val="3"/>
  </w:num>
  <w:num w:numId="2" w16cid:durableId="524025909">
    <w:abstractNumId w:val="4"/>
  </w:num>
  <w:num w:numId="3" w16cid:durableId="612640098">
    <w:abstractNumId w:val="0"/>
  </w:num>
  <w:num w:numId="4" w16cid:durableId="1439830293">
    <w:abstractNumId w:val="1"/>
  </w:num>
  <w:num w:numId="5" w16cid:durableId="157394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maso Parigi">
    <w15:presenceInfo w15:providerId="AD" w15:userId="S::tparigi@sthunimedeu.onmicrosoft.com::07b452be-7ad4-402e-b9d0-2711d8be678b"/>
  </w15:person>
  <w15:person w15:author="Grisan, Enrico">
    <w15:presenceInfo w15:providerId="None" w15:userId="Grisan, Enr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92"/>
    <w:rsid w:val="006B1592"/>
    <w:rsid w:val="008E56AA"/>
    <w:rsid w:val="009014A8"/>
    <w:rsid w:val="00B14FDB"/>
    <w:rsid w:val="00E0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CE38"/>
  <w15:chartTrackingRefBased/>
  <w15:docId w15:val="{46C79318-EDDF-45FB-9334-28EDA06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92"/>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6B159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6B159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6B159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6B1592"/>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6B159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6B159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592"/>
    <w:rPr>
      <w:rFonts w:ascii="Arial" w:eastAsia="Arial" w:hAnsi="Arial" w:cs="Arial"/>
      <w:sz w:val="40"/>
      <w:szCs w:val="40"/>
      <w:lang w:eastAsia="en-GB"/>
    </w:rPr>
  </w:style>
  <w:style w:type="character" w:customStyle="1" w:styleId="Heading2Char">
    <w:name w:val="Heading 2 Char"/>
    <w:basedOn w:val="DefaultParagraphFont"/>
    <w:link w:val="Heading2"/>
    <w:uiPriority w:val="9"/>
    <w:semiHidden/>
    <w:rsid w:val="006B1592"/>
    <w:rPr>
      <w:rFonts w:ascii="Arial" w:eastAsia="Arial" w:hAnsi="Arial" w:cs="Arial"/>
      <w:sz w:val="32"/>
      <w:szCs w:val="32"/>
      <w:lang w:eastAsia="en-GB"/>
    </w:rPr>
  </w:style>
  <w:style w:type="character" w:customStyle="1" w:styleId="Heading3Char">
    <w:name w:val="Heading 3 Char"/>
    <w:basedOn w:val="DefaultParagraphFont"/>
    <w:link w:val="Heading3"/>
    <w:uiPriority w:val="9"/>
    <w:semiHidden/>
    <w:rsid w:val="006B1592"/>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semiHidden/>
    <w:rsid w:val="006B1592"/>
    <w:rPr>
      <w:rFonts w:ascii="Arial" w:eastAsia="Arial" w:hAnsi="Arial" w:cs="Arial"/>
      <w:color w:val="666666"/>
      <w:sz w:val="24"/>
      <w:szCs w:val="24"/>
      <w:lang w:eastAsia="en-GB"/>
    </w:rPr>
  </w:style>
  <w:style w:type="character" w:customStyle="1" w:styleId="Heading5Char">
    <w:name w:val="Heading 5 Char"/>
    <w:basedOn w:val="DefaultParagraphFont"/>
    <w:link w:val="Heading5"/>
    <w:uiPriority w:val="9"/>
    <w:semiHidden/>
    <w:rsid w:val="006B1592"/>
    <w:rPr>
      <w:rFonts w:ascii="Arial" w:eastAsia="Arial" w:hAnsi="Arial" w:cs="Arial"/>
      <w:color w:val="666666"/>
      <w:lang w:eastAsia="en-GB"/>
    </w:rPr>
  </w:style>
  <w:style w:type="character" w:customStyle="1" w:styleId="Heading6Char">
    <w:name w:val="Heading 6 Char"/>
    <w:basedOn w:val="DefaultParagraphFont"/>
    <w:link w:val="Heading6"/>
    <w:uiPriority w:val="9"/>
    <w:semiHidden/>
    <w:rsid w:val="006B1592"/>
    <w:rPr>
      <w:rFonts w:ascii="Arial" w:eastAsia="Arial" w:hAnsi="Arial" w:cs="Arial"/>
      <w:i/>
      <w:color w:val="666666"/>
      <w:lang w:eastAsia="en-GB"/>
    </w:rPr>
  </w:style>
  <w:style w:type="paragraph" w:styleId="Title">
    <w:name w:val="Title"/>
    <w:basedOn w:val="Normal"/>
    <w:next w:val="Normal"/>
    <w:link w:val="TitleChar"/>
    <w:uiPriority w:val="10"/>
    <w:qFormat/>
    <w:rsid w:val="006B1592"/>
    <w:pPr>
      <w:keepNext/>
      <w:keepLines/>
      <w:spacing w:after="60"/>
    </w:pPr>
    <w:rPr>
      <w:sz w:val="52"/>
      <w:szCs w:val="52"/>
    </w:rPr>
  </w:style>
  <w:style w:type="character" w:customStyle="1" w:styleId="TitleChar">
    <w:name w:val="Title Char"/>
    <w:basedOn w:val="DefaultParagraphFont"/>
    <w:link w:val="Title"/>
    <w:uiPriority w:val="10"/>
    <w:rsid w:val="006B1592"/>
    <w:rPr>
      <w:rFonts w:ascii="Arial" w:eastAsia="Arial" w:hAnsi="Arial" w:cs="Arial"/>
      <w:sz w:val="52"/>
      <w:szCs w:val="52"/>
      <w:lang w:eastAsia="en-GB"/>
    </w:rPr>
  </w:style>
  <w:style w:type="paragraph" w:styleId="Subtitle">
    <w:name w:val="Subtitle"/>
    <w:basedOn w:val="Normal"/>
    <w:next w:val="Normal"/>
    <w:link w:val="SubtitleChar"/>
    <w:uiPriority w:val="11"/>
    <w:qFormat/>
    <w:rsid w:val="006B1592"/>
    <w:pPr>
      <w:keepNext/>
      <w:keepLines/>
      <w:spacing w:after="320"/>
    </w:pPr>
    <w:rPr>
      <w:color w:val="666666"/>
      <w:sz w:val="30"/>
      <w:szCs w:val="30"/>
    </w:rPr>
  </w:style>
  <w:style w:type="character" w:customStyle="1" w:styleId="SubtitleChar">
    <w:name w:val="Subtitle Char"/>
    <w:basedOn w:val="DefaultParagraphFont"/>
    <w:link w:val="Subtitle"/>
    <w:uiPriority w:val="11"/>
    <w:rsid w:val="006B1592"/>
    <w:rPr>
      <w:rFonts w:ascii="Arial" w:eastAsia="Arial" w:hAnsi="Arial" w:cs="Arial"/>
      <w:color w:val="666666"/>
      <w:sz w:val="30"/>
      <w:szCs w:val="30"/>
      <w:lang w:eastAsia="en-GB"/>
    </w:rPr>
  </w:style>
  <w:style w:type="table" w:styleId="TableGrid">
    <w:name w:val="Table Grid"/>
    <w:basedOn w:val="TableNormal"/>
    <w:uiPriority w:val="39"/>
    <w:rsid w:val="006B159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1592"/>
    <w:pPr>
      <w:spacing w:after="0" w:line="240" w:lineRule="auto"/>
    </w:pPr>
    <w:rPr>
      <w:rFonts w:ascii="Arial" w:eastAsia="Arial" w:hAnsi="Arial" w:cs="Arial"/>
      <w:lang w:eastAsia="en-GB"/>
    </w:rPr>
  </w:style>
  <w:style w:type="character" w:styleId="CommentReference">
    <w:name w:val="annotation reference"/>
    <w:basedOn w:val="DefaultParagraphFont"/>
    <w:uiPriority w:val="99"/>
    <w:semiHidden/>
    <w:unhideWhenUsed/>
    <w:rsid w:val="006B1592"/>
    <w:rPr>
      <w:sz w:val="16"/>
      <w:szCs w:val="16"/>
    </w:rPr>
  </w:style>
  <w:style w:type="paragraph" w:styleId="CommentText">
    <w:name w:val="annotation text"/>
    <w:basedOn w:val="Normal"/>
    <w:link w:val="CommentTextChar"/>
    <w:uiPriority w:val="99"/>
    <w:unhideWhenUsed/>
    <w:rsid w:val="006B1592"/>
    <w:pPr>
      <w:spacing w:line="240" w:lineRule="auto"/>
    </w:pPr>
    <w:rPr>
      <w:sz w:val="20"/>
      <w:szCs w:val="20"/>
    </w:rPr>
  </w:style>
  <w:style w:type="character" w:customStyle="1" w:styleId="CommentTextChar">
    <w:name w:val="Comment Text Char"/>
    <w:basedOn w:val="DefaultParagraphFont"/>
    <w:link w:val="CommentText"/>
    <w:uiPriority w:val="99"/>
    <w:rsid w:val="006B1592"/>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B1592"/>
    <w:rPr>
      <w:b/>
      <w:bCs/>
    </w:rPr>
  </w:style>
  <w:style w:type="character" w:customStyle="1" w:styleId="CommentSubjectChar">
    <w:name w:val="Comment Subject Char"/>
    <w:basedOn w:val="CommentTextChar"/>
    <w:link w:val="CommentSubject"/>
    <w:uiPriority w:val="99"/>
    <w:semiHidden/>
    <w:rsid w:val="006B1592"/>
    <w:rPr>
      <w:rFonts w:ascii="Arial" w:eastAsia="Arial" w:hAnsi="Arial" w:cs="Arial"/>
      <w:b/>
      <w:bCs/>
      <w:sz w:val="20"/>
      <w:szCs w:val="20"/>
      <w:lang w:eastAsia="en-GB"/>
    </w:rPr>
  </w:style>
  <w:style w:type="paragraph" w:styleId="NormalWeb">
    <w:name w:val="Normal (Web)"/>
    <w:basedOn w:val="Normal"/>
    <w:uiPriority w:val="99"/>
    <w:semiHidden/>
    <w:unhideWhenUsed/>
    <w:rsid w:val="006B15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592"/>
    <w:rPr>
      <w:color w:val="0000FF"/>
      <w:u w:val="single"/>
    </w:rPr>
  </w:style>
  <w:style w:type="character" w:customStyle="1" w:styleId="apple-tab-span">
    <w:name w:val="apple-tab-span"/>
    <w:basedOn w:val="DefaultParagraphFont"/>
    <w:rsid w:val="006B1592"/>
  </w:style>
  <w:style w:type="paragraph" w:styleId="Header">
    <w:name w:val="header"/>
    <w:basedOn w:val="Normal"/>
    <w:link w:val="HeaderChar"/>
    <w:uiPriority w:val="99"/>
    <w:unhideWhenUsed/>
    <w:rsid w:val="006B1592"/>
    <w:pPr>
      <w:tabs>
        <w:tab w:val="center" w:pos="4513"/>
        <w:tab w:val="right" w:pos="9026"/>
      </w:tabs>
      <w:spacing w:line="240" w:lineRule="auto"/>
    </w:pPr>
  </w:style>
  <w:style w:type="character" w:customStyle="1" w:styleId="HeaderChar">
    <w:name w:val="Header Char"/>
    <w:basedOn w:val="DefaultParagraphFont"/>
    <w:link w:val="Header"/>
    <w:uiPriority w:val="99"/>
    <w:rsid w:val="006B1592"/>
    <w:rPr>
      <w:rFonts w:ascii="Arial" w:eastAsia="Arial" w:hAnsi="Arial" w:cs="Arial"/>
      <w:lang w:eastAsia="en-GB"/>
    </w:rPr>
  </w:style>
  <w:style w:type="paragraph" w:styleId="Footer">
    <w:name w:val="footer"/>
    <w:basedOn w:val="Normal"/>
    <w:link w:val="FooterChar"/>
    <w:uiPriority w:val="99"/>
    <w:unhideWhenUsed/>
    <w:rsid w:val="006B1592"/>
    <w:pPr>
      <w:tabs>
        <w:tab w:val="center" w:pos="4513"/>
        <w:tab w:val="right" w:pos="9026"/>
      </w:tabs>
      <w:spacing w:line="240" w:lineRule="auto"/>
    </w:pPr>
  </w:style>
  <w:style w:type="character" w:customStyle="1" w:styleId="FooterChar">
    <w:name w:val="Footer Char"/>
    <w:basedOn w:val="DefaultParagraphFont"/>
    <w:link w:val="Footer"/>
    <w:uiPriority w:val="99"/>
    <w:rsid w:val="006B1592"/>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tero.org/google-docs/?RjdtHv" TargetMode="External"/><Relationship Id="rId18" Type="http://schemas.openxmlformats.org/officeDocument/2006/relationships/hyperlink" Target="https://www.zotero.org/google-docs/?RjdtHv" TargetMode="External"/><Relationship Id="rId26" Type="http://schemas.openxmlformats.org/officeDocument/2006/relationships/hyperlink" Target="https://www.zotero.org/google-docs/?RjdtHv" TargetMode="External"/><Relationship Id="rId39" Type="http://schemas.openxmlformats.org/officeDocument/2006/relationships/fontTable" Target="fontTable.xml"/><Relationship Id="rId21" Type="http://schemas.openxmlformats.org/officeDocument/2006/relationships/hyperlink" Target="https://www.zotero.org/google-docs/?RjdtHv" TargetMode="External"/><Relationship Id="rId34" Type="http://schemas.openxmlformats.org/officeDocument/2006/relationships/hyperlink" Target="https://www.zotero.org/google-docs/?RjdtHv" TargetMode="External"/><Relationship Id="rId7" Type="http://schemas.openxmlformats.org/officeDocument/2006/relationships/hyperlink" Target="mailto:m.iacucci@bham.ac.uk" TargetMode="External"/><Relationship Id="rId2" Type="http://schemas.openxmlformats.org/officeDocument/2006/relationships/styles" Target="styles.xml"/><Relationship Id="rId16" Type="http://schemas.openxmlformats.org/officeDocument/2006/relationships/hyperlink" Target="https://www.zotero.org/google-docs/?RjdtHv" TargetMode="External"/><Relationship Id="rId20" Type="http://schemas.openxmlformats.org/officeDocument/2006/relationships/hyperlink" Target="https://www.zotero.org/google-docs/?RjdtHv" TargetMode="External"/><Relationship Id="rId29" Type="http://schemas.openxmlformats.org/officeDocument/2006/relationships/hyperlink" Target="https://www.zotero.org/google-docs/?RjdtH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zotero.org/google-docs/?RjdtHv" TargetMode="External"/><Relationship Id="rId32" Type="http://schemas.openxmlformats.org/officeDocument/2006/relationships/hyperlink" Target="https://www.zotero.org/google-docs/?RjdtHv" TargetMode="External"/><Relationship Id="rId37" Type="http://schemas.openxmlformats.org/officeDocument/2006/relationships/hyperlink" Target="https://www.zotero.org/google-docs/?RjdtHv"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zotero.org/google-docs/?RjdtHv" TargetMode="External"/><Relationship Id="rId23" Type="http://schemas.openxmlformats.org/officeDocument/2006/relationships/hyperlink" Target="https://www.zotero.org/google-docs/?RjdtHv" TargetMode="External"/><Relationship Id="rId28" Type="http://schemas.openxmlformats.org/officeDocument/2006/relationships/hyperlink" Target="https://www.zotero.org/google-docs/?RjdtHv" TargetMode="External"/><Relationship Id="rId36" Type="http://schemas.openxmlformats.org/officeDocument/2006/relationships/hyperlink" Target="https://www.zotero.org/google-docs/?RjdtHv" TargetMode="External"/><Relationship Id="rId10" Type="http://schemas.microsoft.com/office/2011/relationships/commentsExtended" Target="commentsExtended.xml"/><Relationship Id="rId19" Type="http://schemas.openxmlformats.org/officeDocument/2006/relationships/hyperlink" Target="https://www.zotero.org/google-docs/?RjdtHv" TargetMode="External"/><Relationship Id="rId31" Type="http://schemas.openxmlformats.org/officeDocument/2006/relationships/hyperlink" Target="https://www.zotero.org/google-docs/?RjdtHv"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zotero.org/google-docs/?RjdtHv" TargetMode="External"/><Relationship Id="rId22" Type="http://schemas.openxmlformats.org/officeDocument/2006/relationships/hyperlink" Target="https://www.zotero.org/google-docs/?RjdtHv" TargetMode="External"/><Relationship Id="rId27" Type="http://schemas.openxmlformats.org/officeDocument/2006/relationships/hyperlink" Target="https://www.zotero.org/google-docs/?RjdtHv" TargetMode="External"/><Relationship Id="rId30" Type="http://schemas.openxmlformats.org/officeDocument/2006/relationships/hyperlink" Target="https://www.zotero.org/google-docs/?RjdtHv" TargetMode="External"/><Relationship Id="rId35" Type="http://schemas.openxmlformats.org/officeDocument/2006/relationships/hyperlink" Target="https://www.zotero.org/google-docs/?RjdtHv" TargetMode="External"/><Relationship Id="rId8" Type="http://schemas.openxmlformats.org/officeDocument/2006/relationships/hyperlink" Target="https://www.zotero.org/google-docs/?Bd2Xhg"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www.zotero.org/google-docs/?RjdtHv" TargetMode="External"/><Relationship Id="rId25" Type="http://schemas.openxmlformats.org/officeDocument/2006/relationships/hyperlink" Target="https://www.zotero.org/google-docs/?RjdtHv" TargetMode="External"/><Relationship Id="rId33" Type="http://schemas.openxmlformats.org/officeDocument/2006/relationships/hyperlink" Target="https://www.zotero.org/google-docs/?RjdtH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7298</Words>
  <Characters>41604</Characters>
  <Application>Microsoft Office Word</Application>
  <DocSecurity>0</DocSecurity>
  <Lines>346</Lines>
  <Paragraphs>97</Paragraphs>
  <ScaleCrop>false</ScaleCrop>
  <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Enrico</cp:lastModifiedBy>
  <cp:revision>1</cp:revision>
  <dcterms:created xsi:type="dcterms:W3CDTF">2022-11-24T13:04:00Z</dcterms:created>
  <dcterms:modified xsi:type="dcterms:W3CDTF">2022-11-24T13:06:00Z</dcterms:modified>
</cp:coreProperties>
</file>