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F80B" w14:textId="353010E2" w:rsidR="000B1425" w:rsidRDefault="000B1425" w:rsidP="000B1425">
      <w:pPr>
        <w:spacing w:line="480" w:lineRule="auto"/>
        <w:rPr>
          <w:rFonts w:ascii="Times New Roman" w:hAnsi="Times New Roman"/>
          <w:b/>
          <w:bCs/>
          <w:color w:val="1C1D1E"/>
          <w:szCs w:val="24"/>
          <w:lang w:eastAsia="en-GB"/>
        </w:rPr>
      </w:pPr>
      <w:bookmarkStart w:id="0" w:name="bkPaperTitl"/>
      <w:bookmarkStart w:id="1" w:name="bkAuthor"/>
      <w:bookmarkStart w:id="2" w:name="bkAuthorAffil"/>
      <w:bookmarkEnd w:id="0"/>
      <w:bookmarkEnd w:id="1"/>
      <w:bookmarkEnd w:id="2"/>
      <w:r w:rsidRPr="00850208">
        <w:rPr>
          <w:rFonts w:ascii="Times New Roman" w:hAnsi="Times New Roman"/>
          <w:b/>
          <w:bCs/>
          <w:color w:val="1C1D1E"/>
          <w:szCs w:val="24"/>
          <w:lang w:eastAsia="en-GB"/>
        </w:rPr>
        <w:t>Evaluation of a liaison and diversion Court Mental Health Service for Defendants with Neurodevelopmental Disorders</w:t>
      </w:r>
    </w:p>
    <w:p w14:paraId="2B31F5DA" w14:textId="77777777" w:rsidR="000B1425" w:rsidRPr="004C46F1" w:rsidRDefault="000B1425" w:rsidP="004C46F1">
      <w:pPr>
        <w:pStyle w:val="Heading1"/>
        <w:jc w:val="left"/>
        <w:rPr>
          <w:lang w:val="it-IT"/>
        </w:rPr>
      </w:pPr>
      <w:r w:rsidRPr="004C46F1">
        <w:rPr>
          <w:lang w:val="it-IT"/>
        </w:rPr>
        <w:t xml:space="preserve">Eddie Chaplin </w:t>
      </w:r>
      <w:r w:rsidRPr="004C46F1">
        <w:rPr>
          <w:vertAlign w:val="superscript"/>
          <w:lang w:val="it-IT"/>
        </w:rPr>
        <w:t>1</w:t>
      </w:r>
    </w:p>
    <w:p w14:paraId="6D25EE42" w14:textId="77777777" w:rsidR="00B27A00" w:rsidRPr="004C46F1" w:rsidRDefault="000B1425" w:rsidP="004C46F1">
      <w:pPr>
        <w:pStyle w:val="Heading1"/>
        <w:jc w:val="left"/>
        <w:rPr>
          <w:szCs w:val="24"/>
          <w:lang w:val="it-IT"/>
        </w:rPr>
      </w:pPr>
      <w:r w:rsidRPr="004C46F1">
        <w:rPr>
          <w:lang w:val="it-IT"/>
        </w:rPr>
        <w:t xml:space="preserve">Jane McCarthy </w:t>
      </w:r>
      <w:r w:rsidRPr="004C46F1">
        <w:rPr>
          <w:vertAlign w:val="superscript"/>
          <w:lang w:val="it-IT"/>
        </w:rPr>
        <w:t>2</w:t>
      </w:r>
      <w:r w:rsidR="00B27A00" w:rsidRPr="004C46F1">
        <w:rPr>
          <w:szCs w:val="24"/>
          <w:lang w:val="it-IT"/>
        </w:rPr>
        <w:t xml:space="preserve"> </w:t>
      </w:r>
    </w:p>
    <w:p w14:paraId="36B17B3F" w14:textId="6551BC98" w:rsidR="000B1425" w:rsidRDefault="00B27A00" w:rsidP="004C46F1">
      <w:pPr>
        <w:pStyle w:val="ListParagraph"/>
        <w:spacing w:line="360" w:lineRule="auto"/>
        <w:ind w:left="0"/>
        <w:rPr>
          <w:szCs w:val="24"/>
          <w:vertAlign w:val="superscript"/>
          <w:lang w:val="it-IT"/>
        </w:rPr>
      </w:pPr>
      <w:r w:rsidRPr="00B27A00">
        <w:rPr>
          <w:rFonts w:ascii="Times New Roman" w:hAnsi="Times New Roman" w:cs="Times New Roman"/>
          <w:sz w:val="24"/>
          <w:szCs w:val="24"/>
          <w:lang w:val="it-IT"/>
        </w:rPr>
        <w:t>Karina Marshall-Tate</w:t>
      </w:r>
      <w:r w:rsidRPr="00B27A00">
        <w:rPr>
          <w:szCs w:val="24"/>
          <w:lang w:val="it-IT"/>
        </w:rPr>
        <w:t xml:space="preserve"> </w:t>
      </w:r>
      <w:r>
        <w:rPr>
          <w:szCs w:val="24"/>
          <w:vertAlign w:val="superscript"/>
          <w:lang w:val="it-IT"/>
        </w:rPr>
        <w:t>1,</w:t>
      </w:r>
      <w:r w:rsidRPr="00B27A00">
        <w:rPr>
          <w:szCs w:val="24"/>
          <w:vertAlign w:val="superscript"/>
          <w:lang w:val="it-IT"/>
        </w:rPr>
        <w:t>3</w:t>
      </w:r>
    </w:p>
    <w:p w14:paraId="53A8887F" w14:textId="64BB1266" w:rsidR="00B27A00" w:rsidRDefault="00B27A00" w:rsidP="004C46F1">
      <w:pPr>
        <w:pStyle w:val="ListParagraph"/>
        <w:spacing w:line="360" w:lineRule="auto"/>
        <w:ind w:left="0"/>
        <w:rPr>
          <w:rFonts w:ascii="Times New Roman" w:hAnsi="Times New Roman" w:cs="Times New Roman"/>
          <w:sz w:val="24"/>
          <w:szCs w:val="24"/>
          <w:lang w:val="it-IT"/>
        </w:rPr>
      </w:pPr>
      <w:r>
        <w:rPr>
          <w:rFonts w:ascii="Times New Roman" w:hAnsi="Times New Roman" w:cs="Times New Roman"/>
          <w:sz w:val="24"/>
          <w:szCs w:val="24"/>
          <w:lang w:val="it-IT"/>
        </w:rPr>
        <w:t xml:space="preserve">Salma Ali </w:t>
      </w:r>
      <w:r w:rsidRPr="00B27A00">
        <w:rPr>
          <w:rFonts w:ascii="Times New Roman" w:hAnsi="Times New Roman" w:cs="Times New Roman"/>
          <w:sz w:val="24"/>
          <w:szCs w:val="24"/>
          <w:vertAlign w:val="superscript"/>
          <w:lang w:val="it-IT"/>
        </w:rPr>
        <w:t>4</w:t>
      </w:r>
    </w:p>
    <w:p w14:paraId="3D0A330D" w14:textId="7424CA0C" w:rsidR="00B27A00" w:rsidRPr="00B27A00" w:rsidRDefault="00B27A00" w:rsidP="004C46F1">
      <w:pPr>
        <w:pStyle w:val="ListParagraph"/>
        <w:spacing w:line="360" w:lineRule="auto"/>
        <w:ind w:left="0"/>
        <w:rPr>
          <w:rFonts w:ascii="Times New Roman" w:hAnsi="Times New Roman" w:cs="Times New Roman"/>
          <w:sz w:val="24"/>
          <w:szCs w:val="24"/>
          <w:lang w:val="it-IT"/>
        </w:rPr>
      </w:pPr>
      <w:r w:rsidRPr="00B27A00">
        <w:rPr>
          <w:rFonts w:ascii="Times New Roman" w:hAnsi="Times New Roman" w:cs="Times New Roman"/>
          <w:sz w:val="24"/>
          <w:szCs w:val="24"/>
          <w:lang w:val="it-IT"/>
        </w:rPr>
        <w:t xml:space="preserve">Dr Kiriakos Xenitidis </w:t>
      </w:r>
      <w:r>
        <w:rPr>
          <w:rFonts w:ascii="Times New Roman" w:hAnsi="Times New Roman" w:cs="Times New Roman"/>
          <w:sz w:val="24"/>
          <w:szCs w:val="24"/>
          <w:vertAlign w:val="superscript"/>
          <w:lang w:val="it-IT"/>
        </w:rPr>
        <w:t>3</w:t>
      </w:r>
    </w:p>
    <w:p w14:paraId="2453C2E6" w14:textId="69F908F4" w:rsidR="00B27A00" w:rsidRPr="00B27A00" w:rsidRDefault="00B27A00" w:rsidP="004C46F1">
      <w:pPr>
        <w:pStyle w:val="ListParagraph"/>
        <w:spacing w:line="360" w:lineRule="auto"/>
        <w:ind w:left="0"/>
        <w:rPr>
          <w:rFonts w:ascii="Times New Roman" w:hAnsi="Times New Roman" w:cs="Times New Roman"/>
          <w:sz w:val="24"/>
          <w:szCs w:val="24"/>
          <w:vertAlign w:val="superscript"/>
          <w:lang w:val="it-IT"/>
        </w:rPr>
      </w:pPr>
      <w:r w:rsidRPr="00B27A00">
        <w:rPr>
          <w:rFonts w:ascii="Times New Roman" w:hAnsi="Times New Roman" w:cs="Times New Roman"/>
          <w:sz w:val="24"/>
          <w:szCs w:val="24"/>
          <w:lang w:val="it-IT"/>
        </w:rPr>
        <w:t xml:space="preserve">Jessica Childs </w:t>
      </w:r>
      <w:r w:rsidRPr="00B27A00">
        <w:rPr>
          <w:rFonts w:ascii="Times New Roman" w:hAnsi="Times New Roman" w:cs="Times New Roman"/>
          <w:sz w:val="24"/>
          <w:szCs w:val="24"/>
          <w:vertAlign w:val="superscript"/>
          <w:lang w:val="it-IT"/>
        </w:rPr>
        <w:t>1</w:t>
      </w:r>
    </w:p>
    <w:p w14:paraId="0E32986E" w14:textId="5F1D66B7" w:rsidR="00B27A00" w:rsidRPr="00B27A00" w:rsidRDefault="00B27A00" w:rsidP="004C46F1">
      <w:pPr>
        <w:pStyle w:val="ListParagraph"/>
        <w:spacing w:line="360" w:lineRule="auto"/>
        <w:ind w:left="0"/>
        <w:rPr>
          <w:rFonts w:ascii="Times New Roman" w:hAnsi="Times New Roman" w:cs="Times New Roman"/>
          <w:sz w:val="24"/>
          <w:szCs w:val="24"/>
          <w:vertAlign w:val="superscript"/>
          <w:lang w:val="it-IT"/>
        </w:rPr>
      </w:pPr>
      <w:r w:rsidRPr="00B27A00">
        <w:rPr>
          <w:rFonts w:ascii="Times New Roman" w:hAnsi="Times New Roman" w:cs="Times New Roman"/>
          <w:sz w:val="24"/>
          <w:szCs w:val="24"/>
          <w:lang w:val="it-IT"/>
        </w:rPr>
        <w:t xml:space="preserve">Denise Harvey </w:t>
      </w:r>
      <w:r w:rsidRPr="00B27A00">
        <w:rPr>
          <w:rFonts w:ascii="Times New Roman" w:hAnsi="Times New Roman" w:cs="Times New Roman"/>
          <w:sz w:val="24"/>
          <w:szCs w:val="24"/>
          <w:vertAlign w:val="superscript"/>
          <w:lang w:val="it-IT"/>
        </w:rPr>
        <w:t>1</w:t>
      </w:r>
    </w:p>
    <w:p w14:paraId="7AA4EA30" w14:textId="2FA45518" w:rsidR="00B27A00" w:rsidRPr="004C46F1" w:rsidRDefault="00B27A00" w:rsidP="004C46F1">
      <w:pPr>
        <w:pStyle w:val="ListParagraph"/>
        <w:spacing w:line="360" w:lineRule="auto"/>
        <w:ind w:left="0"/>
        <w:rPr>
          <w:rFonts w:ascii="Times New Roman" w:hAnsi="Times New Roman" w:cs="Times New Roman"/>
          <w:sz w:val="24"/>
          <w:szCs w:val="24"/>
          <w:vertAlign w:val="superscript"/>
          <w:lang w:val="it-IT"/>
        </w:rPr>
      </w:pPr>
      <w:r w:rsidRPr="004C46F1">
        <w:rPr>
          <w:rFonts w:ascii="Times New Roman" w:hAnsi="Times New Roman" w:cs="Times New Roman"/>
          <w:sz w:val="24"/>
          <w:szCs w:val="24"/>
          <w:lang w:val="it-IT"/>
        </w:rPr>
        <w:t xml:space="preserve">Dr Ian McKinnon </w:t>
      </w:r>
      <w:r w:rsidRPr="004C46F1">
        <w:rPr>
          <w:rFonts w:ascii="Times New Roman" w:hAnsi="Times New Roman" w:cs="Times New Roman"/>
          <w:sz w:val="24"/>
          <w:szCs w:val="24"/>
          <w:vertAlign w:val="superscript"/>
          <w:lang w:val="it-IT"/>
        </w:rPr>
        <w:t>4</w:t>
      </w:r>
    </w:p>
    <w:p w14:paraId="00BCF0A8" w14:textId="074B0110" w:rsidR="00B27A00" w:rsidRPr="004C46F1" w:rsidRDefault="00B27A00" w:rsidP="004C46F1">
      <w:pPr>
        <w:pStyle w:val="ListParagraph"/>
        <w:spacing w:line="360" w:lineRule="auto"/>
        <w:ind w:left="0"/>
        <w:rPr>
          <w:rFonts w:ascii="Times New Roman" w:hAnsi="Times New Roman" w:cs="Times New Roman"/>
          <w:sz w:val="24"/>
          <w:szCs w:val="24"/>
          <w:vertAlign w:val="superscript"/>
        </w:rPr>
      </w:pPr>
      <w:r w:rsidRPr="004C46F1">
        <w:rPr>
          <w:rFonts w:ascii="Times New Roman" w:hAnsi="Times New Roman" w:cs="Times New Roman"/>
          <w:sz w:val="24"/>
          <w:szCs w:val="24"/>
        </w:rPr>
        <w:t xml:space="preserve">Louise Robinson </w:t>
      </w:r>
      <w:r w:rsidRPr="004C46F1">
        <w:rPr>
          <w:rFonts w:ascii="Times New Roman" w:hAnsi="Times New Roman" w:cs="Times New Roman"/>
          <w:sz w:val="24"/>
          <w:szCs w:val="24"/>
          <w:vertAlign w:val="superscript"/>
        </w:rPr>
        <w:t>5</w:t>
      </w:r>
    </w:p>
    <w:p w14:paraId="19FB0179" w14:textId="080A0E1E" w:rsidR="00B27A00" w:rsidRPr="00B27A00" w:rsidRDefault="00B27A00" w:rsidP="004C46F1">
      <w:pPr>
        <w:pStyle w:val="ListParagraph"/>
        <w:spacing w:line="360" w:lineRule="auto"/>
        <w:ind w:left="0"/>
        <w:rPr>
          <w:rFonts w:ascii="Times New Roman" w:hAnsi="Times New Roman" w:cs="Times New Roman"/>
          <w:sz w:val="24"/>
          <w:szCs w:val="24"/>
          <w:vertAlign w:val="superscript"/>
        </w:rPr>
      </w:pPr>
      <w:r w:rsidRPr="00B27A00">
        <w:rPr>
          <w:rFonts w:ascii="Times New Roman" w:hAnsi="Times New Roman" w:cs="Times New Roman"/>
          <w:sz w:val="24"/>
          <w:szCs w:val="24"/>
        </w:rPr>
        <w:t xml:space="preserve">Sally Hardy </w:t>
      </w:r>
      <w:r w:rsidRPr="00B27A00">
        <w:rPr>
          <w:rFonts w:ascii="Times New Roman" w:hAnsi="Times New Roman" w:cs="Times New Roman"/>
          <w:sz w:val="24"/>
          <w:szCs w:val="24"/>
          <w:vertAlign w:val="superscript"/>
        </w:rPr>
        <w:t>6</w:t>
      </w:r>
    </w:p>
    <w:p w14:paraId="1604939F" w14:textId="2A32915F" w:rsidR="00B27A00" w:rsidRPr="00B27A00" w:rsidRDefault="00B27A00" w:rsidP="004C46F1">
      <w:pPr>
        <w:pStyle w:val="ListParagraph"/>
        <w:spacing w:line="360" w:lineRule="auto"/>
        <w:ind w:left="0"/>
        <w:rPr>
          <w:rFonts w:ascii="Times New Roman" w:hAnsi="Times New Roman" w:cs="Times New Roman"/>
          <w:sz w:val="24"/>
          <w:szCs w:val="24"/>
          <w:vertAlign w:val="superscript"/>
        </w:rPr>
      </w:pPr>
      <w:r w:rsidRPr="00B27A00">
        <w:rPr>
          <w:rFonts w:ascii="Times New Roman" w:hAnsi="Times New Roman" w:cs="Times New Roman"/>
          <w:sz w:val="24"/>
          <w:szCs w:val="24"/>
        </w:rPr>
        <w:t xml:space="preserve">Dr Samir </w:t>
      </w:r>
      <w:proofErr w:type="spellStart"/>
      <w:r w:rsidRPr="00B27A00">
        <w:rPr>
          <w:rFonts w:ascii="Times New Roman" w:hAnsi="Times New Roman" w:cs="Times New Roman"/>
          <w:sz w:val="24"/>
          <w:szCs w:val="24"/>
        </w:rPr>
        <w:t>Srivastra</w:t>
      </w:r>
      <w:proofErr w:type="spellEnd"/>
      <w:r>
        <w:rPr>
          <w:rFonts w:ascii="Times New Roman" w:hAnsi="Times New Roman" w:cs="Times New Roman"/>
          <w:sz w:val="24"/>
          <w:szCs w:val="24"/>
        </w:rPr>
        <w:t xml:space="preserve"> </w:t>
      </w:r>
      <w:r>
        <w:rPr>
          <w:rFonts w:ascii="Times New Roman" w:hAnsi="Times New Roman" w:cs="Times New Roman"/>
          <w:sz w:val="24"/>
          <w:szCs w:val="24"/>
          <w:vertAlign w:val="superscript"/>
        </w:rPr>
        <w:t>3</w:t>
      </w:r>
    </w:p>
    <w:p w14:paraId="7A98193D" w14:textId="1AD734D5" w:rsidR="00B27A00" w:rsidRPr="00B27A00" w:rsidRDefault="00B27A00" w:rsidP="004C46F1">
      <w:pPr>
        <w:pStyle w:val="ListParagraph"/>
        <w:spacing w:line="360" w:lineRule="auto"/>
        <w:ind w:left="0"/>
        <w:rPr>
          <w:rFonts w:ascii="Times New Roman" w:hAnsi="Times New Roman" w:cs="Times New Roman"/>
          <w:sz w:val="24"/>
          <w:szCs w:val="24"/>
          <w:vertAlign w:val="superscript"/>
        </w:rPr>
      </w:pPr>
      <w:r w:rsidRPr="00B27A00">
        <w:rPr>
          <w:rFonts w:ascii="Times New Roman" w:hAnsi="Times New Roman" w:cs="Times New Roman"/>
          <w:sz w:val="24"/>
          <w:szCs w:val="24"/>
        </w:rPr>
        <w:t>Dr Clare S Allely</w:t>
      </w:r>
      <w:r>
        <w:rPr>
          <w:rFonts w:ascii="Times New Roman" w:hAnsi="Times New Roman" w:cs="Times New Roman"/>
          <w:sz w:val="24"/>
          <w:szCs w:val="24"/>
        </w:rPr>
        <w:t xml:space="preserve"> </w:t>
      </w:r>
      <w:r>
        <w:rPr>
          <w:rFonts w:ascii="Times New Roman" w:hAnsi="Times New Roman" w:cs="Times New Roman"/>
          <w:sz w:val="24"/>
          <w:szCs w:val="24"/>
          <w:vertAlign w:val="superscript"/>
        </w:rPr>
        <w:t>7</w:t>
      </w:r>
    </w:p>
    <w:p w14:paraId="7229CB49" w14:textId="7D40C7BD" w:rsidR="00B27A00" w:rsidRDefault="00B27A00" w:rsidP="004C46F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Prof Barry Tolchard</w:t>
      </w:r>
    </w:p>
    <w:p w14:paraId="4386F535" w14:textId="5C9441D0" w:rsidR="00B27A00" w:rsidRPr="00B27A00" w:rsidRDefault="00B27A00" w:rsidP="004C46F1">
      <w:pPr>
        <w:pStyle w:val="ListParagraph"/>
        <w:spacing w:line="360" w:lineRule="auto"/>
        <w:ind w:left="0"/>
        <w:rPr>
          <w:rFonts w:ascii="Times New Roman" w:hAnsi="Times New Roman" w:cs="Times New Roman"/>
          <w:sz w:val="24"/>
          <w:szCs w:val="24"/>
          <w:vertAlign w:val="superscript"/>
        </w:rPr>
      </w:pPr>
      <w:r>
        <w:rPr>
          <w:rFonts w:ascii="Times New Roman" w:hAnsi="Times New Roman" w:cs="Times New Roman"/>
          <w:sz w:val="24"/>
          <w:szCs w:val="24"/>
        </w:rPr>
        <w:t xml:space="preserve">Prof Andrew Forrester </w:t>
      </w:r>
      <w:r>
        <w:rPr>
          <w:rFonts w:ascii="Times New Roman" w:hAnsi="Times New Roman" w:cs="Times New Roman"/>
          <w:sz w:val="24"/>
          <w:szCs w:val="24"/>
          <w:vertAlign w:val="superscript"/>
        </w:rPr>
        <w:t>8</w:t>
      </w:r>
    </w:p>
    <w:p w14:paraId="4C58BF98" w14:textId="77777777" w:rsidR="00B27A00" w:rsidRPr="00B27A00" w:rsidRDefault="00B27A00" w:rsidP="004C46F1">
      <w:pPr>
        <w:pStyle w:val="BodyText"/>
      </w:pPr>
    </w:p>
    <w:p w14:paraId="1C4D6B48" w14:textId="2B0306AA" w:rsidR="00B27A00" w:rsidRDefault="00B27A00" w:rsidP="004C46F1">
      <w:pPr>
        <w:pStyle w:val="Heading1"/>
        <w:jc w:val="left"/>
        <w:rPr>
          <w:lang w:val="en-NZ"/>
        </w:rPr>
      </w:pPr>
      <w:r w:rsidRPr="000B1425">
        <w:rPr>
          <w:vertAlign w:val="superscript"/>
          <w:lang w:val="en-NZ"/>
        </w:rPr>
        <w:t xml:space="preserve">1 </w:t>
      </w:r>
      <w:r w:rsidRPr="000B1425">
        <w:rPr>
          <w:lang w:val="en-NZ"/>
        </w:rPr>
        <w:t xml:space="preserve">London South Bank University Institute of Health and Social Care, United Kingdom </w:t>
      </w:r>
    </w:p>
    <w:p w14:paraId="61197A27" w14:textId="502155EA" w:rsidR="00B27A00" w:rsidRDefault="00B27A00" w:rsidP="004C46F1">
      <w:pPr>
        <w:pStyle w:val="Heading1"/>
        <w:jc w:val="left"/>
        <w:rPr>
          <w:lang w:val="en-NZ"/>
        </w:rPr>
      </w:pPr>
      <w:r w:rsidRPr="000B1425">
        <w:rPr>
          <w:vertAlign w:val="superscript"/>
          <w:lang w:val="en-NZ"/>
        </w:rPr>
        <w:t xml:space="preserve">2 </w:t>
      </w:r>
      <w:r w:rsidRPr="000B1425">
        <w:rPr>
          <w:lang w:val="en-NZ"/>
        </w:rPr>
        <w:t>Faculty of Medical and Health Sciences, University of Auckland, Auckland, New Zealand.</w:t>
      </w:r>
    </w:p>
    <w:p w14:paraId="29E9E061" w14:textId="113EA315" w:rsidR="00B27A00" w:rsidRDefault="004C46F1" w:rsidP="004C46F1">
      <w:pPr>
        <w:pStyle w:val="BodyText"/>
        <w:ind w:firstLine="0"/>
        <w:rPr>
          <w:lang w:val="en-NZ"/>
        </w:rPr>
      </w:pPr>
      <w:r>
        <w:rPr>
          <w:vertAlign w:val="superscript"/>
          <w:lang w:val="en-NZ"/>
        </w:rPr>
        <w:t xml:space="preserve">3 </w:t>
      </w:r>
      <w:r w:rsidRPr="004C46F1">
        <w:rPr>
          <w:lang w:val="en-NZ"/>
        </w:rPr>
        <w:t>South London and Maudsley NHS Foundation Trust</w:t>
      </w:r>
      <w:r>
        <w:rPr>
          <w:lang w:val="en-NZ"/>
        </w:rPr>
        <w:t xml:space="preserve">, </w:t>
      </w:r>
      <w:r w:rsidRPr="000B1425">
        <w:rPr>
          <w:lang w:val="en-NZ"/>
        </w:rPr>
        <w:t xml:space="preserve">United Kingdom </w:t>
      </w:r>
    </w:p>
    <w:p w14:paraId="2551CD16" w14:textId="68334082" w:rsidR="004C46F1" w:rsidRDefault="004C46F1" w:rsidP="004C46F1">
      <w:pPr>
        <w:pStyle w:val="BodyText"/>
        <w:ind w:firstLine="0"/>
        <w:rPr>
          <w:szCs w:val="24"/>
        </w:rPr>
      </w:pPr>
      <w:r>
        <w:rPr>
          <w:szCs w:val="24"/>
          <w:vertAlign w:val="superscript"/>
        </w:rPr>
        <w:t xml:space="preserve">4 </w:t>
      </w:r>
      <w:r w:rsidRPr="00B27A00">
        <w:rPr>
          <w:szCs w:val="24"/>
        </w:rPr>
        <w:t>University of Newcastle</w:t>
      </w:r>
      <w:r>
        <w:rPr>
          <w:szCs w:val="24"/>
        </w:rPr>
        <w:t xml:space="preserve">, </w:t>
      </w:r>
      <w:r w:rsidRPr="000B1425">
        <w:rPr>
          <w:lang w:val="en-NZ"/>
        </w:rPr>
        <w:t xml:space="preserve">United Kingdom </w:t>
      </w:r>
    </w:p>
    <w:p w14:paraId="43986BEA" w14:textId="5DB76661" w:rsidR="004C46F1" w:rsidRDefault="004C46F1" w:rsidP="004C46F1">
      <w:pPr>
        <w:pStyle w:val="BodyText"/>
        <w:ind w:firstLine="0"/>
        <w:rPr>
          <w:szCs w:val="24"/>
        </w:rPr>
      </w:pPr>
      <w:r>
        <w:rPr>
          <w:szCs w:val="24"/>
          <w:vertAlign w:val="superscript"/>
        </w:rPr>
        <w:t xml:space="preserve">5 </w:t>
      </w:r>
      <w:r>
        <w:rPr>
          <w:szCs w:val="24"/>
        </w:rPr>
        <w:t xml:space="preserve">University of Manchester, </w:t>
      </w:r>
      <w:r w:rsidRPr="000B1425">
        <w:rPr>
          <w:lang w:val="en-NZ"/>
        </w:rPr>
        <w:t xml:space="preserve">United Kingdom </w:t>
      </w:r>
    </w:p>
    <w:p w14:paraId="21D80A39" w14:textId="5FDF7F76" w:rsidR="004C46F1" w:rsidRDefault="004C46F1" w:rsidP="004C46F1">
      <w:pPr>
        <w:pStyle w:val="BodyText"/>
        <w:ind w:firstLine="0"/>
        <w:rPr>
          <w:szCs w:val="24"/>
        </w:rPr>
      </w:pPr>
      <w:r>
        <w:rPr>
          <w:szCs w:val="24"/>
          <w:vertAlign w:val="superscript"/>
        </w:rPr>
        <w:t xml:space="preserve">6 </w:t>
      </w:r>
      <w:r>
        <w:rPr>
          <w:szCs w:val="24"/>
        </w:rPr>
        <w:t xml:space="preserve">University of East Anglia, </w:t>
      </w:r>
      <w:r w:rsidRPr="004C46F1">
        <w:rPr>
          <w:szCs w:val="24"/>
        </w:rPr>
        <w:t xml:space="preserve">United Kingdom </w:t>
      </w:r>
    </w:p>
    <w:p w14:paraId="29701192" w14:textId="1C29C51C" w:rsidR="00B27A00" w:rsidRDefault="004C46F1" w:rsidP="004C46F1">
      <w:pPr>
        <w:pStyle w:val="Heading1"/>
        <w:jc w:val="left"/>
        <w:rPr>
          <w:lang w:val="en-NZ"/>
        </w:rPr>
      </w:pPr>
      <w:r>
        <w:rPr>
          <w:vertAlign w:val="superscript"/>
          <w:lang w:val="en-NZ"/>
        </w:rPr>
        <w:t>7</w:t>
      </w:r>
      <w:r w:rsidR="00B27A00" w:rsidRPr="000B1425">
        <w:rPr>
          <w:lang w:val="en-NZ"/>
        </w:rPr>
        <w:t xml:space="preserve"> University of Salford in Manchester, , United Kingdom </w:t>
      </w:r>
    </w:p>
    <w:p w14:paraId="05532E7E" w14:textId="097B8497" w:rsidR="004C46F1" w:rsidRPr="000B1425" w:rsidRDefault="004C46F1" w:rsidP="004C46F1">
      <w:pPr>
        <w:pStyle w:val="BodyText"/>
        <w:ind w:firstLine="0"/>
        <w:rPr>
          <w:lang w:val="en-NZ"/>
        </w:rPr>
      </w:pPr>
      <w:r>
        <w:rPr>
          <w:vertAlign w:val="superscript"/>
          <w:lang w:val="en-NZ"/>
        </w:rPr>
        <w:t xml:space="preserve">8 </w:t>
      </w:r>
      <w:r>
        <w:rPr>
          <w:lang w:val="en-NZ"/>
        </w:rPr>
        <w:t xml:space="preserve">University of Huddersfield, </w:t>
      </w:r>
      <w:r w:rsidRPr="004C46F1">
        <w:rPr>
          <w:lang w:val="en-NZ"/>
        </w:rPr>
        <w:t xml:space="preserve">United Kingdom </w:t>
      </w:r>
    </w:p>
    <w:p w14:paraId="4B5EDAFD" w14:textId="522B74F8" w:rsidR="00B27A00" w:rsidRPr="000B1425" w:rsidRDefault="004C46F1" w:rsidP="004C46F1">
      <w:pPr>
        <w:pStyle w:val="Heading1"/>
        <w:jc w:val="left"/>
        <w:rPr>
          <w:b/>
          <w:lang w:val="en-NZ"/>
        </w:rPr>
      </w:pPr>
      <w:r>
        <w:rPr>
          <w:vertAlign w:val="superscript"/>
          <w:lang w:val="en-NZ"/>
        </w:rPr>
        <w:t>9</w:t>
      </w:r>
      <w:r w:rsidR="00B27A00" w:rsidRPr="000B1425">
        <w:rPr>
          <w:vertAlign w:val="superscript"/>
          <w:lang w:val="en-NZ"/>
        </w:rPr>
        <w:t xml:space="preserve"> </w:t>
      </w:r>
      <w:r w:rsidR="00B27A00" w:rsidRPr="000B1425">
        <w:rPr>
          <w:lang w:val="en-NZ"/>
        </w:rPr>
        <w:t xml:space="preserve">Cardiff University, United Kingdom </w:t>
      </w:r>
    </w:p>
    <w:p w14:paraId="5D1A8CA4" w14:textId="77777777" w:rsidR="00B27A00" w:rsidRDefault="00B27A00" w:rsidP="004C46F1">
      <w:pPr>
        <w:pStyle w:val="ListParagraph"/>
        <w:spacing w:line="360" w:lineRule="auto"/>
        <w:ind w:left="0"/>
        <w:jc w:val="center"/>
        <w:rPr>
          <w:rFonts w:ascii="Times New Roman" w:hAnsi="Times New Roman" w:cs="Times New Roman"/>
          <w:sz w:val="24"/>
          <w:szCs w:val="24"/>
        </w:rPr>
      </w:pPr>
    </w:p>
    <w:p w14:paraId="4A73C4FE" w14:textId="28E3D85F" w:rsidR="004C46F1" w:rsidRPr="00D43917" w:rsidRDefault="004C46F1" w:rsidP="00D43917">
      <w:pPr>
        <w:pStyle w:val="Heading1"/>
        <w:jc w:val="left"/>
        <w:rPr>
          <w:b/>
          <w:bCs/>
        </w:rPr>
      </w:pPr>
      <w:r w:rsidRPr="00D43917">
        <w:rPr>
          <w:b/>
          <w:bCs/>
        </w:rPr>
        <w:t>Highlights</w:t>
      </w:r>
    </w:p>
    <w:p w14:paraId="47F0844F" w14:textId="77777777" w:rsidR="004C46F1" w:rsidRPr="004C46F1" w:rsidRDefault="004C46F1" w:rsidP="004C46F1">
      <w:pPr>
        <w:pStyle w:val="BodyText"/>
        <w:rPr>
          <w:rStyle w:val="Strong"/>
        </w:rPr>
      </w:pPr>
    </w:p>
    <w:p w14:paraId="35749E3B" w14:textId="77777777" w:rsidR="004C46F1" w:rsidRDefault="004C46F1" w:rsidP="004C46F1">
      <w:pPr>
        <w:pStyle w:val="Heading1"/>
      </w:pPr>
    </w:p>
    <w:p w14:paraId="1DC8065A" w14:textId="77777777" w:rsidR="004C46F1" w:rsidRDefault="004C46F1" w:rsidP="004C46F1">
      <w:pPr>
        <w:pStyle w:val="Heading1"/>
      </w:pPr>
    </w:p>
    <w:p w14:paraId="52A1CE8A" w14:textId="55E71972" w:rsidR="00B454B7" w:rsidRPr="00D43917" w:rsidRDefault="00B454B7" w:rsidP="00D43917">
      <w:pPr>
        <w:pStyle w:val="Heading1"/>
        <w:jc w:val="left"/>
        <w:rPr>
          <w:b/>
          <w:bCs/>
        </w:rPr>
      </w:pPr>
      <w:r w:rsidRPr="00D43917">
        <w:rPr>
          <w:b/>
          <w:bCs/>
        </w:rPr>
        <w:t>Abstract</w:t>
      </w:r>
    </w:p>
    <w:p w14:paraId="4E41B8B5" w14:textId="77777777" w:rsidR="000B1425" w:rsidRDefault="000B1425" w:rsidP="004C46F1">
      <w:pPr>
        <w:pStyle w:val="Heading2"/>
        <w:rPr>
          <w:lang w:eastAsia="en-GB"/>
        </w:rPr>
      </w:pPr>
      <w:bookmarkStart w:id="3" w:name="bkAbstract"/>
      <w:bookmarkEnd w:id="3"/>
      <w:r w:rsidRPr="00101127">
        <w:rPr>
          <w:lang w:eastAsia="en-GB"/>
        </w:rPr>
        <w:t>Aim</w:t>
      </w:r>
    </w:p>
    <w:p w14:paraId="4A57D603" w14:textId="77777777" w:rsidR="000B1425" w:rsidRPr="00DD63BE" w:rsidRDefault="000B1425" w:rsidP="000B1425">
      <w:pPr>
        <w:shd w:val="clear" w:color="auto" w:fill="FFFFFF"/>
        <w:spacing w:before="100" w:beforeAutospacing="1" w:after="100" w:afterAutospacing="1" w:line="480" w:lineRule="auto"/>
        <w:rPr>
          <w:rFonts w:ascii="Times New Roman" w:hAnsi="Times New Roman"/>
          <w:b/>
          <w:bCs/>
          <w:color w:val="1C1D1E"/>
          <w:szCs w:val="24"/>
          <w:lang w:eastAsia="en-GB"/>
        </w:rPr>
      </w:pPr>
      <w:r>
        <w:rPr>
          <w:rFonts w:ascii="Times New Roman" w:hAnsi="Times New Roman"/>
          <w:szCs w:val="24"/>
        </w:rPr>
        <w:t xml:space="preserve">Neurodevelopmental disorders (ND)  may present </w:t>
      </w:r>
      <w:r w:rsidRPr="005768B1">
        <w:rPr>
          <w:rFonts w:ascii="Times New Roman" w:hAnsi="Times New Roman"/>
          <w:szCs w:val="24"/>
        </w:rPr>
        <w:t xml:space="preserve">as neuropsychiatric problems </w:t>
      </w:r>
      <w:r>
        <w:rPr>
          <w:rFonts w:ascii="Times New Roman" w:hAnsi="Times New Roman"/>
          <w:szCs w:val="24"/>
        </w:rPr>
        <w:t>as well as</w:t>
      </w:r>
      <w:r w:rsidRPr="005768B1">
        <w:rPr>
          <w:rFonts w:ascii="Times New Roman" w:hAnsi="Times New Roman"/>
          <w:szCs w:val="24"/>
        </w:rPr>
        <w:t xml:space="preserve"> impair</w:t>
      </w:r>
      <w:r>
        <w:rPr>
          <w:rFonts w:ascii="Times New Roman" w:hAnsi="Times New Roman"/>
          <w:szCs w:val="24"/>
        </w:rPr>
        <w:t>ments of</w:t>
      </w:r>
      <w:r w:rsidRPr="005768B1">
        <w:rPr>
          <w:rFonts w:ascii="Times New Roman" w:hAnsi="Times New Roman"/>
          <w:szCs w:val="24"/>
        </w:rPr>
        <w:t xml:space="preserve"> motor</w:t>
      </w:r>
      <w:r>
        <w:rPr>
          <w:rFonts w:ascii="Times New Roman" w:hAnsi="Times New Roman"/>
          <w:szCs w:val="24"/>
        </w:rPr>
        <w:t>,</w:t>
      </w:r>
      <w:r w:rsidRPr="005768B1">
        <w:rPr>
          <w:rFonts w:ascii="Times New Roman" w:hAnsi="Times New Roman"/>
          <w:szCs w:val="24"/>
        </w:rPr>
        <w:t xml:space="preserve"> </w:t>
      </w:r>
      <w:r>
        <w:rPr>
          <w:rFonts w:ascii="Times New Roman" w:hAnsi="Times New Roman"/>
          <w:szCs w:val="24"/>
        </w:rPr>
        <w:t>cognitive, social and communication f</w:t>
      </w:r>
      <w:r w:rsidRPr="005768B1">
        <w:rPr>
          <w:rFonts w:ascii="Times New Roman" w:hAnsi="Times New Roman"/>
          <w:szCs w:val="24"/>
        </w:rPr>
        <w:t>unction</w:t>
      </w:r>
      <w:r>
        <w:rPr>
          <w:rFonts w:ascii="Times New Roman" w:hAnsi="Times New Roman"/>
          <w:szCs w:val="24"/>
        </w:rPr>
        <w:t xml:space="preserve">ing. </w:t>
      </w:r>
      <w:r>
        <w:rPr>
          <w:rFonts w:ascii="Times New Roman" w:hAnsi="Times New Roman"/>
          <w:color w:val="1C1D1E"/>
          <w:szCs w:val="24"/>
          <w:lang w:eastAsia="en-GB"/>
        </w:rPr>
        <w:t>This study describes</w:t>
      </w:r>
      <w:r w:rsidRPr="0002465A">
        <w:rPr>
          <w:rFonts w:ascii="Times New Roman" w:hAnsi="Times New Roman"/>
          <w:color w:val="1C1D1E"/>
          <w:szCs w:val="24"/>
          <w:lang w:eastAsia="en-GB"/>
        </w:rPr>
        <w:t xml:space="preserve"> </w:t>
      </w:r>
      <w:r>
        <w:rPr>
          <w:rFonts w:ascii="Times New Roman" w:hAnsi="Times New Roman"/>
          <w:color w:val="1C1D1E"/>
          <w:szCs w:val="24"/>
          <w:lang w:eastAsia="en-GB"/>
        </w:rPr>
        <w:t xml:space="preserve">the introduction of </w:t>
      </w:r>
      <w:r w:rsidRPr="0002465A">
        <w:rPr>
          <w:rFonts w:ascii="Times New Roman" w:hAnsi="Times New Roman"/>
          <w:color w:val="1C1D1E"/>
          <w:szCs w:val="24"/>
          <w:lang w:eastAsia="en-GB"/>
        </w:rPr>
        <w:t xml:space="preserve">a specialist </w:t>
      </w:r>
      <w:r>
        <w:rPr>
          <w:rFonts w:ascii="Times New Roman" w:hAnsi="Times New Roman"/>
          <w:color w:val="1C1D1E"/>
          <w:szCs w:val="24"/>
          <w:lang w:eastAsia="en-GB"/>
        </w:rPr>
        <w:t>service</w:t>
      </w:r>
      <w:r w:rsidRPr="0002465A">
        <w:rPr>
          <w:rFonts w:ascii="Times New Roman" w:hAnsi="Times New Roman"/>
          <w:color w:val="1C1D1E"/>
          <w:szCs w:val="24"/>
          <w:lang w:eastAsia="en-GB"/>
        </w:rPr>
        <w:t xml:space="preserve"> </w:t>
      </w:r>
      <w:r>
        <w:rPr>
          <w:rFonts w:ascii="Times New Roman" w:hAnsi="Times New Roman"/>
          <w:color w:val="1C1D1E"/>
          <w:szCs w:val="24"/>
          <w:lang w:eastAsia="en-GB"/>
        </w:rPr>
        <w:t xml:space="preserve">with expertise in ND </w:t>
      </w:r>
      <w:r w:rsidRPr="0002465A">
        <w:rPr>
          <w:rFonts w:ascii="Times New Roman" w:hAnsi="Times New Roman"/>
          <w:color w:val="1C1D1E"/>
          <w:szCs w:val="24"/>
          <w:lang w:eastAsia="en-GB"/>
        </w:rPr>
        <w:t>into an existing court mental health liaison and diversion service</w:t>
      </w:r>
      <w:r>
        <w:rPr>
          <w:rFonts w:ascii="Times New Roman" w:hAnsi="Times New Roman"/>
          <w:color w:val="1C1D1E"/>
          <w:szCs w:val="24"/>
          <w:lang w:eastAsia="en-GB"/>
        </w:rPr>
        <w:t xml:space="preserve"> to determine if the service would impact on the health needs or disposal outcomes of defendants.</w:t>
      </w:r>
    </w:p>
    <w:p w14:paraId="26BA1E43" w14:textId="77777777" w:rsidR="000B1425" w:rsidRPr="00101127" w:rsidRDefault="000B1425" w:rsidP="004C46F1">
      <w:pPr>
        <w:pStyle w:val="Heading2"/>
        <w:rPr>
          <w:lang w:eastAsia="en-GB"/>
        </w:rPr>
      </w:pPr>
      <w:r w:rsidRPr="00101127">
        <w:rPr>
          <w:lang w:eastAsia="en-GB"/>
        </w:rPr>
        <w:t>Method</w:t>
      </w:r>
      <w:r>
        <w:rPr>
          <w:lang w:eastAsia="en-GB"/>
        </w:rPr>
        <w:t>s</w:t>
      </w:r>
    </w:p>
    <w:p w14:paraId="4D27BCC4" w14:textId="77777777" w:rsidR="000B1425" w:rsidRPr="00101127" w:rsidRDefault="000B1425" w:rsidP="000B1425">
      <w:pPr>
        <w:shd w:val="clear" w:color="auto" w:fill="FFFFFF"/>
        <w:spacing w:before="100" w:beforeAutospacing="1" w:after="100" w:afterAutospacing="1" w:line="480" w:lineRule="auto"/>
        <w:rPr>
          <w:rFonts w:ascii="Times New Roman" w:hAnsi="Times New Roman"/>
          <w:color w:val="1C1D1E"/>
          <w:szCs w:val="24"/>
          <w:lang w:eastAsia="en-GB"/>
        </w:rPr>
      </w:pPr>
      <w:r w:rsidRPr="00101127">
        <w:rPr>
          <w:rFonts w:ascii="Times New Roman" w:hAnsi="Times New Roman"/>
          <w:color w:val="1C1D1E"/>
          <w:szCs w:val="24"/>
          <w:lang w:eastAsia="en-GB"/>
        </w:rPr>
        <w:t xml:space="preserve">This study examined referrals of defendants with </w:t>
      </w:r>
      <w:r w:rsidRPr="00C2329E">
        <w:rPr>
          <w:rFonts w:ascii="Times New Roman" w:hAnsi="Times New Roman"/>
          <w:color w:val="1C1D1E"/>
          <w:szCs w:val="24"/>
          <w:lang w:eastAsia="en-GB"/>
        </w:rPr>
        <w:t xml:space="preserve">neurodevelopmental disorders </w:t>
      </w:r>
      <w:r w:rsidRPr="00101127">
        <w:rPr>
          <w:rFonts w:ascii="Times New Roman" w:hAnsi="Times New Roman"/>
          <w:color w:val="1C1D1E"/>
          <w:szCs w:val="24"/>
          <w:lang w:eastAsia="en-GB"/>
        </w:rPr>
        <w:t xml:space="preserve">over 30-months at a London </w:t>
      </w:r>
      <w:r>
        <w:rPr>
          <w:rFonts w:ascii="Times New Roman" w:hAnsi="Times New Roman"/>
          <w:color w:val="1C1D1E"/>
          <w:szCs w:val="24"/>
          <w:lang w:eastAsia="en-GB"/>
        </w:rPr>
        <w:t>Magistrates’</w:t>
      </w:r>
      <w:r w:rsidRPr="00101127">
        <w:rPr>
          <w:rFonts w:ascii="Times New Roman" w:hAnsi="Times New Roman"/>
          <w:color w:val="1C1D1E"/>
          <w:szCs w:val="24"/>
          <w:lang w:eastAsia="en-GB"/>
        </w:rPr>
        <w:t xml:space="preserve"> Court</w:t>
      </w:r>
      <w:r>
        <w:rPr>
          <w:rFonts w:ascii="Times New Roman" w:hAnsi="Times New Roman"/>
          <w:color w:val="1C1D1E"/>
          <w:szCs w:val="24"/>
          <w:lang w:eastAsia="en-GB"/>
        </w:rPr>
        <w:t>.  T</w:t>
      </w:r>
      <w:r w:rsidRPr="00101127">
        <w:rPr>
          <w:rFonts w:ascii="Times New Roman" w:hAnsi="Times New Roman"/>
          <w:color w:val="1C1D1E"/>
          <w:szCs w:val="24"/>
          <w:lang w:eastAsia="en-GB"/>
        </w:rPr>
        <w:t xml:space="preserve">he </w:t>
      </w:r>
      <w:r>
        <w:rPr>
          <w:rFonts w:ascii="Times New Roman" w:hAnsi="Times New Roman"/>
          <w:color w:val="1C1D1E"/>
          <w:szCs w:val="24"/>
          <w:lang w:eastAsia="en-GB"/>
        </w:rPr>
        <w:t>pre-existing Court Mental Health (CMH) service was enhanced to provide additional expertise known as the CMH+ND Service</w:t>
      </w:r>
      <w:r w:rsidRPr="00101127">
        <w:rPr>
          <w:rFonts w:ascii="Times New Roman" w:hAnsi="Times New Roman"/>
          <w:color w:val="1C1D1E"/>
          <w:szCs w:val="24"/>
          <w:lang w:eastAsia="en-GB"/>
        </w:rPr>
        <w:t xml:space="preserve">. </w:t>
      </w:r>
      <w:r>
        <w:rPr>
          <w:rFonts w:ascii="Times New Roman" w:hAnsi="Times New Roman"/>
          <w:color w:val="1C1D1E"/>
          <w:szCs w:val="24"/>
          <w:lang w:eastAsia="en-GB"/>
        </w:rPr>
        <w:t>We collected b</w:t>
      </w:r>
      <w:r w:rsidRPr="00101127">
        <w:rPr>
          <w:rFonts w:ascii="Times New Roman" w:hAnsi="Times New Roman"/>
          <w:color w:val="1C1D1E"/>
          <w:szCs w:val="24"/>
          <w:lang w:eastAsia="en-GB"/>
        </w:rPr>
        <w:t>aseline data</w:t>
      </w:r>
      <w:r>
        <w:rPr>
          <w:rFonts w:ascii="Times New Roman" w:hAnsi="Times New Roman"/>
          <w:color w:val="1C1D1E"/>
          <w:szCs w:val="24"/>
          <w:lang w:eastAsia="en-GB"/>
        </w:rPr>
        <w:t xml:space="preserve"> relating to mental disorder from the CMH Service using the</w:t>
      </w:r>
      <w:r w:rsidRPr="00101127">
        <w:rPr>
          <w:rFonts w:ascii="Times New Roman" w:hAnsi="Times New Roman"/>
          <w:color w:val="1C1D1E"/>
          <w:szCs w:val="24"/>
          <w:lang w:eastAsia="en-GB"/>
        </w:rPr>
        <w:t xml:space="preserve"> existing </w:t>
      </w:r>
      <w:r>
        <w:rPr>
          <w:rFonts w:ascii="Times New Roman" w:hAnsi="Times New Roman"/>
          <w:color w:val="1C1D1E"/>
          <w:szCs w:val="24"/>
          <w:lang w:eastAsia="en-GB"/>
        </w:rPr>
        <w:t xml:space="preserve">minimum mental </w:t>
      </w:r>
      <w:r w:rsidRPr="00101127">
        <w:rPr>
          <w:rFonts w:ascii="Times New Roman" w:hAnsi="Times New Roman"/>
          <w:color w:val="1C1D1E"/>
          <w:szCs w:val="24"/>
          <w:lang w:eastAsia="en-GB"/>
        </w:rPr>
        <w:t>health service dataset</w:t>
      </w:r>
      <w:r>
        <w:rPr>
          <w:rFonts w:ascii="Times New Roman" w:hAnsi="Times New Roman"/>
          <w:color w:val="1C1D1E"/>
          <w:szCs w:val="24"/>
          <w:lang w:eastAsia="en-GB"/>
        </w:rPr>
        <w:t xml:space="preserve">, and compared this with data collected following the introduction of the CMH+ND Service. </w:t>
      </w:r>
    </w:p>
    <w:p w14:paraId="08818F89" w14:textId="77777777" w:rsidR="000B1425" w:rsidRPr="00B264F1" w:rsidRDefault="000B1425" w:rsidP="004C46F1">
      <w:pPr>
        <w:pStyle w:val="Heading2"/>
        <w:rPr>
          <w:lang w:eastAsia="en-GB"/>
        </w:rPr>
      </w:pPr>
      <w:r w:rsidRPr="00B264F1">
        <w:rPr>
          <w:lang w:eastAsia="en-GB"/>
        </w:rPr>
        <w:t>Results</w:t>
      </w:r>
    </w:p>
    <w:p w14:paraId="6D6C368F" w14:textId="77777777" w:rsidR="000B1425" w:rsidRPr="00B264F1" w:rsidRDefault="000B1425" w:rsidP="000B1425">
      <w:pPr>
        <w:shd w:val="clear" w:color="auto" w:fill="FFFFFF"/>
        <w:spacing w:before="100" w:beforeAutospacing="1" w:after="100" w:afterAutospacing="1" w:line="480" w:lineRule="auto"/>
        <w:rPr>
          <w:rFonts w:ascii="Times New Roman" w:hAnsi="Times New Roman"/>
          <w:iCs/>
          <w:szCs w:val="24"/>
          <w:lang w:eastAsia="en-GB"/>
        </w:rPr>
      </w:pPr>
      <w:r>
        <w:rPr>
          <w:rFonts w:ascii="Times New Roman" w:hAnsi="Times New Roman"/>
          <w:szCs w:val="24"/>
          <w:lang w:eastAsia="en-GB"/>
        </w:rPr>
        <w:t>We found</w:t>
      </w:r>
      <w:r w:rsidRPr="00B264F1">
        <w:rPr>
          <w:rFonts w:ascii="Times New Roman" w:hAnsi="Times New Roman"/>
          <w:szCs w:val="24"/>
          <w:lang w:eastAsia="en-GB"/>
        </w:rPr>
        <w:t xml:space="preserve"> rates of ND </w:t>
      </w:r>
      <w:r>
        <w:rPr>
          <w:rFonts w:ascii="Times New Roman" w:hAnsi="Times New Roman"/>
          <w:szCs w:val="24"/>
          <w:lang w:eastAsia="en-GB"/>
        </w:rPr>
        <w:t>of 9.5% (n = 43) for the</w:t>
      </w:r>
      <w:r w:rsidRPr="00B264F1">
        <w:rPr>
          <w:rFonts w:ascii="Times New Roman" w:hAnsi="Times New Roman"/>
          <w:szCs w:val="24"/>
          <w:lang w:eastAsia="en-GB"/>
        </w:rPr>
        <w:t xml:space="preserve"> CMH service</w:t>
      </w:r>
      <w:r>
        <w:rPr>
          <w:rFonts w:ascii="Times New Roman" w:hAnsi="Times New Roman"/>
          <w:szCs w:val="24"/>
          <w:lang w:eastAsia="en-GB"/>
        </w:rPr>
        <w:t>,</w:t>
      </w:r>
      <w:r w:rsidRPr="00B264F1">
        <w:rPr>
          <w:rFonts w:ascii="Times New Roman" w:hAnsi="Times New Roman"/>
          <w:szCs w:val="24"/>
          <w:lang w:eastAsia="en-GB"/>
        </w:rPr>
        <w:t xml:space="preserve"> and 9.5% (</w:t>
      </w:r>
      <w:r>
        <w:rPr>
          <w:rFonts w:ascii="Times New Roman" w:hAnsi="Times New Roman"/>
          <w:szCs w:val="24"/>
          <w:lang w:eastAsia="en-GB"/>
        </w:rPr>
        <w:t xml:space="preserve">n = </w:t>
      </w:r>
      <w:r w:rsidRPr="00B264F1">
        <w:rPr>
          <w:rFonts w:ascii="Times New Roman" w:hAnsi="Times New Roman"/>
          <w:szCs w:val="24"/>
          <w:lang w:eastAsia="en-GB"/>
        </w:rPr>
        <w:t>79)</w:t>
      </w:r>
      <w:r>
        <w:rPr>
          <w:rFonts w:ascii="Times New Roman" w:hAnsi="Times New Roman"/>
          <w:szCs w:val="24"/>
          <w:lang w:eastAsia="en-GB"/>
        </w:rPr>
        <w:t xml:space="preserve"> </w:t>
      </w:r>
      <w:r w:rsidRPr="00B264F1">
        <w:rPr>
          <w:rFonts w:ascii="Times New Roman" w:hAnsi="Times New Roman"/>
          <w:iCs/>
          <w:szCs w:val="24"/>
          <w:lang w:eastAsia="en-GB"/>
        </w:rPr>
        <w:t xml:space="preserve">for the </w:t>
      </w:r>
      <w:r w:rsidRPr="00B264F1">
        <w:rPr>
          <w:rFonts w:ascii="Times New Roman" w:hAnsi="Times New Roman"/>
          <w:szCs w:val="24"/>
          <w:lang w:eastAsia="en-GB"/>
        </w:rPr>
        <w:t xml:space="preserve">CMHS+ND </w:t>
      </w:r>
      <w:r>
        <w:rPr>
          <w:rFonts w:ascii="Times New Roman" w:hAnsi="Times New Roman"/>
          <w:szCs w:val="24"/>
          <w:lang w:eastAsia="en-GB"/>
        </w:rPr>
        <w:t xml:space="preserve">service. </w:t>
      </w:r>
      <w:r>
        <w:rPr>
          <w:rFonts w:ascii="Times New Roman" w:hAnsi="Times New Roman"/>
          <w:iCs/>
          <w:szCs w:val="24"/>
          <w:lang w:eastAsia="en-GB"/>
        </w:rPr>
        <w:t>However, t</w:t>
      </w:r>
      <w:r w:rsidRPr="00B264F1">
        <w:rPr>
          <w:rFonts w:ascii="Times New Roman" w:hAnsi="Times New Roman"/>
          <w:iCs/>
          <w:szCs w:val="24"/>
          <w:lang w:eastAsia="en-GB"/>
        </w:rPr>
        <w:t>he rate of ADHD as a single diagnosis was 10% higher in the CMHS+ND</w:t>
      </w:r>
      <w:r>
        <w:rPr>
          <w:rFonts w:ascii="Times New Roman" w:hAnsi="Times New Roman"/>
          <w:iCs/>
          <w:szCs w:val="24"/>
          <w:lang w:eastAsia="en-GB"/>
        </w:rPr>
        <w:t xml:space="preserve"> service</w:t>
      </w:r>
      <w:r w:rsidRPr="00B264F1">
        <w:rPr>
          <w:rFonts w:ascii="Times New Roman" w:hAnsi="Times New Roman"/>
          <w:iCs/>
          <w:szCs w:val="24"/>
          <w:lang w:eastAsia="en-GB"/>
        </w:rPr>
        <w:t xml:space="preserve">.  </w:t>
      </w:r>
    </w:p>
    <w:p w14:paraId="6B760A33" w14:textId="77777777" w:rsidR="000B1425" w:rsidRDefault="000B1425" w:rsidP="000B1425">
      <w:pPr>
        <w:spacing w:line="480" w:lineRule="auto"/>
        <w:rPr>
          <w:rFonts w:ascii="Times New Roman" w:hAnsi="Times New Roman"/>
          <w:color w:val="1C1D1E"/>
          <w:szCs w:val="24"/>
          <w:lang w:eastAsia="en-GB"/>
        </w:rPr>
      </w:pPr>
      <w:r w:rsidRPr="00B264F1">
        <w:rPr>
          <w:rFonts w:ascii="Times New Roman" w:hAnsi="Times New Roman"/>
          <w:color w:val="1C1D1E"/>
          <w:szCs w:val="24"/>
          <w:lang w:eastAsia="en-GB"/>
        </w:rPr>
        <w:lastRenderedPageBreak/>
        <w:t xml:space="preserve">The CMH+ND </w:t>
      </w:r>
      <w:r>
        <w:rPr>
          <w:rFonts w:ascii="Times New Roman" w:hAnsi="Times New Roman"/>
          <w:color w:val="1C1D1E"/>
          <w:szCs w:val="24"/>
          <w:lang w:eastAsia="en-GB"/>
        </w:rPr>
        <w:t xml:space="preserve">service </w:t>
      </w:r>
      <w:r w:rsidRPr="00B264F1">
        <w:rPr>
          <w:rFonts w:ascii="Times New Roman" w:hAnsi="Times New Roman"/>
          <w:color w:val="1C1D1E"/>
          <w:szCs w:val="24"/>
          <w:lang w:eastAsia="en-GB"/>
        </w:rPr>
        <w:t xml:space="preserve">detected </w:t>
      </w:r>
      <w:r>
        <w:rPr>
          <w:rFonts w:ascii="Times New Roman" w:hAnsi="Times New Roman"/>
          <w:color w:val="1C1D1E"/>
          <w:szCs w:val="24"/>
          <w:lang w:eastAsia="en-GB"/>
        </w:rPr>
        <w:t>increased</w:t>
      </w:r>
      <w:r w:rsidRPr="00B264F1">
        <w:rPr>
          <w:rFonts w:ascii="Times New Roman" w:hAnsi="Times New Roman"/>
          <w:color w:val="1C1D1E"/>
          <w:szCs w:val="24"/>
          <w:lang w:eastAsia="en-GB"/>
        </w:rPr>
        <w:t xml:space="preserve"> rates of depression compared </w:t>
      </w:r>
      <w:r>
        <w:rPr>
          <w:rFonts w:ascii="Times New Roman" w:hAnsi="Times New Roman"/>
          <w:color w:val="1C1D1E"/>
          <w:szCs w:val="24"/>
          <w:lang w:eastAsia="en-GB"/>
        </w:rPr>
        <w:t>with</w:t>
      </w:r>
      <w:r w:rsidRPr="00B264F1">
        <w:rPr>
          <w:rFonts w:ascii="Times New Roman" w:hAnsi="Times New Roman"/>
          <w:color w:val="1C1D1E"/>
          <w:szCs w:val="24"/>
          <w:lang w:eastAsia="en-GB"/>
        </w:rPr>
        <w:t xml:space="preserve"> the CMH </w:t>
      </w:r>
      <w:r>
        <w:rPr>
          <w:rFonts w:ascii="Times New Roman" w:hAnsi="Times New Roman"/>
          <w:color w:val="1C1D1E"/>
          <w:szCs w:val="24"/>
          <w:lang w:eastAsia="en-GB"/>
        </w:rPr>
        <w:t>service</w:t>
      </w:r>
      <w:r w:rsidRPr="00B264F1">
        <w:rPr>
          <w:rFonts w:ascii="Times New Roman" w:hAnsi="Times New Roman"/>
          <w:color w:val="1C1D1E"/>
          <w:szCs w:val="24"/>
          <w:lang w:eastAsia="en-GB"/>
        </w:rPr>
        <w:t xml:space="preserve"> in defendants with ND</w:t>
      </w:r>
      <w:r>
        <w:rPr>
          <w:rFonts w:ascii="Times New Roman" w:hAnsi="Times New Roman"/>
          <w:color w:val="1C1D1E"/>
          <w:szCs w:val="24"/>
          <w:lang w:eastAsia="en-GB"/>
        </w:rPr>
        <w:t>, with higher rates of depression in ND defendants in both iterations of the service. The</w:t>
      </w:r>
      <w:r w:rsidRPr="0075526D">
        <w:rPr>
          <w:rFonts w:ascii="Times New Roman" w:hAnsi="Times New Roman"/>
          <w:color w:val="1C1D1E"/>
          <w:szCs w:val="24"/>
          <w:lang w:eastAsia="en-GB"/>
        </w:rPr>
        <w:t xml:space="preserve"> </w:t>
      </w:r>
      <w:r>
        <w:rPr>
          <w:rFonts w:ascii="Times New Roman" w:hAnsi="Times New Roman"/>
          <w:color w:val="1C1D1E"/>
          <w:szCs w:val="24"/>
          <w:lang w:eastAsia="en-GB"/>
        </w:rPr>
        <w:t xml:space="preserve">rates of schizophrenia and delusional disorder increased in the ND group in the CMH+ND service, with significantly higher rates recorded for Non ND defendants across both the CMH and CMH+ND service. After first court appearance, there was a 10% reduction in custodial remands for defendants with ND who were seen by the CMH+ND service (34.2%, n = 25 in the CMH+ND service vs 43.8%, n = 14 in the CMH service). </w:t>
      </w:r>
    </w:p>
    <w:p w14:paraId="2A724947" w14:textId="77777777" w:rsidR="000B1425" w:rsidRPr="00101127" w:rsidRDefault="000B1425" w:rsidP="004C46F1">
      <w:pPr>
        <w:pStyle w:val="Heading2"/>
        <w:rPr>
          <w:lang w:eastAsia="en-GB"/>
        </w:rPr>
      </w:pPr>
      <w:r w:rsidRPr="00101127">
        <w:rPr>
          <w:lang w:eastAsia="en-GB"/>
        </w:rPr>
        <w:t>C</w:t>
      </w:r>
      <w:r>
        <w:rPr>
          <w:lang w:eastAsia="en-GB"/>
        </w:rPr>
        <w:t>onclusion</w:t>
      </w:r>
    </w:p>
    <w:p w14:paraId="7D720148" w14:textId="34B1CC6E" w:rsidR="000B1425" w:rsidRDefault="000B1425" w:rsidP="000B1425">
      <w:pPr>
        <w:shd w:val="clear" w:color="auto" w:fill="FFFFFF"/>
        <w:spacing w:before="100" w:beforeAutospacing="1" w:after="100" w:afterAutospacing="1" w:line="480" w:lineRule="auto"/>
        <w:rPr>
          <w:rFonts w:ascii="Times New Roman" w:hAnsi="Times New Roman"/>
          <w:color w:val="1C1D1E"/>
          <w:szCs w:val="24"/>
          <w:lang w:eastAsia="en-GB"/>
        </w:rPr>
      </w:pPr>
      <w:r w:rsidRPr="00713000">
        <w:rPr>
          <w:rFonts w:ascii="Times New Roman" w:hAnsi="Times New Roman"/>
          <w:color w:val="1C1D1E"/>
          <w:szCs w:val="24"/>
          <w:lang w:eastAsia="en-GB"/>
        </w:rPr>
        <w:t xml:space="preserve">It is possible to successfully </w:t>
      </w:r>
      <w:r>
        <w:rPr>
          <w:rFonts w:ascii="Times New Roman" w:hAnsi="Times New Roman"/>
          <w:color w:val="1C1D1E"/>
          <w:szCs w:val="24"/>
          <w:lang w:eastAsia="en-GB"/>
        </w:rPr>
        <w:t>integrate</w:t>
      </w:r>
      <w:r w:rsidRPr="00713000">
        <w:rPr>
          <w:rFonts w:ascii="Times New Roman" w:hAnsi="Times New Roman"/>
          <w:color w:val="1C1D1E"/>
          <w:szCs w:val="24"/>
          <w:lang w:eastAsia="en-GB"/>
        </w:rPr>
        <w:t xml:space="preserve"> </w:t>
      </w:r>
      <w:r>
        <w:rPr>
          <w:rFonts w:ascii="Times New Roman" w:hAnsi="Times New Roman"/>
          <w:color w:val="1C1D1E"/>
          <w:szCs w:val="24"/>
          <w:lang w:eastAsia="en-GB"/>
        </w:rPr>
        <w:t xml:space="preserve">practitioners with the </w:t>
      </w:r>
      <w:r w:rsidRPr="00713000">
        <w:rPr>
          <w:rFonts w:ascii="Times New Roman" w:hAnsi="Times New Roman"/>
          <w:color w:val="1C1D1E"/>
          <w:szCs w:val="24"/>
          <w:lang w:eastAsia="en-GB"/>
        </w:rPr>
        <w:t>expertise</w:t>
      </w:r>
      <w:r>
        <w:rPr>
          <w:rFonts w:ascii="Times New Roman" w:hAnsi="Times New Roman"/>
          <w:color w:val="1C1D1E"/>
          <w:szCs w:val="24"/>
          <w:lang w:eastAsia="en-GB"/>
        </w:rPr>
        <w:t xml:space="preserve"> of neurodevelopmental disorders</w:t>
      </w:r>
      <w:r w:rsidRPr="00713000">
        <w:rPr>
          <w:rFonts w:ascii="Times New Roman" w:hAnsi="Times New Roman"/>
          <w:color w:val="1C1D1E"/>
          <w:szCs w:val="24"/>
          <w:lang w:eastAsia="en-GB"/>
        </w:rPr>
        <w:t xml:space="preserve"> into existing </w:t>
      </w:r>
      <w:r>
        <w:rPr>
          <w:rFonts w:ascii="Times New Roman" w:hAnsi="Times New Roman"/>
          <w:color w:val="1C1D1E"/>
          <w:szCs w:val="24"/>
          <w:lang w:eastAsia="en-GB"/>
        </w:rPr>
        <w:t xml:space="preserve">liaison and diversion services. This service enhancement shows modest </w:t>
      </w:r>
      <w:r w:rsidRPr="00713000">
        <w:rPr>
          <w:rFonts w:ascii="Times New Roman" w:hAnsi="Times New Roman"/>
          <w:color w:val="1C1D1E"/>
          <w:szCs w:val="24"/>
          <w:lang w:eastAsia="en-GB"/>
        </w:rPr>
        <w:t>evidence of service effectiveness</w:t>
      </w:r>
      <w:r>
        <w:rPr>
          <w:rFonts w:ascii="Times New Roman" w:hAnsi="Times New Roman"/>
          <w:color w:val="1C1D1E"/>
          <w:szCs w:val="24"/>
          <w:lang w:eastAsia="en-GB"/>
        </w:rPr>
        <w:t xml:space="preserve">, </w:t>
      </w:r>
      <w:r w:rsidRPr="00713000">
        <w:rPr>
          <w:rFonts w:ascii="Times New Roman" w:hAnsi="Times New Roman"/>
          <w:color w:val="1C1D1E"/>
          <w:szCs w:val="24"/>
          <w:lang w:eastAsia="en-GB"/>
        </w:rPr>
        <w:t>including a</w:t>
      </w:r>
      <w:r>
        <w:rPr>
          <w:rFonts w:ascii="Times New Roman" w:hAnsi="Times New Roman"/>
          <w:color w:val="1C1D1E"/>
          <w:szCs w:val="24"/>
          <w:lang w:eastAsia="en-GB"/>
        </w:rPr>
        <w:t xml:space="preserve">n increase in the detection of comorbid mental illness and a </w:t>
      </w:r>
      <w:r w:rsidRPr="00713000">
        <w:rPr>
          <w:rFonts w:ascii="Times New Roman" w:hAnsi="Times New Roman"/>
          <w:color w:val="1C1D1E"/>
          <w:szCs w:val="24"/>
          <w:lang w:eastAsia="en-GB"/>
        </w:rPr>
        <w:t>reduction in custodial remands.</w:t>
      </w:r>
      <w:r>
        <w:rPr>
          <w:rFonts w:ascii="Times New Roman" w:hAnsi="Times New Roman"/>
          <w:color w:val="1C1D1E"/>
          <w:szCs w:val="24"/>
          <w:lang w:eastAsia="en-GB"/>
        </w:rPr>
        <w:t xml:space="preserve"> However, other models may also be useful and further work is now needed to understand whether an approach involving a cluster of  Courts, as opposed to a single-site, can be effective for this group of defendants.</w:t>
      </w:r>
    </w:p>
    <w:p w14:paraId="23FC6969" w14:textId="77777777" w:rsidR="004C46F1" w:rsidRPr="00713000" w:rsidRDefault="004C46F1" w:rsidP="000B1425">
      <w:pPr>
        <w:shd w:val="clear" w:color="auto" w:fill="FFFFFF"/>
        <w:spacing w:before="100" w:beforeAutospacing="1" w:after="100" w:afterAutospacing="1" w:line="480" w:lineRule="auto"/>
        <w:rPr>
          <w:rFonts w:ascii="Times New Roman" w:hAnsi="Times New Roman"/>
          <w:color w:val="1C1D1E"/>
          <w:szCs w:val="24"/>
          <w:lang w:eastAsia="en-GB"/>
        </w:rPr>
      </w:pPr>
    </w:p>
    <w:p w14:paraId="2501B208" w14:textId="77777777" w:rsidR="004C46F1" w:rsidRDefault="000B1425" w:rsidP="000B1425">
      <w:pPr>
        <w:spacing w:line="480" w:lineRule="auto"/>
      </w:pPr>
      <w:r w:rsidRPr="004C46F1">
        <w:rPr>
          <w:rStyle w:val="Heading2Char"/>
        </w:rPr>
        <w:t xml:space="preserve">Keywords </w:t>
      </w:r>
      <w:r w:rsidRPr="00710DBA">
        <w:rPr>
          <w:rFonts w:ascii="Times New Roman" w:hAnsi="Times New Roman"/>
          <w:color w:val="1C1D1E"/>
          <w:szCs w:val="24"/>
          <w:lang w:eastAsia="en-GB"/>
        </w:rPr>
        <w:t>Attention Deficit</w:t>
      </w:r>
      <w:r>
        <w:rPr>
          <w:rFonts w:ascii="Times New Roman" w:hAnsi="Times New Roman"/>
          <w:color w:val="1C1D1E"/>
          <w:szCs w:val="24"/>
          <w:lang w:eastAsia="en-GB"/>
        </w:rPr>
        <w:t xml:space="preserve"> and Hyperactive Disorder, Autism Spectrum Disorder, Court Mental Health</w:t>
      </w:r>
      <w:r w:rsidRPr="004A65B5">
        <w:rPr>
          <w:rFonts w:ascii="Times New Roman" w:hAnsi="Times New Roman"/>
          <w:color w:val="1C1D1E"/>
          <w:szCs w:val="24"/>
          <w:lang w:eastAsia="en-GB"/>
        </w:rPr>
        <w:t xml:space="preserve"> </w:t>
      </w:r>
      <w:r>
        <w:rPr>
          <w:rFonts w:ascii="Times New Roman" w:hAnsi="Times New Roman"/>
          <w:color w:val="1C1D1E"/>
          <w:szCs w:val="24"/>
          <w:lang w:eastAsia="en-GB"/>
        </w:rPr>
        <w:t>Liaison and Diversion, Intellectual Disability, Neurodevelopmental Disorders</w:t>
      </w:r>
      <w:r>
        <w:t xml:space="preserve"> </w:t>
      </w:r>
    </w:p>
    <w:p w14:paraId="2012C2D9" w14:textId="77777777" w:rsidR="004C46F1" w:rsidRDefault="004C46F1" w:rsidP="000B1425">
      <w:pPr>
        <w:spacing w:line="480" w:lineRule="auto"/>
      </w:pPr>
    </w:p>
    <w:p w14:paraId="56C0F3F2" w14:textId="413A7CD9" w:rsidR="000B1425" w:rsidRDefault="004C46F1" w:rsidP="000B1425">
      <w:pPr>
        <w:spacing w:line="480" w:lineRule="auto"/>
        <w:rPr>
          <w:rStyle w:val="Heading1Char"/>
          <w:b/>
          <w:bCs/>
        </w:rPr>
      </w:pPr>
      <w:r w:rsidRPr="00D43917">
        <w:rPr>
          <w:rStyle w:val="Heading1Char"/>
          <w:b/>
          <w:bCs/>
        </w:rPr>
        <w:t>What this paper adds</w:t>
      </w:r>
      <w:r w:rsidR="00B454B7">
        <w:br w:type="page"/>
      </w:r>
      <w:r w:rsidR="000B1425" w:rsidRPr="00D43917">
        <w:rPr>
          <w:rStyle w:val="Heading1Char"/>
          <w:b/>
          <w:bCs/>
        </w:rPr>
        <w:lastRenderedPageBreak/>
        <w:t>Evaluation of a liaison and diversion Court Mental Health Service for Defendants with Neurodevelopmental Disorders</w:t>
      </w:r>
    </w:p>
    <w:p w14:paraId="7BD45CA8" w14:textId="1CF39258" w:rsidR="00D43917" w:rsidRDefault="00D43917" w:rsidP="000B1425">
      <w:pPr>
        <w:spacing w:line="480" w:lineRule="auto"/>
        <w:rPr>
          <w:rStyle w:val="Heading1Char"/>
          <w:b/>
          <w:bCs/>
        </w:rPr>
      </w:pPr>
    </w:p>
    <w:p w14:paraId="4741F071" w14:textId="09E542EE" w:rsidR="00D43917" w:rsidRDefault="00D43917" w:rsidP="0078467C">
      <w:pPr>
        <w:numPr>
          <w:ilvl w:val="0"/>
          <w:numId w:val="3"/>
        </w:numPr>
        <w:spacing w:line="480" w:lineRule="auto"/>
        <w:rPr>
          <w:rFonts w:ascii="Times New Roman" w:hAnsi="Times New Roman"/>
          <w:b/>
          <w:bCs/>
          <w:color w:val="1C1D1E"/>
          <w:szCs w:val="24"/>
          <w:lang w:eastAsia="en-GB"/>
        </w:rPr>
      </w:pPr>
      <w:r>
        <w:rPr>
          <w:rFonts w:ascii="Times New Roman" w:hAnsi="Times New Roman"/>
          <w:b/>
          <w:bCs/>
          <w:color w:val="1C1D1E"/>
          <w:szCs w:val="24"/>
          <w:lang w:eastAsia="en-GB"/>
        </w:rPr>
        <w:t>Introduction</w:t>
      </w:r>
    </w:p>
    <w:p w14:paraId="3AA3C58C" w14:textId="40DC0471" w:rsidR="000B1425" w:rsidRPr="00671E29" w:rsidRDefault="000B1425" w:rsidP="000B1425">
      <w:pPr>
        <w:spacing w:line="480" w:lineRule="auto"/>
        <w:ind w:firstLine="720"/>
        <w:rPr>
          <w:rFonts w:ascii="Times New Roman" w:hAnsi="Times New Roman"/>
          <w:szCs w:val="24"/>
        </w:rPr>
      </w:pPr>
      <w:r>
        <w:rPr>
          <w:rFonts w:ascii="Times New Roman" w:eastAsia="Calibri" w:hAnsi="Times New Roman"/>
          <w:szCs w:val="24"/>
        </w:rPr>
        <w:t xml:space="preserve">In England and Wales, </w:t>
      </w:r>
      <w:r w:rsidRPr="0055393C">
        <w:rPr>
          <w:rFonts w:ascii="Times New Roman" w:eastAsia="Calibri" w:hAnsi="Times New Roman"/>
          <w:szCs w:val="24"/>
        </w:rPr>
        <w:t xml:space="preserve">Liaison and Diversion </w:t>
      </w:r>
      <w:r>
        <w:rPr>
          <w:rFonts w:ascii="Times New Roman" w:eastAsia="Calibri" w:hAnsi="Times New Roman"/>
          <w:szCs w:val="24"/>
        </w:rPr>
        <w:t>(</w:t>
      </w:r>
      <w:bookmarkStart w:id="4" w:name="_Hlk68513716"/>
      <w:r w:rsidRPr="0055393C">
        <w:rPr>
          <w:rFonts w:ascii="Times New Roman" w:eastAsia="Calibri" w:hAnsi="Times New Roman"/>
          <w:szCs w:val="24"/>
        </w:rPr>
        <w:t>L&amp;D</w:t>
      </w:r>
      <w:bookmarkEnd w:id="4"/>
      <w:r w:rsidRPr="0055393C">
        <w:rPr>
          <w:rFonts w:ascii="Times New Roman" w:eastAsia="Calibri" w:hAnsi="Times New Roman"/>
          <w:szCs w:val="24"/>
        </w:rPr>
        <w:t>)</w:t>
      </w:r>
      <w:r>
        <w:rPr>
          <w:rFonts w:ascii="Times New Roman" w:eastAsia="Calibri" w:hAnsi="Times New Roman"/>
          <w:szCs w:val="24"/>
        </w:rPr>
        <w:t xml:space="preserve"> </w:t>
      </w:r>
      <w:r w:rsidRPr="0055393C">
        <w:rPr>
          <w:rFonts w:ascii="Times New Roman" w:eastAsia="Calibri" w:hAnsi="Times New Roman"/>
          <w:szCs w:val="24"/>
        </w:rPr>
        <w:t xml:space="preserve">Services operate </w:t>
      </w:r>
      <w:r>
        <w:rPr>
          <w:rFonts w:ascii="Times New Roman" w:eastAsia="Calibri" w:hAnsi="Times New Roman"/>
          <w:szCs w:val="24"/>
        </w:rPr>
        <w:t xml:space="preserve">in </w:t>
      </w:r>
      <w:r w:rsidRPr="0055393C">
        <w:rPr>
          <w:rFonts w:ascii="Times New Roman" w:eastAsia="Calibri" w:hAnsi="Times New Roman"/>
          <w:szCs w:val="24"/>
        </w:rPr>
        <w:t>police stations and at cour</w:t>
      </w:r>
      <w:r>
        <w:rPr>
          <w:rFonts w:ascii="Times New Roman" w:eastAsia="Calibri" w:hAnsi="Times New Roman"/>
          <w:szCs w:val="24"/>
        </w:rPr>
        <w:t xml:space="preserve">t. </w:t>
      </w:r>
      <w:r>
        <w:rPr>
          <w:rFonts w:ascii="Times New Roman" w:hAnsi="Times New Roman"/>
          <w:szCs w:val="24"/>
        </w:rPr>
        <w:t xml:space="preserve">Court </w:t>
      </w:r>
      <w:r w:rsidRPr="00022459">
        <w:rPr>
          <w:rFonts w:ascii="Times New Roman" w:hAnsi="Times New Roman"/>
          <w:szCs w:val="24"/>
        </w:rPr>
        <w:t xml:space="preserve">L&amp;D </w:t>
      </w:r>
      <w:r>
        <w:rPr>
          <w:rFonts w:ascii="Times New Roman" w:hAnsi="Times New Roman"/>
          <w:szCs w:val="24"/>
        </w:rPr>
        <w:t xml:space="preserve">models have developed at different rates internationally and the </w:t>
      </w:r>
      <w:r w:rsidRPr="002A0048">
        <w:rPr>
          <w:rStyle w:val="normaltextrun"/>
          <w:rFonts w:ascii="Times New Roman" w:hAnsi="Times New Roman"/>
          <w:szCs w:val="24"/>
        </w:rPr>
        <w:t>first appeared over 100 years ago in Chicago, USA</w:t>
      </w:r>
      <w:r>
        <w:rPr>
          <w:rStyle w:val="normaltextrun"/>
          <w:rFonts w:ascii="Times New Roman" w:hAnsi="Times New Roman"/>
          <w:szCs w:val="24"/>
        </w:rPr>
        <w:t xml:space="preserve"> </w:t>
      </w:r>
      <w:r>
        <w:rPr>
          <w:rStyle w:val="normaltextrun"/>
          <w:rFonts w:ascii="Times New Roman" w:hAnsi="Times New Roman"/>
          <w:szCs w:val="24"/>
        </w:rPr>
        <w:fldChar w:fldCharType="begin"/>
      </w:r>
      <w:r w:rsidR="004C46F1">
        <w:rPr>
          <w:rStyle w:val="normaltextrun"/>
          <w:rFonts w:ascii="Times New Roman" w:hAnsi="Times New Roman"/>
          <w:szCs w:val="24"/>
        </w:rPr>
        <w:instrText xml:space="preserve"> ADDIN EN.CITE &lt;EndNote&gt;&lt;Cite&gt;&lt;Author&gt;Shepherd&lt;/Author&gt;&lt;Year&gt;1923&lt;/Year&gt;&lt;RecNum&gt;950&lt;/RecNum&gt;&lt;DisplayText&gt;(Shepherd, 1923)&lt;/DisplayText&gt;&lt;record&gt;&lt;rec-number&gt;950&lt;/rec-number&gt;&lt;foreign-keys&gt;&lt;key app="EN" db-id="0wtfxzrvwtvfszed0s9vdzam00frxexae5vz" timestamp="1588157927"&gt;950&lt;/key&gt;&lt;/foreign-keys&gt;&lt;ref-type name="Journal Article"&gt;17&lt;/ref-type&gt;&lt;contributors&gt;&lt;authors&gt;&lt;author&gt;Shepherd, H&lt;/author&gt;&lt;/authors&gt;&lt;/contributors&gt;&lt;titles&gt;&lt;title&gt;The Psychopathic Laboratory&lt;/title&gt;&lt;secondary-title&gt;Journal of the American Institute of Criminal Law and Criminology,&lt;/secondary-title&gt;&lt;/titles&gt;&lt;periodical&gt;&lt;full-title&gt;Journal of the American Institute of Criminal Law and Criminology,&lt;/full-title&gt;&lt;/periodical&gt;&lt;pages&gt;485-493&lt;/pages&gt;&lt;volume&gt;13&lt;/volume&gt;&lt;number&gt;4&lt;/number&gt;&lt;dates&gt;&lt;year&gt;1923&lt;/year&gt;&lt;/dates&gt;&lt;urls&gt;&lt;/urls&gt;&lt;/record&gt;&lt;/Cite&gt;&lt;/EndNote&gt;</w:instrText>
      </w:r>
      <w:r>
        <w:rPr>
          <w:rStyle w:val="normaltextrun"/>
          <w:rFonts w:ascii="Times New Roman" w:hAnsi="Times New Roman"/>
          <w:szCs w:val="24"/>
        </w:rPr>
        <w:fldChar w:fldCharType="separate"/>
      </w:r>
      <w:r w:rsidR="004C46F1">
        <w:rPr>
          <w:rStyle w:val="normaltextrun"/>
          <w:rFonts w:ascii="Times New Roman" w:hAnsi="Times New Roman"/>
          <w:noProof/>
          <w:szCs w:val="24"/>
        </w:rPr>
        <w:t>(Shepherd, 1923)</w:t>
      </w:r>
      <w:r>
        <w:rPr>
          <w:rStyle w:val="normaltextrun"/>
          <w:rFonts w:ascii="Times New Roman" w:hAnsi="Times New Roman"/>
          <w:szCs w:val="24"/>
        </w:rPr>
        <w:fldChar w:fldCharType="end"/>
      </w:r>
      <w:r>
        <w:rPr>
          <w:rStyle w:val="normaltextrun"/>
          <w:rFonts w:ascii="Times New Roman" w:hAnsi="Times New Roman"/>
          <w:szCs w:val="24"/>
        </w:rPr>
        <w:t xml:space="preserve">. </w:t>
      </w:r>
      <w:r>
        <w:rPr>
          <w:rFonts w:ascii="Times New Roman" w:eastAsia="Calibri" w:hAnsi="Times New Roman"/>
          <w:szCs w:val="24"/>
        </w:rPr>
        <w:t xml:space="preserve">They have to date, focused mainly on people who present with major mental illness </w:t>
      </w:r>
      <w:r>
        <w:rPr>
          <w:rFonts w:ascii="Times New Roman" w:eastAsia="Calibri" w:hAnsi="Times New Roman"/>
          <w:szCs w:val="24"/>
        </w:rPr>
        <w:fldChar w:fldCharType="begin"/>
      </w:r>
      <w:r>
        <w:rPr>
          <w:rFonts w:ascii="Times New Roman" w:eastAsia="Calibri" w:hAnsi="Times New Roman"/>
          <w:szCs w:val="24"/>
        </w:rPr>
        <w:instrText xml:space="preserve"> QUOTE "{Forrester, 2017 #987}" </w:instrText>
      </w:r>
      <w:r>
        <w:rPr>
          <w:rFonts w:ascii="Times New Roman" w:eastAsia="Calibri" w:hAnsi="Times New Roman"/>
          <w:szCs w:val="24"/>
        </w:rPr>
        <w:fldChar w:fldCharType="end"/>
      </w:r>
      <w:r>
        <w:rPr>
          <w:rFonts w:ascii="Times New Roman" w:eastAsia="Calibri" w:hAnsi="Times New Roman"/>
          <w:szCs w:val="24"/>
        </w:rPr>
        <w:t xml:space="preserve"> </w:t>
      </w:r>
      <w:r>
        <w:rPr>
          <w:rFonts w:ascii="Times New Roman" w:eastAsia="Calibri" w:hAnsi="Times New Roman"/>
          <w:szCs w:val="24"/>
        </w:rPr>
        <w:fldChar w:fldCharType="begin"/>
      </w:r>
      <w:r w:rsidR="004C46F1">
        <w:rPr>
          <w:rFonts w:ascii="Times New Roman" w:eastAsia="Calibri" w:hAnsi="Times New Roman"/>
          <w:szCs w:val="24"/>
        </w:rPr>
        <w:instrText xml:space="preserve"> ADDIN EN.CITE &lt;EndNote&gt;&lt;Cite&gt;&lt;Author&gt;Forrester&lt;/Author&gt;&lt;Year&gt;2017&lt;/Year&gt;&lt;RecNum&gt;988&lt;/RecNum&gt;&lt;DisplayText&gt;(Andrew Forrester, Samele, Slade, Craig, &amp;amp; Valmaggia, 2017)&lt;/DisplayText&gt;&lt;record&gt;&lt;rec-number&gt;988&lt;/rec-number&gt;&lt;foreign-keys&gt;&lt;key app="EN" db-id="0wtfxzrvwtvfszed0s9vdzam00frxexae5vz" timestamp="1588162546"&gt;988&lt;/key&gt;&lt;/foreign-keys&gt;&lt;ref-type name="Journal Article"&gt;17&lt;/ref-type&gt;&lt;contributors&gt;&lt;authors&gt;&lt;author&gt;Forrester, Andrew&lt;/author&gt;&lt;author&gt;Samele, Chiara&lt;/author&gt;&lt;author&gt;Slade, Karen&lt;/author&gt;&lt;author&gt;Craig, Tom&lt;/author&gt;&lt;author&gt;Valmaggia, Lucia&lt;/author&gt;&lt;/authors&gt;&lt;/contributors&gt;&lt;titles&gt;&lt;title&gt;Demographic and clinical characteristics of 1092 consecutive police custody mental health referrals&lt;/title&gt;&lt;secondary-title&gt;The Journal of Forensic Psychiatry &amp;amp; Psychology&lt;/secondary-title&gt;&lt;/titles&gt;&lt;periodical&gt;&lt;full-title&gt;The Journal of Forensic Psychiatry &amp;amp; Psychology&lt;/full-title&gt;&lt;/periodical&gt;&lt;pages&gt;295-312&lt;/pages&gt;&lt;volume&gt;28&lt;/volume&gt;&lt;number&gt;3&lt;/number&gt;&lt;dates&gt;&lt;year&gt;2017&lt;/year&gt;&lt;/dates&gt;&lt;isbn&gt;1478-9949&lt;/isbn&gt;&lt;urls&gt;&lt;/urls&gt;&lt;/record&gt;&lt;/Cite&gt;&lt;/EndNote&gt;</w:instrText>
      </w:r>
      <w:r>
        <w:rPr>
          <w:rFonts w:ascii="Times New Roman" w:eastAsia="Calibri" w:hAnsi="Times New Roman"/>
          <w:szCs w:val="24"/>
        </w:rPr>
        <w:fldChar w:fldCharType="separate"/>
      </w:r>
      <w:r w:rsidR="004C46F1">
        <w:rPr>
          <w:rFonts w:ascii="Times New Roman" w:eastAsia="Calibri" w:hAnsi="Times New Roman"/>
          <w:noProof/>
          <w:szCs w:val="24"/>
        </w:rPr>
        <w:t>(Andrew Forrester, Samele, Slade, Craig, &amp; Valmaggia, 2017)</w:t>
      </w:r>
      <w:r>
        <w:rPr>
          <w:rFonts w:ascii="Times New Roman" w:eastAsia="Calibri" w:hAnsi="Times New Roman"/>
          <w:szCs w:val="24"/>
        </w:rPr>
        <w:fldChar w:fldCharType="end"/>
      </w:r>
      <w:r>
        <w:rPr>
          <w:rFonts w:ascii="Times New Roman" w:eastAsia="Calibri" w:hAnsi="Times New Roman"/>
          <w:szCs w:val="24"/>
        </w:rPr>
        <w:fldChar w:fldCharType="begin"/>
      </w:r>
      <w:r>
        <w:rPr>
          <w:rFonts w:ascii="Times New Roman" w:eastAsia="Calibri" w:hAnsi="Times New Roman"/>
          <w:szCs w:val="24"/>
        </w:rPr>
        <w:instrText xml:space="preserve"> QUOTE "{Chaplin, 2017 #955}" </w:instrText>
      </w:r>
      <w:r>
        <w:rPr>
          <w:rFonts w:ascii="Times New Roman" w:eastAsia="Calibri" w:hAnsi="Times New Roman"/>
          <w:szCs w:val="24"/>
        </w:rPr>
        <w:fldChar w:fldCharType="end"/>
      </w:r>
      <w:r w:rsidRPr="0055393C">
        <w:rPr>
          <w:rFonts w:ascii="Times New Roman" w:eastAsia="Calibri" w:hAnsi="Times New Roman"/>
          <w:szCs w:val="24"/>
        </w:rPr>
        <w:t xml:space="preserve">. </w:t>
      </w:r>
      <w:r>
        <w:rPr>
          <w:rFonts w:ascii="Times New Roman" w:eastAsia="Calibri" w:hAnsi="Times New Roman"/>
          <w:szCs w:val="24"/>
        </w:rPr>
        <w:t xml:space="preserve">Court </w:t>
      </w:r>
      <w:r w:rsidRPr="00AC5076">
        <w:rPr>
          <w:rFonts w:ascii="Times New Roman" w:eastAsia="Calibri" w:hAnsi="Times New Roman"/>
          <w:szCs w:val="24"/>
        </w:rPr>
        <w:t>L&amp;D</w:t>
      </w:r>
      <w:r w:rsidRPr="00AC5076" w:rsidDel="00AC5076">
        <w:rPr>
          <w:rFonts w:ascii="Times New Roman" w:eastAsia="Calibri" w:hAnsi="Times New Roman"/>
          <w:szCs w:val="24"/>
        </w:rPr>
        <w:t xml:space="preserve"> </w:t>
      </w:r>
      <w:r w:rsidRPr="002A0048">
        <w:rPr>
          <w:rFonts w:ascii="Times New Roman" w:hAnsi="Times New Roman"/>
          <w:szCs w:val="24"/>
        </w:rPr>
        <w:t>mental health</w:t>
      </w:r>
      <w:r>
        <w:rPr>
          <w:rFonts w:ascii="Times New Roman" w:hAnsi="Times New Roman"/>
          <w:szCs w:val="24"/>
        </w:rPr>
        <w:t xml:space="preserve"> models can be identified by their intended functions e.g., treatment, legal issues, liaison and diversion </w:t>
      </w:r>
      <w:r>
        <w:rPr>
          <w:rFonts w:ascii="Times New Roman" w:hAnsi="Times New Roman"/>
          <w:szCs w:val="24"/>
        </w:rPr>
        <w:fldChar w:fldCharType="begin"/>
      </w:r>
      <w:r w:rsidR="004C46F1">
        <w:rPr>
          <w:rFonts w:ascii="Times New Roman" w:hAnsi="Times New Roman"/>
          <w:szCs w:val="24"/>
        </w:rPr>
        <w:instrText xml:space="preserve"> ADDIN EN.CITE &lt;EndNote&gt;&lt;Cite&gt;&lt;Author&gt;James&lt;/Author&gt;&lt;Year&gt;2006&lt;/Year&gt;&lt;RecNum&gt;954&lt;/RecNum&gt;&lt;DisplayText&gt;(James, 2006)&lt;/DisplayText&gt;&lt;record&gt;&lt;rec-number&gt;954&lt;/rec-number&gt;&lt;foreign-keys&gt;&lt;key app="EN" db-id="0wtfxzrvwtvfszed0s9vdzam00frxexae5vz" timestamp="1588157936"&gt;954&lt;/key&gt;&lt;/foreign-keys&gt;&lt;ref-type name="Journal Article"&gt;17&lt;/ref-type&gt;&lt;contributors&gt;&lt;authors&gt;&lt;author&gt;James, K.&lt;/author&gt;&lt;/authors&gt;&lt;/contributors&gt;&lt;titles&gt;&lt;title&gt;Court diversion in perspective.&lt;/title&gt;&lt;secondary-title&gt;Australian and New Zealand Journal of Psychiatry, 40(6-7), pp.529-538.&lt;/secondary-title&gt;&lt;/titles&gt;&lt;periodical&gt;&lt;full-title&gt;Australian and New Zealand Journal of Psychiatry, 40(6-7), pp.529-538.&lt;/full-title&gt;&lt;/periodical&gt;&lt;pages&gt;529-536&lt;/pages&gt;&lt;volume&gt;406&lt;/volume&gt;&lt;number&gt;6-7&lt;/number&gt;&lt;dates&gt;&lt;year&gt;2006&lt;/year&gt;&lt;/dates&gt;&lt;urls&gt;&lt;/urls&gt;&lt;/record&gt;&lt;/Cite&gt;&lt;/EndNote&gt;</w:instrText>
      </w:r>
      <w:r>
        <w:rPr>
          <w:rFonts w:ascii="Times New Roman" w:hAnsi="Times New Roman"/>
          <w:szCs w:val="24"/>
        </w:rPr>
        <w:fldChar w:fldCharType="separate"/>
      </w:r>
      <w:r w:rsidR="004C46F1">
        <w:rPr>
          <w:rFonts w:ascii="Times New Roman" w:hAnsi="Times New Roman"/>
          <w:noProof/>
          <w:szCs w:val="24"/>
        </w:rPr>
        <w:t>(James, 2006)</w:t>
      </w:r>
      <w:r>
        <w:rPr>
          <w:rFonts w:ascii="Times New Roman" w:hAnsi="Times New Roman"/>
          <w:szCs w:val="24"/>
        </w:rPr>
        <w:fldChar w:fldCharType="end"/>
      </w:r>
      <w:r>
        <w:rPr>
          <w:rFonts w:ascii="Times New Roman" w:hAnsi="Times New Roman"/>
          <w:szCs w:val="24"/>
        </w:rPr>
        <w:t xml:space="preserve"> or by the addition of a specialist service component </w:t>
      </w:r>
      <w:r w:rsidRPr="00896F8B">
        <w:rPr>
          <w:rFonts w:ascii="Times New Roman" w:hAnsi="Times New Roman"/>
          <w:szCs w:val="24"/>
        </w:rPr>
        <w:fldChar w:fldCharType="begin"/>
      </w:r>
      <w:r w:rsidR="004C46F1">
        <w:rPr>
          <w:rFonts w:ascii="Times New Roman" w:hAnsi="Times New Roman"/>
          <w:szCs w:val="24"/>
        </w:rPr>
        <w:instrText xml:space="preserve"> ADDIN EN.CITE &lt;EndNote&gt;&lt;Cite&gt;&lt;Author&gt;Forrester&lt;/Author&gt;&lt;Year&gt;2020&lt;/Year&gt;&lt;RecNum&gt;951&lt;/RecNum&gt;&lt;DisplayText&gt;(A. Forrester, Hopkin, Bryant, Slade, &amp;amp; Samele, 2020)&lt;/DisplayText&gt;&lt;record&gt;&lt;rec-number&gt;951&lt;/rec-number&gt;&lt;foreign-keys&gt;&lt;key app="EN" db-id="0wtfxzrvwtvfszed0s9vdzam00frxexae5vz" timestamp="1588157929"&gt;951&lt;/key&gt;&lt;/foreign-keys&gt;&lt;ref-type name="Journal Article"&gt;17&lt;/ref-type&gt;&lt;contributors&gt;&lt;authors&gt;&lt;author&gt;Forrester, A.&lt;/author&gt;&lt;author&gt;Hopkin, G.&lt;/author&gt;&lt;author&gt;Bryant, L.&lt;/author&gt;&lt;author&gt;Slade, K.&lt;/author&gt;&lt;author&gt;Samele, C.&lt;/author&gt;&lt;/authors&gt;&lt;/contributors&gt;&lt;auth-address&gt;Health and Justice, Greater Manchester Mental Health NHS Foundation Trust, Manchester, UK.&amp;#xD;Offender Health Research Network, University of Manchester, Manchester, UK.&amp;#xD;Department of Health Policy, London School of Economics and Political Science, London, UK.&amp;#xD;Together for Mental Wellbeing, London, UK.&amp;#xD;School of Social Sciences, Nottingham Trent University, Nottingham, UK.&amp;#xD;Informed Thinking, London, UK.&amp;#xD;Department of Forensic and Neurodevelopmental Sciences, Institute of Psychiatry, Psychology and Neuroscience, King&amp;apos;s College London, London, UK.&lt;/auth-address&gt;&lt;titles&gt;&lt;title&gt;Alternatives to custodial remand for women in the criminal justice system: A multi-sector approach&lt;/title&gt;&lt;secondary-title&gt;Crim Behav Ment Health&lt;/secondary-title&gt;&lt;/titles&gt;&lt;periodical&gt;&lt;full-title&gt;Crim Behav Ment Health&lt;/full-title&gt;&lt;/periodical&gt;&lt;edition&gt;2020/03/27&lt;/edition&gt;&lt;keywords&gt;&lt;keyword&gt;court&lt;/keyword&gt;&lt;keyword&gt;liaison and diversion&lt;/keyword&gt;&lt;keyword&gt;multi-sector&lt;/keyword&gt;&lt;keyword&gt;prison&lt;/keyword&gt;&lt;keyword&gt;women&lt;/keyword&gt;&lt;/keywords&gt;&lt;dates&gt;&lt;year&gt;2020&lt;/year&gt;&lt;pub-dates&gt;&lt;date&gt;Mar 25&lt;/date&gt;&lt;/pub-dates&gt;&lt;/dates&gt;&lt;isbn&gt;1471-2857 (Electronic)&amp;#xD;0957-9664 (Linking)&lt;/isbn&gt;&lt;accession-num&gt;32212284&lt;/accession-num&gt;&lt;urls&gt;&lt;related-urls&gt;&lt;url&gt;https://www.ncbi.nlm.nih.gov/pubmed/32212284&lt;/url&gt;&lt;/related-urls&gt;&lt;/urls&gt;&lt;electronic-resource-num&gt;10.1002/cbm.2144&lt;/electronic-resource-num&gt;&lt;/record&gt;&lt;/Cite&gt;&lt;/EndNote&gt;</w:instrText>
      </w:r>
      <w:r w:rsidRPr="00896F8B">
        <w:rPr>
          <w:rFonts w:ascii="Times New Roman" w:hAnsi="Times New Roman"/>
          <w:szCs w:val="24"/>
        </w:rPr>
        <w:fldChar w:fldCharType="separate"/>
      </w:r>
      <w:r w:rsidR="004C46F1">
        <w:rPr>
          <w:rFonts w:ascii="Times New Roman" w:hAnsi="Times New Roman"/>
          <w:noProof/>
          <w:szCs w:val="24"/>
        </w:rPr>
        <w:t>(A. Forrester, Hopkin, Bryant, Slade, &amp; Samele, 2020)</w:t>
      </w:r>
      <w:r w:rsidRPr="00896F8B">
        <w:rPr>
          <w:rFonts w:ascii="Times New Roman" w:hAnsi="Times New Roman"/>
          <w:szCs w:val="24"/>
        </w:rPr>
        <w:fldChar w:fldCharType="end"/>
      </w:r>
      <w:r>
        <w:rPr>
          <w:rFonts w:ascii="Times New Roman" w:hAnsi="Times New Roman"/>
          <w:szCs w:val="24"/>
        </w:rPr>
        <w:t>. T</w:t>
      </w:r>
      <w:r w:rsidRPr="00933AB7">
        <w:rPr>
          <w:rFonts w:ascii="Times New Roman" w:hAnsi="Times New Roman"/>
          <w:szCs w:val="24"/>
        </w:rPr>
        <w:t xml:space="preserve">he </w:t>
      </w:r>
      <w:r>
        <w:rPr>
          <w:rFonts w:ascii="Times New Roman" w:hAnsi="Times New Roman"/>
          <w:szCs w:val="24"/>
        </w:rPr>
        <w:t>n</w:t>
      </w:r>
      <w:r w:rsidRPr="00933AB7">
        <w:rPr>
          <w:rFonts w:ascii="Times New Roman" w:hAnsi="Times New Roman"/>
          <w:szCs w:val="24"/>
        </w:rPr>
        <w:t xml:space="preserve">ational </w:t>
      </w:r>
      <w:r w:rsidRPr="007C313E">
        <w:rPr>
          <w:rFonts w:ascii="Times New Roman" w:hAnsi="Times New Roman"/>
          <w:szCs w:val="24"/>
        </w:rPr>
        <w:t>L&amp;D</w:t>
      </w:r>
      <w:r w:rsidRPr="007C313E" w:rsidDel="007C313E">
        <w:rPr>
          <w:rFonts w:ascii="Times New Roman" w:hAnsi="Times New Roman"/>
          <w:szCs w:val="24"/>
        </w:rPr>
        <w:t xml:space="preserve"> </w:t>
      </w:r>
      <w:r>
        <w:rPr>
          <w:rFonts w:ascii="Times New Roman" w:hAnsi="Times New Roman"/>
          <w:szCs w:val="24"/>
        </w:rPr>
        <w:t xml:space="preserve"> model in England and Wales </w:t>
      </w:r>
      <w:r w:rsidRPr="00933AB7">
        <w:rPr>
          <w:rFonts w:ascii="Times New Roman" w:hAnsi="Times New Roman"/>
          <w:szCs w:val="24"/>
        </w:rPr>
        <w:t xml:space="preserve">was </w:t>
      </w:r>
      <w:proofErr w:type="spellStart"/>
      <w:r w:rsidRPr="00933AB7">
        <w:rPr>
          <w:rFonts w:ascii="Times New Roman" w:hAnsi="Times New Roman"/>
          <w:szCs w:val="24"/>
        </w:rPr>
        <w:t>trialled</w:t>
      </w:r>
      <w:proofErr w:type="spellEnd"/>
      <w:r w:rsidRPr="00933AB7">
        <w:rPr>
          <w:rFonts w:ascii="Times New Roman" w:hAnsi="Times New Roman"/>
          <w:szCs w:val="24"/>
        </w:rPr>
        <w:t xml:space="preserve"> in 2014</w:t>
      </w:r>
      <w:r>
        <w:rPr>
          <w:rFonts w:ascii="Times New Roman" w:hAnsi="Times New Roman"/>
          <w:szCs w:val="24"/>
        </w:rPr>
        <w:t xml:space="preserve">, following the publication of Lord Bradley’s influential review of people with mental health needs or learning disabilities in the criminal justice system </w:t>
      </w:r>
      <w:r>
        <w:rPr>
          <w:rFonts w:ascii="Times New Roman" w:hAnsi="Times New Roman"/>
          <w:szCs w:val="24"/>
        </w:rPr>
        <w:fldChar w:fldCharType="begin"/>
      </w:r>
      <w:r w:rsidR="004C46F1">
        <w:rPr>
          <w:rFonts w:ascii="Times New Roman" w:hAnsi="Times New Roman"/>
          <w:szCs w:val="24"/>
        </w:rPr>
        <w:instrText xml:space="preserve"> ADDIN EN.CITE &lt;EndNote&gt;&lt;Cite&gt;&lt;Author&gt;Bradley&lt;/Author&gt;&lt;Year&gt;2009&lt;/Year&gt;&lt;RecNum&gt;1013&lt;/RecNum&gt;&lt;DisplayText&gt;(Bradley, 2009)&lt;/DisplayText&gt;&lt;record&gt;&lt;rec-number&gt;1013&lt;/rec-number&gt;&lt;foreign-keys&gt;&lt;key app="EN" db-id="0wtfxzrvwtvfszed0s9vdzam00frxexae5vz" timestamp="1588191757"&gt;1013&lt;/key&gt;&lt;/foreign-keys&gt;&lt;ref-type name="Journal Article"&gt;17&lt;/ref-type&gt;&lt;contributors&gt;&lt;authors&gt;&lt;author&gt;Bradley, Keith John Charles Baron&lt;/author&gt;&lt;/authors&gt;&lt;/contributors&gt;&lt;titles&gt;&lt;title&gt;The Bradley Report: Lord Bradley&amp;apos;s review of people with mental health problems or learning disabilities in the criminal justice system&lt;/title&gt;&lt;/titles&gt;&lt;dates&gt;&lt;year&gt;2009&lt;/year&gt;&lt;/dates&gt;&lt;urls&gt;&lt;/urls&gt;&lt;/record&gt;&lt;/Cite&gt;&lt;/EndNote&gt;</w:instrText>
      </w:r>
      <w:r>
        <w:rPr>
          <w:rFonts w:ascii="Times New Roman" w:hAnsi="Times New Roman"/>
          <w:szCs w:val="24"/>
        </w:rPr>
        <w:fldChar w:fldCharType="separate"/>
      </w:r>
      <w:r w:rsidR="004C46F1">
        <w:rPr>
          <w:rFonts w:ascii="Times New Roman" w:hAnsi="Times New Roman"/>
          <w:noProof/>
          <w:szCs w:val="24"/>
        </w:rPr>
        <w:t>(Bradley, 2009)</w:t>
      </w:r>
      <w:r>
        <w:rPr>
          <w:rFonts w:ascii="Times New Roman" w:hAnsi="Times New Roman"/>
          <w:szCs w:val="24"/>
        </w:rPr>
        <w:fldChar w:fldCharType="end"/>
      </w:r>
      <w:r>
        <w:rPr>
          <w:rFonts w:ascii="Times New Roman" w:hAnsi="Times New Roman"/>
          <w:szCs w:val="24"/>
        </w:rPr>
        <w:t xml:space="preserve">.  Prior to this, there had been a patchwork development and delivery of </w:t>
      </w:r>
      <w:r w:rsidRPr="00E77F62">
        <w:rPr>
          <w:rFonts w:ascii="Times New Roman" w:hAnsi="Times New Roman"/>
          <w:szCs w:val="24"/>
        </w:rPr>
        <w:t>these services</w:t>
      </w:r>
      <w:r>
        <w:rPr>
          <w:rFonts w:ascii="Times New Roman" w:hAnsi="Times New Roman"/>
          <w:szCs w:val="24"/>
        </w:rPr>
        <w:t xml:space="preserve"> </w:t>
      </w:r>
      <w:r w:rsidRPr="00E77F62">
        <w:rPr>
          <w:rFonts w:ascii="Times New Roman" w:hAnsi="Times New Roman"/>
          <w:szCs w:val="24"/>
        </w:rPr>
        <w:t>since the late 1980s</w:t>
      </w:r>
      <w:r>
        <w:rPr>
          <w:rFonts w:ascii="Times New Roman" w:hAnsi="Times New Roman"/>
          <w:szCs w:val="24"/>
        </w:rPr>
        <w:t xml:space="preserve">, influenced by local interest </w:t>
      </w:r>
      <w:r>
        <w:rPr>
          <w:rFonts w:ascii="Times New Roman" w:hAnsi="Times New Roman"/>
          <w:szCs w:val="24"/>
        </w:rPr>
        <w:fldChar w:fldCharType="begin"/>
      </w:r>
      <w:r w:rsidR="004C46F1">
        <w:rPr>
          <w:rFonts w:ascii="Times New Roman" w:hAnsi="Times New Roman"/>
          <w:szCs w:val="24"/>
        </w:rPr>
        <w:instrText xml:space="preserve"> ADDIN EN.CITE &lt;EndNote&gt;&lt;Cite&gt;&lt;Author&gt;Srivastava&lt;/Author&gt;&lt;Year&gt;2013&lt;/Year&gt;&lt;RecNum&gt;1118&lt;/RecNum&gt;&lt;DisplayText&gt;(Srivastava, Forrester, Davies, &amp;amp; Nadkarni, 2013)&lt;/DisplayText&gt;&lt;record&gt;&lt;rec-number&gt;1118&lt;/rec-number&gt;&lt;foreign-keys&gt;&lt;key app="EN" db-id="0wtfxzrvwtvfszed0s9vdzam00frxexae5vz" timestamp="1590391410"&gt;1118&lt;/key&gt;&lt;/foreign-keys&gt;&lt;ref-type name="Generic"&gt;13&lt;/ref-type&gt;&lt;contributors&gt;&lt;authors&gt;&lt;author&gt;Srivastava, Samir&lt;/author&gt;&lt;author&gt;Forrester, Andrew&lt;/author&gt;&lt;author&gt;Davies, Steffan&lt;/author&gt;&lt;author&gt;Nadkarni, Rajesh&lt;/author&gt;&lt;/authors&gt;&lt;/contributors&gt;&lt;titles&gt;&lt;title&gt;Developing criminal justice liaison and diversion services: research priorities and international learning&lt;/title&gt;&lt;/titles&gt;&lt;dates&gt;&lt;year&gt;2013&lt;/year&gt;&lt;/dates&gt;&lt;publisher&gt;HeinOnline&lt;/publisher&gt;&lt;urls&gt;&lt;/urls&gt;&lt;/record&gt;&lt;/Cite&gt;&lt;/EndNote&gt;</w:instrText>
      </w:r>
      <w:r>
        <w:rPr>
          <w:rFonts w:ascii="Times New Roman" w:hAnsi="Times New Roman"/>
          <w:szCs w:val="24"/>
        </w:rPr>
        <w:fldChar w:fldCharType="separate"/>
      </w:r>
      <w:r w:rsidR="004C46F1">
        <w:rPr>
          <w:rFonts w:ascii="Times New Roman" w:hAnsi="Times New Roman"/>
          <w:noProof/>
          <w:szCs w:val="24"/>
        </w:rPr>
        <w:t>(Srivastava, Forrester, Davies, &amp; Nadkarni, 2013)</w:t>
      </w:r>
      <w:r>
        <w:rPr>
          <w:rFonts w:ascii="Times New Roman" w:hAnsi="Times New Roman"/>
          <w:szCs w:val="24"/>
        </w:rPr>
        <w:fldChar w:fldCharType="end"/>
      </w:r>
      <w:r>
        <w:rPr>
          <w:rFonts w:ascii="Times New Roman" w:hAnsi="Times New Roman"/>
          <w:szCs w:val="24"/>
        </w:rPr>
        <w:t xml:space="preserve">. The current operating </w:t>
      </w:r>
      <w:r w:rsidRPr="00933AB7">
        <w:rPr>
          <w:rFonts w:ascii="Times New Roman" w:hAnsi="Times New Roman"/>
          <w:szCs w:val="24"/>
        </w:rPr>
        <w:t>model</w:t>
      </w:r>
      <w:r>
        <w:rPr>
          <w:rFonts w:ascii="Times New Roman" w:hAnsi="Times New Roman"/>
          <w:szCs w:val="24"/>
        </w:rPr>
        <w:t xml:space="preserve"> </w:t>
      </w:r>
      <w:r>
        <w:rPr>
          <w:rFonts w:ascii="Times New Roman" w:hAnsi="Times New Roman"/>
          <w:szCs w:val="24"/>
        </w:rPr>
        <w:fldChar w:fldCharType="begin"/>
      </w:r>
      <w:r w:rsidR="004C46F1">
        <w:rPr>
          <w:rFonts w:ascii="Times New Roman" w:hAnsi="Times New Roman"/>
          <w:szCs w:val="24"/>
        </w:rPr>
        <w:instrText xml:space="preserve"> ADDIN EN.CITE &lt;EndNote&gt;&lt;Cite&gt;&lt;Author&gt;England.&lt;/Author&gt;&lt;Year&gt;2019&lt;/Year&gt;&lt;RecNum&gt;1120&lt;/RecNum&gt;&lt;DisplayText&gt;(N. England., 2019)&lt;/DisplayText&gt;&lt;record&gt;&lt;rec-number&gt;1120&lt;/rec-number&gt;&lt;foreign-keys&gt;&lt;key app="EN" db-id="0wtfxzrvwtvfszed0s9vdzam00frxexae5vz" timestamp="1590391550"&gt;1120&lt;/key&gt;&lt;/foreign-keys&gt;&lt;ref-type name="Government Document"&gt;46&lt;/ref-type&gt;&lt;contributors&gt;&lt;authors&gt;&lt;author&gt;NHS England.&lt;/author&gt;&lt;/authors&gt;&lt;/contributors&gt;&lt;titles&gt;&lt;title&gt;Liaison and diversion standard service specification. London: The National Liaison and Diversion Programme, NHS England and Improvement. &lt;/title&gt;&lt;/titles&gt;&lt;dates&gt;&lt;year&gt;2019&lt;/year&gt;&lt;/dates&gt;&lt;pub-location&gt;London: &lt;/pub-location&gt;&lt;publisher&gt; London: The National Liaison and Diversion Programme, NHS England and Improvement. &lt;/publisher&gt;&lt;urls&gt;&lt;/urls&gt;&lt;/record&gt;&lt;/Cite&gt;&lt;/EndNote&gt;</w:instrText>
      </w:r>
      <w:r>
        <w:rPr>
          <w:rFonts w:ascii="Times New Roman" w:hAnsi="Times New Roman"/>
          <w:szCs w:val="24"/>
        </w:rPr>
        <w:fldChar w:fldCharType="separate"/>
      </w:r>
      <w:r w:rsidR="004C46F1">
        <w:rPr>
          <w:rFonts w:ascii="Times New Roman" w:hAnsi="Times New Roman"/>
          <w:noProof/>
          <w:szCs w:val="24"/>
        </w:rPr>
        <w:t>(N. England., 2019)</w:t>
      </w:r>
      <w:r>
        <w:rPr>
          <w:rFonts w:ascii="Times New Roman" w:hAnsi="Times New Roman"/>
          <w:szCs w:val="24"/>
        </w:rPr>
        <w:fldChar w:fldCharType="end"/>
      </w:r>
      <w:r>
        <w:rPr>
          <w:rFonts w:ascii="Times New Roman" w:hAnsi="Times New Roman"/>
          <w:szCs w:val="24"/>
        </w:rPr>
        <w:t xml:space="preserve"> includes </w:t>
      </w:r>
      <w:r w:rsidRPr="00933AB7">
        <w:rPr>
          <w:rFonts w:ascii="Times New Roman" w:hAnsi="Times New Roman"/>
          <w:szCs w:val="24"/>
        </w:rPr>
        <w:t>the use of screening to identify specified vulnerabilities</w:t>
      </w:r>
      <w:r>
        <w:rPr>
          <w:rFonts w:ascii="Times New Roman" w:hAnsi="Times New Roman"/>
          <w:szCs w:val="24"/>
        </w:rPr>
        <w:t xml:space="preserve"> </w:t>
      </w:r>
      <w:r w:rsidRPr="008F3198">
        <w:rPr>
          <w:rFonts w:ascii="Times New Roman" w:hAnsi="Times New Roman"/>
          <w:szCs w:val="24"/>
        </w:rPr>
        <w:t xml:space="preserve">such as severe mental illness </w:t>
      </w:r>
      <w:r w:rsidRPr="00933AB7">
        <w:rPr>
          <w:rFonts w:ascii="Times New Roman" w:hAnsi="Times New Roman"/>
          <w:szCs w:val="24"/>
        </w:rPr>
        <w:t>and to assess for levels of risk</w:t>
      </w:r>
      <w:r>
        <w:rPr>
          <w:rFonts w:ascii="Times New Roman" w:hAnsi="Times New Roman"/>
          <w:szCs w:val="24"/>
        </w:rPr>
        <w:t xml:space="preserve"> </w:t>
      </w:r>
      <w:r>
        <w:rPr>
          <w:rFonts w:ascii="Times New Roman" w:hAnsi="Times New Roman"/>
          <w:szCs w:val="24"/>
        </w:rPr>
        <w:fldChar w:fldCharType="begin"/>
      </w:r>
      <w:r w:rsidR="004C46F1">
        <w:rPr>
          <w:rFonts w:ascii="Times New Roman" w:hAnsi="Times New Roman"/>
          <w:szCs w:val="24"/>
        </w:rPr>
        <w:instrText xml:space="preserve"> ADDIN EN.CITE &lt;EndNote&gt;&lt;Cite&gt;&lt;Author&gt;Disley&lt;/Author&gt;&lt;Year&gt;2016&lt;/Year&gt;&lt;RecNum&gt;986&lt;/RecNum&gt;&lt;DisplayText&gt;(Disley, 2016)&lt;/DisplayText&gt;&lt;record&gt;&lt;rec-number&gt;986&lt;/rec-number&gt;&lt;foreign-keys&gt;&lt;key app="EN" db-id="0wtfxzrvwtvfszed0s9vdzam00frxexae5vz" timestamp="1588158001"&gt;986&lt;/key&gt;&lt;/foreign-keys&gt;&lt;ref-type name="Book"&gt;6&lt;/ref-type&gt;&lt;contributors&gt;&lt;authors&gt;&lt;author&gt;Disley, E., Taylor, C., Kruithof, K., Winpenny, E., Liddle, M., Sutherland, A., Lilford, R,. Wright, S .,McAteer, L &amp;amp; Francis, V. &lt;/author&gt;&lt;/authors&gt;&lt;/contributors&gt;&lt;titles&gt;&lt;title&gt;Evaluation of the offender liaison and diversion trial schemes.&lt;/title&gt;&lt;/titles&gt;&lt;dates&gt;&lt;year&gt;2016&lt;/year&gt;&lt;/dates&gt;&lt;pub-location&gt;London&lt;/pub-location&gt;&lt;publisher&gt;RAND&lt;/publisher&gt;&lt;urls&gt;&lt;/urls&gt;&lt;/record&gt;&lt;/Cite&gt;&lt;/EndNote&gt;</w:instrText>
      </w:r>
      <w:r>
        <w:rPr>
          <w:rFonts w:ascii="Times New Roman" w:hAnsi="Times New Roman"/>
          <w:szCs w:val="24"/>
        </w:rPr>
        <w:fldChar w:fldCharType="separate"/>
      </w:r>
      <w:r w:rsidR="004C46F1">
        <w:rPr>
          <w:rFonts w:ascii="Times New Roman" w:hAnsi="Times New Roman"/>
          <w:noProof/>
          <w:szCs w:val="24"/>
        </w:rPr>
        <w:t>(Disley, 2016)</w:t>
      </w:r>
      <w:r>
        <w:rPr>
          <w:rFonts w:ascii="Times New Roman" w:hAnsi="Times New Roman"/>
          <w:szCs w:val="24"/>
        </w:rPr>
        <w:fldChar w:fldCharType="end"/>
      </w:r>
      <w:r>
        <w:rPr>
          <w:rFonts w:ascii="Times New Roman" w:hAnsi="Times New Roman"/>
          <w:szCs w:val="24"/>
        </w:rPr>
        <w:t xml:space="preserve">. </w:t>
      </w:r>
    </w:p>
    <w:p w14:paraId="37DE5D02" w14:textId="77777777" w:rsidR="000B1425" w:rsidRDefault="000B1425" w:rsidP="000B1425">
      <w:pPr>
        <w:spacing w:line="480" w:lineRule="auto"/>
        <w:rPr>
          <w:rFonts w:ascii="Times New Roman" w:hAnsi="Times New Roman"/>
          <w:szCs w:val="24"/>
        </w:rPr>
      </w:pPr>
    </w:p>
    <w:p w14:paraId="68A2E4B3" w14:textId="2FC33203" w:rsidR="000B1425" w:rsidRPr="00F92FB8" w:rsidRDefault="000B1425" w:rsidP="00D43917">
      <w:pPr>
        <w:spacing w:line="480" w:lineRule="auto"/>
        <w:ind w:firstLine="720"/>
        <w:rPr>
          <w:rFonts w:ascii="Times New Roman" w:hAnsi="Times New Roman"/>
          <w:szCs w:val="24"/>
        </w:rPr>
      </w:pPr>
      <w:r>
        <w:rPr>
          <w:rFonts w:ascii="Times New Roman" w:hAnsi="Times New Roman"/>
          <w:szCs w:val="24"/>
        </w:rPr>
        <w:t xml:space="preserve">People with </w:t>
      </w:r>
      <w:r w:rsidRPr="00F92FB8">
        <w:rPr>
          <w:rFonts w:ascii="Times New Roman" w:hAnsi="Times New Roman"/>
          <w:szCs w:val="24"/>
        </w:rPr>
        <w:t>ND include</w:t>
      </w:r>
      <w:r>
        <w:rPr>
          <w:rFonts w:ascii="Times New Roman" w:hAnsi="Times New Roman"/>
          <w:szCs w:val="24"/>
        </w:rPr>
        <w:t xml:space="preserve"> </w:t>
      </w:r>
      <w:r w:rsidRPr="00F92FB8">
        <w:rPr>
          <w:rFonts w:ascii="Times New Roman" w:hAnsi="Times New Roman"/>
          <w:szCs w:val="24"/>
        </w:rPr>
        <w:t xml:space="preserve">those with intellectual disability (ID), autism spectrum disorders (ASD) and attention-deficit/hyperactivity disorder (ADHD) as described in DSM-5 </w:t>
      </w:r>
      <w:r>
        <w:rPr>
          <w:rFonts w:ascii="Times New Roman" w:hAnsi="Times New Roman"/>
          <w:szCs w:val="24"/>
        </w:rPr>
        <w:fldChar w:fldCharType="begin"/>
      </w:r>
      <w:r w:rsidR="004C46F1">
        <w:rPr>
          <w:rFonts w:ascii="Times New Roman" w:hAnsi="Times New Roman"/>
          <w:szCs w:val="24"/>
        </w:rPr>
        <w:instrText xml:space="preserve"> ADDIN EN.CITE &lt;EndNote&gt;&lt;Cite&gt;&lt;Author&gt;Association&lt;/Author&gt;&lt;Year&gt;2013&lt;/Year&gt;&lt;RecNum&gt;1329&lt;/RecNum&gt;&lt;DisplayText&gt;(Association, 2013)&lt;/DisplayText&gt;&lt;record&gt;&lt;rec-number&gt;1329&lt;/rec-number&gt;&lt;foreign-keys&gt;&lt;key app="EN" db-id="0wtfxzrvwtvfszed0s9vdzam00frxexae5vz" timestamp="1617623139"&gt;1329&lt;/key&gt;&lt;/foreign-keys&gt;&lt;ref-type name="Book"&gt;6&lt;/ref-type&gt;&lt;contributors&gt;&lt;authors&gt;&lt;author&gt;American Psychiatric Association&lt;/author&gt;&lt;/authors&gt;&lt;/contributors&gt;&lt;titles&gt;&lt;title&gt;DSM 5&lt;/title&gt;&lt;secondary-title&gt;70&lt;/secondary-title&gt;&lt;/titles&gt;&lt;dates&gt;&lt;year&gt;2013&lt;/year&gt;&lt;/dates&gt;&lt;publisher&gt;American Psychiatric Association&lt;/publisher&gt;&lt;urls&gt;&lt;/urls&gt;&lt;/record&gt;&lt;/Cite&gt;&lt;/EndNote&gt;</w:instrText>
      </w:r>
      <w:r>
        <w:rPr>
          <w:rFonts w:ascii="Times New Roman" w:hAnsi="Times New Roman"/>
          <w:szCs w:val="24"/>
        </w:rPr>
        <w:fldChar w:fldCharType="separate"/>
      </w:r>
      <w:r w:rsidR="004C46F1">
        <w:rPr>
          <w:rFonts w:ascii="Times New Roman" w:hAnsi="Times New Roman"/>
          <w:noProof/>
          <w:szCs w:val="24"/>
        </w:rPr>
        <w:t>(Association, 2013)</w:t>
      </w:r>
      <w:r>
        <w:rPr>
          <w:rFonts w:ascii="Times New Roman" w:hAnsi="Times New Roman"/>
          <w:szCs w:val="24"/>
        </w:rPr>
        <w:fldChar w:fldCharType="end"/>
      </w:r>
      <w:r>
        <w:rPr>
          <w:rFonts w:ascii="Times New Roman" w:hAnsi="Times New Roman"/>
          <w:szCs w:val="24"/>
        </w:rPr>
        <w:t xml:space="preserve">. They </w:t>
      </w:r>
      <w:r w:rsidRPr="00F92FB8">
        <w:rPr>
          <w:rFonts w:ascii="Times New Roman" w:hAnsi="Times New Roman"/>
          <w:szCs w:val="24"/>
        </w:rPr>
        <w:t xml:space="preserve">may </w:t>
      </w:r>
      <w:r>
        <w:rPr>
          <w:rFonts w:ascii="Times New Roman" w:hAnsi="Times New Roman"/>
          <w:szCs w:val="24"/>
        </w:rPr>
        <w:t>present with</w:t>
      </w:r>
      <w:r w:rsidRPr="00F92FB8">
        <w:rPr>
          <w:rFonts w:ascii="Times New Roman" w:hAnsi="Times New Roman"/>
          <w:szCs w:val="24"/>
        </w:rPr>
        <w:t xml:space="preserve"> neuropsychiatric problems</w:t>
      </w:r>
      <w:r>
        <w:rPr>
          <w:rFonts w:ascii="Times New Roman" w:hAnsi="Times New Roman"/>
          <w:szCs w:val="24"/>
        </w:rPr>
        <w:t>, as well as i</w:t>
      </w:r>
      <w:r w:rsidRPr="00F92FB8">
        <w:rPr>
          <w:rFonts w:ascii="Times New Roman" w:hAnsi="Times New Roman"/>
          <w:szCs w:val="24"/>
        </w:rPr>
        <w:t>mpaired motor, cognitive</w:t>
      </w:r>
      <w:r>
        <w:rPr>
          <w:rFonts w:ascii="Times New Roman" w:hAnsi="Times New Roman"/>
          <w:szCs w:val="24"/>
        </w:rPr>
        <w:t xml:space="preserve">, social and </w:t>
      </w:r>
      <w:r w:rsidRPr="00F92FB8">
        <w:rPr>
          <w:rFonts w:ascii="Times New Roman" w:hAnsi="Times New Roman"/>
          <w:szCs w:val="24"/>
        </w:rPr>
        <w:t>communication</w:t>
      </w:r>
      <w:r>
        <w:rPr>
          <w:rFonts w:ascii="Times New Roman" w:hAnsi="Times New Roman"/>
          <w:szCs w:val="24"/>
        </w:rPr>
        <w:t xml:space="preserve"> functioning. The provision of improvements across health, social care </w:t>
      </w:r>
      <w:r>
        <w:rPr>
          <w:rFonts w:ascii="Times New Roman" w:hAnsi="Times New Roman"/>
          <w:szCs w:val="24"/>
        </w:rPr>
        <w:lastRenderedPageBreak/>
        <w:t xml:space="preserve">and the criminal justice system to support people with ND who are charged with offences, or have offended, are now part of an evolving international discussion </w:t>
      </w:r>
      <w:r>
        <w:rPr>
          <w:rFonts w:ascii="Times New Roman" w:hAnsi="Times New Roman"/>
          <w:szCs w:val="24"/>
        </w:rPr>
        <w:fldChar w:fldCharType="begin"/>
      </w:r>
      <w:r w:rsidR="004C46F1">
        <w:rPr>
          <w:rFonts w:ascii="Times New Roman" w:hAnsi="Times New Roman"/>
          <w:szCs w:val="24"/>
        </w:rPr>
        <w:instrText xml:space="preserve"> ADDIN EN.CITE &lt;EndNote&gt;&lt;Cite&gt;&lt;Author&gt;Hollomotz&lt;/Author&gt;&lt;Year&gt;2021&lt;/Year&gt;&lt;RecNum&gt;1331&lt;/RecNum&gt;&lt;DisplayText&gt;(Hollomotz &amp;amp; Talbot, 2021)&lt;/DisplayText&gt;&lt;record&gt;&lt;rec-number&gt;1331&lt;/rec-number&gt;&lt;foreign-keys&gt;&lt;key app="EN" db-id="0wtfxzrvwtvfszed0s9vdzam00frxexae5vz" timestamp="1618916611"&gt;1331&lt;/key&gt;&lt;/foreign-keys&gt;&lt;ref-type name="Journal Article"&gt;17&lt;/ref-type&gt;&lt;contributors&gt;&lt;authors&gt;&lt;author&gt;Hollomotz, Andrea&lt;/author&gt;&lt;author&gt;Talbot, Jenny&lt;/author&gt;&lt;/authors&gt;&lt;/contributors&gt;&lt;titles&gt;&lt;title&gt;Designing Solutions for Improved Support within Health, Social Care and Criminal Justice for Adults with Learning Disabilities and/or Autism who Have Offended&lt;/title&gt;&lt;secondary-title&gt;The Howard Journal of Crime and Justice&lt;/secondary-title&gt;&lt;/titles&gt;&lt;periodical&gt;&lt;full-title&gt;The Howard Journal of Crime and Justice&lt;/full-title&gt;&lt;/periodical&gt;&lt;dates&gt;&lt;year&gt;2021&lt;/year&gt;&lt;/dates&gt;&lt;isbn&gt;2059-1098&amp;#xD;2059-1101&lt;/isbn&gt;&lt;urls&gt;&lt;/urls&gt;&lt;electronic-resource-num&gt;10.1111/hojo.12414&lt;/electronic-resource-num&gt;&lt;/record&gt;&lt;/Cite&gt;&lt;/EndNote&gt;</w:instrText>
      </w:r>
      <w:r>
        <w:rPr>
          <w:rFonts w:ascii="Times New Roman" w:hAnsi="Times New Roman"/>
          <w:szCs w:val="24"/>
        </w:rPr>
        <w:fldChar w:fldCharType="separate"/>
      </w:r>
      <w:r w:rsidR="004C46F1">
        <w:rPr>
          <w:rFonts w:ascii="Times New Roman" w:hAnsi="Times New Roman"/>
          <w:noProof/>
          <w:szCs w:val="24"/>
        </w:rPr>
        <w:t>(Hollomotz &amp; Talbot, 2021)</w:t>
      </w:r>
      <w:r>
        <w:rPr>
          <w:rFonts w:ascii="Times New Roman" w:hAnsi="Times New Roman"/>
          <w:szCs w:val="24"/>
        </w:rPr>
        <w:fldChar w:fldCharType="end"/>
      </w:r>
      <w:r>
        <w:rPr>
          <w:rFonts w:ascii="Times New Roman" w:hAnsi="Times New Roman"/>
          <w:szCs w:val="24"/>
        </w:rPr>
        <w:t>,</w:t>
      </w:r>
    </w:p>
    <w:p w14:paraId="4C2C9219" w14:textId="77777777" w:rsidR="000B1425" w:rsidRDefault="000B1425" w:rsidP="000B1425">
      <w:pPr>
        <w:spacing w:line="480" w:lineRule="auto"/>
        <w:rPr>
          <w:rFonts w:ascii="Times New Roman" w:hAnsi="Times New Roman"/>
          <w:noProof/>
          <w:szCs w:val="24"/>
        </w:rPr>
      </w:pPr>
    </w:p>
    <w:p w14:paraId="64EDB893" w14:textId="7DDA0EC3" w:rsidR="000B1425" w:rsidRDefault="000B1425" w:rsidP="00D43917">
      <w:pPr>
        <w:spacing w:line="480" w:lineRule="auto"/>
        <w:ind w:firstLine="720"/>
        <w:rPr>
          <w:rFonts w:ascii="Times New Roman" w:hAnsi="Times New Roman"/>
          <w:szCs w:val="24"/>
        </w:rPr>
      </w:pPr>
      <w:r w:rsidRPr="0055393C">
        <w:rPr>
          <w:rFonts w:ascii="Times New Roman" w:hAnsi="Times New Roman"/>
          <w:szCs w:val="24"/>
        </w:rPr>
        <w:t>Previous</w:t>
      </w:r>
      <w:r>
        <w:rPr>
          <w:rFonts w:ascii="Times New Roman" w:hAnsi="Times New Roman"/>
          <w:szCs w:val="24"/>
        </w:rPr>
        <w:t xml:space="preserve"> studies of ND amongst people attending courts </w:t>
      </w:r>
      <w:r w:rsidRPr="0055393C">
        <w:rPr>
          <w:rFonts w:ascii="Times New Roman" w:hAnsi="Times New Roman"/>
          <w:szCs w:val="24"/>
        </w:rPr>
        <w:t>have</w:t>
      </w:r>
      <w:r>
        <w:rPr>
          <w:rFonts w:ascii="Times New Roman" w:hAnsi="Times New Roman"/>
          <w:szCs w:val="24"/>
        </w:rPr>
        <w:t xml:space="preserve"> reviewed the </w:t>
      </w:r>
      <w:r w:rsidRPr="0055393C">
        <w:rPr>
          <w:rFonts w:ascii="Times New Roman" w:hAnsi="Times New Roman"/>
          <w:szCs w:val="24"/>
        </w:rPr>
        <w:t>prevalence of ID</w:t>
      </w:r>
      <w:r>
        <w:rPr>
          <w:rFonts w:ascii="Times New Roman" w:hAnsi="Times New Roman"/>
          <w:szCs w:val="24"/>
        </w:rPr>
        <w:t xml:space="preserve"> </w:t>
      </w:r>
      <w:r>
        <w:rPr>
          <w:rFonts w:ascii="Times New Roman" w:hAnsi="Times New Roman"/>
          <w:szCs w:val="24"/>
        </w:rPr>
        <w:fldChar w:fldCharType="begin"/>
      </w:r>
      <w:r w:rsidR="004C46F1">
        <w:rPr>
          <w:rFonts w:ascii="Times New Roman" w:hAnsi="Times New Roman"/>
          <w:szCs w:val="24"/>
        </w:rPr>
        <w:instrText xml:space="preserve"> ADDIN EN.CITE &lt;EndNote&gt;&lt;Cite&gt;&lt;Author&gt;Hayes&lt;/Author&gt;&lt;Year&gt;1997&lt;/Year&gt;&lt;RecNum&gt;972&lt;/RecNum&gt;&lt;DisplayText&gt;(Hayes, 1997; Vanny, Levy, Greenberg, &amp;amp; Hayes, 2009)&lt;/DisplayText&gt;&lt;record&gt;&lt;rec-number&gt;972&lt;/rec-number&gt;&lt;foreign-keys&gt;&lt;key app="EN" db-id="0wtfxzrvwtvfszed0s9vdzam00frxexae5vz" timestamp="1588157968"&gt;972&lt;/key&gt;&lt;/foreign-keys&gt;&lt;ref-type name="Journal Article"&gt;17&lt;/ref-type&gt;&lt;contributors&gt;&lt;authors&gt;&lt;author&gt;Hayes,  S. C. &lt;/author&gt;&lt;/authors&gt;&lt;/contributors&gt;&lt;titles&gt;&lt;title&gt;Prevalence of intellectual disability in local courts.&lt;/title&gt;&lt;secondary-title&gt;Journal of Intellectual and Developmental Disability&lt;/secondary-title&gt;&lt;/titles&gt;&lt;periodical&gt;&lt;full-title&gt;Journal of Intellectual and Developmental Disability&lt;/full-title&gt;&lt;/periodical&gt;&lt;pages&gt;71-85&lt;/pages&gt;&lt;volume&gt;22&lt;/volume&gt;&lt;number&gt;2&lt;/number&gt;&lt;dates&gt;&lt;year&gt;1997&lt;/year&gt;&lt;/dates&gt;&lt;urls&gt;&lt;/urls&gt;&lt;/record&gt;&lt;/Cite&gt;&lt;Cite&gt;&lt;Author&gt;Vanny&lt;/Author&gt;&lt;Year&gt;2009&lt;/Year&gt;&lt;RecNum&gt;991&lt;/RecNum&gt;&lt;record&gt;&lt;rec-number&gt;991&lt;/rec-number&gt;&lt;foreign-keys&gt;&lt;key app="EN" db-id="0wtfxzrvwtvfszed0s9vdzam00frxexae5vz" timestamp="1588180569"&gt;991&lt;/key&gt;&lt;/foreign-keys&gt;&lt;ref-type name="Journal Article"&gt;17&lt;/ref-type&gt;&lt;contributors&gt;&lt;authors&gt;&lt;author&gt;Vanny, Kathryn A&lt;/author&gt;&lt;author&gt;Levy, MH&lt;/author&gt;&lt;author&gt;Greenberg, DM&lt;/author&gt;&lt;author&gt;Hayes, SC&lt;/author&gt;&lt;/authors&gt;&lt;/contributors&gt;&lt;titles&gt;&lt;title&gt;Mental illness and intellectual disability in magistrates courts in New South Wales, Australia&lt;/title&gt;&lt;secondary-title&gt;Journal of Intellectual Disability Research&lt;/secondary-title&gt;&lt;/titles&gt;&lt;periodical&gt;&lt;full-title&gt;Journal of Intellectual Disability Research&lt;/full-title&gt;&lt;/periodical&gt;&lt;pages&gt;289-297&lt;/pages&gt;&lt;volume&gt;53&lt;/volume&gt;&lt;number&gt;3&lt;/number&gt;&lt;dates&gt;&lt;year&gt;2009&lt;/year&gt;&lt;/dates&gt;&lt;isbn&gt;0964-2633&lt;/isbn&gt;&lt;urls&gt;&lt;/urls&gt;&lt;/record&gt;&lt;/Cite&gt;&lt;/EndNote&gt;</w:instrText>
      </w:r>
      <w:r>
        <w:rPr>
          <w:rFonts w:ascii="Times New Roman" w:hAnsi="Times New Roman"/>
          <w:szCs w:val="24"/>
        </w:rPr>
        <w:fldChar w:fldCharType="separate"/>
      </w:r>
      <w:r w:rsidR="004C46F1">
        <w:rPr>
          <w:rFonts w:ascii="Times New Roman" w:hAnsi="Times New Roman"/>
          <w:noProof/>
          <w:szCs w:val="24"/>
        </w:rPr>
        <w:t>(Hayes, 1997; Vanny, Levy, Greenberg, &amp; Hayes, 2009)</w:t>
      </w:r>
      <w:r>
        <w:rPr>
          <w:rFonts w:ascii="Times New Roman" w:hAnsi="Times New Roman"/>
          <w:szCs w:val="24"/>
        </w:rPr>
        <w:fldChar w:fldCharType="end"/>
      </w:r>
      <w:r>
        <w:rPr>
          <w:rFonts w:ascii="Times New Roman" w:hAnsi="Times New Roman"/>
          <w:noProof/>
          <w:szCs w:val="24"/>
        </w:rPr>
        <w:t xml:space="preserve"> </w:t>
      </w:r>
      <w:r>
        <w:rPr>
          <w:rFonts w:ascii="Times New Roman" w:hAnsi="Times New Roman"/>
          <w:szCs w:val="24"/>
        </w:rPr>
        <w:t xml:space="preserve">or ASD </w:t>
      </w:r>
      <w:r>
        <w:rPr>
          <w:rFonts w:ascii="Times New Roman" w:hAnsi="Times New Roman"/>
          <w:szCs w:val="24"/>
        </w:rPr>
        <w:fldChar w:fldCharType="begin"/>
      </w:r>
      <w:r w:rsidR="004C46F1">
        <w:rPr>
          <w:rFonts w:ascii="Times New Roman" w:hAnsi="Times New Roman"/>
          <w:szCs w:val="24"/>
        </w:rPr>
        <w:instrText xml:space="preserve"> ADDIN EN.CITE &lt;EndNote&gt;&lt;Cite&gt;&lt;Author&gt;Kumagami&lt;/Author&gt;&lt;Year&gt;2006&lt;/Year&gt;&lt;RecNum&gt;931&lt;/RecNum&gt;&lt;DisplayText&gt;(Kumagami, 2006)&lt;/DisplayText&gt;&lt;record&gt;&lt;rec-number&gt;931&lt;/rec-number&gt;&lt;foreign-keys&gt;&lt;key app="EN" db-id="0wtfxzrvwtvfszed0s9vdzam00frxexae5vz" timestamp="1478558762"&gt;931&lt;/key&gt;&lt;/foreign-keys&gt;&lt;ref-type name="Journal Article"&gt;17&lt;/ref-type&gt;&lt;contributors&gt;&lt;authors&gt;&lt;author&gt;Kumagami, Takashi&lt;/author&gt;&lt;/authors&gt;&lt;/contributors&gt;&lt;auth-address&gt;Tokyo family court.&lt;/auth-address&gt;&lt;titles&gt;&lt;title&gt;[Characteristics of juvenile court cases with pervasive developmental disorder]&lt;/title&gt;&lt;secondary-title&gt;Seishin Shinkeigaku Zasshi = Psychiatria Et Neurologia Japonica&lt;/secondary-title&gt;&lt;/titles&gt;&lt;periodical&gt;&lt;full-title&gt;Seishin Shinkeigaku Zasshi = Psychiatria Et Neurologia Japonica&lt;/full-title&gt;&lt;/periodical&gt;&lt;pages&gt;327-336&lt;/pages&gt;&lt;volume&gt;108&lt;/volume&gt;&lt;number&gt;4&lt;/number&gt;&lt;keywords&gt;&lt;keyword&gt;Child Development Disorders, Pervasive/*psychology&lt;/keyword&gt;&lt;keyword&gt;Juvenile Delinquency/*psychology&lt;/keyword&gt;&lt;keyword&gt;Adolescent&lt;/keyword&gt;&lt;keyword&gt;Adult&lt;/keyword&gt;&lt;keyword&gt;Child&lt;/keyword&gt;&lt;keyword&gt;Female&lt;/keyword&gt;&lt;keyword&gt;Humans&lt;/keyword&gt;&lt;keyword&gt;Male&lt;/keyword&gt;&lt;/keywords&gt;&lt;dates&gt;&lt;year&gt;2006&lt;/year&gt;&lt;/dates&gt;&lt;pub-location&gt;Japan&lt;/pub-location&gt;&lt;publisher&gt;Nihon Seishin Shinkei Gakkai&lt;/publisher&gt;&lt;isbn&gt;0033-2658&lt;/isbn&gt;&lt;accession-num&gt;16761693&lt;/accession-num&gt;&lt;urls&gt;&lt;related-urls&gt;&lt;url&gt;http://search.ebscohost.com/login.aspx?direct=true&amp;amp;db=cmedm&amp;amp;AN=16761693&amp;amp;site=ehost-live&lt;/url&gt;&lt;/related-urls&gt;&lt;/urls&gt;&lt;remote-database-name&gt;cmedm&lt;/remote-database-name&gt;&lt;remote-database-provider&gt;EBSCOhost&lt;/remote-database-provider&gt;&lt;/record&gt;&lt;/Cite&gt;&lt;/EndNote&gt;</w:instrText>
      </w:r>
      <w:r>
        <w:rPr>
          <w:rFonts w:ascii="Times New Roman" w:hAnsi="Times New Roman"/>
          <w:szCs w:val="24"/>
        </w:rPr>
        <w:fldChar w:fldCharType="separate"/>
      </w:r>
      <w:r w:rsidR="004C46F1">
        <w:rPr>
          <w:rFonts w:ascii="Times New Roman" w:hAnsi="Times New Roman"/>
          <w:noProof/>
          <w:szCs w:val="24"/>
        </w:rPr>
        <w:t>(Kumagami, 2006)</w:t>
      </w:r>
      <w:r>
        <w:rPr>
          <w:rFonts w:ascii="Times New Roman" w:hAnsi="Times New Roman"/>
          <w:szCs w:val="24"/>
        </w:rPr>
        <w:fldChar w:fldCharType="end"/>
      </w:r>
      <w:r>
        <w:rPr>
          <w:rFonts w:ascii="Times New Roman" w:hAnsi="Times New Roman"/>
          <w:szCs w:val="24"/>
        </w:rPr>
        <w:t xml:space="preserve"> the characteristics</w:t>
      </w:r>
      <w:r w:rsidRPr="0055393C">
        <w:rPr>
          <w:rFonts w:ascii="Times New Roman" w:hAnsi="Times New Roman"/>
          <w:szCs w:val="24"/>
        </w:rPr>
        <w:t xml:space="preserve"> </w:t>
      </w:r>
      <w:r>
        <w:rPr>
          <w:rFonts w:ascii="Times New Roman" w:hAnsi="Times New Roman"/>
          <w:szCs w:val="24"/>
        </w:rPr>
        <w:t xml:space="preserve">of defendants </w:t>
      </w:r>
      <w:r>
        <w:rPr>
          <w:rFonts w:ascii="Times New Roman" w:hAnsi="Times New Roman"/>
          <w:szCs w:val="24"/>
        </w:rPr>
        <w:fldChar w:fldCharType="begin"/>
      </w:r>
      <w:r w:rsidR="004C46F1">
        <w:rPr>
          <w:rFonts w:ascii="Times New Roman" w:hAnsi="Times New Roman"/>
          <w:szCs w:val="24"/>
        </w:rPr>
        <w:instrText xml:space="preserve"> ADDIN EN.CITE &lt;EndNote&gt;&lt;Cite&gt;&lt;Author&gt;Vinkers&lt;/Author&gt;&lt;Year&gt;2013&lt;/Year&gt;&lt;RecNum&gt;966&lt;/RecNum&gt;&lt;DisplayText&gt;(Vinkers, 2013)&lt;/DisplayText&gt;&lt;record&gt;&lt;rec-number&gt;966&lt;/rec-number&gt;&lt;foreign-keys&gt;&lt;key app="EN" db-id="0wtfxzrvwtvfszed0s9vdzam00frxexae5vz" timestamp="1588157956"&gt;966&lt;/key&gt;&lt;/foreign-keys&gt;&lt;ref-type name="Journal Article"&gt;17&lt;/ref-type&gt;&lt;contributors&gt;&lt;authors&gt;&lt;author&gt;Vinkers, D. J.&lt;/author&gt;&lt;/authors&gt;&lt;/contributors&gt;&lt;titles&gt;&lt;title&gt;Pre‐trial reported defendants in the Netherlands with intellectual disability, borderline and normal intellectual functioning.&lt;/title&gt;&lt;secondary-title&gt;Journal of applied research in intellectual disabilities&lt;/secondary-title&gt;&lt;/titles&gt;&lt;periodical&gt;&lt;full-title&gt;Journal of Applied Research in Intellectual Disabilities&lt;/full-title&gt;&lt;/periodical&gt;&lt;pages&gt;357-361&lt;/pages&gt;&lt;volume&gt;26&lt;/volume&gt;&lt;number&gt;5&lt;/number&gt;&lt;dates&gt;&lt;year&gt;2013&lt;/year&gt;&lt;/dates&gt;&lt;urls&gt;&lt;/urls&gt;&lt;/record&gt;&lt;/Cite&gt;&lt;/EndNote&gt;</w:instrText>
      </w:r>
      <w:r>
        <w:rPr>
          <w:rFonts w:ascii="Times New Roman" w:hAnsi="Times New Roman"/>
          <w:szCs w:val="24"/>
        </w:rPr>
        <w:fldChar w:fldCharType="separate"/>
      </w:r>
      <w:r w:rsidR="004C46F1">
        <w:rPr>
          <w:rFonts w:ascii="Times New Roman" w:hAnsi="Times New Roman"/>
          <w:noProof/>
          <w:szCs w:val="24"/>
        </w:rPr>
        <w:t>(Vinkers, 2013)</w:t>
      </w:r>
      <w:r>
        <w:rPr>
          <w:rFonts w:ascii="Times New Roman" w:hAnsi="Times New Roman"/>
          <w:szCs w:val="24"/>
        </w:rPr>
        <w:fldChar w:fldCharType="end"/>
      </w:r>
      <w:r>
        <w:rPr>
          <w:rFonts w:ascii="Times New Roman" w:hAnsi="Times New Roman"/>
          <w:szCs w:val="24"/>
        </w:rPr>
        <w:t xml:space="preserve"> and </w:t>
      </w:r>
      <w:r w:rsidRPr="0055393C">
        <w:rPr>
          <w:rFonts w:ascii="Times New Roman" w:hAnsi="Times New Roman"/>
          <w:szCs w:val="24"/>
        </w:rPr>
        <w:t>ADHD symptom</w:t>
      </w:r>
      <w:r>
        <w:rPr>
          <w:rFonts w:ascii="Times New Roman" w:hAnsi="Times New Roman"/>
          <w:szCs w:val="24"/>
        </w:rPr>
        <w:t xml:space="preserve"> frequency </w:t>
      </w:r>
      <w:r>
        <w:rPr>
          <w:rFonts w:ascii="Times New Roman" w:hAnsi="Times New Roman"/>
          <w:szCs w:val="24"/>
        </w:rPr>
        <w:fldChar w:fldCharType="begin"/>
      </w:r>
      <w:r w:rsidR="004C46F1">
        <w:rPr>
          <w:rFonts w:ascii="Times New Roman" w:hAnsi="Times New Roman"/>
          <w:szCs w:val="24"/>
        </w:rPr>
        <w:instrText xml:space="preserve"> ADDIN EN.CITE &lt;EndNote&gt;&lt;Cite&gt;&lt;Author&gt;Andretta&lt;/Author&gt;&lt;Year&gt;2013&lt;/Year&gt;&lt;RecNum&gt;992&lt;/RecNum&gt;&lt;DisplayText&gt;(Andretta, 2013)&lt;/DisplayText&gt;&lt;record&gt;&lt;rec-number&gt;992&lt;/rec-number&gt;&lt;foreign-keys&gt;&lt;key app="EN" db-id="0wtfxzrvwtvfszed0s9vdzam00frxexae5vz" timestamp="1588187992"&gt;992&lt;/key&gt;&lt;/foreign-keys&gt;&lt;ref-type name="Journal Article"&gt;17&lt;/ref-type&gt;&lt;contributors&gt;&lt;authors&gt;&lt;author&gt;Andretta, JR, Woodland, MH, Ramirez, AM, &amp;amp; Barnes, ME.&lt;/author&gt;&lt;/authors&gt;&lt;/contributors&gt;&lt;titles&gt;&lt;title&gt;ADHD symptom frequency and ADHD symptom count clustering in African-American adolescents with juvenile court contact.&lt;/title&gt;&lt;secondary-title&gt;The Journal of Forensic Psychiatry &amp;amp; Psychology,&lt;/secondary-title&gt;&lt;/titles&gt;&lt;periodical&gt;&lt;full-title&gt;The Journal of Forensic Psychiatry &amp;amp; Psychology,&lt;/full-title&gt;&lt;/periodical&gt;&lt;pages&gt;570-593&lt;/pages&gt;&lt;volume&gt;24&lt;/volume&gt;&lt;number&gt;5&lt;/number&gt;&lt;dates&gt;&lt;year&gt;2013&lt;/year&gt;&lt;/dates&gt;&lt;urls&gt;&lt;/urls&gt;&lt;/record&gt;&lt;/Cite&gt;&lt;/EndNote&gt;</w:instrText>
      </w:r>
      <w:r>
        <w:rPr>
          <w:rFonts w:ascii="Times New Roman" w:hAnsi="Times New Roman"/>
          <w:szCs w:val="24"/>
        </w:rPr>
        <w:fldChar w:fldCharType="separate"/>
      </w:r>
      <w:r w:rsidR="004C46F1">
        <w:rPr>
          <w:rFonts w:ascii="Times New Roman" w:hAnsi="Times New Roman"/>
          <w:noProof/>
          <w:szCs w:val="24"/>
        </w:rPr>
        <w:t>(Andretta, 2013)</w:t>
      </w:r>
      <w:r>
        <w:rPr>
          <w:rFonts w:ascii="Times New Roman" w:hAnsi="Times New Roman"/>
          <w:szCs w:val="24"/>
        </w:rPr>
        <w:fldChar w:fldCharType="end"/>
      </w:r>
      <w:r w:rsidRPr="0055393C">
        <w:rPr>
          <w:rFonts w:ascii="Times New Roman" w:hAnsi="Times New Roman"/>
          <w:szCs w:val="24"/>
        </w:rPr>
        <w:t xml:space="preserve">.  </w:t>
      </w:r>
      <w:r>
        <w:rPr>
          <w:rFonts w:ascii="Times New Roman" w:hAnsi="Times New Roman"/>
          <w:szCs w:val="24"/>
        </w:rPr>
        <w:t>P</w:t>
      </w:r>
      <w:r w:rsidRPr="005E43CA">
        <w:rPr>
          <w:rFonts w:ascii="Times New Roman" w:hAnsi="Times New Roman"/>
          <w:szCs w:val="24"/>
        </w:rPr>
        <w:t xml:space="preserve">revalence estimates </w:t>
      </w:r>
      <w:r>
        <w:rPr>
          <w:rFonts w:ascii="Times New Roman" w:hAnsi="Times New Roman"/>
          <w:szCs w:val="24"/>
        </w:rPr>
        <w:t xml:space="preserve">from systematic reviews show wide variation. The rates for defendants with ND is reported between 10-20% </w:t>
      </w:r>
      <w:r>
        <w:rPr>
          <w:rFonts w:ascii="Times New Roman" w:hAnsi="Times New Roman"/>
          <w:szCs w:val="24"/>
        </w:rPr>
        <w:fldChar w:fldCharType="begin"/>
      </w:r>
      <w:r w:rsidR="004C46F1">
        <w:rPr>
          <w:rFonts w:ascii="Times New Roman" w:hAnsi="Times New Roman"/>
          <w:szCs w:val="24"/>
        </w:rPr>
        <w:instrText xml:space="preserve"> ADDIN EN.CITE &lt;EndNote&gt;&lt;Cite&gt;&lt;Author&gt;Marshall-Tate&lt;/Author&gt;&lt;Year&gt;2020&lt;/Year&gt;&lt;RecNum&gt;1328&lt;/RecNum&gt;&lt;DisplayText&gt;(Marshall-Tate, Chaplin, McCarthy, &amp;amp; Grealish, 2020)&lt;/DisplayText&gt;&lt;record&gt;&lt;rec-number&gt;1328&lt;/rec-number&gt;&lt;foreign-keys&gt;&lt;key app="EN" db-id="0wtfxzrvwtvfszed0s9vdzam00frxexae5vz" timestamp="1615136362"&gt;1328&lt;/key&gt;&lt;/foreign-keys&gt;&lt;ref-type name="Journal Article"&gt;17&lt;/ref-type&gt;&lt;contributors&gt;&lt;authors&gt;&lt;author&gt;Marshall-Tate, Karina&lt;/author&gt;&lt;author&gt;Chaplin, Eddie&lt;/author&gt;&lt;author&gt;McCarthy, Jane&lt;/author&gt;&lt;author&gt;Grealish, Annmarie&lt;/author&gt;&lt;/authors&gt;&lt;/contributors&gt;&lt;titles&gt;&lt;title&gt;A literature review about the prevalence and identification of people with an intellectual disability within court Liaison and Diversion services&lt;/title&gt;&lt;secondary-title&gt;Journal of Intellectual Disabilities and Offending Behaviour&lt;/secondary-title&gt;&lt;/titles&gt;&lt;periodical&gt;&lt;full-title&gt;Journal Of Intellectual Disabilities And Offending Behaviour&lt;/full-title&gt;&lt;/periodical&gt;&lt;pages&gt;159-169&lt;/pages&gt;&lt;volume&gt;11&lt;/volume&gt;&lt;number&gt;3&lt;/number&gt;&lt;dates&gt;&lt;year&gt;2020&lt;/year&gt;&lt;/dates&gt;&lt;publisher&gt;Emerald&lt;/publisher&gt;&lt;isbn&gt;2050-8824&lt;/isbn&gt;&lt;urls&gt;&lt;related-urls&gt;&lt;url&gt;https://dx.doi.org/10.1108/jidob-10-2019-0023&lt;/url&gt;&lt;/related-urls&gt;&lt;/urls&gt;&lt;electronic-resource-num&gt;10.1108/jidob-10-2019-0023&lt;/electronic-resource-num&gt;&lt;/record&gt;&lt;/Cite&gt;&lt;/EndNote&gt;</w:instrText>
      </w:r>
      <w:r>
        <w:rPr>
          <w:rFonts w:ascii="Times New Roman" w:hAnsi="Times New Roman"/>
          <w:szCs w:val="24"/>
        </w:rPr>
        <w:fldChar w:fldCharType="separate"/>
      </w:r>
      <w:r w:rsidR="004C46F1">
        <w:rPr>
          <w:rFonts w:ascii="Times New Roman" w:hAnsi="Times New Roman"/>
          <w:noProof/>
          <w:szCs w:val="24"/>
        </w:rPr>
        <w:t>(Marshall-Tate, Chaplin, McCarthy, &amp; Grealish, 2020)</w:t>
      </w:r>
      <w:r>
        <w:rPr>
          <w:rFonts w:ascii="Times New Roman" w:hAnsi="Times New Roman"/>
          <w:szCs w:val="24"/>
        </w:rPr>
        <w:fldChar w:fldCharType="end"/>
      </w:r>
      <w:r>
        <w:rPr>
          <w:rFonts w:ascii="Times New Roman" w:hAnsi="Times New Roman"/>
          <w:szCs w:val="24"/>
        </w:rPr>
        <w:t xml:space="preserve"> </w:t>
      </w:r>
      <w:r w:rsidRPr="005036D1">
        <w:rPr>
          <w:rFonts w:ascii="Times New Roman" w:hAnsi="Times New Roman"/>
          <w:szCs w:val="24"/>
        </w:rPr>
        <w:t>with little data on</w:t>
      </w:r>
      <w:r>
        <w:rPr>
          <w:rFonts w:ascii="Times New Roman" w:hAnsi="Times New Roman"/>
          <w:szCs w:val="24"/>
        </w:rPr>
        <w:t xml:space="preserve"> the </w:t>
      </w:r>
      <w:r w:rsidRPr="005036D1">
        <w:rPr>
          <w:rFonts w:ascii="Times New Roman" w:hAnsi="Times New Roman"/>
          <w:szCs w:val="24"/>
        </w:rPr>
        <w:t xml:space="preserve">rates </w:t>
      </w:r>
      <w:r>
        <w:rPr>
          <w:rFonts w:ascii="Times New Roman" w:hAnsi="Times New Roman"/>
          <w:szCs w:val="24"/>
        </w:rPr>
        <w:t xml:space="preserve">for </w:t>
      </w:r>
      <w:r w:rsidRPr="005036D1">
        <w:rPr>
          <w:rFonts w:ascii="Times New Roman" w:hAnsi="Times New Roman"/>
          <w:szCs w:val="24"/>
        </w:rPr>
        <w:t xml:space="preserve">defendants with ASD or ADHD within court settings.  </w:t>
      </w:r>
      <w:r w:rsidRPr="008C0FDD">
        <w:rPr>
          <w:rFonts w:ascii="Times New Roman" w:hAnsi="Times New Roman"/>
          <w:szCs w:val="24"/>
        </w:rPr>
        <w:t xml:space="preserve">A lack of awareness </w:t>
      </w:r>
      <w:r>
        <w:rPr>
          <w:rFonts w:ascii="Times New Roman" w:hAnsi="Times New Roman"/>
          <w:szCs w:val="24"/>
        </w:rPr>
        <w:t>and</w:t>
      </w:r>
      <w:r w:rsidRPr="008C0FDD">
        <w:rPr>
          <w:rFonts w:ascii="Times New Roman" w:hAnsi="Times New Roman"/>
          <w:szCs w:val="24"/>
        </w:rPr>
        <w:t xml:space="preserve"> identification of people with ND within those providing </w:t>
      </w:r>
      <w:r w:rsidRPr="009961E0">
        <w:rPr>
          <w:rFonts w:ascii="Times New Roman" w:hAnsi="Times New Roman"/>
          <w:szCs w:val="24"/>
        </w:rPr>
        <w:t>L&amp;D</w:t>
      </w:r>
      <w:r w:rsidRPr="008C0FDD">
        <w:rPr>
          <w:rFonts w:ascii="Times New Roman" w:hAnsi="Times New Roman"/>
          <w:szCs w:val="24"/>
        </w:rPr>
        <w:t xml:space="preserve"> services means that this group may be missed, which will act to limit their participation in the court process</w:t>
      </w:r>
      <w:r>
        <w:rPr>
          <w:rFonts w:ascii="Times New Roman" w:hAnsi="Times New Roman"/>
          <w:szCs w:val="24"/>
        </w:rPr>
        <w:t xml:space="preserve"> </w:t>
      </w:r>
      <w:r>
        <w:rPr>
          <w:rFonts w:ascii="Times New Roman" w:hAnsi="Times New Roman"/>
          <w:szCs w:val="24"/>
        </w:rPr>
        <w:fldChar w:fldCharType="begin">
          <w:fldData xml:space="preserve">PEVuZE5vdGU+PENpdGU+PEF1dGhvcj5HdWRqb25zc29uPC9BdXRob3I+PFllYXI+MjAxMTwvWWVh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</w:fldData>
        </w:fldChar>
      </w:r>
      <w:r w:rsidR="004C46F1">
        <w:rPr>
          <w:rFonts w:ascii="Times New Roman" w:hAnsi="Times New Roman"/>
          <w:szCs w:val="24"/>
        </w:rPr>
        <w:instrText xml:space="preserve"> ADDIN EN.CITE </w:instrText>
      </w:r>
      <w:r w:rsidR="004C46F1">
        <w:rPr>
          <w:rFonts w:ascii="Times New Roman" w:hAnsi="Times New Roman"/>
          <w:szCs w:val="24"/>
        </w:rPr>
        <w:fldChar w:fldCharType="begin">
          <w:fldData xml:space="preserve">PEVuZE5vdGU+PENpdGU+PEF1dGhvcj5HdWRqb25zc29uPC9BdXRob3I+PFllYXI+MjAxMTwvWWVh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</w:fldData>
        </w:fldChar>
      </w:r>
      <w:r w:rsidR="004C46F1">
        <w:rPr>
          <w:rFonts w:ascii="Times New Roman" w:hAnsi="Times New Roman"/>
          <w:szCs w:val="24"/>
        </w:rPr>
        <w:instrText xml:space="preserve"> ADDIN EN.CITE.DATA </w:instrText>
      </w:r>
      <w:r w:rsidR="004C46F1">
        <w:rPr>
          <w:rFonts w:ascii="Times New Roman" w:hAnsi="Times New Roman"/>
          <w:szCs w:val="24"/>
        </w:rPr>
      </w:r>
      <w:r w:rsidR="004C46F1">
        <w:rPr>
          <w:rFonts w:ascii="Times New Roman" w:hAnsi="Times New Roman"/>
          <w:szCs w:val="24"/>
        </w:rPr>
        <w:fldChar w:fldCharType="end"/>
      </w:r>
      <w:r>
        <w:rPr>
          <w:rFonts w:ascii="Times New Roman" w:hAnsi="Times New Roman"/>
          <w:szCs w:val="24"/>
        </w:rPr>
      </w:r>
      <w:r>
        <w:rPr>
          <w:rFonts w:ascii="Times New Roman" w:hAnsi="Times New Roman"/>
          <w:szCs w:val="24"/>
        </w:rPr>
        <w:fldChar w:fldCharType="separate"/>
      </w:r>
      <w:r w:rsidR="004C46F1">
        <w:rPr>
          <w:rFonts w:ascii="Times New Roman" w:hAnsi="Times New Roman"/>
          <w:noProof/>
          <w:szCs w:val="24"/>
        </w:rPr>
        <w:t>(G. Gudjonsson, &amp; Joyce, T., 2011; Søndenaa, 2010; Talbot, 2008)</w:t>
      </w:r>
      <w:r>
        <w:rPr>
          <w:rFonts w:ascii="Times New Roman" w:hAnsi="Times New Roman"/>
          <w:szCs w:val="24"/>
        </w:rPr>
        <w:fldChar w:fldCharType="end"/>
      </w:r>
      <w:r>
        <w:rPr>
          <w:rFonts w:ascii="Times New Roman" w:hAnsi="Times New Roman"/>
          <w:szCs w:val="24"/>
        </w:rPr>
        <w:t xml:space="preserve">. </w:t>
      </w:r>
      <w:r w:rsidRPr="007A06CB">
        <w:rPr>
          <w:rFonts w:ascii="Times New Roman" w:hAnsi="Times New Roman"/>
          <w:szCs w:val="24"/>
        </w:rPr>
        <w:t xml:space="preserve">This group </w:t>
      </w:r>
      <w:r>
        <w:rPr>
          <w:rFonts w:ascii="Times New Roman" w:hAnsi="Times New Roman"/>
          <w:szCs w:val="24"/>
        </w:rPr>
        <w:t>have</w:t>
      </w:r>
      <w:r w:rsidRPr="007A06CB">
        <w:rPr>
          <w:rFonts w:ascii="Times New Roman" w:hAnsi="Times New Roman"/>
          <w:szCs w:val="24"/>
        </w:rPr>
        <w:t xml:space="preserve"> poorer outcomes, and greater difficulties following court proceedings when compared with other defendants </w:t>
      </w:r>
      <w:r>
        <w:rPr>
          <w:rFonts w:ascii="Times New Roman" w:hAnsi="Times New Roman"/>
          <w:szCs w:val="24"/>
        </w:rPr>
        <w:fldChar w:fldCharType="begin"/>
      </w:r>
      <w:r w:rsidR="004C46F1">
        <w:rPr>
          <w:rFonts w:ascii="Times New Roman" w:hAnsi="Times New Roman"/>
          <w:szCs w:val="24"/>
        </w:rPr>
        <w:instrText xml:space="preserve"> ADDIN EN.CITE &lt;EndNote&gt;&lt;Cite&gt;&lt;Author&gt;Vanny&lt;/Author&gt;&lt;Year&gt;2009&lt;/Year&gt;&lt;RecNum&gt;991&lt;/RecNum&gt;&lt;DisplayText&gt;(Vanny et al., 2009)&lt;/DisplayText&gt;&lt;record&gt;&lt;rec-number&gt;991&lt;/rec-number&gt;&lt;foreign-keys&gt;&lt;key app="EN" db-id="0wtfxzrvwtvfszed0s9vdzam00frxexae5vz" timestamp="1588180569"&gt;991&lt;/key&gt;&lt;/foreign-keys&gt;&lt;ref-type name="Journal Article"&gt;17&lt;/ref-type&gt;&lt;contributors&gt;&lt;authors&gt;&lt;author&gt;Vanny, Kathryn A&lt;/author&gt;&lt;author&gt;Levy, MH&lt;/author&gt;&lt;author&gt;Greenberg, DM&lt;/author&gt;&lt;author&gt;Hayes, SC&lt;/author&gt;&lt;/authors&gt;&lt;/contributors&gt;&lt;titles&gt;&lt;title&gt;Mental illness and intellectual disability in magistrates courts in New South Wales, Australia&lt;/title&gt;&lt;secondary-title&gt;Journal of Intellectual Disability Research&lt;/secondary-title&gt;&lt;/titles&gt;&lt;periodical&gt;&lt;full-title&gt;Journal of Intellectual Disability Research&lt;/full-title&gt;&lt;/periodical&gt;&lt;pages&gt;289-297&lt;/pages&gt;&lt;volume&gt;53&lt;/volume&gt;&lt;number&gt;3&lt;/number&gt;&lt;dates&gt;&lt;year&gt;2009&lt;/year&gt;&lt;/dates&gt;&lt;isbn&gt;0964-2633&lt;/isbn&gt;&lt;urls&gt;&lt;/urls&gt;&lt;/record&gt;&lt;/Cite&gt;&lt;/EndNote&gt;</w:instrText>
      </w:r>
      <w:r>
        <w:rPr>
          <w:rFonts w:ascii="Times New Roman" w:hAnsi="Times New Roman"/>
          <w:szCs w:val="24"/>
        </w:rPr>
        <w:fldChar w:fldCharType="separate"/>
      </w:r>
      <w:r w:rsidR="004C46F1">
        <w:rPr>
          <w:rFonts w:ascii="Times New Roman" w:hAnsi="Times New Roman"/>
          <w:noProof/>
          <w:szCs w:val="24"/>
        </w:rPr>
        <w:t>(Vanny et al., 2009)</w:t>
      </w:r>
      <w:r>
        <w:rPr>
          <w:rFonts w:ascii="Times New Roman" w:hAnsi="Times New Roman"/>
          <w:szCs w:val="24"/>
        </w:rPr>
        <w:fldChar w:fldCharType="end"/>
      </w:r>
      <w:r>
        <w:rPr>
          <w:rFonts w:ascii="Times New Roman" w:hAnsi="Times New Roman"/>
          <w:szCs w:val="24"/>
        </w:rPr>
        <w:t xml:space="preserve">. </w:t>
      </w:r>
      <w:r w:rsidRPr="007A06CB">
        <w:rPr>
          <w:rFonts w:ascii="Times New Roman" w:hAnsi="Times New Roman"/>
          <w:szCs w:val="24"/>
        </w:rPr>
        <w:t xml:space="preserve">They also have an increased likelihood of recidivism and more restrictive or punitive sentencing </w:t>
      </w:r>
      <w:r>
        <w:rPr>
          <w:rFonts w:ascii="Times New Roman" w:hAnsi="Times New Roman"/>
          <w:szCs w:val="24"/>
        </w:rPr>
        <w:fldChar w:fldCharType="begin">
          <w:fldData xml:space="preserve">PEVuZE5vdGU+PENpdGU+PEF1dGhvcj5NY0NhcnRoeTwvQXV0aG9yPjxZZWFyPjIwMTY8L1llYXI+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</w:fldData>
        </w:fldChar>
      </w:r>
      <w:r w:rsidR="004C46F1">
        <w:rPr>
          <w:rFonts w:ascii="Times New Roman" w:hAnsi="Times New Roman"/>
          <w:szCs w:val="24"/>
        </w:rPr>
        <w:instrText xml:space="preserve"> ADDIN EN.CITE </w:instrText>
      </w:r>
      <w:r w:rsidR="004C46F1">
        <w:rPr>
          <w:rFonts w:ascii="Times New Roman" w:hAnsi="Times New Roman"/>
          <w:szCs w:val="24"/>
        </w:rPr>
        <w:fldChar w:fldCharType="begin">
          <w:fldData xml:space="preserve">PEVuZE5vdGU+PENpdGU+PEF1dGhvcj5NY0NhcnRoeTwvQXV0aG9yPjxZZWFyPjIwMTY8L1llYXI+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</w:fldData>
        </w:fldChar>
      </w:r>
      <w:r w:rsidR="004C46F1">
        <w:rPr>
          <w:rFonts w:ascii="Times New Roman" w:hAnsi="Times New Roman"/>
          <w:szCs w:val="24"/>
        </w:rPr>
        <w:instrText xml:space="preserve"> ADDIN EN.CITE.DATA </w:instrText>
      </w:r>
      <w:r w:rsidR="004C46F1">
        <w:rPr>
          <w:rFonts w:ascii="Times New Roman" w:hAnsi="Times New Roman"/>
          <w:szCs w:val="24"/>
        </w:rPr>
      </w:r>
      <w:r w:rsidR="004C46F1">
        <w:rPr>
          <w:rFonts w:ascii="Times New Roman" w:hAnsi="Times New Roman"/>
          <w:szCs w:val="24"/>
        </w:rPr>
        <w:fldChar w:fldCharType="end"/>
      </w:r>
      <w:r>
        <w:rPr>
          <w:rFonts w:ascii="Times New Roman" w:hAnsi="Times New Roman"/>
          <w:szCs w:val="24"/>
        </w:rPr>
      </w:r>
      <w:r>
        <w:rPr>
          <w:rFonts w:ascii="Times New Roman" w:hAnsi="Times New Roman"/>
          <w:szCs w:val="24"/>
        </w:rPr>
        <w:fldChar w:fldCharType="separate"/>
      </w:r>
      <w:r w:rsidR="004C46F1">
        <w:rPr>
          <w:rFonts w:ascii="Times New Roman" w:hAnsi="Times New Roman"/>
          <w:noProof/>
          <w:szCs w:val="24"/>
        </w:rPr>
        <w:t>(McCarthy et al., 2019; McCarthy et al., 2016)</w:t>
      </w:r>
      <w:r>
        <w:rPr>
          <w:rFonts w:ascii="Times New Roman" w:hAnsi="Times New Roman"/>
          <w:szCs w:val="24"/>
        </w:rPr>
        <w:fldChar w:fldCharType="end"/>
      </w:r>
      <w:r>
        <w:rPr>
          <w:rFonts w:ascii="Times New Roman" w:hAnsi="Times New Roman"/>
          <w:szCs w:val="24"/>
        </w:rPr>
        <w:t xml:space="preserve"> poorer </w:t>
      </w:r>
      <w:r w:rsidRPr="007A06CB">
        <w:rPr>
          <w:rFonts w:ascii="Times New Roman" w:hAnsi="Times New Roman"/>
          <w:szCs w:val="24"/>
        </w:rPr>
        <w:t xml:space="preserve">mental and physical health </w:t>
      </w:r>
      <w:r>
        <w:rPr>
          <w:rFonts w:ascii="Times New Roman" w:eastAsia="Calibri" w:hAnsi="Times New Roman"/>
          <w:szCs w:val="24"/>
        </w:rPr>
        <w:fldChar w:fldCharType="begin"/>
      </w:r>
      <w:r w:rsidR="004C46F1">
        <w:rPr>
          <w:rFonts w:ascii="Times New Roman" w:eastAsia="Calibri" w:hAnsi="Times New Roman"/>
          <w:szCs w:val="24"/>
        </w:rPr>
        <w:instrText xml:space="preserve"> ADDIN EN.CITE &lt;EndNote&gt;&lt;Cite&gt;&lt;Author&gt;Hellenbach&lt;/Author&gt;&lt;Year&gt;2017&lt;/Year&gt;&lt;RecNum&gt;998&lt;/RecNum&gt;&lt;DisplayText&gt;(Hellenbach, Karatzias, &amp;amp; Brown, 2017)&lt;/DisplayText&gt;&lt;record&gt;&lt;rec-number&gt;998&lt;/rec-number&gt;&lt;foreign-keys&gt;&lt;key app="EN" db-id="0wtfxzrvwtvfszed0s9vdzam00frxexae5vz" timestamp="1588189981"&gt;998&lt;/key&gt;&lt;/foreign-keys&gt;&lt;ref-type name="Journal Article"&gt;17&lt;/ref-type&gt;&lt;contributors&gt;&lt;authors&gt;&lt;author&gt;Hellenbach, Mike&lt;/author&gt;&lt;author&gt;Karatzias, Thanos&lt;/author&gt;&lt;author&gt;Brown, Michael&lt;/author&gt;&lt;/authors&gt;&lt;/contributors&gt;&lt;titles&gt;&lt;title&gt;Intellectual disabilities among prisoners: Prevalence and mental and physical health comorbidities&lt;/title&gt;&lt;secondary-title&gt;Journal of Applied Research in Intellectual Disabilities&lt;/secondary-title&gt;&lt;/titles&gt;&lt;periodical&gt;&lt;full-title&gt;Journal of Applied Research in Intellectual Disabilities&lt;/full-title&gt;&lt;/periodical&gt;&lt;pages&gt;230-241&lt;/pages&gt;&lt;volume&gt;30&lt;/volume&gt;&lt;number&gt;2&lt;/number&gt;&lt;dates&gt;&lt;year&gt;2017&lt;/year&gt;&lt;/dates&gt;&lt;isbn&gt;1360-2322&lt;/isbn&gt;&lt;urls&gt;&lt;/urls&gt;&lt;/record&gt;&lt;/Cite&gt;&lt;/EndNote&gt;</w:instrText>
      </w:r>
      <w:r>
        <w:rPr>
          <w:rFonts w:ascii="Times New Roman" w:eastAsia="Calibri" w:hAnsi="Times New Roman"/>
          <w:szCs w:val="24"/>
        </w:rPr>
        <w:fldChar w:fldCharType="separate"/>
      </w:r>
      <w:r w:rsidR="004C46F1">
        <w:rPr>
          <w:rFonts w:ascii="Times New Roman" w:eastAsia="Calibri" w:hAnsi="Times New Roman"/>
          <w:noProof/>
          <w:szCs w:val="24"/>
        </w:rPr>
        <w:t>(Hellenbach, Karatzias, &amp; Brown, 2017)</w:t>
      </w:r>
      <w:r>
        <w:rPr>
          <w:rFonts w:ascii="Times New Roman" w:eastAsia="Calibri" w:hAnsi="Times New Roman"/>
          <w:szCs w:val="24"/>
        </w:rPr>
        <w:fldChar w:fldCharType="end"/>
      </w:r>
      <w:r w:rsidRPr="0055393C">
        <w:rPr>
          <w:rFonts w:ascii="Times New Roman" w:eastAsia="Calibri" w:hAnsi="Times New Roman"/>
          <w:szCs w:val="24"/>
        </w:rPr>
        <w:t xml:space="preserve"> </w:t>
      </w:r>
      <w:r>
        <w:rPr>
          <w:rFonts w:ascii="Times New Roman" w:eastAsia="Calibri" w:hAnsi="Times New Roman"/>
          <w:szCs w:val="24"/>
        </w:rPr>
        <w:t xml:space="preserve">and </w:t>
      </w:r>
      <w:r w:rsidRPr="0055393C">
        <w:rPr>
          <w:rFonts w:ascii="Times New Roman" w:eastAsia="Calibri" w:hAnsi="Times New Roman"/>
          <w:szCs w:val="24"/>
        </w:rPr>
        <w:t>potential miscarriages of justice through false confession</w:t>
      </w:r>
      <w:r>
        <w:rPr>
          <w:rFonts w:ascii="Times New Roman" w:eastAsia="Calibri" w:hAnsi="Times New Roman"/>
          <w:szCs w:val="24"/>
        </w:rPr>
        <w:t xml:space="preserve"> </w:t>
      </w:r>
      <w:r>
        <w:rPr>
          <w:rFonts w:ascii="Times New Roman" w:eastAsia="Calibri" w:hAnsi="Times New Roman"/>
          <w:szCs w:val="24"/>
        </w:rPr>
        <w:fldChar w:fldCharType="begin"/>
      </w:r>
      <w:r w:rsidR="004C46F1">
        <w:rPr>
          <w:rFonts w:ascii="Times New Roman" w:eastAsia="Calibri" w:hAnsi="Times New Roman"/>
          <w:szCs w:val="24"/>
        </w:rPr>
        <w:instrText xml:space="preserve"> ADDIN EN.CITE &lt;EndNote&gt;&lt;Cite&gt;&lt;Author&gt;Gudjonsson&lt;/Author&gt;&lt;Year&gt;1994&lt;/Year&gt;&lt;RecNum&gt;999&lt;/RecNum&gt;&lt;DisplayText&gt;(G. H. Gudjonsson &amp;amp; Sigurdsson, 1994)&lt;/DisplayText&gt;&lt;record&gt;&lt;rec-number&gt;999&lt;/rec-number&gt;&lt;foreign-keys&gt;&lt;key app="EN" db-id="0wtfxzrvwtvfszed0s9vdzam00frxexae5vz" timestamp="1588190113"&gt;999&lt;/key&gt;&lt;/foreign-keys&gt;&lt;ref-type name="Journal Article"&gt;17&lt;/ref-type&gt;&lt;contributors&gt;&lt;authors&gt;&lt;author&gt;Gudjonsson, Gisli H&lt;/author&gt;&lt;author&gt;Sigurdsson, Jon F&lt;/author&gt;&lt;/authors&gt;&lt;/contributors&gt;&lt;titles&gt;&lt;title&gt;How frequently do false confessions occur? An empirical study among prison inmates&lt;/title&gt;&lt;secondary-title&gt;Psychology, Crime and Law&lt;/secondary-title&gt;&lt;/titles&gt;&lt;periodical&gt;&lt;full-title&gt;Psychology, Crime and Law&lt;/full-title&gt;&lt;/periodical&gt;&lt;pages&gt;21-26&lt;/pages&gt;&lt;volume&gt;1&lt;/volume&gt;&lt;number&gt;1&lt;/number&gt;&lt;dates&gt;&lt;year&gt;1994&lt;/year&gt;&lt;/dates&gt;&lt;isbn&gt;1068-316X&lt;/isbn&gt;&lt;urls&gt;&lt;/urls&gt;&lt;/record&gt;&lt;/Cite&gt;&lt;/EndNote&gt;</w:instrText>
      </w:r>
      <w:r>
        <w:rPr>
          <w:rFonts w:ascii="Times New Roman" w:eastAsia="Calibri" w:hAnsi="Times New Roman"/>
          <w:szCs w:val="24"/>
        </w:rPr>
        <w:fldChar w:fldCharType="separate"/>
      </w:r>
      <w:r w:rsidR="004C46F1">
        <w:rPr>
          <w:rFonts w:ascii="Times New Roman" w:eastAsia="Calibri" w:hAnsi="Times New Roman"/>
          <w:noProof/>
          <w:szCs w:val="24"/>
        </w:rPr>
        <w:t>(G. H. Gudjonsson &amp; Sigurdsson, 1994)</w:t>
      </w:r>
      <w:r>
        <w:rPr>
          <w:rFonts w:ascii="Times New Roman" w:eastAsia="Calibri" w:hAnsi="Times New Roman"/>
          <w:szCs w:val="24"/>
        </w:rPr>
        <w:fldChar w:fldCharType="end"/>
      </w:r>
      <w:r w:rsidRPr="0055393C">
        <w:rPr>
          <w:rFonts w:ascii="Times New Roman" w:hAnsi="Times New Roman"/>
          <w:szCs w:val="24"/>
        </w:rPr>
        <w:t xml:space="preserve">.  </w:t>
      </w:r>
    </w:p>
    <w:p w14:paraId="0ECEC409" w14:textId="77777777" w:rsidR="000B1425" w:rsidRPr="0055393C" w:rsidRDefault="000B1425" w:rsidP="000B1425">
      <w:pPr>
        <w:spacing w:line="480" w:lineRule="auto"/>
        <w:rPr>
          <w:rFonts w:ascii="Times New Roman" w:eastAsia="Calibri" w:hAnsi="Times New Roman"/>
          <w:szCs w:val="24"/>
        </w:rPr>
      </w:pPr>
    </w:p>
    <w:p w14:paraId="2D433E93" w14:textId="25BF5DE1" w:rsidR="000B1425" w:rsidRDefault="000B1425" w:rsidP="00D43917">
      <w:pPr>
        <w:spacing w:line="480" w:lineRule="auto"/>
        <w:ind w:firstLine="720"/>
        <w:rPr>
          <w:rFonts w:ascii="Times New Roman" w:hAnsi="Times New Roman"/>
          <w:szCs w:val="24"/>
        </w:rPr>
      </w:pPr>
      <w:r w:rsidRPr="00C65198">
        <w:rPr>
          <w:rFonts w:ascii="Times New Roman" w:hAnsi="Times New Roman"/>
          <w:szCs w:val="24"/>
        </w:rPr>
        <w:t xml:space="preserve">The current national L&amp;D model </w:t>
      </w:r>
      <w:r>
        <w:rPr>
          <w:rFonts w:ascii="Times New Roman" w:hAnsi="Times New Roman"/>
          <w:szCs w:val="24"/>
        </w:rPr>
        <w:fldChar w:fldCharType="begin"/>
      </w:r>
      <w:r w:rsidR="004C46F1">
        <w:rPr>
          <w:rFonts w:ascii="Times New Roman" w:hAnsi="Times New Roman"/>
          <w:szCs w:val="24"/>
        </w:rPr>
        <w:instrText xml:space="preserve"> ADDIN EN.CITE &lt;EndNote&gt;&lt;Cite&gt;&lt;Author&gt;England.&lt;/Author&gt;&lt;Year&gt;2019&lt;/Year&gt;&lt;RecNum&gt;1120&lt;/RecNum&gt;&lt;DisplayText&gt;(N. England., 2019)&lt;/DisplayText&gt;&lt;record&gt;&lt;rec-number&gt;1120&lt;/rec-number&gt;&lt;foreign-keys&gt;&lt;key app="EN" db-id="0wtfxzrvwtvfszed0s9vdzam00frxexae5vz" timestamp="1590391550"&gt;1120&lt;/key&gt;&lt;/foreign-keys&gt;&lt;ref-type name="Government Document"&gt;46&lt;/ref-type&gt;&lt;contributors&gt;&lt;authors&gt;&lt;author&gt;NHS England.&lt;/author&gt;&lt;/authors&gt;&lt;/contributors&gt;&lt;titles&gt;&lt;title&gt;Liaison and diversion standard service specification. London: The National Liaison and Diversion Programme, NHS England and Improvement. &lt;/title&gt;&lt;/titles&gt;&lt;dates&gt;&lt;year&gt;2019&lt;/year&gt;&lt;/dates&gt;&lt;pub-location&gt;London: &lt;/pub-location&gt;&lt;publisher&gt; London: The National Liaison and Diversion Programme, NHS England and Improvement. &lt;/publisher&gt;&lt;urls&gt;&lt;/urls&gt;&lt;/record&gt;&lt;/Cite&gt;&lt;/EndNote&gt;</w:instrText>
      </w:r>
      <w:r>
        <w:rPr>
          <w:rFonts w:ascii="Times New Roman" w:hAnsi="Times New Roman"/>
          <w:szCs w:val="24"/>
        </w:rPr>
        <w:fldChar w:fldCharType="separate"/>
      </w:r>
      <w:r w:rsidR="004C46F1">
        <w:rPr>
          <w:rFonts w:ascii="Times New Roman" w:hAnsi="Times New Roman"/>
          <w:noProof/>
          <w:szCs w:val="24"/>
        </w:rPr>
        <w:t>(N. England., 2019)</w:t>
      </w:r>
      <w:r>
        <w:rPr>
          <w:rFonts w:ascii="Times New Roman" w:hAnsi="Times New Roman"/>
          <w:szCs w:val="24"/>
        </w:rPr>
        <w:fldChar w:fldCharType="end"/>
      </w:r>
      <w:r>
        <w:rPr>
          <w:rFonts w:ascii="Times New Roman" w:hAnsi="Times New Roman"/>
          <w:szCs w:val="24"/>
        </w:rPr>
        <w:t xml:space="preserve"> </w:t>
      </w:r>
      <w:r w:rsidRPr="00C65198">
        <w:rPr>
          <w:rFonts w:ascii="Times New Roman" w:hAnsi="Times New Roman"/>
          <w:szCs w:val="24"/>
        </w:rPr>
        <w:t>describes a pathway for those with ID, however</w:t>
      </w:r>
      <w:r>
        <w:rPr>
          <w:rFonts w:ascii="Times New Roman" w:hAnsi="Times New Roman"/>
          <w:szCs w:val="24"/>
        </w:rPr>
        <w:t xml:space="preserve">, </w:t>
      </w:r>
      <w:r w:rsidRPr="00C65198">
        <w:rPr>
          <w:rFonts w:ascii="Times New Roman" w:hAnsi="Times New Roman"/>
          <w:szCs w:val="24"/>
        </w:rPr>
        <w:t>there is little guidance on its implementation within existing L&amp;D services and</w:t>
      </w:r>
      <w:r>
        <w:rPr>
          <w:rFonts w:ascii="Times New Roman" w:hAnsi="Times New Roman"/>
          <w:szCs w:val="24"/>
        </w:rPr>
        <w:t xml:space="preserve"> </w:t>
      </w:r>
      <w:r w:rsidRPr="00C65198">
        <w:rPr>
          <w:rFonts w:ascii="Times New Roman" w:hAnsi="Times New Roman"/>
          <w:szCs w:val="24"/>
        </w:rPr>
        <w:t>instead</w:t>
      </w:r>
      <w:r>
        <w:rPr>
          <w:rFonts w:ascii="Times New Roman" w:hAnsi="Times New Roman"/>
          <w:szCs w:val="24"/>
        </w:rPr>
        <w:t>,</w:t>
      </w:r>
      <w:r w:rsidRPr="00C65198">
        <w:rPr>
          <w:rFonts w:ascii="Times New Roman" w:hAnsi="Times New Roman"/>
          <w:szCs w:val="24"/>
        </w:rPr>
        <w:t xml:space="preserve"> this is </w:t>
      </w:r>
      <w:r>
        <w:rPr>
          <w:rFonts w:ascii="Times New Roman" w:hAnsi="Times New Roman"/>
          <w:szCs w:val="24"/>
        </w:rPr>
        <w:t xml:space="preserve">largely </w:t>
      </w:r>
      <w:r w:rsidRPr="00C65198">
        <w:rPr>
          <w:rFonts w:ascii="Times New Roman" w:hAnsi="Times New Roman"/>
          <w:szCs w:val="24"/>
        </w:rPr>
        <w:t xml:space="preserve">left to local interpretation. </w:t>
      </w:r>
      <w:r w:rsidRPr="00DC6BBC">
        <w:rPr>
          <w:rFonts w:ascii="Times New Roman" w:hAnsi="Times New Roman"/>
          <w:szCs w:val="24"/>
        </w:rPr>
        <w:t xml:space="preserve">However, implementation in some areas has highlighted some of the challenges </w:t>
      </w:r>
      <w:r>
        <w:rPr>
          <w:rFonts w:ascii="Times New Roman" w:hAnsi="Times New Roman"/>
          <w:szCs w:val="24"/>
        </w:rPr>
        <w:t>for ID L&amp;D services</w:t>
      </w:r>
      <w:r w:rsidRPr="00DC6BBC">
        <w:rPr>
          <w:rFonts w:ascii="Times New Roman" w:hAnsi="Times New Roman"/>
          <w:szCs w:val="24"/>
        </w:rPr>
        <w:t xml:space="preserve">, including a lack of inclusion, challenges in identification and poor awareness of this group, underpinned by the inconsistent </w:t>
      </w:r>
      <w:r w:rsidRPr="00DC6BBC">
        <w:rPr>
          <w:rFonts w:ascii="Times New Roman" w:hAnsi="Times New Roman"/>
          <w:szCs w:val="24"/>
        </w:rPr>
        <w:lastRenderedPageBreak/>
        <w:t xml:space="preserve">adapting of practices and information transfer </w:t>
      </w:r>
      <w:r>
        <w:rPr>
          <w:rFonts w:ascii="Times New Roman" w:hAnsi="Times New Roman"/>
          <w:szCs w:val="24"/>
        </w:rPr>
        <w:t>partly due to</w:t>
      </w:r>
      <w:r w:rsidRPr="00DC6BBC">
        <w:rPr>
          <w:rFonts w:ascii="Times New Roman" w:hAnsi="Times New Roman"/>
          <w:szCs w:val="24"/>
        </w:rPr>
        <w:t xml:space="preserve"> the different agendas of agencies involved (Chadwick and Wesson, 2020). These challenges may go some way to explain why there has been little research to date regarding the identification of people with neurodevelopmental disorders (ND) within Court mental health services</w:t>
      </w:r>
      <w:r>
        <w:rPr>
          <w:rFonts w:ascii="Times New Roman" w:hAnsi="Times New Roman"/>
          <w:szCs w:val="24"/>
        </w:rPr>
        <w:t xml:space="preserve">, with </w:t>
      </w:r>
      <w:r w:rsidRPr="00C65198">
        <w:rPr>
          <w:rFonts w:ascii="Times New Roman" w:hAnsi="Times New Roman"/>
          <w:szCs w:val="24"/>
        </w:rPr>
        <w:t>no explicit pathway for those with ASD and ADHD other than under the umbrella of ID</w:t>
      </w:r>
      <w:r>
        <w:rPr>
          <w:rFonts w:ascii="Times New Roman" w:hAnsi="Times New Roman"/>
          <w:szCs w:val="24"/>
        </w:rPr>
        <w:t xml:space="preserve"> specific </w:t>
      </w:r>
      <w:r w:rsidRPr="00C65198">
        <w:rPr>
          <w:rFonts w:ascii="Times New Roman" w:hAnsi="Times New Roman"/>
          <w:szCs w:val="24"/>
        </w:rPr>
        <w:t>pathway</w:t>
      </w:r>
      <w:r>
        <w:rPr>
          <w:rFonts w:ascii="Times New Roman" w:hAnsi="Times New Roman"/>
          <w:szCs w:val="24"/>
        </w:rPr>
        <w:t>s</w:t>
      </w:r>
      <w:r w:rsidRPr="00C65198">
        <w:rPr>
          <w:rFonts w:ascii="Times New Roman" w:hAnsi="Times New Roman"/>
          <w:szCs w:val="24"/>
        </w:rPr>
        <w:t xml:space="preserve"> which may not be appropriate. </w:t>
      </w:r>
    </w:p>
    <w:p w14:paraId="07C454D0" w14:textId="77777777" w:rsidR="000B1425" w:rsidRDefault="000B1425" w:rsidP="000B1425">
      <w:pPr>
        <w:spacing w:line="480" w:lineRule="auto"/>
        <w:rPr>
          <w:rFonts w:ascii="Times New Roman" w:hAnsi="Times New Roman"/>
          <w:szCs w:val="24"/>
        </w:rPr>
      </w:pPr>
    </w:p>
    <w:p w14:paraId="11F66703" w14:textId="77777777" w:rsidR="000B1425" w:rsidRDefault="000B1425" w:rsidP="000B1425">
      <w:pPr>
        <w:spacing w:line="480" w:lineRule="auto"/>
        <w:rPr>
          <w:rFonts w:ascii="Times New Roman" w:hAnsi="Times New Roman"/>
          <w:iCs/>
          <w:szCs w:val="24"/>
          <w:lang w:eastAsia="en-GB"/>
        </w:rPr>
      </w:pPr>
      <w:r w:rsidRPr="00C65198">
        <w:rPr>
          <w:rFonts w:ascii="Times New Roman" w:hAnsi="Times New Roman"/>
          <w:szCs w:val="24"/>
        </w:rPr>
        <w:t xml:space="preserve">The key aim of this study was to </w:t>
      </w:r>
      <w:r>
        <w:rPr>
          <w:rFonts w:ascii="Times New Roman" w:hAnsi="Times New Roman"/>
          <w:szCs w:val="24"/>
        </w:rPr>
        <w:t xml:space="preserve">integrate </w:t>
      </w:r>
      <w:r w:rsidRPr="00C65198">
        <w:rPr>
          <w:rFonts w:ascii="Times New Roman" w:hAnsi="Times New Roman"/>
          <w:szCs w:val="24"/>
        </w:rPr>
        <w:t xml:space="preserve">a specialist ND </w:t>
      </w:r>
      <w:bookmarkStart w:id="5" w:name="_Hlk68527885"/>
      <w:r w:rsidRPr="00C65198">
        <w:rPr>
          <w:rFonts w:ascii="Times New Roman" w:hAnsi="Times New Roman"/>
          <w:szCs w:val="24"/>
        </w:rPr>
        <w:t>component (</w:t>
      </w:r>
      <w:r>
        <w:rPr>
          <w:rFonts w:ascii="Times New Roman" w:hAnsi="Times New Roman"/>
          <w:szCs w:val="24"/>
        </w:rPr>
        <w:t>hereafter referred to</w:t>
      </w:r>
      <w:r w:rsidRPr="00C65198">
        <w:rPr>
          <w:rFonts w:ascii="Times New Roman" w:hAnsi="Times New Roman"/>
          <w:szCs w:val="24"/>
        </w:rPr>
        <w:t xml:space="preserve"> as the </w:t>
      </w:r>
      <w:bookmarkStart w:id="6" w:name="_Hlk68515329"/>
      <w:r w:rsidRPr="00C65198">
        <w:rPr>
          <w:rFonts w:ascii="Times New Roman" w:hAnsi="Times New Roman"/>
          <w:szCs w:val="24"/>
        </w:rPr>
        <w:t xml:space="preserve">CMH+ND </w:t>
      </w:r>
      <w:bookmarkEnd w:id="6"/>
      <w:r>
        <w:rPr>
          <w:rFonts w:ascii="Times New Roman" w:hAnsi="Times New Roman"/>
          <w:szCs w:val="24"/>
        </w:rPr>
        <w:t xml:space="preserve">Service) </w:t>
      </w:r>
      <w:bookmarkEnd w:id="5"/>
      <w:r>
        <w:rPr>
          <w:rFonts w:ascii="Times New Roman" w:hAnsi="Times New Roman"/>
          <w:szCs w:val="24"/>
        </w:rPr>
        <w:t xml:space="preserve">in parallel with an existing </w:t>
      </w:r>
      <w:r w:rsidRPr="00C65198">
        <w:rPr>
          <w:rFonts w:ascii="Times New Roman" w:hAnsi="Times New Roman"/>
          <w:szCs w:val="24"/>
        </w:rPr>
        <w:t>court</w:t>
      </w:r>
      <w:r w:rsidRPr="000C17F6">
        <w:rPr>
          <w:rFonts w:ascii="Times New Roman" w:hAnsi="Times New Roman"/>
          <w:szCs w:val="24"/>
        </w:rPr>
        <w:t xml:space="preserve"> mental health (CMH) </w:t>
      </w:r>
      <w:r w:rsidRPr="00075F20">
        <w:rPr>
          <w:rFonts w:ascii="Times New Roman" w:hAnsi="Times New Roman"/>
          <w:szCs w:val="24"/>
        </w:rPr>
        <w:t xml:space="preserve">L&amp;D </w:t>
      </w:r>
      <w:r w:rsidRPr="00C65198">
        <w:rPr>
          <w:rFonts w:ascii="Times New Roman" w:hAnsi="Times New Roman"/>
          <w:szCs w:val="24"/>
        </w:rPr>
        <w:t>service</w:t>
      </w:r>
      <w:r>
        <w:rPr>
          <w:rFonts w:ascii="Times New Roman" w:hAnsi="Times New Roman"/>
          <w:szCs w:val="24"/>
        </w:rPr>
        <w:t xml:space="preserve">, </w:t>
      </w:r>
      <w:r w:rsidRPr="0016322B">
        <w:rPr>
          <w:rFonts w:ascii="Times New Roman" w:hAnsi="Times New Roman"/>
          <w:szCs w:val="24"/>
        </w:rPr>
        <w:t xml:space="preserve">(hereafter referred to as the CMH </w:t>
      </w:r>
      <w:r>
        <w:rPr>
          <w:rFonts w:ascii="Times New Roman" w:hAnsi="Times New Roman"/>
          <w:szCs w:val="24"/>
        </w:rPr>
        <w:t>S</w:t>
      </w:r>
      <w:r w:rsidRPr="0016322B">
        <w:rPr>
          <w:rFonts w:ascii="Times New Roman" w:hAnsi="Times New Roman"/>
          <w:szCs w:val="24"/>
        </w:rPr>
        <w:t xml:space="preserve">ervice) </w:t>
      </w:r>
      <w:r>
        <w:rPr>
          <w:rFonts w:ascii="Times New Roman" w:hAnsi="Times New Roman"/>
          <w:szCs w:val="24"/>
        </w:rPr>
        <w:t>to</w:t>
      </w:r>
      <w:r w:rsidRPr="00C65198">
        <w:rPr>
          <w:rFonts w:ascii="Times New Roman" w:hAnsi="Times New Roman"/>
          <w:szCs w:val="24"/>
        </w:rPr>
        <w:t xml:space="preserve"> address this service gap.  This study describes the </w:t>
      </w:r>
      <w:r>
        <w:rPr>
          <w:rFonts w:ascii="Times New Roman" w:hAnsi="Times New Roman"/>
          <w:szCs w:val="24"/>
        </w:rPr>
        <w:t>rates of mental disorder</w:t>
      </w:r>
      <w:r w:rsidRPr="00C65198">
        <w:rPr>
          <w:rFonts w:ascii="Times New Roman" w:hAnsi="Times New Roman"/>
          <w:szCs w:val="24"/>
        </w:rPr>
        <w:t xml:space="preserve"> of court attendees and compare</w:t>
      </w:r>
      <w:r>
        <w:rPr>
          <w:rFonts w:ascii="Times New Roman" w:hAnsi="Times New Roman"/>
          <w:szCs w:val="24"/>
        </w:rPr>
        <w:t xml:space="preserve">s the </w:t>
      </w:r>
      <w:r w:rsidRPr="00C65198">
        <w:rPr>
          <w:rFonts w:ascii="Times New Roman" w:hAnsi="Times New Roman"/>
          <w:szCs w:val="24"/>
        </w:rPr>
        <w:t xml:space="preserve">CMH+ND </w:t>
      </w:r>
      <w:r>
        <w:rPr>
          <w:rFonts w:ascii="Times New Roman" w:hAnsi="Times New Roman"/>
          <w:szCs w:val="24"/>
        </w:rPr>
        <w:t>Service</w:t>
      </w:r>
      <w:r w:rsidRPr="00C65198">
        <w:rPr>
          <w:rFonts w:ascii="Times New Roman" w:hAnsi="Times New Roman"/>
          <w:szCs w:val="24"/>
        </w:rPr>
        <w:t xml:space="preserve"> </w:t>
      </w:r>
      <w:r>
        <w:rPr>
          <w:rFonts w:ascii="Times New Roman" w:hAnsi="Times New Roman"/>
          <w:szCs w:val="24"/>
        </w:rPr>
        <w:t>with the previous CMH Service</w:t>
      </w:r>
      <w:r w:rsidRPr="00C65198">
        <w:rPr>
          <w:rFonts w:ascii="Times New Roman" w:hAnsi="Times New Roman"/>
          <w:szCs w:val="24"/>
        </w:rPr>
        <w:t xml:space="preserve"> in one London </w:t>
      </w:r>
      <w:r>
        <w:rPr>
          <w:rFonts w:ascii="Times New Roman" w:hAnsi="Times New Roman"/>
          <w:szCs w:val="24"/>
        </w:rPr>
        <w:t>Magistrates’</w:t>
      </w:r>
      <w:r w:rsidRPr="00C65198">
        <w:rPr>
          <w:rFonts w:ascii="Times New Roman" w:hAnsi="Times New Roman"/>
          <w:szCs w:val="24"/>
        </w:rPr>
        <w:t xml:space="preserve"> Court. </w:t>
      </w:r>
      <w:r>
        <w:rPr>
          <w:rFonts w:ascii="Times New Roman" w:hAnsi="Times New Roman"/>
          <w:szCs w:val="24"/>
        </w:rPr>
        <w:t>It also describes the</w:t>
      </w:r>
      <w:r w:rsidRPr="00C65198">
        <w:rPr>
          <w:rFonts w:ascii="Times New Roman" w:hAnsi="Times New Roman"/>
          <w:szCs w:val="24"/>
        </w:rPr>
        <w:t xml:space="preserve"> court pathway</w:t>
      </w:r>
      <w:r>
        <w:rPr>
          <w:rFonts w:ascii="Times New Roman" w:hAnsi="Times New Roman"/>
          <w:szCs w:val="24"/>
        </w:rPr>
        <w:t xml:space="preserve"> of the </w:t>
      </w:r>
      <w:r w:rsidRPr="00B93FEA">
        <w:rPr>
          <w:rFonts w:ascii="Times New Roman" w:hAnsi="Times New Roman"/>
          <w:szCs w:val="24"/>
        </w:rPr>
        <w:t>CMH+ND</w:t>
      </w:r>
      <w:r>
        <w:rPr>
          <w:rFonts w:ascii="Times New Roman" w:hAnsi="Times New Roman"/>
          <w:szCs w:val="24"/>
        </w:rPr>
        <w:t xml:space="preserve"> Service.</w:t>
      </w:r>
      <w:r w:rsidRPr="00C65198">
        <w:rPr>
          <w:rFonts w:ascii="Times New Roman" w:hAnsi="Times New Roman"/>
          <w:szCs w:val="24"/>
        </w:rPr>
        <w:t xml:space="preserve"> In England and Wales, adult criminal cases begin in the </w:t>
      </w:r>
      <w:r>
        <w:rPr>
          <w:rFonts w:ascii="Times New Roman" w:hAnsi="Times New Roman"/>
          <w:szCs w:val="24"/>
        </w:rPr>
        <w:t>Magistrates’</w:t>
      </w:r>
      <w:r w:rsidRPr="00C65198">
        <w:rPr>
          <w:rFonts w:ascii="Times New Roman" w:hAnsi="Times New Roman"/>
          <w:szCs w:val="24"/>
        </w:rPr>
        <w:t xml:space="preserve"> Court (‘the lower courts’) and more serious (‘indictable’) offences are sent to the Crown Court (</w:t>
      </w:r>
      <w:r>
        <w:rPr>
          <w:rFonts w:ascii="Times New Roman" w:hAnsi="Times New Roman"/>
          <w:szCs w:val="24"/>
        </w:rPr>
        <w:t>‘</w:t>
      </w:r>
      <w:r w:rsidRPr="00C65198">
        <w:rPr>
          <w:rFonts w:ascii="Times New Roman" w:hAnsi="Times New Roman"/>
          <w:szCs w:val="24"/>
        </w:rPr>
        <w:t>the higher courts’)’</w:t>
      </w:r>
    </w:p>
    <w:p w14:paraId="34DAA174" w14:textId="77777777" w:rsidR="000B1425" w:rsidRPr="005466AC" w:rsidRDefault="000B1425" w:rsidP="000B1425">
      <w:pPr>
        <w:spacing w:line="480" w:lineRule="auto"/>
      </w:pPr>
    </w:p>
    <w:p w14:paraId="42709DEE" w14:textId="77777777" w:rsidR="000B1425" w:rsidRPr="00D43917" w:rsidRDefault="000B1425" w:rsidP="0078467C">
      <w:pPr>
        <w:pStyle w:val="Heading1"/>
        <w:numPr>
          <w:ilvl w:val="0"/>
          <w:numId w:val="3"/>
        </w:numPr>
        <w:jc w:val="left"/>
        <w:rPr>
          <w:b/>
          <w:bCs/>
        </w:rPr>
      </w:pPr>
      <w:r w:rsidRPr="00D43917">
        <w:rPr>
          <w:b/>
          <w:bCs/>
        </w:rPr>
        <w:t>Methods</w:t>
      </w:r>
    </w:p>
    <w:p w14:paraId="7567958A" w14:textId="6A90FFFF" w:rsidR="000B1425" w:rsidRPr="00667499" w:rsidRDefault="000B1425" w:rsidP="0078467C">
      <w:pPr>
        <w:pStyle w:val="Heading2"/>
        <w:numPr>
          <w:ilvl w:val="1"/>
          <w:numId w:val="3"/>
        </w:numPr>
        <w:rPr>
          <w:lang w:eastAsia="en-GB"/>
        </w:rPr>
      </w:pPr>
      <w:r w:rsidRPr="00667499">
        <w:rPr>
          <w:lang w:eastAsia="en-GB"/>
        </w:rPr>
        <w:t xml:space="preserve">Enhancing the current </w:t>
      </w:r>
      <w:r>
        <w:rPr>
          <w:lang w:eastAsia="en-GB"/>
        </w:rPr>
        <w:t>Court Mental Health Service (CMH Service)</w:t>
      </w:r>
    </w:p>
    <w:p w14:paraId="21E0C66C" w14:textId="785C74DB" w:rsidR="000B1425" w:rsidRDefault="000B1425" w:rsidP="000B1425">
      <w:pPr>
        <w:spacing w:line="480" w:lineRule="auto"/>
        <w:rPr>
          <w:rFonts w:ascii="Times New Roman" w:hAnsi="Times New Roman"/>
          <w:iCs/>
          <w:szCs w:val="24"/>
          <w:lang w:eastAsia="en-GB"/>
        </w:rPr>
      </w:pPr>
      <w:r>
        <w:rPr>
          <w:rFonts w:ascii="Times New Roman" w:hAnsi="Times New Roman"/>
          <w:iCs/>
          <w:szCs w:val="24"/>
          <w:lang w:eastAsia="en-GB"/>
        </w:rPr>
        <w:t xml:space="preserve">The </w:t>
      </w:r>
      <w:bookmarkStart w:id="7" w:name="_Hlk68515512"/>
      <w:r w:rsidRPr="00D64E59">
        <w:rPr>
          <w:rFonts w:ascii="Times New Roman" w:hAnsi="Times New Roman"/>
          <w:iCs/>
          <w:szCs w:val="24"/>
          <w:lang w:eastAsia="en-GB"/>
        </w:rPr>
        <w:t xml:space="preserve">CMH+ND </w:t>
      </w:r>
      <w:r>
        <w:rPr>
          <w:rFonts w:ascii="Times New Roman" w:hAnsi="Times New Roman"/>
          <w:iCs/>
          <w:szCs w:val="24"/>
          <w:lang w:eastAsia="en-GB"/>
        </w:rPr>
        <w:t xml:space="preserve">Service </w:t>
      </w:r>
      <w:bookmarkEnd w:id="7"/>
      <w:r>
        <w:rPr>
          <w:rFonts w:ascii="Times New Roman" w:hAnsi="Times New Roman"/>
          <w:iCs/>
          <w:szCs w:val="24"/>
          <w:lang w:eastAsia="en-GB"/>
        </w:rPr>
        <w:t xml:space="preserve">was designed to complement the existing court CMH service as part of an integrated service response and it was modelled using national arrangements for service design in this area </w:t>
      </w:r>
      <w:r>
        <w:rPr>
          <w:rFonts w:ascii="Times New Roman" w:hAnsi="Times New Roman"/>
          <w:iCs/>
          <w:noProof/>
          <w:szCs w:val="24"/>
          <w:lang w:eastAsia="en-GB"/>
        </w:rPr>
        <w:fldChar w:fldCharType="begin"/>
      </w:r>
      <w:r w:rsidR="004C46F1">
        <w:rPr>
          <w:rFonts w:ascii="Times New Roman" w:hAnsi="Times New Roman"/>
          <w:iCs/>
          <w:noProof/>
          <w:szCs w:val="24"/>
          <w:lang w:eastAsia="en-GB"/>
        </w:rPr>
        <w:instrText xml:space="preserve"> ADDIN EN.CITE &lt;EndNote&gt;&lt;Cite&gt;&lt;Author&gt;England.&lt;/Author&gt;&lt;Year&gt;2019&lt;/Year&gt;&lt;RecNum&gt;1120&lt;/RecNum&gt;&lt;DisplayText&gt;(N. England., 2019)&lt;/DisplayText&gt;&lt;record&gt;&lt;rec-number&gt;1120&lt;/rec-number&gt;&lt;foreign-keys&gt;&lt;key app="EN" db-id="0wtfxzrvwtvfszed0s9vdzam00frxexae5vz" timestamp="1590391550"&gt;1120&lt;/key&gt;&lt;/foreign-keys&gt;&lt;ref-type name="Government Document"&gt;46&lt;/ref-type&gt;&lt;contributors&gt;&lt;authors&gt;&lt;author&gt;NHS England.&lt;/author&gt;&lt;/authors&gt;&lt;/contributors&gt;&lt;titles&gt;&lt;title&gt;Liaison and diversion standard service specification. London: The National Liaison and Diversion Programme, NHS England and Improvement. &lt;/title&gt;&lt;/titles&gt;&lt;dates&gt;&lt;year&gt;2019&lt;/year&gt;&lt;/dates&gt;&lt;pub-location&gt;London: &lt;/pub-location&gt;&lt;publisher&gt; London: The National Liaison and Diversion Programme, NHS England and Improvement. &lt;/publisher&gt;&lt;urls&gt;&lt;/urls&gt;&lt;/record&gt;&lt;/Cite&gt;&lt;/EndNote&gt;</w:instrText>
      </w:r>
      <w:r>
        <w:rPr>
          <w:rFonts w:ascii="Times New Roman" w:hAnsi="Times New Roman"/>
          <w:iCs/>
          <w:noProof/>
          <w:szCs w:val="24"/>
          <w:lang w:eastAsia="en-GB"/>
        </w:rPr>
        <w:fldChar w:fldCharType="separate"/>
      </w:r>
      <w:r w:rsidR="004C46F1">
        <w:rPr>
          <w:rFonts w:ascii="Times New Roman" w:hAnsi="Times New Roman"/>
          <w:iCs/>
          <w:noProof/>
          <w:szCs w:val="24"/>
          <w:lang w:eastAsia="en-GB"/>
        </w:rPr>
        <w:t>(N. England., 2019)</w:t>
      </w:r>
      <w:r>
        <w:rPr>
          <w:rFonts w:ascii="Times New Roman" w:hAnsi="Times New Roman"/>
          <w:iCs/>
          <w:noProof/>
          <w:szCs w:val="24"/>
          <w:lang w:eastAsia="en-GB"/>
        </w:rPr>
        <w:fldChar w:fldCharType="end"/>
      </w:r>
      <w:r>
        <w:rPr>
          <w:rFonts w:ascii="Times New Roman" w:hAnsi="Times New Roman"/>
          <w:iCs/>
          <w:szCs w:val="24"/>
          <w:lang w:eastAsia="en-GB"/>
        </w:rPr>
        <w:t xml:space="preserve">.  In keeping with these national designs and policy, the ND component of the service was both multi-disciplinary and </w:t>
      </w:r>
      <w:r w:rsidRPr="00BB595B">
        <w:rPr>
          <w:rFonts w:ascii="Times New Roman" w:hAnsi="Times New Roman"/>
          <w:iCs/>
          <w:szCs w:val="24"/>
          <w:lang w:eastAsia="en-GB"/>
        </w:rPr>
        <w:t>multi-</w:t>
      </w:r>
      <w:r>
        <w:rPr>
          <w:rFonts w:ascii="Times New Roman" w:hAnsi="Times New Roman"/>
          <w:iCs/>
          <w:szCs w:val="24"/>
          <w:lang w:eastAsia="en-GB"/>
        </w:rPr>
        <w:t xml:space="preserve">agency </w:t>
      </w:r>
      <w:r>
        <w:rPr>
          <w:rFonts w:ascii="Times New Roman" w:hAnsi="Times New Roman"/>
          <w:iCs/>
          <w:szCs w:val="24"/>
          <w:lang w:eastAsia="en-GB"/>
        </w:rPr>
        <w:fldChar w:fldCharType="begin"/>
      </w:r>
      <w:r w:rsidR="004C46F1">
        <w:rPr>
          <w:rFonts w:ascii="Times New Roman" w:hAnsi="Times New Roman"/>
          <w:iCs/>
          <w:szCs w:val="24"/>
          <w:lang w:eastAsia="en-GB"/>
        </w:rPr>
        <w:instrText xml:space="preserve"> ADDIN EN.CITE &lt;EndNote&gt;&lt;Cite&gt;&lt;Author&gt;Bradley&lt;/Author&gt;&lt;Year&gt;2009&lt;/Year&gt;&lt;RecNum&gt;1013&lt;/RecNum&gt;&lt;DisplayText&gt;(Bradley, 2009; Corston, 2007)&lt;/DisplayText&gt;&lt;record&gt;&lt;rec-number&gt;1013&lt;/rec-number&gt;&lt;foreign-keys&gt;&lt;key app="EN" db-id="0wtfxzrvwtvfszed0s9vdzam00frxexae5vz" timestamp="1588191757"&gt;1013&lt;/key&gt;&lt;/foreign-keys&gt;&lt;ref-type name="Journal Article"&gt;17&lt;/ref-type&gt;&lt;contributors&gt;&lt;authors&gt;&lt;author&gt;Bradley, Keith John Charles Baron&lt;/author&gt;&lt;/authors&gt;&lt;/contributors&gt;&lt;titles&gt;&lt;title&gt;The Bradley Report: Lord Bradley&amp;apos;s review of people with mental health problems or learning disabilities in the criminal justice system&lt;/title&gt;&lt;/titles&gt;&lt;dates&gt;&lt;year&gt;2009&lt;/year&gt;&lt;/dates&gt;&lt;urls&gt;&lt;/urls&gt;&lt;/record&gt;&lt;/Cite&gt;&lt;Cite&gt;&lt;Author&gt;Corston&lt;/Author&gt;&lt;Year&gt;2007&lt;/Year&gt;&lt;RecNum&gt;1014&lt;/RecNum&gt;&lt;record&gt;&lt;rec-number&gt;1014&lt;/rec-number&gt;&lt;foreign-keys&gt;&lt;key app="EN" db-id="0wtfxzrvwtvfszed0s9vdzam00frxexae5vz" timestamp="1588191776"&gt;1014&lt;/key&gt;&lt;/foreign-keys&gt;&lt;ref-type name="Book"&gt;6&lt;/ref-type&gt;&lt;contributors&gt;&lt;authors&gt;&lt;author&gt;Corston, Jean&lt;/author&gt;&lt;/authors&gt;&lt;/contributors&gt;&lt;titles&gt;&lt;title&gt;The Corston report: a report by Baroness Jean Corston of a review of women with particular vulnerabilities in the criminal justice system: the need for a distinct, radically different, visibly-led, strategic, proportionate, holistic, woman-centred, integrated approach&lt;/title&gt;&lt;/titles&gt;&lt;dates&gt;&lt;year&gt;2007&lt;/year&gt;&lt;/dates&gt;&lt;publisher&gt;Home Office&lt;/publisher&gt;&lt;isbn&gt;1847261779&lt;/isbn&gt;&lt;urls&gt;&lt;/urls&gt;&lt;/record&gt;&lt;/Cite&gt;&lt;/EndNote&gt;</w:instrText>
      </w:r>
      <w:r>
        <w:rPr>
          <w:rFonts w:ascii="Times New Roman" w:hAnsi="Times New Roman"/>
          <w:iCs/>
          <w:szCs w:val="24"/>
          <w:lang w:eastAsia="en-GB"/>
        </w:rPr>
        <w:fldChar w:fldCharType="separate"/>
      </w:r>
      <w:r w:rsidR="004C46F1">
        <w:rPr>
          <w:rFonts w:ascii="Times New Roman" w:hAnsi="Times New Roman"/>
          <w:iCs/>
          <w:noProof/>
          <w:szCs w:val="24"/>
          <w:lang w:eastAsia="en-GB"/>
        </w:rPr>
        <w:t>(Bradley, 2009; Corston, 2007)</w:t>
      </w:r>
      <w:r>
        <w:rPr>
          <w:rFonts w:ascii="Times New Roman" w:hAnsi="Times New Roman"/>
          <w:iCs/>
          <w:szCs w:val="24"/>
          <w:lang w:eastAsia="en-GB"/>
        </w:rPr>
        <w:fldChar w:fldCharType="end"/>
      </w:r>
      <w:r>
        <w:rPr>
          <w:rFonts w:ascii="Times New Roman" w:hAnsi="Times New Roman"/>
          <w:iCs/>
          <w:noProof/>
          <w:szCs w:val="24"/>
          <w:lang w:eastAsia="en-GB"/>
        </w:rPr>
        <w:t xml:space="preserve"> and </w:t>
      </w:r>
      <w:r>
        <w:rPr>
          <w:rFonts w:ascii="Times New Roman" w:hAnsi="Times New Roman"/>
          <w:iCs/>
          <w:szCs w:val="24"/>
          <w:lang w:eastAsia="en-GB"/>
        </w:rPr>
        <w:t>nurse-led.</w:t>
      </w:r>
    </w:p>
    <w:p w14:paraId="4728D74E" w14:textId="77777777" w:rsidR="000B1425" w:rsidRDefault="000B1425" w:rsidP="000B1425">
      <w:pPr>
        <w:spacing w:line="480" w:lineRule="auto"/>
        <w:rPr>
          <w:rFonts w:ascii="Times New Roman" w:hAnsi="Times New Roman"/>
          <w:iCs/>
          <w:szCs w:val="24"/>
          <w:lang w:eastAsia="en-GB"/>
        </w:rPr>
      </w:pPr>
    </w:p>
    <w:p w14:paraId="04D89C6A" w14:textId="1BCC7887" w:rsidR="000B1425" w:rsidRDefault="000B1425" w:rsidP="000B1425">
      <w:pPr>
        <w:spacing w:line="480" w:lineRule="auto"/>
        <w:rPr>
          <w:rFonts w:ascii="Times New Roman" w:hAnsi="Times New Roman"/>
          <w:iCs/>
          <w:szCs w:val="24"/>
          <w:lang w:eastAsia="en-GB"/>
        </w:rPr>
      </w:pPr>
      <w:r>
        <w:rPr>
          <w:rFonts w:ascii="Times New Roman" w:hAnsi="Times New Roman"/>
          <w:iCs/>
          <w:szCs w:val="24"/>
          <w:lang w:eastAsia="en-GB"/>
        </w:rPr>
        <w:t xml:space="preserve">The following roles </w:t>
      </w:r>
      <w:r w:rsidR="00D43917">
        <w:rPr>
          <w:rFonts w:ascii="Times New Roman" w:hAnsi="Times New Roman"/>
          <w:iCs/>
          <w:szCs w:val="24"/>
          <w:lang w:eastAsia="en-GB"/>
        </w:rPr>
        <w:t>specializing</w:t>
      </w:r>
      <w:r w:rsidRPr="00687A15">
        <w:rPr>
          <w:rFonts w:ascii="Times New Roman" w:hAnsi="Times New Roman"/>
          <w:iCs/>
          <w:szCs w:val="24"/>
          <w:lang w:eastAsia="en-GB"/>
        </w:rPr>
        <w:t xml:space="preserve"> in ND</w:t>
      </w:r>
      <w:r>
        <w:rPr>
          <w:rFonts w:ascii="Times New Roman" w:hAnsi="Times New Roman"/>
          <w:iCs/>
          <w:szCs w:val="24"/>
          <w:lang w:eastAsia="en-GB"/>
        </w:rPr>
        <w:t xml:space="preserve"> were recruited to the </w:t>
      </w:r>
      <w:r w:rsidRPr="00B56196">
        <w:rPr>
          <w:rFonts w:ascii="Times New Roman" w:hAnsi="Times New Roman"/>
          <w:iCs/>
          <w:szCs w:val="24"/>
          <w:lang w:eastAsia="en-GB"/>
        </w:rPr>
        <w:t>CMH+ND</w:t>
      </w:r>
      <w:r>
        <w:rPr>
          <w:rFonts w:ascii="Times New Roman" w:hAnsi="Times New Roman"/>
          <w:iCs/>
          <w:szCs w:val="24"/>
          <w:lang w:eastAsia="en-GB"/>
        </w:rPr>
        <w:t xml:space="preserve"> Service : </w:t>
      </w:r>
    </w:p>
    <w:p w14:paraId="04F53028" w14:textId="77777777" w:rsidR="000B1425" w:rsidRPr="00687A15" w:rsidRDefault="000B1425" w:rsidP="0078467C">
      <w:pPr>
        <w:numPr>
          <w:ilvl w:val="0"/>
          <w:numId w:val="2"/>
        </w:numPr>
        <w:autoSpaceDE w:val="0"/>
        <w:autoSpaceDN w:val="0"/>
        <w:adjustRightInd w:val="0"/>
        <w:spacing w:line="480" w:lineRule="auto"/>
        <w:rPr>
          <w:rFonts w:ascii="Times New Roman" w:hAnsi="Times New Roman"/>
          <w:iCs/>
          <w:szCs w:val="24"/>
          <w:lang w:eastAsia="en-GB"/>
        </w:rPr>
      </w:pPr>
      <w:r w:rsidRPr="00687A15">
        <w:rPr>
          <w:rFonts w:ascii="Times New Roman" w:hAnsi="Times New Roman"/>
          <w:iCs/>
          <w:szCs w:val="24"/>
          <w:lang w:eastAsia="en-GB"/>
        </w:rPr>
        <w:t>A Forensic Mental Health Practitioner (FMHP</w:t>
      </w:r>
      <w:r>
        <w:rPr>
          <w:rFonts w:ascii="Times New Roman" w:hAnsi="Times New Roman"/>
          <w:iCs/>
          <w:szCs w:val="24"/>
          <w:lang w:eastAsia="en-GB"/>
        </w:rPr>
        <w:t>):</w:t>
      </w:r>
      <w:r w:rsidRPr="004F1261">
        <w:rPr>
          <w:rFonts w:ascii="Times New Roman" w:hAnsi="Times New Roman"/>
          <w:iCs/>
          <w:szCs w:val="24"/>
          <w:lang w:eastAsia="en-GB"/>
        </w:rPr>
        <w:t xml:space="preserve"> </w:t>
      </w:r>
      <w:r>
        <w:rPr>
          <w:rFonts w:ascii="Times New Roman" w:hAnsi="Times New Roman"/>
          <w:iCs/>
          <w:szCs w:val="24"/>
          <w:lang w:eastAsia="en-GB"/>
        </w:rPr>
        <w:t xml:space="preserve">a non-clinical post that </w:t>
      </w:r>
      <w:r w:rsidRPr="00AD3F4D">
        <w:rPr>
          <w:rFonts w:ascii="Times New Roman" w:hAnsi="Times New Roman"/>
          <w:iCs/>
          <w:szCs w:val="24"/>
          <w:lang w:eastAsia="en-GB"/>
        </w:rPr>
        <w:t>provide</w:t>
      </w:r>
      <w:r>
        <w:rPr>
          <w:rFonts w:ascii="Times New Roman" w:hAnsi="Times New Roman"/>
          <w:iCs/>
          <w:szCs w:val="24"/>
          <w:lang w:eastAsia="en-GB"/>
        </w:rPr>
        <w:t>d</w:t>
      </w:r>
      <w:r w:rsidRPr="00AD3F4D">
        <w:rPr>
          <w:rFonts w:ascii="Times New Roman" w:hAnsi="Times New Roman"/>
          <w:iCs/>
          <w:szCs w:val="24"/>
          <w:lang w:eastAsia="en-GB"/>
        </w:rPr>
        <w:t xml:space="preserve"> assessment and therapeutic intervention </w:t>
      </w:r>
      <w:r>
        <w:rPr>
          <w:rFonts w:ascii="Times New Roman" w:hAnsi="Times New Roman"/>
          <w:iCs/>
          <w:szCs w:val="24"/>
          <w:lang w:eastAsia="en-GB"/>
        </w:rPr>
        <w:t xml:space="preserve">of ND and a wider remit to increase awareness of the </w:t>
      </w:r>
      <w:r w:rsidRPr="00B56196">
        <w:rPr>
          <w:rFonts w:ascii="Times New Roman" w:hAnsi="Times New Roman"/>
          <w:iCs/>
          <w:szCs w:val="24"/>
          <w:lang w:eastAsia="en-GB"/>
        </w:rPr>
        <w:t>CMH+ND</w:t>
      </w:r>
      <w:r>
        <w:rPr>
          <w:rFonts w:ascii="Times New Roman" w:hAnsi="Times New Roman"/>
          <w:iCs/>
          <w:szCs w:val="24"/>
          <w:lang w:eastAsia="en-GB"/>
        </w:rPr>
        <w:t xml:space="preserve"> Service,  assist with its </w:t>
      </w:r>
      <w:r w:rsidRPr="00EE57D1">
        <w:rPr>
          <w:rFonts w:ascii="Times New Roman" w:hAnsi="Times New Roman"/>
          <w:iCs/>
          <w:szCs w:val="24"/>
          <w:lang w:eastAsia="en-GB"/>
        </w:rPr>
        <w:t>implement</w:t>
      </w:r>
      <w:r>
        <w:rPr>
          <w:rFonts w:ascii="Times New Roman" w:hAnsi="Times New Roman"/>
          <w:iCs/>
          <w:szCs w:val="24"/>
          <w:lang w:eastAsia="en-GB"/>
        </w:rPr>
        <w:t xml:space="preserve">ation and </w:t>
      </w:r>
      <w:r w:rsidRPr="00EE57D1">
        <w:rPr>
          <w:rFonts w:ascii="Times New Roman" w:hAnsi="Times New Roman"/>
          <w:iCs/>
          <w:szCs w:val="24"/>
          <w:lang w:eastAsia="en-GB"/>
        </w:rPr>
        <w:t>ensure effective partnership working with other agencies and the officers of the court</w:t>
      </w:r>
      <w:r>
        <w:rPr>
          <w:rFonts w:ascii="Times New Roman" w:hAnsi="Times New Roman"/>
          <w:iCs/>
          <w:szCs w:val="24"/>
          <w:lang w:eastAsia="en-GB"/>
        </w:rPr>
        <w:t xml:space="preserve">. </w:t>
      </w:r>
    </w:p>
    <w:p w14:paraId="4D4510FF" w14:textId="77777777" w:rsidR="000B1425" w:rsidRPr="00687A15" w:rsidRDefault="000B1425" w:rsidP="0078467C">
      <w:pPr>
        <w:numPr>
          <w:ilvl w:val="0"/>
          <w:numId w:val="2"/>
        </w:numPr>
        <w:autoSpaceDE w:val="0"/>
        <w:autoSpaceDN w:val="0"/>
        <w:adjustRightInd w:val="0"/>
        <w:spacing w:line="480" w:lineRule="auto"/>
        <w:rPr>
          <w:rFonts w:ascii="Times New Roman" w:hAnsi="Times New Roman"/>
          <w:iCs/>
          <w:szCs w:val="24"/>
          <w:lang w:eastAsia="en-GB"/>
        </w:rPr>
      </w:pPr>
      <w:r w:rsidRPr="00687A15">
        <w:rPr>
          <w:rFonts w:ascii="Times New Roman" w:hAnsi="Times New Roman"/>
          <w:iCs/>
          <w:szCs w:val="24"/>
          <w:lang w:eastAsia="en-GB"/>
        </w:rPr>
        <w:t xml:space="preserve">A </w:t>
      </w:r>
      <w:r>
        <w:rPr>
          <w:rFonts w:ascii="Times New Roman" w:hAnsi="Times New Roman"/>
          <w:iCs/>
          <w:szCs w:val="24"/>
          <w:lang w:eastAsia="en-GB"/>
        </w:rPr>
        <w:t>registered nurse (Learning Disability): to provide</w:t>
      </w:r>
      <w:r w:rsidRPr="00687A15">
        <w:rPr>
          <w:rFonts w:ascii="Times New Roman" w:hAnsi="Times New Roman"/>
          <w:iCs/>
          <w:szCs w:val="24"/>
          <w:lang w:eastAsia="en-GB"/>
        </w:rPr>
        <w:t xml:space="preserve"> </w:t>
      </w:r>
      <w:r>
        <w:rPr>
          <w:rFonts w:ascii="Times New Roman" w:hAnsi="Times New Roman"/>
          <w:iCs/>
          <w:szCs w:val="24"/>
          <w:lang w:eastAsia="en-GB"/>
        </w:rPr>
        <w:t xml:space="preserve">clinical </w:t>
      </w:r>
      <w:r w:rsidRPr="00687A15">
        <w:rPr>
          <w:rFonts w:ascii="Times New Roman" w:hAnsi="Times New Roman"/>
          <w:iCs/>
          <w:szCs w:val="24"/>
          <w:lang w:eastAsia="en-GB"/>
        </w:rPr>
        <w:t>assessment</w:t>
      </w:r>
      <w:r>
        <w:rPr>
          <w:rFonts w:ascii="Times New Roman" w:hAnsi="Times New Roman"/>
          <w:iCs/>
          <w:szCs w:val="24"/>
          <w:lang w:eastAsia="en-GB"/>
        </w:rPr>
        <w:t xml:space="preserve">, review functional needs and consider reasonable adjustments to the court. </w:t>
      </w:r>
    </w:p>
    <w:p w14:paraId="6DA9F5C1" w14:textId="71EECECD" w:rsidR="000B1425" w:rsidRPr="00687A15" w:rsidRDefault="000B1425" w:rsidP="0078467C">
      <w:pPr>
        <w:numPr>
          <w:ilvl w:val="0"/>
          <w:numId w:val="2"/>
        </w:numPr>
        <w:autoSpaceDE w:val="0"/>
        <w:autoSpaceDN w:val="0"/>
        <w:adjustRightInd w:val="0"/>
        <w:spacing w:line="480" w:lineRule="auto"/>
        <w:rPr>
          <w:rFonts w:ascii="Times New Roman" w:hAnsi="Times New Roman"/>
          <w:iCs/>
          <w:szCs w:val="24"/>
          <w:lang w:eastAsia="en-GB"/>
        </w:rPr>
      </w:pPr>
      <w:r w:rsidRPr="00687A15">
        <w:rPr>
          <w:rFonts w:ascii="Times New Roman" w:hAnsi="Times New Roman"/>
          <w:iCs/>
          <w:szCs w:val="24"/>
          <w:lang w:eastAsia="en-GB"/>
        </w:rPr>
        <w:t xml:space="preserve">A Consultant Forensic Psychiatrist </w:t>
      </w:r>
      <w:r>
        <w:rPr>
          <w:rFonts w:ascii="Times New Roman" w:hAnsi="Times New Roman"/>
          <w:iCs/>
          <w:szCs w:val="24"/>
          <w:lang w:eastAsia="en-GB"/>
        </w:rPr>
        <w:t xml:space="preserve">with specialist </w:t>
      </w:r>
      <w:r w:rsidRPr="007F12C2">
        <w:rPr>
          <w:rFonts w:ascii="Times New Roman" w:hAnsi="Times New Roman"/>
          <w:iCs/>
          <w:szCs w:val="24"/>
          <w:lang w:eastAsia="en-GB"/>
        </w:rPr>
        <w:t>accreditation in</w:t>
      </w:r>
      <w:r w:rsidRPr="00F3178D">
        <w:rPr>
          <w:rFonts w:ascii="Times New Roman" w:hAnsi="Times New Roman"/>
          <w:iCs/>
          <w:szCs w:val="24"/>
          <w:lang w:eastAsia="en-GB"/>
        </w:rPr>
        <w:t xml:space="preserve"> ND</w:t>
      </w:r>
      <w:r>
        <w:rPr>
          <w:rFonts w:ascii="Times New Roman" w:hAnsi="Times New Roman"/>
          <w:iCs/>
          <w:szCs w:val="24"/>
          <w:lang w:eastAsia="en-GB"/>
        </w:rPr>
        <w:t xml:space="preserve"> provided diagnostic assessments and professional reports for the court e.g., making clinical recommendations, reviewing fitness to plead  </w:t>
      </w:r>
      <w:r>
        <w:rPr>
          <w:rFonts w:ascii="Times New Roman" w:hAnsi="Times New Roman"/>
          <w:iCs/>
          <w:szCs w:val="24"/>
          <w:lang w:eastAsia="en-GB"/>
        </w:rPr>
        <w:fldChar w:fldCharType="begin"/>
      </w:r>
      <w:r w:rsidR="004C46F1">
        <w:rPr>
          <w:rFonts w:ascii="Times New Roman" w:hAnsi="Times New Roman"/>
          <w:iCs/>
          <w:szCs w:val="24"/>
          <w:lang w:eastAsia="en-GB"/>
        </w:rPr>
        <w:instrText xml:space="preserve"> ADDIN EN.CITE &lt;EndNote&gt;&lt;Cite&gt;&lt;Author&gt;Brown&lt;/Author&gt;&lt;Year&gt;2019&lt;/Year&gt;&lt;RecNum&gt;1233&lt;/RecNum&gt;&lt;DisplayText&gt;(P.  Brown, 2019; P Brown, 2019)&lt;/DisplayText&gt;&lt;record&gt;&lt;rec-number&gt;1233&lt;/rec-number&gt;&lt;foreign-keys&gt;&lt;key app="EN" db-id="0wtfxzrvwtvfszed0s9vdzam00frxexae5vz" timestamp="1607855456"&gt;1233&lt;/key&gt;&lt;/foreign-keys&gt;&lt;ref-type name="Journal Article"&gt;17&lt;/ref-type&gt;&lt;contributors&gt;&lt;authors&gt;&lt;author&gt;Brown, P&lt;/author&gt;&lt;/authors&gt;&lt;/contributors&gt;&lt;titles&gt;&lt;title&gt;Unfitness to plead in England and Wales: Historical development and contemporary dilemmas.&lt;/title&gt;&lt;secondary-title&gt;Medicine, Science and the Law&lt;/secondary-title&gt;&lt;/titles&gt;&lt;periodical&gt;&lt;full-title&gt;Medicine, science and the law&lt;/full-title&gt;&lt;/periodical&gt;&lt;pages&gt;187-196.&lt;/pages&gt;&lt;volume&gt;59&lt;/volume&gt;&lt;number&gt;3&lt;/number&gt;&lt;dates&gt;&lt;year&gt;2019&lt;/year&gt;&lt;/dates&gt;&lt;urls&gt;&lt;/urls&gt;&lt;/record&gt;&lt;/Cite&gt;&lt;Cite&gt;&lt;Author&gt;Brown&lt;/Author&gt;&lt;Year&gt;2019&lt;/Year&gt;&lt;RecNum&gt;1234&lt;/RecNum&gt;&lt;record&gt;&lt;rec-number&gt;1234&lt;/rec-number&gt;&lt;foreign-keys&gt;&lt;key app="EN" db-id="0wtfxzrvwtvfszed0s9vdzam00frxexae5vz" timestamp="1607855593"&gt;1234&lt;/key&gt;&lt;/foreign-keys&gt;&lt;ref-type name="Journal Article"&gt;17&lt;/ref-type&gt;&lt;contributors&gt;&lt;authors&gt;&lt;author&gt;Brown, P. &lt;/author&gt;&lt;/authors&gt;&lt;/contributors&gt;&lt;titles&gt;&lt;title&gt;Modernising fitness to plead.&lt;/title&gt;&lt;secondary-title&gt;Medicine Sciemce and the Law&lt;/secondary-title&gt;&lt;/titles&gt;&lt;periodical&gt;&lt;full-title&gt;Medicine Sciemce and the Law&lt;/full-title&gt;&lt;/periodical&gt;&lt;pages&gt;131-134.&lt;/pages&gt;&lt;volume&gt;59&lt;/volume&gt;&lt;number&gt;3&lt;/number&gt;&lt;dates&gt;&lt;year&gt;2019&lt;/year&gt;&lt;/dates&gt;&lt;urls&gt;&lt;/urls&gt;&lt;/record&gt;&lt;/Cite&gt;&lt;/EndNote&gt;</w:instrText>
      </w:r>
      <w:r>
        <w:rPr>
          <w:rFonts w:ascii="Times New Roman" w:hAnsi="Times New Roman"/>
          <w:iCs/>
          <w:szCs w:val="24"/>
          <w:lang w:eastAsia="en-GB"/>
        </w:rPr>
        <w:fldChar w:fldCharType="separate"/>
      </w:r>
      <w:r w:rsidR="004C46F1">
        <w:rPr>
          <w:rFonts w:ascii="Times New Roman" w:hAnsi="Times New Roman"/>
          <w:iCs/>
          <w:noProof/>
          <w:szCs w:val="24"/>
          <w:lang w:eastAsia="en-GB"/>
        </w:rPr>
        <w:t>(P.  Brown, 2019; P Brown, 2019)</w:t>
      </w:r>
      <w:r>
        <w:rPr>
          <w:rFonts w:ascii="Times New Roman" w:hAnsi="Times New Roman"/>
          <w:iCs/>
          <w:szCs w:val="24"/>
          <w:lang w:eastAsia="en-GB"/>
        </w:rPr>
        <w:fldChar w:fldCharType="end"/>
      </w:r>
      <w:r>
        <w:rPr>
          <w:rFonts w:ascii="Times New Roman" w:hAnsi="Times New Roman"/>
          <w:iCs/>
          <w:szCs w:val="24"/>
          <w:lang w:eastAsia="en-GB"/>
        </w:rPr>
        <w:t xml:space="preserve"> and ability to effectively participate in the court process.</w:t>
      </w:r>
    </w:p>
    <w:p w14:paraId="2C45D544" w14:textId="1E12695E" w:rsidR="000B1425" w:rsidRPr="00CE2524" w:rsidRDefault="000B1425" w:rsidP="0078467C">
      <w:pPr>
        <w:pStyle w:val="ListParagraph"/>
        <w:numPr>
          <w:ilvl w:val="0"/>
          <w:numId w:val="2"/>
        </w:numPr>
        <w:spacing w:line="480" w:lineRule="auto"/>
        <w:rPr>
          <w:rFonts w:ascii="Times New Roman" w:eastAsia="Times New Roman" w:hAnsi="Times New Roman" w:cs="Times New Roman"/>
          <w:iCs/>
          <w:sz w:val="24"/>
          <w:szCs w:val="24"/>
          <w:lang w:eastAsia="en-GB"/>
        </w:rPr>
      </w:pPr>
      <w:r w:rsidRPr="00941D02">
        <w:rPr>
          <w:rFonts w:ascii="Times New Roman" w:eastAsia="Times New Roman" w:hAnsi="Times New Roman" w:cs="Times New Roman"/>
          <w:iCs/>
          <w:sz w:val="24"/>
          <w:szCs w:val="24"/>
          <w:lang w:eastAsia="en-GB"/>
        </w:rPr>
        <w:t xml:space="preserve">A </w:t>
      </w:r>
      <w:r>
        <w:rPr>
          <w:rFonts w:ascii="Times New Roman" w:eastAsia="Times New Roman" w:hAnsi="Times New Roman" w:cs="Times New Roman"/>
          <w:iCs/>
          <w:sz w:val="24"/>
          <w:szCs w:val="24"/>
          <w:lang w:eastAsia="en-GB"/>
        </w:rPr>
        <w:t>f</w:t>
      </w:r>
      <w:r w:rsidRPr="00E85438">
        <w:rPr>
          <w:rFonts w:ascii="Times New Roman" w:eastAsia="Times New Roman" w:hAnsi="Times New Roman" w:cs="Times New Roman"/>
          <w:iCs/>
          <w:sz w:val="24"/>
          <w:szCs w:val="24"/>
          <w:lang w:eastAsia="en-GB"/>
        </w:rPr>
        <w:t xml:space="preserve">orensic </w:t>
      </w:r>
      <w:r>
        <w:rPr>
          <w:rFonts w:ascii="Times New Roman" w:eastAsia="Times New Roman" w:hAnsi="Times New Roman" w:cs="Times New Roman"/>
          <w:iCs/>
          <w:sz w:val="24"/>
          <w:szCs w:val="24"/>
          <w:lang w:eastAsia="en-GB"/>
        </w:rPr>
        <w:t>p</w:t>
      </w:r>
      <w:r w:rsidRPr="00E85438">
        <w:rPr>
          <w:rFonts w:ascii="Times New Roman" w:eastAsia="Times New Roman" w:hAnsi="Times New Roman" w:cs="Times New Roman"/>
          <w:iCs/>
          <w:sz w:val="24"/>
          <w:szCs w:val="24"/>
          <w:lang w:eastAsia="en-GB"/>
        </w:rPr>
        <w:t>sychologist</w:t>
      </w:r>
      <w:r w:rsidRPr="00941D02">
        <w:rPr>
          <w:rFonts w:ascii="Times New Roman" w:eastAsia="Times New Roman" w:hAnsi="Times New Roman" w:cs="Times New Roman"/>
          <w:iCs/>
          <w:sz w:val="24"/>
          <w:szCs w:val="24"/>
          <w:lang w:eastAsia="en-GB"/>
        </w:rPr>
        <w:t xml:space="preserve"> to </w:t>
      </w:r>
      <w:r>
        <w:rPr>
          <w:rFonts w:ascii="Times New Roman" w:eastAsia="Times New Roman" w:hAnsi="Times New Roman" w:cs="Times New Roman"/>
          <w:iCs/>
          <w:sz w:val="24"/>
          <w:szCs w:val="24"/>
          <w:lang w:eastAsia="en-GB"/>
        </w:rPr>
        <w:t>provide reports for the court and to conduct</w:t>
      </w:r>
      <w:r w:rsidRPr="00941D02">
        <w:rPr>
          <w:rFonts w:ascii="Times New Roman" w:eastAsia="Times New Roman" w:hAnsi="Times New Roman" w:cs="Times New Roman"/>
          <w:iCs/>
          <w:sz w:val="24"/>
          <w:szCs w:val="24"/>
          <w:lang w:eastAsia="en-GB"/>
        </w:rPr>
        <w:t xml:space="preserve"> assessment</w:t>
      </w:r>
      <w:r>
        <w:rPr>
          <w:rFonts w:ascii="Times New Roman" w:eastAsia="Times New Roman" w:hAnsi="Times New Roman" w:cs="Times New Roman"/>
          <w:iCs/>
          <w:sz w:val="24"/>
          <w:szCs w:val="24"/>
          <w:lang w:eastAsia="en-GB"/>
        </w:rPr>
        <w:t xml:space="preserve">s </w:t>
      </w:r>
      <w:r w:rsidRPr="00941D02">
        <w:rPr>
          <w:rFonts w:ascii="Times New Roman" w:eastAsia="Times New Roman" w:hAnsi="Times New Roman" w:cs="Times New Roman"/>
          <w:iCs/>
          <w:sz w:val="24"/>
          <w:szCs w:val="24"/>
          <w:lang w:eastAsia="en-GB"/>
        </w:rPr>
        <w:t xml:space="preserve">including </w:t>
      </w:r>
      <w:r w:rsidRPr="002D1FA2">
        <w:rPr>
          <w:rFonts w:ascii="Times New Roman" w:hAnsi="Times New Roman" w:cs="Times New Roman"/>
          <w:sz w:val="24"/>
          <w:szCs w:val="24"/>
          <w:lang w:eastAsia="en-GB"/>
        </w:rPr>
        <w:t xml:space="preserve">The Wechsler Adult Intelligence Scale Fourth Edition (WAIS-IV) </w:t>
      </w:r>
      <w:r>
        <w:rPr>
          <w:rFonts w:ascii="Times New Roman" w:hAnsi="Times New Roman" w:cs="Times New Roman"/>
          <w:sz w:val="24"/>
          <w:szCs w:val="24"/>
          <w:lang w:eastAsia="en-GB"/>
        </w:rPr>
        <w:fldChar w:fldCharType="begin"/>
      </w:r>
      <w:r w:rsidR="004C46F1">
        <w:rPr>
          <w:rFonts w:ascii="Times New Roman" w:hAnsi="Times New Roman" w:cs="Times New Roman"/>
          <w:sz w:val="24"/>
          <w:szCs w:val="24"/>
          <w:lang w:eastAsia="en-GB"/>
        </w:rPr>
        <w:instrText xml:space="preserve"> ADDIN EN.CITE &lt;EndNote&gt;&lt;Cite&gt;&lt;Author&gt;Drozdick&lt;/Author&gt;&lt;Year&gt;2012&lt;/Year&gt;&lt;RecNum&gt;1235&lt;/RecNum&gt;&lt;DisplayText&gt;(Drozdick, 2012)&lt;/DisplayText&gt;&lt;record&gt;&lt;rec-number&gt;1235&lt;/rec-number&gt;&lt;foreign-keys&gt;&lt;key app="EN" db-id="0wtfxzrvwtvfszed0s9vdzam00frxexae5vz" timestamp="1607856033"&gt;1235&lt;/key&gt;&lt;/foreign-keys&gt;&lt;ref-type name="Book Section"&gt;5&lt;/ref-type&gt;&lt;contributors&gt;&lt;authors&gt;&lt;author&gt;Drozdick, L. W., Wahlstrom, D., Zhu, J., &amp;amp; Weiss, L. G. &lt;/author&gt;&lt;/authors&gt;&lt;secondary-authors&gt;&lt;author&gt;D. P. Flanagan &amp;amp; P. L. Harrison&lt;/author&gt;&lt;/secondary-authors&gt;&lt;/contributors&gt;&lt;titles&gt;&lt;title&gt;The Wechsler Adult Intelligence Scale—Fourth Edition and the Wechsler Memory Scale—Fourth Edition&lt;/title&gt;&lt;secondary-title&gt;Contemporary intellectual assessment: Theories, tests, and issues&lt;/secondary-title&gt;&lt;/titles&gt;&lt;pages&gt;197–223&lt;/pages&gt;&lt;dates&gt;&lt;year&gt;2012&lt;/year&gt;&lt;/dates&gt;&lt;publisher&gt;The Guilford Press.&lt;/publisher&gt;&lt;urls&gt;&lt;/urls&gt;&lt;/record&gt;&lt;/Cite&gt;&lt;/EndNote&gt;</w:instrText>
      </w:r>
      <w:r>
        <w:rPr>
          <w:rFonts w:ascii="Times New Roman" w:hAnsi="Times New Roman" w:cs="Times New Roman"/>
          <w:sz w:val="24"/>
          <w:szCs w:val="24"/>
          <w:lang w:eastAsia="en-GB"/>
        </w:rPr>
        <w:fldChar w:fldCharType="separate"/>
      </w:r>
      <w:r w:rsidR="004C46F1">
        <w:rPr>
          <w:rFonts w:ascii="Times New Roman" w:hAnsi="Times New Roman" w:cs="Times New Roman"/>
          <w:noProof/>
          <w:sz w:val="24"/>
          <w:szCs w:val="24"/>
          <w:lang w:eastAsia="en-GB"/>
        </w:rPr>
        <w:t>(Drozdick, 2012)</w:t>
      </w:r>
      <w:r>
        <w:rPr>
          <w:rFonts w:ascii="Times New Roman" w:hAnsi="Times New Roman" w:cs="Times New Roman"/>
          <w:sz w:val="24"/>
          <w:szCs w:val="24"/>
          <w:lang w:eastAsia="en-GB"/>
        </w:rPr>
        <w:fldChar w:fldCharType="end"/>
      </w:r>
      <w:r>
        <w:rPr>
          <w:rFonts w:ascii="Times New Roman" w:hAnsi="Times New Roman" w:cs="Times New Roman"/>
          <w:sz w:val="24"/>
          <w:szCs w:val="24"/>
          <w:lang w:eastAsia="en-GB"/>
        </w:rPr>
        <w:t xml:space="preserve"> </w:t>
      </w:r>
      <w:r w:rsidRPr="00A421A8">
        <w:rPr>
          <w:rFonts w:ascii="Times New Roman" w:hAnsi="Times New Roman" w:cs="Times New Roman"/>
          <w:sz w:val="24"/>
          <w:szCs w:val="24"/>
          <w:lang w:eastAsia="en-GB"/>
        </w:rPr>
        <w:t xml:space="preserve">and </w:t>
      </w:r>
      <w:r w:rsidRPr="00E941F7">
        <w:rPr>
          <w:rFonts w:ascii="Times New Roman" w:hAnsi="Times New Roman" w:cs="Times New Roman"/>
          <w:sz w:val="24"/>
          <w:szCs w:val="24"/>
          <w:lang w:eastAsia="en-GB"/>
        </w:rPr>
        <w:t xml:space="preserve">Adaptive </w:t>
      </w:r>
      <w:proofErr w:type="spellStart"/>
      <w:r w:rsidRPr="00E941F7">
        <w:rPr>
          <w:rFonts w:ascii="Times New Roman" w:hAnsi="Times New Roman" w:cs="Times New Roman"/>
          <w:sz w:val="24"/>
          <w:szCs w:val="24"/>
          <w:lang w:eastAsia="en-GB"/>
        </w:rPr>
        <w:t>Behavior</w:t>
      </w:r>
      <w:proofErr w:type="spellEnd"/>
      <w:r w:rsidRPr="00E941F7">
        <w:rPr>
          <w:rFonts w:ascii="Times New Roman" w:hAnsi="Times New Roman" w:cs="Times New Roman"/>
          <w:sz w:val="24"/>
          <w:szCs w:val="24"/>
          <w:lang w:eastAsia="en-GB"/>
        </w:rPr>
        <w:t xml:space="preserve"> Assessment System Third Edition (ABAS-3)</w:t>
      </w:r>
      <w:r>
        <w:rPr>
          <w:rFonts w:ascii="Times New Roman" w:eastAsia="Times New Roman" w:hAnsi="Times New Roman" w:cs="Times New Roman"/>
          <w:iCs/>
          <w:noProof/>
          <w:sz w:val="24"/>
          <w:szCs w:val="24"/>
          <w:lang w:eastAsia="en-GB"/>
        </w:rPr>
        <w:t xml:space="preserve"> </w:t>
      </w:r>
      <w:r>
        <w:rPr>
          <w:rFonts w:ascii="Times New Roman" w:eastAsia="Times New Roman" w:hAnsi="Times New Roman" w:cs="Times New Roman"/>
          <w:iCs/>
          <w:noProof/>
          <w:sz w:val="24"/>
          <w:szCs w:val="24"/>
          <w:lang w:eastAsia="en-GB"/>
        </w:rPr>
        <w:fldChar w:fldCharType="begin"/>
      </w:r>
      <w:r w:rsidR="004C46F1">
        <w:rPr>
          <w:rFonts w:ascii="Times New Roman" w:eastAsia="Times New Roman" w:hAnsi="Times New Roman" w:cs="Times New Roman"/>
          <w:iCs/>
          <w:noProof/>
          <w:sz w:val="24"/>
          <w:szCs w:val="24"/>
          <w:lang w:eastAsia="en-GB"/>
        </w:rPr>
        <w:instrText xml:space="preserve"> ADDIN EN.CITE &lt;EndNote&gt;&lt;Cite&gt;&lt;Author&gt;Harrison&lt;/Author&gt;&lt;Year&gt;2015&lt;/Year&gt;&lt;RecNum&gt;1236&lt;/RecNum&gt;&lt;DisplayText&gt;(Harrison, 2015)&lt;/DisplayText&gt;&lt;record&gt;&lt;rec-number&gt;1236&lt;/rec-number&gt;&lt;foreign-keys&gt;&lt;key app="EN" db-id="0wtfxzrvwtvfszed0s9vdzam00frxexae5vz" timestamp="1607856205"&gt;1236&lt;/key&gt;&lt;/foreign-keys&gt;&lt;ref-type name="Book"&gt;6&lt;/ref-type&gt;&lt;contributors&gt;&lt;authors&gt;&lt;author&gt;Harrison, P. L., &amp;amp; Oakland, T. (2015). &lt;/author&gt;&lt;/authors&gt;&lt;/contributors&gt;&lt;titles&gt;&lt;title&gt;ABAS-3: Adaptive behavior assessment system.&lt;/title&gt;&lt;/titles&gt;&lt;number&gt; Los Angeles, CA&lt;/number&gt;&lt;dates&gt;&lt;year&gt;2015&lt;/year&gt;&lt;/dates&gt;&lt;pub-location&gt; Los Angeles, CA&lt;/pub-location&gt;&lt;publisher&gt;Western Psychological Services&lt;/publisher&gt;&lt;urls&gt;&lt;/urls&gt;&lt;/record&gt;&lt;/Cite&gt;&lt;/EndNote&gt;</w:instrText>
      </w:r>
      <w:r>
        <w:rPr>
          <w:rFonts w:ascii="Times New Roman" w:eastAsia="Times New Roman" w:hAnsi="Times New Roman" w:cs="Times New Roman"/>
          <w:iCs/>
          <w:noProof/>
          <w:sz w:val="24"/>
          <w:szCs w:val="24"/>
          <w:lang w:eastAsia="en-GB"/>
        </w:rPr>
        <w:fldChar w:fldCharType="separate"/>
      </w:r>
      <w:r w:rsidR="004C46F1">
        <w:rPr>
          <w:rFonts w:ascii="Times New Roman" w:eastAsia="Times New Roman" w:hAnsi="Times New Roman" w:cs="Times New Roman"/>
          <w:iCs/>
          <w:noProof/>
          <w:sz w:val="24"/>
          <w:szCs w:val="24"/>
          <w:lang w:eastAsia="en-GB"/>
        </w:rPr>
        <w:t>(Harrison, 2015)</w:t>
      </w:r>
      <w:r>
        <w:rPr>
          <w:rFonts w:ascii="Times New Roman" w:eastAsia="Times New Roman" w:hAnsi="Times New Roman" w:cs="Times New Roman"/>
          <w:iCs/>
          <w:noProof/>
          <w:sz w:val="24"/>
          <w:szCs w:val="24"/>
          <w:lang w:eastAsia="en-GB"/>
        </w:rPr>
        <w:fldChar w:fldCharType="end"/>
      </w:r>
      <w:r>
        <w:rPr>
          <w:rFonts w:ascii="Times New Roman" w:eastAsia="Times New Roman" w:hAnsi="Times New Roman" w:cs="Times New Roman"/>
          <w:iCs/>
          <w:noProof/>
          <w:sz w:val="24"/>
          <w:szCs w:val="24"/>
          <w:lang w:eastAsia="en-GB"/>
        </w:rPr>
        <w:t xml:space="preserve"> </w:t>
      </w:r>
      <w:r>
        <w:rPr>
          <w:rFonts w:ascii="Times New Roman" w:eastAsia="Times New Roman" w:hAnsi="Times New Roman" w:cs="Times New Roman"/>
          <w:iCs/>
          <w:sz w:val="24"/>
          <w:szCs w:val="24"/>
          <w:lang w:eastAsia="en-GB"/>
        </w:rPr>
        <w:t>to measure</w:t>
      </w:r>
      <w:r w:rsidRPr="007E4890">
        <w:rPr>
          <w:rFonts w:ascii="Times New Roman" w:eastAsia="Times New Roman" w:hAnsi="Times New Roman" w:cs="Times New Roman"/>
          <w:iCs/>
          <w:sz w:val="24"/>
          <w:szCs w:val="24"/>
          <w:lang w:eastAsia="en-GB"/>
        </w:rPr>
        <w:t xml:space="preserve"> intellectual and adaptive functioning.</w:t>
      </w:r>
    </w:p>
    <w:p w14:paraId="0E1357C4" w14:textId="77777777" w:rsidR="000B1425" w:rsidRDefault="000B1425" w:rsidP="000B1425">
      <w:pPr>
        <w:tabs>
          <w:tab w:val="left" w:pos="0"/>
        </w:tabs>
        <w:spacing w:line="480" w:lineRule="auto"/>
        <w:rPr>
          <w:rFonts w:ascii="Times New Roman" w:hAnsi="Times New Roman"/>
          <w:szCs w:val="24"/>
        </w:rPr>
      </w:pPr>
    </w:p>
    <w:p w14:paraId="171AA750" w14:textId="0E389BF4" w:rsidR="000B1425" w:rsidRDefault="00D43917" w:rsidP="000B1425">
      <w:pPr>
        <w:tabs>
          <w:tab w:val="left" w:pos="0"/>
        </w:tabs>
        <w:spacing w:line="480" w:lineRule="auto"/>
        <w:rPr>
          <w:rFonts w:ascii="Times New Roman" w:hAnsi="Times New Roman"/>
          <w:szCs w:val="24"/>
        </w:rPr>
      </w:pPr>
      <w:r>
        <w:rPr>
          <w:rFonts w:ascii="Times New Roman" w:hAnsi="Times New Roman"/>
          <w:szCs w:val="24"/>
        </w:rPr>
        <w:tab/>
      </w:r>
      <w:r w:rsidR="000B1425" w:rsidRPr="00B264F1">
        <w:rPr>
          <w:rFonts w:ascii="Times New Roman" w:hAnsi="Times New Roman"/>
          <w:szCs w:val="24"/>
        </w:rPr>
        <w:t xml:space="preserve">The service was provided on a full-time basis and also offered written or oral advice, evidence to the court, multi-disciplinary risk assessments (including self-harm and/or suicide &amp; risk of future offending) and diagnosis of co-morbidities as required. The FMHP post was full </w:t>
      </w:r>
      <w:r w:rsidR="000B1425" w:rsidRPr="00B264F1">
        <w:rPr>
          <w:rFonts w:ascii="Times New Roman" w:hAnsi="Times New Roman"/>
          <w:szCs w:val="24"/>
        </w:rPr>
        <w:lastRenderedPageBreak/>
        <w:t xml:space="preserve">time, whilst the psychologist attended court three days per week and the psychiatrist and nurse both worked one day a week. The </w:t>
      </w:r>
      <w:bookmarkStart w:id="8" w:name="_Hlk68515930"/>
      <w:r w:rsidR="000B1425" w:rsidRPr="00B264F1">
        <w:rPr>
          <w:rFonts w:ascii="Times New Roman" w:hAnsi="Times New Roman"/>
          <w:szCs w:val="24"/>
        </w:rPr>
        <w:t>CMH+</w:t>
      </w:r>
      <w:bookmarkEnd w:id="8"/>
      <w:r w:rsidR="000B1425" w:rsidRPr="00B264F1">
        <w:rPr>
          <w:rFonts w:ascii="Times New Roman" w:hAnsi="Times New Roman"/>
          <w:szCs w:val="24"/>
        </w:rPr>
        <w:t xml:space="preserve">ND </w:t>
      </w:r>
      <w:r w:rsidR="000B1425">
        <w:rPr>
          <w:rFonts w:ascii="Times New Roman" w:hAnsi="Times New Roman"/>
          <w:szCs w:val="24"/>
        </w:rPr>
        <w:t>service</w:t>
      </w:r>
      <w:r w:rsidR="000B1425" w:rsidRPr="00B264F1">
        <w:rPr>
          <w:rFonts w:ascii="Times New Roman" w:hAnsi="Times New Roman"/>
          <w:szCs w:val="24"/>
        </w:rPr>
        <w:t xml:space="preserve"> also provided information to support defendants about procedures and other agencies, or referred them to other clinical services, when this was required, running parallel to the existing</w:t>
      </w:r>
      <w:r w:rsidR="000B1425">
        <w:rPr>
          <w:rFonts w:ascii="Times New Roman" w:hAnsi="Times New Roman"/>
          <w:szCs w:val="24"/>
        </w:rPr>
        <w:t xml:space="preserve"> CMH </w:t>
      </w:r>
      <w:r w:rsidR="000B1425" w:rsidRPr="00B264F1">
        <w:rPr>
          <w:rFonts w:ascii="Times New Roman" w:hAnsi="Times New Roman"/>
          <w:szCs w:val="24"/>
        </w:rPr>
        <w:t>service.</w:t>
      </w:r>
      <w:r w:rsidR="000B1425" w:rsidRPr="00CD0020">
        <w:rPr>
          <w:rFonts w:ascii="Times New Roman" w:hAnsi="Times New Roman"/>
          <w:szCs w:val="24"/>
        </w:rPr>
        <w:t xml:space="preserve"> </w:t>
      </w:r>
    </w:p>
    <w:p w14:paraId="749168DF" w14:textId="77777777" w:rsidR="000B1425" w:rsidRPr="00F3097E" w:rsidRDefault="000B1425" w:rsidP="000B1425">
      <w:pPr>
        <w:tabs>
          <w:tab w:val="left" w:pos="0"/>
        </w:tabs>
        <w:spacing w:line="480" w:lineRule="auto"/>
        <w:rPr>
          <w:rFonts w:ascii="Times New Roman" w:hAnsi="Times New Roman"/>
          <w:i/>
          <w:iCs/>
          <w:szCs w:val="24"/>
          <w:lang w:eastAsia="en-GB"/>
        </w:rPr>
      </w:pPr>
    </w:p>
    <w:p w14:paraId="097137CA" w14:textId="2B09CB31" w:rsidR="000B1425" w:rsidRPr="000B1425" w:rsidRDefault="000B1425" w:rsidP="0078467C">
      <w:pPr>
        <w:pStyle w:val="Heading2"/>
        <w:numPr>
          <w:ilvl w:val="1"/>
          <w:numId w:val="3"/>
        </w:numPr>
        <w:rPr>
          <w:lang w:eastAsia="en-GB"/>
        </w:rPr>
      </w:pPr>
      <w:r w:rsidRPr="000B1425">
        <w:rPr>
          <w:lang w:eastAsia="en-GB"/>
        </w:rPr>
        <w:t>Procedure &amp; Measures</w:t>
      </w:r>
    </w:p>
    <w:p w14:paraId="5775EEC3" w14:textId="77777777" w:rsidR="000B1425" w:rsidRDefault="000B1425" w:rsidP="000B1425">
      <w:pPr>
        <w:spacing w:line="480" w:lineRule="auto"/>
        <w:rPr>
          <w:rFonts w:ascii="Times New Roman" w:hAnsi="Times New Roman"/>
          <w:iCs/>
          <w:color w:val="1C1D1E"/>
          <w:szCs w:val="24"/>
          <w:lang w:eastAsia="en-GB"/>
        </w:rPr>
      </w:pPr>
      <w:r>
        <w:rPr>
          <w:rFonts w:ascii="Times New Roman" w:hAnsi="Times New Roman"/>
          <w:iCs/>
          <w:szCs w:val="24"/>
          <w:lang w:eastAsia="en-GB"/>
        </w:rPr>
        <w:t xml:space="preserve">The </w:t>
      </w:r>
      <w:r w:rsidRPr="005F21C8">
        <w:rPr>
          <w:rFonts w:ascii="Times New Roman" w:hAnsi="Times New Roman"/>
          <w:iCs/>
          <w:szCs w:val="24"/>
          <w:lang w:eastAsia="en-GB"/>
        </w:rPr>
        <w:t xml:space="preserve">CMH+ND </w:t>
      </w:r>
      <w:r>
        <w:rPr>
          <w:rFonts w:ascii="Times New Roman" w:hAnsi="Times New Roman"/>
          <w:iCs/>
          <w:szCs w:val="24"/>
          <w:lang w:eastAsia="en-GB"/>
        </w:rPr>
        <w:t xml:space="preserve">service was introduced in </w:t>
      </w:r>
      <w:r w:rsidRPr="008E4D20">
        <w:rPr>
          <w:rFonts w:ascii="Times New Roman" w:hAnsi="Times New Roman"/>
          <w:iCs/>
          <w:szCs w:val="24"/>
          <w:lang w:eastAsia="en-GB"/>
        </w:rPr>
        <w:t>April 2017</w:t>
      </w:r>
      <w:r w:rsidRPr="003311FE">
        <w:rPr>
          <w:rFonts w:ascii="Times New Roman" w:hAnsi="Times New Roman"/>
          <w:iCs/>
          <w:szCs w:val="24"/>
          <w:lang w:eastAsia="en-GB"/>
        </w:rPr>
        <w:t>.</w:t>
      </w:r>
      <w:r>
        <w:rPr>
          <w:rFonts w:ascii="Times New Roman" w:hAnsi="Times New Roman"/>
          <w:iCs/>
          <w:szCs w:val="24"/>
          <w:lang w:eastAsia="en-GB"/>
        </w:rPr>
        <w:t xml:space="preserve"> The study followed a cohort from its introduction</w:t>
      </w:r>
      <w:r>
        <w:rPr>
          <w:rFonts w:ascii="Times New Roman" w:hAnsi="Times New Roman"/>
          <w:iCs/>
          <w:color w:val="1C1D1E"/>
          <w:szCs w:val="24"/>
          <w:lang w:eastAsia="en-GB"/>
        </w:rPr>
        <w:t xml:space="preserve"> up to October 2019</w:t>
      </w:r>
      <w:r>
        <w:rPr>
          <w:rFonts w:ascii="Times New Roman" w:hAnsi="Times New Roman"/>
          <w:iCs/>
          <w:szCs w:val="24"/>
          <w:lang w:eastAsia="en-GB"/>
        </w:rPr>
        <w:t>. A freedom of information (FoI) request</w:t>
      </w:r>
      <w:r>
        <w:rPr>
          <w:rStyle w:val="FootnoteReference"/>
          <w:rFonts w:ascii="Times New Roman" w:hAnsi="Times New Roman"/>
          <w:iCs/>
          <w:szCs w:val="24"/>
          <w:lang w:eastAsia="en-GB"/>
        </w:rPr>
        <w:footnoteReference w:id="1"/>
      </w:r>
      <w:r>
        <w:rPr>
          <w:rFonts w:ascii="Times New Roman" w:hAnsi="Times New Roman"/>
          <w:iCs/>
          <w:szCs w:val="24"/>
          <w:lang w:eastAsia="en-GB"/>
        </w:rPr>
        <w:t xml:space="preserve"> revealed that </w:t>
      </w:r>
      <w:r>
        <w:rPr>
          <w:rFonts w:ascii="Times New Roman" w:hAnsi="Times New Roman"/>
          <w:iCs/>
          <w:color w:val="1C1D1E"/>
          <w:szCs w:val="24"/>
          <w:lang w:eastAsia="en-GB"/>
        </w:rPr>
        <w:t>there were 19, 422 Magistrates’ Court attendees during this period.</w:t>
      </w:r>
      <w:r w:rsidRPr="00200784">
        <w:rPr>
          <w:rFonts w:ascii="Times New Roman" w:hAnsi="Times New Roman"/>
          <w:lang w:eastAsia="en-GB"/>
        </w:rPr>
        <w:t xml:space="preserve"> </w:t>
      </w:r>
      <w:r w:rsidRPr="008E4D20">
        <w:rPr>
          <w:rFonts w:ascii="Times New Roman" w:hAnsi="Times New Roman"/>
          <w:szCs w:val="24"/>
          <w:lang w:eastAsia="en-GB"/>
        </w:rPr>
        <w:t>Of these</w:t>
      </w:r>
      <w:r>
        <w:rPr>
          <w:rFonts w:ascii="Times New Roman" w:hAnsi="Times New Roman"/>
          <w:lang w:eastAsia="en-GB"/>
        </w:rPr>
        <w:t xml:space="preserve">, </w:t>
      </w:r>
      <w:r>
        <w:rPr>
          <w:rFonts w:ascii="Times New Roman" w:hAnsi="Times New Roman"/>
          <w:iCs/>
          <w:color w:val="1C1D1E"/>
          <w:szCs w:val="24"/>
          <w:lang w:eastAsia="en-GB"/>
        </w:rPr>
        <w:t>4.3% (</w:t>
      </w:r>
      <w:r w:rsidRPr="006E2E5D">
        <w:rPr>
          <w:rFonts w:ascii="Times New Roman" w:hAnsi="Times New Roman"/>
          <w:iCs/>
          <w:color w:val="1C1D1E"/>
          <w:szCs w:val="24"/>
          <w:lang w:eastAsia="en-GB"/>
        </w:rPr>
        <w:t>829</w:t>
      </w:r>
      <w:r>
        <w:rPr>
          <w:rFonts w:ascii="Times New Roman" w:hAnsi="Times New Roman"/>
          <w:iCs/>
          <w:color w:val="1C1D1E"/>
          <w:szCs w:val="24"/>
          <w:lang w:eastAsia="en-GB"/>
        </w:rPr>
        <w:t>) had contact or were known to CMH+ND Service.</w:t>
      </w:r>
    </w:p>
    <w:p w14:paraId="62559963" w14:textId="77777777" w:rsidR="000B1425" w:rsidRDefault="000B1425" w:rsidP="000B1425">
      <w:pPr>
        <w:spacing w:line="480" w:lineRule="auto"/>
        <w:rPr>
          <w:rFonts w:ascii="Times New Roman" w:hAnsi="Times New Roman"/>
          <w:iCs/>
          <w:color w:val="1C1D1E"/>
          <w:szCs w:val="24"/>
          <w:lang w:eastAsia="en-GB"/>
        </w:rPr>
      </w:pPr>
    </w:p>
    <w:p w14:paraId="08EA500C" w14:textId="77777777" w:rsidR="000B1425" w:rsidRPr="00F31D3B" w:rsidRDefault="000B1425" w:rsidP="00D43917">
      <w:pPr>
        <w:spacing w:line="480" w:lineRule="auto"/>
        <w:ind w:firstLine="720"/>
        <w:rPr>
          <w:rFonts w:ascii="Times New Roman" w:hAnsi="Times New Roman"/>
          <w:iCs/>
          <w:color w:val="1C1D1E"/>
          <w:szCs w:val="24"/>
          <w:lang w:eastAsia="en-GB"/>
        </w:rPr>
      </w:pPr>
      <w:r w:rsidRPr="00F31D3B">
        <w:rPr>
          <w:rFonts w:ascii="Times New Roman" w:hAnsi="Times New Roman"/>
          <w:iCs/>
          <w:color w:val="1C1D1E"/>
          <w:szCs w:val="24"/>
          <w:lang w:eastAsia="en-GB"/>
        </w:rPr>
        <w:t>Baseline data from September 2015 and March 2017 w</w:t>
      </w:r>
      <w:r>
        <w:rPr>
          <w:rFonts w:ascii="Times New Roman" w:hAnsi="Times New Roman"/>
          <w:iCs/>
          <w:color w:val="1C1D1E"/>
          <w:szCs w:val="24"/>
          <w:lang w:eastAsia="en-GB"/>
        </w:rPr>
        <w:t xml:space="preserve">ere </w:t>
      </w:r>
      <w:r w:rsidRPr="00F31D3B">
        <w:rPr>
          <w:rFonts w:ascii="Times New Roman" w:hAnsi="Times New Roman"/>
          <w:iCs/>
          <w:color w:val="1C1D1E"/>
          <w:szCs w:val="24"/>
          <w:lang w:eastAsia="en-GB"/>
        </w:rPr>
        <w:t xml:space="preserve">also collected </w:t>
      </w:r>
      <w:r>
        <w:rPr>
          <w:rFonts w:ascii="Times New Roman" w:hAnsi="Times New Roman"/>
          <w:iCs/>
          <w:color w:val="1C1D1E"/>
          <w:szCs w:val="24"/>
          <w:lang w:eastAsia="en-GB"/>
        </w:rPr>
        <w:t>before</w:t>
      </w:r>
      <w:r w:rsidRPr="00F31D3B">
        <w:rPr>
          <w:rFonts w:ascii="Times New Roman" w:hAnsi="Times New Roman"/>
          <w:iCs/>
          <w:color w:val="1C1D1E"/>
          <w:szCs w:val="24"/>
          <w:lang w:eastAsia="en-GB"/>
        </w:rPr>
        <w:t xml:space="preserve"> the </w:t>
      </w:r>
      <w:r>
        <w:rPr>
          <w:rFonts w:ascii="Times New Roman" w:hAnsi="Times New Roman"/>
          <w:iCs/>
          <w:color w:val="1C1D1E"/>
          <w:szCs w:val="24"/>
          <w:lang w:eastAsia="en-GB"/>
        </w:rPr>
        <w:t xml:space="preserve">introduction of the </w:t>
      </w:r>
      <w:bookmarkStart w:id="9" w:name="_Hlk68519847"/>
      <w:r>
        <w:rPr>
          <w:rFonts w:ascii="Times New Roman" w:hAnsi="Times New Roman"/>
          <w:iCs/>
          <w:color w:val="1C1D1E"/>
          <w:szCs w:val="24"/>
          <w:lang w:eastAsia="en-GB"/>
        </w:rPr>
        <w:t xml:space="preserve">CMH+ND </w:t>
      </w:r>
      <w:bookmarkEnd w:id="9"/>
      <w:r>
        <w:rPr>
          <w:rFonts w:ascii="Times New Roman" w:hAnsi="Times New Roman"/>
          <w:iCs/>
          <w:color w:val="1C1D1E"/>
          <w:szCs w:val="24"/>
          <w:lang w:eastAsia="en-GB"/>
        </w:rPr>
        <w:t>service</w:t>
      </w:r>
      <w:r w:rsidRPr="00F31D3B">
        <w:rPr>
          <w:rFonts w:ascii="Times New Roman" w:hAnsi="Times New Roman"/>
          <w:iCs/>
          <w:color w:val="1C1D1E"/>
          <w:szCs w:val="24"/>
          <w:lang w:eastAsia="en-GB"/>
        </w:rPr>
        <w:t>. During this period</w:t>
      </w:r>
      <w:r>
        <w:rPr>
          <w:rFonts w:ascii="Times New Roman" w:hAnsi="Times New Roman"/>
          <w:iCs/>
          <w:color w:val="1C1D1E"/>
          <w:szCs w:val="24"/>
          <w:lang w:eastAsia="en-GB"/>
        </w:rPr>
        <w:t xml:space="preserve">, </w:t>
      </w:r>
      <w:r w:rsidRPr="00F31D3B">
        <w:rPr>
          <w:rFonts w:ascii="Times New Roman" w:hAnsi="Times New Roman"/>
          <w:iCs/>
          <w:color w:val="1C1D1E"/>
          <w:szCs w:val="24"/>
          <w:lang w:eastAsia="en-GB"/>
        </w:rPr>
        <w:t>452 attendees were referred</w:t>
      </w:r>
      <w:r>
        <w:rPr>
          <w:rFonts w:ascii="Times New Roman" w:hAnsi="Times New Roman"/>
          <w:iCs/>
          <w:color w:val="1C1D1E"/>
          <w:szCs w:val="24"/>
          <w:lang w:eastAsia="en-GB"/>
        </w:rPr>
        <w:t xml:space="preserve"> to the CMH Service.</w:t>
      </w:r>
      <w:r w:rsidRPr="00F31D3B">
        <w:rPr>
          <w:rFonts w:ascii="Times New Roman" w:hAnsi="Times New Roman"/>
          <w:iCs/>
          <w:color w:val="1C1D1E"/>
          <w:szCs w:val="24"/>
          <w:lang w:eastAsia="en-GB"/>
        </w:rPr>
        <w:t xml:space="preserve"> Data were not available in this period for the total number of court attendees, disposal, needs and type of offences. </w:t>
      </w:r>
    </w:p>
    <w:p w14:paraId="200D911C" w14:textId="77777777" w:rsidR="000B1425" w:rsidRDefault="000B1425" w:rsidP="000B1425">
      <w:pPr>
        <w:spacing w:line="480" w:lineRule="auto"/>
        <w:rPr>
          <w:rFonts w:ascii="Times New Roman" w:hAnsi="Times New Roman"/>
          <w:iCs/>
          <w:color w:val="1C1D1E"/>
          <w:szCs w:val="24"/>
          <w:lang w:eastAsia="en-GB"/>
        </w:rPr>
      </w:pPr>
    </w:p>
    <w:p w14:paraId="4384B437" w14:textId="77777777" w:rsidR="000B1425" w:rsidRDefault="000B1425" w:rsidP="00D43917">
      <w:pPr>
        <w:spacing w:line="480" w:lineRule="auto"/>
        <w:ind w:firstLine="720"/>
        <w:rPr>
          <w:rFonts w:ascii="Times New Roman" w:hAnsi="Times New Roman"/>
          <w:iCs/>
          <w:szCs w:val="24"/>
          <w:lang w:eastAsia="en-GB"/>
        </w:rPr>
      </w:pPr>
      <w:r w:rsidRPr="00B264F1">
        <w:rPr>
          <w:rFonts w:ascii="Times New Roman" w:hAnsi="Times New Roman"/>
          <w:iCs/>
          <w:szCs w:val="24"/>
          <w:lang w:eastAsia="en-GB"/>
        </w:rPr>
        <w:t>Data from the NHS minimum mental health data set (MDS)</w:t>
      </w:r>
      <w:r w:rsidRPr="00D441C5">
        <w:rPr>
          <w:rFonts w:ascii="Times New Roman" w:hAnsi="Times New Roman"/>
          <w:iCs/>
          <w:szCs w:val="24"/>
          <w:lang w:eastAsia="en-GB"/>
        </w:rPr>
        <w:t xml:space="preserve"> w</w:t>
      </w:r>
      <w:r>
        <w:rPr>
          <w:rFonts w:ascii="Times New Roman" w:hAnsi="Times New Roman"/>
          <w:iCs/>
          <w:szCs w:val="24"/>
          <w:lang w:eastAsia="en-GB"/>
        </w:rPr>
        <w:t xml:space="preserve">ere </w:t>
      </w:r>
      <w:r w:rsidRPr="00D441C5">
        <w:rPr>
          <w:rFonts w:ascii="Times New Roman" w:hAnsi="Times New Roman"/>
          <w:iCs/>
          <w:szCs w:val="24"/>
          <w:lang w:eastAsia="en-GB"/>
        </w:rPr>
        <w:t xml:space="preserve">used </w:t>
      </w:r>
      <w:r>
        <w:rPr>
          <w:rFonts w:ascii="Times New Roman" w:hAnsi="Times New Roman"/>
          <w:iCs/>
          <w:szCs w:val="24"/>
          <w:lang w:eastAsia="en-GB"/>
        </w:rPr>
        <w:t xml:space="preserve">across both time frames </w:t>
      </w:r>
      <w:r w:rsidRPr="00D441C5">
        <w:rPr>
          <w:rFonts w:ascii="Times New Roman" w:hAnsi="Times New Roman"/>
          <w:iCs/>
          <w:szCs w:val="24"/>
          <w:lang w:eastAsia="en-GB"/>
        </w:rPr>
        <w:t xml:space="preserve">and included a range of information - socio-demographics, mental health needs and vulnerabilities (e.g., risk of suicide and self-harm), alcohol and/or substance misuse, previous service use and decisions made at the first court appearance. This data is recorded directly by staff working in the CMH service. Recorded diagnostic information </w:t>
      </w:r>
      <w:r>
        <w:rPr>
          <w:rFonts w:ascii="Times New Roman" w:hAnsi="Times New Roman"/>
          <w:iCs/>
          <w:szCs w:val="24"/>
          <w:lang w:eastAsia="en-GB"/>
        </w:rPr>
        <w:t xml:space="preserve">was collected </w:t>
      </w:r>
      <w:r w:rsidRPr="00D441C5">
        <w:rPr>
          <w:rFonts w:ascii="Times New Roman" w:hAnsi="Times New Roman"/>
          <w:iCs/>
          <w:szCs w:val="24"/>
          <w:lang w:eastAsia="en-GB"/>
        </w:rPr>
        <w:t xml:space="preserve">using previous clinical records and reports, any screens or assessments undertaken by health care staff, and </w:t>
      </w:r>
      <w:r w:rsidRPr="00D441C5">
        <w:rPr>
          <w:rFonts w:ascii="Times New Roman" w:hAnsi="Times New Roman"/>
          <w:iCs/>
          <w:szCs w:val="24"/>
          <w:lang w:eastAsia="en-GB"/>
        </w:rPr>
        <w:lastRenderedPageBreak/>
        <w:t xml:space="preserve">relevant criminal justice information, such as information regarding risk to </w:t>
      </w:r>
      <w:r>
        <w:rPr>
          <w:rFonts w:ascii="Times New Roman" w:hAnsi="Times New Roman"/>
          <w:iCs/>
          <w:szCs w:val="24"/>
          <w:lang w:eastAsia="en-GB"/>
        </w:rPr>
        <w:t>self and</w:t>
      </w:r>
      <w:r w:rsidRPr="00D441C5">
        <w:rPr>
          <w:rFonts w:ascii="Times New Roman" w:hAnsi="Times New Roman"/>
          <w:iCs/>
          <w:szCs w:val="24"/>
          <w:lang w:eastAsia="en-GB"/>
        </w:rPr>
        <w:t xml:space="preserve">/or others that is provided in the person escort records and interviewing the defendant. </w:t>
      </w:r>
    </w:p>
    <w:p w14:paraId="5502820A" w14:textId="77777777" w:rsidR="000B1425" w:rsidRDefault="000B1425" w:rsidP="000B1425">
      <w:pPr>
        <w:spacing w:line="480" w:lineRule="auto"/>
        <w:rPr>
          <w:rFonts w:ascii="Times New Roman" w:hAnsi="Times New Roman"/>
          <w:iCs/>
          <w:szCs w:val="24"/>
          <w:lang w:eastAsia="en-GB"/>
        </w:rPr>
      </w:pPr>
    </w:p>
    <w:p w14:paraId="5C438E3A" w14:textId="77777777" w:rsidR="000B1425" w:rsidRPr="00E5772D" w:rsidRDefault="000B1425" w:rsidP="00D43917">
      <w:pPr>
        <w:spacing w:line="480" w:lineRule="auto"/>
        <w:ind w:firstLine="720"/>
        <w:rPr>
          <w:rFonts w:ascii="Times New Roman" w:hAnsi="Times New Roman"/>
          <w:szCs w:val="24"/>
        </w:rPr>
      </w:pPr>
      <w:r w:rsidRPr="008E3A89">
        <w:rPr>
          <w:rFonts w:ascii="Times New Roman" w:hAnsi="Times New Roman"/>
          <w:szCs w:val="24"/>
        </w:rPr>
        <w:t>Data were found not to be recorded in 12 cases for age, one case for gender and 44 cases for ethnicity. The FMHP records were used to input any missing diagnostic data to improve the completeness of the dataset. There was one missing case for anxiety and 8 missing cases for personality disorder in the CMH data and one missing case for anxiety in the CMH+ND group.</w:t>
      </w:r>
    </w:p>
    <w:p w14:paraId="26B423AF" w14:textId="77777777" w:rsidR="000B1425" w:rsidRDefault="000B1425" w:rsidP="000B1425">
      <w:pPr>
        <w:spacing w:line="480" w:lineRule="auto"/>
        <w:rPr>
          <w:rFonts w:ascii="Times New Roman" w:hAnsi="Times New Roman"/>
          <w:iCs/>
          <w:szCs w:val="24"/>
          <w:lang w:eastAsia="en-GB"/>
        </w:rPr>
      </w:pPr>
    </w:p>
    <w:p w14:paraId="67C9B787" w14:textId="77777777" w:rsidR="000B1425" w:rsidRPr="00CE2524" w:rsidRDefault="000B1425" w:rsidP="00D43917">
      <w:pPr>
        <w:spacing w:line="480" w:lineRule="auto"/>
        <w:ind w:firstLine="720"/>
        <w:rPr>
          <w:rFonts w:ascii="Times New Roman" w:hAnsi="Times New Roman"/>
          <w:iCs/>
          <w:szCs w:val="24"/>
          <w:lang w:eastAsia="en-GB"/>
        </w:rPr>
      </w:pPr>
      <w:r>
        <w:rPr>
          <w:rFonts w:ascii="Times New Roman" w:hAnsi="Times New Roman"/>
          <w:iCs/>
          <w:szCs w:val="24"/>
          <w:lang w:eastAsia="en-GB"/>
        </w:rPr>
        <w:t>The referral process did not change with the introduction of the CMH+ND Service.  Referrals came from several</w:t>
      </w:r>
      <w:r>
        <w:rPr>
          <w:rFonts w:ascii="Times New Roman" w:hAnsi="Times New Roman"/>
          <w:szCs w:val="24"/>
        </w:rPr>
        <w:t xml:space="preserve"> sources, </w:t>
      </w:r>
      <w:r w:rsidRPr="00B264F1">
        <w:rPr>
          <w:rFonts w:ascii="Times New Roman" w:hAnsi="Times New Roman"/>
          <w:szCs w:val="24"/>
        </w:rPr>
        <w:t>including the CMH service,</w:t>
      </w:r>
      <w:r>
        <w:rPr>
          <w:rFonts w:ascii="Times New Roman" w:hAnsi="Times New Roman"/>
          <w:szCs w:val="24"/>
        </w:rPr>
        <w:t xml:space="preserve"> community mental health teams, General Practitioners, probation, solicitors, Magistrates’, prison mental health in-reach teams, court staff, police and Together a voluntary sector service. </w:t>
      </w:r>
    </w:p>
    <w:p w14:paraId="4092B6C5" w14:textId="77777777" w:rsidR="000B1425" w:rsidRPr="000B1425" w:rsidRDefault="000B1425" w:rsidP="00D43917">
      <w:pPr>
        <w:pStyle w:val="Heading2"/>
        <w:rPr>
          <w:lang w:eastAsia="en-GB"/>
        </w:rPr>
      </w:pPr>
    </w:p>
    <w:p w14:paraId="577A7FA7" w14:textId="2297A2B2" w:rsidR="000B1425" w:rsidRPr="000B1425" w:rsidRDefault="000B1425" w:rsidP="0078467C">
      <w:pPr>
        <w:pStyle w:val="Heading2"/>
        <w:numPr>
          <w:ilvl w:val="1"/>
          <w:numId w:val="4"/>
        </w:numPr>
        <w:rPr>
          <w:lang w:eastAsia="en-GB"/>
        </w:rPr>
      </w:pPr>
      <w:r w:rsidRPr="000B1425">
        <w:rPr>
          <w:lang w:eastAsia="en-GB"/>
        </w:rPr>
        <w:t xml:space="preserve">Ethical Considerations </w:t>
      </w:r>
    </w:p>
    <w:p w14:paraId="11800C94" w14:textId="77777777" w:rsidR="000B1425" w:rsidRPr="009165E2" w:rsidRDefault="000B1425" w:rsidP="00BF6D0B">
      <w:pPr>
        <w:spacing w:line="480" w:lineRule="auto"/>
        <w:ind w:firstLine="360"/>
        <w:rPr>
          <w:rFonts w:ascii="Times New Roman" w:hAnsi="Times New Roman"/>
          <w:iCs/>
          <w:szCs w:val="24"/>
          <w:lang w:eastAsia="en-GB"/>
        </w:rPr>
      </w:pPr>
      <w:r w:rsidRPr="0055393C">
        <w:rPr>
          <w:rFonts w:ascii="Times New Roman" w:hAnsi="Times New Roman"/>
          <w:iCs/>
          <w:szCs w:val="24"/>
          <w:lang w:eastAsia="en-GB"/>
        </w:rPr>
        <w:t>Th</w:t>
      </w:r>
      <w:r>
        <w:rPr>
          <w:rFonts w:ascii="Times New Roman" w:hAnsi="Times New Roman"/>
          <w:iCs/>
          <w:szCs w:val="24"/>
          <w:lang w:eastAsia="en-GB"/>
        </w:rPr>
        <w:t>is project was approved by the relevant local</w:t>
      </w:r>
      <w:r w:rsidRPr="0055393C">
        <w:rPr>
          <w:rFonts w:ascii="Times New Roman" w:hAnsi="Times New Roman"/>
          <w:iCs/>
          <w:szCs w:val="24"/>
          <w:lang w:eastAsia="en-GB"/>
        </w:rPr>
        <w:t xml:space="preserve"> </w:t>
      </w:r>
      <w:r>
        <w:rPr>
          <w:rFonts w:ascii="Times New Roman" w:hAnsi="Times New Roman"/>
          <w:iCs/>
          <w:szCs w:val="24"/>
          <w:lang w:eastAsia="en-GB"/>
        </w:rPr>
        <w:t xml:space="preserve">research </w:t>
      </w:r>
      <w:r w:rsidRPr="0055393C">
        <w:rPr>
          <w:rFonts w:ascii="Times New Roman" w:hAnsi="Times New Roman"/>
          <w:iCs/>
          <w:szCs w:val="24"/>
          <w:lang w:eastAsia="en-GB"/>
        </w:rPr>
        <w:t xml:space="preserve">clinical governance </w:t>
      </w:r>
      <w:r>
        <w:rPr>
          <w:rFonts w:ascii="Times New Roman" w:hAnsi="Times New Roman"/>
          <w:iCs/>
          <w:szCs w:val="24"/>
          <w:lang w:eastAsia="en-GB"/>
        </w:rPr>
        <w:t>ethics committee</w:t>
      </w:r>
      <w:r w:rsidRPr="000B1425">
        <w:rPr>
          <w:rFonts w:ascii="Calibri" w:hAnsi="Calibri"/>
          <w:bCs/>
          <w:szCs w:val="24"/>
        </w:rPr>
        <w:t xml:space="preserve"> at the </w:t>
      </w:r>
      <w:r w:rsidRPr="00E5197E">
        <w:rPr>
          <w:rFonts w:ascii="Times New Roman" w:hAnsi="Times New Roman"/>
          <w:bCs/>
          <w:iCs/>
          <w:szCs w:val="24"/>
          <w:lang w:eastAsia="en-GB"/>
        </w:rPr>
        <w:t xml:space="preserve">South London and Maudsley NHS Foundation Trust </w:t>
      </w:r>
      <w:r>
        <w:rPr>
          <w:rFonts w:ascii="Times New Roman" w:hAnsi="Times New Roman"/>
          <w:bCs/>
          <w:iCs/>
          <w:szCs w:val="24"/>
          <w:lang w:eastAsia="en-GB"/>
        </w:rPr>
        <w:t>(</w:t>
      </w:r>
      <w:r w:rsidRPr="00E5197E">
        <w:rPr>
          <w:rFonts w:ascii="Times New Roman" w:hAnsi="Times New Roman"/>
          <w:bCs/>
          <w:iCs/>
          <w:szCs w:val="24"/>
          <w:lang w:eastAsia="en-GB"/>
        </w:rPr>
        <w:t>BDP/ROSE 200</w:t>
      </w:r>
      <w:r>
        <w:rPr>
          <w:rFonts w:ascii="Times New Roman" w:hAnsi="Times New Roman"/>
          <w:bCs/>
          <w:iCs/>
          <w:szCs w:val="24"/>
          <w:lang w:eastAsia="en-GB"/>
        </w:rPr>
        <w:t>) as a service evaluation,</w:t>
      </w:r>
      <w:r>
        <w:rPr>
          <w:rFonts w:ascii="Times New Roman" w:hAnsi="Times New Roman"/>
          <w:iCs/>
          <w:szCs w:val="24"/>
          <w:lang w:eastAsia="en-GB"/>
        </w:rPr>
        <w:t xml:space="preserve"> which confirmed that full ethical approval was not necessary.  </w:t>
      </w:r>
    </w:p>
    <w:p w14:paraId="786F343F" w14:textId="77777777" w:rsidR="000B1425" w:rsidRPr="003611EA" w:rsidRDefault="000B1425" w:rsidP="000B1425">
      <w:pPr>
        <w:spacing w:line="480" w:lineRule="auto"/>
        <w:rPr>
          <w:rFonts w:ascii="Times New Roman" w:hAnsi="Times New Roman"/>
          <w:b/>
          <w:szCs w:val="24"/>
          <w:lang w:eastAsia="en-GB"/>
        </w:rPr>
      </w:pPr>
    </w:p>
    <w:p w14:paraId="5D3454B7" w14:textId="588E0EBD" w:rsidR="000B1425" w:rsidRPr="00866CA0" w:rsidRDefault="00D43917" w:rsidP="000B1425">
      <w:pPr>
        <w:spacing w:line="480" w:lineRule="auto"/>
        <w:rPr>
          <w:rFonts w:ascii="Times New Roman" w:hAnsi="Times New Roman"/>
          <w:bCs/>
          <w:i/>
          <w:iCs/>
          <w:szCs w:val="24"/>
          <w:lang w:eastAsia="en-GB"/>
        </w:rPr>
      </w:pPr>
      <w:r>
        <w:rPr>
          <w:rFonts w:ascii="Times New Roman" w:hAnsi="Times New Roman"/>
          <w:bCs/>
          <w:i/>
          <w:iCs/>
          <w:szCs w:val="24"/>
          <w:lang w:eastAsia="en-GB"/>
        </w:rPr>
        <w:t xml:space="preserve">2.4 </w:t>
      </w:r>
      <w:r w:rsidR="000B1425" w:rsidRPr="00866CA0">
        <w:rPr>
          <w:rFonts w:ascii="Times New Roman" w:hAnsi="Times New Roman"/>
          <w:bCs/>
          <w:i/>
          <w:iCs/>
          <w:szCs w:val="24"/>
          <w:lang w:eastAsia="en-GB"/>
        </w:rPr>
        <w:t>Data Analysis</w:t>
      </w:r>
    </w:p>
    <w:p w14:paraId="3BA2C5D3" w14:textId="77777777" w:rsidR="000B1425" w:rsidRPr="002F72D6" w:rsidRDefault="000B1425" w:rsidP="00BF6D0B">
      <w:pPr>
        <w:spacing w:line="480" w:lineRule="auto"/>
        <w:ind w:firstLine="720"/>
        <w:rPr>
          <w:rFonts w:ascii="Times New Roman" w:hAnsi="Times New Roman"/>
          <w:bCs/>
          <w:szCs w:val="24"/>
          <w:lang w:eastAsia="en-GB"/>
        </w:rPr>
      </w:pPr>
      <w:r>
        <w:rPr>
          <w:rFonts w:ascii="Times New Roman" w:hAnsi="Times New Roman"/>
          <w:bCs/>
          <w:szCs w:val="24"/>
          <w:lang w:eastAsia="en-GB"/>
        </w:rPr>
        <w:t xml:space="preserve">Statistical analysis was undertaken using the </w:t>
      </w:r>
      <w:r w:rsidRPr="002F72D6">
        <w:rPr>
          <w:rFonts w:ascii="Times New Roman" w:hAnsi="Times New Roman"/>
          <w:bCs/>
          <w:szCs w:val="24"/>
          <w:lang w:eastAsia="en-GB"/>
        </w:rPr>
        <w:t xml:space="preserve">Statistical Package for </w:t>
      </w:r>
      <w:r>
        <w:rPr>
          <w:rFonts w:ascii="Times New Roman" w:hAnsi="Times New Roman"/>
          <w:bCs/>
          <w:szCs w:val="24"/>
          <w:lang w:eastAsia="en-GB"/>
        </w:rPr>
        <w:t xml:space="preserve">the </w:t>
      </w:r>
      <w:r w:rsidRPr="002F72D6">
        <w:rPr>
          <w:rFonts w:ascii="Times New Roman" w:hAnsi="Times New Roman"/>
          <w:bCs/>
          <w:szCs w:val="24"/>
          <w:lang w:eastAsia="en-GB"/>
        </w:rPr>
        <w:t>Social Scien</w:t>
      </w:r>
      <w:r>
        <w:rPr>
          <w:rFonts w:ascii="Times New Roman" w:hAnsi="Times New Roman"/>
          <w:bCs/>
          <w:szCs w:val="24"/>
          <w:lang w:eastAsia="en-GB"/>
        </w:rPr>
        <w:t>ces</w:t>
      </w:r>
    </w:p>
    <w:p w14:paraId="6E8C0538" w14:textId="77777777" w:rsidR="000B1425" w:rsidRDefault="000B1425" w:rsidP="000B1425">
      <w:pPr>
        <w:spacing w:line="480" w:lineRule="auto"/>
        <w:rPr>
          <w:rFonts w:ascii="Times New Roman" w:hAnsi="Times New Roman"/>
          <w:bCs/>
          <w:szCs w:val="24"/>
          <w:lang w:eastAsia="en-GB"/>
        </w:rPr>
      </w:pPr>
      <w:r>
        <w:rPr>
          <w:rFonts w:ascii="Times New Roman" w:hAnsi="Times New Roman"/>
          <w:bCs/>
          <w:szCs w:val="24"/>
          <w:lang w:eastAsia="en-GB"/>
        </w:rPr>
        <w:t>(SPSS v 25).  D</w:t>
      </w:r>
      <w:r w:rsidRPr="003A01AF">
        <w:rPr>
          <w:rFonts w:ascii="Times New Roman" w:hAnsi="Times New Roman"/>
          <w:bCs/>
          <w:szCs w:val="24"/>
          <w:lang w:eastAsia="en-GB"/>
        </w:rPr>
        <w:t>escriptive statistics</w:t>
      </w:r>
      <w:r>
        <w:rPr>
          <w:rFonts w:ascii="Times New Roman" w:hAnsi="Times New Roman"/>
          <w:bCs/>
          <w:szCs w:val="24"/>
          <w:lang w:eastAsia="en-GB"/>
        </w:rPr>
        <w:t xml:space="preserve"> were used to describe the data and chi-square tests used on categorical data to measure the differences between the two groups, </w:t>
      </w:r>
    </w:p>
    <w:p w14:paraId="0CB11FD2" w14:textId="77777777" w:rsidR="000B1425" w:rsidRPr="009165E2" w:rsidRDefault="000B1425" w:rsidP="000B1425">
      <w:pPr>
        <w:spacing w:line="480" w:lineRule="auto"/>
        <w:rPr>
          <w:rFonts w:ascii="Times New Roman" w:hAnsi="Times New Roman"/>
          <w:bCs/>
          <w:szCs w:val="24"/>
          <w:lang w:eastAsia="en-GB"/>
        </w:rPr>
      </w:pPr>
    </w:p>
    <w:p w14:paraId="021E731D" w14:textId="77777777" w:rsidR="000B1425" w:rsidRDefault="000B1425" w:rsidP="0078467C">
      <w:pPr>
        <w:numPr>
          <w:ilvl w:val="0"/>
          <w:numId w:val="4"/>
        </w:numPr>
        <w:shd w:val="clear" w:color="auto" w:fill="FFFFFF"/>
        <w:spacing w:before="100" w:beforeAutospacing="1" w:after="100" w:afterAutospacing="1" w:line="480" w:lineRule="auto"/>
        <w:rPr>
          <w:rFonts w:ascii="Times New Roman" w:hAnsi="Times New Roman"/>
          <w:b/>
          <w:bCs/>
          <w:lang w:eastAsia="en-GB"/>
        </w:rPr>
      </w:pPr>
      <w:r w:rsidRPr="0055393C">
        <w:rPr>
          <w:rFonts w:ascii="Times New Roman" w:hAnsi="Times New Roman"/>
          <w:b/>
          <w:bCs/>
          <w:lang w:eastAsia="en-GB"/>
        </w:rPr>
        <w:lastRenderedPageBreak/>
        <w:t xml:space="preserve">Results </w:t>
      </w:r>
    </w:p>
    <w:p w14:paraId="6532DF5F" w14:textId="77777777" w:rsidR="000B1425" w:rsidRPr="007F72BB" w:rsidRDefault="000B1425" w:rsidP="000B1425">
      <w:pPr>
        <w:shd w:val="clear" w:color="auto" w:fill="FFFFFF"/>
        <w:spacing w:before="100" w:beforeAutospacing="1" w:after="100" w:afterAutospacing="1" w:line="480" w:lineRule="auto"/>
        <w:rPr>
          <w:rFonts w:ascii="Times New Roman" w:hAnsi="Times New Roman"/>
          <w:szCs w:val="24"/>
          <w:lang w:eastAsia="en-GB"/>
        </w:rPr>
      </w:pPr>
      <w:r w:rsidRPr="007F72BB">
        <w:rPr>
          <w:rFonts w:ascii="Times New Roman" w:hAnsi="Times New Roman"/>
          <w:szCs w:val="24"/>
          <w:lang w:eastAsia="en-GB"/>
        </w:rPr>
        <w:t>Here, we firstly examine rates</w:t>
      </w:r>
      <w:r>
        <w:rPr>
          <w:rFonts w:ascii="Times New Roman" w:hAnsi="Times New Roman"/>
          <w:szCs w:val="24"/>
          <w:lang w:eastAsia="en-GB"/>
        </w:rPr>
        <w:t xml:space="preserve"> of </w:t>
      </w:r>
      <w:r w:rsidRPr="007F72BB">
        <w:rPr>
          <w:rFonts w:ascii="Times New Roman" w:hAnsi="Times New Roman"/>
          <w:szCs w:val="24"/>
          <w:lang w:eastAsia="en-GB"/>
        </w:rPr>
        <w:t xml:space="preserve">ND including rates of mental disorder compared to the </w:t>
      </w:r>
      <w:r>
        <w:rPr>
          <w:rFonts w:ascii="Times New Roman" w:hAnsi="Times New Roman"/>
          <w:szCs w:val="24"/>
          <w:lang w:eastAsia="en-GB"/>
        </w:rPr>
        <w:t>no-</w:t>
      </w:r>
      <w:r w:rsidRPr="007F72BB">
        <w:rPr>
          <w:rFonts w:ascii="Times New Roman" w:hAnsi="Times New Roman"/>
          <w:szCs w:val="24"/>
          <w:lang w:eastAsia="en-GB"/>
        </w:rPr>
        <w:t>ND group for the whole period of the study.</w:t>
      </w:r>
    </w:p>
    <w:p w14:paraId="6BB0366C" w14:textId="77777777" w:rsidR="000B1425" w:rsidRDefault="000B1425" w:rsidP="000B1425">
      <w:pPr>
        <w:shd w:val="clear" w:color="auto" w:fill="FFFFFF"/>
        <w:spacing w:before="100" w:beforeAutospacing="1" w:after="100" w:afterAutospacing="1" w:line="480" w:lineRule="auto"/>
        <w:rPr>
          <w:rFonts w:ascii="Times New Roman" w:hAnsi="Times New Roman"/>
          <w:szCs w:val="24"/>
          <w:lang w:eastAsia="en-GB"/>
        </w:rPr>
      </w:pPr>
      <w:r w:rsidRPr="007F72BB">
        <w:rPr>
          <w:rFonts w:ascii="Times New Roman" w:hAnsi="Times New Roman"/>
          <w:szCs w:val="24"/>
          <w:lang w:eastAsia="en-GB"/>
        </w:rPr>
        <w:t>Secondly</w:t>
      </w:r>
      <w:r>
        <w:rPr>
          <w:rFonts w:ascii="Times New Roman" w:hAnsi="Times New Roman"/>
          <w:szCs w:val="24"/>
          <w:lang w:eastAsia="en-GB"/>
        </w:rPr>
        <w:t>,</w:t>
      </w:r>
      <w:r w:rsidRPr="007F72BB">
        <w:rPr>
          <w:rFonts w:ascii="Times New Roman" w:hAnsi="Times New Roman"/>
          <w:szCs w:val="24"/>
          <w:lang w:eastAsia="en-GB"/>
        </w:rPr>
        <w:t xml:space="preserve"> we look at</w:t>
      </w:r>
      <w:r>
        <w:rPr>
          <w:rFonts w:ascii="Times New Roman" w:hAnsi="Times New Roman"/>
          <w:szCs w:val="24"/>
          <w:lang w:eastAsia="en-GB"/>
        </w:rPr>
        <w:t xml:space="preserve"> </w:t>
      </w:r>
      <w:r w:rsidRPr="007F72BB">
        <w:rPr>
          <w:rFonts w:ascii="Times New Roman" w:hAnsi="Times New Roman"/>
          <w:szCs w:val="24"/>
          <w:lang w:eastAsia="en-GB"/>
        </w:rPr>
        <w:t>the court pathway for the CMH+ND group</w:t>
      </w:r>
      <w:r>
        <w:rPr>
          <w:rFonts w:ascii="Times New Roman" w:hAnsi="Times New Roman"/>
          <w:szCs w:val="24"/>
          <w:lang w:eastAsia="en-GB"/>
        </w:rPr>
        <w:t xml:space="preserve"> of defendants </w:t>
      </w:r>
      <w:r w:rsidRPr="007F72BB">
        <w:rPr>
          <w:rFonts w:ascii="Times New Roman" w:hAnsi="Times New Roman"/>
          <w:szCs w:val="24"/>
          <w:lang w:eastAsia="en-GB"/>
        </w:rPr>
        <w:t>and include</w:t>
      </w:r>
      <w:r>
        <w:rPr>
          <w:rFonts w:ascii="Times New Roman" w:hAnsi="Times New Roman"/>
          <w:szCs w:val="24"/>
          <w:lang w:eastAsia="en-GB"/>
        </w:rPr>
        <w:t xml:space="preserve"> </w:t>
      </w:r>
      <w:r w:rsidRPr="007F72BB">
        <w:rPr>
          <w:rFonts w:ascii="Times New Roman" w:hAnsi="Times New Roman"/>
          <w:szCs w:val="24"/>
          <w:lang w:eastAsia="en-GB"/>
        </w:rPr>
        <w:t xml:space="preserve">offence type,  </w:t>
      </w:r>
      <w:r>
        <w:rPr>
          <w:rFonts w:ascii="Times New Roman" w:hAnsi="Times New Roman"/>
          <w:szCs w:val="24"/>
          <w:lang w:eastAsia="en-GB"/>
        </w:rPr>
        <w:t>pre-court</w:t>
      </w:r>
      <w:r w:rsidRPr="007F72BB">
        <w:rPr>
          <w:rFonts w:ascii="Times New Roman" w:hAnsi="Times New Roman"/>
          <w:szCs w:val="24"/>
          <w:lang w:eastAsia="en-GB"/>
        </w:rPr>
        <w:t xml:space="preserve"> decisions and disposal outcomes.</w:t>
      </w:r>
    </w:p>
    <w:p w14:paraId="6224C831" w14:textId="6CBAC0B0" w:rsidR="000B1425" w:rsidRDefault="00BF6D0B" w:rsidP="000B1425">
      <w:pPr>
        <w:shd w:val="clear" w:color="auto" w:fill="FFFFFF"/>
        <w:spacing w:before="100" w:beforeAutospacing="1" w:after="100" w:afterAutospacing="1" w:line="480" w:lineRule="auto"/>
        <w:rPr>
          <w:rFonts w:ascii="Times New Roman" w:hAnsi="Times New Roman"/>
          <w:i/>
          <w:iCs/>
          <w:szCs w:val="24"/>
          <w:lang w:eastAsia="en-GB"/>
        </w:rPr>
      </w:pPr>
      <w:r>
        <w:rPr>
          <w:rFonts w:ascii="Times New Roman" w:hAnsi="Times New Roman"/>
          <w:i/>
          <w:iCs/>
          <w:szCs w:val="24"/>
          <w:lang w:eastAsia="en-GB"/>
        </w:rPr>
        <w:t xml:space="preserve">3.1 </w:t>
      </w:r>
      <w:r w:rsidR="000B1425">
        <w:rPr>
          <w:rFonts w:ascii="Times New Roman" w:hAnsi="Times New Roman"/>
          <w:i/>
          <w:iCs/>
          <w:szCs w:val="24"/>
          <w:lang w:eastAsia="en-GB"/>
        </w:rPr>
        <w:t>Demographics</w:t>
      </w:r>
    </w:p>
    <w:p w14:paraId="3820DC7D" w14:textId="77777777" w:rsidR="000B1425" w:rsidRPr="00B264F1" w:rsidRDefault="000B1425" w:rsidP="000B1425">
      <w:pPr>
        <w:shd w:val="clear" w:color="auto" w:fill="FFFFFF"/>
        <w:spacing w:before="100" w:beforeAutospacing="1" w:after="100" w:afterAutospacing="1" w:line="480" w:lineRule="auto"/>
        <w:rPr>
          <w:rFonts w:ascii="Times New Roman" w:hAnsi="Times New Roman"/>
          <w:iCs/>
          <w:szCs w:val="24"/>
          <w:lang w:eastAsia="en-GB"/>
        </w:rPr>
      </w:pPr>
      <w:r>
        <w:rPr>
          <w:rFonts w:ascii="Times New Roman" w:hAnsi="Times New Roman"/>
          <w:szCs w:val="24"/>
          <w:lang w:eastAsia="en-GB"/>
        </w:rPr>
        <w:t>On average the ND group were younger in both period of the study</w:t>
      </w:r>
      <w:r w:rsidRPr="00124A72">
        <w:rPr>
          <w:rFonts w:ascii="Times New Roman" w:hAnsi="Times New Roman"/>
          <w:szCs w:val="24"/>
          <w:lang w:eastAsia="en-GB"/>
        </w:rPr>
        <w:t xml:space="preserve"> </w:t>
      </w:r>
      <w:r>
        <w:rPr>
          <w:rFonts w:ascii="Times New Roman" w:hAnsi="Times New Roman"/>
          <w:szCs w:val="24"/>
          <w:lang w:eastAsia="en-GB"/>
        </w:rPr>
        <w:t xml:space="preserve">with the mean age of </w:t>
      </w:r>
      <w:r w:rsidRPr="00B264F1">
        <w:rPr>
          <w:rFonts w:ascii="Times New Roman" w:hAnsi="Times New Roman"/>
          <w:szCs w:val="24"/>
          <w:lang w:eastAsia="en-GB"/>
        </w:rPr>
        <w:t>defendants</w:t>
      </w:r>
      <w:r>
        <w:rPr>
          <w:rFonts w:ascii="Times New Roman" w:hAnsi="Times New Roman"/>
          <w:szCs w:val="24"/>
          <w:lang w:eastAsia="en-GB"/>
        </w:rPr>
        <w:t xml:space="preserve"> with ND being </w:t>
      </w:r>
      <w:r w:rsidRPr="00B264F1">
        <w:rPr>
          <w:rFonts w:ascii="Times New Roman" w:hAnsi="Times New Roman"/>
          <w:szCs w:val="24"/>
          <w:lang w:eastAsia="en-GB"/>
        </w:rPr>
        <w:t>3</w:t>
      </w:r>
      <w:r>
        <w:rPr>
          <w:rFonts w:ascii="Times New Roman" w:hAnsi="Times New Roman"/>
          <w:szCs w:val="24"/>
          <w:lang w:eastAsia="en-GB"/>
        </w:rPr>
        <w:t>3 years old</w:t>
      </w:r>
      <w:r w:rsidRPr="00B264F1">
        <w:rPr>
          <w:rFonts w:ascii="Times New Roman" w:hAnsi="Times New Roman"/>
          <w:szCs w:val="24"/>
          <w:lang w:eastAsia="en-GB"/>
        </w:rPr>
        <w:t xml:space="preserve">, </w:t>
      </w:r>
      <w:r>
        <w:rPr>
          <w:rFonts w:ascii="Times New Roman" w:hAnsi="Times New Roman"/>
          <w:szCs w:val="24"/>
          <w:lang w:eastAsia="en-GB"/>
        </w:rPr>
        <w:t>(</w:t>
      </w:r>
      <w:r w:rsidRPr="00B264F1">
        <w:rPr>
          <w:rFonts w:ascii="Times New Roman" w:hAnsi="Times New Roman"/>
          <w:szCs w:val="24"/>
          <w:lang w:eastAsia="en-GB"/>
        </w:rPr>
        <w:t>range 19-64 years</w:t>
      </w:r>
      <w:r>
        <w:rPr>
          <w:rFonts w:ascii="Times New Roman" w:hAnsi="Times New Roman"/>
          <w:szCs w:val="24"/>
          <w:lang w:eastAsia="en-GB"/>
        </w:rPr>
        <w:t>)</w:t>
      </w:r>
      <w:r w:rsidRPr="00B264F1">
        <w:rPr>
          <w:rFonts w:ascii="Times New Roman" w:hAnsi="Times New Roman"/>
          <w:szCs w:val="24"/>
          <w:lang w:eastAsia="en-GB"/>
        </w:rPr>
        <w:t xml:space="preserve"> compared to 38 years old</w:t>
      </w:r>
      <w:r>
        <w:rPr>
          <w:rFonts w:ascii="Times New Roman" w:hAnsi="Times New Roman"/>
          <w:szCs w:val="24"/>
          <w:lang w:eastAsia="en-GB"/>
        </w:rPr>
        <w:t xml:space="preserve"> (</w:t>
      </w:r>
      <w:r w:rsidRPr="00B264F1">
        <w:rPr>
          <w:rFonts w:ascii="Times New Roman" w:hAnsi="Times New Roman"/>
          <w:szCs w:val="24"/>
          <w:lang w:eastAsia="en-GB"/>
        </w:rPr>
        <w:t>range 18-76</w:t>
      </w:r>
      <w:r>
        <w:rPr>
          <w:rFonts w:ascii="Times New Roman" w:hAnsi="Times New Roman"/>
          <w:szCs w:val="24"/>
          <w:lang w:eastAsia="en-GB"/>
        </w:rPr>
        <w:t>)</w:t>
      </w:r>
      <w:r w:rsidRPr="00B264F1">
        <w:rPr>
          <w:rFonts w:ascii="Times New Roman" w:hAnsi="Times New Roman"/>
          <w:szCs w:val="24"/>
          <w:lang w:eastAsia="en-GB"/>
        </w:rPr>
        <w:t xml:space="preserve"> for no-ND</w:t>
      </w:r>
      <w:r>
        <w:rPr>
          <w:rFonts w:ascii="Times New Roman" w:hAnsi="Times New Roman"/>
          <w:szCs w:val="24"/>
          <w:lang w:eastAsia="en-GB"/>
        </w:rPr>
        <w:t xml:space="preserve"> defendants</w:t>
      </w:r>
      <w:r w:rsidRPr="00B264F1">
        <w:rPr>
          <w:rFonts w:ascii="Times New Roman" w:hAnsi="Times New Roman"/>
          <w:szCs w:val="24"/>
          <w:lang w:eastAsia="en-GB"/>
        </w:rPr>
        <w:t>.</w:t>
      </w:r>
      <w:r w:rsidRPr="00B264F1">
        <w:rPr>
          <w:rFonts w:ascii="Times New Roman" w:hAnsi="Times New Roman"/>
          <w:iCs/>
          <w:szCs w:val="24"/>
          <w:lang w:eastAsia="en-GB"/>
        </w:rPr>
        <w:t xml:space="preserve"> Female defendants with ND were significantly underrepresented with rates of 7.4%, (9), across both the CMH and CMHS+ND services compared to the rates of 19% for females with no-ND, (220)</w:t>
      </w:r>
      <w:r w:rsidRPr="00BA2A69">
        <w:rPr>
          <w:rFonts w:ascii="Times New Roman" w:hAnsi="Times New Roman"/>
          <w:iCs/>
          <w:szCs w:val="24"/>
          <w:lang w:eastAsia="en-GB"/>
        </w:rPr>
        <w:t xml:space="preserve">, </w:t>
      </w:r>
      <w:r w:rsidRPr="00880A4D">
        <w:rPr>
          <w:rFonts w:ascii="Times New Roman" w:hAnsi="Times New Roman"/>
          <w:iCs/>
          <w:szCs w:val="24"/>
          <w:lang w:eastAsia="en-GB"/>
        </w:rPr>
        <w:t>(</w:t>
      </w:r>
      <w:r w:rsidRPr="00880A4D">
        <w:rPr>
          <w:rFonts w:ascii="Times New Roman" w:hAnsi="Times New Roman"/>
          <w:i/>
          <w:szCs w:val="24"/>
          <w:lang w:eastAsia="en-GB"/>
        </w:rPr>
        <w:t>X2</w:t>
      </w:r>
      <w:r w:rsidRPr="00880A4D">
        <w:rPr>
          <w:rFonts w:ascii="Times New Roman" w:hAnsi="Times New Roman"/>
          <w:iCs/>
          <w:szCs w:val="24"/>
          <w:lang w:eastAsia="en-GB"/>
        </w:rPr>
        <w:t>, (1), = 10.281, p &lt; .006)</w:t>
      </w:r>
      <w:r w:rsidRPr="00BA2A69">
        <w:rPr>
          <w:rFonts w:ascii="Times New Roman" w:hAnsi="Times New Roman"/>
          <w:iCs/>
          <w:szCs w:val="24"/>
          <w:lang w:eastAsia="en-GB"/>
        </w:rPr>
        <w:t>.</w:t>
      </w:r>
    </w:p>
    <w:p w14:paraId="5FB77555" w14:textId="68CF26F7" w:rsidR="000B1425" w:rsidRPr="00B264F1" w:rsidRDefault="00BF6D0B" w:rsidP="000B1425">
      <w:pPr>
        <w:shd w:val="clear" w:color="auto" w:fill="FFFFFF"/>
        <w:spacing w:before="100" w:beforeAutospacing="1" w:after="100" w:afterAutospacing="1" w:line="480" w:lineRule="auto"/>
        <w:rPr>
          <w:rFonts w:ascii="Times New Roman" w:hAnsi="Times New Roman"/>
          <w:i/>
          <w:iCs/>
          <w:szCs w:val="24"/>
          <w:lang w:eastAsia="en-GB"/>
        </w:rPr>
      </w:pPr>
      <w:r>
        <w:rPr>
          <w:rFonts w:ascii="Times New Roman" w:hAnsi="Times New Roman"/>
          <w:i/>
          <w:iCs/>
          <w:szCs w:val="24"/>
          <w:lang w:eastAsia="en-GB"/>
        </w:rPr>
        <w:t xml:space="preserve">3.2 </w:t>
      </w:r>
      <w:r w:rsidR="000B1425" w:rsidRPr="00B264F1">
        <w:rPr>
          <w:rFonts w:ascii="Times New Roman" w:hAnsi="Times New Roman"/>
          <w:i/>
          <w:iCs/>
          <w:szCs w:val="24"/>
          <w:lang w:eastAsia="en-GB"/>
        </w:rPr>
        <w:t>Overall Rates of ND</w:t>
      </w:r>
    </w:p>
    <w:p w14:paraId="1C1D3A7D" w14:textId="77777777" w:rsidR="000B1425" w:rsidRPr="00B264F1" w:rsidRDefault="000B1425" w:rsidP="000B1425">
      <w:pPr>
        <w:shd w:val="clear" w:color="auto" w:fill="FFFFFF"/>
        <w:spacing w:before="100" w:beforeAutospacing="1" w:after="100" w:afterAutospacing="1" w:line="480" w:lineRule="auto"/>
        <w:rPr>
          <w:rFonts w:ascii="Times New Roman" w:hAnsi="Times New Roman"/>
          <w:iCs/>
          <w:szCs w:val="24"/>
          <w:lang w:eastAsia="en-GB"/>
        </w:rPr>
      </w:pPr>
      <w:r w:rsidRPr="00B264F1">
        <w:rPr>
          <w:rFonts w:ascii="Times New Roman" w:hAnsi="Times New Roman"/>
          <w:szCs w:val="24"/>
          <w:lang w:eastAsia="en-GB"/>
        </w:rPr>
        <w:t xml:space="preserve">The rates of </w:t>
      </w:r>
      <w:proofErr w:type="spellStart"/>
      <w:r w:rsidRPr="00B264F1">
        <w:rPr>
          <w:rFonts w:ascii="Times New Roman" w:hAnsi="Times New Roman"/>
          <w:szCs w:val="24"/>
          <w:lang w:eastAsia="en-GB"/>
        </w:rPr>
        <w:t>recognised</w:t>
      </w:r>
      <w:proofErr w:type="spellEnd"/>
      <w:r w:rsidRPr="00B264F1">
        <w:rPr>
          <w:rFonts w:ascii="Times New Roman" w:hAnsi="Times New Roman"/>
          <w:szCs w:val="24"/>
          <w:lang w:eastAsia="en-GB"/>
        </w:rPr>
        <w:t xml:space="preserve"> ND recorded during the time of the original CMH service were </w:t>
      </w:r>
      <w:r w:rsidRPr="00B264F1">
        <w:rPr>
          <w:rFonts w:ascii="Times New Roman" w:hAnsi="Times New Roman"/>
          <w:iCs/>
          <w:szCs w:val="24"/>
          <w:lang w:eastAsia="en-GB"/>
        </w:rPr>
        <w:t xml:space="preserve">9.5% (43) </w:t>
      </w:r>
      <w:r w:rsidRPr="00B264F1">
        <w:rPr>
          <w:rFonts w:ascii="Times New Roman" w:hAnsi="Times New Roman"/>
          <w:szCs w:val="24"/>
          <w:lang w:eastAsia="en-GB"/>
        </w:rPr>
        <w:t xml:space="preserve">and 9.5% (79), </w:t>
      </w:r>
      <w:r w:rsidRPr="00B264F1">
        <w:rPr>
          <w:rFonts w:ascii="Times New Roman" w:hAnsi="Times New Roman"/>
          <w:iCs/>
          <w:szCs w:val="24"/>
          <w:lang w:eastAsia="en-GB"/>
        </w:rPr>
        <w:t xml:space="preserve">for the </w:t>
      </w:r>
      <w:r w:rsidRPr="00B264F1">
        <w:rPr>
          <w:rFonts w:ascii="Times New Roman" w:hAnsi="Times New Roman"/>
          <w:szCs w:val="24"/>
          <w:lang w:eastAsia="en-GB"/>
        </w:rPr>
        <w:t xml:space="preserve">CMHS+ND </w:t>
      </w:r>
      <w:r>
        <w:rPr>
          <w:rFonts w:ascii="Times New Roman" w:hAnsi="Times New Roman"/>
          <w:szCs w:val="24"/>
          <w:lang w:eastAsia="en-GB"/>
        </w:rPr>
        <w:t>Service</w:t>
      </w:r>
      <w:r w:rsidRPr="00B264F1">
        <w:rPr>
          <w:rFonts w:ascii="Times New Roman" w:hAnsi="Times New Roman"/>
          <w:szCs w:val="24"/>
          <w:lang w:eastAsia="en-GB"/>
        </w:rPr>
        <w:t>. In the CMHS</w:t>
      </w:r>
      <w:r w:rsidRPr="00B264F1">
        <w:rPr>
          <w:rFonts w:ascii="Times New Roman" w:hAnsi="Times New Roman"/>
          <w:iCs/>
          <w:szCs w:val="24"/>
          <w:lang w:eastAsia="en-GB"/>
        </w:rPr>
        <w:t xml:space="preserve"> +ND </w:t>
      </w:r>
      <w:r>
        <w:rPr>
          <w:rFonts w:ascii="Times New Roman" w:hAnsi="Times New Roman"/>
          <w:iCs/>
          <w:szCs w:val="24"/>
          <w:lang w:eastAsia="en-GB"/>
        </w:rPr>
        <w:t>service,</w:t>
      </w:r>
      <w:r w:rsidRPr="00B264F1">
        <w:rPr>
          <w:rFonts w:ascii="Times New Roman" w:hAnsi="Times New Roman"/>
          <w:iCs/>
          <w:szCs w:val="24"/>
          <w:lang w:eastAsia="en-GB"/>
        </w:rPr>
        <w:t xml:space="preserve"> there were 13% fewer cases of comorbid ID and ASD and 3.5% of comorbid ID and ADHD. Rates were similar for comorbid cases of ADHD and ASD.  The rate of ADHD as a single diagnosis was 10% higher in the CMH+ND </w:t>
      </w:r>
      <w:r>
        <w:rPr>
          <w:rFonts w:ascii="Times New Roman" w:hAnsi="Times New Roman"/>
          <w:iCs/>
          <w:szCs w:val="24"/>
          <w:lang w:eastAsia="en-GB"/>
        </w:rPr>
        <w:t>Service</w:t>
      </w:r>
      <w:r w:rsidRPr="00B264F1">
        <w:rPr>
          <w:rFonts w:ascii="Times New Roman" w:hAnsi="Times New Roman"/>
          <w:iCs/>
          <w:szCs w:val="24"/>
          <w:lang w:eastAsia="en-GB"/>
        </w:rPr>
        <w:t xml:space="preserve">.  The rates of ND diagnoses are given in Table 1.  </w:t>
      </w:r>
    </w:p>
    <w:p w14:paraId="06F077AE" w14:textId="4726C465" w:rsidR="000B1425" w:rsidRDefault="000B1425" w:rsidP="000B1425">
      <w:pPr>
        <w:spacing w:line="480" w:lineRule="auto"/>
        <w:rPr>
          <w:rFonts w:ascii="Times New Roman" w:hAnsi="Times New Roman"/>
          <w:sz w:val="16"/>
          <w:szCs w:val="16"/>
        </w:rPr>
      </w:pPr>
    </w:p>
    <w:p w14:paraId="35491F00" w14:textId="51370157" w:rsidR="00BF6D0B" w:rsidRDefault="00BF6D0B" w:rsidP="000B1425">
      <w:pPr>
        <w:spacing w:line="480" w:lineRule="auto"/>
        <w:rPr>
          <w:rFonts w:ascii="Times New Roman" w:hAnsi="Times New Roman"/>
          <w:sz w:val="16"/>
          <w:szCs w:val="16"/>
        </w:rPr>
      </w:pPr>
    </w:p>
    <w:p w14:paraId="463B453D" w14:textId="6ADC1ECF" w:rsidR="00BF6D0B" w:rsidRDefault="00BF6D0B" w:rsidP="000B1425">
      <w:pPr>
        <w:spacing w:line="480" w:lineRule="auto"/>
        <w:rPr>
          <w:rFonts w:ascii="Times New Roman" w:hAnsi="Times New Roman"/>
          <w:sz w:val="16"/>
          <w:szCs w:val="16"/>
        </w:rPr>
      </w:pPr>
    </w:p>
    <w:p w14:paraId="1996C963" w14:textId="48B89AE1" w:rsidR="00BF6D0B" w:rsidRDefault="00BF6D0B" w:rsidP="000B1425">
      <w:pPr>
        <w:spacing w:line="480" w:lineRule="auto"/>
        <w:rPr>
          <w:rFonts w:ascii="Times New Roman" w:hAnsi="Times New Roman"/>
          <w:sz w:val="16"/>
          <w:szCs w:val="16"/>
        </w:rPr>
      </w:pPr>
    </w:p>
    <w:p w14:paraId="6D1A8141" w14:textId="2CDD7A73" w:rsidR="00BF6D0B" w:rsidRDefault="00BF6D0B" w:rsidP="000B1425">
      <w:pPr>
        <w:spacing w:line="480" w:lineRule="auto"/>
        <w:rPr>
          <w:rFonts w:ascii="Times New Roman" w:hAnsi="Times New Roman"/>
          <w:sz w:val="16"/>
          <w:szCs w:val="16"/>
        </w:rPr>
      </w:pPr>
    </w:p>
    <w:p w14:paraId="47AF4D8B" w14:textId="2B3E9714" w:rsidR="00BF6D0B" w:rsidRDefault="00BF6D0B" w:rsidP="000B1425">
      <w:pPr>
        <w:spacing w:line="480" w:lineRule="auto"/>
        <w:rPr>
          <w:rFonts w:ascii="Times New Roman" w:hAnsi="Times New Roman"/>
          <w:sz w:val="16"/>
          <w:szCs w:val="16"/>
        </w:rPr>
      </w:pPr>
    </w:p>
    <w:p w14:paraId="1B369BFB" w14:textId="190AAB20" w:rsidR="00BF6D0B" w:rsidRDefault="00BF6D0B" w:rsidP="000B1425">
      <w:pPr>
        <w:spacing w:line="480" w:lineRule="auto"/>
        <w:rPr>
          <w:rFonts w:ascii="Times New Roman" w:hAnsi="Times New Roman"/>
          <w:sz w:val="16"/>
          <w:szCs w:val="16"/>
        </w:rPr>
      </w:pPr>
    </w:p>
    <w:p w14:paraId="4953B447" w14:textId="77777777" w:rsidR="00BF6D0B" w:rsidRDefault="00BF6D0B" w:rsidP="000B1425">
      <w:pPr>
        <w:spacing w:line="480" w:lineRule="auto"/>
        <w:rPr>
          <w:rFonts w:ascii="Times New Roman" w:hAnsi="Times New Roman"/>
          <w:sz w:val="16"/>
          <w:szCs w:val="16"/>
        </w:rPr>
      </w:pPr>
    </w:p>
    <w:p w14:paraId="522C134B" w14:textId="0135F45F" w:rsidR="000B1425" w:rsidRPr="00F33317" w:rsidRDefault="000B1425" w:rsidP="000B1425">
      <w:pPr>
        <w:spacing w:line="480" w:lineRule="auto"/>
        <w:rPr>
          <w:rFonts w:ascii="Times New Roman" w:hAnsi="Times New Roman"/>
          <w:b/>
          <w:szCs w:val="24"/>
        </w:rPr>
      </w:pPr>
      <w:r w:rsidRPr="00F33317">
        <w:rPr>
          <w:rFonts w:ascii="Times New Roman" w:hAnsi="Times New Roman"/>
          <w:b/>
          <w:szCs w:val="24"/>
        </w:rPr>
        <w:t xml:space="preserve">Table 1 Rates of ND </w:t>
      </w:r>
      <w:r w:rsidR="00BF6D0B" w:rsidRPr="00BF6D0B">
        <w:rPr>
          <w:rStyle w:val="Heading1Char"/>
          <w:b/>
          <w:bCs/>
        </w:rPr>
        <w:t xml:space="preserve">per individual defendant </w:t>
      </w:r>
      <w:r w:rsidRPr="00F33317">
        <w:rPr>
          <w:rFonts w:ascii="Times New Roman" w:hAnsi="Times New Roman"/>
          <w:b/>
          <w:szCs w:val="24"/>
        </w:rPr>
        <w:t>–</w:t>
      </w:r>
      <w:r>
        <w:rPr>
          <w:rFonts w:ascii="Times New Roman" w:hAnsi="Times New Roman"/>
          <w:b/>
          <w:szCs w:val="24"/>
        </w:rPr>
        <w:t xml:space="preserve"> Over whole study period from 2015 -2019</w:t>
      </w:r>
    </w:p>
    <w:tbl>
      <w:tblPr>
        <w:tblStyle w:val="TableGrid"/>
        <w:tblW w:w="5813" w:type="dxa"/>
        <w:tblInd w:w="-289" w:type="dxa"/>
        <w:tblBorders>
          <w:left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978"/>
        <w:gridCol w:w="1401"/>
        <w:gridCol w:w="1434"/>
      </w:tblGrid>
      <w:tr w:rsidR="000B1425" w:rsidRPr="00E430A6" w14:paraId="6D320A12" w14:textId="77777777" w:rsidTr="00BF6D0B">
        <w:tc>
          <w:tcPr>
            <w:tcW w:w="2978" w:type="dxa"/>
            <w:tcBorders>
              <w:top w:val="single" w:sz="4" w:space="0" w:color="auto"/>
              <w:bottom w:val="single" w:sz="4" w:space="0" w:color="auto"/>
            </w:tcBorders>
          </w:tcPr>
          <w:p w14:paraId="0E95331A" w14:textId="77777777" w:rsidR="000B1425" w:rsidRPr="00E430A6" w:rsidRDefault="000B1425" w:rsidP="008C2170">
            <w:pPr>
              <w:spacing w:line="480" w:lineRule="auto"/>
              <w:ind w:left="60" w:right="60"/>
              <w:rPr>
                <w:rFonts w:ascii="Times New Roman" w:hAnsi="Times New Roman" w:cs="Times New Roman"/>
                <w:color w:val="264A60"/>
                <w:sz w:val="20"/>
                <w:szCs w:val="20"/>
              </w:rPr>
            </w:pPr>
          </w:p>
        </w:tc>
        <w:tc>
          <w:tcPr>
            <w:tcW w:w="1401" w:type="dxa"/>
            <w:tcBorders>
              <w:top w:val="single" w:sz="4" w:space="0" w:color="auto"/>
              <w:bottom w:val="single" w:sz="4" w:space="0" w:color="auto"/>
            </w:tcBorders>
          </w:tcPr>
          <w:p w14:paraId="0CD6301C" w14:textId="77777777" w:rsidR="000B1425" w:rsidRDefault="000B1425" w:rsidP="008C2170">
            <w:pPr>
              <w:spacing w:line="480" w:lineRule="auto"/>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CMH (before) </w:t>
            </w:r>
          </w:p>
          <w:p w14:paraId="1000567A" w14:textId="77777777" w:rsidR="000B1425" w:rsidRPr="00E430A6" w:rsidRDefault="000B1425" w:rsidP="008C2170">
            <w:pPr>
              <w:spacing w:line="480" w:lineRule="auto"/>
              <w:ind w:left="60" w:right="60"/>
              <w:rPr>
                <w:rFonts w:ascii="Times New Roman" w:hAnsi="Times New Roman" w:cs="Times New Roman"/>
                <w:color w:val="010205"/>
                <w:sz w:val="20"/>
                <w:szCs w:val="20"/>
              </w:rPr>
            </w:pPr>
            <w:r>
              <w:rPr>
                <w:rFonts w:ascii="Times New Roman" w:hAnsi="Times New Roman" w:cs="Times New Roman"/>
                <w:color w:val="010205"/>
                <w:sz w:val="20"/>
                <w:szCs w:val="20"/>
              </w:rPr>
              <w:t>n=43</w:t>
            </w:r>
          </w:p>
        </w:tc>
        <w:tc>
          <w:tcPr>
            <w:tcW w:w="1434" w:type="dxa"/>
            <w:tcBorders>
              <w:top w:val="single" w:sz="4" w:space="0" w:color="auto"/>
              <w:bottom w:val="single" w:sz="4" w:space="0" w:color="auto"/>
            </w:tcBorders>
          </w:tcPr>
          <w:p w14:paraId="7802318D" w14:textId="77777777" w:rsidR="000B1425" w:rsidRDefault="000B1425" w:rsidP="008C2170">
            <w:pPr>
              <w:spacing w:line="480" w:lineRule="auto"/>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CMH+ND (after) </w:t>
            </w:r>
          </w:p>
          <w:p w14:paraId="0733E703" w14:textId="77777777" w:rsidR="000B1425" w:rsidRPr="00E430A6" w:rsidRDefault="000B1425" w:rsidP="008C2170">
            <w:pPr>
              <w:spacing w:line="480" w:lineRule="auto"/>
              <w:ind w:left="60" w:right="60"/>
              <w:rPr>
                <w:rFonts w:ascii="Times New Roman" w:hAnsi="Times New Roman" w:cs="Times New Roman"/>
                <w:color w:val="010205"/>
                <w:sz w:val="20"/>
                <w:szCs w:val="20"/>
              </w:rPr>
            </w:pPr>
            <w:r>
              <w:rPr>
                <w:rFonts w:ascii="Times New Roman" w:hAnsi="Times New Roman" w:cs="Times New Roman"/>
                <w:color w:val="010205"/>
                <w:sz w:val="20"/>
                <w:szCs w:val="20"/>
              </w:rPr>
              <w:t>n=79</w:t>
            </w:r>
          </w:p>
        </w:tc>
      </w:tr>
      <w:tr w:rsidR="000B1425" w:rsidRPr="00E430A6" w14:paraId="439EAFF5" w14:textId="77777777" w:rsidTr="00BF6D0B">
        <w:tc>
          <w:tcPr>
            <w:tcW w:w="2978" w:type="dxa"/>
            <w:tcBorders>
              <w:top w:val="single" w:sz="4" w:space="0" w:color="auto"/>
            </w:tcBorders>
          </w:tcPr>
          <w:p w14:paraId="33B94648" w14:textId="77777777" w:rsidR="000B1425" w:rsidRPr="00E430A6" w:rsidRDefault="000B1425" w:rsidP="008C2170">
            <w:pPr>
              <w:spacing w:line="480" w:lineRule="auto"/>
              <w:ind w:left="60" w:right="60"/>
              <w:rPr>
                <w:rFonts w:ascii="Times New Roman" w:hAnsi="Times New Roman" w:cs="Times New Roman"/>
                <w:color w:val="264A60"/>
                <w:sz w:val="20"/>
                <w:szCs w:val="20"/>
              </w:rPr>
            </w:pPr>
            <w:r w:rsidRPr="00E430A6">
              <w:rPr>
                <w:rFonts w:ascii="Times New Roman" w:hAnsi="Times New Roman" w:cs="Times New Roman"/>
                <w:color w:val="264A60"/>
                <w:sz w:val="20"/>
                <w:szCs w:val="20"/>
              </w:rPr>
              <w:t>ASD</w:t>
            </w:r>
            <w:r>
              <w:rPr>
                <w:rFonts w:ascii="Times New Roman" w:hAnsi="Times New Roman" w:cs="Times New Roman"/>
                <w:color w:val="264A60"/>
                <w:sz w:val="20"/>
                <w:szCs w:val="20"/>
              </w:rPr>
              <w:t xml:space="preserve">  </w:t>
            </w:r>
          </w:p>
        </w:tc>
        <w:tc>
          <w:tcPr>
            <w:tcW w:w="1401" w:type="dxa"/>
            <w:tcBorders>
              <w:top w:val="single" w:sz="4" w:space="0" w:color="auto"/>
            </w:tcBorders>
          </w:tcPr>
          <w:p w14:paraId="65CA07CE" w14:textId="77777777" w:rsidR="000B1425" w:rsidRPr="00E430A6" w:rsidRDefault="000B1425" w:rsidP="008C2170">
            <w:pPr>
              <w:spacing w:line="480" w:lineRule="auto"/>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10, </w:t>
            </w:r>
            <w:r w:rsidRPr="00E430A6">
              <w:rPr>
                <w:rFonts w:ascii="Times New Roman" w:hAnsi="Times New Roman" w:cs="Times New Roman"/>
                <w:color w:val="010205"/>
                <w:sz w:val="20"/>
                <w:szCs w:val="20"/>
              </w:rPr>
              <w:t>(2</w:t>
            </w:r>
            <w:r>
              <w:rPr>
                <w:rFonts w:ascii="Times New Roman" w:hAnsi="Times New Roman" w:cs="Times New Roman"/>
                <w:color w:val="010205"/>
                <w:sz w:val="20"/>
                <w:szCs w:val="20"/>
              </w:rPr>
              <w:t>3.3</w:t>
            </w:r>
            <w:r w:rsidRPr="00E430A6">
              <w:rPr>
                <w:rFonts w:ascii="Times New Roman" w:hAnsi="Times New Roman" w:cs="Times New Roman"/>
                <w:color w:val="010205"/>
                <w:sz w:val="20"/>
                <w:szCs w:val="20"/>
              </w:rPr>
              <w:t>%)</w:t>
            </w:r>
            <w:r>
              <w:rPr>
                <w:rFonts w:ascii="Times New Roman" w:hAnsi="Times New Roman" w:cs="Times New Roman"/>
                <w:color w:val="010205"/>
                <w:sz w:val="20"/>
                <w:szCs w:val="20"/>
              </w:rPr>
              <w:t xml:space="preserve"> </w:t>
            </w:r>
          </w:p>
        </w:tc>
        <w:tc>
          <w:tcPr>
            <w:tcW w:w="1434" w:type="dxa"/>
            <w:tcBorders>
              <w:top w:val="single" w:sz="4" w:space="0" w:color="auto"/>
            </w:tcBorders>
          </w:tcPr>
          <w:p w14:paraId="129A46E6" w14:textId="77777777" w:rsidR="000B1425" w:rsidRPr="00E430A6" w:rsidRDefault="000B1425" w:rsidP="008C2170">
            <w:pPr>
              <w:spacing w:line="480" w:lineRule="auto"/>
              <w:ind w:right="60"/>
              <w:rPr>
                <w:rFonts w:ascii="Times New Roman" w:hAnsi="Times New Roman" w:cs="Times New Roman"/>
                <w:color w:val="010205"/>
                <w:sz w:val="20"/>
                <w:szCs w:val="20"/>
              </w:rPr>
            </w:pPr>
            <w:r w:rsidRPr="00E430A6">
              <w:rPr>
                <w:rFonts w:ascii="Times New Roman" w:hAnsi="Times New Roman" w:cs="Times New Roman"/>
                <w:color w:val="010205"/>
                <w:sz w:val="20"/>
                <w:szCs w:val="20"/>
              </w:rPr>
              <w:t>22</w:t>
            </w:r>
            <w:r>
              <w:rPr>
                <w:rFonts w:ascii="Times New Roman" w:hAnsi="Times New Roman" w:cs="Times New Roman"/>
                <w:color w:val="010205"/>
                <w:sz w:val="20"/>
                <w:szCs w:val="20"/>
              </w:rPr>
              <w:t xml:space="preserve">, </w:t>
            </w:r>
            <w:r w:rsidRPr="00E430A6">
              <w:rPr>
                <w:rFonts w:ascii="Times New Roman" w:hAnsi="Times New Roman" w:cs="Times New Roman"/>
                <w:color w:val="010205"/>
                <w:sz w:val="20"/>
                <w:szCs w:val="20"/>
              </w:rPr>
              <w:t>(27.8%)</w:t>
            </w:r>
            <w:r>
              <w:rPr>
                <w:rFonts w:ascii="Times New Roman" w:hAnsi="Times New Roman" w:cs="Times New Roman"/>
                <w:color w:val="010205"/>
                <w:sz w:val="20"/>
                <w:szCs w:val="20"/>
              </w:rPr>
              <w:t xml:space="preserve"> </w:t>
            </w:r>
          </w:p>
        </w:tc>
      </w:tr>
      <w:tr w:rsidR="000B1425" w:rsidRPr="00E430A6" w14:paraId="75A2E524" w14:textId="77777777" w:rsidTr="00BF6D0B">
        <w:tc>
          <w:tcPr>
            <w:tcW w:w="2978" w:type="dxa"/>
          </w:tcPr>
          <w:p w14:paraId="39D13201" w14:textId="77777777" w:rsidR="000B1425" w:rsidRPr="00E430A6" w:rsidRDefault="000B1425" w:rsidP="008C2170">
            <w:pPr>
              <w:spacing w:line="480" w:lineRule="auto"/>
              <w:ind w:left="60" w:right="60"/>
              <w:rPr>
                <w:rFonts w:ascii="Times New Roman" w:hAnsi="Times New Roman" w:cs="Times New Roman"/>
                <w:color w:val="264A60"/>
                <w:sz w:val="20"/>
                <w:szCs w:val="20"/>
              </w:rPr>
            </w:pPr>
            <w:r w:rsidRPr="00E430A6">
              <w:rPr>
                <w:rFonts w:ascii="Times New Roman" w:hAnsi="Times New Roman" w:cs="Times New Roman"/>
                <w:color w:val="264A60"/>
                <w:sz w:val="20"/>
                <w:szCs w:val="20"/>
              </w:rPr>
              <w:t>ID</w:t>
            </w:r>
            <w:r>
              <w:rPr>
                <w:rFonts w:ascii="Times New Roman" w:hAnsi="Times New Roman" w:cs="Times New Roman"/>
                <w:color w:val="264A60"/>
                <w:sz w:val="20"/>
                <w:szCs w:val="20"/>
              </w:rPr>
              <w:t xml:space="preserve">  </w:t>
            </w:r>
          </w:p>
        </w:tc>
        <w:tc>
          <w:tcPr>
            <w:tcW w:w="1401" w:type="dxa"/>
          </w:tcPr>
          <w:p w14:paraId="29782EB3" w14:textId="77777777" w:rsidR="000B1425" w:rsidRPr="00E430A6" w:rsidRDefault="000B1425" w:rsidP="008C2170">
            <w:pPr>
              <w:spacing w:line="480" w:lineRule="auto"/>
              <w:ind w:right="60"/>
              <w:rPr>
                <w:rFonts w:ascii="Times New Roman" w:hAnsi="Times New Roman" w:cs="Times New Roman"/>
                <w:color w:val="010205"/>
                <w:sz w:val="20"/>
                <w:szCs w:val="20"/>
              </w:rPr>
            </w:pPr>
            <w:r w:rsidRPr="00E430A6">
              <w:rPr>
                <w:rFonts w:ascii="Times New Roman" w:hAnsi="Times New Roman" w:cs="Times New Roman"/>
                <w:color w:val="010205"/>
                <w:sz w:val="20"/>
                <w:szCs w:val="20"/>
              </w:rPr>
              <w:t>1</w:t>
            </w:r>
            <w:r>
              <w:rPr>
                <w:rFonts w:ascii="Times New Roman" w:hAnsi="Times New Roman" w:cs="Times New Roman"/>
                <w:color w:val="010205"/>
                <w:sz w:val="20"/>
                <w:szCs w:val="20"/>
              </w:rPr>
              <w:t xml:space="preserve">4, </w:t>
            </w:r>
            <w:r w:rsidRPr="00E430A6">
              <w:rPr>
                <w:rFonts w:ascii="Times New Roman" w:hAnsi="Times New Roman" w:cs="Times New Roman"/>
                <w:color w:val="010205"/>
                <w:sz w:val="20"/>
                <w:szCs w:val="20"/>
              </w:rPr>
              <w:t>(3</w:t>
            </w:r>
            <w:r>
              <w:rPr>
                <w:rFonts w:ascii="Times New Roman" w:hAnsi="Times New Roman" w:cs="Times New Roman"/>
                <w:color w:val="010205"/>
                <w:sz w:val="20"/>
                <w:szCs w:val="20"/>
              </w:rPr>
              <w:t>2.6</w:t>
            </w:r>
            <w:r w:rsidRPr="00E430A6">
              <w:rPr>
                <w:rFonts w:ascii="Times New Roman" w:hAnsi="Times New Roman" w:cs="Times New Roman"/>
                <w:color w:val="010205"/>
                <w:sz w:val="20"/>
                <w:szCs w:val="20"/>
              </w:rPr>
              <w:t>%)</w:t>
            </w:r>
            <w:r>
              <w:rPr>
                <w:rFonts w:ascii="Times New Roman" w:hAnsi="Times New Roman" w:cs="Times New Roman"/>
                <w:color w:val="010205"/>
                <w:sz w:val="20"/>
                <w:szCs w:val="20"/>
              </w:rPr>
              <w:t xml:space="preserve"> </w:t>
            </w:r>
          </w:p>
        </w:tc>
        <w:tc>
          <w:tcPr>
            <w:tcW w:w="1434" w:type="dxa"/>
          </w:tcPr>
          <w:p w14:paraId="02A456CF" w14:textId="77777777" w:rsidR="000B1425" w:rsidRPr="00E430A6" w:rsidRDefault="000B1425" w:rsidP="008C2170">
            <w:pPr>
              <w:spacing w:line="480" w:lineRule="auto"/>
              <w:ind w:right="60"/>
              <w:rPr>
                <w:rFonts w:ascii="Times New Roman" w:hAnsi="Times New Roman" w:cs="Times New Roman"/>
                <w:color w:val="010205"/>
                <w:sz w:val="20"/>
                <w:szCs w:val="20"/>
              </w:rPr>
            </w:pPr>
            <w:r w:rsidRPr="00E430A6">
              <w:rPr>
                <w:rFonts w:ascii="Times New Roman" w:hAnsi="Times New Roman" w:cs="Times New Roman"/>
                <w:color w:val="010205"/>
                <w:sz w:val="20"/>
                <w:szCs w:val="20"/>
              </w:rPr>
              <w:t>29</w:t>
            </w:r>
            <w:r>
              <w:rPr>
                <w:rFonts w:ascii="Times New Roman" w:hAnsi="Times New Roman" w:cs="Times New Roman"/>
                <w:color w:val="010205"/>
                <w:sz w:val="20"/>
                <w:szCs w:val="20"/>
              </w:rPr>
              <w:t xml:space="preserve">, </w:t>
            </w:r>
            <w:r w:rsidRPr="00E430A6">
              <w:rPr>
                <w:rFonts w:ascii="Times New Roman" w:hAnsi="Times New Roman" w:cs="Times New Roman"/>
                <w:color w:val="010205"/>
                <w:sz w:val="20"/>
                <w:szCs w:val="20"/>
              </w:rPr>
              <w:t>(36.7%)</w:t>
            </w:r>
            <w:r>
              <w:rPr>
                <w:rFonts w:ascii="Times New Roman" w:hAnsi="Times New Roman" w:cs="Times New Roman"/>
                <w:color w:val="010205"/>
                <w:sz w:val="20"/>
                <w:szCs w:val="20"/>
              </w:rPr>
              <w:t xml:space="preserve"> </w:t>
            </w:r>
          </w:p>
        </w:tc>
      </w:tr>
      <w:tr w:rsidR="000B1425" w:rsidRPr="00E430A6" w14:paraId="3D71D6EA" w14:textId="77777777" w:rsidTr="00BF6D0B">
        <w:tc>
          <w:tcPr>
            <w:tcW w:w="2978" w:type="dxa"/>
          </w:tcPr>
          <w:p w14:paraId="053D7ACA" w14:textId="77777777" w:rsidR="000B1425" w:rsidRPr="00E430A6" w:rsidRDefault="000B1425" w:rsidP="008C2170">
            <w:pPr>
              <w:spacing w:line="480" w:lineRule="auto"/>
              <w:ind w:left="60" w:right="60"/>
              <w:rPr>
                <w:rFonts w:ascii="Times New Roman" w:hAnsi="Times New Roman" w:cs="Times New Roman"/>
                <w:color w:val="264A60"/>
                <w:sz w:val="20"/>
                <w:szCs w:val="20"/>
              </w:rPr>
            </w:pPr>
            <w:r w:rsidRPr="00E430A6">
              <w:rPr>
                <w:rFonts w:ascii="Times New Roman" w:hAnsi="Times New Roman" w:cs="Times New Roman"/>
                <w:color w:val="264A60"/>
                <w:sz w:val="20"/>
                <w:szCs w:val="20"/>
              </w:rPr>
              <w:t>ADHD</w:t>
            </w:r>
            <w:r>
              <w:rPr>
                <w:rFonts w:ascii="Times New Roman" w:hAnsi="Times New Roman" w:cs="Times New Roman"/>
                <w:color w:val="264A60"/>
                <w:sz w:val="20"/>
                <w:szCs w:val="20"/>
              </w:rPr>
              <w:t xml:space="preserve">  </w:t>
            </w:r>
          </w:p>
        </w:tc>
        <w:tc>
          <w:tcPr>
            <w:tcW w:w="1401" w:type="dxa"/>
          </w:tcPr>
          <w:p w14:paraId="229C405F" w14:textId="77777777" w:rsidR="000B1425" w:rsidRPr="00E430A6" w:rsidRDefault="000B1425" w:rsidP="008C2170">
            <w:pPr>
              <w:spacing w:line="480" w:lineRule="auto"/>
              <w:ind w:left="60" w:right="60"/>
              <w:rPr>
                <w:rFonts w:ascii="Times New Roman" w:hAnsi="Times New Roman" w:cs="Times New Roman"/>
                <w:color w:val="010205"/>
                <w:sz w:val="20"/>
                <w:szCs w:val="20"/>
              </w:rPr>
            </w:pPr>
            <w:r>
              <w:rPr>
                <w:rFonts w:ascii="Times New Roman" w:hAnsi="Times New Roman" w:cs="Times New Roman"/>
                <w:color w:val="010205"/>
                <w:sz w:val="20"/>
                <w:szCs w:val="20"/>
              </w:rPr>
              <w:t xml:space="preserve">6, </w:t>
            </w:r>
            <w:r w:rsidRPr="00E430A6">
              <w:rPr>
                <w:rFonts w:ascii="Times New Roman" w:hAnsi="Times New Roman" w:cs="Times New Roman"/>
                <w:color w:val="010205"/>
                <w:sz w:val="20"/>
                <w:szCs w:val="20"/>
              </w:rPr>
              <w:t>(1</w:t>
            </w:r>
            <w:r>
              <w:rPr>
                <w:rFonts w:ascii="Times New Roman" w:hAnsi="Times New Roman" w:cs="Times New Roman"/>
                <w:color w:val="010205"/>
                <w:sz w:val="20"/>
                <w:szCs w:val="20"/>
              </w:rPr>
              <w:t>4</w:t>
            </w:r>
            <w:r w:rsidRPr="00E430A6">
              <w:rPr>
                <w:rFonts w:ascii="Times New Roman" w:hAnsi="Times New Roman" w:cs="Times New Roman"/>
                <w:color w:val="010205"/>
                <w:sz w:val="20"/>
                <w:szCs w:val="20"/>
              </w:rPr>
              <w:t>.</w:t>
            </w:r>
            <w:r>
              <w:rPr>
                <w:rFonts w:ascii="Times New Roman" w:hAnsi="Times New Roman" w:cs="Times New Roman"/>
                <w:color w:val="010205"/>
                <w:sz w:val="20"/>
                <w:szCs w:val="20"/>
              </w:rPr>
              <w:t>0</w:t>
            </w:r>
            <w:r w:rsidRPr="00E430A6">
              <w:rPr>
                <w:rFonts w:ascii="Times New Roman" w:hAnsi="Times New Roman" w:cs="Times New Roman"/>
                <w:color w:val="010205"/>
                <w:sz w:val="20"/>
                <w:szCs w:val="20"/>
              </w:rPr>
              <w:t>%)</w:t>
            </w:r>
            <w:r>
              <w:rPr>
                <w:rFonts w:ascii="Times New Roman" w:hAnsi="Times New Roman" w:cs="Times New Roman"/>
                <w:color w:val="010205"/>
                <w:sz w:val="20"/>
                <w:szCs w:val="20"/>
              </w:rPr>
              <w:t xml:space="preserve"> </w:t>
            </w:r>
          </w:p>
        </w:tc>
        <w:tc>
          <w:tcPr>
            <w:tcW w:w="1434" w:type="dxa"/>
          </w:tcPr>
          <w:p w14:paraId="5F5E3DB3" w14:textId="77777777" w:rsidR="000B1425" w:rsidRPr="00E430A6" w:rsidRDefault="000B1425" w:rsidP="008C2170">
            <w:pPr>
              <w:spacing w:line="480" w:lineRule="auto"/>
              <w:ind w:left="60" w:right="60"/>
              <w:rPr>
                <w:rFonts w:ascii="Times New Roman" w:hAnsi="Times New Roman" w:cs="Times New Roman"/>
                <w:color w:val="010205"/>
                <w:sz w:val="20"/>
                <w:szCs w:val="20"/>
              </w:rPr>
            </w:pPr>
            <w:r w:rsidRPr="00E430A6">
              <w:rPr>
                <w:rFonts w:ascii="Times New Roman" w:hAnsi="Times New Roman" w:cs="Times New Roman"/>
                <w:color w:val="010205"/>
                <w:sz w:val="20"/>
                <w:szCs w:val="20"/>
              </w:rPr>
              <w:t>19</w:t>
            </w:r>
            <w:r>
              <w:rPr>
                <w:rFonts w:ascii="Times New Roman" w:hAnsi="Times New Roman" w:cs="Times New Roman"/>
                <w:color w:val="010205"/>
                <w:sz w:val="20"/>
                <w:szCs w:val="20"/>
              </w:rPr>
              <w:t xml:space="preserve">, </w:t>
            </w:r>
            <w:r w:rsidRPr="00E430A6">
              <w:rPr>
                <w:rFonts w:ascii="Times New Roman" w:hAnsi="Times New Roman" w:cs="Times New Roman"/>
                <w:color w:val="010205"/>
                <w:sz w:val="20"/>
                <w:szCs w:val="20"/>
              </w:rPr>
              <w:t>(24.1%)</w:t>
            </w:r>
            <w:r>
              <w:rPr>
                <w:rFonts w:ascii="Times New Roman" w:hAnsi="Times New Roman" w:cs="Times New Roman"/>
                <w:color w:val="010205"/>
                <w:sz w:val="20"/>
                <w:szCs w:val="20"/>
              </w:rPr>
              <w:t xml:space="preserve"> </w:t>
            </w:r>
          </w:p>
        </w:tc>
      </w:tr>
      <w:tr w:rsidR="000B1425" w:rsidRPr="00E430A6" w14:paraId="6EDC021A" w14:textId="77777777" w:rsidTr="00BF6D0B">
        <w:tc>
          <w:tcPr>
            <w:tcW w:w="2978" w:type="dxa"/>
          </w:tcPr>
          <w:p w14:paraId="534EB582" w14:textId="77777777" w:rsidR="000B1425" w:rsidRPr="00F00F86" w:rsidRDefault="000B1425" w:rsidP="008C2170">
            <w:pPr>
              <w:spacing w:line="480" w:lineRule="auto"/>
              <w:ind w:left="60" w:right="60"/>
              <w:rPr>
                <w:rFonts w:ascii="Times New Roman" w:hAnsi="Times New Roman" w:cs="Times New Roman"/>
                <w:color w:val="264A60"/>
                <w:sz w:val="20"/>
                <w:szCs w:val="20"/>
              </w:rPr>
            </w:pPr>
            <w:r w:rsidRPr="00F00F86">
              <w:rPr>
                <w:rFonts w:ascii="Times New Roman" w:hAnsi="Times New Roman" w:cs="Times New Roman"/>
                <w:color w:val="264A60"/>
                <w:sz w:val="20"/>
                <w:szCs w:val="20"/>
              </w:rPr>
              <w:t>ASD and ID.</w:t>
            </w:r>
          </w:p>
        </w:tc>
        <w:tc>
          <w:tcPr>
            <w:tcW w:w="1401" w:type="dxa"/>
          </w:tcPr>
          <w:p w14:paraId="0D9628A7" w14:textId="77777777" w:rsidR="000B1425" w:rsidRPr="00F00F86" w:rsidRDefault="000B1425" w:rsidP="008C2170">
            <w:pPr>
              <w:spacing w:line="480" w:lineRule="auto"/>
              <w:ind w:right="60"/>
              <w:rPr>
                <w:rFonts w:ascii="Times New Roman" w:hAnsi="Times New Roman" w:cs="Times New Roman"/>
                <w:color w:val="010205"/>
                <w:sz w:val="20"/>
                <w:szCs w:val="20"/>
              </w:rPr>
            </w:pPr>
            <w:r w:rsidRPr="00F00F86">
              <w:rPr>
                <w:rFonts w:ascii="Times New Roman" w:hAnsi="Times New Roman" w:cs="Times New Roman"/>
                <w:color w:val="010205"/>
                <w:sz w:val="20"/>
                <w:szCs w:val="20"/>
              </w:rPr>
              <w:t xml:space="preserve">9, (20.9%) </w:t>
            </w:r>
          </w:p>
        </w:tc>
        <w:tc>
          <w:tcPr>
            <w:tcW w:w="1434" w:type="dxa"/>
          </w:tcPr>
          <w:p w14:paraId="54A23BC6" w14:textId="77777777" w:rsidR="000B1425" w:rsidRPr="00F00F86" w:rsidRDefault="000B1425" w:rsidP="008C2170">
            <w:pPr>
              <w:spacing w:line="480" w:lineRule="auto"/>
              <w:ind w:left="60" w:right="60"/>
              <w:rPr>
                <w:rFonts w:ascii="Times New Roman" w:hAnsi="Times New Roman" w:cs="Times New Roman"/>
                <w:color w:val="010205"/>
                <w:sz w:val="20"/>
                <w:szCs w:val="20"/>
              </w:rPr>
            </w:pPr>
            <w:r w:rsidRPr="00F00F86">
              <w:rPr>
                <w:rFonts w:ascii="Times New Roman" w:hAnsi="Times New Roman" w:cs="Times New Roman"/>
                <w:color w:val="010205"/>
                <w:sz w:val="20"/>
                <w:szCs w:val="20"/>
              </w:rPr>
              <w:t xml:space="preserve">2, (2.5%) </w:t>
            </w:r>
          </w:p>
        </w:tc>
      </w:tr>
      <w:tr w:rsidR="000B1425" w:rsidRPr="00E430A6" w14:paraId="30582636" w14:textId="77777777" w:rsidTr="00BF6D0B">
        <w:tc>
          <w:tcPr>
            <w:tcW w:w="2978" w:type="dxa"/>
          </w:tcPr>
          <w:p w14:paraId="0949A439" w14:textId="77777777" w:rsidR="000B1425" w:rsidRPr="00F00F86" w:rsidRDefault="000B1425" w:rsidP="008C2170">
            <w:pPr>
              <w:spacing w:line="480" w:lineRule="auto"/>
              <w:ind w:left="60" w:right="60"/>
              <w:rPr>
                <w:rFonts w:ascii="Times New Roman" w:hAnsi="Times New Roman" w:cs="Times New Roman"/>
                <w:color w:val="264A60"/>
                <w:sz w:val="20"/>
                <w:szCs w:val="20"/>
              </w:rPr>
            </w:pPr>
            <w:r w:rsidRPr="00F00F86">
              <w:rPr>
                <w:rFonts w:ascii="Times New Roman" w:hAnsi="Times New Roman" w:cs="Times New Roman"/>
                <w:color w:val="264A60"/>
                <w:sz w:val="20"/>
                <w:szCs w:val="20"/>
              </w:rPr>
              <w:t>ID and ADHD.</w:t>
            </w:r>
          </w:p>
        </w:tc>
        <w:tc>
          <w:tcPr>
            <w:tcW w:w="1401" w:type="dxa"/>
          </w:tcPr>
          <w:p w14:paraId="692DCD16" w14:textId="77777777" w:rsidR="000B1425" w:rsidRPr="00F00F86" w:rsidRDefault="000B1425" w:rsidP="008C2170">
            <w:pPr>
              <w:spacing w:line="480" w:lineRule="auto"/>
              <w:ind w:left="60" w:right="60"/>
              <w:rPr>
                <w:rFonts w:ascii="Times New Roman" w:hAnsi="Times New Roman" w:cs="Times New Roman"/>
                <w:color w:val="010205"/>
                <w:sz w:val="20"/>
                <w:szCs w:val="20"/>
              </w:rPr>
            </w:pPr>
            <w:r w:rsidRPr="00F00F86">
              <w:rPr>
                <w:rFonts w:ascii="Times New Roman" w:hAnsi="Times New Roman" w:cs="Times New Roman"/>
                <w:color w:val="010205"/>
                <w:sz w:val="20"/>
                <w:szCs w:val="20"/>
              </w:rPr>
              <w:t xml:space="preserve">2, (4.7%) </w:t>
            </w:r>
          </w:p>
        </w:tc>
        <w:tc>
          <w:tcPr>
            <w:tcW w:w="1434" w:type="dxa"/>
          </w:tcPr>
          <w:p w14:paraId="1D21AF8B" w14:textId="77777777" w:rsidR="000B1425" w:rsidRPr="00F00F86" w:rsidRDefault="000B1425" w:rsidP="008C2170">
            <w:pPr>
              <w:spacing w:line="480" w:lineRule="auto"/>
              <w:ind w:left="60" w:right="60"/>
              <w:rPr>
                <w:rFonts w:ascii="Times New Roman" w:hAnsi="Times New Roman" w:cs="Times New Roman"/>
                <w:color w:val="010205"/>
                <w:sz w:val="20"/>
                <w:szCs w:val="20"/>
              </w:rPr>
            </w:pPr>
            <w:r w:rsidRPr="00F00F86">
              <w:rPr>
                <w:rFonts w:ascii="Times New Roman" w:hAnsi="Times New Roman" w:cs="Times New Roman"/>
                <w:color w:val="010205"/>
                <w:sz w:val="20"/>
                <w:szCs w:val="20"/>
              </w:rPr>
              <w:t xml:space="preserve">1, (1.3%) </w:t>
            </w:r>
          </w:p>
        </w:tc>
      </w:tr>
      <w:tr w:rsidR="000B1425" w:rsidRPr="00E430A6" w14:paraId="20FAB47C" w14:textId="77777777" w:rsidTr="00BF6D0B">
        <w:tc>
          <w:tcPr>
            <w:tcW w:w="2978" w:type="dxa"/>
          </w:tcPr>
          <w:p w14:paraId="40BEC0BB" w14:textId="77777777" w:rsidR="000B1425" w:rsidRPr="00F00F86" w:rsidRDefault="000B1425" w:rsidP="008C2170">
            <w:pPr>
              <w:spacing w:line="480" w:lineRule="auto"/>
              <w:ind w:left="60" w:right="60"/>
              <w:rPr>
                <w:rFonts w:ascii="Times New Roman" w:hAnsi="Times New Roman" w:cs="Times New Roman"/>
                <w:color w:val="264A60"/>
                <w:sz w:val="20"/>
                <w:szCs w:val="20"/>
              </w:rPr>
            </w:pPr>
            <w:r w:rsidRPr="00F00F86">
              <w:rPr>
                <w:rFonts w:ascii="Times New Roman" w:hAnsi="Times New Roman" w:cs="Times New Roman"/>
                <w:color w:val="264A60"/>
                <w:sz w:val="20"/>
                <w:szCs w:val="20"/>
              </w:rPr>
              <w:t xml:space="preserve">ASD and ADHD. </w:t>
            </w:r>
          </w:p>
        </w:tc>
        <w:tc>
          <w:tcPr>
            <w:tcW w:w="1401" w:type="dxa"/>
          </w:tcPr>
          <w:p w14:paraId="70F49AF9" w14:textId="77777777" w:rsidR="000B1425" w:rsidRPr="00F00F86" w:rsidRDefault="000B1425" w:rsidP="008C2170">
            <w:pPr>
              <w:spacing w:line="480" w:lineRule="auto"/>
              <w:ind w:left="60" w:right="60"/>
              <w:rPr>
                <w:rFonts w:ascii="Times New Roman" w:hAnsi="Times New Roman" w:cs="Times New Roman"/>
                <w:color w:val="010205"/>
                <w:sz w:val="20"/>
                <w:szCs w:val="20"/>
              </w:rPr>
            </w:pPr>
            <w:r w:rsidRPr="00F00F86">
              <w:rPr>
                <w:rFonts w:ascii="Times New Roman" w:hAnsi="Times New Roman" w:cs="Times New Roman"/>
                <w:color w:val="010205"/>
                <w:sz w:val="20"/>
                <w:szCs w:val="20"/>
              </w:rPr>
              <w:t xml:space="preserve">2, (4.7%) </w:t>
            </w:r>
          </w:p>
        </w:tc>
        <w:tc>
          <w:tcPr>
            <w:tcW w:w="1434" w:type="dxa"/>
          </w:tcPr>
          <w:p w14:paraId="72EA48E0" w14:textId="77777777" w:rsidR="000B1425" w:rsidRPr="00F00F86" w:rsidRDefault="000B1425" w:rsidP="008C2170">
            <w:pPr>
              <w:spacing w:line="480" w:lineRule="auto"/>
              <w:ind w:right="60"/>
              <w:rPr>
                <w:rFonts w:ascii="Times New Roman" w:hAnsi="Times New Roman" w:cs="Times New Roman"/>
                <w:color w:val="010205"/>
                <w:sz w:val="20"/>
                <w:szCs w:val="20"/>
              </w:rPr>
            </w:pPr>
            <w:r w:rsidRPr="00F00F86">
              <w:rPr>
                <w:rFonts w:ascii="Times New Roman" w:hAnsi="Times New Roman" w:cs="Times New Roman"/>
                <w:color w:val="010205"/>
                <w:sz w:val="20"/>
                <w:szCs w:val="20"/>
              </w:rPr>
              <w:t xml:space="preserve">4, (5.1%) </w:t>
            </w:r>
          </w:p>
        </w:tc>
      </w:tr>
      <w:tr w:rsidR="000B1425" w:rsidRPr="00E430A6" w14:paraId="0AC377A4" w14:textId="77777777" w:rsidTr="00BF6D0B">
        <w:tc>
          <w:tcPr>
            <w:tcW w:w="2978" w:type="dxa"/>
          </w:tcPr>
          <w:p w14:paraId="4CEABD4E" w14:textId="77777777" w:rsidR="000B1425" w:rsidRPr="00F00F86" w:rsidRDefault="000B1425" w:rsidP="008C2170">
            <w:pPr>
              <w:spacing w:line="480" w:lineRule="auto"/>
              <w:ind w:left="60" w:right="60"/>
              <w:rPr>
                <w:rFonts w:ascii="Times New Roman" w:hAnsi="Times New Roman" w:cs="Times New Roman"/>
                <w:color w:val="264A60"/>
                <w:sz w:val="20"/>
                <w:szCs w:val="20"/>
              </w:rPr>
            </w:pPr>
            <w:r w:rsidRPr="00F00F86">
              <w:rPr>
                <w:rFonts w:ascii="Times New Roman" w:hAnsi="Times New Roman" w:cs="Times New Roman"/>
                <w:color w:val="264A60"/>
                <w:sz w:val="20"/>
                <w:szCs w:val="20"/>
              </w:rPr>
              <w:t>All ND</w:t>
            </w:r>
            <w:r>
              <w:rPr>
                <w:rFonts w:ascii="Times New Roman" w:hAnsi="Times New Roman" w:cs="Times New Roman"/>
                <w:color w:val="264A60"/>
                <w:sz w:val="20"/>
                <w:szCs w:val="20"/>
              </w:rPr>
              <w:t>:</w:t>
            </w:r>
            <w:r w:rsidRPr="00F00F86">
              <w:rPr>
                <w:rFonts w:ascii="Times New Roman" w:hAnsi="Times New Roman" w:cs="Times New Roman"/>
                <w:color w:val="264A60"/>
                <w:sz w:val="20"/>
                <w:szCs w:val="20"/>
              </w:rPr>
              <w:t>ID-ASD and ADHD</w:t>
            </w:r>
          </w:p>
        </w:tc>
        <w:tc>
          <w:tcPr>
            <w:tcW w:w="1401" w:type="dxa"/>
          </w:tcPr>
          <w:p w14:paraId="646D4561" w14:textId="77777777" w:rsidR="000B1425" w:rsidRPr="00F00F86" w:rsidRDefault="000B1425" w:rsidP="008C2170">
            <w:pPr>
              <w:spacing w:line="480" w:lineRule="auto"/>
              <w:ind w:left="60" w:right="60"/>
              <w:rPr>
                <w:rFonts w:ascii="Times New Roman" w:hAnsi="Times New Roman" w:cs="Times New Roman"/>
                <w:color w:val="010205"/>
                <w:sz w:val="20"/>
                <w:szCs w:val="20"/>
              </w:rPr>
            </w:pPr>
            <w:r w:rsidRPr="00F00F86">
              <w:rPr>
                <w:rFonts w:ascii="Times New Roman" w:hAnsi="Times New Roman" w:cs="Times New Roman"/>
                <w:color w:val="010205"/>
                <w:sz w:val="20"/>
                <w:szCs w:val="20"/>
              </w:rPr>
              <w:t xml:space="preserve">0, (0.0%) </w:t>
            </w:r>
          </w:p>
        </w:tc>
        <w:tc>
          <w:tcPr>
            <w:tcW w:w="1434" w:type="dxa"/>
          </w:tcPr>
          <w:p w14:paraId="4F0B9798" w14:textId="77777777" w:rsidR="000B1425" w:rsidRPr="00F00F86" w:rsidRDefault="000B1425" w:rsidP="008C2170">
            <w:pPr>
              <w:spacing w:line="480" w:lineRule="auto"/>
              <w:ind w:right="60"/>
              <w:rPr>
                <w:rFonts w:ascii="Times New Roman" w:hAnsi="Times New Roman" w:cs="Times New Roman"/>
                <w:color w:val="010205"/>
                <w:sz w:val="20"/>
                <w:szCs w:val="20"/>
              </w:rPr>
            </w:pPr>
            <w:r w:rsidRPr="00F00F86">
              <w:rPr>
                <w:rFonts w:ascii="Times New Roman" w:hAnsi="Times New Roman" w:cs="Times New Roman"/>
                <w:color w:val="010205"/>
                <w:sz w:val="20"/>
                <w:szCs w:val="20"/>
              </w:rPr>
              <w:t xml:space="preserve">2, (2.5%) </w:t>
            </w:r>
          </w:p>
        </w:tc>
      </w:tr>
    </w:tbl>
    <w:p w14:paraId="07D184C1" w14:textId="77777777" w:rsidR="000B1425" w:rsidRDefault="000B1425" w:rsidP="000B1425">
      <w:pPr>
        <w:spacing w:line="480" w:lineRule="auto"/>
        <w:rPr>
          <w:rFonts w:ascii="Times New Roman" w:hAnsi="Times New Roman"/>
          <w:sz w:val="16"/>
          <w:szCs w:val="16"/>
        </w:rPr>
      </w:pPr>
    </w:p>
    <w:p w14:paraId="77C40027" w14:textId="77777777" w:rsidR="000B1425" w:rsidRDefault="000B1425" w:rsidP="000B1425">
      <w:pPr>
        <w:spacing w:line="480" w:lineRule="auto"/>
        <w:rPr>
          <w:rFonts w:ascii="Times New Roman" w:hAnsi="Times New Roman"/>
          <w:i/>
          <w:iCs/>
          <w:szCs w:val="24"/>
        </w:rPr>
      </w:pPr>
    </w:p>
    <w:p w14:paraId="0D16F19D" w14:textId="69B1E673" w:rsidR="000B1425" w:rsidRPr="00B264F1" w:rsidRDefault="00BF6D0B" w:rsidP="000B1425">
      <w:pPr>
        <w:spacing w:line="480" w:lineRule="auto"/>
        <w:rPr>
          <w:rFonts w:ascii="Times New Roman" w:hAnsi="Times New Roman"/>
          <w:i/>
          <w:szCs w:val="24"/>
        </w:rPr>
      </w:pPr>
      <w:r>
        <w:rPr>
          <w:rFonts w:ascii="Times New Roman" w:hAnsi="Times New Roman"/>
          <w:i/>
          <w:iCs/>
          <w:szCs w:val="24"/>
        </w:rPr>
        <w:t xml:space="preserve">3.3. </w:t>
      </w:r>
      <w:r w:rsidR="000B1425" w:rsidRPr="00B264F1">
        <w:rPr>
          <w:rFonts w:ascii="Times New Roman" w:hAnsi="Times New Roman"/>
          <w:i/>
          <w:iCs/>
          <w:szCs w:val="24"/>
        </w:rPr>
        <w:t xml:space="preserve">Overall rates of Mental Disorder </w:t>
      </w:r>
    </w:p>
    <w:p w14:paraId="443FD047" w14:textId="1EC3EE2A" w:rsidR="000B1425" w:rsidRDefault="000B1425" w:rsidP="000B1425">
      <w:pPr>
        <w:spacing w:line="480" w:lineRule="auto"/>
        <w:rPr>
          <w:rFonts w:ascii="Times New Roman" w:hAnsi="Times New Roman"/>
          <w:szCs w:val="24"/>
        </w:rPr>
      </w:pPr>
      <w:r w:rsidRPr="00B264F1">
        <w:rPr>
          <w:rFonts w:ascii="Times New Roman" w:hAnsi="Times New Roman"/>
          <w:szCs w:val="24"/>
        </w:rPr>
        <w:t>Specific disorders such as depression were recorded at higher rates for ND defendants in both phases, however</w:t>
      </w:r>
      <w:r>
        <w:rPr>
          <w:rFonts w:ascii="Times New Roman" w:hAnsi="Times New Roman"/>
          <w:szCs w:val="24"/>
        </w:rPr>
        <w:t>,</w:t>
      </w:r>
      <w:r w:rsidRPr="00B264F1">
        <w:rPr>
          <w:rFonts w:ascii="Times New Roman" w:hAnsi="Times New Roman"/>
          <w:szCs w:val="24"/>
        </w:rPr>
        <w:t xml:space="preserve"> this did not reach significance. In contrast, schizophrenia and delusional disorders, alcohol and substance use were observed at much higher in the non-ND </w:t>
      </w:r>
      <w:r>
        <w:rPr>
          <w:rFonts w:ascii="Times New Roman" w:hAnsi="Times New Roman"/>
          <w:szCs w:val="24"/>
        </w:rPr>
        <w:t>d</w:t>
      </w:r>
      <w:r w:rsidRPr="00B264F1">
        <w:rPr>
          <w:rFonts w:ascii="Times New Roman" w:hAnsi="Times New Roman"/>
          <w:szCs w:val="24"/>
        </w:rPr>
        <w:t xml:space="preserve">efendants during both phases of the study. </w:t>
      </w:r>
      <w:r>
        <w:rPr>
          <w:rFonts w:ascii="Times New Roman" w:hAnsi="Times New Roman"/>
          <w:szCs w:val="24"/>
        </w:rPr>
        <w:t>In both phases,</w:t>
      </w:r>
      <w:r w:rsidRPr="00B264F1">
        <w:rPr>
          <w:rFonts w:ascii="Times New Roman" w:hAnsi="Times New Roman"/>
          <w:szCs w:val="24"/>
        </w:rPr>
        <w:t xml:space="preserve"> alcohol and substance</w:t>
      </w:r>
      <w:r>
        <w:rPr>
          <w:rFonts w:ascii="Times New Roman" w:hAnsi="Times New Roman"/>
          <w:szCs w:val="24"/>
        </w:rPr>
        <w:t xml:space="preserve"> disorders were recorded at much higher in the non-ND group. </w:t>
      </w:r>
    </w:p>
    <w:p w14:paraId="5D949327" w14:textId="27DE2D77" w:rsidR="00BF6D0B" w:rsidRDefault="00BF6D0B" w:rsidP="000B1425">
      <w:pPr>
        <w:spacing w:line="480" w:lineRule="auto"/>
        <w:rPr>
          <w:rFonts w:ascii="Times New Roman" w:hAnsi="Times New Roman"/>
          <w:szCs w:val="24"/>
        </w:rPr>
      </w:pPr>
    </w:p>
    <w:p w14:paraId="1182F018" w14:textId="67419598" w:rsidR="00BF6D0B" w:rsidRDefault="00BF6D0B" w:rsidP="000B1425">
      <w:pPr>
        <w:spacing w:line="480" w:lineRule="auto"/>
        <w:rPr>
          <w:rFonts w:ascii="Times New Roman" w:hAnsi="Times New Roman"/>
          <w:szCs w:val="24"/>
        </w:rPr>
      </w:pPr>
    </w:p>
    <w:p w14:paraId="5A14CFFE" w14:textId="6B7C3310" w:rsidR="00BF6D0B" w:rsidRDefault="00BF6D0B" w:rsidP="000B1425">
      <w:pPr>
        <w:spacing w:line="480" w:lineRule="auto"/>
        <w:rPr>
          <w:rFonts w:ascii="Times New Roman" w:hAnsi="Times New Roman"/>
          <w:szCs w:val="24"/>
        </w:rPr>
      </w:pPr>
    </w:p>
    <w:p w14:paraId="16BFED51" w14:textId="5C0003AE" w:rsidR="00BF6D0B" w:rsidRDefault="00BF6D0B" w:rsidP="000B1425">
      <w:pPr>
        <w:spacing w:line="480" w:lineRule="auto"/>
        <w:rPr>
          <w:rFonts w:ascii="Times New Roman" w:hAnsi="Times New Roman"/>
          <w:szCs w:val="24"/>
        </w:rPr>
      </w:pPr>
    </w:p>
    <w:p w14:paraId="079A2074" w14:textId="3EDBA761" w:rsidR="00BF6D0B" w:rsidRDefault="00BF6D0B" w:rsidP="000B1425">
      <w:pPr>
        <w:spacing w:line="480" w:lineRule="auto"/>
        <w:rPr>
          <w:rFonts w:ascii="Times New Roman" w:hAnsi="Times New Roman"/>
          <w:szCs w:val="24"/>
        </w:rPr>
      </w:pPr>
    </w:p>
    <w:p w14:paraId="0BB118A5" w14:textId="77777777" w:rsidR="00BF6D0B" w:rsidRPr="00B264F1" w:rsidRDefault="00BF6D0B" w:rsidP="000B1425">
      <w:pPr>
        <w:spacing w:line="480" w:lineRule="auto"/>
        <w:rPr>
          <w:rFonts w:ascii="Times New Roman" w:hAnsi="Times New Roman"/>
          <w:szCs w:val="24"/>
        </w:rPr>
      </w:pPr>
    </w:p>
    <w:p w14:paraId="5F260F21" w14:textId="77777777" w:rsidR="000B1425" w:rsidRPr="00B264F1" w:rsidRDefault="000B1425" w:rsidP="000B1425">
      <w:pPr>
        <w:spacing w:line="480" w:lineRule="auto"/>
        <w:rPr>
          <w:rFonts w:ascii="Times New Roman" w:hAnsi="Times New Roman"/>
          <w:szCs w:val="24"/>
          <w:lang w:eastAsia="en-GB"/>
        </w:rPr>
      </w:pPr>
    </w:p>
    <w:p w14:paraId="43992931" w14:textId="77777777" w:rsidR="000B1425" w:rsidRPr="00F33317" w:rsidRDefault="000B1425" w:rsidP="000B1425">
      <w:pPr>
        <w:spacing w:line="480" w:lineRule="auto"/>
        <w:rPr>
          <w:rFonts w:ascii="Times New Roman" w:hAnsi="Times New Roman"/>
          <w:b/>
          <w:szCs w:val="24"/>
        </w:rPr>
      </w:pPr>
      <w:r w:rsidRPr="00F33317">
        <w:rPr>
          <w:rFonts w:ascii="Times New Roman" w:hAnsi="Times New Roman"/>
          <w:b/>
          <w:szCs w:val="24"/>
        </w:rPr>
        <w:t>Table 2: Rates of identified mental disorder</w:t>
      </w:r>
      <w:r>
        <w:rPr>
          <w:rFonts w:ascii="Times New Roman" w:hAnsi="Times New Roman"/>
          <w:b/>
          <w:szCs w:val="24"/>
        </w:rPr>
        <w:t xml:space="preserve">: Defendants with </w:t>
      </w:r>
      <w:r w:rsidRPr="00F33317">
        <w:rPr>
          <w:rFonts w:ascii="Times New Roman" w:hAnsi="Times New Roman"/>
          <w:b/>
          <w:szCs w:val="24"/>
        </w:rPr>
        <w:t>ND</w:t>
      </w:r>
      <w:r>
        <w:rPr>
          <w:rFonts w:ascii="Times New Roman" w:hAnsi="Times New Roman"/>
          <w:b/>
          <w:szCs w:val="24"/>
        </w:rPr>
        <w:t xml:space="preserve"> v No-ND (2015-2019)</w:t>
      </w:r>
    </w:p>
    <w:p w14:paraId="65CE265F" w14:textId="77777777" w:rsidR="000B1425" w:rsidRDefault="000B1425" w:rsidP="000B1425">
      <w:pPr>
        <w:spacing w:line="480" w:lineRule="auto"/>
      </w:pPr>
      <w:r>
        <w:t>.</w:t>
      </w:r>
    </w:p>
    <w:tbl>
      <w:tblPr>
        <w:tblStyle w:val="TableGrid"/>
        <w:tblW w:w="0" w:type="auto"/>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809"/>
        <w:gridCol w:w="1079"/>
        <w:gridCol w:w="1033"/>
        <w:gridCol w:w="1748"/>
        <w:gridCol w:w="1079"/>
        <w:gridCol w:w="944"/>
        <w:gridCol w:w="1668"/>
      </w:tblGrid>
      <w:tr w:rsidR="000B1425" w:rsidRPr="00627EA5" w14:paraId="1F21723B" w14:textId="77777777" w:rsidTr="00BF6D0B">
        <w:tc>
          <w:tcPr>
            <w:tcW w:w="0" w:type="auto"/>
            <w:tcBorders>
              <w:bottom w:val="nil"/>
            </w:tcBorders>
          </w:tcPr>
          <w:p w14:paraId="30A30818" w14:textId="77777777" w:rsidR="000B1425" w:rsidRPr="00C34085" w:rsidRDefault="000B1425" w:rsidP="008C2170">
            <w:pPr>
              <w:spacing w:line="480" w:lineRule="auto"/>
              <w:ind w:left="60" w:right="60"/>
              <w:jc w:val="center"/>
              <w:rPr>
                <w:rFonts w:ascii="Times New Roman" w:hAnsi="Times New Roman" w:cs="Times New Roman"/>
                <w:color w:val="264A60"/>
                <w:sz w:val="16"/>
                <w:szCs w:val="16"/>
              </w:rPr>
            </w:pPr>
          </w:p>
        </w:tc>
        <w:tc>
          <w:tcPr>
            <w:tcW w:w="0" w:type="auto"/>
            <w:gridSpan w:val="3"/>
            <w:tcBorders>
              <w:bottom w:val="nil"/>
            </w:tcBorders>
          </w:tcPr>
          <w:p w14:paraId="797A44AD"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Pr>
                <w:rFonts w:ascii="Times New Roman" w:hAnsi="Times New Roman" w:cs="Times New Roman"/>
                <w:color w:val="010205"/>
                <w:sz w:val="16"/>
                <w:szCs w:val="16"/>
              </w:rPr>
              <w:t>During time of CMH</w:t>
            </w:r>
            <w:r w:rsidRPr="00C34085">
              <w:rPr>
                <w:rFonts w:ascii="Times New Roman" w:hAnsi="Times New Roman" w:cs="Times New Roman"/>
                <w:color w:val="010205"/>
                <w:sz w:val="16"/>
                <w:szCs w:val="16"/>
              </w:rPr>
              <w:t xml:space="preserve"> </w:t>
            </w:r>
            <w:r>
              <w:rPr>
                <w:rFonts w:ascii="Times New Roman" w:hAnsi="Times New Roman" w:cs="Times New Roman"/>
                <w:color w:val="010205"/>
                <w:sz w:val="16"/>
                <w:szCs w:val="16"/>
              </w:rPr>
              <w:t xml:space="preserve">Service </w:t>
            </w:r>
          </w:p>
        </w:tc>
        <w:tc>
          <w:tcPr>
            <w:tcW w:w="0" w:type="auto"/>
            <w:gridSpan w:val="3"/>
            <w:tcBorders>
              <w:bottom w:val="nil"/>
            </w:tcBorders>
          </w:tcPr>
          <w:p w14:paraId="62A99762"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Pr>
                <w:rFonts w:ascii="Times New Roman" w:hAnsi="Times New Roman" w:cs="Times New Roman"/>
                <w:color w:val="010205"/>
                <w:sz w:val="16"/>
                <w:szCs w:val="16"/>
              </w:rPr>
              <w:t>During time of CMH+ND</w:t>
            </w:r>
            <w:r w:rsidRPr="00C34085">
              <w:rPr>
                <w:rFonts w:ascii="Times New Roman" w:hAnsi="Times New Roman" w:cs="Times New Roman"/>
                <w:color w:val="010205"/>
                <w:sz w:val="16"/>
                <w:szCs w:val="16"/>
              </w:rPr>
              <w:t xml:space="preserve"> </w:t>
            </w:r>
            <w:r>
              <w:rPr>
                <w:rFonts w:ascii="Times New Roman" w:hAnsi="Times New Roman" w:cs="Times New Roman"/>
                <w:color w:val="010205"/>
                <w:sz w:val="16"/>
                <w:szCs w:val="16"/>
              </w:rPr>
              <w:t xml:space="preserve">Service </w:t>
            </w:r>
          </w:p>
        </w:tc>
      </w:tr>
      <w:tr w:rsidR="000B1425" w:rsidRPr="00627EA5" w14:paraId="3DCD5DE6" w14:textId="77777777" w:rsidTr="00BF6D0B">
        <w:tc>
          <w:tcPr>
            <w:tcW w:w="0" w:type="auto"/>
            <w:tcBorders>
              <w:top w:val="nil"/>
              <w:bottom w:val="single" w:sz="4" w:space="0" w:color="auto"/>
            </w:tcBorders>
          </w:tcPr>
          <w:p w14:paraId="6127FCED" w14:textId="77777777" w:rsidR="000B1425" w:rsidRPr="00C34085" w:rsidRDefault="000B1425" w:rsidP="008C2170">
            <w:pPr>
              <w:spacing w:line="480" w:lineRule="auto"/>
              <w:ind w:left="60" w:right="60"/>
              <w:jc w:val="center"/>
              <w:rPr>
                <w:rFonts w:ascii="Times New Roman" w:hAnsi="Times New Roman" w:cs="Times New Roman"/>
                <w:color w:val="264A60"/>
                <w:sz w:val="16"/>
                <w:szCs w:val="16"/>
              </w:rPr>
            </w:pPr>
          </w:p>
        </w:tc>
        <w:tc>
          <w:tcPr>
            <w:tcW w:w="0" w:type="auto"/>
            <w:tcBorders>
              <w:top w:val="nil"/>
              <w:bottom w:val="single" w:sz="4" w:space="0" w:color="auto"/>
            </w:tcBorders>
          </w:tcPr>
          <w:p w14:paraId="561EF27A"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627EA5">
              <w:rPr>
                <w:rFonts w:ascii="Times New Roman" w:hAnsi="Times New Roman" w:cs="Times New Roman"/>
                <w:color w:val="010205"/>
                <w:sz w:val="16"/>
                <w:szCs w:val="16"/>
              </w:rPr>
              <w:t>No ND</w:t>
            </w:r>
            <w:r w:rsidRPr="00C34085">
              <w:rPr>
                <w:rFonts w:ascii="Times New Roman" w:hAnsi="Times New Roman" w:cs="Times New Roman"/>
                <w:color w:val="010205"/>
                <w:sz w:val="16"/>
                <w:szCs w:val="16"/>
              </w:rPr>
              <w:t xml:space="preserve"> (n=409)</w:t>
            </w:r>
          </w:p>
          <w:p w14:paraId="7C491F1D"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#398 - ## 335</w:t>
            </w:r>
          </w:p>
        </w:tc>
        <w:tc>
          <w:tcPr>
            <w:tcW w:w="0" w:type="auto"/>
            <w:tcBorders>
              <w:top w:val="nil"/>
              <w:bottom w:val="single" w:sz="4" w:space="0" w:color="auto"/>
            </w:tcBorders>
          </w:tcPr>
          <w:p w14:paraId="1C3B91D9"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ND (n=43)</w:t>
            </w:r>
          </w:p>
          <w:p w14:paraId="3457047B"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 xml:space="preserve"># 41 </w:t>
            </w:r>
            <w:r w:rsidRPr="00627EA5">
              <w:rPr>
                <w:rFonts w:ascii="Times New Roman" w:hAnsi="Times New Roman" w:cs="Times New Roman"/>
                <w:color w:val="010205"/>
                <w:sz w:val="16"/>
                <w:szCs w:val="16"/>
              </w:rPr>
              <w:t>- #</w:t>
            </w:r>
            <w:r w:rsidRPr="00C34085">
              <w:rPr>
                <w:rFonts w:ascii="Times New Roman" w:hAnsi="Times New Roman" w:cs="Times New Roman"/>
                <w:color w:val="010205"/>
                <w:sz w:val="16"/>
                <w:szCs w:val="16"/>
              </w:rPr>
              <w:t>#40</w:t>
            </w:r>
          </w:p>
        </w:tc>
        <w:tc>
          <w:tcPr>
            <w:tcW w:w="0" w:type="auto"/>
            <w:tcBorders>
              <w:top w:val="nil"/>
              <w:bottom w:val="single" w:sz="4" w:space="0" w:color="auto"/>
            </w:tcBorders>
          </w:tcPr>
          <w:p w14:paraId="0953A393"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X2</w:t>
            </w:r>
          </w:p>
        </w:tc>
        <w:tc>
          <w:tcPr>
            <w:tcW w:w="0" w:type="auto"/>
            <w:tcBorders>
              <w:top w:val="nil"/>
              <w:bottom w:val="single" w:sz="4" w:space="0" w:color="auto"/>
            </w:tcBorders>
          </w:tcPr>
          <w:p w14:paraId="68B6FD6A"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627EA5">
              <w:rPr>
                <w:rFonts w:ascii="Times New Roman" w:hAnsi="Times New Roman" w:cs="Times New Roman"/>
                <w:color w:val="010205"/>
                <w:sz w:val="16"/>
                <w:szCs w:val="16"/>
              </w:rPr>
              <w:t>No ND</w:t>
            </w:r>
            <w:r w:rsidRPr="00C34085">
              <w:rPr>
                <w:rFonts w:ascii="Times New Roman" w:hAnsi="Times New Roman" w:cs="Times New Roman"/>
                <w:color w:val="010205"/>
                <w:sz w:val="16"/>
                <w:szCs w:val="16"/>
              </w:rPr>
              <w:t xml:space="preserve"> (n=750)</w:t>
            </w:r>
          </w:p>
          <w:p w14:paraId="4F24C27E"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#749. ##742</w:t>
            </w:r>
          </w:p>
        </w:tc>
        <w:tc>
          <w:tcPr>
            <w:tcW w:w="0" w:type="auto"/>
            <w:tcBorders>
              <w:top w:val="nil"/>
              <w:bottom w:val="single" w:sz="4" w:space="0" w:color="auto"/>
            </w:tcBorders>
          </w:tcPr>
          <w:p w14:paraId="504646B2"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ND (n=79)</w:t>
            </w:r>
          </w:p>
          <w:p w14:paraId="3312FC39"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#78</w:t>
            </w:r>
          </w:p>
        </w:tc>
        <w:tc>
          <w:tcPr>
            <w:tcW w:w="0" w:type="auto"/>
            <w:tcBorders>
              <w:top w:val="nil"/>
              <w:bottom w:val="single" w:sz="4" w:space="0" w:color="auto"/>
            </w:tcBorders>
          </w:tcPr>
          <w:p w14:paraId="7A62DD36"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p>
        </w:tc>
      </w:tr>
      <w:tr w:rsidR="000B1425" w:rsidRPr="00627EA5" w14:paraId="76C0E1FD" w14:textId="77777777" w:rsidTr="00BF6D0B">
        <w:tc>
          <w:tcPr>
            <w:tcW w:w="0" w:type="auto"/>
            <w:tcBorders>
              <w:top w:val="single" w:sz="4" w:space="0" w:color="auto"/>
            </w:tcBorders>
          </w:tcPr>
          <w:p w14:paraId="0A980F02" w14:textId="77777777" w:rsidR="000B1425" w:rsidRPr="00C34085" w:rsidRDefault="000B1425" w:rsidP="008C2170">
            <w:pPr>
              <w:spacing w:line="480" w:lineRule="auto"/>
              <w:ind w:left="60" w:right="60"/>
              <w:rPr>
                <w:rFonts w:ascii="Times New Roman" w:hAnsi="Times New Roman" w:cs="Times New Roman"/>
                <w:color w:val="264A60"/>
                <w:sz w:val="16"/>
                <w:szCs w:val="16"/>
              </w:rPr>
            </w:pPr>
            <w:r w:rsidRPr="00C34085">
              <w:rPr>
                <w:rFonts w:ascii="Times New Roman" w:hAnsi="Times New Roman" w:cs="Times New Roman"/>
                <w:color w:val="264A60"/>
                <w:sz w:val="16"/>
                <w:szCs w:val="16"/>
              </w:rPr>
              <w:t>Schizophrenia delusional disorder</w:t>
            </w:r>
          </w:p>
        </w:tc>
        <w:tc>
          <w:tcPr>
            <w:tcW w:w="0" w:type="auto"/>
            <w:tcBorders>
              <w:top w:val="single" w:sz="4" w:space="0" w:color="auto"/>
            </w:tcBorders>
          </w:tcPr>
          <w:p w14:paraId="06847A06"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 xml:space="preserve">151, (36.9%) </w:t>
            </w:r>
          </w:p>
        </w:tc>
        <w:tc>
          <w:tcPr>
            <w:tcW w:w="0" w:type="auto"/>
            <w:tcBorders>
              <w:top w:val="single" w:sz="4" w:space="0" w:color="auto"/>
            </w:tcBorders>
          </w:tcPr>
          <w:p w14:paraId="2349F7CC"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5, (11.6%)</w:t>
            </w:r>
          </w:p>
        </w:tc>
        <w:tc>
          <w:tcPr>
            <w:tcW w:w="0" w:type="auto"/>
            <w:tcBorders>
              <w:top w:val="single" w:sz="4" w:space="0" w:color="auto"/>
            </w:tcBorders>
          </w:tcPr>
          <w:p w14:paraId="67B408C0"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i/>
                <w:iCs/>
                <w:sz w:val="16"/>
                <w:szCs w:val="16"/>
              </w:rPr>
              <w:t>X</w:t>
            </w:r>
            <w:r w:rsidRPr="00C34085">
              <w:rPr>
                <w:rFonts w:ascii="Times New Roman" w:hAnsi="Times New Roman" w:cs="Times New Roman"/>
                <w:sz w:val="16"/>
                <w:szCs w:val="16"/>
                <w:vertAlign w:val="superscript"/>
              </w:rPr>
              <w:t>2</w:t>
            </w:r>
            <w:r w:rsidRPr="00C34085">
              <w:rPr>
                <w:rFonts w:ascii="Times New Roman" w:hAnsi="Times New Roman" w:cs="Times New Roman"/>
                <w:sz w:val="16"/>
                <w:szCs w:val="16"/>
              </w:rPr>
              <w:t> (1, </w:t>
            </w:r>
            <w:r w:rsidRPr="00C34085">
              <w:rPr>
                <w:rFonts w:ascii="Times New Roman" w:hAnsi="Times New Roman" w:cs="Times New Roman"/>
                <w:i/>
                <w:iCs/>
                <w:sz w:val="16"/>
                <w:szCs w:val="16"/>
              </w:rPr>
              <w:t>N</w:t>
            </w:r>
            <w:r w:rsidRPr="00C34085">
              <w:rPr>
                <w:rFonts w:ascii="Times New Roman" w:hAnsi="Times New Roman" w:cs="Times New Roman"/>
                <w:sz w:val="16"/>
                <w:szCs w:val="16"/>
              </w:rPr>
              <w:t xml:space="preserve"> = 452) = </w:t>
            </w:r>
            <w:r w:rsidRPr="00C34085">
              <w:rPr>
                <w:rFonts w:ascii="Times New Roman" w:hAnsi="Times New Roman" w:cs="Times New Roman"/>
                <w:color w:val="010205"/>
                <w:sz w:val="16"/>
                <w:szCs w:val="16"/>
              </w:rPr>
              <w:t>11.012</w:t>
            </w:r>
            <w:r w:rsidRPr="00C34085">
              <w:rPr>
                <w:rFonts w:ascii="Times New Roman" w:hAnsi="Times New Roman" w:cs="Times New Roman"/>
                <w:sz w:val="16"/>
                <w:szCs w:val="16"/>
              </w:rPr>
              <w:t>, </w:t>
            </w:r>
            <w:r w:rsidRPr="00C34085">
              <w:rPr>
                <w:rFonts w:ascii="Times New Roman" w:hAnsi="Times New Roman" w:cs="Times New Roman"/>
                <w:i/>
                <w:iCs/>
                <w:sz w:val="16"/>
                <w:szCs w:val="16"/>
              </w:rPr>
              <w:t>p</w:t>
            </w:r>
            <w:r w:rsidRPr="00C34085">
              <w:rPr>
                <w:rFonts w:ascii="Times New Roman" w:hAnsi="Times New Roman" w:cs="Times New Roman"/>
                <w:sz w:val="16"/>
                <w:szCs w:val="16"/>
              </w:rPr>
              <w:t> &lt; .001*</w:t>
            </w:r>
          </w:p>
        </w:tc>
        <w:tc>
          <w:tcPr>
            <w:tcW w:w="0" w:type="auto"/>
            <w:tcBorders>
              <w:top w:val="single" w:sz="4" w:space="0" w:color="auto"/>
            </w:tcBorders>
          </w:tcPr>
          <w:p w14:paraId="00C09E12"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 xml:space="preserve">302 (40.3%) </w:t>
            </w:r>
          </w:p>
        </w:tc>
        <w:tc>
          <w:tcPr>
            <w:tcW w:w="0" w:type="auto"/>
            <w:tcBorders>
              <w:top w:val="single" w:sz="4" w:space="0" w:color="auto"/>
            </w:tcBorders>
          </w:tcPr>
          <w:p w14:paraId="787CD6BA"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 xml:space="preserve">22 (27.8%) </w:t>
            </w:r>
          </w:p>
        </w:tc>
        <w:tc>
          <w:tcPr>
            <w:tcW w:w="0" w:type="auto"/>
            <w:tcBorders>
              <w:top w:val="single" w:sz="4" w:space="0" w:color="auto"/>
            </w:tcBorders>
          </w:tcPr>
          <w:p w14:paraId="684694A1"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i/>
                <w:iCs/>
                <w:sz w:val="16"/>
                <w:szCs w:val="16"/>
              </w:rPr>
              <w:t>X</w:t>
            </w:r>
            <w:r w:rsidRPr="00C34085">
              <w:rPr>
                <w:rFonts w:ascii="Times New Roman" w:hAnsi="Times New Roman" w:cs="Times New Roman"/>
                <w:sz w:val="16"/>
                <w:szCs w:val="16"/>
                <w:vertAlign w:val="superscript"/>
              </w:rPr>
              <w:t>2</w:t>
            </w:r>
            <w:r w:rsidRPr="00C34085">
              <w:rPr>
                <w:rFonts w:ascii="Times New Roman" w:hAnsi="Times New Roman" w:cs="Times New Roman"/>
                <w:sz w:val="16"/>
                <w:szCs w:val="16"/>
              </w:rPr>
              <w:t> (1, </w:t>
            </w:r>
            <w:r w:rsidRPr="00C34085">
              <w:rPr>
                <w:rFonts w:ascii="Times New Roman" w:hAnsi="Times New Roman" w:cs="Times New Roman"/>
                <w:i/>
                <w:iCs/>
                <w:sz w:val="16"/>
                <w:szCs w:val="16"/>
              </w:rPr>
              <w:t>N</w:t>
            </w:r>
            <w:r w:rsidRPr="00C34085">
              <w:rPr>
                <w:rFonts w:ascii="Times New Roman" w:hAnsi="Times New Roman" w:cs="Times New Roman"/>
                <w:sz w:val="16"/>
                <w:szCs w:val="16"/>
              </w:rPr>
              <w:t xml:space="preserve"> = 829) = </w:t>
            </w:r>
            <w:r w:rsidRPr="00C34085">
              <w:rPr>
                <w:rFonts w:ascii="Times New Roman" w:hAnsi="Times New Roman" w:cs="Times New Roman"/>
                <w:color w:val="010205"/>
                <w:sz w:val="16"/>
                <w:szCs w:val="16"/>
              </w:rPr>
              <w:t>4.630</w:t>
            </w:r>
            <w:r w:rsidRPr="00C34085">
              <w:rPr>
                <w:rFonts w:ascii="Times New Roman" w:hAnsi="Times New Roman" w:cs="Times New Roman"/>
                <w:sz w:val="16"/>
                <w:szCs w:val="16"/>
              </w:rPr>
              <w:t>, </w:t>
            </w:r>
            <w:r w:rsidRPr="00C34085">
              <w:rPr>
                <w:rFonts w:ascii="Times New Roman" w:hAnsi="Times New Roman" w:cs="Times New Roman"/>
                <w:i/>
                <w:iCs/>
                <w:sz w:val="16"/>
                <w:szCs w:val="16"/>
              </w:rPr>
              <w:t>p</w:t>
            </w:r>
            <w:r w:rsidRPr="00C34085">
              <w:rPr>
                <w:rFonts w:ascii="Times New Roman" w:hAnsi="Times New Roman" w:cs="Times New Roman"/>
                <w:sz w:val="16"/>
                <w:szCs w:val="16"/>
              </w:rPr>
              <w:t> &lt; .031*</w:t>
            </w:r>
          </w:p>
        </w:tc>
      </w:tr>
      <w:tr w:rsidR="000B1425" w:rsidRPr="00627EA5" w14:paraId="57F21F54" w14:textId="77777777" w:rsidTr="00BF6D0B">
        <w:tc>
          <w:tcPr>
            <w:tcW w:w="0" w:type="auto"/>
          </w:tcPr>
          <w:p w14:paraId="60AAB0A0" w14:textId="77777777" w:rsidR="000B1425" w:rsidRPr="00C34085" w:rsidRDefault="000B1425" w:rsidP="008C2170">
            <w:pPr>
              <w:spacing w:line="480" w:lineRule="auto"/>
              <w:ind w:left="60" w:right="60"/>
              <w:rPr>
                <w:rFonts w:ascii="Times New Roman" w:hAnsi="Times New Roman" w:cs="Times New Roman"/>
                <w:color w:val="264A60"/>
                <w:sz w:val="16"/>
                <w:szCs w:val="16"/>
              </w:rPr>
            </w:pPr>
            <w:r w:rsidRPr="00C34085">
              <w:rPr>
                <w:rFonts w:ascii="Times New Roman" w:hAnsi="Times New Roman" w:cs="Times New Roman"/>
                <w:color w:val="264A60"/>
                <w:sz w:val="16"/>
                <w:szCs w:val="16"/>
              </w:rPr>
              <w:t>Depression</w:t>
            </w:r>
          </w:p>
        </w:tc>
        <w:tc>
          <w:tcPr>
            <w:tcW w:w="0" w:type="auto"/>
          </w:tcPr>
          <w:p w14:paraId="0F46E4F0"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 xml:space="preserve">69, (16.9%) </w:t>
            </w:r>
          </w:p>
        </w:tc>
        <w:tc>
          <w:tcPr>
            <w:tcW w:w="0" w:type="auto"/>
          </w:tcPr>
          <w:p w14:paraId="2DC97380"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 xml:space="preserve">11, (25.6%) </w:t>
            </w:r>
          </w:p>
        </w:tc>
        <w:tc>
          <w:tcPr>
            <w:tcW w:w="0" w:type="auto"/>
          </w:tcPr>
          <w:p w14:paraId="2460C4B4"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i/>
                <w:iCs/>
                <w:sz w:val="16"/>
                <w:szCs w:val="16"/>
              </w:rPr>
              <w:t>X</w:t>
            </w:r>
            <w:r w:rsidRPr="00C34085">
              <w:rPr>
                <w:rFonts w:ascii="Times New Roman" w:hAnsi="Times New Roman" w:cs="Times New Roman"/>
                <w:sz w:val="16"/>
                <w:szCs w:val="16"/>
                <w:vertAlign w:val="superscript"/>
              </w:rPr>
              <w:t>2</w:t>
            </w:r>
            <w:r w:rsidRPr="00C34085">
              <w:rPr>
                <w:rFonts w:ascii="Times New Roman" w:hAnsi="Times New Roman" w:cs="Times New Roman"/>
                <w:sz w:val="16"/>
                <w:szCs w:val="16"/>
              </w:rPr>
              <w:t> (1, </w:t>
            </w:r>
            <w:r w:rsidRPr="00C34085">
              <w:rPr>
                <w:rFonts w:ascii="Times New Roman" w:hAnsi="Times New Roman" w:cs="Times New Roman"/>
                <w:i/>
                <w:iCs/>
                <w:sz w:val="16"/>
                <w:szCs w:val="16"/>
              </w:rPr>
              <w:t>N</w:t>
            </w:r>
            <w:r w:rsidRPr="00C34085">
              <w:rPr>
                <w:rFonts w:ascii="Times New Roman" w:hAnsi="Times New Roman" w:cs="Times New Roman"/>
                <w:sz w:val="16"/>
                <w:szCs w:val="16"/>
              </w:rPr>
              <w:t xml:space="preserve"> = 452) = </w:t>
            </w:r>
            <w:r w:rsidRPr="00C34085">
              <w:rPr>
                <w:rFonts w:ascii="Times New Roman" w:hAnsi="Times New Roman" w:cs="Times New Roman"/>
                <w:color w:val="010205"/>
                <w:sz w:val="16"/>
                <w:szCs w:val="16"/>
              </w:rPr>
              <w:t>2.027</w:t>
            </w:r>
            <w:r w:rsidRPr="00C34085">
              <w:rPr>
                <w:rFonts w:ascii="Times New Roman" w:hAnsi="Times New Roman" w:cs="Times New Roman"/>
                <w:sz w:val="16"/>
                <w:szCs w:val="16"/>
              </w:rPr>
              <w:t> </w:t>
            </w:r>
            <w:r w:rsidRPr="00C34085">
              <w:rPr>
                <w:rFonts w:ascii="Times New Roman" w:hAnsi="Times New Roman" w:cs="Times New Roman"/>
                <w:i/>
                <w:iCs/>
                <w:sz w:val="16"/>
                <w:szCs w:val="16"/>
              </w:rPr>
              <w:t>p</w:t>
            </w:r>
            <w:r w:rsidRPr="00C34085">
              <w:rPr>
                <w:rFonts w:ascii="Times New Roman" w:hAnsi="Times New Roman" w:cs="Times New Roman"/>
                <w:sz w:val="16"/>
                <w:szCs w:val="16"/>
              </w:rPr>
              <w:t> &lt; .155</w:t>
            </w:r>
          </w:p>
        </w:tc>
        <w:tc>
          <w:tcPr>
            <w:tcW w:w="0" w:type="auto"/>
          </w:tcPr>
          <w:p w14:paraId="2F66E0A5"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236 (31.5%)</w:t>
            </w:r>
          </w:p>
        </w:tc>
        <w:tc>
          <w:tcPr>
            <w:tcW w:w="0" w:type="auto"/>
          </w:tcPr>
          <w:p w14:paraId="18C4D6B6"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33 (41.8%)</w:t>
            </w:r>
          </w:p>
        </w:tc>
        <w:tc>
          <w:tcPr>
            <w:tcW w:w="0" w:type="auto"/>
          </w:tcPr>
          <w:p w14:paraId="526DC381"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i/>
                <w:iCs/>
                <w:sz w:val="16"/>
                <w:szCs w:val="16"/>
              </w:rPr>
              <w:t>X</w:t>
            </w:r>
            <w:r w:rsidRPr="00C34085">
              <w:rPr>
                <w:rFonts w:ascii="Times New Roman" w:hAnsi="Times New Roman" w:cs="Times New Roman"/>
                <w:sz w:val="16"/>
                <w:szCs w:val="16"/>
                <w:vertAlign w:val="superscript"/>
              </w:rPr>
              <w:t>2</w:t>
            </w:r>
            <w:r w:rsidRPr="00C34085">
              <w:rPr>
                <w:rFonts w:ascii="Times New Roman" w:hAnsi="Times New Roman" w:cs="Times New Roman"/>
                <w:sz w:val="16"/>
                <w:szCs w:val="16"/>
              </w:rPr>
              <w:t> (1, </w:t>
            </w:r>
            <w:r w:rsidRPr="00C34085">
              <w:rPr>
                <w:rFonts w:ascii="Times New Roman" w:hAnsi="Times New Roman" w:cs="Times New Roman"/>
                <w:i/>
                <w:iCs/>
                <w:sz w:val="16"/>
                <w:szCs w:val="16"/>
              </w:rPr>
              <w:t>N</w:t>
            </w:r>
            <w:r w:rsidRPr="00C34085">
              <w:rPr>
                <w:rFonts w:ascii="Times New Roman" w:hAnsi="Times New Roman" w:cs="Times New Roman"/>
                <w:sz w:val="16"/>
                <w:szCs w:val="16"/>
              </w:rPr>
              <w:t xml:space="preserve"> = 829) = </w:t>
            </w:r>
            <w:r w:rsidRPr="00C34085">
              <w:rPr>
                <w:rFonts w:ascii="Times New Roman" w:hAnsi="Times New Roman" w:cs="Times New Roman"/>
                <w:color w:val="010205"/>
                <w:sz w:val="16"/>
                <w:szCs w:val="16"/>
              </w:rPr>
              <w:t>3.463</w:t>
            </w:r>
            <w:r w:rsidRPr="00C34085">
              <w:rPr>
                <w:rFonts w:ascii="Times New Roman" w:hAnsi="Times New Roman" w:cs="Times New Roman"/>
                <w:sz w:val="16"/>
                <w:szCs w:val="16"/>
              </w:rPr>
              <w:t>, </w:t>
            </w:r>
            <w:r w:rsidRPr="00C34085">
              <w:rPr>
                <w:rFonts w:ascii="Times New Roman" w:hAnsi="Times New Roman" w:cs="Times New Roman"/>
                <w:i/>
                <w:iCs/>
                <w:sz w:val="16"/>
                <w:szCs w:val="16"/>
              </w:rPr>
              <w:t>p</w:t>
            </w:r>
            <w:r w:rsidRPr="00C34085">
              <w:rPr>
                <w:rFonts w:ascii="Times New Roman" w:hAnsi="Times New Roman" w:cs="Times New Roman"/>
                <w:sz w:val="16"/>
                <w:szCs w:val="16"/>
              </w:rPr>
              <w:t> &lt; .063</w:t>
            </w:r>
          </w:p>
        </w:tc>
      </w:tr>
      <w:tr w:rsidR="000B1425" w:rsidRPr="00627EA5" w14:paraId="0E257C65" w14:textId="77777777" w:rsidTr="00BF6D0B">
        <w:tc>
          <w:tcPr>
            <w:tcW w:w="0" w:type="auto"/>
          </w:tcPr>
          <w:p w14:paraId="7EA8AFD4" w14:textId="77777777" w:rsidR="000B1425" w:rsidRPr="00C34085" w:rsidRDefault="000B1425" w:rsidP="008C2170">
            <w:pPr>
              <w:spacing w:line="480" w:lineRule="auto"/>
              <w:ind w:left="60" w:right="60"/>
              <w:rPr>
                <w:rFonts w:ascii="Times New Roman" w:hAnsi="Times New Roman" w:cs="Times New Roman"/>
                <w:color w:val="264A60"/>
                <w:sz w:val="16"/>
                <w:szCs w:val="16"/>
              </w:rPr>
            </w:pPr>
            <w:r w:rsidRPr="00C34085">
              <w:rPr>
                <w:rFonts w:ascii="Times New Roman" w:hAnsi="Times New Roman" w:cs="Times New Roman"/>
                <w:color w:val="264A60"/>
                <w:sz w:val="16"/>
                <w:szCs w:val="16"/>
              </w:rPr>
              <w:t>Bipolar Affective Disorder</w:t>
            </w:r>
          </w:p>
        </w:tc>
        <w:tc>
          <w:tcPr>
            <w:tcW w:w="0" w:type="auto"/>
          </w:tcPr>
          <w:p w14:paraId="286E61CF"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35, (8.6%)</w:t>
            </w:r>
          </w:p>
        </w:tc>
        <w:tc>
          <w:tcPr>
            <w:tcW w:w="0" w:type="auto"/>
          </w:tcPr>
          <w:p w14:paraId="2DAB1D8A"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1, (2.3%)</w:t>
            </w:r>
          </w:p>
        </w:tc>
        <w:tc>
          <w:tcPr>
            <w:tcW w:w="0" w:type="auto"/>
          </w:tcPr>
          <w:p w14:paraId="1898FAB9"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i/>
                <w:iCs/>
                <w:sz w:val="16"/>
                <w:szCs w:val="16"/>
              </w:rPr>
              <w:t>X</w:t>
            </w:r>
            <w:r w:rsidRPr="00C34085">
              <w:rPr>
                <w:rFonts w:ascii="Times New Roman" w:hAnsi="Times New Roman" w:cs="Times New Roman"/>
                <w:sz w:val="16"/>
                <w:szCs w:val="16"/>
                <w:vertAlign w:val="superscript"/>
              </w:rPr>
              <w:t>2</w:t>
            </w:r>
            <w:r w:rsidRPr="00C34085">
              <w:rPr>
                <w:rFonts w:ascii="Times New Roman" w:hAnsi="Times New Roman" w:cs="Times New Roman"/>
                <w:sz w:val="16"/>
                <w:szCs w:val="16"/>
              </w:rPr>
              <w:t> (1, </w:t>
            </w:r>
            <w:r w:rsidRPr="00C34085">
              <w:rPr>
                <w:rFonts w:ascii="Times New Roman" w:hAnsi="Times New Roman" w:cs="Times New Roman"/>
                <w:i/>
                <w:iCs/>
                <w:sz w:val="16"/>
                <w:szCs w:val="16"/>
              </w:rPr>
              <w:t>N</w:t>
            </w:r>
            <w:r w:rsidRPr="00C34085">
              <w:rPr>
                <w:rFonts w:ascii="Times New Roman" w:hAnsi="Times New Roman" w:cs="Times New Roman"/>
                <w:sz w:val="16"/>
                <w:szCs w:val="16"/>
              </w:rPr>
              <w:t xml:space="preserve"> = 452) = </w:t>
            </w:r>
            <w:r w:rsidRPr="00C34085">
              <w:rPr>
                <w:rFonts w:ascii="Times New Roman" w:hAnsi="Times New Roman" w:cs="Times New Roman"/>
                <w:color w:val="010205"/>
                <w:sz w:val="16"/>
                <w:szCs w:val="16"/>
              </w:rPr>
              <w:t>2.61</w:t>
            </w:r>
            <w:r w:rsidRPr="00C34085">
              <w:rPr>
                <w:rFonts w:ascii="Times New Roman" w:hAnsi="Times New Roman" w:cs="Times New Roman"/>
                <w:sz w:val="16"/>
                <w:szCs w:val="16"/>
              </w:rPr>
              <w:t> </w:t>
            </w:r>
            <w:r w:rsidRPr="00C34085">
              <w:rPr>
                <w:rFonts w:ascii="Times New Roman" w:hAnsi="Times New Roman" w:cs="Times New Roman"/>
                <w:i/>
                <w:iCs/>
                <w:sz w:val="16"/>
                <w:szCs w:val="16"/>
              </w:rPr>
              <w:t>p</w:t>
            </w:r>
            <w:r w:rsidRPr="00C34085">
              <w:rPr>
                <w:rFonts w:ascii="Times New Roman" w:hAnsi="Times New Roman" w:cs="Times New Roman"/>
                <w:sz w:val="16"/>
                <w:szCs w:val="16"/>
              </w:rPr>
              <w:t> &lt; .151</w:t>
            </w:r>
          </w:p>
        </w:tc>
        <w:tc>
          <w:tcPr>
            <w:tcW w:w="0" w:type="auto"/>
          </w:tcPr>
          <w:p w14:paraId="3FD7388A"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67 (8.9%)</w:t>
            </w:r>
          </w:p>
        </w:tc>
        <w:tc>
          <w:tcPr>
            <w:tcW w:w="0" w:type="auto"/>
          </w:tcPr>
          <w:p w14:paraId="3EA0DBDA"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3 (3.8%)</w:t>
            </w:r>
          </w:p>
        </w:tc>
        <w:tc>
          <w:tcPr>
            <w:tcW w:w="0" w:type="auto"/>
          </w:tcPr>
          <w:p w14:paraId="3C1F0C3E"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i/>
                <w:iCs/>
                <w:sz w:val="16"/>
                <w:szCs w:val="16"/>
              </w:rPr>
              <w:t>X</w:t>
            </w:r>
            <w:r w:rsidRPr="00C34085">
              <w:rPr>
                <w:rFonts w:ascii="Times New Roman" w:hAnsi="Times New Roman" w:cs="Times New Roman"/>
                <w:sz w:val="16"/>
                <w:szCs w:val="16"/>
                <w:vertAlign w:val="superscript"/>
              </w:rPr>
              <w:t>2</w:t>
            </w:r>
            <w:r w:rsidRPr="00C34085">
              <w:rPr>
                <w:rFonts w:ascii="Times New Roman" w:hAnsi="Times New Roman" w:cs="Times New Roman"/>
                <w:sz w:val="16"/>
                <w:szCs w:val="16"/>
              </w:rPr>
              <w:t> (1, </w:t>
            </w:r>
            <w:r w:rsidRPr="00C34085">
              <w:rPr>
                <w:rFonts w:ascii="Times New Roman" w:hAnsi="Times New Roman" w:cs="Times New Roman"/>
                <w:i/>
                <w:iCs/>
                <w:sz w:val="16"/>
                <w:szCs w:val="16"/>
              </w:rPr>
              <w:t>N</w:t>
            </w:r>
            <w:r w:rsidRPr="00C34085">
              <w:rPr>
                <w:rFonts w:ascii="Times New Roman" w:hAnsi="Times New Roman" w:cs="Times New Roman"/>
                <w:sz w:val="16"/>
                <w:szCs w:val="16"/>
              </w:rPr>
              <w:t xml:space="preserve"> = 829) = </w:t>
            </w:r>
            <w:r w:rsidRPr="00C34085">
              <w:rPr>
                <w:rFonts w:ascii="Times New Roman" w:hAnsi="Times New Roman" w:cs="Times New Roman"/>
                <w:color w:val="010205"/>
                <w:sz w:val="16"/>
                <w:szCs w:val="16"/>
              </w:rPr>
              <w:t>2.439</w:t>
            </w:r>
            <w:r w:rsidRPr="00C34085">
              <w:rPr>
                <w:rFonts w:ascii="Times New Roman" w:hAnsi="Times New Roman" w:cs="Times New Roman"/>
                <w:sz w:val="16"/>
                <w:szCs w:val="16"/>
              </w:rPr>
              <w:t>, </w:t>
            </w:r>
            <w:r w:rsidRPr="00C34085">
              <w:rPr>
                <w:rFonts w:ascii="Times New Roman" w:hAnsi="Times New Roman" w:cs="Times New Roman"/>
                <w:i/>
                <w:iCs/>
                <w:sz w:val="16"/>
                <w:szCs w:val="16"/>
              </w:rPr>
              <w:t>p</w:t>
            </w:r>
            <w:r w:rsidRPr="00C34085">
              <w:rPr>
                <w:rFonts w:ascii="Times New Roman" w:hAnsi="Times New Roman" w:cs="Times New Roman"/>
                <w:sz w:val="16"/>
                <w:szCs w:val="16"/>
              </w:rPr>
              <w:t> &lt; .118</w:t>
            </w:r>
          </w:p>
        </w:tc>
      </w:tr>
      <w:tr w:rsidR="000B1425" w:rsidRPr="00627EA5" w14:paraId="500863A1" w14:textId="77777777" w:rsidTr="00BF6D0B">
        <w:tc>
          <w:tcPr>
            <w:tcW w:w="0" w:type="auto"/>
          </w:tcPr>
          <w:p w14:paraId="4F21E850" w14:textId="77777777" w:rsidR="000B1425" w:rsidRPr="00C34085" w:rsidRDefault="000B1425" w:rsidP="008C2170">
            <w:pPr>
              <w:spacing w:line="480" w:lineRule="auto"/>
              <w:ind w:left="60" w:right="60"/>
              <w:rPr>
                <w:rFonts w:ascii="Times New Roman" w:hAnsi="Times New Roman" w:cs="Times New Roman"/>
                <w:color w:val="264A60"/>
                <w:sz w:val="16"/>
                <w:szCs w:val="16"/>
              </w:rPr>
            </w:pPr>
            <w:r w:rsidRPr="00C34085">
              <w:rPr>
                <w:rFonts w:ascii="Times New Roman" w:hAnsi="Times New Roman" w:cs="Times New Roman"/>
                <w:color w:val="264A60"/>
                <w:sz w:val="16"/>
                <w:szCs w:val="16"/>
              </w:rPr>
              <w:t>Anxiety Disorder</w:t>
            </w:r>
            <w:r w:rsidRPr="00C34085">
              <w:rPr>
                <w:rFonts w:ascii="Times New Roman" w:hAnsi="Times New Roman" w:cs="Times New Roman"/>
                <w:color w:val="264A60"/>
                <w:sz w:val="16"/>
                <w:szCs w:val="16"/>
                <w:vertAlign w:val="superscript"/>
              </w:rPr>
              <w:t>1</w:t>
            </w:r>
          </w:p>
        </w:tc>
        <w:tc>
          <w:tcPr>
            <w:tcW w:w="0" w:type="auto"/>
          </w:tcPr>
          <w:p w14:paraId="62DA12B0"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30, (7.3%)</w:t>
            </w:r>
          </w:p>
        </w:tc>
        <w:tc>
          <w:tcPr>
            <w:tcW w:w="0" w:type="auto"/>
          </w:tcPr>
          <w:p w14:paraId="630BCAAB"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4, (9.3%)</w:t>
            </w:r>
          </w:p>
        </w:tc>
        <w:tc>
          <w:tcPr>
            <w:tcW w:w="0" w:type="auto"/>
          </w:tcPr>
          <w:p w14:paraId="566AEF11"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i/>
                <w:iCs/>
                <w:sz w:val="16"/>
                <w:szCs w:val="16"/>
              </w:rPr>
              <w:t>X</w:t>
            </w:r>
            <w:r w:rsidRPr="00C34085">
              <w:rPr>
                <w:rFonts w:ascii="Times New Roman" w:hAnsi="Times New Roman" w:cs="Times New Roman"/>
                <w:sz w:val="16"/>
                <w:szCs w:val="16"/>
                <w:vertAlign w:val="superscript"/>
              </w:rPr>
              <w:t>2</w:t>
            </w:r>
            <w:r w:rsidRPr="00C34085">
              <w:rPr>
                <w:rFonts w:ascii="Times New Roman" w:hAnsi="Times New Roman" w:cs="Times New Roman"/>
                <w:sz w:val="16"/>
                <w:szCs w:val="16"/>
              </w:rPr>
              <w:t> (1, </w:t>
            </w:r>
            <w:r w:rsidRPr="00C34085">
              <w:rPr>
                <w:rFonts w:ascii="Times New Roman" w:hAnsi="Times New Roman" w:cs="Times New Roman"/>
                <w:i/>
                <w:iCs/>
                <w:sz w:val="16"/>
                <w:szCs w:val="16"/>
              </w:rPr>
              <w:t>N</w:t>
            </w:r>
            <w:r w:rsidRPr="00C34085">
              <w:rPr>
                <w:rFonts w:ascii="Times New Roman" w:hAnsi="Times New Roman" w:cs="Times New Roman"/>
                <w:sz w:val="16"/>
                <w:szCs w:val="16"/>
              </w:rPr>
              <w:t xml:space="preserve"> = 452) = </w:t>
            </w:r>
            <w:r w:rsidRPr="00C34085">
              <w:rPr>
                <w:rFonts w:ascii="Times New Roman" w:hAnsi="Times New Roman" w:cs="Times New Roman"/>
                <w:color w:val="010205"/>
                <w:sz w:val="16"/>
                <w:szCs w:val="16"/>
              </w:rPr>
              <w:t xml:space="preserve">216, </w:t>
            </w:r>
            <w:r w:rsidRPr="00C34085">
              <w:rPr>
                <w:rFonts w:ascii="Times New Roman" w:hAnsi="Times New Roman" w:cs="Times New Roman"/>
                <w:sz w:val="16"/>
                <w:szCs w:val="16"/>
              </w:rPr>
              <w:t>p &lt; .642</w:t>
            </w:r>
          </w:p>
        </w:tc>
        <w:tc>
          <w:tcPr>
            <w:tcW w:w="0" w:type="auto"/>
          </w:tcPr>
          <w:p w14:paraId="5F623D0F"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147 (19.6%) #</w:t>
            </w:r>
          </w:p>
        </w:tc>
        <w:tc>
          <w:tcPr>
            <w:tcW w:w="0" w:type="auto"/>
          </w:tcPr>
          <w:p w14:paraId="56CD5924"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13 (16.5%)</w:t>
            </w:r>
          </w:p>
        </w:tc>
        <w:tc>
          <w:tcPr>
            <w:tcW w:w="0" w:type="auto"/>
          </w:tcPr>
          <w:p w14:paraId="1EE19B1D"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i/>
                <w:iCs/>
                <w:sz w:val="16"/>
                <w:szCs w:val="16"/>
              </w:rPr>
              <w:t>X</w:t>
            </w:r>
            <w:r w:rsidRPr="00C34085">
              <w:rPr>
                <w:rFonts w:ascii="Times New Roman" w:hAnsi="Times New Roman" w:cs="Times New Roman"/>
                <w:sz w:val="16"/>
                <w:szCs w:val="16"/>
                <w:vertAlign w:val="superscript"/>
              </w:rPr>
              <w:t>2</w:t>
            </w:r>
            <w:r w:rsidRPr="00C34085">
              <w:rPr>
                <w:rFonts w:ascii="Times New Roman" w:hAnsi="Times New Roman" w:cs="Times New Roman"/>
                <w:sz w:val="16"/>
                <w:szCs w:val="16"/>
              </w:rPr>
              <w:t> (1, </w:t>
            </w:r>
            <w:r w:rsidRPr="00C34085">
              <w:rPr>
                <w:rFonts w:ascii="Times New Roman" w:hAnsi="Times New Roman" w:cs="Times New Roman"/>
                <w:i/>
                <w:iCs/>
                <w:sz w:val="16"/>
                <w:szCs w:val="16"/>
              </w:rPr>
              <w:t>N</w:t>
            </w:r>
            <w:r w:rsidRPr="00C34085">
              <w:rPr>
                <w:rFonts w:ascii="Times New Roman" w:hAnsi="Times New Roman" w:cs="Times New Roman"/>
                <w:sz w:val="16"/>
                <w:szCs w:val="16"/>
              </w:rPr>
              <w:t xml:space="preserve"> = 828) = </w:t>
            </w:r>
            <w:r w:rsidRPr="00C34085">
              <w:rPr>
                <w:rFonts w:ascii="Times New Roman" w:hAnsi="Times New Roman" w:cs="Times New Roman"/>
                <w:color w:val="010205"/>
                <w:sz w:val="16"/>
                <w:szCs w:val="16"/>
              </w:rPr>
              <w:t>.461</w:t>
            </w:r>
            <w:r w:rsidRPr="00C34085">
              <w:rPr>
                <w:rFonts w:ascii="Times New Roman" w:hAnsi="Times New Roman" w:cs="Times New Roman"/>
                <w:sz w:val="16"/>
                <w:szCs w:val="16"/>
              </w:rPr>
              <w:t>, </w:t>
            </w:r>
            <w:r w:rsidRPr="00C34085">
              <w:rPr>
                <w:rFonts w:ascii="Times New Roman" w:hAnsi="Times New Roman" w:cs="Times New Roman"/>
                <w:i/>
                <w:iCs/>
                <w:sz w:val="16"/>
                <w:szCs w:val="16"/>
              </w:rPr>
              <w:t>p</w:t>
            </w:r>
            <w:r w:rsidRPr="00C34085">
              <w:rPr>
                <w:rFonts w:ascii="Times New Roman" w:hAnsi="Times New Roman" w:cs="Times New Roman"/>
                <w:sz w:val="16"/>
                <w:szCs w:val="16"/>
              </w:rPr>
              <w:t> &lt; .497</w:t>
            </w:r>
          </w:p>
        </w:tc>
      </w:tr>
      <w:tr w:rsidR="000B1425" w:rsidRPr="00627EA5" w14:paraId="31232DF4" w14:textId="77777777" w:rsidTr="00BF6D0B">
        <w:tc>
          <w:tcPr>
            <w:tcW w:w="0" w:type="auto"/>
          </w:tcPr>
          <w:p w14:paraId="6CE2E4E3" w14:textId="77777777" w:rsidR="000B1425" w:rsidRPr="00C34085" w:rsidRDefault="000B1425" w:rsidP="008C2170">
            <w:pPr>
              <w:spacing w:line="480" w:lineRule="auto"/>
              <w:ind w:left="60" w:right="60"/>
              <w:rPr>
                <w:rFonts w:ascii="Times New Roman" w:hAnsi="Times New Roman" w:cs="Times New Roman"/>
                <w:color w:val="264A60"/>
                <w:sz w:val="16"/>
                <w:szCs w:val="16"/>
              </w:rPr>
            </w:pPr>
            <w:r w:rsidRPr="00C34085">
              <w:rPr>
                <w:rFonts w:ascii="Times New Roman" w:hAnsi="Times New Roman" w:cs="Times New Roman"/>
                <w:color w:val="264A60"/>
                <w:sz w:val="16"/>
                <w:szCs w:val="16"/>
              </w:rPr>
              <w:t>Personality Disorder</w:t>
            </w:r>
          </w:p>
        </w:tc>
        <w:tc>
          <w:tcPr>
            <w:tcW w:w="0" w:type="auto"/>
          </w:tcPr>
          <w:p w14:paraId="5773CAA8"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78, (19.6%)</w:t>
            </w:r>
          </w:p>
        </w:tc>
        <w:tc>
          <w:tcPr>
            <w:tcW w:w="0" w:type="auto"/>
          </w:tcPr>
          <w:p w14:paraId="103261FB"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10, (23.3%) #</w:t>
            </w:r>
          </w:p>
        </w:tc>
        <w:tc>
          <w:tcPr>
            <w:tcW w:w="0" w:type="auto"/>
          </w:tcPr>
          <w:p w14:paraId="77E59094"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i/>
                <w:iCs/>
                <w:sz w:val="16"/>
                <w:szCs w:val="16"/>
              </w:rPr>
              <w:t>X</w:t>
            </w:r>
            <w:r w:rsidRPr="00C34085">
              <w:rPr>
                <w:rFonts w:ascii="Times New Roman" w:hAnsi="Times New Roman" w:cs="Times New Roman"/>
                <w:sz w:val="16"/>
                <w:szCs w:val="16"/>
                <w:vertAlign w:val="superscript"/>
              </w:rPr>
              <w:t>2</w:t>
            </w:r>
            <w:r w:rsidRPr="00C34085">
              <w:rPr>
                <w:rFonts w:ascii="Times New Roman" w:hAnsi="Times New Roman" w:cs="Times New Roman"/>
                <w:sz w:val="16"/>
                <w:szCs w:val="16"/>
              </w:rPr>
              <w:t> (1, </w:t>
            </w:r>
            <w:r w:rsidRPr="00C34085">
              <w:rPr>
                <w:rFonts w:ascii="Times New Roman" w:hAnsi="Times New Roman" w:cs="Times New Roman"/>
                <w:i/>
                <w:iCs/>
                <w:sz w:val="16"/>
                <w:szCs w:val="16"/>
              </w:rPr>
              <w:t>N</w:t>
            </w:r>
            <w:r w:rsidRPr="00C34085">
              <w:rPr>
                <w:rFonts w:ascii="Times New Roman" w:hAnsi="Times New Roman" w:cs="Times New Roman"/>
                <w:sz w:val="16"/>
                <w:szCs w:val="16"/>
              </w:rPr>
              <w:t xml:space="preserve"> = 439) = </w:t>
            </w:r>
            <w:r w:rsidRPr="00C34085">
              <w:rPr>
                <w:rFonts w:ascii="Times New Roman" w:hAnsi="Times New Roman" w:cs="Times New Roman"/>
                <w:color w:val="010205"/>
                <w:sz w:val="16"/>
                <w:szCs w:val="16"/>
              </w:rPr>
              <w:t xml:space="preserve">1.060, </w:t>
            </w:r>
            <w:r w:rsidRPr="00C34085">
              <w:rPr>
                <w:rFonts w:ascii="Times New Roman" w:hAnsi="Times New Roman" w:cs="Times New Roman"/>
                <w:sz w:val="16"/>
                <w:szCs w:val="16"/>
              </w:rPr>
              <w:t>p &lt; .589</w:t>
            </w:r>
          </w:p>
        </w:tc>
        <w:tc>
          <w:tcPr>
            <w:tcW w:w="0" w:type="auto"/>
          </w:tcPr>
          <w:p w14:paraId="3CE87906"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300 (40.0%) ##</w:t>
            </w:r>
          </w:p>
        </w:tc>
        <w:tc>
          <w:tcPr>
            <w:tcW w:w="0" w:type="auto"/>
          </w:tcPr>
          <w:p w14:paraId="3D77AD60"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28 (35.4%)</w:t>
            </w:r>
          </w:p>
        </w:tc>
        <w:tc>
          <w:tcPr>
            <w:tcW w:w="0" w:type="auto"/>
          </w:tcPr>
          <w:p w14:paraId="33431FAE"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i/>
                <w:iCs/>
                <w:sz w:val="16"/>
                <w:szCs w:val="16"/>
              </w:rPr>
              <w:t>X</w:t>
            </w:r>
            <w:r w:rsidRPr="00C34085">
              <w:rPr>
                <w:rFonts w:ascii="Times New Roman" w:hAnsi="Times New Roman" w:cs="Times New Roman"/>
                <w:sz w:val="16"/>
                <w:szCs w:val="16"/>
                <w:vertAlign w:val="superscript"/>
              </w:rPr>
              <w:t>2</w:t>
            </w:r>
            <w:r w:rsidRPr="00C34085">
              <w:rPr>
                <w:rFonts w:ascii="Times New Roman" w:hAnsi="Times New Roman" w:cs="Times New Roman"/>
                <w:sz w:val="16"/>
                <w:szCs w:val="16"/>
              </w:rPr>
              <w:t> (1, </w:t>
            </w:r>
            <w:r w:rsidRPr="00C34085">
              <w:rPr>
                <w:rFonts w:ascii="Times New Roman" w:hAnsi="Times New Roman" w:cs="Times New Roman"/>
                <w:i/>
                <w:iCs/>
                <w:sz w:val="16"/>
                <w:szCs w:val="16"/>
              </w:rPr>
              <w:t>N</w:t>
            </w:r>
            <w:r w:rsidRPr="00C34085">
              <w:rPr>
                <w:rFonts w:ascii="Times New Roman" w:hAnsi="Times New Roman" w:cs="Times New Roman"/>
                <w:sz w:val="16"/>
                <w:szCs w:val="16"/>
              </w:rPr>
              <w:t xml:space="preserve"> = 822) = </w:t>
            </w:r>
            <w:r w:rsidRPr="00C34085">
              <w:rPr>
                <w:rFonts w:ascii="Times New Roman" w:hAnsi="Times New Roman" w:cs="Times New Roman"/>
                <w:color w:val="010205"/>
                <w:sz w:val="16"/>
                <w:szCs w:val="16"/>
              </w:rPr>
              <w:t>.526</w:t>
            </w:r>
            <w:r w:rsidRPr="00C34085">
              <w:rPr>
                <w:rFonts w:ascii="Times New Roman" w:hAnsi="Times New Roman" w:cs="Times New Roman"/>
                <w:sz w:val="16"/>
                <w:szCs w:val="16"/>
              </w:rPr>
              <w:t>, </w:t>
            </w:r>
            <w:r w:rsidRPr="00C34085">
              <w:rPr>
                <w:rFonts w:ascii="Times New Roman" w:hAnsi="Times New Roman" w:cs="Times New Roman"/>
                <w:i/>
                <w:iCs/>
                <w:sz w:val="16"/>
                <w:szCs w:val="16"/>
              </w:rPr>
              <w:t>p</w:t>
            </w:r>
            <w:r w:rsidRPr="00C34085">
              <w:rPr>
                <w:rFonts w:ascii="Times New Roman" w:hAnsi="Times New Roman" w:cs="Times New Roman"/>
                <w:sz w:val="16"/>
                <w:szCs w:val="16"/>
              </w:rPr>
              <w:t> &lt; .458</w:t>
            </w:r>
          </w:p>
        </w:tc>
      </w:tr>
      <w:tr w:rsidR="000B1425" w:rsidRPr="00627EA5" w14:paraId="7F9FA630" w14:textId="77777777" w:rsidTr="00BF6D0B">
        <w:tc>
          <w:tcPr>
            <w:tcW w:w="0" w:type="auto"/>
          </w:tcPr>
          <w:p w14:paraId="2DA6B804" w14:textId="77777777" w:rsidR="000B1425" w:rsidRPr="00C34085" w:rsidRDefault="000B1425" w:rsidP="008C2170">
            <w:pPr>
              <w:spacing w:line="480" w:lineRule="auto"/>
              <w:ind w:left="60" w:right="60"/>
              <w:rPr>
                <w:rFonts w:ascii="Times New Roman" w:hAnsi="Times New Roman" w:cs="Times New Roman"/>
                <w:color w:val="264A60"/>
                <w:sz w:val="16"/>
                <w:szCs w:val="16"/>
              </w:rPr>
            </w:pPr>
            <w:r w:rsidRPr="00C34085">
              <w:rPr>
                <w:rFonts w:ascii="Times New Roman" w:hAnsi="Times New Roman" w:cs="Times New Roman"/>
                <w:color w:val="264A60"/>
                <w:sz w:val="16"/>
                <w:szCs w:val="16"/>
              </w:rPr>
              <w:t>Alcohol Use</w:t>
            </w:r>
          </w:p>
        </w:tc>
        <w:tc>
          <w:tcPr>
            <w:tcW w:w="0" w:type="auto"/>
          </w:tcPr>
          <w:p w14:paraId="6FEE4B24"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178 (53.1%)</w:t>
            </w:r>
          </w:p>
        </w:tc>
        <w:tc>
          <w:tcPr>
            <w:tcW w:w="0" w:type="auto"/>
          </w:tcPr>
          <w:p w14:paraId="23C58E2E"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12 (30.0%) ##</w:t>
            </w:r>
          </w:p>
        </w:tc>
        <w:tc>
          <w:tcPr>
            <w:tcW w:w="0" w:type="auto"/>
          </w:tcPr>
          <w:p w14:paraId="6CEC35FA"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i/>
                <w:iCs/>
                <w:sz w:val="16"/>
                <w:szCs w:val="16"/>
              </w:rPr>
              <w:t>X</w:t>
            </w:r>
            <w:r w:rsidRPr="00C34085">
              <w:rPr>
                <w:rFonts w:ascii="Times New Roman" w:hAnsi="Times New Roman" w:cs="Times New Roman"/>
                <w:sz w:val="16"/>
                <w:szCs w:val="16"/>
                <w:vertAlign w:val="superscript"/>
              </w:rPr>
              <w:t>2</w:t>
            </w:r>
            <w:r w:rsidRPr="00C34085">
              <w:rPr>
                <w:rFonts w:ascii="Times New Roman" w:hAnsi="Times New Roman" w:cs="Times New Roman"/>
                <w:sz w:val="16"/>
                <w:szCs w:val="16"/>
              </w:rPr>
              <w:t> (1, </w:t>
            </w:r>
            <w:r w:rsidRPr="00C34085">
              <w:rPr>
                <w:rFonts w:ascii="Times New Roman" w:hAnsi="Times New Roman" w:cs="Times New Roman"/>
                <w:i/>
                <w:iCs/>
                <w:sz w:val="16"/>
                <w:szCs w:val="16"/>
              </w:rPr>
              <w:t>N</w:t>
            </w:r>
            <w:r w:rsidRPr="00C34085">
              <w:rPr>
                <w:rFonts w:ascii="Times New Roman" w:hAnsi="Times New Roman" w:cs="Times New Roman"/>
                <w:sz w:val="16"/>
                <w:szCs w:val="16"/>
              </w:rPr>
              <w:t xml:space="preserve"> = 375) = </w:t>
            </w:r>
            <w:r w:rsidRPr="00C34085">
              <w:rPr>
                <w:rFonts w:ascii="Times New Roman" w:hAnsi="Times New Roman" w:cs="Times New Roman"/>
                <w:color w:val="010205"/>
                <w:sz w:val="16"/>
                <w:szCs w:val="16"/>
              </w:rPr>
              <w:t>7.651</w:t>
            </w:r>
            <w:r w:rsidRPr="00C34085">
              <w:rPr>
                <w:rFonts w:ascii="Times New Roman" w:hAnsi="Times New Roman" w:cs="Times New Roman"/>
                <w:sz w:val="16"/>
                <w:szCs w:val="16"/>
              </w:rPr>
              <w:t>, </w:t>
            </w:r>
            <w:r w:rsidRPr="00C34085">
              <w:rPr>
                <w:rFonts w:ascii="Times New Roman" w:hAnsi="Times New Roman" w:cs="Times New Roman"/>
                <w:i/>
                <w:iCs/>
                <w:sz w:val="16"/>
                <w:szCs w:val="16"/>
              </w:rPr>
              <w:t>p</w:t>
            </w:r>
            <w:r w:rsidRPr="00C34085">
              <w:rPr>
                <w:rFonts w:ascii="Times New Roman" w:hAnsi="Times New Roman" w:cs="Times New Roman"/>
                <w:sz w:val="16"/>
                <w:szCs w:val="16"/>
              </w:rPr>
              <w:t> &lt; .006*</w:t>
            </w:r>
          </w:p>
        </w:tc>
        <w:tc>
          <w:tcPr>
            <w:tcW w:w="0" w:type="auto"/>
          </w:tcPr>
          <w:p w14:paraId="3CDFABA9"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354 (61.7%) #</w:t>
            </w:r>
          </w:p>
        </w:tc>
        <w:tc>
          <w:tcPr>
            <w:tcW w:w="0" w:type="auto"/>
          </w:tcPr>
          <w:p w14:paraId="6BC94556"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16 (20.3%)</w:t>
            </w:r>
          </w:p>
        </w:tc>
        <w:tc>
          <w:tcPr>
            <w:tcW w:w="0" w:type="auto"/>
          </w:tcPr>
          <w:p w14:paraId="2375F75E"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i/>
                <w:iCs/>
                <w:sz w:val="16"/>
                <w:szCs w:val="16"/>
              </w:rPr>
              <w:t>X</w:t>
            </w:r>
            <w:r w:rsidRPr="00C34085">
              <w:rPr>
                <w:rFonts w:ascii="Times New Roman" w:hAnsi="Times New Roman" w:cs="Times New Roman"/>
                <w:sz w:val="16"/>
                <w:szCs w:val="16"/>
                <w:vertAlign w:val="superscript"/>
              </w:rPr>
              <w:t>2</w:t>
            </w:r>
            <w:r w:rsidRPr="00C34085">
              <w:rPr>
                <w:rFonts w:ascii="Times New Roman" w:hAnsi="Times New Roman" w:cs="Times New Roman"/>
                <w:sz w:val="16"/>
                <w:szCs w:val="16"/>
              </w:rPr>
              <w:t> (1, </w:t>
            </w:r>
            <w:r w:rsidRPr="00C34085">
              <w:rPr>
                <w:rFonts w:ascii="Times New Roman" w:hAnsi="Times New Roman" w:cs="Times New Roman"/>
                <w:i/>
                <w:iCs/>
                <w:sz w:val="16"/>
                <w:szCs w:val="16"/>
              </w:rPr>
              <w:t>N</w:t>
            </w:r>
            <w:r w:rsidRPr="00C34085">
              <w:rPr>
                <w:rFonts w:ascii="Times New Roman" w:hAnsi="Times New Roman" w:cs="Times New Roman"/>
                <w:sz w:val="16"/>
                <w:szCs w:val="16"/>
              </w:rPr>
              <w:t xml:space="preserve"> = 829) = </w:t>
            </w:r>
            <w:r w:rsidRPr="00C34085">
              <w:rPr>
                <w:rFonts w:ascii="Times New Roman" w:hAnsi="Times New Roman" w:cs="Times New Roman"/>
                <w:color w:val="010205"/>
                <w:sz w:val="16"/>
                <w:szCs w:val="16"/>
              </w:rPr>
              <w:t>.456</w:t>
            </w:r>
            <w:r w:rsidRPr="00C34085">
              <w:rPr>
                <w:rFonts w:ascii="Times New Roman" w:hAnsi="Times New Roman" w:cs="Times New Roman"/>
                <w:sz w:val="16"/>
                <w:szCs w:val="16"/>
              </w:rPr>
              <w:t>, </w:t>
            </w:r>
            <w:r w:rsidRPr="00C34085">
              <w:rPr>
                <w:rFonts w:ascii="Times New Roman" w:hAnsi="Times New Roman" w:cs="Times New Roman"/>
                <w:i/>
                <w:iCs/>
                <w:sz w:val="16"/>
                <w:szCs w:val="16"/>
              </w:rPr>
              <w:t>p</w:t>
            </w:r>
            <w:r w:rsidRPr="00C34085">
              <w:rPr>
                <w:rFonts w:ascii="Times New Roman" w:hAnsi="Times New Roman" w:cs="Times New Roman"/>
                <w:sz w:val="16"/>
                <w:szCs w:val="16"/>
              </w:rPr>
              <w:t> &lt; .499</w:t>
            </w:r>
          </w:p>
        </w:tc>
      </w:tr>
      <w:tr w:rsidR="000B1425" w:rsidRPr="00627EA5" w14:paraId="5D9FD2C9" w14:textId="77777777" w:rsidTr="00BF6D0B">
        <w:tc>
          <w:tcPr>
            <w:tcW w:w="0" w:type="auto"/>
          </w:tcPr>
          <w:p w14:paraId="2AB785DC" w14:textId="77777777" w:rsidR="000B1425" w:rsidRPr="00C34085" w:rsidRDefault="000B1425" w:rsidP="008C2170">
            <w:pPr>
              <w:spacing w:line="480" w:lineRule="auto"/>
              <w:rPr>
                <w:rFonts w:ascii="Times New Roman" w:hAnsi="Times New Roman" w:cs="Times New Roman"/>
                <w:sz w:val="16"/>
                <w:szCs w:val="16"/>
              </w:rPr>
            </w:pPr>
            <w:r w:rsidRPr="00C34085">
              <w:rPr>
                <w:rFonts w:ascii="Times New Roman" w:hAnsi="Times New Roman" w:cs="Times New Roman"/>
                <w:color w:val="010205"/>
                <w:sz w:val="16"/>
                <w:szCs w:val="16"/>
              </w:rPr>
              <w:t>Substance Use</w:t>
            </w:r>
          </w:p>
        </w:tc>
        <w:tc>
          <w:tcPr>
            <w:tcW w:w="0" w:type="auto"/>
          </w:tcPr>
          <w:p w14:paraId="5D971DAA"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215, (52.6%)</w:t>
            </w:r>
          </w:p>
        </w:tc>
        <w:tc>
          <w:tcPr>
            <w:tcW w:w="0" w:type="auto"/>
          </w:tcPr>
          <w:p w14:paraId="0959ED4F"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 xml:space="preserve">13, (30.2%) </w:t>
            </w:r>
          </w:p>
        </w:tc>
        <w:tc>
          <w:tcPr>
            <w:tcW w:w="0" w:type="auto"/>
          </w:tcPr>
          <w:p w14:paraId="59F1AE6A"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i/>
                <w:iCs/>
                <w:sz w:val="16"/>
                <w:szCs w:val="16"/>
              </w:rPr>
              <w:t>X</w:t>
            </w:r>
            <w:r w:rsidRPr="00C34085">
              <w:rPr>
                <w:rFonts w:ascii="Times New Roman" w:hAnsi="Times New Roman" w:cs="Times New Roman"/>
                <w:sz w:val="16"/>
                <w:szCs w:val="16"/>
                <w:vertAlign w:val="superscript"/>
              </w:rPr>
              <w:t>2</w:t>
            </w:r>
            <w:r w:rsidRPr="00C34085">
              <w:rPr>
                <w:rFonts w:ascii="Times New Roman" w:hAnsi="Times New Roman" w:cs="Times New Roman"/>
                <w:sz w:val="16"/>
                <w:szCs w:val="16"/>
              </w:rPr>
              <w:t> (1, </w:t>
            </w:r>
            <w:r w:rsidRPr="00C34085">
              <w:rPr>
                <w:rFonts w:ascii="Times New Roman" w:hAnsi="Times New Roman" w:cs="Times New Roman"/>
                <w:i/>
                <w:iCs/>
                <w:sz w:val="16"/>
                <w:szCs w:val="16"/>
              </w:rPr>
              <w:t>N</w:t>
            </w:r>
            <w:r w:rsidRPr="00C34085">
              <w:rPr>
                <w:rFonts w:ascii="Times New Roman" w:hAnsi="Times New Roman" w:cs="Times New Roman"/>
                <w:sz w:val="16"/>
                <w:szCs w:val="16"/>
              </w:rPr>
              <w:t xml:space="preserve"> = 642) = </w:t>
            </w:r>
            <w:r w:rsidRPr="00C34085">
              <w:rPr>
                <w:rFonts w:ascii="Times New Roman" w:hAnsi="Times New Roman" w:cs="Times New Roman"/>
                <w:color w:val="010205"/>
                <w:sz w:val="16"/>
                <w:szCs w:val="16"/>
              </w:rPr>
              <w:t>16.591</w:t>
            </w:r>
            <w:r w:rsidRPr="00C34085">
              <w:rPr>
                <w:rFonts w:ascii="Times New Roman" w:hAnsi="Times New Roman" w:cs="Times New Roman"/>
                <w:sz w:val="16"/>
                <w:szCs w:val="16"/>
              </w:rPr>
              <w:t>, </w:t>
            </w:r>
            <w:r w:rsidRPr="00C34085">
              <w:rPr>
                <w:rFonts w:ascii="Times New Roman" w:hAnsi="Times New Roman" w:cs="Times New Roman"/>
                <w:i/>
                <w:iCs/>
                <w:sz w:val="16"/>
                <w:szCs w:val="16"/>
              </w:rPr>
              <w:t>p</w:t>
            </w:r>
            <w:r w:rsidRPr="00C34085">
              <w:rPr>
                <w:rFonts w:ascii="Times New Roman" w:hAnsi="Times New Roman" w:cs="Times New Roman"/>
                <w:sz w:val="16"/>
                <w:szCs w:val="16"/>
              </w:rPr>
              <w:t> &lt; .001*</w:t>
            </w:r>
          </w:p>
        </w:tc>
        <w:tc>
          <w:tcPr>
            <w:tcW w:w="0" w:type="auto"/>
          </w:tcPr>
          <w:p w14:paraId="27BCF39F"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 xml:space="preserve">354 (61.7%) </w:t>
            </w:r>
          </w:p>
        </w:tc>
        <w:tc>
          <w:tcPr>
            <w:tcW w:w="0" w:type="auto"/>
          </w:tcPr>
          <w:p w14:paraId="16DAEFCF"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color w:val="010205"/>
                <w:sz w:val="16"/>
                <w:szCs w:val="16"/>
              </w:rPr>
              <w:t>28 (35.4%)</w:t>
            </w:r>
          </w:p>
        </w:tc>
        <w:tc>
          <w:tcPr>
            <w:tcW w:w="0" w:type="auto"/>
          </w:tcPr>
          <w:p w14:paraId="682E91E4" w14:textId="77777777" w:rsidR="000B1425" w:rsidRPr="00C34085" w:rsidRDefault="000B1425" w:rsidP="008C2170">
            <w:pPr>
              <w:spacing w:line="480" w:lineRule="auto"/>
              <w:ind w:left="60" w:right="60"/>
              <w:jc w:val="center"/>
              <w:rPr>
                <w:rFonts w:ascii="Times New Roman" w:hAnsi="Times New Roman" w:cs="Times New Roman"/>
                <w:color w:val="010205"/>
                <w:sz w:val="16"/>
                <w:szCs w:val="16"/>
              </w:rPr>
            </w:pPr>
            <w:r w:rsidRPr="00C34085">
              <w:rPr>
                <w:rFonts w:ascii="Times New Roman" w:hAnsi="Times New Roman" w:cs="Times New Roman"/>
                <w:i/>
                <w:iCs/>
                <w:sz w:val="16"/>
                <w:szCs w:val="16"/>
              </w:rPr>
              <w:t>X</w:t>
            </w:r>
            <w:r w:rsidRPr="00C34085">
              <w:rPr>
                <w:rFonts w:ascii="Times New Roman" w:hAnsi="Times New Roman" w:cs="Times New Roman"/>
                <w:sz w:val="16"/>
                <w:szCs w:val="16"/>
                <w:vertAlign w:val="superscript"/>
              </w:rPr>
              <w:t>2</w:t>
            </w:r>
            <w:r w:rsidRPr="00C34085">
              <w:rPr>
                <w:rFonts w:ascii="Times New Roman" w:hAnsi="Times New Roman" w:cs="Times New Roman"/>
                <w:sz w:val="16"/>
                <w:szCs w:val="16"/>
              </w:rPr>
              <w:t> (1, </w:t>
            </w:r>
            <w:r w:rsidRPr="00C34085">
              <w:rPr>
                <w:rFonts w:ascii="Times New Roman" w:hAnsi="Times New Roman" w:cs="Times New Roman"/>
                <w:i/>
                <w:iCs/>
                <w:sz w:val="16"/>
                <w:szCs w:val="16"/>
              </w:rPr>
              <w:t>N</w:t>
            </w:r>
            <w:r w:rsidRPr="00C34085">
              <w:rPr>
                <w:rFonts w:ascii="Times New Roman" w:hAnsi="Times New Roman" w:cs="Times New Roman"/>
                <w:sz w:val="16"/>
                <w:szCs w:val="16"/>
              </w:rPr>
              <w:t xml:space="preserve"> = 642) = </w:t>
            </w:r>
            <w:r w:rsidRPr="00C34085">
              <w:rPr>
                <w:rFonts w:ascii="Times New Roman" w:hAnsi="Times New Roman" w:cs="Times New Roman"/>
                <w:color w:val="010205"/>
                <w:sz w:val="16"/>
                <w:szCs w:val="16"/>
              </w:rPr>
              <w:t>.621</w:t>
            </w:r>
            <w:r w:rsidRPr="00C34085">
              <w:rPr>
                <w:rFonts w:ascii="Times New Roman" w:hAnsi="Times New Roman" w:cs="Times New Roman"/>
                <w:sz w:val="16"/>
                <w:szCs w:val="16"/>
              </w:rPr>
              <w:t>, </w:t>
            </w:r>
            <w:r w:rsidRPr="00C34085">
              <w:rPr>
                <w:rFonts w:ascii="Times New Roman" w:hAnsi="Times New Roman" w:cs="Times New Roman"/>
                <w:i/>
                <w:iCs/>
                <w:sz w:val="16"/>
                <w:szCs w:val="16"/>
              </w:rPr>
              <w:t>p</w:t>
            </w:r>
            <w:r w:rsidRPr="00C34085">
              <w:rPr>
                <w:rFonts w:ascii="Times New Roman" w:hAnsi="Times New Roman" w:cs="Times New Roman"/>
                <w:sz w:val="16"/>
                <w:szCs w:val="16"/>
              </w:rPr>
              <w:t> &lt; .431</w:t>
            </w:r>
          </w:p>
        </w:tc>
      </w:tr>
    </w:tbl>
    <w:p w14:paraId="576645A1" w14:textId="77777777" w:rsidR="000B1425" w:rsidRDefault="000B1425" w:rsidP="000B1425">
      <w:pPr>
        <w:spacing w:line="480" w:lineRule="auto"/>
      </w:pPr>
    </w:p>
    <w:p w14:paraId="162420E3" w14:textId="77777777" w:rsidR="000B1425" w:rsidRPr="00B264F1" w:rsidRDefault="000B1425" w:rsidP="000B1425">
      <w:pPr>
        <w:spacing w:line="480" w:lineRule="auto"/>
        <w:rPr>
          <w:rFonts w:ascii="Times New Roman" w:hAnsi="Times New Roman"/>
          <w:szCs w:val="24"/>
          <w:lang w:eastAsia="en-GB"/>
        </w:rPr>
      </w:pPr>
    </w:p>
    <w:p w14:paraId="030E53D3" w14:textId="3F7EB14F" w:rsidR="000B1425" w:rsidRPr="00B264F1" w:rsidRDefault="00BF6D0B" w:rsidP="000B1425">
      <w:pPr>
        <w:spacing w:line="480" w:lineRule="auto"/>
        <w:rPr>
          <w:rFonts w:ascii="Times New Roman" w:hAnsi="Times New Roman"/>
          <w:i/>
          <w:iCs/>
          <w:szCs w:val="24"/>
          <w:lang w:eastAsia="en-GB"/>
        </w:rPr>
      </w:pPr>
      <w:r>
        <w:rPr>
          <w:rFonts w:ascii="Times New Roman" w:hAnsi="Times New Roman"/>
          <w:i/>
          <w:iCs/>
          <w:szCs w:val="24"/>
          <w:lang w:eastAsia="en-GB"/>
        </w:rPr>
        <w:t xml:space="preserve">3.4 </w:t>
      </w:r>
      <w:r w:rsidR="000B1425" w:rsidRPr="00B264F1">
        <w:rPr>
          <w:rFonts w:ascii="Times New Roman" w:hAnsi="Times New Roman"/>
          <w:i/>
          <w:iCs/>
          <w:szCs w:val="24"/>
          <w:lang w:eastAsia="en-GB"/>
        </w:rPr>
        <w:t xml:space="preserve">Court Pathway during the time of the  CMH+ND </w:t>
      </w:r>
      <w:r w:rsidR="000B1425">
        <w:rPr>
          <w:rFonts w:ascii="Times New Roman" w:hAnsi="Times New Roman"/>
          <w:i/>
          <w:iCs/>
          <w:szCs w:val="24"/>
          <w:lang w:eastAsia="en-GB"/>
        </w:rPr>
        <w:t>Service</w:t>
      </w:r>
    </w:p>
    <w:p w14:paraId="57B27156" w14:textId="77777777" w:rsidR="000B1425" w:rsidRPr="00B264F1" w:rsidRDefault="000B1425" w:rsidP="000B1425">
      <w:pPr>
        <w:spacing w:line="480" w:lineRule="auto"/>
        <w:rPr>
          <w:rFonts w:ascii="Times New Roman" w:hAnsi="Times New Roman"/>
          <w:szCs w:val="24"/>
        </w:rPr>
      </w:pPr>
      <w:r w:rsidRPr="00B264F1">
        <w:rPr>
          <w:rFonts w:ascii="Times New Roman" w:hAnsi="Times New Roman"/>
          <w:iCs/>
          <w:color w:val="010205"/>
          <w:szCs w:val="24"/>
        </w:rPr>
        <w:t xml:space="preserve">Here we examine the </w:t>
      </w:r>
      <w:r w:rsidRPr="00B264F1">
        <w:rPr>
          <w:rFonts w:ascii="Times New Roman" w:hAnsi="Times New Roman"/>
          <w:szCs w:val="24"/>
        </w:rPr>
        <w:t>Pathway into the CMH+ND</w:t>
      </w:r>
      <w:r w:rsidRPr="00B264F1">
        <w:rPr>
          <w:rFonts w:ascii="Times New Roman" w:hAnsi="Times New Roman"/>
          <w:iCs/>
          <w:color w:val="010205"/>
          <w:szCs w:val="24"/>
        </w:rPr>
        <w:t xml:space="preserve"> </w:t>
      </w:r>
      <w:r>
        <w:rPr>
          <w:rFonts w:ascii="Times New Roman" w:hAnsi="Times New Roman"/>
          <w:iCs/>
          <w:color w:val="010205"/>
          <w:szCs w:val="24"/>
        </w:rPr>
        <w:t xml:space="preserve">Service </w:t>
      </w:r>
      <w:r w:rsidRPr="00B264F1">
        <w:rPr>
          <w:rFonts w:ascii="Times New Roman" w:hAnsi="Times New Roman"/>
          <w:iCs/>
          <w:color w:val="010205"/>
          <w:szCs w:val="24"/>
        </w:rPr>
        <w:t>from police to the first appearance in court.</w:t>
      </w:r>
      <w:r w:rsidRPr="00B264F1">
        <w:rPr>
          <w:rFonts w:ascii="Times New Roman" w:hAnsi="Times New Roman"/>
          <w:szCs w:val="24"/>
        </w:rPr>
        <w:t xml:space="preserve"> This data was not available from the time </w:t>
      </w:r>
      <w:r>
        <w:rPr>
          <w:rFonts w:ascii="Times New Roman" w:hAnsi="Times New Roman"/>
          <w:szCs w:val="24"/>
        </w:rPr>
        <w:t xml:space="preserve">when </w:t>
      </w:r>
      <w:r w:rsidRPr="00B264F1">
        <w:rPr>
          <w:rFonts w:ascii="Times New Roman" w:hAnsi="Times New Roman"/>
          <w:szCs w:val="24"/>
        </w:rPr>
        <w:t>only the standard CMH service was in operation so not able to make a comparison.</w:t>
      </w:r>
    </w:p>
    <w:p w14:paraId="73B2C61C" w14:textId="77777777" w:rsidR="000B1425" w:rsidRPr="00B264F1" w:rsidRDefault="000B1425" w:rsidP="000B1425">
      <w:pPr>
        <w:spacing w:line="480" w:lineRule="auto"/>
        <w:rPr>
          <w:rFonts w:ascii="Times New Roman" w:hAnsi="Times New Roman"/>
          <w:i/>
          <w:iCs/>
          <w:szCs w:val="24"/>
          <w:u w:val="single"/>
        </w:rPr>
      </w:pPr>
    </w:p>
    <w:p w14:paraId="2C671729" w14:textId="1FA0336A" w:rsidR="000B1425" w:rsidRPr="00B264F1" w:rsidRDefault="00BF6D0B" w:rsidP="00BF6D0B">
      <w:pPr>
        <w:pStyle w:val="Heading2"/>
      </w:pPr>
      <w:r>
        <w:t xml:space="preserve">3.4.1 </w:t>
      </w:r>
      <w:r w:rsidR="000B1425" w:rsidRPr="00B264F1">
        <w:t xml:space="preserve">Alleged offences for ND defendants within the CMHS+ND </w:t>
      </w:r>
      <w:r w:rsidR="000B1425">
        <w:t>Service</w:t>
      </w:r>
    </w:p>
    <w:p w14:paraId="09F04475" w14:textId="77777777" w:rsidR="000B1425" w:rsidRPr="00B264F1" w:rsidRDefault="000B1425" w:rsidP="000B1425">
      <w:pPr>
        <w:spacing w:line="480" w:lineRule="auto"/>
        <w:ind w:left="60" w:right="60"/>
        <w:rPr>
          <w:rFonts w:ascii="Times New Roman" w:hAnsi="Times New Roman"/>
          <w:szCs w:val="24"/>
          <w:lang w:eastAsia="en-GB"/>
        </w:rPr>
      </w:pPr>
      <w:r w:rsidRPr="00B264F1">
        <w:rPr>
          <w:rFonts w:ascii="Times New Roman" w:hAnsi="Times New Roman"/>
          <w:szCs w:val="24"/>
        </w:rPr>
        <w:t>Violence against the person and breach of court order were the most frequent charges for both ND and no-ND defendants and occurred at similar rates.  Although not significant</w:t>
      </w:r>
      <w:r>
        <w:rPr>
          <w:rFonts w:ascii="Times New Roman" w:hAnsi="Times New Roman"/>
          <w:szCs w:val="24"/>
        </w:rPr>
        <w:t xml:space="preserve">, </w:t>
      </w:r>
      <w:r w:rsidRPr="00B264F1">
        <w:rPr>
          <w:rFonts w:ascii="Times New Roman" w:hAnsi="Times New Roman"/>
          <w:szCs w:val="24"/>
        </w:rPr>
        <w:t xml:space="preserve">defendants </w:t>
      </w:r>
      <w:r>
        <w:rPr>
          <w:rFonts w:ascii="Times New Roman" w:hAnsi="Times New Roman"/>
          <w:szCs w:val="24"/>
        </w:rPr>
        <w:t xml:space="preserve">with ND </w:t>
      </w:r>
      <w:r w:rsidRPr="00B264F1">
        <w:rPr>
          <w:rFonts w:ascii="Times New Roman" w:hAnsi="Times New Roman"/>
          <w:szCs w:val="24"/>
        </w:rPr>
        <w:t>had higher rates of being accused of possession of an offensive weapon, burglary, sex offences, harassment and robbery than defendants with no</w:t>
      </w:r>
      <w:r>
        <w:rPr>
          <w:rFonts w:ascii="Times New Roman" w:hAnsi="Times New Roman"/>
          <w:szCs w:val="24"/>
        </w:rPr>
        <w:t xml:space="preserve"> </w:t>
      </w:r>
      <w:r w:rsidRPr="00B264F1">
        <w:rPr>
          <w:rFonts w:ascii="Times New Roman" w:hAnsi="Times New Roman"/>
          <w:szCs w:val="24"/>
        </w:rPr>
        <w:t>ND.</w:t>
      </w:r>
    </w:p>
    <w:p w14:paraId="617EF7B2" w14:textId="77777777" w:rsidR="000B1425" w:rsidRPr="00B264F1" w:rsidRDefault="000B1425" w:rsidP="000B1425">
      <w:pPr>
        <w:spacing w:line="480" w:lineRule="auto"/>
        <w:rPr>
          <w:rFonts w:ascii="Times New Roman" w:hAnsi="Times New Roman"/>
          <w:szCs w:val="24"/>
        </w:rPr>
      </w:pPr>
    </w:p>
    <w:p w14:paraId="5EF15489" w14:textId="314560C8" w:rsidR="000B1425" w:rsidRPr="00B264F1" w:rsidRDefault="00BF6D0B" w:rsidP="00BF6D0B">
      <w:pPr>
        <w:pStyle w:val="Heading2"/>
      </w:pPr>
      <w:r>
        <w:t xml:space="preserve">3.4.2 </w:t>
      </w:r>
      <w:r w:rsidR="000B1425" w:rsidRPr="00B264F1">
        <w:t xml:space="preserve">Pre court Police Decision within the CMH+ND </w:t>
      </w:r>
      <w:r w:rsidR="000B1425">
        <w:t>Service</w:t>
      </w:r>
      <w:r w:rsidR="000B1425" w:rsidRPr="00B264F1">
        <w:t xml:space="preserve"> (n =695, No ND 620 v 75 ND)</w:t>
      </w:r>
    </w:p>
    <w:p w14:paraId="6B44E2AF" w14:textId="77777777" w:rsidR="000B1425" w:rsidRPr="00B264F1" w:rsidRDefault="000B1425" w:rsidP="000B1425">
      <w:pPr>
        <w:spacing w:line="480" w:lineRule="auto"/>
        <w:rPr>
          <w:rFonts w:ascii="Times New Roman" w:hAnsi="Times New Roman"/>
          <w:iCs/>
          <w:color w:val="010205"/>
          <w:szCs w:val="24"/>
        </w:rPr>
      </w:pPr>
      <w:r w:rsidRPr="00B264F1">
        <w:rPr>
          <w:rFonts w:ascii="Times New Roman" w:hAnsi="Times New Roman"/>
          <w:iCs/>
          <w:color w:val="010205"/>
          <w:szCs w:val="24"/>
        </w:rPr>
        <w:t xml:space="preserve">In the CMHS+ND </w:t>
      </w:r>
      <w:r>
        <w:rPr>
          <w:rFonts w:ascii="Times New Roman" w:hAnsi="Times New Roman"/>
          <w:iCs/>
          <w:color w:val="010205"/>
          <w:szCs w:val="24"/>
        </w:rPr>
        <w:t>Service</w:t>
      </w:r>
      <w:r w:rsidRPr="00B264F1">
        <w:rPr>
          <w:rFonts w:ascii="Times New Roman" w:hAnsi="Times New Roman"/>
          <w:iCs/>
          <w:color w:val="010205"/>
          <w:szCs w:val="24"/>
        </w:rPr>
        <w:t xml:space="preserve">, ND defendants were significantly more likely to have been bailed to appear in court (19), (25.3%), than those with no-ND (85), (13.7%). </w:t>
      </w:r>
    </w:p>
    <w:p w14:paraId="4CB94863" w14:textId="77777777" w:rsidR="000B1425" w:rsidRPr="00B264F1" w:rsidRDefault="000B1425" w:rsidP="000B1425">
      <w:pPr>
        <w:spacing w:line="480" w:lineRule="auto"/>
        <w:rPr>
          <w:rFonts w:ascii="Times New Roman" w:hAnsi="Times New Roman"/>
          <w:iCs/>
          <w:color w:val="010205"/>
          <w:szCs w:val="24"/>
        </w:rPr>
      </w:pPr>
    </w:p>
    <w:p w14:paraId="7B1ADEB2" w14:textId="49433F20" w:rsidR="000B1425" w:rsidRPr="00B264F1" w:rsidRDefault="00BF6D0B" w:rsidP="00BF6D0B">
      <w:pPr>
        <w:pStyle w:val="Heading2"/>
      </w:pPr>
      <w:r>
        <w:t xml:space="preserve">3.4.3 </w:t>
      </w:r>
      <w:r w:rsidR="000B1425" w:rsidRPr="00B264F1">
        <w:t xml:space="preserve">Referral route to CMH+ND </w:t>
      </w:r>
      <w:r w:rsidR="000B1425">
        <w:t>Service</w:t>
      </w:r>
    </w:p>
    <w:p w14:paraId="50DE3F9C" w14:textId="77777777" w:rsidR="000B1425" w:rsidRPr="00B264F1" w:rsidRDefault="000B1425" w:rsidP="000B1425">
      <w:pPr>
        <w:spacing w:line="480" w:lineRule="auto"/>
        <w:rPr>
          <w:rFonts w:ascii="Times New Roman" w:hAnsi="Times New Roman"/>
          <w:color w:val="010205"/>
          <w:szCs w:val="24"/>
          <w:u w:val="single"/>
        </w:rPr>
      </w:pPr>
      <w:r w:rsidRPr="00B264F1">
        <w:rPr>
          <w:rFonts w:ascii="Times New Roman" w:hAnsi="Times New Roman"/>
          <w:iCs/>
          <w:color w:val="010205"/>
          <w:szCs w:val="24"/>
        </w:rPr>
        <w:t>Referrals of defendants with ND came from several sources, including the FMHP 51.9% (41) probation 16.5% (13), solicitor 8.9% (7), health agencies 7.6% (6), Magistrates’ 3.8% (3) and court detention staff, 6.3% (5).  Other r</w:t>
      </w:r>
      <w:r w:rsidRPr="00FC6D16">
        <w:rPr>
          <w:rFonts w:ascii="Times New Roman" w:hAnsi="Times New Roman"/>
          <w:iCs/>
          <w:color w:val="010205"/>
          <w:szCs w:val="24"/>
        </w:rPr>
        <w:t xml:space="preserve">eferral sources included prison, court detention staff, police, voluntary services, and </w:t>
      </w:r>
      <w:r w:rsidRPr="00B264F1">
        <w:rPr>
          <w:rFonts w:ascii="Times New Roman" w:hAnsi="Times New Roman"/>
          <w:iCs/>
          <w:color w:val="010205"/>
          <w:szCs w:val="24"/>
        </w:rPr>
        <w:t>self or family referrals. For no-ND defendants the referrals were also predominantly from the FMHP 56.1% (421), then the probation service and solicitor, both 9.9%, (74 &amp; 73) the judiciary and health service, both 7.5% (56). Court detention staff were involved less in the referral of no-ND defendants 1.7%, (13).</w:t>
      </w:r>
    </w:p>
    <w:p w14:paraId="793B21B4" w14:textId="77777777" w:rsidR="000B1425" w:rsidRPr="00B264F1" w:rsidRDefault="000B1425" w:rsidP="000B1425">
      <w:pPr>
        <w:spacing w:line="480" w:lineRule="auto"/>
        <w:rPr>
          <w:rFonts w:ascii="Times New Roman" w:hAnsi="Times New Roman"/>
          <w:iCs/>
          <w:color w:val="010205"/>
          <w:szCs w:val="24"/>
        </w:rPr>
      </w:pPr>
    </w:p>
    <w:p w14:paraId="6C88F504" w14:textId="2BC8B7A8" w:rsidR="000B1425" w:rsidRPr="00B264F1" w:rsidRDefault="00BF6D0B" w:rsidP="00BF6D0B">
      <w:pPr>
        <w:pStyle w:val="Heading2"/>
      </w:pPr>
      <w:r>
        <w:t xml:space="preserve">3.4.4 </w:t>
      </w:r>
      <w:r w:rsidR="000B1425" w:rsidRPr="00B264F1">
        <w:t>Disposal outcomes for those defendants with ND versus no ND</w:t>
      </w:r>
    </w:p>
    <w:p w14:paraId="5D2C99C1" w14:textId="77777777" w:rsidR="000B1425" w:rsidRDefault="000B1425" w:rsidP="000B1425">
      <w:pPr>
        <w:spacing w:line="480" w:lineRule="auto"/>
        <w:rPr>
          <w:rFonts w:ascii="Times New Roman" w:hAnsi="Times New Roman"/>
          <w:iCs/>
          <w:color w:val="010205"/>
          <w:szCs w:val="24"/>
        </w:rPr>
      </w:pPr>
      <w:r w:rsidRPr="00B264F1">
        <w:rPr>
          <w:rFonts w:ascii="Times New Roman" w:hAnsi="Times New Roman"/>
          <w:iCs/>
          <w:color w:val="010205"/>
          <w:szCs w:val="24"/>
        </w:rPr>
        <w:t xml:space="preserve">After the first court appearance, custodial remand for defendants with ND was 34.2% (25), which was a </w:t>
      </w:r>
      <w:r w:rsidRPr="00B264F1">
        <w:rPr>
          <w:rFonts w:ascii="Times New Roman" w:hAnsi="Times New Roman"/>
          <w:szCs w:val="24"/>
        </w:rPr>
        <w:t xml:space="preserve">10% decrease in custodial remands compared to 43.8% (14)  in the CMH cohort.  </w:t>
      </w:r>
      <w:r w:rsidRPr="00B264F1">
        <w:rPr>
          <w:rFonts w:ascii="Times New Roman" w:hAnsi="Times New Roman"/>
          <w:iCs/>
          <w:color w:val="010205"/>
          <w:szCs w:val="24"/>
        </w:rPr>
        <w:lastRenderedPageBreak/>
        <w:t>Remand to hospital was uncommon at the first appearance. None of the ND group was remanded to hospital and only evident in defendants with no-ND at a rate of 1.6% (11) in the</w:t>
      </w:r>
      <w:r w:rsidRPr="00346FBC">
        <w:rPr>
          <w:rFonts w:ascii="Times New Roman" w:hAnsi="Times New Roman"/>
          <w:iCs/>
          <w:color w:val="010205"/>
          <w:szCs w:val="24"/>
        </w:rPr>
        <w:t xml:space="preserve"> CMH</w:t>
      </w:r>
      <w:r>
        <w:rPr>
          <w:rFonts w:ascii="Times New Roman" w:hAnsi="Times New Roman"/>
          <w:iCs/>
          <w:color w:val="010205"/>
          <w:szCs w:val="24"/>
        </w:rPr>
        <w:t>+ND cohort</w:t>
      </w:r>
      <w:r w:rsidRPr="00346FBC">
        <w:rPr>
          <w:rFonts w:ascii="Times New Roman" w:hAnsi="Times New Roman"/>
          <w:iCs/>
          <w:color w:val="010205"/>
          <w:szCs w:val="24"/>
        </w:rPr>
        <w:t>.</w:t>
      </w:r>
    </w:p>
    <w:p w14:paraId="200A2857" w14:textId="77777777" w:rsidR="000B1425" w:rsidRDefault="000B1425" w:rsidP="000B1425">
      <w:pPr>
        <w:spacing w:line="480" w:lineRule="auto"/>
        <w:rPr>
          <w:rFonts w:ascii="Times New Roman" w:hAnsi="Times New Roman"/>
          <w:b/>
          <w:bCs/>
        </w:rPr>
      </w:pPr>
    </w:p>
    <w:p w14:paraId="40BA61B4" w14:textId="77777777" w:rsidR="000B1425" w:rsidRDefault="000B1425" w:rsidP="0078467C">
      <w:pPr>
        <w:numPr>
          <w:ilvl w:val="0"/>
          <w:numId w:val="4"/>
        </w:numPr>
        <w:spacing w:line="480" w:lineRule="auto"/>
        <w:rPr>
          <w:rFonts w:ascii="Times New Roman" w:hAnsi="Times New Roman"/>
          <w:szCs w:val="24"/>
        </w:rPr>
      </w:pPr>
      <w:r w:rsidRPr="00A74D9C">
        <w:rPr>
          <w:rFonts w:ascii="Times New Roman" w:hAnsi="Times New Roman"/>
          <w:b/>
          <w:bCs/>
        </w:rPr>
        <w:t>Discussion</w:t>
      </w:r>
      <w:r w:rsidRPr="00DD253D">
        <w:rPr>
          <w:rFonts w:ascii="Times New Roman" w:hAnsi="Times New Roman"/>
          <w:szCs w:val="24"/>
        </w:rPr>
        <w:t xml:space="preserve"> </w:t>
      </w:r>
    </w:p>
    <w:p w14:paraId="494316E6" w14:textId="17F4BE7B" w:rsidR="000B1425" w:rsidRPr="00BC0946" w:rsidRDefault="000B1425" w:rsidP="000B1425">
      <w:pPr>
        <w:pStyle w:val="CommentText"/>
        <w:spacing w:line="480" w:lineRule="auto"/>
        <w:rPr>
          <w:rFonts w:ascii="Times New Roman" w:hAnsi="Times New Roman" w:cs="Times New Roman"/>
          <w:sz w:val="24"/>
          <w:szCs w:val="24"/>
          <w:lang w:eastAsia="en-GB"/>
        </w:rPr>
      </w:pPr>
      <w:r>
        <w:rPr>
          <w:rFonts w:ascii="Times New Roman" w:eastAsia="Times New Roman" w:hAnsi="Times New Roman" w:cs="Times New Roman"/>
          <w:sz w:val="24"/>
          <w:szCs w:val="24"/>
          <w:lang w:eastAsia="en-GB"/>
        </w:rPr>
        <w:t>The</w:t>
      </w:r>
      <w:r w:rsidRPr="00C15682">
        <w:rPr>
          <w:rFonts w:ascii="Times New Roman" w:eastAsia="Times New Roman" w:hAnsi="Times New Roman" w:cs="Times New Roman"/>
          <w:sz w:val="24"/>
          <w:szCs w:val="24"/>
          <w:lang w:eastAsia="en-GB"/>
        </w:rPr>
        <w:t xml:space="preserve"> introduc</w:t>
      </w:r>
      <w:r>
        <w:rPr>
          <w:rFonts w:ascii="Times New Roman" w:eastAsia="Times New Roman" w:hAnsi="Times New Roman" w:cs="Times New Roman"/>
          <w:sz w:val="24"/>
          <w:szCs w:val="24"/>
          <w:lang w:eastAsia="en-GB"/>
        </w:rPr>
        <w:t>tion of</w:t>
      </w:r>
      <w:r w:rsidRPr="00C15682">
        <w:rPr>
          <w:rFonts w:ascii="Times New Roman" w:eastAsia="Times New Roman" w:hAnsi="Times New Roman" w:cs="Times New Roman"/>
          <w:sz w:val="24"/>
          <w:szCs w:val="24"/>
          <w:lang w:eastAsia="en-GB"/>
        </w:rPr>
        <w:t xml:space="preserve"> the first dedicated </w:t>
      </w:r>
      <w:r>
        <w:rPr>
          <w:rFonts w:ascii="Times New Roman" w:eastAsia="Times New Roman" w:hAnsi="Times New Roman" w:cs="Times New Roman"/>
          <w:sz w:val="24"/>
          <w:szCs w:val="24"/>
          <w:lang w:eastAsia="en-GB"/>
        </w:rPr>
        <w:t xml:space="preserve">CMH service </w:t>
      </w:r>
      <w:r w:rsidRPr="00C50F3F">
        <w:rPr>
          <w:rFonts w:ascii="Times New Roman" w:eastAsia="Times New Roman" w:hAnsi="Times New Roman" w:cs="Times New Roman"/>
          <w:sz w:val="24"/>
          <w:szCs w:val="24"/>
          <w:lang w:eastAsia="en-GB"/>
        </w:rPr>
        <w:t xml:space="preserve">with expertise in ND </w:t>
      </w:r>
      <w:r w:rsidRPr="00C50F3F">
        <w:rPr>
          <w:rFonts w:ascii="Times New Roman" w:hAnsi="Times New Roman" w:cs="Times New Roman"/>
          <w:sz w:val="24"/>
          <w:szCs w:val="24"/>
        </w:rPr>
        <w:t xml:space="preserve">demonstrated that </w:t>
      </w:r>
      <w:r>
        <w:rPr>
          <w:rFonts w:ascii="Times New Roman" w:hAnsi="Times New Roman" w:cs="Times New Roman"/>
          <w:sz w:val="24"/>
          <w:szCs w:val="24"/>
        </w:rPr>
        <w:t xml:space="preserve">such </w:t>
      </w:r>
      <w:r w:rsidRPr="00C50F3F">
        <w:rPr>
          <w:rFonts w:ascii="Times New Roman" w:hAnsi="Times New Roman" w:cs="Times New Roman"/>
          <w:sz w:val="24"/>
          <w:szCs w:val="24"/>
        </w:rPr>
        <w:t>specialist services can</w:t>
      </w:r>
      <w:r>
        <w:rPr>
          <w:rFonts w:ascii="Times New Roman" w:hAnsi="Times New Roman" w:cs="Times New Roman"/>
          <w:sz w:val="24"/>
          <w:szCs w:val="24"/>
        </w:rPr>
        <w:t xml:space="preserve"> successfully </w:t>
      </w:r>
      <w:r w:rsidRPr="0052725C">
        <w:rPr>
          <w:rFonts w:ascii="Times New Roman" w:hAnsi="Times New Roman" w:cs="Times New Roman"/>
          <w:sz w:val="24"/>
          <w:szCs w:val="24"/>
        </w:rPr>
        <w:t>integrate</w:t>
      </w:r>
      <w:r>
        <w:rPr>
          <w:rFonts w:ascii="Times New Roman" w:hAnsi="Times New Roman" w:cs="Times New Roman"/>
          <w:sz w:val="24"/>
          <w:szCs w:val="24"/>
        </w:rPr>
        <w:t xml:space="preserve"> </w:t>
      </w:r>
      <w:r w:rsidRPr="0052725C">
        <w:rPr>
          <w:rFonts w:ascii="Times New Roman" w:hAnsi="Times New Roman" w:cs="Times New Roman"/>
          <w:sz w:val="24"/>
          <w:szCs w:val="24"/>
        </w:rPr>
        <w:t>with existing liaison and diversion services</w:t>
      </w:r>
      <w:r>
        <w:rPr>
          <w:rFonts w:ascii="Times New Roman" w:hAnsi="Times New Roman" w:cs="Times New Roman"/>
          <w:sz w:val="24"/>
          <w:szCs w:val="24"/>
        </w:rPr>
        <w:t xml:space="preserve">, as </w:t>
      </w:r>
      <w:r w:rsidRPr="0052725C">
        <w:rPr>
          <w:rFonts w:ascii="Times New Roman" w:hAnsi="Times New Roman" w:cs="Times New Roman"/>
          <w:sz w:val="24"/>
          <w:szCs w:val="24"/>
        </w:rPr>
        <w:t xml:space="preserve">has </w:t>
      </w:r>
      <w:r>
        <w:rPr>
          <w:rFonts w:ascii="Times New Roman" w:hAnsi="Times New Roman" w:cs="Times New Roman"/>
          <w:sz w:val="24"/>
          <w:szCs w:val="24"/>
        </w:rPr>
        <w:t xml:space="preserve">previously </w:t>
      </w:r>
      <w:r w:rsidRPr="0052725C">
        <w:rPr>
          <w:rFonts w:ascii="Times New Roman" w:hAnsi="Times New Roman" w:cs="Times New Roman"/>
          <w:sz w:val="24"/>
          <w:szCs w:val="24"/>
        </w:rPr>
        <w:t>been achieved for other groups of vulnerable defendants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4C46F1">
        <w:rPr>
          <w:rFonts w:ascii="Times New Roman" w:hAnsi="Times New Roman" w:cs="Times New Roman"/>
          <w:sz w:val="24"/>
          <w:szCs w:val="24"/>
        </w:rPr>
        <w:instrText xml:space="preserve"> ADDIN EN.CITE &lt;EndNote&gt;&lt;Cite&gt;&lt;Author&gt;Forrester&lt;/Author&gt;&lt;Year&gt;2020&lt;/Year&gt;&lt;RecNum&gt;951&lt;/RecNum&gt;&lt;DisplayText&gt;(A. Forrester et al., 2020)&lt;/DisplayText&gt;&lt;record&gt;&lt;rec-number&gt;951&lt;/rec-number&gt;&lt;foreign-keys&gt;&lt;key app="EN" db-id="0wtfxzrvwtvfszed0s9vdzam00frxexae5vz" timestamp="1588157929"&gt;951&lt;/key&gt;&lt;/foreign-keys&gt;&lt;ref-type name="Journal Article"&gt;17&lt;/ref-type&gt;&lt;contributors&gt;&lt;authors&gt;&lt;author&gt;Forrester, A.&lt;/author&gt;&lt;author&gt;Hopkin, G.&lt;/author&gt;&lt;author&gt;Bryant, L.&lt;/author&gt;&lt;author&gt;Slade, K.&lt;/author&gt;&lt;author&gt;Samele, C.&lt;/author&gt;&lt;/authors&gt;&lt;/contributors&gt;&lt;auth-address&gt;Health and Justice, Greater Manchester Mental Health NHS Foundation Trust, Manchester, UK.&amp;#xD;Offender Health Research Network, University of Manchester, Manchester, UK.&amp;#xD;Department of Health Policy, London School of Economics and Political Science, London, UK.&amp;#xD;Together for Mental Wellbeing, London, UK.&amp;#xD;School of Social Sciences, Nottingham Trent University, Nottingham, UK.&amp;#xD;Informed Thinking, London, UK.&amp;#xD;Department of Forensic and Neurodevelopmental Sciences, Institute of Psychiatry, Psychology and Neuroscience, King&amp;apos;s College London, London, UK.&lt;/auth-address&gt;&lt;titles&gt;&lt;title&gt;Alternatives to custodial remand for women in the criminal justice system: A multi-sector approach&lt;/title&gt;&lt;secondary-title&gt;Crim Behav Ment Health&lt;/secondary-title&gt;&lt;/titles&gt;&lt;periodical&gt;&lt;full-title&gt;Crim Behav Ment Health&lt;/full-title&gt;&lt;/periodical&gt;&lt;edition&gt;2020/03/27&lt;/edition&gt;&lt;keywords&gt;&lt;keyword&gt;court&lt;/keyword&gt;&lt;keyword&gt;liaison and diversion&lt;/keyword&gt;&lt;keyword&gt;multi-sector&lt;/keyword&gt;&lt;keyword&gt;prison&lt;/keyword&gt;&lt;keyword&gt;women&lt;/keyword&gt;&lt;/keywords&gt;&lt;dates&gt;&lt;year&gt;2020&lt;/year&gt;&lt;pub-dates&gt;&lt;date&gt;Mar 25&lt;/date&gt;&lt;/pub-dates&gt;&lt;/dates&gt;&lt;isbn&gt;1471-2857 (Electronic)&amp;#xD;0957-9664 (Linking)&lt;/isbn&gt;&lt;accession-num&gt;32212284&lt;/accession-num&gt;&lt;urls&gt;&lt;related-urls&gt;&lt;url&gt;https://www.ncbi.nlm.nih.gov/pubmed/32212284&lt;/url&gt;&lt;/related-urls&gt;&lt;/urls&gt;&lt;electronic-resource-num&gt;10.1002/cbm.2144&lt;/electronic-resource-num&gt;&lt;/record&gt;&lt;/Cite&gt;&lt;/EndNote&gt;</w:instrText>
      </w:r>
      <w:r>
        <w:rPr>
          <w:rFonts w:ascii="Times New Roman" w:hAnsi="Times New Roman" w:cs="Times New Roman"/>
          <w:sz w:val="24"/>
          <w:szCs w:val="24"/>
        </w:rPr>
        <w:fldChar w:fldCharType="separate"/>
      </w:r>
      <w:r w:rsidR="004C46F1">
        <w:rPr>
          <w:rFonts w:ascii="Times New Roman" w:hAnsi="Times New Roman" w:cs="Times New Roman"/>
          <w:noProof/>
          <w:sz w:val="24"/>
          <w:szCs w:val="24"/>
        </w:rPr>
        <w:t>(A. Forrester et al., 2020)</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C0946">
        <w:rPr>
          <w:rFonts w:ascii="Times New Roman" w:hAnsi="Times New Roman" w:cs="Times New Roman"/>
          <w:sz w:val="24"/>
          <w:szCs w:val="24"/>
          <w:lang w:eastAsia="en-GB"/>
        </w:rPr>
        <w:t xml:space="preserve">This </w:t>
      </w:r>
      <w:r>
        <w:rPr>
          <w:rFonts w:ascii="Times New Roman" w:eastAsia="Times New Roman" w:hAnsi="Times New Roman" w:cs="Times New Roman"/>
          <w:sz w:val="24"/>
          <w:szCs w:val="24"/>
          <w:lang w:eastAsia="en-GB"/>
        </w:rPr>
        <w:t>CMH+ND</w:t>
      </w:r>
      <w:r w:rsidRPr="00C50F3F">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lang w:eastAsia="en-GB"/>
        </w:rPr>
        <w:t xml:space="preserve">Service </w:t>
      </w:r>
      <w:r w:rsidRPr="00BC0946">
        <w:rPr>
          <w:rFonts w:ascii="Times New Roman" w:hAnsi="Times New Roman" w:cs="Times New Roman"/>
          <w:sz w:val="24"/>
          <w:szCs w:val="24"/>
          <w:lang w:eastAsia="en-GB"/>
        </w:rPr>
        <w:t xml:space="preserve">provided a multi-sector approach </w:t>
      </w:r>
      <w:r>
        <w:rPr>
          <w:rFonts w:ascii="Times New Roman" w:hAnsi="Times New Roman" w:cs="Times New Roman"/>
          <w:sz w:val="24"/>
          <w:szCs w:val="24"/>
          <w:lang w:eastAsia="en-GB"/>
        </w:rPr>
        <w:t>(including health and v</w:t>
      </w:r>
      <w:r w:rsidRPr="00BC0946">
        <w:rPr>
          <w:rFonts w:ascii="Times New Roman" w:hAnsi="Times New Roman" w:cs="Times New Roman"/>
          <w:sz w:val="24"/>
          <w:szCs w:val="24"/>
          <w:lang w:eastAsia="en-GB"/>
        </w:rPr>
        <w:t>oluntary sector</w:t>
      </w:r>
      <w:r>
        <w:rPr>
          <w:rFonts w:ascii="Times New Roman" w:hAnsi="Times New Roman" w:cs="Times New Roman"/>
          <w:sz w:val="24"/>
          <w:szCs w:val="24"/>
          <w:lang w:eastAsia="en-GB"/>
        </w:rPr>
        <w:t xml:space="preserve"> services)</w:t>
      </w:r>
      <w:r w:rsidRPr="00BC0946">
        <w:rPr>
          <w:rFonts w:ascii="Times New Roman" w:hAnsi="Times New Roman" w:cs="Times New Roman"/>
          <w:sz w:val="24"/>
          <w:szCs w:val="24"/>
          <w:lang w:eastAsia="en-GB"/>
        </w:rPr>
        <w:t xml:space="preserve"> in line with current </w:t>
      </w:r>
      <w:r>
        <w:rPr>
          <w:rFonts w:ascii="Times New Roman" w:hAnsi="Times New Roman" w:cs="Times New Roman"/>
          <w:sz w:val="24"/>
          <w:szCs w:val="24"/>
          <w:lang w:eastAsia="en-GB"/>
        </w:rPr>
        <w:t xml:space="preserve">national </w:t>
      </w:r>
      <w:r w:rsidRPr="00BC0946">
        <w:rPr>
          <w:rFonts w:ascii="Times New Roman" w:hAnsi="Times New Roman" w:cs="Times New Roman"/>
          <w:sz w:val="24"/>
          <w:szCs w:val="24"/>
          <w:lang w:eastAsia="en-GB"/>
        </w:rPr>
        <w:t xml:space="preserve">guidance and policy </w:t>
      </w:r>
      <w:r>
        <w:rPr>
          <w:rFonts w:ascii="Times New Roman" w:hAnsi="Times New Roman" w:cs="Times New Roman"/>
          <w:sz w:val="24"/>
          <w:szCs w:val="24"/>
          <w:lang w:eastAsia="en-GB"/>
        </w:rPr>
        <w:fldChar w:fldCharType="begin"/>
      </w:r>
      <w:r w:rsidR="004C46F1">
        <w:rPr>
          <w:rFonts w:ascii="Times New Roman" w:hAnsi="Times New Roman" w:cs="Times New Roman"/>
          <w:sz w:val="24"/>
          <w:szCs w:val="24"/>
          <w:lang w:eastAsia="en-GB"/>
        </w:rPr>
        <w:instrText xml:space="preserve"> ADDIN EN.CITE &lt;EndNote&gt;&lt;Cite&gt;&lt;Author&gt;Durcan&lt;/Author&gt;&lt;Year&gt;2014&lt;/Year&gt;&lt;RecNum&gt;1116&lt;/RecNum&gt;&lt;DisplayText&gt;(Bradley, 2009; Durcan, Saunders, Gadsby, &amp;amp; Hazard, 2014)&lt;/DisplayText&gt;&lt;record&gt;&lt;rec-number&gt;1116&lt;/rec-number&gt;&lt;foreign-keys&gt;&lt;key app="EN" db-id="0wtfxzrvwtvfszed0s9vdzam00frxexae5vz" timestamp="1588890743"&gt;1116&lt;/key&gt;&lt;/foreign-keys&gt;&lt;ref-type name="Journal Article"&gt;17&lt;/ref-type&gt;&lt;contributors&gt;&lt;authors&gt;&lt;author&gt;Durcan, Graham&lt;/author&gt;&lt;author&gt;Saunders, Anna&lt;/author&gt;&lt;author&gt;Gadsby, Ben&lt;/author&gt;&lt;author&gt;Hazard, Aidan&lt;/author&gt;&lt;/authors&gt;&lt;/contributors&gt;&lt;titles&gt;&lt;title&gt;The Bradley Report five years on&lt;/title&gt;&lt;secondary-title&gt;London, England: Centre for Mental Health&lt;/secondary-title&gt;&lt;/titles&gt;&lt;periodical&gt;&lt;full-title&gt;London, England: Centre for Mental Health&lt;/full-title&gt;&lt;/periodical&gt;&lt;dates&gt;&lt;year&gt;2014&lt;/year&gt;&lt;/dates&gt;&lt;urls&gt;&lt;/urls&gt;&lt;/record&gt;&lt;/Cite&gt;&lt;Cite&gt;&lt;Author&gt;Bradley&lt;/Author&gt;&lt;Year&gt;2009&lt;/Year&gt;&lt;RecNum&gt;1013&lt;/RecNum&gt;&lt;record&gt;&lt;rec-number&gt;1013&lt;/rec-number&gt;&lt;foreign-keys&gt;&lt;key app="EN" db-id="0wtfxzrvwtvfszed0s9vdzam00frxexae5vz" timestamp="1588191757"&gt;1013&lt;/key&gt;&lt;/foreign-keys&gt;&lt;ref-type name="Journal Article"&gt;17&lt;/ref-type&gt;&lt;contributors&gt;&lt;authors&gt;&lt;author&gt;Bradley, Keith John Charles Baron&lt;/author&gt;&lt;/authors&gt;&lt;/contributors&gt;&lt;titles&gt;&lt;title&gt;The Bradley Report: Lord Bradley&amp;apos;s review of people with mental health problems or learning disabilities in the criminal justice system&lt;/title&gt;&lt;/titles&gt;&lt;dates&gt;&lt;year&gt;2009&lt;/year&gt;&lt;/dates&gt;&lt;urls&gt;&lt;/urls&gt;&lt;/record&gt;&lt;/Cite&gt;&lt;/EndNote&gt;</w:instrText>
      </w:r>
      <w:r>
        <w:rPr>
          <w:rFonts w:ascii="Times New Roman" w:hAnsi="Times New Roman" w:cs="Times New Roman"/>
          <w:sz w:val="24"/>
          <w:szCs w:val="24"/>
          <w:lang w:eastAsia="en-GB"/>
        </w:rPr>
        <w:fldChar w:fldCharType="separate"/>
      </w:r>
      <w:r w:rsidR="004C46F1">
        <w:rPr>
          <w:rFonts w:ascii="Times New Roman" w:hAnsi="Times New Roman" w:cs="Times New Roman"/>
          <w:noProof/>
          <w:sz w:val="24"/>
          <w:szCs w:val="24"/>
          <w:lang w:eastAsia="en-GB"/>
        </w:rPr>
        <w:t>(Bradley, 2009; Durcan, Saunders, Gadsby, &amp; Hazard, 2014)</w:t>
      </w:r>
      <w:r>
        <w:rPr>
          <w:rFonts w:ascii="Times New Roman" w:hAnsi="Times New Roman" w:cs="Times New Roman"/>
          <w:sz w:val="24"/>
          <w:szCs w:val="24"/>
          <w:lang w:eastAsia="en-GB"/>
        </w:rPr>
        <w:fldChar w:fldCharType="end"/>
      </w:r>
      <w:r w:rsidRPr="00D55A21">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p>
    <w:p w14:paraId="2DD24D99" w14:textId="77777777" w:rsidR="000B1425" w:rsidRDefault="000B1425" w:rsidP="000B1425">
      <w:pPr>
        <w:spacing w:line="480" w:lineRule="auto"/>
        <w:rPr>
          <w:rFonts w:ascii="Times New Roman" w:eastAsia="Calibri" w:hAnsi="Times New Roman"/>
          <w:szCs w:val="24"/>
        </w:rPr>
      </w:pPr>
    </w:p>
    <w:p w14:paraId="77F7AA77" w14:textId="1FC3178F" w:rsidR="000B1425" w:rsidRPr="005911F7" w:rsidRDefault="000B1425" w:rsidP="000B1425">
      <w:pPr>
        <w:spacing w:line="480" w:lineRule="auto"/>
        <w:rPr>
          <w:rFonts w:ascii="Times New Roman" w:eastAsia="Calibri" w:hAnsi="Times New Roman"/>
          <w:szCs w:val="24"/>
        </w:rPr>
      </w:pPr>
      <w:r>
        <w:rPr>
          <w:rFonts w:ascii="Times New Roman" w:eastAsia="Calibri" w:hAnsi="Times New Roman"/>
          <w:szCs w:val="24"/>
        </w:rPr>
        <w:t>Defendants with ND across both services</w:t>
      </w:r>
      <w:r w:rsidRPr="00C50F3F">
        <w:rPr>
          <w:rFonts w:ascii="Times New Roman" w:eastAsia="Calibri" w:hAnsi="Times New Roman"/>
          <w:szCs w:val="24"/>
        </w:rPr>
        <w:t xml:space="preserve"> </w:t>
      </w:r>
      <w:r>
        <w:rPr>
          <w:rFonts w:ascii="Times New Roman" w:eastAsia="Calibri" w:hAnsi="Times New Roman"/>
          <w:szCs w:val="24"/>
        </w:rPr>
        <w:t xml:space="preserve">were significantly </w:t>
      </w:r>
      <w:r w:rsidRPr="00C50F3F">
        <w:rPr>
          <w:rFonts w:ascii="Times New Roman" w:eastAsia="Calibri" w:hAnsi="Times New Roman"/>
          <w:szCs w:val="24"/>
        </w:rPr>
        <w:t>younger</w:t>
      </w:r>
      <w:r>
        <w:rPr>
          <w:rFonts w:ascii="Times New Roman" w:eastAsia="Calibri" w:hAnsi="Times New Roman"/>
          <w:szCs w:val="24"/>
        </w:rPr>
        <w:t>, while women</w:t>
      </w:r>
      <w:r w:rsidRPr="00C50F3F">
        <w:rPr>
          <w:rFonts w:ascii="Times New Roman" w:eastAsia="Calibri" w:hAnsi="Times New Roman"/>
          <w:szCs w:val="24"/>
        </w:rPr>
        <w:t xml:space="preserve"> were less likely than others to </w:t>
      </w:r>
      <w:r>
        <w:rPr>
          <w:rFonts w:ascii="Times New Roman" w:eastAsia="Calibri" w:hAnsi="Times New Roman"/>
          <w:szCs w:val="24"/>
        </w:rPr>
        <w:t xml:space="preserve">be diagnosed with an ND. </w:t>
      </w:r>
      <w:r w:rsidRPr="00C50F3F">
        <w:rPr>
          <w:rFonts w:ascii="Times New Roman" w:eastAsia="Calibri" w:hAnsi="Times New Roman"/>
          <w:szCs w:val="24"/>
        </w:rPr>
        <w:t xml:space="preserve"> </w:t>
      </w:r>
      <w:r>
        <w:rPr>
          <w:rFonts w:ascii="Times New Roman" w:eastAsia="Calibri" w:hAnsi="Times New Roman"/>
          <w:szCs w:val="24"/>
        </w:rPr>
        <w:t>This may be due to several factors but</w:t>
      </w:r>
      <w:r w:rsidRPr="00C50F3F">
        <w:rPr>
          <w:rFonts w:ascii="Times New Roman" w:eastAsia="Calibri" w:hAnsi="Times New Roman"/>
          <w:szCs w:val="24"/>
        </w:rPr>
        <w:t xml:space="preserve"> </w:t>
      </w:r>
      <w:r>
        <w:rPr>
          <w:rFonts w:ascii="Times New Roman" w:eastAsia="Calibri" w:hAnsi="Times New Roman"/>
          <w:szCs w:val="24"/>
        </w:rPr>
        <w:t xml:space="preserve">it is well </w:t>
      </w:r>
      <w:proofErr w:type="spellStart"/>
      <w:r>
        <w:rPr>
          <w:rFonts w:ascii="Times New Roman" w:eastAsia="Calibri" w:hAnsi="Times New Roman"/>
          <w:szCs w:val="24"/>
        </w:rPr>
        <w:t>recognised</w:t>
      </w:r>
      <w:proofErr w:type="spellEnd"/>
      <w:r>
        <w:rPr>
          <w:rFonts w:ascii="Times New Roman" w:eastAsia="Calibri" w:hAnsi="Times New Roman"/>
          <w:szCs w:val="24"/>
        </w:rPr>
        <w:t xml:space="preserve"> that ND such as ASD is diagnosed less in women </w:t>
      </w:r>
      <w:r>
        <w:rPr>
          <w:rFonts w:ascii="Times New Roman" w:eastAsia="Calibri" w:hAnsi="Times New Roman"/>
          <w:szCs w:val="24"/>
        </w:rPr>
        <w:fldChar w:fldCharType="begin"/>
      </w:r>
      <w:r w:rsidR="004C46F1">
        <w:rPr>
          <w:rFonts w:ascii="Times New Roman" w:eastAsia="Calibri" w:hAnsi="Times New Roman"/>
          <w:szCs w:val="24"/>
        </w:rPr>
        <w:instrText xml:space="preserve"> ADDIN EN.CITE &lt;EndNote&gt;&lt;Cite&gt;&lt;Author&gt;Gould&lt;/Author&gt;&lt;Year&gt;2017&lt;/Year&gt;&lt;RecNum&gt;1375&lt;/RecNum&gt;&lt;DisplayText&gt;(Gould, 2017)&lt;/DisplayText&gt;&lt;record&gt;&lt;rec-number&gt;1375&lt;/rec-number&gt;&lt;foreign-keys&gt;&lt;key app="EN" db-id="0wtfxzrvwtvfszed0s9vdzam00frxexae5vz" timestamp="1619708680"&gt;1375&lt;/key&gt;&lt;/foreign-keys&gt;&lt;ref-type name="Journal Article"&gt;17&lt;/ref-type&gt;&lt;contributors&gt;&lt;authors&gt;&lt;author&gt;Gould, Judith&lt;/author&gt;&lt;/authors&gt;&lt;/contributors&gt;&lt;titles&gt;&lt;title&gt;Towards understanding the under-recognition of girls and women on the autism spectrum&lt;/title&gt;&lt;secondary-title&gt;Autism&lt;/secondary-title&gt;&lt;/titles&gt;&lt;periodical&gt;&lt;full-title&gt;Autism&lt;/full-title&gt;&lt;/periodical&gt;&lt;pages&gt;703-705&lt;/pages&gt;&lt;volume&gt;21&lt;/volume&gt;&lt;number&gt;6&lt;/number&gt;&lt;dates&gt;&lt;year&gt;2017&lt;/year&gt;&lt;/dates&gt;&lt;isbn&gt;1362-3613&lt;/isbn&gt;&lt;urls&gt;&lt;/urls&gt;&lt;/record&gt;&lt;/Cite&gt;&lt;/EndNote&gt;</w:instrText>
      </w:r>
      <w:r>
        <w:rPr>
          <w:rFonts w:ascii="Times New Roman" w:eastAsia="Calibri" w:hAnsi="Times New Roman"/>
          <w:szCs w:val="24"/>
        </w:rPr>
        <w:fldChar w:fldCharType="separate"/>
      </w:r>
      <w:r w:rsidR="004C46F1">
        <w:rPr>
          <w:rFonts w:ascii="Times New Roman" w:eastAsia="Calibri" w:hAnsi="Times New Roman"/>
          <w:noProof/>
          <w:szCs w:val="24"/>
        </w:rPr>
        <w:t>(Gould, 2017)</w:t>
      </w:r>
      <w:r>
        <w:rPr>
          <w:rFonts w:ascii="Times New Roman" w:eastAsia="Calibri" w:hAnsi="Times New Roman"/>
          <w:szCs w:val="24"/>
        </w:rPr>
        <w:fldChar w:fldCharType="end"/>
      </w:r>
      <w:r>
        <w:rPr>
          <w:rFonts w:ascii="Times New Roman" w:eastAsia="Calibri" w:hAnsi="Times New Roman"/>
          <w:szCs w:val="24"/>
        </w:rPr>
        <w:t xml:space="preserve">. </w:t>
      </w:r>
      <w:r>
        <w:rPr>
          <w:rFonts w:ascii="Times New Roman" w:hAnsi="Times New Roman"/>
          <w:szCs w:val="24"/>
        </w:rPr>
        <w:t xml:space="preserve">Diagnosing a specific ND in adults is complex and is made more difficult amongst court defendants. This is due to several factors including time limitations at court to undertake assessments in Court setting for this group of defendants who have high rates of comorbidity with other ND, mental disorders and substance and alcohol misuse disorders so involves a complex diagnostic assessment. Although the same rate of ND (9.5%) was found in both the enhanced and standard service, </w:t>
      </w:r>
      <w:r w:rsidRPr="00B264F1">
        <w:rPr>
          <w:rFonts w:ascii="Times New Roman" w:hAnsi="Times New Roman"/>
          <w:szCs w:val="24"/>
        </w:rPr>
        <w:t xml:space="preserve">there were fewer diagnoses of comorbid NDs by the CMH+ND </w:t>
      </w:r>
      <w:r>
        <w:rPr>
          <w:rFonts w:ascii="Times New Roman" w:hAnsi="Times New Roman"/>
          <w:szCs w:val="24"/>
        </w:rPr>
        <w:t>Service</w:t>
      </w:r>
      <w:r w:rsidRPr="00B264F1">
        <w:rPr>
          <w:rFonts w:ascii="Times New Roman" w:hAnsi="Times New Roman"/>
          <w:szCs w:val="24"/>
        </w:rPr>
        <w:t>.</w:t>
      </w:r>
      <w:r>
        <w:rPr>
          <w:rFonts w:ascii="Times New Roman" w:hAnsi="Times New Roman"/>
          <w:szCs w:val="24"/>
        </w:rPr>
        <w:t xml:space="preserve"> This has implications for treatment especially for defendants with ADHD  which was more likely to be </w:t>
      </w:r>
      <w:proofErr w:type="spellStart"/>
      <w:r>
        <w:rPr>
          <w:rFonts w:ascii="Times New Roman" w:hAnsi="Times New Roman"/>
          <w:szCs w:val="24"/>
        </w:rPr>
        <w:lastRenderedPageBreak/>
        <w:t>recognised</w:t>
      </w:r>
      <w:proofErr w:type="spellEnd"/>
      <w:r>
        <w:rPr>
          <w:rFonts w:ascii="Times New Roman" w:hAnsi="Times New Roman"/>
          <w:szCs w:val="24"/>
        </w:rPr>
        <w:t xml:space="preserve"> as a single condition by the specialist service so reducing the risk of potential misdiagnosis of a comorbid ND which may further complicate any intervention strategy.</w:t>
      </w:r>
    </w:p>
    <w:p w14:paraId="735386CC" w14:textId="77777777" w:rsidR="000B1425" w:rsidRPr="005911F7" w:rsidRDefault="000B1425" w:rsidP="000B1425">
      <w:pPr>
        <w:spacing w:line="480" w:lineRule="auto"/>
        <w:rPr>
          <w:rFonts w:ascii="Times New Roman" w:eastAsia="Calibri" w:hAnsi="Times New Roman"/>
          <w:szCs w:val="24"/>
        </w:rPr>
      </w:pPr>
      <w:r>
        <w:rPr>
          <w:rFonts w:ascii="Times New Roman" w:hAnsi="Times New Roman"/>
          <w:szCs w:val="24"/>
        </w:rPr>
        <w:t xml:space="preserve">  </w:t>
      </w:r>
    </w:p>
    <w:p w14:paraId="66672BC8" w14:textId="6E526F55" w:rsidR="000B1425" w:rsidRDefault="000B1425" w:rsidP="000B1425">
      <w:pPr>
        <w:spacing w:line="480" w:lineRule="auto"/>
        <w:rPr>
          <w:rFonts w:ascii="Times New Roman" w:eastAsia="Calibri" w:hAnsi="Times New Roman"/>
          <w:szCs w:val="24"/>
        </w:rPr>
      </w:pPr>
      <w:r>
        <w:rPr>
          <w:rFonts w:ascii="Times New Roman" w:eastAsia="Calibri" w:hAnsi="Times New Roman"/>
          <w:szCs w:val="24"/>
        </w:rPr>
        <w:t xml:space="preserve">The CMH+ND Service detected increased rates of </w:t>
      </w:r>
      <w:r w:rsidRPr="001D00AA">
        <w:rPr>
          <w:rFonts w:ascii="Times New Roman" w:eastAsia="Calibri" w:hAnsi="Times New Roman"/>
          <w:szCs w:val="24"/>
        </w:rPr>
        <w:t xml:space="preserve">mental illness </w:t>
      </w:r>
      <w:r>
        <w:rPr>
          <w:rFonts w:ascii="Times New Roman" w:eastAsia="Calibri" w:hAnsi="Times New Roman"/>
          <w:szCs w:val="24"/>
        </w:rPr>
        <w:t>in the ND defendants’ group when compared to the CMH service although this was not a significant finding.</w:t>
      </w:r>
      <w:r w:rsidRPr="00987D36">
        <w:rPr>
          <w:rFonts w:ascii="Times New Roman" w:eastAsia="Calibri" w:hAnsi="Times New Roman"/>
          <w:szCs w:val="24"/>
        </w:rPr>
        <w:t xml:space="preserve"> </w:t>
      </w:r>
      <w:r>
        <w:rPr>
          <w:rFonts w:ascii="Times New Roman" w:eastAsia="Calibri" w:hAnsi="Times New Roman"/>
          <w:szCs w:val="24"/>
        </w:rPr>
        <w:t xml:space="preserve"> This may of course reflect a true increase in the prevalence of these disorders in this group over time. It may also however reflect improved detection of mental disorders through the expertise provided by the CMH+NT Service as the need for specialist services is well </w:t>
      </w:r>
      <w:proofErr w:type="spellStart"/>
      <w:r>
        <w:rPr>
          <w:rFonts w:ascii="Times New Roman" w:eastAsia="Calibri" w:hAnsi="Times New Roman"/>
          <w:szCs w:val="24"/>
        </w:rPr>
        <w:t>recognised</w:t>
      </w:r>
      <w:proofErr w:type="spellEnd"/>
      <w:r>
        <w:rPr>
          <w:rFonts w:ascii="Times New Roman" w:eastAsia="Calibri" w:hAnsi="Times New Roman"/>
          <w:szCs w:val="24"/>
        </w:rPr>
        <w:t xml:space="preserve"> for this group </w:t>
      </w:r>
      <w:r>
        <w:rPr>
          <w:rFonts w:ascii="Times New Roman" w:eastAsia="Calibri" w:hAnsi="Times New Roman"/>
          <w:szCs w:val="24"/>
        </w:rPr>
        <w:fldChar w:fldCharType="begin"/>
      </w:r>
      <w:r w:rsidR="004C46F1">
        <w:rPr>
          <w:rFonts w:ascii="Times New Roman" w:eastAsia="Calibri" w:hAnsi="Times New Roman"/>
          <w:szCs w:val="24"/>
        </w:rPr>
        <w:instrText xml:space="preserve"> ADDIN EN.CITE &lt;EndNote&gt;&lt;Cite&gt;&lt;Author&gt;Chaplin&lt;/Author&gt;&lt;Year&gt;2009&lt;/Year&gt;&lt;RecNum&gt;1123&lt;/RecNum&gt;&lt;DisplayText&gt;(Bouras &amp;amp; Holt, 2004; Eddie Chaplin, O’Hara, Holt, &amp;amp; Bouras, 2009)&lt;/DisplayText&gt;&lt;record&gt;&lt;rec-number&gt;1123&lt;/rec-number&gt;&lt;foreign-keys&gt;&lt;key app="EN" db-id="0wtfxzrvwtvfszed0s9vdzam00frxexae5vz" timestamp="1590395463"&gt;1123&lt;/key&gt;&lt;/foreign-keys&gt;&lt;ref-type name="Journal Article"&gt;17&lt;/ref-type&gt;&lt;contributors&gt;&lt;authors&gt;&lt;author&gt;Chaplin, Eddie&lt;/author&gt;&lt;author&gt;O’Hara, Jean&lt;/author&gt;&lt;author&gt;Holt, Geraldine&lt;/author&gt;&lt;author&gt;Bouras, Nick&lt;/author&gt;&lt;/authors&gt;&lt;/contributors&gt;&lt;titles&gt;&lt;title&gt;Mental health services for people with intellectual disability: challenges to care delivery&lt;/title&gt;&lt;secondary-title&gt;British Journal of Learning Disabilities&lt;/secondary-title&gt;&lt;/titles&gt;&lt;periodical&gt;&lt;full-title&gt;British Journal of Learning Disabilities&lt;/full-title&gt;&lt;/periodical&gt;&lt;pages&gt;157-164&lt;/pages&gt;&lt;volume&gt;37&lt;/volume&gt;&lt;number&gt;2&lt;/number&gt;&lt;dates&gt;&lt;year&gt;2009&lt;/year&gt;&lt;/dates&gt;&lt;isbn&gt;1354-4187&lt;/isbn&gt;&lt;urls&gt;&lt;/urls&gt;&lt;/record&gt;&lt;/Cite&gt;&lt;Cite&gt;&lt;Author&gt;Bouras&lt;/Author&gt;&lt;Year&gt;2004&lt;/Year&gt;&lt;RecNum&gt;1122&lt;/RecNum&gt;&lt;record&gt;&lt;rec-number&gt;1122&lt;/rec-number&gt;&lt;foreign-keys&gt;&lt;key app="EN" db-id="0wtfxzrvwtvfszed0s9vdzam00frxexae5vz" timestamp="1590395431"&gt;1122&lt;/key&gt;&lt;/foreign-keys&gt;&lt;ref-type name="Journal Article"&gt;17&lt;/ref-type&gt;&lt;contributors&gt;&lt;authors&gt;&lt;author&gt;Bouras, Nick&lt;/author&gt;&lt;author&gt;Holt, Geraldine&lt;/author&gt;&lt;/authors&gt;&lt;/contributors&gt;&lt;titles&gt;&lt;title&gt;Mental health services for adults with learning disabilities&lt;/title&gt;&lt;secondary-title&gt;The British Journal of Psychiatry&lt;/secondary-title&gt;&lt;/titles&gt;&lt;periodical&gt;&lt;full-title&gt;The British Journal of Psychiatry&lt;/full-title&gt;&lt;/periodical&gt;&lt;pages&gt;291-292&lt;/pages&gt;&lt;volume&gt;184&lt;/volume&gt;&lt;number&gt;4&lt;/number&gt;&lt;dates&gt;&lt;year&gt;2004&lt;/year&gt;&lt;/dates&gt;&lt;isbn&gt;0007-1250&lt;/isbn&gt;&lt;urls&gt;&lt;/urls&gt;&lt;/record&gt;&lt;/Cite&gt;&lt;/EndNote&gt;</w:instrText>
      </w:r>
      <w:r>
        <w:rPr>
          <w:rFonts w:ascii="Times New Roman" w:eastAsia="Calibri" w:hAnsi="Times New Roman"/>
          <w:szCs w:val="24"/>
        </w:rPr>
        <w:fldChar w:fldCharType="separate"/>
      </w:r>
      <w:r w:rsidR="004C46F1">
        <w:rPr>
          <w:rFonts w:ascii="Times New Roman" w:eastAsia="Calibri" w:hAnsi="Times New Roman"/>
          <w:noProof/>
          <w:szCs w:val="24"/>
        </w:rPr>
        <w:t>(Bouras &amp; Holt, 2004; Eddie Chaplin, O’Hara, Holt, &amp; Bouras, 2009)</w:t>
      </w:r>
      <w:r>
        <w:rPr>
          <w:rFonts w:ascii="Times New Roman" w:eastAsia="Calibri" w:hAnsi="Times New Roman"/>
          <w:szCs w:val="24"/>
        </w:rPr>
        <w:fldChar w:fldCharType="end"/>
      </w:r>
      <w:r>
        <w:rPr>
          <w:rFonts w:ascii="Times New Roman" w:eastAsia="Calibri" w:hAnsi="Times New Roman"/>
          <w:szCs w:val="24"/>
        </w:rPr>
        <w:t xml:space="preserve">, although less well understood for other ND such as ASD  </w:t>
      </w:r>
      <w:r>
        <w:rPr>
          <w:rFonts w:ascii="Times New Roman" w:eastAsia="Calibri" w:hAnsi="Times New Roman"/>
          <w:szCs w:val="24"/>
        </w:rPr>
        <w:fldChar w:fldCharType="begin"/>
      </w:r>
      <w:r w:rsidR="004C46F1">
        <w:rPr>
          <w:rFonts w:ascii="Times New Roman" w:eastAsia="Calibri" w:hAnsi="Times New Roman"/>
          <w:szCs w:val="24"/>
        </w:rPr>
        <w:instrText xml:space="preserve"> ADDIN EN.CITE &lt;EndNote&gt;&lt;Cite&gt;&lt;Author&gt;Kelbrick&lt;/Author&gt;&lt;Year&gt;2013&lt;/Year&gt;&lt;RecNum&gt;1125&lt;/RecNum&gt;&lt;DisplayText&gt;(E Chaplin, Spain, &amp;amp; McCarthy, 2019; Kelbrick &amp;amp; Radley, 2013)&lt;/DisplayText&gt;&lt;record&gt;&lt;rec-number&gt;1125&lt;/rec-number&gt;&lt;foreign-keys&gt;&lt;key app="EN" db-id="0wtfxzrvwtvfszed0s9vdzam00frxexae5vz" timestamp="1590396120"&gt;1125&lt;/key&gt;&lt;/foreign-keys&gt;&lt;ref-type name="Journal Article"&gt;17&lt;/ref-type&gt;&lt;contributors&gt;&lt;authors&gt;&lt;author&gt;Kelbrick, Marlene&lt;/author&gt;&lt;author&gt;Radley, Jane&lt;/author&gt;&lt;/authors&gt;&lt;/contributors&gt;&lt;titles&gt;&lt;title&gt;Forensic rehabilitation in Asperger syndrome: a case report&lt;/title&gt;&lt;secondary-title&gt;Journal of Intellectual Disabilities and Offending Behaviour&lt;/secondary-title&gt;&lt;/titles&gt;&lt;periodical&gt;&lt;full-title&gt;Journal Of Intellectual Disabilities And Offending Behaviour&lt;/full-title&gt;&lt;/periodical&gt;&lt;pages&gt;60-64&lt;/pages&gt;&lt;volume&gt;4&lt;/volume&gt;&lt;number&gt;1-2&lt;/number&gt;&lt;dates&gt;&lt;year&gt;2013&lt;/year&gt;&lt;/dates&gt;&lt;isbn&gt;2050-8824&lt;/isbn&gt;&lt;urls&gt;&lt;/urls&gt;&lt;/record&gt;&lt;/Cite&gt;&lt;Cite&gt;&lt;Author&gt;Chaplin&lt;/Author&gt;&lt;Year&gt;2019&lt;/Year&gt;&lt;RecNum&gt;1129&lt;/RecNum&gt;&lt;record&gt;&lt;rec-number&gt;1129&lt;/rec-number&gt;&lt;foreign-keys&gt;&lt;key app="EN" db-id="0wtfxzrvwtvfszed0s9vdzam00frxexae5vz" timestamp="1590838040"&gt;1129&lt;/key&gt;&lt;/foreign-keys&gt;&lt;ref-type name="Book"&gt;6&lt;/ref-type&gt;&lt;contributors&gt;&lt;authors&gt;&lt;author&gt;Chaplin, E&lt;/author&gt;&lt;author&gt;Spain, D&lt;/author&gt;&lt;author&gt;McCarthy, J.&lt;/author&gt;&lt;/authors&gt;&lt;/contributors&gt;&lt;titles&gt;&lt;title&gt;A Clinician’s Guide to Mental Health Conditions in Adults with Autism Spectrum Disorders: Assessment and Interventions&lt;/title&gt;&lt;/titles&gt;&lt;dates&gt;&lt;year&gt;2019&lt;/year&gt;&lt;/dates&gt;&lt;publisher&gt;Jessica Kingsley Publishers&lt;/publisher&gt;&lt;isbn&gt;1784508004&lt;/isbn&gt;&lt;urls&gt;&lt;/urls&gt;&lt;/record&gt;&lt;/Cite&gt;&lt;/EndNote&gt;</w:instrText>
      </w:r>
      <w:r>
        <w:rPr>
          <w:rFonts w:ascii="Times New Roman" w:eastAsia="Calibri" w:hAnsi="Times New Roman"/>
          <w:szCs w:val="24"/>
        </w:rPr>
        <w:fldChar w:fldCharType="separate"/>
      </w:r>
      <w:r w:rsidR="004C46F1">
        <w:rPr>
          <w:rFonts w:ascii="Times New Roman" w:eastAsia="Calibri" w:hAnsi="Times New Roman"/>
          <w:noProof/>
          <w:szCs w:val="24"/>
        </w:rPr>
        <w:t>(E Chaplin, Spain, &amp; McCarthy, 2019; Kelbrick &amp; Radley, 2013)</w:t>
      </w:r>
      <w:r>
        <w:rPr>
          <w:rFonts w:ascii="Times New Roman" w:eastAsia="Calibri" w:hAnsi="Times New Roman"/>
          <w:szCs w:val="24"/>
        </w:rPr>
        <w:fldChar w:fldCharType="end"/>
      </w:r>
      <w:r>
        <w:rPr>
          <w:rFonts w:ascii="Times New Roman" w:eastAsia="Calibri" w:hAnsi="Times New Roman"/>
          <w:szCs w:val="24"/>
        </w:rPr>
        <w:t xml:space="preserve">. This study, therefore, suggests that the use of expertise in ND within liaison and diversion services may assist with the early identification of unmet health needs. This has many implications for earlier </w:t>
      </w:r>
      <w:r w:rsidRPr="00B21329">
        <w:rPr>
          <w:rFonts w:ascii="Times New Roman" w:eastAsia="Calibri" w:hAnsi="Times New Roman"/>
          <w:szCs w:val="24"/>
        </w:rPr>
        <w:t xml:space="preserve">detection of mental illness </w:t>
      </w:r>
      <w:r>
        <w:rPr>
          <w:rFonts w:ascii="Times New Roman" w:eastAsia="Calibri" w:hAnsi="Times New Roman"/>
          <w:szCs w:val="24"/>
        </w:rPr>
        <w:t xml:space="preserve">in this vulnerable group of defendants leading to </w:t>
      </w:r>
      <w:r w:rsidRPr="00B21329">
        <w:rPr>
          <w:rFonts w:ascii="Times New Roman" w:eastAsia="Calibri" w:hAnsi="Times New Roman"/>
          <w:szCs w:val="24"/>
        </w:rPr>
        <w:t xml:space="preserve">signposting and </w:t>
      </w:r>
      <w:r>
        <w:rPr>
          <w:rFonts w:ascii="Times New Roman" w:eastAsia="Calibri" w:hAnsi="Times New Roman"/>
          <w:szCs w:val="24"/>
        </w:rPr>
        <w:t xml:space="preserve">onward </w:t>
      </w:r>
      <w:r w:rsidRPr="00B21329">
        <w:rPr>
          <w:rFonts w:ascii="Times New Roman" w:eastAsia="Calibri" w:hAnsi="Times New Roman"/>
          <w:szCs w:val="24"/>
        </w:rPr>
        <w:t xml:space="preserve">referral to </w:t>
      </w:r>
      <w:r>
        <w:rPr>
          <w:rFonts w:ascii="Times New Roman" w:eastAsia="Calibri" w:hAnsi="Times New Roman"/>
          <w:szCs w:val="24"/>
        </w:rPr>
        <w:t xml:space="preserve">community-based </w:t>
      </w:r>
      <w:r w:rsidRPr="00B21329">
        <w:rPr>
          <w:rFonts w:ascii="Times New Roman" w:eastAsia="Calibri" w:hAnsi="Times New Roman"/>
          <w:szCs w:val="24"/>
        </w:rPr>
        <w:t>mental health service</w:t>
      </w:r>
      <w:r>
        <w:rPr>
          <w:rFonts w:ascii="Times New Roman" w:eastAsia="Calibri" w:hAnsi="Times New Roman"/>
          <w:szCs w:val="24"/>
        </w:rPr>
        <w:t>s much earlier and ultimately improved health outcomes.</w:t>
      </w:r>
    </w:p>
    <w:p w14:paraId="1F07723F" w14:textId="77777777" w:rsidR="000B1425" w:rsidRDefault="000B1425" w:rsidP="000B1425">
      <w:pPr>
        <w:spacing w:line="480" w:lineRule="auto"/>
        <w:rPr>
          <w:rFonts w:ascii="Times New Roman" w:eastAsia="Calibri" w:hAnsi="Times New Roman"/>
          <w:szCs w:val="24"/>
        </w:rPr>
      </w:pPr>
    </w:p>
    <w:p w14:paraId="7BB6A583" w14:textId="2EF3A81C" w:rsidR="000B1425" w:rsidRPr="009165E2" w:rsidRDefault="00BF6D0B" w:rsidP="000B1425">
      <w:pPr>
        <w:spacing w:line="480" w:lineRule="auto"/>
        <w:rPr>
          <w:rFonts w:ascii="Times New Roman" w:eastAsia="Calibri" w:hAnsi="Times New Roman"/>
          <w:i/>
          <w:iCs/>
          <w:szCs w:val="24"/>
        </w:rPr>
      </w:pPr>
      <w:r>
        <w:rPr>
          <w:rFonts w:ascii="Times New Roman" w:eastAsia="Calibri" w:hAnsi="Times New Roman"/>
          <w:i/>
          <w:iCs/>
          <w:szCs w:val="24"/>
        </w:rPr>
        <w:t xml:space="preserve">4.1 </w:t>
      </w:r>
      <w:r w:rsidR="000B1425" w:rsidRPr="00880A4D">
        <w:rPr>
          <w:rFonts w:ascii="Times New Roman" w:eastAsia="Calibri" w:hAnsi="Times New Roman"/>
          <w:i/>
          <w:iCs/>
          <w:szCs w:val="24"/>
        </w:rPr>
        <w:t>Pathways</w:t>
      </w:r>
    </w:p>
    <w:p w14:paraId="28F88F7F" w14:textId="1203323B" w:rsidR="000B1425" w:rsidRDefault="000B1425" w:rsidP="000B1425">
      <w:pPr>
        <w:spacing w:line="480" w:lineRule="auto"/>
        <w:rPr>
          <w:rFonts w:ascii="Times New Roman" w:hAnsi="Times New Roman"/>
          <w:bCs/>
          <w:iCs/>
          <w:szCs w:val="24"/>
        </w:rPr>
      </w:pPr>
      <w:r>
        <w:rPr>
          <w:rFonts w:ascii="Times New Roman" w:hAnsi="Times New Roman"/>
          <w:bCs/>
          <w:iCs/>
          <w:szCs w:val="24"/>
        </w:rPr>
        <w:t xml:space="preserve">In terms of the pathway, </w:t>
      </w:r>
      <w:r w:rsidRPr="002962B5">
        <w:rPr>
          <w:rFonts w:ascii="Times New Roman" w:hAnsi="Times New Roman"/>
          <w:bCs/>
          <w:iCs/>
          <w:szCs w:val="24"/>
        </w:rPr>
        <w:t xml:space="preserve">Pre-Court the ND Group were more likely to be bailed </w:t>
      </w:r>
      <w:r>
        <w:rPr>
          <w:rFonts w:ascii="Times New Roman" w:hAnsi="Times New Roman"/>
          <w:bCs/>
          <w:iCs/>
          <w:szCs w:val="24"/>
        </w:rPr>
        <w:t xml:space="preserve">and once at court the </w:t>
      </w:r>
      <w:r w:rsidRPr="002962B5">
        <w:rPr>
          <w:rFonts w:ascii="Times New Roman" w:hAnsi="Times New Roman"/>
          <w:bCs/>
          <w:iCs/>
          <w:szCs w:val="24"/>
        </w:rPr>
        <w:t xml:space="preserve">referral pathway into CMH+ND </w:t>
      </w:r>
      <w:r>
        <w:rPr>
          <w:rFonts w:ascii="Times New Roman" w:hAnsi="Times New Roman"/>
          <w:bCs/>
          <w:iCs/>
          <w:szCs w:val="24"/>
        </w:rPr>
        <w:t>Service</w:t>
      </w:r>
      <w:r w:rsidRPr="002962B5">
        <w:rPr>
          <w:rFonts w:ascii="Times New Roman" w:hAnsi="Times New Roman"/>
          <w:bCs/>
          <w:iCs/>
          <w:szCs w:val="24"/>
        </w:rPr>
        <w:t xml:space="preserve"> </w:t>
      </w:r>
      <w:r>
        <w:rPr>
          <w:rFonts w:ascii="Times New Roman" w:hAnsi="Times New Roman"/>
          <w:bCs/>
          <w:iCs/>
          <w:szCs w:val="24"/>
        </w:rPr>
        <w:t xml:space="preserve">had slightly higher rates of </w:t>
      </w:r>
      <w:r w:rsidRPr="002962B5">
        <w:rPr>
          <w:rFonts w:ascii="Times New Roman" w:hAnsi="Times New Roman"/>
          <w:bCs/>
          <w:iCs/>
          <w:szCs w:val="24"/>
        </w:rPr>
        <w:t>referrals from Probation &amp; Court Staf</w:t>
      </w:r>
      <w:r>
        <w:rPr>
          <w:rFonts w:ascii="Times New Roman" w:hAnsi="Times New Roman"/>
          <w:bCs/>
          <w:iCs/>
          <w:szCs w:val="24"/>
        </w:rPr>
        <w:t xml:space="preserve">f, suggesting that evidence of successful integration of the new service. However, this needs to be interpreted with caution in the absence of prior referral data, patterns and trends before the study period. Disposals of people with developmental disorders have recently been included in new guidance for sentencing. A least restrictive approach is supported </w:t>
      </w:r>
      <w:r w:rsidRPr="003D563C">
        <w:rPr>
          <w:rFonts w:ascii="Times New Roman" w:hAnsi="Times New Roman"/>
          <w:bCs/>
          <w:iCs/>
          <w:szCs w:val="24"/>
        </w:rPr>
        <w:t xml:space="preserve">following </w:t>
      </w:r>
      <w:r w:rsidRPr="003D563C">
        <w:rPr>
          <w:rFonts w:ascii="Times New Roman" w:hAnsi="Times New Roman"/>
          <w:bCs/>
          <w:iCs/>
          <w:szCs w:val="24"/>
        </w:rPr>
        <w:lastRenderedPageBreak/>
        <w:t>appropriate consideration of factors such as risk</w:t>
      </w:r>
      <w:r>
        <w:rPr>
          <w:rFonts w:ascii="Times New Roman" w:hAnsi="Times New Roman"/>
          <w:bCs/>
          <w:iCs/>
          <w:szCs w:val="24"/>
        </w:rPr>
        <w:t>, culpability and ongoing need for treatment</w:t>
      </w:r>
      <w:r>
        <w:rPr>
          <w:rFonts w:ascii="Times New Roman" w:hAnsi="Times New Roman"/>
          <w:noProof/>
          <w:szCs w:val="24"/>
        </w:rPr>
        <w:t xml:space="preserve"> </w:t>
      </w:r>
      <w:r>
        <w:rPr>
          <w:rFonts w:ascii="Times New Roman" w:hAnsi="Times New Roman"/>
          <w:noProof/>
          <w:szCs w:val="24"/>
        </w:rPr>
        <w:fldChar w:fldCharType="begin"/>
      </w:r>
      <w:r w:rsidR="004C46F1">
        <w:rPr>
          <w:rFonts w:ascii="Times New Roman" w:hAnsi="Times New Roman"/>
          <w:noProof/>
          <w:szCs w:val="24"/>
        </w:rPr>
        <w:instrText xml:space="preserve"> ADDIN EN.CITE &lt;EndNote&gt;&lt;Cite&gt;&lt;Author&gt;Forrester&lt;/Author&gt;&lt;Year&gt;2020&lt;/Year&gt;&lt;RecNum&gt;951&lt;/RecNum&gt;&lt;DisplayText&gt;(A. Forrester et al., 2020)&lt;/DisplayText&gt;&lt;record&gt;&lt;rec-number&gt;951&lt;/rec-number&gt;&lt;foreign-keys&gt;&lt;key app="EN" db-id="0wtfxzrvwtvfszed0s9vdzam00frxexae5vz" timestamp="1588157929"&gt;951&lt;/key&gt;&lt;/foreign-keys&gt;&lt;ref-type name="Journal Article"&gt;17&lt;/ref-type&gt;&lt;contributors&gt;&lt;authors&gt;&lt;author&gt;Forrester, A.&lt;/author&gt;&lt;author&gt;Hopkin, G.&lt;/author&gt;&lt;author&gt;Bryant, L.&lt;/author&gt;&lt;author&gt;Slade, K.&lt;/author&gt;&lt;author&gt;Samele, C.&lt;/author&gt;&lt;/authors&gt;&lt;/contributors&gt;&lt;auth-address&gt;Health and Justice, Greater Manchester Mental Health NHS Foundation Trust, Manchester, UK.&amp;#xD;Offender Health Research Network, University of Manchester, Manchester, UK.&amp;#xD;Department of Health Policy, London School of Economics and Political Science, London, UK.&amp;#xD;Together for Mental Wellbeing, London, UK.&amp;#xD;School of Social Sciences, Nottingham Trent University, Nottingham, UK.&amp;#xD;Informed Thinking, London, UK.&amp;#xD;Department of Forensic and Neurodevelopmental Sciences, Institute of Psychiatry, Psychology and Neuroscience, King&amp;apos;s College London, London, UK.&lt;/auth-address&gt;&lt;titles&gt;&lt;title&gt;Alternatives to custodial remand for women in the criminal justice system: A multi-sector approach&lt;/title&gt;&lt;secondary-title&gt;Crim Behav Ment Health&lt;/secondary-title&gt;&lt;/titles&gt;&lt;periodical&gt;&lt;full-title&gt;Crim Behav Ment Health&lt;/full-title&gt;&lt;/periodical&gt;&lt;edition&gt;2020/03/27&lt;/edition&gt;&lt;keywords&gt;&lt;keyword&gt;court&lt;/keyword&gt;&lt;keyword&gt;liaison and diversion&lt;/keyword&gt;&lt;keyword&gt;multi-sector&lt;/keyword&gt;&lt;keyword&gt;prison&lt;/keyword&gt;&lt;keyword&gt;women&lt;/keyword&gt;&lt;/keywords&gt;&lt;dates&gt;&lt;year&gt;2020&lt;/year&gt;&lt;pub-dates&gt;&lt;date&gt;Mar 25&lt;/date&gt;&lt;/pub-dates&gt;&lt;/dates&gt;&lt;isbn&gt;1471-2857 (Electronic)&amp;#xD;0957-9664 (Linking)&lt;/isbn&gt;&lt;accession-num&gt;32212284&lt;/accession-num&gt;&lt;urls&gt;&lt;related-urls&gt;&lt;url&gt;https://www.ncbi.nlm.nih.gov/pubmed/32212284&lt;/url&gt;&lt;/related-urls&gt;&lt;/urls&gt;&lt;electronic-resource-num&gt;10.1002/cbm.2144&lt;/electronic-resource-num&gt;&lt;/record&gt;&lt;/Cite&gt;&lt;/EndNote&gt;</w:instrText>
      </w:r>
      <w:r>
        <w:rPr>
          <w:rFonts w:ascii="Times New Roman" w:hAnsi="Times New Roman"/>
          <w:noProof/>
          <w:szCs w:val="24"/>
        </w:rPr>
        <w:fldChar w:fldCharType="separate"/>
      </w:r>
      <w:r w:rsidR="004C46F1">
        <w:rPr>
          <w:rFonts w:ascii="Times New Roman" w:hAnsi="Times New Roman"/>
          <w:noProof/>
          <w:szCs w:val="24"/>
        </w:rPr>
        <w:t>(A. Forrester et al., 2020)</w:t>
      </w:r>
      <w:r>
        <w:rPr>
          <w:rFonts w:ascii="Times New Roman" w:hAnsi="Times New Roman"/>
          <w:noProof/>
          <w:szCs w:val="24"/>
        </w:rPr>
        <w:fldChar w:fldCharType="end"/>
      </w:r>
      <w:r>
        <w:rPr>
          <w:rFonts w:ascii="Times New Roman" w:hAnsi="Times New Roman"/>
          <w:bCs/>
          <w:iCs/>
          <w:szCs w:val="24"/>
        </w:rPr>
        <w:t xml:space="preserve">. </w:t>
      </w:r>
      <w:r w:rsidRPr="003D563C">
        <w:rPr>
          <w:rFonts w:ascii="Times New Roman" w:hAnsi="Times New Roman"/>
          <w:bCs/>
          <w:iCs/>
          <w:szCs w:val="24"/>
        </w:rPr>
        <w:t xml:space="preserve">Poor understanding of </w:t>
      </w:r>
      <w:r>
        <w:rPr>
          <w:rFonts w:ascii="Times New Roman" w:hAnsi="Times New Roman"/>
          <w:bCs/>
          <w:iCs/>
          <w:szCs w:val="24"/>
        </w:rPr>
        <w:t xml:space="preserve">ND </w:t>
      </w:r>
      <w:r w:rsidRPr="003D563C">
        <w:rPr>
          <w:rFonts w:ascii="Times New Roman" w:hAnsi="Times New Roman"/>
          <w:bCs/>
          <w:iCs/>
          <w:szCs w:val="24"/>
        </w:rPr>
        <w:t>could</w:t>
      </w:r>
      <w:r>
        <w:rPr>
          <w:rFonts w:ascii="Times New Roman" w:hAnsi="Times New Roman"/>
          <w:bCs/>
          <w:iCs/>
          <w:szCs w:val="24"/>
        </w:rPr>
        <w:t xml:space="preserve"> lead to an increased</w:t>
      </w:r>
      <w:r w:rsidRPr="003D563C">
        <w:rPr>
          <w:rFonts w:ascii="Times New Roman" w:hAnsi="Times New Roman"/>
          <w:bCs/>
          <w:iCs/>
          <w:szCs w:val="24"/>
        </w:rPr>
        <w:t xml:space="preserve"> likelihood of being remanded to prison, or </w:t>
      </w:r>
      <w:r>
        <w:rPr>
          <w:rFonts w:ascii="Times New Roman" w:hAnsi="Times New Roman"/>
          <w:bCs/>
          <w:iCs/>
          <w:szCs w:val="24"/>
        </w:rPr>
        <w:t>of</w:t>
      </w:r>
      <w:r w:rsidRPr="003D563C">
        <w:rPr>
          <w:rFonts w:ascii="Times New Roman" w:hAnsi="Times New Roman"/>
          <w:bCs/>
          <w:iCs/>
          <w:szCs w:val="24"/>
        </w:rPr>
        <w:t xml:space="preserve"> inappropriate sentencing</w:t>
      </w:r>
      <w:r>
        <w:rPr>
          <w:rFonts w:ascii="Times New Roman" w:hAnsi="Times New Roman"/>
          <w:bCs/>
          <w:iCs/>
          <w:szCs w:val="24"/>
        </w:rPr>
        <w:t xml:space="preserve">, however, a </w:t>
      </w:r>
      <w:r w:rsidRPr="003D563C">
        <w:rPr>
          <w:rFonts w:ascii="Times New Roman" w:hAnsi="Times New Roman"/>
          <w:bCs/>
          <w:iCs/>
          <w:szCs w:val="24"/>
        </w:rPr>
        <w:t>key benefit</w:t>
      </w:r>
      <w:r>
        <w:rPr>
          <w:rFonts w:ascii="Times New Roman" w:hAnsi="Times New Roman"/>
          <w:bCs/>
          <w:iCs/>
          <w:szCs w:val="24"/>
        </w:rPr>
        <w:t xml:space="preserve"> of any future CMH+ND Service is that they are likely to assist in providing clinical</w:t>
      </w:r>
      <w:r w:rsidRPr="003D563C">
        <w:rPr>
          <w:rFonts w:ascii="Times New Roman" w:hAnsi="Times New Roman"/>
          <w:bCs/>
          <w:iCs/>
          <w:szCs w:val="24"/>
        </w:rPr>
        <w:t xml:space="preserve"> advice to the </w:t>
      </w:r>
      <w:r>
        <w:rPr>
          <w:rFonts w:ascii="Times New Roman" w:hAnsi="Times New Roman"/>
          <w:bCs/>
          <w:iCs/>
          <w:szCs w:val="24"/>
        </w:rPr>
        <w:t>Court</w:t>
      </w:r>
      <w:r w:rsidRPr="003D563C">
        <w:rPr>
          <w:rFonts w:ascii="Times New Roman" w:hAnsi="Times New Roman"/>
          <w:bCs/>
          <w:iCs/>
          <w:szCs w:val="24"/>
        </w:rPr>
        <w:t xml:space="preserve"> to inform </w:t>
      </w:r>
      <w:r>
        <w:rPr>
          <w:rFonts w:ascii="Times New Roman" w:hAnsi="Times New Roman"/>
          <w:bCs/>
          <w:iCs/>
          <w:szCs w:val="24"/>
        </w:rPr>
        <w:t xml:space="preserve">sentencing or </w:t>
      </w:r>
      <w:r w:rsidRPr="00B808B3">
        <w:rPr>
          <w:rFonts w:ascii="Times New Roman" w:hAnsi="Times New Roman"/>
          <w:bCs/>
          <w:iCs/>
          <w:szCs w:val="24"/>
        </w:rPr>
        <w:t>disposal</w:t>
      </w:r>
      <w:r>
        <w:rPr>
          <w:rFonts w:ascii="Times New Roman" w:hAnsi="Times New Roman"/>
          <w:bCs/>
          <w:iCs/>
          <w:szCs w:val="24"/>
        </w:rPr>
        <w:t xml:space="preserve">s so that they are in keeping with up-to-date sentencing guidelines. </w:t>
      </w:r>
    </w:p>
    <w:p w14:paraId="62A5CD2E" w14:textId="77777777" w:rsidR="000B1425" w:rsidRDefault="000B1425" w:rsidP="000B1425">
      <w:pPr>
        <w:spacing w:line="480" w:lineRule="auto"/>
        <w:rPr>
          <w:rFonts w:ascii="Times New Roman" w:hAnsi="Times New Roman"/>
          <w:szCs w:val="24"/>
        </w:rPr>
      </w:pPr>
    </w:p>
    <w:p w14:paraId="0DBD59F2" w14:textId="558B2ADE" w:rsidR="000B1425" w:rsidRDefault="000B1425" w:rsidP="000B1425">
      <w:pPr>
        <w:spacing w:line="480" w:lineRule="auto"/>
        <w:rPr>
          <w:rFonts w:ascii="Times New Roman" w:hAnsi="Times New Roman"/>
          <w:szCs w:val="24"/>
        </w:rPr>
      </w:pPr>
      <w:r w:rsidRPr="000B3412">
        <w:rPr>
          <w:rFonts w:ascii="Times New Roman" w:hAnsi="Times New Roman"/>
          <w:szCs w:val="24"/>
        </w:rPr>
        <w:t xml:space="preserve">The 10% decrease in custodial remands following the introduction of the CMH+ND </w:t>
      </w:r>
      <w:r>
        <w:rPr>
          <w:rFonts w:ascii="Times New Roman" w:hAnsi="Times New Roman"/>
          <w:szCs w:val="24"/>
        </w:rPr>
        <w:t>Service i</w:t>
      </w:r>
      <w:r w:rsidRPr="000B3412">
        <w:rPr>
          <w:rFonts w:ascii="Times New Roman" w:hAnsi="Times New Roman"/>
          <w:szCs w:val="24"/>
        </w:rPr>
        <w:t xml:space="preserve">ndicates that it </w:t>
      </w:r>
      <w:r>
        <w:rPr>
          <w:rFonts w:ascii="Times New Roman" w:hAnsi="Times New Roman"/>
          <w:szCs w:val="24"/>
        </w:rPr>
        <w:t xml:space="preserve">may have </w:t>
      </w:r>
      <w:r w:rsidRPr="000B3412">
        <w:rPr>
          <w:rFonts w:ascii="Times New Roman" w:hAnsi="Times New Roman"/>
          <w:szCs w:val="24"/>
        </w:rPr>
        <w:t>had a</w:t>
      </w:r>
      <w:r>
        <w:rPr>
          <w:rFonts w:ascii="Times New Roman" w:hAnsi="Times New Roman"/>
          <w:szCs w:val="24"/>
        </w:rPr>
        <w:t xml:space="preserve">n important </w:t>
      </w:r>
      <w:r w:rsidRPr="000B3412">
        <w:rPr>
          <w:rFonts w:ascii="Times New Roman" w:hAnsi="Times New Roman"/>
          <w:szCs w:val="24"/>
        </w:rPr>
        <w:t xml:space="preserve">role in reducing custodial remands, thereby meeting a key policy objective (Bradley, 2009). This area requires further investigation to see whether specialist ND service models correlates with </w:t>
      </w:r>
      <w:r>
        <w:rPr>
          <w:rFonts w:ascii="Times New Roman" w:hAnsi="Times New Roman"/>
          <w:szCs w:val="24"/>
        </w:rPr>
        <w:t>fewer</w:t>
      </w:r>
      <w:r w:rsidRPr="000B3412">
        <w:rPr>
          <w:rFonts w:ascii="Times New Roman" w:hAnsi="Times New Roman"/>
          <w:szCs w:val="24"/>
        </w:rPr>
        <w:t xml:space="preserve"> restrictive decisions </w:t>
      </w:r>
      <w:r>
        <w:rPr>
          <w:rFonts w:ascii="Times New Roman" w:hAnsi="Times New Roman"/>
          <w:szCs w:val="24"/>
        </w:rPr>
        <w:t>concerning disposal and</w:t>
      </w:r>
      <w:r w:rsidRPr="000B3412">
        <w:rPr>
          <w:rFonts w:ascii="Times New Roman" w:hAnsi="Times New Roman"/>
          <w:szCs w:val="24"/>
        </w:rPr>
        <w:t xml:space="preserve"> sentencing.</w:t>
      </w:r>
      <w:r>
        <w:rPr>
          <w:rFonts w:ascii="Times New Roman" w:hAnsi="Times New Roman"/>
          <w:szCs w:val="24"/>
        </w:rPr>
        <w:t xml:space="preserve"> Another factor in the decision by the court are existing local service infrastructures. In many areas, there is a lack of availability of well-structured community services equipped with the expertise to provide appropriate services for defendants with ND. This is despite national policy to develop community based forensic services for those with </w:t>
      </w:r>
      <w:r w:rsidRPr="008F7D03">
        <w:rPr>
          <w:rFonts w:ascii="Times New Roman" w:hAnsi="Times New Roman"/>
          <w:szCs w:val="24"/>
        </w:rPr>
        <w:t>ND</w:t>
      </w:r>
      <w:r w:rsidRPr="00880A4D">
        <w:rPr>
          <w:rFonts w:ascii="Times New Roman" w:hAnsi="Times New Roman"/>
          <w:szCs w:val="24"/>
        </w:rPr>
        <w:t xml:space="preserve"> </w:t>
      </w:r>
      <w:r w:rsidRPr="00880A4D">
        <w:rPr>
          <w:rFonts w:ascii="Times New Roman" w:hAnsi="Times New Roman"/>
          <w:szCs w:val="24"/>
        </w:rPr>
        <w:fldChar w:fldCharType="begin"/>
      </w:r>
      <w:r w:rsidR="004C46F1">
        <w:rPr>
          <w:rFonts w:ascii="Times New Roman" w:hAnsi="Times New Roman"/>
          <w:szCs w:val="24"/>
        </w:rPr>
        <w:instrText xml:space="preserve"> ADDIN EN.CITE &lt;EndNote&gt;&lt;Cite&gt;&lt;Author&gt;England.&lt;/Author&gt;&lt;Year&gt;2015&lt;/Year&gt;&lt;RecNum&gt;1336&lt;/RecNum&gt;&lt;DisplayText&gt;(N. H. S. N. England., 2015)&lt;/DisplayText&gt;&lt;record&gt;&lt;rec-number&gt;1336&lt;/rec-number&gt;&lt;foreign-keys&gt;&lt;key app="EN" db-id="0wtfxzrvwtvfszed0s9vdzam00frxexae5vz" timestamp="1621255506"&gt;1336&lt;/key&gt;&lt;/foreign-keys&gt;&lt;ref-type name="Report"&gt;27&lt;/ref-type&gt;&lt;contributors&gt;&lt;authors&gt;&lt;author&gt;National Health Service (NHS) England.&lt;/author&gt;&lt;/authors&gt;&lt;/contributors&gt;&lt;titles&gt;&lt;title&gt; Building the Right Support: A National Plan to Develop Community Services and Close Inpatient Facilities for People with a Learning Disability and/or Autism Who Display Behaviour that Challenges, Including Those with a Mental Health Condition. NHS,  (https://www.england.nhs.uk/wp-content/&amp;#xD;&lt;/title&gt;&lt;/titles&gt;&lt;dates&gt;&lt;year&gt;2015&lt;/year&gt;&lt;/dates&gt;&lt;urls&gt;&lt;/urls&gt;&lt;/record&gt;&lt;/Cite&gt;&lt;/EndNote&gt;</w:instrText>
      </w:r>
      <w:r w:rsidRPr="00880A4D">
        <w:rPr>
          <w:rFonts w:ascii="Times New Roman" w:hAnsi="Times New Roman"/>
          <w:szCs w:val="24"/>
        </w:rPr>
        <w:fldChar w:fldCharType="separate"/>
      </w:r>
      <w:r w:rsidR="004C46F1">
        <w:rPr>
          <w:rFonts w:ascii="Times New Roman" w:hAnsi="Times New Roman"/>
          <w:noProof/>
          <w:szCs w:val="24"/>
        </w:rPr>
        <w:t>(N. H. S. N. England., 2015)</w:t>
      </w:r>
      <w:r w:rsidRPr="00880A4D">
        <w:rPr>
          <w:rFonts w:ascii="Times New Roman" w:hAnsi="Times New Roman"/>
          <w:szCs w:val="24"/>
        </w:rPr>
        <w:fldChar w:fldCharType="end"/>
      </w:r>
      <w:r>
        <w:rPr>
          <w:rFonts w:ascii="Times New Roman" w:hAnsi="Times New Roman"/>
          <w:szCs w:val="24"/>
        </w:rPr>
        <w:t>.</w:t>
      </w:r>
    </w:p>
    <w:p w14:paraId="34305289" w14:textId="77777777" w:rsidR="000B1425" w:rsidRPr="00D779B3" w:rsidRDefault="000B1425" w:rsidP="000B1425">
      <w:pPr>
        <w:spacing w:line="480" w:lineRule="auto"/>
        <w:rPr>
          <w:rFonts w:ascii="Times New Roman" w:hAnsi="Times New Roman"/>
          <w:bCs/>
          <w:iCs/>
          <w:szCs w:val="24"/>
        </w:rPr>
      </w:pPr>
    </w:p>
    <w:p w14:paraId="3CDB1F65" w14:textId="3B74D8A4" w:rsidR="000B1425" w:rsidRPr="00BF6D0B" w:rsidRDefault="00BF6D0B" w:rsidP="000B1425">
      <w:pPr>
        <w:spacing w:line="480" w:lineRule="auto"/>
        <w:rPr>
          <w:rFonts w:ascii="Times New Roman" w:hAnsi="Times New Roman"/>
          <w:i/>
          <w:iCs/>
          <w:szCs w:val="24"/>
        </w:rPr>
      </w:pPr>
      <w:r>
        <w:rPr>
          <w:rFonts w:ascii="Times New Roman" w:hAnsi="Times New Roman"/>
          <w:i/>
          <w:iCs/>
          <w:szCs w:val="24"/>
        </w:rPr>
        <w:t xml:space="preserve">4.2 </w:t>
      </w:r>
      <w:r w:rsidR="000B1425" w:rsidRPr="00BF6D0B">
        <w:rPr>
          <w:rFonts w:ascii="Times New Roman" w:hAnsi="Times New Roman"/>
          <w:i/>
          <w:iCs/>
          <w:szCs w:val="24"/>
        </w:rPr>
        <w:t>Limitations</w:t>
      </w:r>
    </w:p>
    <w:p w14:paraId="3D50466D" w14:textId="77777777" w:rsidR="000B1425" w:rsidRDefault="000B1425" w:rsidP="000B1425">
      <w:pPr>
        <w:spacing w:line="480" w:lineRule="auto"/>
        <w:rPr>
          <w:rFonts w:ascii="Times New Roman" w:hAnsi="Times New Roman"/>
          <w:szCs w:val="24"/>
        </w:rPr>
      </w:pPr>
      <w:r>
        <w:rPr>
          <w:rFonts w:ascii="Times New Roman" w:hAnsi="Times New Roman"/>
          <w:szCs w:val="24"/>
        </w:rPr>
        <w:t>This study was able to describe changes associated with the introduction of the CMH+ND Service, however, a larger study with an experimental design would be required</w:t>
      </w:r>
      <w:r w:rsidRPr="009C57F8">
        <w:rPr>
          <w:rFonts w:ascii="Times New Roman" w:hAnsi="Times New Roman"/>
          <w:szCs w:val="24"/>
        </w:rPr>
        <w:t xml:space="preserve"> to demonstrate service effectiveness. </w:t>
      </w:r>
      <w:r>
        <w:rPr>
          <w:rFonts w:ascii="Times New Roman" w:hAnsi="Times New Roman"/>
          <w:szCs w:val="24"/>
        </w:rPr>
        <w:t xml:space="preserve">As such, this study should be seen as preliminary feasibility work, the forerunner to future research in this area. This current paper does not offer a </w:t>
      </w:r>
      <w:r w:rsidRPr="00A421A8">
        <w:rPr>
          <w:rFonts w:ascii="Times New Roman" w:hAnsi="Times New Roman"/>
          <w:szCs w:val="24"/>
        </w:rPr>
        <w:t xml:space="preserve">qualitative </w:t>
      </w:r>
      <w:r>
        <w:rPr>
          <w:rFonts w:ascii="Times New Roman" w:hAnsi="Times New Roman"/>
          <w:szCs w:val="24"/>
        </w:rPr>
        <w:t>perspective, which would help</w:t>
      </w:r>
      <w:r w:rsidRPr="00A421A8">
        <w:rPr>
          <w:rFonts w:ascii="Times New Roman" w:hAnsi="Times New Roman"/>
          <w:szCs w:val="24"/>
        </w:rPr>
        <w:t xml:space="preserve"> to understand </w:t>
      </w:r>
      <w:r>
        <w:rPr>
          <w:rFonts w:ascii="Times New Roman" w:hAnsi="Times New Roman"/>
          <w:szCs w:val="24"/>
        </w:rPr>
        <w:t xml:space="preserve">the </w:t>
      </w:r>
      <w:r w:rsidRPr="00A421A8">
        <w:rPr>
          <w:rFonts w:ascii="Times New Roman" w:hAnsi="Times New Roman"/>
          <w:szCs w:val="24"/>
        </w:rPr>
        <w:t xml:space="preserve">experiences of staff and defendants and </w:t>
      </w:r>
      <w:r>
        <w:rPr>
          <w:rFonts w:ascii="Times New Roman" w:hAnsi="Times New Roman"/>
          <w:szCs w:val="24"/>
        </w:rPr>
        <w:t>offer further context to the</w:t>
      </w:r>
      <w:r w:rsidRPr="00A421A8">
        <w:rPr>
          <w:rFonts w:ascii="Times New Roman" w:hAnsi="Times New Roman"/>
          <w:szCs w:val="24"/>
        </w:rPr>
        <w:t xml:space="preserve"> data</w:t>
      </w:r>
      <w:r>
        <w:rPr>
          <w:rFonts w:ascii="Times New Roman" w:hAnsi="Times New Roman"/>
          <w:szCs w:val="24"/>
        </w:rPr>
        <w:t>.</w:t>
      </w:r>
    </w:p>
    <w:p w14:paraId="4BAA8A2E" w14:textId="77777777" w:rsidR="000B1425" w:rsidRDefault="000B1425" w:rsidP="000B1425">
      <w:pPr>
        <w:spacing w:line="480" w:lineRule="auto"/>
        <w:rPr>
          <w:rFonts w:ascii="Times New Roman" w:hAnsi="Times New Roman"/>
          <w:iCs/>
          <w:szCs w:val="24"/>
          <w:lang w:eastAsia="en-GB"/>
        </w:rPr>
      </w:pPr>
    </w:p>
    <w:p w14:paraId="6883E498" w14:textId="77777777" w:rsidR="000B1425" w:rsidRPr="00BA5785" w:rsidRDefault="000B1425" w:rsidP="000B1425">
      <w:pPr>
        <w:spacing w:line="480" w:lineRule="auto"/>
        <w:rPr>
          <w:rFonts w:ascii="Times New Roman" w:hAnsi="Times New Roman"/>
          <w:iCs/>
          <w:szCs w:val="24"/>
          <w:lang w:eastAsia="en-GB"/>
        </w:rPr>
      </w:pPr>
      <w:r>
        <w:rPr>
          <w:rFonts w:ascii="Times New Roman" w:hAnsi="Times New Roman"/>
          <w:iCs/>
          <w:szCs w:val="24"/>
          <w:lang w:eastAsia="en-GB"/>
        </w:rPr>
        <w:t xml:space="preserve">Examining and developing the dataset, showed that not all variables in the dataset were fully completed. This is likely due to several factors including rapid turnover in the courts and </w:t>
      </w:r>
      <w:proofErr w:type="spellStart"/>
      <w:r>
        <w:rPr>
          <w:rFonts w:ascii="Times New Roman" w:hAnsi="Times New Roman"/>
          <w:iCs/>
          <w:szCs w:val="24"/>
          <w:lang w:eastAsia="en-GB"/>
        </w:rPr>
        <w:t>prioritising</w:t>
      </w:r>
      <w:proofErr w:type="spellEnd"/>
      <w:r>
        <w:rPr>
          <w:rFonts w:ascii="Times New Roman" w:hAnsi="Times New Roman"/>
          <w:iCs/>
          <w:szCs w:val="24"/>
          <w:lang w:eastAsia="en-GB"/>
        </w:rPr>
        <w:t xml:space="preserve"> the delivery of clinical services over the collection of data.  With large service datasets often, there is inconsistency in inputting data. Where demographic data is missing it may be due to the briefness of contact, so only core information is recorded.   The rates of court attendees in the CMH service were not known so we do not know if the proportion referred varied between the CMH Service and CMH+ND Service. </w:t>
      </w:r>
      <w:r>
        <w:rPr>
          <w:rFonts w:ascii="Times New Roman" w:hAnsi="Times New Roman"/>
          <w:szCs w:val="24"/>
        </w:rPr>
        <w:t>As the CMH+ND Service was a new service it is may have received fewer referrals before reaching full operator capacity.</w:t>
      </w:r>
    </w:p>
    <w:p w14:paraId="26E58BEA" w14:textId="77777777" w:rsidR="000B1425" w:rsidRDefault="000B1425" w:rsidP="000B1425">
      <w:pPr>
        <w:spacing w:line="480" w:lineRule="auto"/>
        <w:rPr>
          <w:rFonts w:ascii="Times New Roman" w:hAnsi="Times New Roman"/>
        </w:rPr>
      </w:pPr>
    </w:p>
    <w:p w14:paraId="4F354AAD" w14:textId="214F1B9D" w:rsidR="000B1425" w:rsidRPr="00BF6D0B" w:rsidRDefault="00BF6D0B" w:rsidP="000B1425">
      <w:pPr>
        <w:spacing w:line="480" w:lineRule="auto"/>
        <w:rPr>
          <w:rFonts w:ascii="Times New Roman" w:hAnsi="Times New Roman"/>
          <w:i/>
          <w:iCs/>
          <w:szCs w:val="24"/>
        </w:rPr>
      </w:pPr>
      <w:r w:rsidRPr="00BF6D0B">
        <w:rPr>
          <w:rFonts w:ascii="Times New Roman" w:hAnsi="Times New Roman"/>
          <w:i/>
          <w:iCs/>
          <w:szCs w:val="24"/>
        </w:rPr>
        <w:t xml:space="preserve">4.3 </w:t>
      </w:r>
      <w:r w:rsidR="000B1425" w:rsidRPr="00BF6D0B">
        <w:rPr>
          <w:rFonts w:ascii="Times New Roman" w:hAnsi="Times New Roman"/>
          <w:i/>
          <w:iCs/>
          <w:szCs w:val="24"/>
        </w:rPr>
        <w:t>Future implications</w:t>
      </w:r>
      <w:r w:rsidR="000B1425" w:rsidRPr="00BF6D0B">
        <w:rPr>
          <w:rFonts w:ascii="Times New Roman" w:eastAsia="Calibri" w:hAnsi="Times New Roman"/>
          <w:szCs w:val="24"/>
        </w:rPr>
        <w:t xml:space="preserve"> </w:t>
      </w:r>
    </w:p>
    <w:p w14:paraId="4A7EB14E" w14:textId="77777777" w:rsidR="000B1425" w:rsidRDefault="000B1425" w:rsidP="000B1425">
      <w:pPr>
        <w:spacing w:line="480" w:lineRule="auto"/>
        <w:rPr>
          <w:rFonts w:ascii="Times New Roman" w:hAnsi="Times New Roman"/>
          <w:szCs w:val="24"/>
        </w:rPr>
      </w:pPr>
      <w:r>
        <w:rPr>
          <w:rFonts w:ascii="Times New Roman" w:hAnsi="Times New Roman"/>
          <w:szCs w:val="24"/>
        </w:rPr>
        <w:t>The study has demonstrated</w:t>
      </w:r>
      <w:r w:rsidRPr="009C57F8">
        <w:rPr>
          <w:rFonts w:ascii="Times New Roman" w:hAnsi="Times New Roman"/>
          <w:szCs w:val="24"/>
        </w:rPr>
        <w:t xml:space="preserve"> that it is </w:t>
      </w:r>
      <w:r>
        <w:rPr>
          <w:rFonts w:ascii="Times New Roman" w:hAnsi="Times New Roman"/>
          <w:szCs w:val="24"/>
        </w:rPr>
        <w:t xml:space="preserve">possible </w:t>
      </w:r>
      <w:r w:rsidRPr="009C57F8">
        <w:rPr>
          <w:rFonts w:ascii="Times New Roman" w:hAnsi="Times New Roman"/>
          <w:szCs w:val="24"/>
        </w:rPr>
        <w:t xml:space="preserve">to provide </w:t>
      </w:r>
      <w:r>
        <w:rPr>
          <w:rFonts w:ascii="Times New Roman" w:hAnsi="Times New Roman"/>
          <w:szCs w:val="24"/>
        </w:rPr>
        <w:t xml:space="preserve">integrated specialist </w:t>
      </w:r>
      <w:r w:rsidRPr="009C57F8">
        <w:rPr>
          <w:rFonts w:ascii="Times New Roman" w:hAnsi="Times New Roman"/>
          <w:szCs w:val="24"/>
        </w:rPr>
        <w:t xml:space="preserve">services </w:t>
      </w:r>
      <w:r>
        <w:rPr>
          <w:rFonts w:ascii="Times New Roman" w:hAnsi="Times New Roman"/>
          <w:szCs w:val="24"/>
        </w:rPr>
        <w:t>for vulnerable people with NDs</w:t>
      </w:r>
      <w:r w:rsidRPr="009C57F8">
        <w:rPr>
          <w:rFonts w:ascii="Times New Roman" w:hAnsi="Times New Roman"/>
          <w:szCs w:val="24"/>
        </w:rPr>
        <w:t xml:space="preserve"> within </w:t>
      </w:r>
      <w:r>
        <w:rPr>
          <w:rFonts w:ascii="Times New Roman" w:hAnsi="Times New Roman"/>
          <w:szCs w:val="24"/>
        </w:rPr>
        <w:t xml:space="preserve">the current standard </w:t>
      </w:r>
      <w:r w:rsidRPr="009C57F8">
        <w:rPr>
          <w:rFonts w:ascii="Times New Roman" w:hAnsi="Times New Roman"/>
          <w:szCs w:val="24"/>
        </w:rPr>
        <w:t xml:space="preserve">L&amp;D </w:t>
      </w:r>
      <w:r>
        <w:rPr>
          <w:rFonts w:ascii="Times New Roman" w:hAnsi="Times New Roman"/>
          <w:szCs w:val="24"/>
        </w:rPr>
        <w:t>model</w:t>
      </w:r>
      <w:r w:rsidRPr="009C57F8">
        <w:rPr>
          <w:rFonts w:ascii="Times New Roman" w:hAnsi="Times New Roman"/>
          <w:szCs w:val="24"/>
        </w:rPr>
        <w:t xml:space="preserve"> and that they can operate across </w:t>
      </w:r>
      <w:r>
        <w:rPr>
          <w:rFonts w:ascii="Times New Roman" w:hAnsi="Times New Roman"/>
          <w:szCs w:val="24"/>
        </w:rPr>
        <w:t>several</w:t>
      </w:r>
      <w:r w:rsidRPr="009C57F8">
        <w:rPr>
          <w:rFonts w:ascii="Times New Roman" w:hAnsi="Times New Roman"/>
          <w:szCs w:val="24"/>
        </w:rPr>
        <w:t xml:space="preserve"> sectors</w:t>
      </w:r>
      <w:r>
        <w:rPr>
          <w:rFonts w:ascii="Times New Roman" w:hAnsi="Times New Roman"/>
          <w:szCs w:val="24"/>
        </w:rPr>
        <w:t>. The service may have increased rates of identification of defendants with ND.</w:t>
      </w:r>
      <w:r w:rsidRPr="009C57F8">
        <w:rPr>
          <w:rFonts w:ascii="Times New Roman" w:hAnsi="Times New Roman"/>
          <w:szCs w:val="24"/>
        </w:rPr>
        <w:t xml:space="preserve"> Th</w:t>
      </w:r>
      <w:r>
        <w:rPr>
          <w:rFonts w:ascii="Times New Roman" w:hAnsi="Times New Roman"/>
          <w:szCs w:val="24"/>
        </w:rPr>
        <w:t xml:space="preserve">e </w:t>
      </w:r>
      <w:r w:rsidRPr="009C57F8">
        <w:rPr>
          <w:rFonts w:ascii="Times New Roman" w:hAnsi="Times New Roman"/>
          <w:szCs w:val="24"/>
        </w:rPr>
        <w:t xml:space="preserve">service may also have played a role in reducing the number of vulnerable people who were remanded into prison custody. </w:t>
      </w:r>
    </w:p>
    <w:p w14:paraId="7964CABC" w14:textId="77777777" w:rsidR="000B1425" w:rsidRPr="00B808B3" w:rsidRDefault="000B1425" w:rsidP="000B1425">
      <w:pPr>
        <w:spacing w:line="480" w:lineRule="auto"/>
        <w:rPr>
          <w:rFonts w:ascii="Times New Roman" w:hAnsi="Times New Roman"/>
          <w:bCs/>
          <w:iCs/>
          <w:szCs w:val="24"/>
        </w:rPr>
      </w:pPr>
    </w:p>
    <w:p w14:paraId="2AC2807D" w14:textId="37C8006E" w:rsidR="000B1425" w:rsidRDefault="000B1425" w:rsidP="000B1425">
      <w:pPr>
        <w:spacing w:line="480" w:lineRule="auto"/>
        <w:rPr>
          <w:rFonts w:ascii="Times New Roman" w:hAnsi="Times New Roman"/>
          <w:szCs w:val="24"/>
        </w:rPr>
      </w:pPr>
      <w:r w:rsidRPr="006052F8">
        <w:rPr>
          <w:rFonts w:ascii="Times New Roman" w:hAnsi="Times New Roman"/>
          <w:szCs w:val="24"/>
        </w:rPr>
        <w:t xml:space="preserve">One of the main barriers </w:t>
      </w:r>
      <w:r>
        <w:rPr>
          <w:rFonts w:ascii="Times New Roman" w:hAnsi="Times New Roman"/>
          <w:szCs w:val="24"/>
        </w:rPr>
        <w:t xml:space="preserve">to implementing such a model </w:t>
      </w:r>
      <w:r w:rsidRPr="006052F8">
        <w:rPr>
          <w:rFonts w:ascii="Times New Roman" w:hAnsi="Times New Roman"/>
          <w:szCs w:val="24"/>
        </w:rPr>
        <w:t xml:space="preserve">will be identifying </w:t>
      </w:r>
      <w:r>
        <w:rPr>
          <w:rFonts w:ascii="Times New Roman" w:hAnsi="Times New Roman"/>
          <w:szCs w:val="24"/>
        </w:rPr>
        <w:t xml:space="preserve">sufficient </w:t>
      </w:r>
      <w:r w:rsidRPr="006052F8">
        <w:rPr>
          <w:rFonts w:ascii="Times New Roman" w:hAnsi="Times New Roman"/>
          <w:szCs w:val="24"/>
        </w:rPr>
        <w:t xml:space="preserve">professionals with </w:t>
      </w:r>
      <w:r>
        <w:rPr>
          <w:rFonts w:ascii="Times New Roman" w:hAnsi="Times New Roman"/>
          <w:szCs w:val="24"/>
        </w:rPr>
        <w:t xml:space="preserve">the </w:t>
      </w:r>
      <w:r w:rsidRPr="006052F8">
        <w:rPr>
          <w:rFonts w:ascii="Times New Roman" w:hAnsi="Times New Roman"/>
          <w:szCs w:val="24"/>
        </w:rPr>
        <w:t>expe</w:t>
      </w:r>
      <w:r>
        <w:rPr>
          <w:rFonts w:ascii="Times New Roman" w:hAnsi="Times New Roman"/>
          <w:szCs w:val="24"/>
        </w:rPr>
        <w:t>rt</w:t>
      </w:r>
      <w:r w:rsidRPr="006052F8">
        <w:rPr>
          <w:rFonts w:ascii="Times New Roman" w:hAnsi="Times New Roman"/>
          <w:szCs w:val="24"/>
        </w:rPr>
        <w:t>ise to work in court settings with defendants with ND</w:t>
      </w:r>
      <w:r>
        <w:rPr>
          <w:rFonts w:ascii="Times New Roman" w:hAnsi="Times New Roman"/>
          <w:szCs w:val="24"/>
        </w:rPr>
        <w:t xml:space="preserve">. We acknowledge there may be other models that should be considered, including enhancing the skills of existing services such as within Police stations. This could be particularly attractive to commissioners, given likely future resource limitations. It would be useful to understand whether such a specialist CMH+ND Service can operate successfully across a cluster of Courts rather </w:t>
      </w:r>
      <w:r>
        <w:rPr>
          <w:rFonts w:ascii="Times New Roman" w:hAnsi="Times New Roman"/>
          <w:szCs w:val="24"/>
        </w:rPr>
        <w:lastRenderedPageBreak/>
        <w:t xml:space="preserve">than in only one court. We know that </w:t>
      </w:r>
      <w:r w:rsidRPr="00F3097E">
        <w:rPr>
          <w:rFonts w:ascii="Times New Roman" w:hAnsi="Times New Roman"/>
          <w:szCs w:val="24"/>
        </w:rPr>
        <w:t>defendants</w:t>
      </w:r>
      <w:r>
        <w:rPr>
          <w:rFonts w:ascii="Times New Roman" w:hAnsi="Times New Roman"/>
          <w:szCs w:val="24"/>
        </w:rPr>
        <w:t xml:space="preserve"> with ND present with greater complexity than other mental health populations. The addition of</w:t>
      </w:r>
      <w:r w:rsidRPr="00F3097E">
        <w:rPr>
          <w:rFonts w:ascii="Times New Roman" w:hAnsi="Times New Roman"/>
          <w:szCs w:val="24"/>
        </w:rPr>
        <w:t xml:space="preserve"> ND </w:t>
      </w:r>
      <w:r>
        <w:rPr>
          <w:rFonts w:ascii="Times New Roman" w:hAnsi="Times New Roman"/>
          <w:szCs w:val="24"/>
        </w:rPr>
        <w:t xml:space="preserve">expertise of professionals within existing CMH services is likely to result in increased </w:t>
      </w:r>
      <w:r w:rsidRPr="00F3097E">
        <w:rPr>
          <w:rFonts w:ascii="Times New Roman" w:hAnsi="Times New Roman"/>
          <w:szCs w:val="24"/>
        </w:rPr>
        <w:t xml:space="preserve">understanding and </w:t>
      </w:r>
      <w:r>
        <w:rPr>
          <w:rFonts w:ascii="Times New Roman" w:hAnsi="Times New Roman"/>
          <w:szCs w:val="24"/>
        </w:rPr>
        <w:t xml:space="preserve">sharing of knowledge across sectors within the criminal justice system, and in the long-term, this may help to reduce the use of inappropriate detention, both in prison and hospitals. </w:t>
      </w:r>
      <w:r w:rsidRPr="000405BB">
        <w:rPr>
          <w:rFonts w:ascii="Times New Roman" w:hAnsi="Times New Roman"/>
          <w:szCs w:val="24"/>
        </w:rPr>
        <w:t>We need further research</w:t>
      </w:r>
      <w:r>
        <w:rPr>
          <w:rFonts w:ascii="Times New Roman" w:hAnsi="Times New Roman"/>
          <w:szCs w:val="24"/>
        </w:rPr>
        <w:t xml:space="preserve"> to improve our understanding of the effectiveness of interventions relating to defendants with ND</w:t>
      </w:r>
      <w:r w:rsidRPr="000405BB">
        <w:rPr>
          <w:rFonts w:ascii="Times New Roman" w:hAnsi="Times New Roman"/>
          <w:szCs w:val="24"/>
        </w:rPr>
        <w:t xml:space="preserve">. </w:t>
      </w:r>
      <w:r>
        <w:rPr>
          <w:rFonts w:ascii="Times New Roman" w:hAnsi="Times New Roman"/>
          <w:szCs w:val="24"/>
        </w:rPr>
        <w:t xml:space="preserve">Areas for investigation include the impact of specialist services on sentencing and the evaluation of multi-sector initiatives to reduce future contact with criminal justice agencies. </w:t>
      </w:r>
      <w:r w:rsidRPr="00416994">
        <w:rPr>
          <w:rFonts w:ascii="Times New Roman" w:hAnsi="Times New Roman"/>
          <w:szCs w:val="24"/>
        </w:rPr>
        <w:t xml:space="preserve">  </w:t>
      </w:r>
    </w:p>
    <w:p w14:paraId="0EC53BBA" w14:textId="77777777" w:rsidR="00BF6D0B" w:rsidRDefault="00BF6D0B" w:rsidP="000B1425">
      <w:pPr>
        <w:spacing w:line="480" w:lineRule="auto"/>
        <w:rPr>
          <w:rFonts w:ascii="Times New Roman" w:hAnsi="Times New Roman"/>
          <w:szCs w:val="24"/>
        </w:rPr>
      </w:pPr>
    </w:p>
    <w:p w14:paraId="02C80E5C" w14:textId="77777777" w:rsidR="000B1425" w:rsidRDefault="000B1425" w:rsidP="000B1425">
      <w:pPr>
        <w:shd w:val="clear" w:color="auto" w:fill="FFFFFF"/>
        <w:spacing w:before="100" w:beforeAutospacing="1" w:after="100" w:afterAutospacing="1" w:line="480" w:lineRule="auto"/>
        <w:rPr>
          <w:rFonts w:ascii="Times New Roman" w:hAnsi="Times New Roman"/>
          <w:b/>
          <w:bCs/>
          <w:color w:val="1C1D1E"/>
          <w:szCs w:val="24"/>
          <w:lang w:eastAsia="en-GB"/>
        </w:rPr>
      </w:pPr>
      <w:r w:rsidRPr="00F3097E">
        <w:rPr>
          <w:rFonts w:ascii="Times New Roman" w:hAnsi="Times New Roman"/>
          <w:b/>
          <w:bCs/>
          <w:color w:val="1C1D1E"/>
          <w:szCs w:val="24"/>
          <w:lang w:eastAsia="en-GB"/>
        </w:rPr>
        <w:t>Author contributions</w:t>
      </w:r>
    </w:p>
    <w:p w14:paraId="234A0A0B" w14:textId="77777777" w:rsidR="00BF6D0B" w:rsidRDefault="000B1425" w:rsidP="000B1425">
      <w:pPr>
        <w:shd w:val="clear" w:color="auto" w:fill="FFFFFF"/>
        <w:spacing w:before="100" w:beforeAutospacing="1" w:after="100" w:afterAutospacing="1" w:line="480" w:lineRule="auto"/>
        <w:rPr>
          <w:rFonts w:ascii="Times New Roman" w:hAnsi="Times New Roman"/>
          <w:color w:val="1C1D1E"/>
          <w:szCs w:val="24"/>
          <w:lang w:eastAsia="en-GB"/>
        </w:rPr>
      </w:pPr>
      <w:r>
        <w:rPr>
          <w:rFonts w:ascii="Times New Roman" w:hAnsi="Times New Roman"/>
          <w:color w:val="1C1D1E"/>
          <w:szCs w:val="24"/>
          <w:lang w:eastAsia="en-GB"/>
        </w:rPr>
        <w:t xml:space="preserve">EC, </w:t>
      </w:r>
      <w:proofErr w:type="spellStart"/>
      <w:r>
        <w:rPr>
          <w:rFonts w:ascii="Times New Roman" w:hAnsi="Times New Roman"/>
          <w:color w:val="1C1D1E"/>
          <w:szCs w:val="24"/>
          <w:lang w:eastAsia="en-GB"/>
        </w:rPr>
        <w:t>JMc</w:t>
      </w:r>
      <w:proofErr w:type="spellEnd"/>
      <w:r>
        <w:rPr>
          <w:rFonts w:ascii="Times New Roman" w:hAnsi="Times New Roman"/>
          <w:color w:val="1C1D1E"/>
          <w:szCs w:val="24"/>
          <w:lang w:eastAsia="en-GB"/>
        </w:rPr>
        <w:t xml:space="preserve"> and AF </w:t>
      </w:r>
      <w:proofErr w:type="spellStart"/>
      <w:r w:rsidRPr="008E56E1">
        <w:rPr>
          <w:rFonts w:ascii="Times New Roman" w:hAnsi="Times New Roman"/>
          <w:color w:val="1C1D1E"/>
          <w:szCs w:val="24"/>
          <w:lang w:eastAsia="en-GB"/>
        </w:rPr>
        <w:t>conceptualise</w:t>
      </w:r>
      <w:r>
        <w:rPr>
          <w:rFonts w:ascii="Times New Roman" w:hAnsi="Times New Roman"/>
          <w:color w:val="1C1D1E"/>
          <w:szCs w:val="24"/>
          <w:lang w:eastAsia="en-GB"/>
        </w:rPr>
        <w:t>d</w:t>
      </w:r>
      <w:proofErr w:type="spellEnd"/>
      <w:r w:rsidRPr="008E56E1">
        <w:rPr>
          <w:rFonts w:ascii="Times New Roman" w:hAnsi="Times New Roman"/>
          <w:color w:val="1C1D1E"/>
          <w:szCs w:val="24"/>
          <w:lang w:eastAsia="en-GB"/>
        </w:rPr>
        <w:t xml:space="preserve"> the study</w:t>
      </w:r>
      <w:r>
        <w:rPr>
          <w:rFonts w:ascii="Times New Roman" w:hAnsi="Times New Roman"/>
          <w:color w:val="1C1D1E"/>
          <w:szCs w:val="24"/>
          <w:lang w:eastAsia="en-GB"/>
        </w:rPr>
        <w:t xml:space="preserve"> and were responsible for drafting the manuscript. </w:t>
      </w:r>
      <w:r w:rsidRPr="008E56E1">
        <w:rPr>
          <w:rFonts w:ascii="Times New Roman" w:hAnsi="Times New Roman"/>
          <w:color w:val="1C1D1E"/>
          <w:szCs w:val="24"/>
          <w:lang w:eastAsia="en-GB"/>
        </w:rPr>
        <w:t xml:space="preserve"> </w:t>
      </w:r>
      <w:r>
        <w:rPr>
          <w:rFonts w:ascii="Times New Roman" w:hAnsi="Times New Roman"/>
          <w:color w:val="1C1D1E"/>
          <w:szCs w:val="24"/>
          <w:lang w:eastAsia="en-GB"/>
        </w:rPr>
        <w:t xml:space="preserve">All other authors </w:t>
      </w:r>
      <w:r w:rsidRPr="00CB2B9F">
        <w:rPr>
          <w:rFonts w:ascii="Times New Roman" w:hAnsi="Times New Roman"/>
          <w:color w:val="1C1D1E"/>
          <w:szCs w:val="24"/>
          <w:lang w:eastAsia="en-GB"/>
        </w:rPr>
        <w:t xml:space="preserve">made contributions to the </w:t>
      </w:r>
      <w:r>
        <w:rPr>
          <w:rFonts w:ascii="Times New Roman" w:hAnsi="Times New Roman"/>
          <w:color w:val="1C1D1E"/>
          <w:szCs w:val="24"/>
          <w:lang w:eastAsia="en-GB"/>
        </w:rPr>
        <w:t xml:space="preserve">editing and </w:t>
      </w:r>
      <w:r w:rsidRPr="00CB2B9F">
        <w:rPr>
          <w:rFonts w:ascii="Times New Roman" w:hAnsi="Times New Roman"/>
          <w:color w:val="1C1D1E"/>
          <w:szCs w:val="24"/>
          <w:lang w:eastAsia="en-GB"/>
        </w:rPr>
        <w:t xml:space="preserve">design </w:t>
      </w:r>
      <w:r w:rsidRPr="00294C1D">
        <w:rPr>
          <w:rFonts w:ascii="Times New Roman" w:hAnsi="Times New Roman"/>
          <w:color w:val="1C1D1E"/>
          <w:szCs w:val="24"/>
          <w:lang w:eastAsia="en-GB"/>
        </w:rPr>
        <w:t>of the manuscript</w:t>
      </w:r>
      <w:r>
        <w:rPr>
          <w:rFonts w:ascii="Times New Roman" w:hAnsi="Times New Roman"/>
          <w:color w:val="1C1D1E"/>
          <w:szCs w:val="24"/>
          <w:lang w:eastAsia="en-GB"/>
        </w:rPr>
        <w:t xml:space="preserve"> during constructions and</w:t>
      </w:r>
      <w:r w:rsidRPr="00294C1D">
        <w:rPr>
          <w:rFonts w:ascii="Times New Roman" w:hAnsi="Times New Roman"/>
          <w:color w:val="1C1D1E"/>
          <w:szCs w:val="24"/>
          <w:lang w:eastAsia="en-GB"/>
        </w:rPr>
        <w:t xml:space="preserve"> </w:t>
      </w:r>
      <w:r w:rsidRPr="00E56F63">
        <w:rPr>
          <w:rFonts w:ascii="Times New Roman" w:hAnsi="Times New Roman"/>
          <w:color w:val="1C1D1E"/>
          <w:szCs w:val="24"/>
          <w:lang w:eastAsia="en-GB"/>
        </w:rPr>
        <w:t>approv</w:t>
      </w:r>
      <w:r>
        <w:rPr>
          <w:rFonts w:ascii="Times New Roman" w:hAnsi="Times New Roman"/>
          <w:color w:val="1C1D1E"/>
          <w:szCs w:val="24"/>
          <w:lang w:eastAsia="en-GB"/>
        </w:rPr>
        <w:t xml:space="preserve">ed </w:t>
      </w:r>
      <w:r w:rsidRPr="00E56F63">
        <w:rPr>
          <w:rFonts w:ascii="Times New Roman" w:hAnsi="Times New Roman"/>
          <w:color w:val="1C1D1E"/>
          <w:szCs w:val="24"/>
          <w:lang w:eastAsia="en-GB"/>
        </w:rPr>
        <w:t>the final manuscript</w:t>
      </w:r>
      <w:r>
        <w:rPr>
          <w:rFonts w:ascii="Times New Roman" w:hAnsi="Times New Roman"/>
          <w:color w:val="1C1D1E"/>
          <w:szCs w:val="24"/>
          <w:lang w:eastAsia="en-GB"/>
        </w:rPr>
        <w:t xml:space="preserve"> for submission</w:t>
      </w:r>
      <w:r w:rsidRPr="00E56F63">
        <w:rPr>
          <w:rFonts w:ascii="Times New Roman" w:hAnsi="Times New Roman"/>
          <w:color w:val="1C1D1E"/>
          <w:szCs w:val="24"/>
          <w:lang w:eastAsia="en-GB"/>
        </w:rPr>
        <w:t>.</w:t>
      </w:r>
      <w:r>
        <w:rPr>
          <w:rFonts w:ascii="Times New Roman" w:hAnsi="Times New Roman"/>
          <w:color w:val="1C1D1E"/>
          <w:szCs w:val="24"/>
          <w:lang w:eastAsia="en-GB"/>
        </w:rPr>
        <w:t xml:space="preserve"> EC, KM-T, DH and BT were responsible for data ma</w:t>
      </w:r>
    </w:p>
    <w:p w14:paraId="360F6E30" w14:textId="3C5851E1" w:rsidR="000B1425" w:rsidRDefault="000B1425" w:rsidP="000B1425">
      <w:pPr>
        <w:shd w:val="clear" w:color="auto" w:fill="FFFFFF"/>
        <w:spacing w:before="100" w:beforeAutospacing="1" w:after="100" w:afterAutospacing="1" w:line="480" w:lineRule="auto"/>
        <w:rPr>
          <w:rFonts w:ascii="Times New Roman" w:hAnsi="Times New Roman"/>
          <w:color w:val="1C1D1E"/>
          <w:szCs w:val="24"/>
          <w:lang w:eastAsia="en-GB"/>
        </w:rPr>
      </w:pPr>
      <w:proofErr w:type="spellStart"/>
      <w:r>
        <w:rPr>
          <w:rFonts w:ascii="Times New Roman" w:hAnsi="Times New Roman"/>
          <w:color w:val="1C1D1E"/>
          <w:szCs w:val="24"/>
          <w:lang w:eastAsia="en-GB"/>
        </w:rPr>
        <w:t>nagement</w:t>
      </w:r>
      <w:proofErr w:type="spellEnd"/>
      <w:r>
        <w:rPr>
          <w:rFonts w:ascii="Times New Roman" w:hAnsi="Times New Roman"/>
          <w:color w:val="1C1D1E"/>
          <w:szCs w:val="24"/>
          <w:lang w:eastAsia="en-GB"/>
        </w:rPr>
        <w:t xml:space="preserve"> and analysis.</w:t>
      </w:r>
    </w:p>
    <w:p w14:paraId="0902EA34" w14:textId="77777777" w:rsidR="000B1425" w:rsidRDefault="000B1425" w:rsidP="000B1425">
      <w:pPr>
        <w:shd w:val="clear" w:color="auto" w:fill="FFFFFF"/>
        <w:spacing w:before="100" w:beforeAutospacing="1" w:after="100" w:afterAutospacing="1" w:line="480" w:lineRule="auto"/>
        <w:rPr>
          <w:rFonts w:ascii="Times New Roman" w:hAnsi="Times New Roman"/>
          <w:b/>
          <w:bCs/>
          <w:color w:val="1C1D1E"/>
          <w:szCs w:val="24"/>
          <w:lang w:eastAsia="en-GB"/>
        </w:rPr>
      </w:pPr>
      <w:r>
        <w:rPr>
          <w:rFonts w:ascii="Times New Roman" w:hAnsi="Times New Roman"/>
          <w:b/>
          <w:bCs/>
          <w:color w:val="1C1D1E"/>
          <w:szCs w:val="24"/>
          <w:lang w:eastAsia="en-GB"/>
        </w:rPr>
        <w:t>Acknowledgements</w:t>
      </w:r>
    </w:p>
    <w:p w14:paraId="4FDF7A4C" w14:textId="77777777" w:rsidR="000B1425" w:rsidRPr="00D41B6D" w:rsidRDefault="000B1425" w:rsidP="000B1425">
      <w:pPr>
        <w:shd w:val="clear" w:color="auto" w:fill="FFFFFF"/>
        <w:spacing w:before="100" w:beforeAutospacing="1" w:after="100" w:afterAutospacing="1" w:line="480" w:lineRule="auto"/>
        <w:rPr>
          <w:rFonts w:ascii="Times New Roman" w:hAnsi="Times New Roman"/>
          <w:b/>
          <w:bCs/>
          <w:color w:val="1C1D1E"/>
          <w:szCs w:val="24"/>
          <w:lang w:eastAsia="en-GB"/>
        </w:rPr>
      </w:pPr>
      <w:r w:rsidRPr="00584A47">
        <w:rPr>
          <w:rFonts w:ascii="Times New Roman" w:hAnsi="Times New Roman"/>
          <w:color w:val="1C1D1E"/>
          <w:szCs w:val="24"/>
          <w:lang w:eastAsia="en-GB"/>
        </w:rPr>
        <w:t xml:space="preserve">This study </w:t>
      </w:r>
      <w:r>
        <w:rPr>
          <w:rFonts w:ascii="Times New Roman" w:hAnsi="Times New Roman"/>
          <w:color w:val="1C1D1E"/>
          <w:szCs w:val="24"/>
          <w:lang w:eastAsia="en-GB"/>
        </w:rPr>
        <w:t>‘</w:t>
      </w:r>
      <w:r w:rsidRPr="00BC0946">
        <w:rPr>
          <w:rFonts w:ascii="Times New Roman" w:hAnsi="Times New Roman"/>
          <w:i/>
          <w:szCs w:val="24"/>
        </w:rPr>
        <w:t xml:space="preserve">Early Intervention and Assessment of Intellectual Disabilities and Autism in Court’ </w:t>
      </w:r>
      <w:r w:rsidRPr="00584A47">
        <w:rPr>
          <w:rFonts w:ascii="Times New Roman" w:hAnsi="Times New Roman"/>
          <w:color w:val="1C1D1E"/>
          <w:szCs w:val="24"/>
          <w:lang w:eastAsia="en-GB"/>
        </w:rPr>
        <w:t xml:space="preserve">was funded by </w:t>
      </w:r>
      <w:r w:rsidRPr="00F3097E">
        <w:rPr>
          <w:rFonts w:ascii="Times New Roman" w:hAnsi="Times New Roman"/>
          <w:szCs w:val="24"/>
        </w:rPr>
        <w:t>Guy’s &amp; St. Thomas’ Charity, Guy’s Hospital, London Principal Investigator (PI) Awarded April 2017</w:t>
      </w:r>
      <w:r>
        <w:rPr>
          <w:rFonts w:ascii="Times New Roman" w:hAnsi="Times New Roman"/>
          <w:szCs w:val="24"/>
        </w:rPr>
        <w:t xml:space="preserve">, </w:t>
      </w:r>
      <w:r w:rsidRPr="00F3097E">
        <w:rPr>
          <w:rFonts w:ascii="Times New Roman" w:hAnsi="Times New Roman"/>
          <w:szCs w:val="24"/>
        </w:rPr>
        <w:t>Reference No. MAJ150703.</w:t>
      </w:r>
    </w:p>
    <w:p w14:paraId="4B63924C" w14:textId="77777777" w:rsidR="000B1425" w:rsidRDefault="000B1425" w:rsidP="000B1425">
      <w:pPr>
        <w:spacing w:after="200" w:line="480" w:lineRule="auto"/>
        <w:jc w:val="both"/>
        <w:rPr>
          <w:rFonts w:ascii="Times New Roman" w:hAnsi="Times New Roman"/>
          <w:szCs w:val="24"/>
        </w:rPr>
      </w:pPr>
    </w:p>
    <w:p w14:paraId="45F03B89" w14:textId="6A7011A6" w:rsidR="000B1425" w:rsidRDefault="000B1425" w:rsidP="000B1425">
      <w:pPr>
        <w:spacing w:after="200" w:line="480" w:lineRule="auto"/>
        <w:jc w:val="both"/>
        <w:rPr>
          <w:rFonts w:ascii="Times New Roman" w:hAnsi="Times New Roman"/>
          <w:szCs w:val="24"/>
        </w:rPr>
      </w:pPr>
    </w:p>
    <w:p w14:paraId="6861FC59" w14:textId="77777777" w:rsidR="00BF6D0B" w:rsidRDefault="00BF6D0B" w:rsidP="000B1425">
      <w:pPr>
        <w:spacing w:after="200" w:line="480" w:lineRule="auto"/>
        <w:jc w:val="both"/>
        <w:rPr>
          <w:rFonts w:ascii="Times New Roman" w:hAnsi="Times New Roman"/>
          <w:szCs w:val="24"/>
        </w:rPr>
      </w:pPr>
    </w:p>
    <w:p w14:paraId="2C28CD03" w14:textId="77777777" w:rsidR="000B1425" w:rsidRPr="00BF6D0B" w:rsidRDefault="000B1425" w:rsidP="00BF6D0B">
      <w:pPr>
        <w:pStyle w:val="Heading1"/>
        <w:jc w:val="left"/>
        <w:rPr>
          <w:b/>
          <w:bCs/>
        </w:rPr>
      </w:pPr>
      <w:r w:rsidRPr="00BF6D0B">
        <w:rPr>
          <w:b/>
          <w:bCs/>
        </w:rPr>
        <w:t>References</w:t>
      </w:r>
    </w:p>
    <w:p w14:paraId="29573989" w14:textId="77777777" w:rsidR="00BF6D0B" w:rsidRPr="00BF6D0B" w:rsidRDefault="000B1425" w:rsidP="00BF6D0B">
      <w:pPr>
        <w:pStyle w:val="EndNoteBibliography"/>
        <w:ind w:left="720" w:hanging="720"/>
        <w:rPr>
          <w:noProof/>
        </w:rPr>
      </w:pPr>
      <w:r w:rsidRPr="00F756A5">
        <w:rPr>
          <w:rFonts w:eastAsia="Times New Roman"/>
          <w:b/>
          <w:bCs/>
          <w:noProof/>
          <w:color w:val="2F5496"/>
          <w:szCs w:val="26"/>
        </w:rPr>
        <w:fldChar w:fldCharType="begin"/>
      </w:r>
      <w:r w:rsidRPr="00F756A5">
        <w:rPr>
          <w:b/>
          <w:bCs/>
          <w:noProof/>
        </w:rPr>
        <w:instrText xml:space="preserve"> ADDIN EN.REFLIST </w:instrText>
      </w:r>
      <w:r w:rsidRPr="00F756A5">
        <w:rPr>
          <w:rFonts w:eastAsia="Times New Roman"/>
          <w:b/>
          <w:bCs/>
          <w:noProof/>
          <w:color w:val="2F5496"/>
          <w:szCs w:val="26"/>
        </w:rPr>
        <w:fldChar w:fldCharType="separate"/>
      </w:r>
      <w:r w:rsidR="00BF6D0B" w:rsidRPr="00BF6D0B">
        <w:rPr>
          <w:noProof/>
        </w:rPr>
        <w:t xml:space="preserve">Andretta, J., Woodland, MH, Ramirez, AM, &amp; Barnes, ME. (2013). ADHD symptom frequency and ADHD symptom count clustering in African-American adolescents with juvenile court contact. </w:t>
      </w:r>
      <w:r w:rsidR="00BF6D0B" w:rsidRPr="00BF6D0B">
        <w:rPr>
          <w:i/>
          <w:noProof/>
        </w:rPr>
        <w:t>The Journal of Forensic Psychiatry &amp; Psychology,, 24</w:t>
      </w:r>
      <w:r w:rsidR="00BF6D0B" w:rsidRPr="00BF6D0B">
        <w:rPr>
          <w:noProof/>
        </w:rPr>
        <w:t xml:space="preserve">(5), 570-593. </w:t>
      </w:r>
    </w:p>
    <w:p w14:paraId="02D4ADD5" w14:textId="77777777" w:rsidR="00BF6D0B" w:rsidRPr="00BF6D0B" w:rsidRDefault="00BF6D0B" w:rsidP="00BF6D0B">
      <w:pPr>
        <w:pStyle w:val="EndNoteBibliography"/>
        <w:ind w:left="720" w:hanging="720"/>
        <w:rPr>
          <w:noProof/>
        </w:rPr>
      </w:pPr>
      <w:r w:rsidRPr="00BF6D0B">
        <w:rPr>
          <w:noProof/>
        </w:rPr>
        <w:t xml:space="preserve">Association, A. P. (2013). </w:t>
      </w:r>
      <w:r w:rsidRPr="00BF6D0B">
        <w:rPr>
          <w:i/>
          <w:noProof/>
        </w:rPr>
        <w:t>DSM 5</w:t>
      </w:r>
      <w:r w:rsidRPr="00BF6D0B">
        <w:rPr>
          <w:noProof/>
        </w:rPr>
        <w:t>: American Psychiatric Association.</w:t>
      </w:r>
    </w:p>
    <w:p w14:paraId="66F0FC3C" w14:textId="77777777" w:rsidR="00BF6D0B" w:rsidRPr="00BF6D0B" w:rsidRDefault="00BF6D0B" w:rsidP="00BF6D0B">
      <w:pPr>
        <w:pStyle w:val="EndNoteBibliography"/>
        <w:ind w:left="720" w:hanging="720"/>
        <w:rPr>
          <w:noProof/>
        </w:rPr>
      </w:pPr>
      <w:r w:rsidRPr="00BF6D0B">
        <w:rPr>
          <w:noProof/>
        </w:rPr>
        <w:t xml:space="preserve">Bouras, N., &amp; Holt, G. (2004). Mental health services for adults with learning disabilities. </w:t>
      </w:r>
      <w:r w:rsidRPr="00BF6D0B">
        <w:rPr>
          <w:i/>
          <w:noProof/>
        </w:rPr>
        <w:t>The British Journal of Psychiatry, 184</w:t>
      </w:r>
      <w:r w:rsidRPr="00BF6D0B">
        <w:rPr>
          <w:noProof/>
        </w:rPr>
        <w:t xml:space="preserve">(4), 291-292. </w:t>
      </w:r>
    </w:p>
    <w:p w14:paraId="352A1452" w14:textId="77777777" w:rsidR="00BF6D0B" w:rsidRPr="00BF6D0B" w:rsidRDefault="00BF6D0B" w:rsidP="00BF6D0B">
      <w:pPr>
        <w:pStyle w:val="EndNoteBibliography"/>
        <w:ind w:left="720" w:hanging="720"/>
        <w:rPr>
          <w:noProof/>
        </w:rPr>
      </w:pPr>
      <w:r w:rsidRPr="00BF6D0B">
        <w:rPr>
          <w:noProof/>
        </w:rPr>
        <w:t xml:space="preserve">Bradley, K. J. C. B. (2009). The Bradley Report: Lord Bradley's review of people with mental health problems or learning disabilities in the criminal justice system. </w:t>
      </w:r>
    </w:p>
    <w:p w14:paraId="64F68ED2" w14:textId="77777777" w:rsidR="00BF6D0B" w:rsidRPr="00BF6D0B" w:rsidRDefault="00BF6D0B" w:rsidP="00BF6D0B">
      <w:pPr>
        <w:pStyle w:val="EndNoteBibliography"/>
        <w:ind w:left="720" w:hanging="720"/>
        <w:rPr>
          <w:noProof/>
        </w:rPr>
      </w:pPr>
      <w:r w:rsidRPr="00BF6D0B">
        <w:rPr>
          <w:noProof/>
        </w:rPr>
        <w:t xml:space="preserve">Brown, P. (2019). Modernising fitness to plead. </w:t>
      </w:r>
      <w:r w:rsidRPr="00BF6D0B">
        <w:rPr>
          <w:i/>
          <w:noProof/>
        </w:rPr>
        <w:t>Medicine Sciemce and the Law, 59</w:t>
      </w:r>
      <w:r w:rsidRPr="00BF6D0B">
        <w:rPr>
          <w:noProof/>
        </w:rPr>
        <w:t xml:space="preserve">(3), 131-134. </w:t>
      </w:r>
    </w:p>
    <w:p w14:paraId="7F31A271" w14:textId="77777777" w:rsidR="00BF6D0B" w:rsidRPr="00BF6D0B" w:rsidRDefault="00BF6D0B" w:rsidP="00BF6D0B">
      <w:pPr>
        <w:pStyle w:val="EndNoteBibliography"/>
        <w:ind w:left="720" w:hanging="720"/>
        <w:rPr>
          <w:noProof/>
        </w:rPr>
      </w:pPr>
      <w:r w:rsidRPr="00BF6D0B">
        <w:rPr>
          <w:noProof/>
        </w:rPr>
        <w:t xml:space="preserve">Brown, P. (2019). Unfitness to plead in England and Wales: Historical development and contemporary dilemmas. </w:t>
      </w:r>
      <w:r w:rsidRPr="00BF6D0B">
        <w:rPr>
          <w:i/>
          <w:noProof/>
        </w:rPr>
        <w:t>Medicine, science and the law, 59</w:t>
      </w:r>
      <w:r w:rsidRPr="00BF6D0B">
        <w:rPr>
          <w:noProof/>
        </w:rPr>
        <w:t xml:space="preserve">(3), 187-196. </w:t>
      </w:r>
    </w:p>
    <w:p w14:paraId="3B57B9E2" w14:textId="77777777" w:rsidR="00BF6D0B" w:rsidRPr="00BF6D0B" w:rsidRDefault="00BF6D0B" w:rsidP="00BF6D0B">
      <w:pPr>
        <w:pStyle w:val="EndNoteBibliography"/>
        <w:ind w:left="720" w:hanging="720"/>
        <w:rPr>
          <w:noProof/>
        </w:rPr>
      </w:pPr>
      <w:r w:rsidRPr="00BF6D0B">
        <w:rPr>
          <w:noProof/>
        </w:rPr>
        <w:t xml:space="preserve">Chaplin, E., O’Hara, J., Holt, G., &amp; Bouras, N. (2009). Mental health services for people with intellectual disability: challenges to care delivery. </w:t>
      </w:r>
      <w:r w:rsidRPr="00BF6D0B">
        <w:rPr>
          <w:i/>
          <w:noProof/>
        </w:rPr>
        <w:t>British Journal of Learning Disabilities, 37</w:t>
      </w:r>
      <w:r w:rsidRPr="00BF6D0B">
        <w:rPr>
          <w:noProof/>
        </w:rPr>
        <w:t xml:space="preserve">(2), 157-164. </w:t>
      </w:r>
    </w:p>
    <w:p w14:paraId="6AE9CB40" w14:textId="77777777" w:rsidR="00BF6D0B" w:rsidRPr="00BF6D0B" w:rsidRDefault="00BF6D0B" w:rsidP="00BF6D0B">
      <w:pPr>
        <w:pStyle w:val="EndNoteBibliography"/>
        <w:ind w:left="720" w:hanging="720"/>
        <w:rPr>
          <w:noProof/>
        </w:rPr>
      </w:pPr>
      <w:r w:rsidRPr="00BF6D0B">
        <w:rPr>
          <w:noProof/>
        </w:rPr>
        <w:t xml:space="preserve">Chaplin, E., Spain, D., &amp; McCarthy, J. (2019). </w:t>
      </w:r>
      <w:r w:rsidRPr="00BF6D0B">
        <w:rPr>
          <w:i/>
          <w:noProof/>
        </w:rPr>
        <w:t>A Clinician’s Guide to Mental Health Conditions in Adults with Autism Spectrum Disorders: Assessment and Interventions</w:t>
      </w:r>
      <w:r w:rsidRPr="00BF6D0B">
        <w:rPr>
          <w:noProof/>
        </w:rPr>
        <w:t>: Jessica Kingsley Publishers.</w:t>
      </w:r>
    </w:p>
    <w:p w14:paraId="7D381D69" w14:textId="77777777" w:rsidR="00BF6D0B" w:rsidRPr="00BF6D0B" w:rsidRDefault="00BF6D0B" w:rsidP="00BF6D0B">
      <w:pPr>
        <w:pStyle w:val="EndNoteBibliography"/>
        <w:ind w:left="720" w:hanging="720"/>
        <w:rPr>
          <w:noProof/>
        </w:rPr>
      </w:pPr>
      <w:r w:rsidRPr="00BF6D0B">
        <w:rPr>
          <w:noProof/>
        </w:rPr>
        <w:t xml:space="preserve">Corston, J. (2007). </w:t>
      </w:r>
      <w:r w:rsidRPr="00BF6D0B">
        <w:rPr>
          <w:i/>
          <w:noProof/>
        </w:rPr>
        <w:t>The Corston report: a report by Baroness Jean Corston of a review of women with particular vulnerabilities in the criminal justice system: the need for a distinct, radically different, visibly-led, strategic, proportionate, holistic, woman-centred, integrated approach</w:t>
      </w:r>
      <w:r w:rsidRPr="00BF6D0B">
        <w:rPr>
          <w:noProof/>
        </w:rPr>
        <w:t>: Home Office.</w:t>
      </w:r>
    </w:p>
    <w:p w14:paraId="4590925B" w14:textId="77777777" w:rsidR="00BF6D0B" w:rsidRPr="005F7382" w:rsidRDefault="00BF6D0B" w:rsidP="00BF6D0B">
      <w:pPr>
        <w:pStyle w:val="EndNoteBibliography"/>
        <w:ind w:left="720" w:hanging="720"/>
        <w:rPr>
          <w:noProof/>
          <w:lang w:val="de-DE"/>
        </w:rPr>
      </w:pPr>
      <w:r w:rsidRPr="00BF6D0B">
        <w:rPr>
          <w:noProof/>
        </w:rPr>
        <w:lastRenderedPageBreak/>
        <w:t xml:space="preserve">Disley, E., Taylor, C., Kruithof, K., Winpenny, E., Liddle, M., Sutherland, A., Lilford, R,. Wright, S .,McAteer, L &amp; Francis, V. . (2016). </w:t>
      </w:r>
      <w:r w:rsidRPr="00BF6D0B">
        <w:rPr>
          <w:i/>
          <w:noProof/>
        </w:rPr>
        <w:t>Evaluation of the offender liaison and diversion trial schemes.</w:t>
      </w:r>
      <w:r w:rsidRPr="00BF6D0B">
        <w:rPr>
          <w:noProof/>
        </w:rPr>
        <w:t xml:space="preserve"> </w:t>
      </w:r>
      <w:r w:rsidRPr="005F7382">
        <w:rPr>
          <w:noProof/>
          <w:lang w:val="de-DE"/>
        </w:rPr>
        <w:t>London: RAND.</w:t>
      </w:r>
    </w:p>
    <w:p w14:paraId="02E8D48C" w14:textId="77777777" w:rsidR="00BF6D0B" w:rsidRPr="00BF6D0B" w:rsidRDefault="00BF6D0B" w:rsidP="00BF6D0B">
      <w:pPr>
        <w:pStyle w:val="EndNoteBibliography"/>
        <w:ind w:left="720" w:hanging="720"/>
        <w:rPr>
          <w:noProof/>
        </w:rPr>
      </w:pPr>
      <w:r w:rsidRPr="005F7382">
        <w:rPr>
          <w:noProof/>
          <w:lang w:val="de-DE"/>
        </w:rPr>
        <w:t xml:space="preserve">Drozdick, L. W., Wahlstrom, D., Zhu, J., &amp; Weiss, L. G. . </w:t>
      </w:r>
      <w:r w:rsidRPr="00BF6D0B">
        <w:rPr>
          <w:noProof/>
        </w:rPr>
        <w:t xml:space="preserve">(2012). The Wechsler Adult Intelligence Scale—Fourth Edition and the Wechsler Memory Scale—Fourth Edition. In D. P. F. P. L. Harrison (Ed.), </w:t>
      </w:r>
      <w:r w:rsidRPr="00BF6D0B">
        <w:rPr>
          <w:i/>
          <w:noProof/>
        </w:rPr>
        <w:t>Contemporary intellectual assessment: Theories, tests, and issues</w:t>
      </w:r>
      <w:r w:rsidRPr="00BF6D0B">
        <w:rPr>
          <w:noProof/>
        </w:rPr>
        <w:t xml:space="preserve"> (pp. 197–223): The Guilford Press.</w:t>
      </w:r>
    </w:p>
    <w:p w14:paraId="51B5854F" w14:textId="77777777" w:rsidR="00BF6D0B" w:rsidRPr="00BF6D0B" w:rsidRDefault="00BF6D0B" w:rsidP="00BF6D0B">
      <w:pPr>
        <w:pStyle w:val="EndNoteBibliography"/>
        <w:ind w:left="720" w:hanging="720"/>
        <w:rPr>
          <w:noProof/>
        </w:rPr>
      </w:pPr>
      <w:r w:rsidRPr="00BF6D0B">
        <w:rPr>
          <w:noProof/>
        </w:rPr>
        <w:t xml:space="preserve">Durcan, G., Saunders, A., Gadsby, B., &amp; Hazard, A. (2014). The Bradley Report five years on. </w:t>
      </w:r>
      <w:r w:rsidRPr="00BF6D0B">
        <w:rPr>
          <w:i/>
          <w:noProof/>
        </w:rPr>
        <w:t>London, England: Centre for Mental Health</w:t>
      </w:r>
      <w:r w:rsidRPr="00BF6D0B">
        <w:rPr>
          <w:noProof/>
        </w:rPr>
        <w:t xml:space="preserve">. </w:t>
      </w:r>
    </w:p>
    <w:p w14:paraId="7DCC1066" w14:textId="77777777" w:rsidR="00BF6D0B" w:rsidRPr="00BF6D0B" w:rsidRDefault="00BF6D0B" w:rsidP="00BF6D0B">
      <w:pPr>
        <w:pStyle w:val="EndNoteBibliography"/>
        <w:ind w:left="720" w:hanging="720"/>
        <w:rPr>
          <w:noProof/>
        </w:rPr>
      </w:pPr>
      <w:r w:rsidRPr="00BF6D0B">
        <w:rPr>
          <w:noProof/>
        </w:rPr>
        <w:t xml:space="preserve">England., N. (2019). </w:t>
      </w:r>
      <w:r w:rsidRPr="00BF6D0B">
        <w:rPr>
          <w:i/>
          <w:noProof/>
        </w:rPr>
        <w:t xml:space="preserve">Liaison and diversion standard service specification. London: The National Liaison and Diversion Programme, NHS England and Improvement. </w:t>
      </w:r>
      <w:r w:rsidRPr="00BF6D0B">
        <w:rPr>
          <w:noProof/>
        </w:rPr>
        <w:t xml:space="preserve">. London: : London: The National Liaison and Diversion Programme, NHS England and Improvement. </w:t>
      </w:r>
    </w:p>
    <w:p w14:paraId="14CA11CB" w14:textId="33AF6586" w:rsidR="00BF6D0B" w:rsidRPr="00BF6D0B" w:rsidRDefault="00BF6D0B" w:rsidP="00BF6D0B">
      <w:pPr>
        <w:pStyle w:val="EndNoteBibliography"/>
        <w:ind w:left="720" w:hanging="720"/>
        <w:rPr>
          <w:i/>
          <w:noProof/>
        </w:rPr>
      </w:pPr>
      <w:r w:rsidRPr="00BF6D0B">
        <w:rPr>
          <w:noProof/>
        </w:rPr>
        <w:t>England., N. H. S. N. (2015).</w:t>
      </w:r>
      <w:r w:rsidRPr="00BF6D0B">
        <w:rPr>
          <w:i/>
          <w:noProof/>
        </w:rPr>
        <w:t xml:space="preserve"> Building the Right Support: A National Plan to Develop Community Services and Close Inpatient Facilities for People with a Learning Disability and/or Autism Who Display Behaviour that Challenges, Including Those with a Mental Health Condition. NHS,  (</w:t>
      </w:r>
      <w:hyperlink r:id="rId7" w:history="1">
        <w:r w:rsidRPr="00BF6D0B">
          <w:rPr>
            <w:rStyle w:val="Hyperlink"/>
            <w:i/>
            <w:noProof/>
          </w:rPr>
          <w:t>https://www.england.nhs.uk/wp-content/</w:t>
        </w:r>
      </w:hyperlink>
    </w:p>
    <w:p w14:paraId="10E154A2" w14:textId="77777777" w:rsidR="00BF6D0B" w:rsidRPr="00BF6D0B" w:rsidRDefault="00BF6D0B" w:rsidP="00BF6D0B">
      <w:pPr>
        <w:pStyle w:val="EndNoteBibliography"/>
        <w:ind w:left="720" w:hanging="720"/>
        <w:rPr>
          <w:noProof/>
        </w:rPr>
      </w:pPr>
      <w:r w:rsidRPr="00BF6D0B">
        <w:rPr>
          <w:noProof/>
        </w:rPr>
        <w:t xml:space="preserve"> Retrieved from </w:t>
      </w:r>
    </w:p>
    <w:p w14:paraId="3BD85698" w14:textId="77777777" w:rsidR="00BF6D0B" w:rsidRPr="00BF6D0B" w:rsidRDefault="00BF6D0B" w:rsidP="00BF6D0B">
      <w:pPr>
        <w:pStyle w:val="EndNoteBibliography"/>
        <w:ind w:left="720" w:hanging="720"/>
        <w:rPr>
          <w:noProof/>
        </w:rPr>
      </w:pPr>
      <w:r w:rsidRPr="00BF6D0B">
        <w:rPr>
          <w:noProof/>
        </w:rPr>
        <w:t xml:space="preserve">Forrester, A., Hopkin, G., Bryant, L., Slade, K., &amp; Samele, C. (2020). Alternatives to custodial remand for women in the criminal justice system: A multi-sector approach. </w:t>
      </w:r>
      <w:r w:rsidRPr="00BF6D0B">
        <w:rPr>
          <w:i/>
          <w:noProof/>
        </w:rPr>
        <w:t>Crim Behav Ment Health</w:t>
      </w:r>
      <w:r w:rsidRPr="00BF6D0B">
        <w:rPr>
          <w:noProof/>
        </w:rPr>
        <w:t>. doi:10.1002/cbm.2144</w:t>
      </w:r>
    </w:p>
    <w:p w14:paraId="02308E5F" w14:textId="77777777" w:rsidR="00BF6D0B" w:rsidRPr="00BF6D0B" w:rsidRDefault="00BF6D0B" w:rsidP="00BF6D0B">
      <w:pPr>
        <w:pStyle w:val="EndNoteBibliography"/>
        <w:ind w:left="720" w:hanging="720"/>
        <w:rPr>
          <w:noProof/>
        </w:rPr>
      </w:pPr>
      <w:r w:rsidRPr="00BF6D0B">
        <w:rPr>
          <w:noProof/>
        </w:rPr>
        <w:t xml:space="preserve">Forrester, A., Samele, C., Slade, K., Craig, T., &amp; Valmaggia, L. (2017). Demographic and clinical characteristics of 1092 consecutive police custody mental health referrals. </w:t>
      </w:r>
      <w:r w:rsidRPr="00BF6D0B">
        <w:rPr>
          <w:i/>
          <w:noProof/>
        </w:rPr>
        <w:t>The Journal of Forensic Psychiatry &amp; Psychology, 28</w:t>
      </w:r>
      <w:r w:rsidRPr="00BF6D0B">
        <w:rPr>
          <w:noProof/>
        </w:rPr>
        <w:t xml:space="preserve">(3), 295-312. </w:t>
      </w:r>
    </w:p>
    <w:p w14:paraId="001FF581" w14:textId="77777777" w:rsidR="00BF6D0B" w:rsidRPr="00BF6D0B" w:rsidRDefault="00BF6D0B" w:rsidP="00BF6D0B">
      <w:pPr>
        <w:pStyle w:val="EndNoteBibliography"/>
        <w:ind w:left="720" w:hanging="720"/>
        <w:rPr>
          <w:noProof/>
        </w:rPr>
      </w:pPr>
      <w:r w:rsidRPr="00BF6D0B">
        <w:rPr>
          <w:noProof/>
        </w:rPr>
        <w:lastRenderedPageBreak/>
        <w:t xml:space="preserve">Gould, J. (2017). Towards understanding the under-recognition of girls and women on the autism spectrum. </w:t>
      </w:r>
      <w:r w:rsidRPr="00BF6D0B">
        <w:rPr>
          <w:i/>
          <w:noProof/>
        </w:rPr>
        <w:t>Autism, 21</w:t>
      </w:r>
      <w:r w:rsidRPr="00BF6D0B">
        <w:rPr>
          <w:noProof/>
        </w:rPr>
        <w:t xml:space="preserve">(6), 703-705. </w:t>
      </w:r>
    </w:p>
    <w:p w14:paraId="2CAEA493" w14:textId="77777777" w:rsidR="00BF6D0B" w:rsidRPr="00BF6D0B" w:rsidRDefault="00BF6D0B" w:rsidP="00BF6D0B">
      <w:pPr>
        <w:pStyle w:val="EndNoteBibliography"/>
        <w:ind w:left="720" w:hanging="720"/>
        <w:rPr>
          <w:noProof/>
        </w:rPr>
      </w:pPr>
      <w:r w:rsidRPr="00BF6D0B">
        <w:rPr>
          <w:noProof/>
        </w:rPr>
        <w:t xml:space="preserve">Gudjonsson, G., &amp; Joyce, T. (2011). Interviewing adults with intellectual disabilities. . </w:t>
      </w:r>
      <w:r w:rsidRPr="00BF6D0B">
        <w:rPr>
          <w:i/>
          <w:noProof/>
        </w:rPr>
        <w:t>Advances in Mental Health and Intellectual Disabilities,, 5</w:t>
      </w:r>
      <w:r w:rsidRPr="00BF6D0B">
        <w:rPr>
          <w:noProof/>
        </w:rPr>
        <w:t xml:space="preserve">(2), 16-21. </w:t>
      </w:r>
    </w:p>
    <w:p w14:paraId="7FBD3258" w14:textId="77777777" w:rsidR="00BF6D0B" w:rsidRPr="00BF6D0B" w:rsidRDefault="00BF6D0B" w:rsidP="00BF6D0B">
      <w:pPr>
        <w:pStyle w:val="EndNoteBibliography"/>
        <w:ind w:left="720" w:hanging="720"/>
        <w:rPr>
          <w:noProof/>
        </w:rPr>
      </w:pPr>
      <w:r w:rsidRPr="00BF6D0B">
        <w:rPr>
          <w:noProof/>
        </w:rPr>
        <w:t xml:space="preserve">Gudjonsson, G. H., &amp; Sigurdsson, J. F. (1994). How frequently do false confessions occur? An empirical study among prison inmates. </w:t>
      </w:r>
      <w:r w:rsidRPr="00BF6D0B">
        <w:rPr>
          <w:i/>
          <w:noProof/>
        </w:rPr>
        <w:t>Psychology, Crime and Law, 1</w:t>
      </w:r>
      <w:r w:rsidRPr="00BF6D0B">
        <w:rPr>
          <w:noProof/>
        </w:rPr>
        <w:t xml:space="preserve">(1), 21-26. </w:t>
      </w:r>
    </w:p>
    <w:p w14:paraId="5917F366" w14:textId="77777777" w:rsidR="00BF6D0B" w:rsidRPr="00BF6D0B" w:rsidRDefault="00BF6D0B" w:rsidP="00BF6D0B">
      <w:pPr>
        <w:pStyle w:val="EndNoteBibliography"/>
        <w:ind w:left="720" w:hanging="720"/>
        <w:rPr>
          <w:noProof/>
        </w:rPr>
      </w:pPr>
      <w:r w:rsidRPr="00BF6D0B">
        <w:rPr>
          <w:noProof/>
        </w:rPr>
        <w:t xml:space="preserve">Harrison, P. L., &amp; Oakland, T. (2015). . (2015). </w:t>
      </w:r>
      <w:r w:rsidRPr="00BF6D0B">
        <w:rPr>
          <w:i/>
          <w:noProof/>
        </w:rPr>
        <w:t>ABAS-3: Adaptive behavior assessment system.</w:t>
      </w:r>
      <w:r w:rsidRPr="00BF6D0B">
        <w:rPr>
          <w:noProof/>
        </w:rPr>
        <w:t xml:space="preserve"> Los Angeles, CA: Western Psychological Services.</w:t>
      </w:r>
    </w:p>
    <w:p w14:paraId="11AAFC3A" w14:textId="77777777" w:rsidR="00BF6D0B" w:rsidRPr="00BF6D0B" w:rsidRDefault="00BF6D0B" w:rsidP="00BF6D0B">
      <w:pPr>
        <w:pStyle w:val="EndNoteBibliography"/>
        <w:ind w:left="720" w:hanging="720"/>
        <w:rPr>
          <w:noProof/>
        </w:rPr>
      </w:pPr>
      <w:r w:rsidRPr="00BF6D0B">
        <w:rPr>
          <w:noProof/>
        </w:rPr>
        <w:t xml:space="preserve">Hayes, S. C. (1997). Prevalence of intellectual disability in local courts. </w:t>
      </w:r>
      <w:r w:rsidRPr="00BF6D0B">
        <w:rPr>
          <w:i/>
          <w:noProof/>
        </w:rPr>
        <w:t>Journal of Intellectual and Developmental Disability, 22</w:t>
      </w:r>
      <w:r w:rsidRPr="00BF6D0B">
        <w:rPr>
          <w:noProof/>
        </w:rPr>
        <w:t xml:space="preserve">(2), 71-85. </w:t>
      </w:r>
    </w:p>
    <w:p w14:paraId="6BA29CDD" w14:textId="77777777" w:rsidR="00BF6D0B" w:rsidRPr="00BF6D0B" w:rsidRDefault="00BF6D0B" w:rsidP="00BF6D0B">
      <w:pPr>
        <w:pStyle w:val="EndNoteBibliography"/>
        <w:ind w:left="720" w:hanging="720"/>
        <w:rPr>
          <w:noProof/>
        </w:rPr>
      </w:pPr>
      <w:r w:rsidRPr="00BF6D0B">
        <w:rPr>
          <w:noProof/>
        </w:rPr>
        <w:t xml:space="preserve">Hellenbach, M., Karatzias, T., &amp; Brown, M. (2017). Intellectual disabilities among prisoners: Prevalence and mental and physical health comorbidities. </w:t>
      </w:r>
      <w:r w:rsidRPr="00BF6D0B">
        <w:rPr>
          <w:i/>
          <w:noProof/>
        </w:rPr>
        <w:t>Journal of Applied Research in Intellectual Disabilities, 30</w:t>
      </w:r>
      <w:r w:rsidRPr="00BF6D0B">
        <w:rPr>
          <w:noProof/>
        </w:rPr>
        <w:t xml:space="preserve">(2), 230-241. </w:t>
      </w:r>
    </w:p>
    <w:p w14:paraId="7D1E5344" w14:textId="77777777" w:rsidR="00BF6D0B" w:rsidRPr="00BF6D0B" w:rsidRDefault="00BF6D0B" w:rsidP="00BF6D0B">
      <w:pPr>
        <w:pStyle w:val="EndNoteBibliography"/>
        <w:ind w:left="720" w:hanging="720"/>
        <w:rPr>
          <w:noProof/>
        </w:rPr>
      </w:pPr>
      <w:r w:rsidRPr="00BF6D0B">
        <w:rPr>
          <w:noProof/>
        </w:rPr>
        <w:t xml:space="preserve">Hollomotz, A., &amp; Talbot, J. (2021). Designing Solutions for Improved Support within Health, Social Care and Criminal Justice for Adults with Learning Disabilities and/or Autism who Have Offended. </w:t>
      </w:r>
      <w:r w:rsidRPr="00BF6D0B">
        <w:rPr>
          <w:i/>
          <w:noProof/>
        </w:rPr>
        <w:t>The Howard Journal of Crime and Justice</w:t>
      </w:r>
      <w:r w:rsidRPr="00BF6D0B">
        <w:rPr>
          <w:noProof/>
        </w:rPr>
        <w:t>. doi:10.1111/hojo.12414</w:t>
      </w:r>
    </w:p>
    <w:p w14:paraId="01A44331" w14:textId="77777777" w:rsidR="00BF6D0B" w:rsidRPr="00BF6D0B" w:rsidRDefault="00BF6D0B" w:rsidP="00BF6D0B">
      <w:pPr>
        <w:pStyle w:val="EndNoteBibliography"/>
        <w:ind w:left="720" w:hanging="720"/>
        <w:rPr>
          <w:noProof/>
        </w:rPr>
      </w:pPr>
      <w:r w:rsidRPr="00BF6D0B">
        <w:rPr>
          <w:noProof/>
        </w:rPr>
        <w:t xml:space="preserve">James, K. (2006). Court diversion in perspective. </w:t>
      </w:r>
      <w:r w:rsidRPr="00BF6D0B">
        <w:rPr>
          <w:i/>
          <w:noProof/>
        </w:rPr>
        <w:t>Australian and New Zealand Journal of Psychiatry, 40(6-7), pp.529-538., 406</w:t>
      </w:r>
      <w:r w:rsidRPr="00BF6D0B">
        <w:rPr>
          <w:noProof/>
        </w:rPr>
        <w:t xml:space="preserve">(6-7), 529-536. </w:t>
      </w:r>
    </w:p>
    <w:p w14:paraId="74D62D77" w14:textId="77777777" w:rsidR="00BF6D0B" w:rsidRPr="00BF6D0B" w:rsidRDefault="00BF6D0B" w:rsidP="00BF6D0B">
      <w:pPr>
        <w:pStyle w:val="EndNoteBibliography"/>
        <w:ind w:left="720" w:hanging="720"/>
        <w:rPr>
          <w:noProof/>
        </w:rPr>
      </w:pPr>
      <w:r w:rsidRPr="00BF6D0B">
        <w:rPr>
          <w:noProof/>
        </w:rPr>
        <w:t xml:space="preserve">Kelbrick, M., &amp; Radley, J. (2013). Forensic rehabilitation in Asperger syndrome: a case report. </w:t>
      </w:r>
      <w:r w:rsidRPr="00BF6D0B">
        <w:rPr>
          <w:i/>
          <w:noProof/>
        </w:rPr>
        <w:t>Journal Of Intellectual Disabilities And Offending Behaviour, 4</w:t>
      </w:r>
      <w:r w:rsidRPr="00BF6D0B">
        <w:rPr>
          <w:noProof/>
        </w:rPr>
        <w:t xml:space="preserve">(1-2), 60-64. </w:t>
      </w:r>
    </w:p>
    <w:p w14:paraId="09EE2868" w14:textId="516E6BDF" w:rsidR="00BF6D0B" w:rsidRPr="00BF6D0B" w:rsidRDefault="00BF6D0B" w:rsidP="00BF6D0B">
      <w:pPr>
        <w:pStyle w:val="EndNoteBibliography"/>
        <w:ind w:left="720" w:hanging="720"/>
        <w:rPr>
          <w:noProof/>
        </w:rPr>
      </w:pPr>
      <w:r w:rsidRPr="00BF6D0B">
        <w:rPr>
          <w:noProof/>
        </w:rPr>
        <w:t xml:space="preserve">Kumagami, T. (2006). [Characteristics of juvenile court cases with pervasive developmental disorder]. </w:t>
      </w:r>
      <w:r w:rsidRPr="00BF6D0B">
        <w:rPr>
          <w:i/>
          <w:noProof/>
        </w:rPr>
        <w:t>Seishin Shinkeigaku Zasshi = Psychiatria Et Neurologia Japonica, 108</w:t>
      </w:r>
      <w:r w:rsidRPr="00BF6D0B">
        <w:rPr>
          <w:noProof/>
        </w:rPr>
        <w:t xml:space="preserve">(4), 327-336. Retrieved from </w:t>
      </w:r>
      <w:hyperlink r:id="rId8" w:history="1">
        <w:r w:rsidRPr="00BF6D0B">
          <w:rPr>
            <w:rStyle w:val="Hyperlink"/>
            <w:noProof/>
          </w:rPr>
          <w:t>http://search.ebscohost.com/login.aspx?direct=true&amp;db=cmedm&amp;AN=16761693&amp;site=ehost-live</w:t>
        </w:r>
      </w:hyperlink>
    </w:p>
    <w:p w14:paraId="7F2FD60C" w14:textId="77777777" w:rsidR="00BF6D0B" w:rsidRPr="00BF6D0B" w:rsidRDefault="00BF6D0B" w:rsidP="00BF6D0B">
      <w:pPr>
        <w:pStyle w:val="EndNoteBibliography"/>
        <w:ind w:left="720" w:hanging="720"/>
        <w:rPr>
          <w:noProof/>
        </w:rPr>
      </w:pPr>
      <w:r w:rsidRPr="00BF6D0B">
        <w:rPr>
          <w:noProof/>
        </w:rPr>
        <w:t xml:space="preserve">Marshall-Tate, K., Chaplin, E., McCarthy, J., &amp; Grealish, A. (2020). A literature review about the prevalence and identification of people with an intellectual disability within court Liaison and Diversion services. </w:t>
      </w:r>
      <w:r w:rsidRPr="00BF6D0B">
        <w:rPr>
          <w:i/>
          <w:noProof/>
        </w:rPr>
        <w:t>Journal Of Intellectual Disabilities And Offending Behaviour, 11</w:t>
      </w:r>
      <w:r w:rsidRPr="00BF6D0B">
        <w:rPr>
          <w:noProof/>
        </w:rPr>
        <w:t>(3), 159-169. doi:10.1108/jidob-10-2019-0023</w:t>
      </w:r>
    </w:p>
    <w:p w14:paraId="14D57E8D" w14:textId="77777777" w:rsidR="00BF6D0B" w:rsidRPr="00BF6D0B" w:rsidRDefault="00BF6D0B" w:rsidP="00BF6D0B">
      <w:pPr>
        <w:pStyle w:val="EndNoteBibliography"/>
        <w:ind w:left="720" w:hanging="720"/>
        <w:rPr>
          <w:noProof/>
        </w:rPr>
      </w:pPr>
      <w:r w:rsidRPr="00BF6D0B">
        <w:rPr>
          <w:noProof/>
        </w:rPr>
        <w:t xml:space="preserve">McCarthy, J., Chaplin, E., Forrester, A., Underwood, L., Hayward, H., Sabet, J., . . . Murphy, D. (2019). Prisoners with neurodevelopmental difficulties: Vulnerabilities for mental illness and self‐harm. </w:t>
      </w:r>
      <w:r w:rsidRPr="00BF6D0B">
        <w:rPr>
          <w:i/>
          <w:noProof/>
        </w:rPr>
        <w:t>Criminal Behaviour and Mental Health, 29</w:t>
      </w:r>
      <w:r w:rsidRPr="00BF6D0B">
        <w:rPr>
          <w:noProof/>
        </w:rPr>
        <w:t xml:space="preserve">(5-6), 308-320. </w:t>
      </w:r>
    </w:p>
    <w:p w14:paraId="69CC4AED" w14:textId="77777777" w:rsidR="00BF6D0B" w:rsidRPr="00BF6D0B" w:rsidRDefault="00BF6D0B" w:rsidP="00BF6D0B">
      <w:pPr>
        <w:pStyle w:val="EndNoteBibliography"/>
        <w:ind w:left="720" w:hanging="720"/>
        <w:rPr>
          <w:noProof/>
        </w:rPr>
      </w:pPr>
      <w:r w:rsidRPr="00BF6D0B">
        <w:rPr>
          <w:noProof/>
        </w:rPr>
        <w:t xml:space="preserve">McCarthy, J., Chaplin, E., Underwood, L., Forrester, A., Hayward, H., Sabet, J., . . . Murphy, D. (2016). Characteristics of prisoners with neurodevelopmental disorders and difficulties. </w:t>
      </w:r>
      <w:r w:rsidRPr="00BF6D0B">
        <w:rPr>
          <w:i/>
          <w:noProof/>
        </w:rPr>
        <w:t>Journal of Intellectual Disability Research, 60</w:t>
      </w:r>
      <w:r w:rsidRPr="00BF6D0B">
        <w:rPr>
          <w:noProof/>
        </w:rPr>
        <w:t xml:space="preserve">(3), 201-206. </w:t>
      </w:r>
    </w:p>
    <w:p w14:paraId="4689C9FA" w14:textId="77777777" w:rsidR="00BF6D0B" w:rsidRPr="00BF6D0B" w:rsidRDefault="00BF6D0B" w:rsidP="00BF6D0B">
      <w:pPr>
        <w:pStyle w:val="EndNoteBibliography"/>
        <w:ind w:left="720" w:hanging="720"/>
        <w:rPr>
          <w:noProof/>
        </w:rPr>
      </w:pPr>
      <w:r w:rsidRPr="00BF6D0B">
        <w:rPr>
          <w:noProof/>
        </w:rPr>
        <w:t xml:space="preserve">Shepherd, H. (1923). The Psychopathic Laboratory. </w:t>
      </w:r>
      <w:r w:rsidRPr="00BF6D0B">
        <w:rPr>
          <w:i/>
          <w:noProof/>
        </w:rPr>
        <w:t>Journal of the American Institute of Criminal Law and Criminology,, 13</w:t>
      </w:r>
      <w:r w:rsidRPr="00BF6D0B">
        <w:rPr>
          <w:noProof/>
        </w:rPr>
        <w:t xml:space="preserve">(4), 485-493. </w:t>
      </w:r>
    </w:p>
    <w:p w14:paraId="0BB17C51" w14:textId="77777777" w:rsidR="00BF6D0B" w:rsidRPr="00BF6D0B" w:rsidRDefault="00BF6D0B" w:rsidP="00BF6D0B">
      <w:pPr>
        <w:pStyle w:val="EndNoteBibliography"/>
        <w:ind w:left="720" w:hanging="720"/>
        <w:rPr>
          <w:noProof/>
        </w:rPr>
      </w:pPr>
      <w:r w:rsidRPr="00BF6D0B">
        <w:rPr>
          <w:noProof/>
        </w:rPr>
        <w:t xml:space="preserve">Søndenaa, E., Palmstierna, T., &amp; Iversen, V. C. . (2010). A stepwise approach to identify intellectual disabilities in the criminal justice system. </w:t>
      </w:r>
      <w:r w:rsidRPr="00BF6D0B">
        <w:rPr>
          <w:i/>
          <w:noProof/>
        </w:rPr>
        <w:t>European Journal of Psychology Applied to Legal Context, , 2</w:t>
      </w:r>
      <w:r w:rsidRPr="00BF6D0B">
        <w:rPr>
          <w:noProof/>
        </w:rPr>
        <w:t xml:space="preserve">(2), 183-198. </w:t>
      </w:r>
    </w:p>
    <w:p w14:paraId="5DDA75F2" w14:textId="77777777" w:rsidR="00BF6D0B" w:rsidRPr="00BF6D0B" w:rsidRDefault="00BF6D0B" w:rsidP="00BF6D0B">
      <w:pPr>
        <w:pStyle w:val="EndNoteBibliography"/>
        <w:ind w:left="720" w:hanging="720"/>
        <w:rPr>
          <w:noProof/>
        </w:rPr>
      </w:pPr>
      <w:r w:rsidRPr="00BF6D0B">
        <w:rPr>
          <w:noProof/>
        </w:rPr>
        <w:t>Srivastava, S., Forrester, A., Davies, S., &amp; Nadkarni, R. (2013). Developing criminal justice liaison and diversion services: research priorities and international learning. In: HeinOnline.</w:t>
      </w:r>
    </w:p>
    <w:p w14:paraId="05166BE3" w14:textId="77777777" w:rsidR="00BF6D0B" w:rsidRPr="00BF6D0B" w:rsidRDefault="00BF6D0B" w:rsidP="00BF6D0B">
      <w:pPr>
        <w:pStyle w:val="EndNoteBibliography"/>
        <w:ind w:left="720" w:hanging="720"/>
        <w:rPr>
          <w:noProof/>
        </w:rPr>
      </w:pPr>
      <w:r w:rsidRPr="00BF6D0B">
        <w:rPr>
          <w:noProof/>
        </w:rPr>
        <w:t xml:space="preserve">Talbot, J. (2008). </w:t>
      </w:r>
      <w:r w:rsidRPr="00BF6D0B">
        <w:rPr>
          <w:i/>
          <w:noProof/>
        </w:rPr>
        <w:t>Experiences of the criminal justice system by prisoners with learning disabilities and difficulties</w:t>
      </w:r>
      <w:r w:rsidRPr="00BF6D0B">
        <w:rPr>
          <w:noProof/>
        </w:rPr>
        <w:t xml:space="preserve">. Retrieved from </w:t>
      </w:r>
    </w:p>
    <w:p w14:paraId="4B6807A9" w14:textId="77777777" w:rsidR="00BF6D0B" w:rsidRPr="00BF6D0B" w:rsidRDefault="00BF6D0B" w:rsidP="00BF6D0B">
      <w:pPr>
        <w:pStyle w:val="EndNoteBibliography"/>
        <w:ind w:left="720" w:hanging="720"/>
        <w:rPr>
          <w:noProof/>
        </w:rPr>
      </w:pPr>
      <w:r w:rsidRPr="00BF6D0B">
        <w:rPr>
          <w:noProof/>
        </w:rPr>
        <w:lastRenderedPageBreak/>
        <w:t xml:space="preserve">Vanny, K. A., Levy, M., Greenberg, D., &amp; Hayes, S. (2009). Mental illness and intellectual disability in magistrates courts in New South Wales, Australia. </w:t>
      </w:r>
      <w:r w:rsidRPr="00BF6D0B">
        <w:rPr>
          <w:i/>
          <w:noProof/>
        </w:rPr>
        <w:t>Journal of Intellectual Disability Research, 53</w:t>
      </w:r>
      <w:r w:rsidRPr="00BF6D0B">
        <w:rPr>
          <w:noProof/>
        </w:rPr>
        <w:t xml:space="preserve">(3), 289-297. </w:t>
      </w:r>
    </w:p>
    <w:p w14:paraId="2F73AD65" w14:textId="77777777" w:rsidR="00BF6D0B" w:rsidRPr="00BF6D0B" w:rsidRDefault="00BF6D0B" w:rsidP="00BF6D0B">
      <w:pPr>
        <w:pStyle w:val="EndNoteBibliography"/>
        <w:ind w:left="720" w:hanging="720"/>
        <w:rPr>
          <w:noProof/>
        </w:rPr>
      </w:pPr>
      <w:r w:rsidRPr="00BF6D0B">
        <w:rPr>
          <w:noProof/>
        </w:rPr>
        <w:t xml:space="preserve">Vinkers, D. J. (2013). Pre‐trial reported defendants in the Netherlands with intellectual disability, borderline and normal intellectual functioning. </w:t>
      </w:r>
      <w:r w:rsidRPr="00BF6D0B">
        <w:rPr>
          <w:i/>
          <w:noProof/>
        </w:rPr>
        <w:t>Journal of Applied Research in Intellectual Disabilities, 26</w:t>
      </w:r>
      <w:r w:rsidRPr="00BF6D0B">
        <w:rPr>
          <w:noProof/>
        </w:rPr>
        <w:t xml:space="preserve">(5), 357-361. </w:t>
      </w:r>
    </w:p>
    <w:p w14:paraId="0A5E10C9" w14:textId="5F99EF06" w:rsidR="00BF6D0B" w:rsidRPr="00400A5A" w:rsidRDefault="000B1425" w:rsidP="00BF6D0B">
      <w:pPr>
        <w:pStyle w:val="BodyText"/>
      </w:pPr>
      <w:r w:rsidRPr="00F756A5">
        <w:rPr>
          <w:noProof/>
        </w:rPr>
        <w:fldChar w:fldCharType="end"/>
      </w:r>
      <w:r w:rsidR="00BF6D0B" w:rsidRPr="00400A5A">
        <w:t xml:space="preserve"> </w:t>
      </w:r>
    </w:p>
    <w:p w14:paraId="5E02CAFE" w14:textId="24D1ACB8" w:rsidR="00B454B7" w:rsidRPr="00400A5A" w:rsidRDefault="00B454B7" w:rsidP="00400A5A">
      <w:pPr>
        <w:pStyle w:val="Heading1"/>
      </w:pPr>
      <w:r w:rsidRPr="00400A5A">
        <w:t>References</w:t>
      </w:r>
    </w:p>
    <w:p w14:paraId="2C326630" w14:textId="77777777" w:rsidR="00F00B2E" w:rsidRDefault="00F00B2E" w:rsidP="00F00B2E">
      <w:pPr>
        <w:pStyle w:val="Reference"/>
      </w:pPr>
      <w:r>
        <w:t xml:space="preserve">Anderson, Charles &amp; Johnson (2003). </w:t>
      </w:r>
      <w:r w:rsidRPr="00F00B2E">
        <w:rPr>
          <w:rStyle w:val="BlockTextChar"/>
          <w:i/>
          <w:iCs/>
        </w:rPr>
        <w:t>The impressive psychology paper.</w:t>
      </w:r>
      <w:r>
        <w:t xml:space="preserve"> Chicago:  Lucerne Publishing.</w:t>
      </w:r>
    </w:p>
    <w:p w14:paraId="24871934" w14:textId="77777777" w:rsidR="00FA7F58" w:rsidRDefault="00FA7F58" w:rsidP="00F00B2E">
      <w:pPr>
        <w:pStyle w:val="Reference"/>
      </w:pPr>
      <w:r>
        <w:t xml:space="preserve">Smith, M. (2001). Writing a successful paper. </w:t>
      </w:r>
      <w:r w:rsidRPr="00FA7F58">
        <w:rPr>
          <w:rStyle w:val="BlockTextChar"/>
          <w:i/>
          <w:iCs/>
        </w:rPr>
        <w:t xml:space="preserve">The </w:t>
      </w:r>
      <w:r>
        <w:rPr>
          <w:rStyle w:val="BlockTextChar"/>
          <w:i/>
          <w:iCs/>
        </w:rPr>
        <w:t>Trey Research Monthly</w:t>
      </w:r>
      <w:r>
        <w:t xml:space="preserve">, </w:t>
      </w:r>
      <w:r w:rsidRPr="00FA7F58">
        <w:rPr>
          <w:rStyle w:val="BlockTextChar"/>
          <w:i/>
          <w:iCs/>
        </w:rPr>
        <w:t>53</w:t>
      </w:r>
      <w:r>
        <w:t>, 149-150.</w:t>
      </w:r>
    </w:p>
    <w:p w14:paraId="6DDEAA97" w14:textId="77777777" w:rsidR="005935CF" w:rsidRDefault="005935CF" w:rsidP="005935CF">
      <w:pPr>
        <w:pStyle w:val="BodyText"/>
      </w:pPr>
      <w:r>
        <w:t>Entries are organized alphabetically by surnames of first authors</w:t>
      </w:r>
      <w:r w:rsidR="00F00B2E">
        <w:t xml:space="preserve"> and are formatted with a hanging indent</w:t>
      </w:r>
      <w:r>
        <w:t>. Most reference entries have three components:</w:t>
      </w:r>
    </w:p>
    <w:p w14:paraId="124366BB" w14:textId="77777777" w:rsidR="005935CF" w:rsidRDefault="005935CF" w:rsidP="005935CF">
      <w:pPr>
        <w:pStyle w:val="Numberedlist"/>
      </w:pPr>
      <w:r>
        <w:t>Authors: Authors are listed in the same order as specified in the source, using surnames and initials. Commas separate all authors. When there are seven or more authors, list the first six and then use “et al.” for remaining authors. If no author is identified, the title of the document begins the reference.</w:t>
      </w:r>
    </w:p>
    <w:p w14:paraId="3EC8E1C9" w14:textId="77777777" w:rsidR="005935CF" w:rsidRDefault="005935CF" w:rsidP="005935CF">
      <w:pPr>
        <w:pStyle w:val="Numberedlist"/>
      </w:pPr>
      <w:r>
        <w:t>Year of Publication: In parenthesis following authors, with a period following the closing parenthesis. If no publication date is identified, use “n.d.” in parenthesis following the authors.</w:t>
      </w:r>
    </w:p>
    <w:p w14:paraId="3B8AAB4B" w14:textId="77777777" w:rsidR="005935CF" w:rsidRDefault="005935CF" w:rsidP="005935CF">
      <w:pPr>
        <w:pStyle w:val="Numberedlist"/>
      </w:pPr>
      <w:r>
        <w:t>Source Reference: Includes title, journal, volume, pages (for journal article) or title, city of publication, publisher (for book).</w:t>
      </w:r>
    </w:p>
    <w:p w14:paraId="51DA3CD4" w14:textId="77777777" w:rsidR="00B454B7" w:rsidRDefault="00B454B7" w:rsidP="001D5854">
      <w:pPr>
        <w:pStyle w:val="Heading1"/>
      </w:pPr>
      <w:r>
        <w:br w:type="page"/>
      </w:r>
      <w:r w:rsidR="00400A5A">
        <w:lastRenderedPageBreak/>
        <w:t>Appendi</w:t>
      </w:r>
      <w:r w:rsidR="005935CF">
        <w:t>x</w:t>
      </w:r>
    </w:p>
    <w:p w14:paraId="3C5C7006" w14:textId="77777777" w:rsidR="001D5854" w:rsidRDefault="00B94611" w:rsidP="005935CF">
      <w:pPr>
        <w:pStyle w:val="BodyText"/>
      </w:pPr>
      <w:r>
        <w:t>Each Appendix appears on its own page.</w:t>
      </w:r>
    </w:p>
    <w:p w14:paraId="41427C4F" w14:textId="77777777" w:rsidR="001D5854" w:rsidRDefault="001D5854" w:rsidP="001D5854">
      <w:pPr>
        <w:pStyle w:val="Heading1"/>
      </w:pPr>
      <w:r>
        <w:br w:type="page"/>
      </w:r>
      <w:r>
        <w:lastRenderedPageBreak/>
        <w:t>Footnotes</w:t>
      </w:r>
    </w:p>
    <w:p w14:paraId="2EA7AC48" w14:textId="77777777" w:rsidR="001D5854" w:rsidRDefault="0005557E" w:rsidP="005935CF">
      <w:pPr>
        <w:pStyle w:val="BodyText"/>
      </w:pPr>
      <w:r w:rsidRPr="0005557E">
        <w:rPr>
          <w:vertAlign w:val="superscript"/>
        </w:rPr>
        <w:t>1</w:t>
      </w:r>
      <w:r>
        <w:t>Complete APA style formatting information may be found in the Publication Manual.</w:t>
      </w:r>
    </w:p>
    <w:p w14:paraId="718907DE" w14:textId="77777777" w:rsidR="001D5854" w:rsidRDefault="001D5854" w:rsidP="005935CF">
      <w:pPr>
        <w:pStyle w:val="BlockText"/>
      </w:pPr>
      <w:r>
        <w:br w:type="page"/>
      </w:r>
      <w:r>
        <w:lastRenderedPageBreak/>
        <w:t>Table</w:t>
      </w:r>
      <w:r w:rsidR="00200FC9">
        <w:t xml:space="preserve"> 1</w:t>
      </w:r>
    </w:p>
    <w:p w14:paraId="30FFB4F4" w14:textId="77777777" w:rsidR="005935CF" w:rsidRDefault="005935CF" w:rsidP="005935CF">
      <w:pPr>
        <w:pStyle w:val="BlockText"/>
        <w:rPr>
          <w:i/>
        </w:rPr>
      </w:pPr>
      <w:r w:rsidRPr="00200FC9">
        <w:rPr>
          <w:i/>
        </w:rPr>
        <w:t>Type the table text here</w:t>
      </w:r>
      <w:r w:rsidR="0005557E">
        <w:rPr>
          <w:i/>
        </w:rPr>
        <w:t xml:space="preserve"> in italics</w:t>
      </w:r>
      <w:r w:rsidR="00200FC9">
        <w:rPr>
          <w:i/>
        </w:rPr>
        <w:t>; start a new page for each table</w:t>
      </w:r>
    </w:p>
    <w:p w14:paraId="5CCDBE4B" w14:textId="77777777" w:rsidR="0005557E" w:rsidRPr="0005557E" w:rsidRDefault="0005557E" w:rsidP="0005557E">
      <w:pPr>
        <w:pStyle w:val="BlockText"/>
      </w:pPr>
      <w:r w:rsidRPr="0005557E">
        <w:t>[Insert table here]</w:t>
      </w:r>
    </w:p>
    <w:p w14:paraId="5C0A324A" w14:textId="77777777" w:rsidR="001D5854" w:rsidRDefault="001D5854" w:rsidP="001D5854">
      <w:pPr>
        <w:pStyle w:val="Heading1"/>
      </w:pPr>
      <w:r>
        <w:br w:type="page"/>
      </w:r>
      <w:r>
        <w:lastRenderedPageBreak/>
        <w:t>Figure Captions</w:t>
      </w:r>
    </w:p>
    <w:p w14:paraId="0E382211" w14:textId="77777777" w:rsidR="00200FC9" w:rsidRPr="00200FC9" w:rsidRDefault="00200FC9" w:rsidP="00200FC9">
      <w:pPr>
        <w:pStyle w:val="BlockText"/>
        <w:rPr>
          <w:i/>
          <w:iCs/>
        </w:rPr>
      </w:pPr>
      <w:r>
        <w:rPr>
          <w:i/>
          <w:iCs/>
        </w:rPr>
        <w:t xml:space="preserve">Figure 1. </w:t>
      </w:r>
      <w:r w:rsidRPr="00200FC9">
        <w:t>Caption of figure</w:t>
      </w:r>
    </w:p>
    <w:p w14:paraId="1A7FB035" w14:textId="77777777" w:rsidR="001D5854" w:rsidRDefault="001D5854" w:rsidP="001D5854"/>
    <w:p w14:paraId="2F97A66A" w14:textId="77777777" w:rsidR="001D5854" w:rsidRDefault="001D5854" w:rsidP="001D5854">
      <w:pPr>
        <w:pStyle w:val="Heading1"/>
        <w:sectPr w:rsidR="001D5854">
          <w:headerReference w:type="default" r:id="rId9"/>
          <w:type w:val="continuous"/>
          <w:pgSz w:w="12240" w:h="15840" w:code="1"/>
          <w:pgMar w:top="1440" w:right="1440" w:bottom="1440" w:left="1440" w:header="720" w:footer="720" w:gutter="0"/>
          <w:pgNumType w:start="1"/>
          <w:cols w:space="720"/>
        </w:sectPr>
      </w:pPr>
    </w:p>
    <w:p w14:paraId="67D7FD15" w14:textId="77777777" w:rsidR="001D5854" w:rsidRDefault="00200FC9" w:rsidP="001D5854">
      <w:pPr>
        <w:pStyle w:val="Heading1"/>
      </w:pPr>
      <w:r>
        <w:lastRenderedPageBreak/>
        <w:t>[</w:t>
      </w:r>
      <w:r w:rsidR="001D5854">
        <w:t>Figures</w:t>
      </w:r>
      <w:r w:rsidR="00572052">
        <w:t xml:space="preserve"> – note that this page does not have the manuscript header and page number</w:t>
      </w:r>
      <w:r>
        <w:t>]</w:t>
      </w:r>
    </w:p>
    <w:p w14:paraId="641500E5" w14:textId="77777777" w:rsidR="001D5854" w:rsidRPr="001D5854" w:rsidRDefault="001D5854" w:rsidP="001D5854"/>
    <w:sectPr w:rsidR="001D5854" w:rsidRPr="001D5854" w:rsidSect="001D5854">
      <w:headerReference w:type="default" r:id="rId1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BF460" w14:textId="77777777" w:rsidR="00DB0D88" w:rsidRDefault="00DB0D88">
      <w:r>
        <w:separator/>
      </w:r>
    </w:p>
  </w:endnote>
  <w:endnote w:type="continuationSeparator" w:id="0">
    <w:p w14:paraId="1731BB11" w14:textId="77777777" w:rsidR="00DB0D88" w:rsidRDefault="00DB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8D89" w14:textId="77777777" w:rsidR="00DB0D88" w:rsidRDefault="00DB0D88">
      <w:r>
        <w:separator/>
      </w:r>
    </w:p>
  </w:footnote>
  <w:footnote w:type="continuationSeparator" w:id="0">
    <w:p w14:paraId="0137C1E4" w14:textId="77777777" w:rsidR="00DB0D88" w:rsidRDefault="00DB0D88">
      <w:r>
        <w:continuationSeparator/>
      </w:r>
    </w:p>
  </w:footnote>
  <w:footnote w:id="1">
    <w:p w14:paraId="568F5F3A" w14:textId="77777777" w:rsidR="000B1425" w:rsidRDefault="000B1425" w:rsidP="000B1425">
      <w:pPr>
        <w:pStyle w:val="FootnoteText"/>
      </w:pPr>
      <w:r>
        <w:rPr>
          <w:rStyle w:val="FootnoteReference"/>
        </w:rPr>
        <w:footnoteRef/>
      </w:r>
      <w:r>
        <w:t xml:space="preserve"> </w:t>
      </w:r>
      <w:r>
        <w:rPr>
          <w:rFonts w:ascii="Times New Roman" w:eastAsia="Times New Roman" w:hAnsi="Times New Roman" w:cs="Times New Roman"/>
          <w:iCs/>
          <w:sz w:val="24"/>
          <w:szCs w:val="24"/>
          <w:lang w:eastAsia="en-GB"/>
        </w:rPr>
        <w:t>A FoI allows</w:t>
      </w:r>
      <w:r w:rsidRPr="00D43F41">
        <w:rPr>
          <w:rFonts w:ascii="Times New Roman" w:eastAsia="Times New Roman" w:hAnsi="Times New Roman" w:cs="Times New Roman"/>
          <w:iCs/>
          <w:sz w:val="24"/>
          <w:szCs w:val="24"/>
          <w:lang w:eastAsia="en-GB"/>
        </w:rPr>
        <w:t xml:space="preserve"> public access to information held by public authorities</w:t>
      </w:r>
      <w:r>
        <w:rPr>
          <w:rFonts w:ascii="Times New Roman" w:eastAsia="Times New Roman" w:hAnsi="Times New Roman" w:cs="Times New Roman"/>
          <w:iCs/>
          <w:sz w:val="24"/>
          <w:szCs w:val="24"/>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97A41" w14:textId="516A59AE" w:rsidR="00B454B7" w:rsidRDefault="004C46F1" w:rsidP="00DB3D7C">
    <w:pPr>
      <w:pStyle w:val="Header"/>
      <w:tabs>
        <w:tab w:val="clear" w:pos="4320"/>
        <w:tab w:val="clear" w:pos="8640"/>
        <w:tab w:val="left" w:pos="8910"/>
      </w:tabs>
      <w:jc w:val="right"/>
    </w:pPr>
    <w:r>
      <w:rPr>
        <w:rStyle w:val="PageNumber"/>
      </w:rPr>
      <w:t>Neurodevelopmental Disorders Court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E21F" w14:textId="77777777" w:rsidR="001D5854" w:rsidRPr="001D5854" w:rsidRDefault="001D5854" w:rsidP="001D5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A58E3"/>
    <w:multiLevelType w:val="hybridMultilevel"/>
    <w:tmpl w:val="98380536"/>
    <w:lvl w:ilvl="0" w:tplc="08090001">
      <w:start w:val="1"/>
      <w:numFmt w:val="bullet"/>
      <w:lvlText w:val=""/>
      <w:lvlJc w:val="left"/>
      <w:pPr>
        <w:ind w:left="1855" w:hanging="360"/>
      </w:pPr>
      <w:rPr>
        <w:rFonts w:ascii="Symbol" w:hAnsi="Symbol" w:hint="default"/>
      </w:rPr>
    </w:lvl>
    <w:lvl w:ilvl="1" w:tplc="08090003" w:tentative="1">
      <w:start w:val="1"/>
      <w:numFmt w:val="bullet"/>
      <w:lvlText w:val="o"/>
      <w:lvlJc w:val="left"/>
      <w:pPr>
        <w:ind w:left="2575" w:hanging="360"/>
      </w:pPr>
      <w:rPr>
        <w:rFonts w:ascii="Courier New" w:hAnsi="Courier New" w:cs="Courier New" w:hint="default"/>
      </w:rPr>
    </w:lvl>
    <w:lvl w:ilvl="2" w:tplc="08090005" w:tentative="1">
      <w:start w:val="1"/>
      <w:numFmt w:val="bullet"/>
      <w:lvlText w:val=""/>
      <w:lvlJc w:val="left"/>
      <w:pPr>
        <w:ind w:left="3295" w:hanging="360"/>
      </w:pPr>
      <w:rPr>
        <w:rFonts w:ascii="Wingdings" w:hAnsi="Wingdings" w:hint="default"/>
      </w:rPr>
    </w:lvl>
    <w:lvl w:ilvl="3" w:tplc="08090001" w:tentative="1">
      <w:start w:val="1"/>
      <w:numFmt w:val="bullet"/>
      <w:lvlText w:val=""/>
      <w:lvlJc w:val="left"/>
      <w:pPr>
        <w:ind w:left="4015" w:hanging="360"/>
      </w:pPr>
      <w:rPr>
        <w:rFonts w:ascii="Symbol" w:hAnsi="Symbol" w:hint="default"/>
      </w:rPr>
    </w:lvl>
    <w:lvl w:ilvl="4" w:tplc="08090003" w:tentative="1">
      <w:start w:val="1"/>
      <w:numFmt w:val="bullet"/>
      <w:lvlText w:val="o"/>
      <w:lvlJc w:val="left"/>
      <w:pPr>
        <w:ind w:left="4735" w:hanging="360"/>
      </w:pPr>
      <w:rPr>
        <w:rFonts w:ascii="Courier New" w:hAnsi="Courier New" w:cs="Courier New" w:hint="default"/>
      </w:rPr>
    </w:lvl>
    <w:lvl w:ilvl="5" w:tplc="08090005" w:tentative="1">
      <w:start w:val="1"/>
      <w:numFmt w:val="bullet"/>
      <w:lvlText w:val=""/>
      <w:lvlJc w:val="left"/>
      <w:pPr>
        <w:ind w:left="5455" w:hanging="360"/>
      </w:pPr>
      <w:rPr>
        <w:rFonts w:ascii="Wingdings" w:hAnsi="Wingdings" w:hint="default"/>
      </w:rPr>
    </w:lvl>
    <w:lvl w:ilvl="6" w:tplc="08090001" w:tentative="1">
      <w:start w:val="1"/>
      <w:numFmt w:val="bullet"/>
      <w:lvlText w:val=""/>
      <w:lvlJc w:val="left"/>
      <w:pPr>
        <w:ind w:left="6175" w:hanging="360"/>
      </w:pPr>
      <w:rPr>
        <w:rFonts w:ascii="Symbol" w:hAnsi="Symbol" w:hint="default"/>
      </w:rPr>
    </w:lvl>
    <w:lvl w:ilvl="7" w:tplc="08090003" w:tentative="1">
      <w:start w:val="1"/>
      <w:numFmt w:val="bullet"/>
      <w:lvlText w:val="o"/>
      <w:lvlJc w:val="left"/>
      <w:pPr>
        <w:ind w:left="6895" w:hanging="360"/>
      </w:pPr>
      <w:rPr>
        <w:rFonts w:ascii="Courier New" w:hAnsi="Courier New" w:cs="Courier New" w:hint="default"/>
      </w:rPr>
    </w:lvl>
    <w:lvl w:ilvl="8" w:tplc="08090005" w:tentative="1">
      <w:start w:val="1"/>
      <w:numFmt w:val="bullet"/>
      <w:lvlText w:val=""/>
      <w:lvlJc w:val="left"/>
      <w:pPr>
        <w:ind w:left="7615" w:hanging="360"/>
      </w:pPr>
      <w:rPr>
        <w:rFonts w:ascii="Wingdings" w:hAnsi="Wingdings" w:hint="default"/>
      </w:rPr>
    </w:lvl>
  </w:abstractNum>
  <w:abstractNum w:abstractNumId="1" w15:restartNumberingAfterBreak="0">
    <w:nsid w:val="2E484CC5"/>
    <w:multiLevelType w:val="multilevel"/>
    <w:tmpl w:val="E654D5C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47B111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2065524566">
    <w:abstractNumId w:val="3"/>
  </w:num>
  <w:num w:numId="2" w16cid:durableId="2017535340">
    <w:abstractNumId w:val="0"/>
  </w:num>
  <w:num w:numId="3" w16cid:durableId="1735346098">
    <w:abstractNumId w:val="2"/>
  </w:num>
  <w:num w:numId="4" w16cid:durableId="20115157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M0tjQzNzY1szSzMDRT0lEKTi0uzszPAykwrAUAZUXYOC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0wtfxzrvwtvfszed0s9vdzam00frxexae5vz&quot;&gt;ASD-Court Copy-converted 3&lt;record-ids&gt;&lt;item&gt;931&lt;/item&gt;&lt;item&gt;950&lt;/item&gt;&lt;item&gt;951&lt;/item&gt;&lt;item&gt;954&lt;/item&gt;&lt;item&gt;966&lt;/item&gt;&lt;item&gt;972&lt;/item&gt;&lt;item&gt;986&lt;/item&gt;&lt;item&gt;988&lt;/item&gt;&lt;item&gt;991&lt;/item&gt;&lt;item&gt;992&lt;/item&gt;&lt;item&gt;993&lt;/item&gt;&lt;item&gt;994&lt;/item&gt;&lt;item&gt;995&lt;/item&gt;&lt;item&gt;996&lt;/item&gt;&lt;item&gt;997&lt;/item&gt;&lt;item&gt;998&lt;/item&gt;&lt;item&gt;999&lt;/item&gt;&lt;item&gt;1013&lt;/item&gt;&lt;item&gt;1014&lt;/item&gt;&lt;item&gt;1116&lt;/item&gt;&lt;item&gt;1118&lt;/item&gt;&lt;item&gt;1120&lt;/item&gt;&lt;item&gt;1122&lt;/item&gt;&lt;item&gt;1123&lt;/item&gt;&lt;item&gt;1125&lt;/item&gt;&lt;item&gt;1129&lt;/item&gt;&lt;item&gt;1233&lt;/item&gt;&lt;item&gt;1234&lt;/item&gt;&lt;item&gt;1235&lt;/item&gt;&lt;item&gt;1236&lt;/item&gt;&lt;item&gt;1328&lt;/item&gt;&lt;item&gt;1329&lt;/item&gt;&lt;item&gt;1331&lt;/item&gt;&lt;item&gt;1336&lt;/item&gt;&lt;/record-ids&gt;&lt;/item&gt;&lt;/Libraries&gt;"/>
  </w:docVars>
  <w:rsids>
    <w:rsidRoot w:val="000B1425"/>
    <w:rsid w:val="0005557E"/>
    <w:rsid w:val="00083425"/>
    <w:rsid w:val="000B1425"/>
    <w:rsid w:val="001D5854"/>
    <w:rsid w:val="00200FC9"/>
    <w:rsid w:val="00400A5A"/>
    <w:rsid w:val="004C46F1"/>
    <w:rsid w:val="00572052"/>
    <w:rsid w:val="005935CF"/>
    <w:rsid w:val="005F7382"/>
    <w:rsid w:val="006F5309"/>
    <w:rsid w:val="0078467C"/>
    <w:rsid w:val="007B79BD"/>
    <w:rsid w:val="00B13707"/>
    <w:rsid w:val="00B27A00"/>
    <w:rsid w:val="00B454B7"/>
    <w:rsid w:val="00B94611"/>
    <w:rsid w:val="00BF6D0B"/>
    <w:rsid w:val="00D35BEF"/>
    <w:rsid w:val="00D43917"/>
    <w:rsid w:val="00DB0D88"/>
    <w:rsid w:val="00DB3D7C"/>
    <w:rsid w:val="00F00B2E"/>
    <w:rsid w:val="00F571CA"/>
    <w:rsid w:val="00FA7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07E6E"/>
  <w15:chartTrackingRefBased/>
  <w15:docId w15:val="{C5D167F7-BB1D-4988-8EDC-2F5854E2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BodyText"/>
    <w:link w:val="Heading1Char"/>
    <w:uiPriority w:val="9"/>
    <w:qFormat/>
    <w:rsid w:val="00400A5A"/>
    <w:pPr>
      <w:spacing w:line="480" w:lineRule="auto"/>
      <w:jc w:val="center"/>
      <w:outlineLvl w:val="0"/>
    </w:pPr>
    <w:rPr>
      <w:rFonts w:ascii="Times New Roman" w:hAnsi="Times New Roman"/>
    </w:rPr>
  </w:style>
  <w:style w:type="paragraph" w:styleId="Heading2">
    <w:name w:val="heading 2"/>
    <w:basedOn w:val="Normal"/>
    <w:next w:val="Normal"/>
    <w:link w:val="Heading2Char"/>
    <w:uiPriority w:val="9"/>
    <w:qFormat/>
    <w:rsid w:val="001D5854"/>
    <w:pPr>
      <w:spacing w:line="480" w:lineRule="auto"/>
      <w:outlineLvl w:val="1"/>
    </w:pPr>
    <w:rPr>
      <w:rFonts w:ascii="Times New Roman" w:hAnsi="Times New Roman"/>
      <w:i/>
    </w:rPr>
  </w:style>
  <w:style w:type="paragraph" w:styleId="Heading3">
    <w:name w:val="heading 3"/>
    <w:basedOn w:val="Normal"/>
    <w:next w:val="Normal"/>
    <w:link w:val="Heading3Char"/>
    <w:uiPriority w:val="9"/>
    <w:unhideWhenUsed/>
    <w:qFormat/>
    <w:rsid w:val="000B1425"/>
    <w:pPr>
      <w:keepNext/>
      <w:keepLines/>
      <w:autoSpaceDE w:val="0"/>
      <w:autoSpaceDN w:val="0"/>
      <w:adjustRightInd w:val="0"/>
      <w:spacing w:before="40"/>
      <w:outlineLvl w:val="2"/>
    </w:pPr>
    <w:rPr>
      <w:rFonts w:ascii="Calibri Light" w:eastAsia="Yu Gothic Light" w:hAnsi="Calibri Light"/>
      <w:color w:val="1F3763"/>
      <w:szCs w:val="24"/>
      <w:lang w:val="en-GB"/>
    </w:rPr>
  </w:style>
  <w:style w:type="paragraph" w:styleId="Heading4">
    <w:name w:val="heading 4"/>
    <w:basedOn w:val="Normal"/>
    <w:next w:val="Normal"/>
    <w:link w:val="Heading4Char"/>
    <w:uiPriority w:val="9"/>
    <w:unhideWhenUsed/>
    <w:qFormat/>
    <w:rsid w:val="000B1425"/>
    <w:pPr>
      <w:keepNext/>
      <w:keepLines/>
      <w:autoSpaceDE w:val="0"/>
      <w:autoSpaceDN w:val="0"/>
      <w:adjustRightInd w:val="0"/>
      <w:spacing w:before="40"/>
      <w:outlineLvl w:val="3"/>
    </w:pPr>
    <w:rPr>
      <w:rFonts w:ascii="Calibri Light" w:eastAsia="Yu Gothic Light" w:hAnsi="Calibri Light"/>
      <w:i/>
      <w:iCs/>
      <w:color w:val="2F5496"/>
      <w:sz w:val="28"/>
      <w:szCs w:val="28"/>
      <w:lang w:val="en-GB"/>
    </w:rPr>
  </w:style>
  <w:style w:type="paragraph" w:styleId="Heading5">
    <w:name w:val="heading 5"/>
    <w:basedOn w:val="Normal"/>
    <w:next w:val="Normal"/>
    <w:link w:val="Heading5Char"/>
    <w:semiHidden/>
    <w:unhideWhenUsed/>
    <w:qFormat/>
    <w:rsid w:val="00D43917"/>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D4391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D43917"/>
    <w:pPr>
      <w:spacing w:before="240" w:after="60"/>
      <w:outlineLvl w:val="6"/>
    </w:pPr>
    <w:rPr>
      <w:rFonts w:asciiTheme="minorHAnsi" w:eastAsiaTheme="minorEastAsia" w:hAnsiTheme="minorHAnsi" w:cstheme="minorBidi"/>
      <w:szCs w:val="24"/>
    </w:rPr>
  </w:style>
  <w:style w:type="paragraph" w:styleId="Heading8">
    <w:name w:val="heading 8"/>
    <w:basedOn w:val="Normal"/>
    <w:next w:val="Normal"/>
    <w:link w:val="Heading8Char"/>
    <w:semiHidden/>
    <w:unhideWhenUsed/>
    <w:qFormat/>
    <w:rsid w:val="00D43917"/>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D4391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customStyle="1" w:styleId="Heading1Char">
    <w:name w:val="Heading 1 Char"/>
    <w:basedOn w:val="DefaultParagraphFont"/>
    <w:link w:val="Heading1"/>
    <w:uiPriority w:val="9"/>
    <w:rsid w:val="001D5854"/>
    <w:rPr>
      <w:sz w:val="24"/>
      <w:lang w:val="en-US" w:eastAsia="en-US" w:bidi="ar-SA"/>
    </w:rPr>
  </w:style>
  <w:style w:type="paragraph" w:styleId="Footer">
    <w:name w:val="footer"/>
    <w:basedOn w:val="Normal"/>
    <w:link w:val="FooterChar"/>
    <w:uiPriority w:val="99"/>
    <w:pPr>
      <w:tabs>
        <w:tab w:val="center" w:pos="4320"/>
        <w:tab w:val="right" w:pos="8640"/>
      </w:tabs>
    </w:pPr>
  </w:style>
  <w:style w:type="paragraph" w:customStyle="1" w:styleId="Numberedlist">
    <w:name w:val="Numbered list"/>
    <w:basedOn w:val="Normal"/>
    <w:rsid w:val="001D5854"/>
    <w:pPr>
      <w:numPr>
        <w:numId w:val="1"/>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character" w:styleId="CommentReference">
    <w:name w:val="annotation reference"/>
    <w:uiPriority w:val="99"/>
    <w:unhideWhenUsed/>
    <w:rsid w:val="000B1425"/>
    <w:rPr>
      <w:sz w:val="16"/>
      <w:szCs w:val="16"/>
    </w:rPr>
  </w:style>
  <w:style w:type="paragraph" w:styleId="CommentText">
    <w:name w:val="annotation text"/>
    <w:basedOn w:val="Normal"/>
    <w:link w:val="CommentTextChar"/>
    <w:uiPriority w:val="99"/>
    <w:unhideWhenUsed/>
    <w:rsid w:val="000B1425"/>
    <w:pPr>
      <w:autoSpaceDE w:val="0"/>
      <w:autoSpaceDN w:val="0"/>
      <w:adjustRightInd w:val="0"/>
    </w:pPr>
    <w:rPr>
      <w:rFonts w:ascii="Courier New" w:eastAsia="Calibri" w:hAnsi="Courier New" w:cs="Courier New"/>
      <w:color w:val="000000"/>
      <w:sz w:val="20"/>
      <w:lang w:val="en-GB"/>
    </w:rPr>
  </w:style>
  <w:style w:type="character" w:customStyle="1" w:styleId="CommentTextChar">
    <w:name w:val="Comment Text Char"/>
    <w:basedOn w:val="DefaultParagraphFont"/>
    <w:link w:val="CommentText"/>
    <w:uiPriority w:val="99"/>
    <w:rsid w:val="000B1425"/>
    <w:rPr>
      <w:rFonts w:ascii="Courier New" w:eastAsia="Calibri" w:hAnsi="Courier New" w:cs="Courier New"/>
      <w:color w:val="000000"/>
      <w:lang w:eastAsia="en-US"/>
    </w:rPr>
  </w:style>
  <w:style w:type="character" w:customStyle="1" w:styleId="Heading3Char">
    <w:name w:val="Heading 3 Char"/>
    <w:basedOn w:val="DefaultParagraphFont"/>
    <w:link w:val="Heading3"/>
    <w:uiPriority w:val="9"/>
    <w:rsid w:val="000B1425"/>
    <w:rPr>
      <w:rFonts w:ascii="Calibri Light" w:eastAsia="Yu Gothic Light" w:hAnsi="Calibri Light"/>
      <w:color w:val="1F3763"/>
      <w:sz w:val="24"/>
      <w:szCs w:val="24"/>
      <w:lang w:eastAsia="en-US"/>
    </w:rPr>
  </w:style>
  <w:style w:type="character" w:customStyle="1" w:styleId="Heading4Char">
    <w:name w:val="Heading 4 Char"/>
    <w:basedOn w:val="DefaultParagraphFont"/>
    <w:link w:val="Heading4"/>
    <w:uiPriority w:val="9"/>
    <w:rsid w:val="000B1425"/>
    <w:rPr>
      <w:rFonts w:ascii="Calibri Light" w:eastAsia="Yu Gothic Light" w:hAnsi="Calibri Light"/>
      <w:i/>
      <w:iCs/>
      <w:color w:val="2F5496"/>
      <w:sz w:val="28"/>
      <w:szCs w:val="28"/>
      <w:lang w:eastAsia="en-US"/>
    </w:rPr>
  </w:style>
  <w:style w:type="table" w:customStyle="1" w:styleId="GridTable1Light1">
    <w:name w:val="Grid Table 1 Light1"/>
    <w:basedOn w:val="TableNormal"/>
    <w:uiPriority w:val="46"/>
    <w:rsid w:val="000B1425"/>
    <w:rPr>
      <w:rFonts w:ascii="Calibri" w:eastAsia="Calibri" w:hAnsi="Calibri" w:cs="Arial"/>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2Char">
    <w:name w:val="Heading 2 Char"/>
    <w:link w:val="Heading2"/>
    <w:uiPriority w:val="9"/>
    <w:rsid w:val="000B1425"/>
    <w:rPr>
      <w:rFonts w:ascii="Times New Roman" w:hAnsi="Times New Roman"/>
      <w:i/>
      <w:sz w:val="24"/>
      <w:lang w:val="en-US" w:eastAsia="en-US"/>
    </w:rPr>
  </w:style>
  <w:style w:type="paragraph" w:styleId="ListParagraph">
    <w:name w:val="List Paragraph"/>
    <w:basedOn w:val="Normal"/>
    <w:uiPriority w:val="34"/>
    <w:qFormat/>
    <w:rsid w:val="000B1425"/>
    <w:pPr>
      <w:autoSpaceDE w:val="0"/>
      <w:autoSpaceDN w:val="0"/>
      <w:adjustRightInd w:val="0"/>
      <w:ind w:left="720"/>
      <w:contextualSpacing/>
    </w:pPr>
    <w:rPr>
      <w:rFonts w:ascii="Courier New" w:eastAsia="Calibri" w:hAnsi="Courier New" w:cs="Courier New"/>
      <w:color w:val="000000"/>
      <w:sz w:val="28"/>
      <w:szCs w:val="28"/>
      <w:lang w:val="en-GB"/>
    </w:rPr>
  </w:style>
  <w:style w:type="paragraph" w:customStyle="1" w:styleId="paragraph">
    <w:name w:val="paragraph"/>
    <w:basedOn w:val="Normal"/>
    <w:rsid w:val="000B1425"/>
    <w:pPr>
      <w:autoSpaceDE w:val="0"/>
      <w:autoSpaceDN w:val="0"/>
      <w:adjustRightInd w:val="0"/>
      <w:spacing w:before="100" w:beforeAutospacing="1" w:after="100" w:afterAutospacing="1"/>
    </w:pPr>
    <w:rPr>
      <w:rFonts w:ascii="Times New Roman" w:hAnsi="Times New Roman"/>
      <w:color w:val="000000"/>
      <w:szCs w:val="24"/>
      <w:lang w:val="en-GB" w:eastAsia="en-GB"/>
    </w:rPr>
  </w:style>
  <w:style w:type="character" w:customStyle="1" w:styleId="normaltextrun">
    <w:name w:val="normaltextrun"/>
    <w:basedOn w:val="DefaultParagraphFont"/>
    <w:rsid w:val="000B1425"/>
  </w:style>
  <w:style w:type="character" w:customStyle="1" w:styleId="eop">
    <w:name w:val="eop"/>
    <w:basedOn w:val="DefaultParagraphFont"/>
    <w:rsid w:val="000B1425"/>
  </w:style>
  <w:style w:type="paragraph" w:styleId="BalloonText">
    <w:name w:val="Balloon Text"/>
    <w:basedOn w:val="Normal"/>
    <w:link w:val="BalloonTextChar"/>
    <w:uiPriority w:val="99"/>
    <w:unhideWhenUsed/>
    <w:rsid w:val="000B1425"/>
    <w:pPr>
      <w:autoSpaceDE w:val="0"/>
      <w:autoSpaceDN w:val="0"/>
      <w:adjustRightInd w:val="0"/>
    </w:pPr>
    <w:rPr>
      <w:rFonts w:ascii="Segoe UI" w:eastAsia="Calibri" w:hAnsi="Segoe UI" w:cs="Segoe UI"/>
      <w:color w:val="000000"/>
      <w:sz w:val="18"/>
      <w:szCs w:val="18"/>
      <w:lang w:val="en-GB"/>
    </w:rPr>
  </w:style>
  <w:style w:type="character" w:customStyle="1" w:styleId="BalloonTextChar">
    <w:name w:val="Balloon Text Char"/>
    <w:basedOn w:val="DefaultParagraphFont"/>
    <w:link w:val="BalloonText"/>
    <w:uiPriority w:val="99"/>
    <w:rsid w:val="000B1425"/>
    <w:rPr>
      <w:rFonts w:ascii="Segoe UI" w:eastAsia="Calibri" w:hAnsi="Segoe UI" w:cs="Segoe UI"/>
      <w:color w:val="000000"/>
      <w:sz w:val="18"/>
      <w:szCs w:val="18"/>
      <w:lang w:eastAsia="en-US"/>
    </w:rPr>
  </w:style>
  <w:style w:type="paragraph" w:styleId="FootnoteText">
    <w:name w:val="footnote text"/>
    <w:basedOn w:val="Normal"/>
    <w:link w:val="FootnoteTextChar"/>
    <w:uiPriority w:val="99"/>
    <w:unhideWhenUsed/>
    <w:rsid w:val="000B1425"/>
    <w:pPr>
      <w:autoSpaceDE w:val="0"/>
      <w:autoSpaceDN w:val="0"/>
      <w:adjustRightInd w:val="0"/>
    </w:pPr>
    <w:rPr>
      <w:rFonts w:ascii="Courier New" w:eastAsia="Calibri" w:hAnsi="Courier New" w:cs="Courier New"/>
      <w:color w:val="000000"/>
      <w:sz w:val="20"/>
      <w:lang w:val="en-GB"/>
    </w:rPr>
  </w:style>
  <w:style w:type="character" w:customStyle="1" w:styleId="FootnoteTextChar">
    <w:name w:val="Footnote Text Char"/>
    <w:basedOn w:val="DefaultParagraphFont"/>
    <w:link w:val="FootnoteText"/>
    <w:uiPriority w:val="99"/>
    <w:rsid w:val="000B1425"/>
    <w:rPr>
      <w:rFonts w:ascii="Courier New" w:eastAsia="Calibri" w:hAnsi="Courier New" w:cs="Courier New"/>
      <w:color w:val="000000"/>
      <w:lang w:eastAsia="en-US"/>
    </w:rPr>
  </w:style>
  <w:style w:type="character" w:styleId="FootnoteReference">
    <w:name w:val="footnote reference"/>
    <w:uiPriority w:val="99"/>
    <w:unhideWhenUsed/>
    <w:rsid w:val="000B1425"/>
    <w:rPr>
      <w:vertAlign w:val="superscript"/>
    </w:rPr>
  </w:style>
  <w:style w:type="paragraph" w:customStyle="1" w:styleId="Default">
    <w:name w:val="Default"/>
    <w:rsid w:val="000B1425"/>
    <w:pPr>
      <w:autoSpaceDE w:val="0"/>
      <w:autoSpaceDN w:val="0"/>
      <w:adjustRightInd w:val="0"/>
    </w:pPr>
    <w:rPr>
      <w:rFonts w:ascii="Verdana" w:eastAsia="Calibri" w:hAnsi="Verdana" w:cs="Verdana"/>
      <w:color w:val="000000"/>
      <w:sz w:val="24"/>
      <w:szCs w:val="24"/>
      <w:lang w:eastAsia="en-US"/>
    </w:rPr>
  </w:style>
  <w:style w:type="paragraph" w:styleId="NormalWeb">
    <w:name w:val="Normal (Web)"/>
    <w:basedOn w:val="Normal"/>
    <w:uiPriority w:val="99"/>
    <w:unhideWhenUsed/>
    <w:rsid w:val="000B1425"/>
    <w:pPr>
      <w:autoSpaceDE w:val="0"/>
      <w:autoSpaceDN w:val="0"/>
      <w:adjustRightInd w:val="0"/>
      <w:spacing w:before="100" w:beforeAutospacing="1" w:after="100" w:afterAutospacing="1"/>
    </w:pPr>
    <w:rPr>
      <w:rFonts w:ascii="Times New Roman" w:hAnsi="Times New Roman"/>
      <w:color w:val="000000"/>
      <w:szCs w:val="24"/>
      <w:lang w:val="en-GB" w:eastAsia="en-GB"/>
    </w:rPr>
  </w:style>
  <w:style w:type="paragraph" w:styleId="Revision">
    <w:name w:val="Revision"/>
    <w:hidden/>
    <w:uiPriority w:val="99"/>
    <w:semiHidden/>
    <w:rsid w:val="000B1425"/>
    <w:rPr>
      <w:rFonts w:ascii="Calibri" w:eastAsia="Calibri" w:hAnsi="Calibri" w:cs="Arial"/>
      <w:sz w:val="22"/>
      <w:szCs w:val="22"/>
      <w:lang w:eastAsia="en-US"/>
    </w:rPr>
  </w:style>
  <w:style w:type="table" w:styleId="TableGrid">
    <w:name w:val="Table Grid"/>
    <w:basedOn w:val="TableNormal"/>
    <w:uiPriority w:val="39"/>
    <w:rsid w:val="000B1425"/>
    <w:rPr>
      <w:rFonts w:ascii="Calibri" w:eastAsia="Calibri" w:hAnsi="Calibri"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B1425"/>
    <w:rPr>
      <w:rFonts w:ascii="Calibri" w:eastAsia="Calibri" w:hAnsi="Calibri" w:cs="Arial"/>
      <w:sz w:val="24"/>
      <w:szCs w:val="24"/>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0B1425"/>
    <w:rPr>
      <w:rFonts w:ascii="Calibri" w:eastAsia="Calibri" w:hAnsi="Calibri" w:cs="Arial"/>
      <w:sz w:val="24"/>
      <w:szCs w:val="24"/>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7ColourfulAccent21">
    <w:name w:val="Grid Table 7 Colourful – Accent 21"/>
    <w:basedOn w:val="TableNormal"/>
    <w:uiPriority w:val="52"/>
    <w:rsid w:val="000B1425"/>
    <w:rPr>
      <w:rFonts w:ascii="Calibri" w:eastAsia="Calibri" w:hAnsi="Calibri" w:cs="Arial"/>
      <w:color w:val="C45911"/>
      <w:sz w:val="24"/>
      <w:szCs w:val="24"/>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paragraph" w:styleId="CommentSubject">
    <w:name w:val="annotation subject"/>
    <w:basedOn w:val="CommentText"/>
    <w:next w:val="CommentText"/>
    <w:link w:val="CommentSubjectChar"/>
    <w:uiPriority w:val="99"/>
    <w:unhideWhenUsed/>
    <w:rsid w:val="000B1425"/>
    <w:rPr>
      <w:b/>
      <w:bCs/>
    </w:rPr>
  </w:style>
  <w:style w:type="character" w:customStyle="1" w:styleId="CommentSubjectChar">
    <w:name w:val="Comment Subject Char"/>
    <w:basedOn w:val="CommentTextChar"/>
    <w:link w:val="CommentSubject"/>
    <w:uiPriority w:val="99"/>
    <w:rsid w:val="000B1425"/>
    <w:rPr>
      <w:rFonts w:ascii="Courier New" w:eastAsia="Calibri" w:hAnsi="Courier New" w:cs="Courier New"/>
      <w:b/>
      <w:bCs/>
      <w:color w:val="000000"/>
      <w:lang w:eastAsia="en-US"/>
    </w:rPr>
  </w:style>
  <w:style w:type="character" w:customStyle="1" w:styleId="UnresolvedMention1">
    <w:name w:val="Unresolved Mention1"/>
    <w:uiPriority w:val="99"/>
    <w:semiHidden/>
    <w:unhideWhenUsed/>
    <w:rsid w:val="000B1425"/>
    <w:rPr>
      <w:color w:val="605E5C"/>
      <w:shd w:val="clear" w:color="auto" w:fill="E1DFDD"/>
    </w:rPr>
  </w:style>
  <w:style w:type="character" w:styleId="FollowedHyperlink">
    <w:name w:val="FollowedHyperlink"/>
    <w:uiPriority w:val="99"/>
    <w:unhideWhenUsed/>
    <w:rsid w:val="000B1425"/>
    <w:rPr>
      <w:color w:val="954F72"/>
      <w:u w:val="single"/>
    </w:rPr>
  </w:style>
  <w:style w:type="character" w:customStyle="1" w:styleId="HeaderChar">
    <w:name w:val="Header Char"/>
    <w:link w:val="Header"/>
    <w:uiPriority w:val="99"/>
    <w:rsid w:val="000B1425"/>
    <w:rPr>
      <w:rFonts w:ascii="Times New Roman" w:hAnsi="Times New Roman"/>
      <w:sz w:val="24"/>
      <w:lang w:val="en-US" w:eastAsia="en-US"/>
    </w:rPr>
  </w:style>
  <w:style w:type="character" w:customStyle="1" w:styleId="FooterChar">
    <w:name w:val="Footer Char"/>
    <w:link w:val="Footer"/>
    <w:uiPriority w:val="99"/>
    <w:rsid w:val="000B1425"/>
    <w:rPr>
      <w:sz w:val="24"/>
      <w:lang w:val="en-US" w:eastAsia="en-US"/>
    </w:rPr>
  </w:style>
  <w:style w:type="paragraph" w:customStyle="1" w:styleId="EndNoteBibliographyTitle">
    <w:name w:val="EndNote Bibliography Title"/>
    <w:basedOn w:val="Normal"/>
    <w:link w:val="EndNoteBibliographyTitleChar"/>
    <w:rsid w:val="000B1425"/>
    <w:pPr>
      <w:autoSpaceDE w:val="0"/>
      <w:autoSpaceDN w:val="0"/>
      <w:adjustRightInd w:val="0"/>
      <w:jc w:val="center"/>
    </w:pPr>
    <w:rPr>
      <w:rFonts w:ascii="Times New Roman" w:eastAsia="Calibri" w:hAnsi="Times New Roman"/>
      <w:color w:val="000000"/>
      <w:szCs w:val="28"/>
    </w:rPr>
  </w:style>
  <w:style w:type="character" w:customStyle="1" w:styleId="EndNoteBibliographyTitleChar">
    <w:name w:val="EndNote Bibliography Title Char"/>
    <w:link w:val="EndNoteBibliographyTitle"/>
    <w:rsid w:val="000B1425"/>
    <w:rPr>
      <w:rFonts w:ascii="Times New Roman" w:eastAsia="Calibri" w:hAnsi="Times New Roman"/>
      <w:color w:val="000000"/>
      <w:sz w:val="24"/>
      <w:szCs w:val="28"/>
      <w:lang w:val="en-US" w:eastAsia="en-US"/>
    </w:rPr>
  </w:style>
  <w:style w:type="paragraph" w:customStyle="1" w:styleId="EndNoteBibliography">
    <w:name w:val="EndNote Bibliography"/>
    <w:basedOn w:val="Normal"/>
    <w:link w:val="EndNoteBibliographyChar"/>
    <w:rsid w:val="000B1425"/>
    <w:pPr>
      <w:autoSpaceDE w:val="0"/>
      <w:autoSpaceDN w:val="0"/>
      <w:adjustRightInd w:val="0"/>
      <w:spacing w:line="480" w:lineRule="auto"/>
    </w:pPr>
    <w:rPr>
      <w:rFonts w:ascii="Times New Roman" w:eastAsia="Calibri" w:hAnsi="Times New Roman"/>
      <w:color w:val="000000"/>
      <w:szCs w:val="28"/>
    </w:rPr>
  </w:style>
  <w:style w:type="character" w:customStyle="1" w:styleId="EndNoteBibliographyChar">
    <w:name w:val="EndNote Bibliography Char"/>
    <w:link w:val="EndNoteBibliography"/>
    <w:rsid w:val="000B1425"/>
    <w:rPr>
      <w:rFonts w:ascii="Times New Roman" w:eastAsia="Calibri" w:hAnsi="Times New Roman"/>
      <w:color w:val="000000"/>
      <w:sz w:val="24"/>
      <w:szCs w:val="28"/>
      <w:lang w:val="en-US" w:eastAsia="en-US"/>
    </w:rPr>
  </w:style>
  <w:style w:type="table" w:customStyle="1" w:styleId="PlainTable21">
    <w:name w:val="Plain Table 21"/>
    <w:basedOn w:val="TableNormal"/>
    <w:uiPriority w:val="42"/>
    <w:rsid w:val="000B1425"/>
    <w:rPr>
      <w:rFonts w:ascii="Calibri" w:eastAsia="Calibri" w:hAnsi="Calibri" w:cs="Arial"/>
      <w:sz w:val="24"/>
      <w:szCs w:val="24"/>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itle2">
    <w:name w:val="Title 2"/>
    <w:basedOn w:val="Normal"/>
    <w:uiPriority w:val="1"/>
    <w:qFormat/>
    <w:rsid w:val="000B1425"/>
    <w:pPr>
      <w:spacing w:line="480" w:lineRule="auto"/>
      <w:jc w:val="center"/>
    </w:pPr>
    <w:rPr>
      <w:rFonts w:ascii="Calibri" w:eastAsia="Yu Mincho" w:hAnsi="Calibri" w:cs="Arial"/>
      <w:kern w:val="24"/>
      <w:szCs w:val="24"/>
      <w:lang w:eastAsia="ja-JP"/>
    </w:rPr>
  </w:style>
  <w:style w:type="character" w:styleId="UnresolvedMention">
    <w:name w:val="Unresolved Mention"/>
    <w:uiPriority w:val="99"/>
    <w:semiHidden/>
    <w:unhideWhenUsed/>
    <w:rsid w:val="000B1425"/>
    <w:rPr>
      <w:color w:val="605E5C"/>
      <w:shd w:val="clear" w:color="auto" w:fill="E1DFDD"/>
    </w:rPr>
  </w:style>
  <w:style w:type="paragraph" w:styleId="EndnoteText">
    <w:name w:val="endnote text"/>
    <w:basedOn w:val="Normal"/>
    <w:link w:val="EndnoteTextChar"/>
    <w:uiPriority w:val="99"/>
    <w:unhideWhenUsed/>
    <w:rsid w:val="000B1425"/>
    <w:pPr>
      <w:autoSpaceDE w:val="0"/>
      <w:autoSpaceDN w:val="0"/>
      <w:adjustRightInd w:val="0"/>
    </w:pPr>
    <w:rPr>
      <w:rFonts w:ascii="Courier New" w:eastAsia="Calibri" w:hAnsi="Courier New" w:cs="Courier New"/>
      <w:color w:val="000000"/>
      <w:sz w:val="20"/>
      <w:lang w:val="en-GB"/>
    </w:rPr>
  </w:style>
  <w:style w:type="character" w:customStyle="1" w:styleId="EndnoteTextChar">
    <w:name w:val="Endnote Text Char"/>
    <w:basedOn w:val="DefaultParagraphFont"/>
    <w:link w:val="EndnoteText"/>
    <w:uiPriority w:val="99"/>
    <w:rsid w:val="000B1425"/>
    <w:rPr>
      <w:rFonts w:ascii="Courier New" w:eastAsia="Calibri" w:hAnsi="Courier New" w:cs="Courier New"/>
      <w:color w:val="000000"/>
      <w:lang w:eastAsia="en-US"/>
    </w:rPr>
  </w:style>
  <w:style w:type="character" w:styleId="EndnoteReference">
    <w:name w:val="endnote reference"/>
    <w:uiPriority w:val="99"/>
    <w:unhideWhenUsed/>
    <w:rsid w:val="000B1425"/>
    <w:rPr>
      <w:vertAlign w:val="superscript"/>
    </w:rPr>
  </w:style>
  <w:style w:type="paragraph" w:styleId="Title">
    <w:name w:val="Title"/>
    <w:basedOn w:val="Normal"/>
    <w:next w:val="Normal"/>
    <w:link w:val="TitleChar"/>
    <w:qFormat/>
    <w:rsid w:val="004C46F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C46F1"/>
    <w:rPr>
      <w:rFonts w:asciiTheme="majorHAnsi" w:eastAsiaTheme="majorEastAsia" w:hAnsiTheme="majorHAnsi" w:cstheme="majorBidi"/>
      <w:b/>
      <w:bCs/>
      <w:kern w:val="28"/>
      <w:sz w:val="32"/>
      <w:szCs w:val="32"/>
      <w:lang w:val="en-US" w:eastAsia="en-US"/>
    </w:rPr>
  </w:style>
  <w:style w:type="character" w:styleId="Strong">
    <w:name w:val="Strong"/>
    <w:basedOn w:val="DefaultParagraphFont"/>
    <w:qFormat/>
    <w:rsid w:val="004C46F1"/>
    <w:rPr>
      <w:b/>
      <w:bCs/>
    </w:rPr>
  </w:style>
  <w:style w:type="character" w:customStyle="1" w:styleId="Heading5Char">
    <w:name w:val="Heading 5 Char"/>
    <w:basedOn w:val="DefaultParagraphFont"/>
    <w:link w:val="Heading5"/>
    <w:semiHidden/>
    <w:rsid w:val="00D43917"/>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semiHidden/>
    <w:rsid w:val="00D43917"/>
    <w:rPr>
      <w:rFonts w:asciiTheme="minorHAnsi" w:eastAsiaTheme="minorEastAsia" w:hAnsiTheme="minorHAnsi" w:cstheme="minorBidi"/>
      <w:b/>
      <w:bCs/>
      <w:sz w:val="22"/>
      <w:szCs w:val="22"/>
      <w:lang w:val="en-US" w:eastAsia="en-US"/>
    </w:rPr>
  </w:style>
  <w:style w:type="character" w:customStyle="1" w:styleId="Heading7Char">
    <w:name w:val="Heading 7 Char"/>
    <w:basedOn w:val="DefaultParagraphFont"/>
    <w:link w:val="Heading7"/>
    <w:semiHidden/>
    <w:rsid w:val="00D43917"/>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semiHidden/>
    <w:rsid w:val="00D43917"/>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semiHidden/>
    <w:rsid w:val="00D43917"/>
    <w:rPr>
      <w:rFonts w:asciiTheme="majorHAnsi" w:eastAsiaTheme="majorEastAsia" w:hAnsiTheme="majorHAnsi" w:cstheme="maj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login.aspx?direct=true&amp;db=cmedm&amp;AN=16761693&amp;site=ehost-live" TargetMode="External"/><Relationship Id="rId3" Type="http://schemas.openxmlformats.org/officeDocument/2006/relationships/settings" Target="settings.xml"/><Relationship Id="rId7" Type="http://schemas.openxmlformats.org/officeDocument/2006/relationships/hyperlink" Target="https://www.england.nhs.uk/wp-cont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lac\AppData\Roaming\Microsoft\Templates\APA%20paper%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APA paper format.dot</Template>
  <TotalTime>0</TotalTime>
  <Pages>28</Pages>
  <Words>10516</Words>
  <Characters>59944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Manager/>
  <Company>vanguard university</Company>
  <LinksUpToDate>false</LinksUpToDate>
  <CharactersWithSpaces>70320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CHAPLIN</dc:creator>
  <cp:keywords/>
  <dc:description/>
  <cp:lastModifiedBy>EDWARD CHAPLIN</cp:lastModifiedBy>
  <cp:revision>2</cp:revision>
  <cp:lastPrinted>2002-05-11T14:16:00Z</cp:lastPrinted>
  <dcterms:created xsi:type="dcterms:W3CDTF">2021-05-31T13:01:00Z</dcterms:created>
  <dcterms:modified xsi:type="dcterms:W3CDTF">2022-04-20T13:35:00Z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