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49" w:rsidRPr="001D0549" w:rsidRDefault="001D0549" w:rsidP="001D0549">
      <w:pPr>
        <w:pStyle w:val="Subtitle"/>
        <w:spacing w:after="120"/>
        <w:rPr>
          <w:b/>
          <w:kern w:val="28"/>
          <w:sz w:val="28"/>
          <w:szCs w:val="28"/>
        </w:rPr>
      </w:pPr>
      <w:r w:rsidRPr="001D0549">
        <w:rPr>
          <w:b/>
          <w:kern w:val="28"/>
          <w:sz w:val="28"/>
          <w:szCs w:val="28"/>
        </w:rPr>
        <w:t>METHODS TO ASSESS ENERGY USAGE IN FOOD COLD STORES</w:t>
      </w:r>
    </w:p>
    <w:p w:rsidR="001D0549" w:rsidRPr="001D0549" w:rsidRDefault="001D0549" w:rsidP="001D0549">
      <w:pPr>
        <w:pStyle w:val="Subtitle"/>
        <w:rPr>
          <w:rStyle w:val="StyleHeading211ptLatinBoldNotLatinItalicChar"/>
          <w:i/>
          <w:iCs/>
        </w:rPr>
      </w:pPr>
      <w:r w:rsidRPr="001D0549">
        <w:rPr>
          <w:rStyle w:val="StyleHeading211ptLatinBoldNotLatinItalicChar"/>
          <w:i/>
          <w:iCs/>
        </w:rPr>
        <w:t xml:space="preserve">Evans, </w:t>
      </w:r>
      <w:proofErr w:type="spellStart"/>
      <w:r w:rsidRPr="001D0549">
        <w:rPr>
          <w:rStyle w:val="StyleHeading211ptLatinBoldNotLatinItalicChar"/>
          <w:i/>
          <w:iCs/>
        </w:rPr>
        <w:t>J.A.</w:t>
      </w:r>
      <w:r w:rsidRPr="001D0549">
        <w:rPr>
          <w:rStyle w:val="StyleHeading211ptLatinBoldNotLatinItalicChar"/>
          <w:i/>
          <w:iCs/>
          <w:vertAlign w:val="superscript"/>
        </w:rPr>
        <w:t>a</w:t>
      </w:r>
      <w:proofErr w:type="spellEnd"/>
      <w:r w:rsidRPr="001D0549">
        <w:rPr>
          <w:rStyle w:val="StyleHeading211ptLatinBoldNotLatinItalicChar"/>
          <w:i/>
          <w:iCs/>
        </w:rPr>
        <w:t xml:space="preserve">; Foster, </w:t>
      </w:r>
      <w:proofErr w:type="spellStart"/>
      <w:r w:rsidRPr="001D0549">
        <w:rPr>
          <w:rStyle w:val="StyleHeading211ptLatinBoldNotLatinItalicChar"/>
          <w:i/>
          <w:iCs/>
        </w:rPr>
        <w:t>A.M</w:t>
      </w:r>
      <w:r w:rsidRPr="001D0549">
        <w:rPr>
          <w:rStyle w:val="StyleHeading211ptLatinBoldNotLatinItalicChar"/>
          <w:i/>
          <w:iCs/>
          <w:vertAlign w:val="superscript"/>
        </w:rPr>
        <w:t>a</w:t>
      </w:r>
      <w:proofErr w:type="spellEnd"/>
      <w:r w:rsidRPr="001D0549">
        <w:rPr>
          <w:rStyle w:val="StyleHeading211ptLatinBoldNotLatinItalicChar"/>
          <w:i/>
          <w:iCs/>
        </w:rPr>
        <w:t xml:space="preserve">., </w:t>
      </w:r>
      <w:proofErr w:type="spellStart"/>
      <w:r w:rsidRPr="001D0549">
        <w:rPr>
          <w:rStyle w:val="StyleHeading211ptLatinBoldNotLatinItalicChar"/>
          <w:i/>
          <w:iCs/>
        </w:rPr>
        <w:t>Huet</w:t>
      </w:r>
      <w:proofErr w:type="spellEnd"/>
      <w:r w:rsidRPr="001D0549">
        <w:rPr>
          <w:rStyle w:val="StyleHeading211ptLatinBoldNotLatinItalicChar"/>
          <w:i/>
          <w:iCs/>
        </w:rPr>
        <w:t>, J-</w:t>
      </w:r>
      <w:proofErr w:type="spellStart"/>
      <w:r w:rsidRPr="001D0549">
        <w:rPr>
          <w:rStyle w:val="StyleHeading211ptLatinBoldNotLatinItalicChar"/>
          <w:i/>
          <w:iCs/>
        </w:rPr>
        <w:t>M.</w:t>
      </w:r>
      <w:r w:rsidRPr="001D0549">
        <w:rPr>
          <w:rStyle w:val="StyleHeading211ptLatinBoldNotLatinItalicChar"/>
          <w:i/>
          <w:iCs/>
          <w:vertAlign w:val="superscript"/>
        </w:rPr>
        <w:t>b</w:t>
      </w:r>
      <w:proofErr w:type="spellEnd"/>
      <w:r w:rsidRPr="001D0549">
        <w:rPr>
          <w:rStyle w:val="StyleHeading211ptLatinBoldNotLatinItalicChar"/>
          <w:i/>
          <w:iCs/>
        </w:rPr>
        <w:t xml:space="preserve">; </w:t>
      </w:r>
      <w:proofErr w:type="spellStart"/>
      <w:r w:rsidRPr="001D0549">
        <w:rPr>
          <w:rStyle w:val="StyleHeading211ptLatinBoldNotLatinItalicChar"/>
          <w:i/>
          <w:iCs/>
        </w:rPr>
        <w:t>Reinholdt</w:t>
      </w:r>
      <w:proofErr w:type="spellEnd"/>
      <w:r w:rsidRPr="001D0549">
        <w:rPr>
          <w:rStyle w:val="StyleHeading211ptLatinBoldNotLatinItalicChar"/>
          <w:i/>
          <w:iCs/>
        </w:rPr>
        <w:t xml:space="preserve">, </w:t>
      </w:r>
      <w:proofErr w:type="spellStart"/>
      <w:r w:rsidRPr="001D0549">
        <w:rPr>
          <w:rStyle w:val="StyleHeading211ptLatinBoldNotLatinItalicChar"/>
          <w:i/>
          <w:iCs/>
        </w:rPr>
        <w:t>L.</w:t>
      </w:r>
      <w:r w:rsidRPr="001D0549">
        <w:rPr>
          <w:rStyle w:val="StyleHeading211ptLatinBoldNotLatinItalicChar"/>
          <w:i/>
          <w:iCs/>
          <w:vertAlign w:val="superscript"/>
        </w:rPr>
        <w:t>b</w:t>
      </w:r>
      <w:proofErr w:type="spellEnd"/>
      <w:r w:rsidRPr="001D0549">
        <w:rPr>
          <w:rStyle w:val="StyleHeading211ptLatinBoldNotLatinItalicChar"/>
          <w:i/>
          <w:iCs/>
        </w:rPr>
        <w:t xml:space="preserve">; </w:t>
      </w:r>
      <w:proofErr w:type="spellStart"/>
      <w:r w:rsidRPr="001D0549">
        <w:rPr>
          <w:rStyle w:val="StyleHeading211ptLatinBoldNotLatinItalicChar"/>
          <w:i/>
          <w:iCs/>
        </w:rPr>
        <w:t>Fikiin</w:t>
      </w:r>
      <w:proofErr w:type="spellEnd"/>
      <w:r w:rsidRPr="001D0549">
        <w:rPr>
          <w:rStyle w:val="StyleHeading211ptLatinBoldNotLatinItalicChar"/>
          <w:i/>
          <w:iCs/>
        </w:rPr>
        <w:t xml:space="preserve">, </w:t>
      </w:r>
      <w:proofErr w:type="spellStart"/>
      <w:r w:rsidRPr="001D0549">
        <w:rPr>
          <w:rStyle w:val="StyleHeading211ptLatinBoldNotLatinItalicChar"/>
          <w:i/>
          <w:iCs/>
        </w:rPr>
        <w:t>K.</w:t>
      </w:r>
      <w:r w:rsidRPr="001D0549">
        <w:rPr>
          <w:rStyle w:val="StyleHeading211ptLatinBoldNotLatinItalicChar"/>
          <w:i/>
          <w:iCs/>
          <w:vertAlign w:val="superscript"/>
        </w:rPr>
        <w:t>c</w:t>
      </w:r>
      <w:proofErr w:type="spellEnd"/>
      <w:r w:rsidRPr="001D0549">
        <w:rPr>
          <w:rStyle w:val="StyleHeading211ptLatinBoldNotLatinItalicChar"/>
          <w:i/>
          <w:iCs/>
        </w:rPr>
        <w:t xml:space="preserve">; </w:t>
      </w:r>
      <w:proofErr w:type="spellStart"/>
      <w:r w:rsidRPr="001D0549">
        <w:rPr>
          <w:rStyle w:val="StyleHeading211ptLatinBoldNotLatinItalicChar"/>
          <w:i/>
          <w:iCs/>
        </w:rPr>
        <w:t>Zilio</w:t>
      </w:r>
      <w:proofErr w:type="spellEnd"/>
      <w:r w:rsidRPr="001D0549">
        <w:rPr>
          <w:rStyle w:val="StyleHeading211ptLatinBoldNotLatinItalicChar"/>
          <w:i/>
          <w:iCs/>
        </w:rPr>
        <w:t xml:space="preserve">, </w:t>
      </w:r>
      <w:proofErr w:type="spellStart"/>
      <w:r w:rsidRPr="001D0549">
        <w:rPr>
          <w:rStyle w:val="StyleHeading211ptLatinBoldNotLatinItalicChar"/>
          <w:i/>
          <w:iCs/>
        </w:rPr>
        <w:t>C.</w:t>
      </w:r>
      <w:r w:rsidRPr="001D0549">
        <w:rPr>
          <w:rStyle w:val="StyleHeading211ptLatinBoldNotLatinItalicChar"/>
          <w:i/>
          <w:iCs/>
          <w:vertAlign w:val="superscript"/>
        </w:rPr>
        <w:t>d</w:t>
      </w:r>
      <w:proofErr w:type="spellEnd"/>
      <w:r w:rsidRPr="001D0549">
        <w:rPr>
          <w:rStyle w:val="StyleHeading211ptLatinBoldNotLatinItalicChar"/>
          <w:i/>
          <w:iCs/>
        </w:rPr>
        <w:t xml:space="preserve">; </w:t>
      </w:r>
      <w:proofErr w:type="spellStart"/>
      <w:r w:rsidRPr="001D0549">
        <w:rPr>
          <w:rStyle w:val="StyleHeading211ptLatinBoldNotLatinItalicChar"/>
          <w:i/>
          <w:iCs/>
        </w:rPr>
        <w:t>Houska</w:t>
      </w:r>
      <w:proofErr w:type="spellEnd"/>
      <w:r w:rsidRPr="001D0549">
        <w:rPr>
          <w:rStyle w:val="StyleHeading211ptLatinBoldNotLatinItalicChar"/>
          <w:i/>
          <w:iCs/>
        </w:rPr>
        <w:t xml:space="preserve">, </w:t>
      </w:r>
      <w:proofErr w:type="spellStart"/>
      <w:r w:rsidRPr="001D0549">
        <w:rPr>
          <w:rStyle w:val="StyleHeading211ptLatinBoldNotLatinItalicChar"/>
          <w:i/>
          <w:iCs/>
        </w:rPr>
        <w:t>M.</w:t>
      </w:r>
      <w:r w:rsidRPr="001D0549">
        <w:rPr>
          <w:rStyle w:val="StyleHeading211ptLatinBoldNotLatinItalicChar"/>
          <w:i/>
          <w:iCs/>
          <w:vertAlign w:val="superscript"/>
        </w:rPr>
        <w:t>e</w:t>
      </w:r>
      <w:proofErr w:type="spellEnd"/>
      <w:r w:rsidRPr="001D0549">
        <w:rPr>
          <w:rStyle w:val="StyleHeading211ptLatinBoldNotLatinItalicChar"/>
          <w:i/>
          <w:iCs/>
        </w:rPr>
        <w:t xml:space="preserve">; </w:t>
      </w:r>
      <w:proofErr w:type="spellStart"/>
      <w:r w:rsidRPr="001D0549">
        <w:rPr>
          <w:rStyle w:val="StyleHeading211ptLatinBoldNotLatinItalicChar"/>
          <w:i/>
          <w:iCs/>
        </w:rPr>
        <w:t>Landfeld</w:t>
      </w:r>
      <w:proofErr w:type="spellEnd"/>
      <w:r w:rsidRPr="001D0549">
        <w:rPr>
          <w:rStyle w:val="StyleHeading211ptLatinBoldNotLatinItalicChar"/>
          <w:i/>
          <w:iCs/>
        </w:rPr>
        <w:t xml:space="preserve">, </w:t>
      </w:r>
      <w:proofErr w:type="spellStart"/>
      <w:r w:rsidRPr="001D0549">
        <w:rPr>
          <w:rStyle w:val="StyleHeading211ptLatinBoldNotLatinItalicChar"/>
          <w:i/>
          <w:iCs/>
        </w:rPr>
        <w:t>A.</w:t>
      </w:r>
      <w:r w:rsidRPr="001D0549">
        <w:rPr>
          <w:rStyle w:val="StyleHeading211ptLatinBoldNotLatinItalicChar"/>
          <w:i/>
          <w:iCs/>
          <w:vertAlign w:val="superscript"/>
        </w:rPr>
        <w:t>e</w:t>
      </w:r>
      <w:proofErr w:type="spellEnd"/>
      <w:r w:rsidRPr="001D0549">
        <w:rPr>
          <w:rStyle w:val="StyleHeading211ptLatinBoldNotLatinItalicChar"/>
          <w:i/>
          <w:iCs/>
        </w:rPr>
        <w:t xml:space="preserve">, Bond, </w:t>
      </w:r>
      <w:proofErr w:type="spellStart"/>
      <w:r w:rsidRPr="001D0549">
        <w:rPr>
          <w:rStyle w:val="StyleHeading211ptLatinBoldNotLatinItalicChar"/>
          <w:i/>
          <w:iCs/>
        </w:rPr>
        <w:t>C.</w:t>
      </w:r>
      <w:r w:rsidRPr="001D0549">
        <w:rPr>
          <w:rStyle w:val="StyleHeading211ptLatinBoldNotLatinItalicChar"/>
          <w:i/>
          <w:iCs/>
          <w:vertAlign w:val="superscript"/>
        </w:rPr>
        <w:t>f</w:t>
      </w:r>
      <w:proofErr w:type="spellEnd"/>
      <w:r w:rsidRPr="001D0549">
        <w:rPr>
          <w:rStyle w:val="StyleHeading211ptLatinBoldNotLatinItalicChar"/>
          <w:i/>
          <w:iCs/>
        </w:rPr>
        <w:t xml:space="preserve">; </w:t>
      </w:r>
      <w:proofErr w:type="spellStart"/>
      <w:r w:rsidRPr="001D0549">
        <w:rPr>
          <w:rStyle w:val="StyleHeading211ptLatinBoldNotLatinItalicChar"/>
          <w:i/>
          <w:iCs/>
        </w:rPr>
        <w:t>Scheurs</w:t>
      </w:r>
      <w:proofErr w:type="spellEnd"/>
      <w:r w:rsidRPr="001D0549">
        <w:rPr>
          <w:rStyle w:val="StyleHeading211ptLatinBoldNotLatinItalicChar"/>
          <w:i/>
          <w:iCs/>
        </w:rPr>
        <w:t xml:space="preserve">, </w:t>
      </w:r>
      <w:proofErr w:type="spellStart"/>
      <w:r w:rsidRPr="001D0549">
        <w:rPr>
          <w:rStyle w:val="StyleHeading211ptLatinBoldNotLatinItalicChar"/>
          <w:i/>
          <w:iCs/>
        </w:rPr>
        <w:t>M.</w:t>
      </w:r>
      <w:r w:rsidRPr="001D0549">
        <w:rPr>
          <w:rStyle w:val="StyleHeading211ptLatinBoldNotLatinItalicChar"/>
          <w:i/>
          <w:iCs/>
          <w:vertAlign w:val="superscript"/>
        </w:rPr>
        <w:t>g</w:t>
      </w:r>
      <w:proofErr w:type="spellEnd"/>
      <w:r w:rsidRPr="001D0549">
        <w:rPr>
          <w:rStyle w:val="StyleHeading211ptLatinBoldNotLatinItalicChar"/>
          <w:i/>
          <w:iCs/>
        </w:rPr>
        <w:t xml:space="preserve">; and van </w:t>
      </w:r>
      <w:proofErr w:type="spellStart"/>
      <w:r w:rsidRPr="001D0549">
        <w:rPr>
          <w:rStyle w:val="StyleHeading211ptLatinBoldNotLatinItalicChar"/>
          <w:i/>
          <w:iCs/>
        </w:rPr>
        <w:t>Sambeeck</w:t>
      </w:r>
      <w:proofErr w:type="spellEnd"/>
      <w:r w:rsidRPr="001D0549">
        <w:rPr>
          <w:rStyle w:val="StyleHeading211ptLatinBoldNotLatinItalicChar"/>
          <w:i/>
          <w:iCs/>
        </w:rPr>
        <w:t xml:space="preserve">, </w:t>
      </w:r>
      <w:proofErr w:type="spellStart"/>
      <w:r w:rsidRPr="001D0549">
        <w:rPr>
          <w:rStyle w:val="StyleHeading211ptLatinBoldNotLatinItalicChar"/>
          <w:i/>
          <w:iCs/>
        </w:rPr>
        <w:t>T.W.M.</w:t>
      </w:r>
      <w:r w:rsidRPr="001D0549">
        <w:rPr>
          <w:rStyle w:val="StyleHeading211ptLatinBoldNotLatinItalicChar"/>
          <w:i/>
          <w:iCs/>
          <w:vertAlign w:val="superscript"/>
        </w:rPr>
        <w:t>h</w:t>
      </w:r>
      <w:proofErr w:type="spellEnd"/>
    </w:p>
    <w:p w:rsidR="001D0549" w:rsidRPr="001D0549" w:rsidRDefault="001D0549" w:rsidP="001D0549">
      <w:pPr>
        <w:spacing w:after="0"/>
        <w:jc w:val="center"/>
      </w:pPr>
      <w:proofErr w:type="gramStart"/>
      <w:r w:rsidRPr="001D0549">
        <w:rPr>
          <w:vertAlign w:val="superscript"/>
        </w:rPr>
        <w:t>a</w:t>
      </w:r>
      <w:proofErr w:type="gramEnd"/>
      <w:r w:rsidRPr="001D0549">
        <w:t xml:space="preserve"> Faculty of Engineering, Science and the Built Environment, London South Bank University, Langford, Bristol, BS40 5DU, UK. Tel: +44117928 9300, Email: j.a.evans@lsbu.ac.uk</w:t>
      </w:r>
    </w:p>
    <w:p w:rsidR="001D0549" w:rsidRPr="001D0549" w:rsidRDefault="001D0549" w:rsidP="001D0549">
      <w:pPr>
        <w:spacing w:after="0"/>
        <w:jc w:val="center"/>
      </w:pPr>
      <w:proofErr w:type="gramStart"/>
      <w:r w:rsidRPr="001D0549">
        <w:rPr>
          <w:vertAlign w:val="superscript"/>
        </w:rPr>
        <w:t>b</w:t>
      </w:r>
      <w:proofErr w:type="gramEnd"/>
      <w:r w:rsidRPr="001D0549">
        <w:t xml:space="preserve"> Danish </w:t>
      </w:r>
      <w:proofErr w:type="spellStart"/>
      <w:r w:rsidRPr="001D0549">
        <w:t>Teknologisk</w:t>
      </w:r>
      <w:proofErr w:type="spellEnd"/>
      <w:r w:rsidRPr="001D0549">
        <w:t xml:space="preserve"> </w:t>
      </w:r>
      <w:proofErr w:type="spellStart"/>
      <w:r w:rsidRPr="001D0549">
        <w:t>Institut</w:t>
      </w:r>
      <w:proofErr w:type="spellEnd"/>
      <w:r w:rsidRPr="001D0549">
        <w:t xml:space="preserve">, </w:t>
      </w:r>
      <w:proofErr w:type="spellStart"/>
      <w:r w:rsidRPr="001D0549">
        <w:t>Kongsvang</w:t>
      </w:r>
      <w:proofErr w:type="spellEnd"/>
      <w:r w:rsidRPr="001D0549">
        <w:t xml:space="preserve"> </w:t>
      </w:r>
      <w:proofErr w:type="spellStart"/>
      <w:r w:rsidRPr="001D0549">
        <w:t>Allé</w:t>
      </w:r>
      <w:proofErr w:type="spellEnd"/>
      <w:r w:rsidRPr="001D0549">
        <w:t xml:space="preserve"> 29, 8000 Aarhus C, Denmark.</w:t>
      </w:r>
    </w:p>
    <w:p w:rsidR="001D0549" w:rsidRPr="001D0549" w:rsidRDefault="001D0549" w:rsidP="001D0549">
      <w:pPr>
        <w:spacing w:after="0"/>
        <w:jc w:val="center"/>
      </w:pPr>
      <w:proofErr w:type="gramStart"/>
      <w:r w:rsidRPr="001D0549">
        <w:rPr>
          <w:vertAlign w:val="superscript"/>
        </w:rPr>
        <w:t>c</w:t>
      </w:r>
      <w:proofErr w:type="gramEnd"/>
      <w:r w:rsidRPr="001D0549">
        <w:t xml:space="preserve"> Technical University of Sofia, 1000, 8 </w:t>
      </w:r>
      <w:proofErr w:type="spellStart"/>
      <w:r w:rsidRPr="001D0549">
        <w:t>Kliment</w:t>
      </w:r>
      <w:proofErr w:type="spellEnd"/>
      <w:r w:rsidRPr="001D0549">
        <w:t xml:space="preserve"> </w:t>
      </w:r>
      <w:proofErr w:type="spellStart"/>
      <w:r w:rsidRPr="001D0549">
        <w:t>Ohridsky</w:t>
      </w:r>
      <w:proofErr w:type="spellEnd"/>
      <w:r w:rsidRPr="001D0549">
        <w:t xml:space="preserve"> Str., Sofia, Bulgaria.</w:t>
      </w:r>
    </w:p>
    <w:p w:rsidR="001D0549" w:rsidRPr="001D0549" w:rsidRDefault="001D0549" w:rsidP="001D0549">
      <w:pPr>
        <w:spacing w:after="0"/>
        <w:jc w:val="center"/>
      </w:pPr>
      <w:proofErr w:type="gramStart"/>
      <w:r w:rsidRPr="001D0549">
        <w:rPr>
          <w:vertAlign w:val="superscript"/>
        </w:rPr>
        <w:t>d</w:t>
      </w:r>
      <w:proofErr w:type="gramEnd"/>
      <w:r w:rsidRPr="001D0549">
        <w:t xml:space="preserve"> University of </w:t>
      </w:r>
      <w:proofErr w:type="spellStart"/>
      <w:r w:rsidRPr="001D0549">
        <w:t>Padova</w:t>
      </w:r>
      <w:proofErr w:type="spellEnd"/>
      <w:r w:rsidRPr="001D0549">
        <w:t xml:space="preserve"> - Dept. of Industrial Engineering, Via </w:t>
      </w:r>
      <w:proofErr w:type="spellStart"/>
      <w:r w:rsidRPr="001D0549">
        <w:t>Venezia</w:t>
      </w:r>
      <w:proofErr w:type="spellEnd"/>
      <w:r w:rsidRPr="001D0549">
        <w:t xml:space="preserve">, 1, I-35131, </w:t>
      </w:r>
      <w:proofErr w:type="spellStart"/>
      <w:r w:rsidRPr="001D0549">
        <w:t>Padova</w:t>
      </w:r>
      <w:proofErr w:type="spellEnd"/>
      <w:r w:rsidRPr="001D0549">
        <w:t>, Italy.</w:t>
      </w:r>
    </w:p>
    <w:p w:rsidR="001D0549" w:rsidRPr="001D0549" w:rsidRDefault="001D0549" w:rsidP="001D0549">
      <w:pPr>
        <w:spacing w:after="0"/>
        <w:jc w:val="center"/>
      </w:pPr>
      <w:proofErr w:type="gramStart"/>
      <w:r w:rsidRPr="001D0549">
        <w:rPr>
          <w:vertAlign w:val="superscript"/>
        </w:rPr>
        <w:t>e</w:t>
      </w:r>
      <w:proofErr w:type="gramEnd"/>
      <w:r w:rsidRPr="001D0549">
        <w:t xml:space="preserve"> Food Research Institute Prague, </w:t>
      </w:r>
      <w:proofErr w:type="spellStart"/>
      <w:r w:rsidRPr="001D0549">
        <w:t>Radiova</w:t>
      </w:r>
      <w:proofErr w:type="spellEnd"/>
      <w:r w:rsidRPr="001D0549">
        <w:t xml:space="preserve"> str. 7, 102 31 Prague 10, Czech Republic.</w:t>
      </w:r>
    </w:p>
    <w:p w:rsidR="001D0549" w:rsidRPr="001D0549" w:rsidRDefault="001D0549" w:rsidP="001D0549">
      <w:pPr>
        <w:spacing w:after="0"/>
        <w:jc w:val="center"/>
      </w:pPr>
      <w:proofErr w:type="gramStart"/>
      <w:r w:rsidRPr="001D0549">
        <w:rPr>
          <w:vertAlign w:val="superscript"/>
        </w:rPr>
        <w:t>f</w:t>
      </w:r>
      <w:proofErr w:type="gramEnd"/>
      <w:r w:rsidRPr="001D0549">
        <w:rPr>
          <w:vertAlign w:val="superscript"/>
        </w:rPr>
        <w:t xml:space="preserve"> </w:t>
      </w:r>
      <w:r w:rsidRPr="001D0549">
        <w:t xml:space="preserve">Carbon Data Resources Ltd, Carbon House, 15 The Batch, </w:t>
      </w:r>
      <w:proofErr w:type="spellStart"/>
      <w:r w:rsidRPr="001D0549">
        <w:t>Batheaston</w:t>
      </w:r>
      <w:proofErr w:type="spellEnd"/>
      <w:r w:rsidRPr="001D0549">
        <w:t>, Bath, Somerset, BA1 7DR, UK.</w:t>
      </w:r>
    </w:p>
    <w:p w:rsidR="001D0549" w:rsidRPr="001D0549" w:rsidRDefault="001D0549" w:rsidP="001D0549">
      <w:pPr>
        <w:spacing w:after="0"/>
        <w:jc w:val="center"/>
      </w:pPr>
      <w:proofErr w:type="gramStart"/>
      <w:r w:rsidRPr="001D0549">
        <w:rPr>
          <w:vertAlign w:val="superscript"/>
        </w:rPr>
        <w:t>g</w:t>
      </w:r>
      <w:proofErr w:type="gramEnd"/>
      <w:r w:rsidRPr="001D0549">
        <w:t xml:space="preserve"> Catholic University College Limburg, Campus </w:t>
      </w:r>
      <w:proofErr w:type="spellStart"/>
      <w:r w:rsidRPr="001D0549">
        <w:t>Diepenbeek</w:t>
      </w:r>
      <w:proofErr w:type="spellEnd"/>
      <w:r w:rsidRPr="001D0549">
        <w:t xml:space="preserve">, </w:t>
      </w:r>
      <w:proofErr w:type="spellStart"/>
      <w:r w:rsidRPr="001D0549">
        <w:t>Agoralaan</w:t>
      </w:r>
      <w:proofErr w:type="spellEnd"/>
      <w:r w:rsidRPr="001D0549">
        <w:t xml:space="preserve"> </w:t>
      </w:r>
      <w:proofErr w:type="spellStart"/>
      <w:r w:rsidRPr="001D0549">
        <w:t>Gebouw</w:t>
      </w:r>
      <w:proofErr w:type="spellEnd"/>
      <w:r w:rsidRPr="001D0549">
        <w:t xml:space="preserve"> B, 3590 </w:t>
      </w:r>
      <w:proofErr w:type="spellStart"/>
      <w:r w:rsidRPr="001D0549">
        <w:t>Diepenbeek</w:t>
      </w:r>
      <w:proofErr w:type="spellEnd"/>
      <w:r w:rsidRPr="001D0549">
        <w:t>, Belgium.</w:t>
      </w:r>
    </w:p>
    <w:p w:rsidR="001D0549" w:rsidRPr="001D0549" w:rsidRDefault="001D0549" w:rsidP="001D0549">
      <w:pPr>
        <w:spacing w:after="0"/>
        <w:jc w:val="center"/>
      </w:pPr>
      <w:proofErr w:type="gramStart"/>
      <w:r w:rsidRPr="001D0549">
        <w:rPr>
          <w:vertAlign w:val="superscript"/>
        </w:rPr>
        <w:t>h</w:t>
      </w:r>
      <w:proofErr w:type="gramEnd"/>
      <w:r w:rsidRPr="001D0549">
        <w:t xml:space="preserve"> Cold Chain Experts in </w:t>
      </w:r>
      <w:proofErr w:type="spellStart"/>
      <w:r w:rsidRPr="001D0549">
        <w:t>ColdstoreExpertiseCenter</w:t>
      </w:r>
      <w:proofErr w:type="spellEnd"/>
      <w:r w:rsidRPr="001D0549">
        <w:t xml:space="preserve">, Van </w:t>
      </w:r>
      <w:proofErr w:type="spellStart"/>
      <w:r w:rsidRPr="001D0549">
        <w:t>Dongenshoeve</w:t>
      </w:r>
      <w:proofErr w:type="spellEnd"/>
      <w:r w:rsidRPr="001D0549">
        <w:t xml:space="preserve"> 10, 8052 BJ </w:t>
      </w:r>
      <w:proofErr w:type="spellStart"/>
      <w:r w:rsidRPr="001D0549">
        <w:t>Hattem</w:t>
      </w:r>
      <w:proofErr w:type="spellEnd"/>
      <w:r w:rsidRPr="001D0549">
        <w:t>, The Netherlands.</w:t>
      </w:r>
    </w:p>
    <w:p w:rsidR="001D0549" w:rsidRPr="001D0549" w:rsidRDefault="001D0549" w:rsidP="001D0549">
      <w:pPr>
        <w:pStyle w:val="Abstract"/>
        <w:rPr>
          <w:szCs w:val="22"/>
        </w:rPr>
      </w:pPr>
      <w:r w:rsidRPr="001D0549">
        <w:rPr>
          <w:szCs w:val="22"/>
        </w:rPr>
        <w:t>ABSTRACT</w:t>
      </w:r>
    </w:p>
    <w:p w:rsidR="001D0549" w:rsidRPr="001D0549" w:rsidRDefault="001D0549" w:rsidP="001D0549">
      <w:r w:rsidRPr="001D0549">
        <w:t xml:space="preserve">A mathematical model was applied to predict energy used by cold stores. This was compared with actual energy </w:t>
      </w:r>
      <w:r w:rsidR="00E05C99">
        <w:t>consumption</w:t>
      </w:r>
      <w:r w:rsidR="00E05C99" w:rsidRPr="001D0549">
        <w:t xml:space="preserve"> </w:t>
      </w:r>
      <w:r w:rsidRPr="001D0549">
        <w:t xml:space="preserve">data collected in a survey of cold stores. The model was used to investigate different usage scenarios and varied ambient conditions around the chilled and frozen cold stores. This indicated that many chilled and frozen stores had very high usage and/or inefficient refrigeration systems. Less than 13% of chilled and 12% of frozen stores used less energy than an efficiently used </w:t>
      </w:r>
      <w:r w:rsidR="00331AED">
        <w:t>store with an</w:t>
      </w:r>
      <w:r w:rsidRPr="001D0549">
        <w:t xml:space="preserve"> efficient refrigeration system</w:t>
      </w:r>
      <w:r w:rsidR="00E05C99">
        <w:t>.</w:t>
      </w:r>
      <w:r w:rsidRPr="001D0549">
        <w:t xml:space="preserve"> The model indicated that smaller stores of less than 25,000 m</w:t>
      </w:r>
      <w:r w:rsidRPr="001D0549">
        <w:rPr>
          <w:vertAlign w:val="superscript"/>
        </w:rPr>
        <w:t>3</w:t>
      </w:r>
      <w:r w:rsidRPr="001D0549">
        <w:t xml:space="preserve"> tended to use more energy than the model predicted, even at the least efficient, highest usage scenario</w:t>
      </w:r>
      <w:r w:rsidR="00E05C99">
        <w:t>.</w:t>
      </w:r>
      <w:r w:rsidRPr="001D0549">
        <w:t xml:space="preserve"> With further validation the model could be used to benchmark the energy usage of cold stores and help identify where energy savings could be best achieved.</w:t>
      </w:r>
    </w:p>
    <w:p w:rsidR="001D0549" w:rsidRPr="001D0549" w:rsidRDefault="001D0549" w:rsidP="001D0549">
      <w:pPr>
        <w:pStyle w:val="Heading1"/>
      </w:pPr>
      <w:r w:rsidRPr="001D0549">
        <w:t>INTRODUCTION</w:t>
      </w:r>
    </w:p>
    <w:p w:rsidR="001D0549" w:rsidRPr="001D0549" w:rsidRDefault="001D0549" w:rsidP="001D0549">
      <w:pPr>
        <w:rPr>
          <w:noProof/>
        </w:rPr>
      </w:pPr>
      <w:bookmarkStart w:id="0" w:name="_Toc442854402"/>
      <w:r w:rsidRPr="001D0549">
        <w:t>All chilled and frozen food and temperature controlled pharmaceutical products are stored in a cold store at least once during their journey from production to the consumer. Chilled stores generally maintain products at temperatures between -1 and 10°C whereas frozen stores generally maintain product at below -18°C. The cold store market is extremely diverse consisting of small stores of 10-20 m</w:t>
      </w:r>
      <w:r w:rsidRPr="001D0549">
        <w:rPr>
          <w:vertAlign w:val="superscript"/>
        </w:rPr>
        <w:t>3</w:t>
      </w:r>
      <w:r w:rsidRPr="001D0549">
        <w:t xml:space="preserve"> up to large warehouses of hundreds of thousands of cubic meters. All cold stores have the function of storing a product at the correct temperature and to prevent quality loss as economically as possible. In Europe there are approximately 1.7 million cold stores totalling 60-70 million m</w:t>
      </w:r>
      <w:r w:rsidRPr="001D0549">
        <w:rPr>
          <w:vertAlign w:val="superscript"/>
        </w:rPr>
        <w:t>3</w:t>
      </w:r>
      <w:r w:rsidRPr="001D0549">
        <w:t xml:space="preserve"> of storage volume. Of these, 67% are small stores with a volume of less than 400 m</w:t>
      </w:r>
      <w:r w:rsidRPr="001D0549">
        <w:rPr>
          <w:vertAlign w:val="superscript"/>
        </w:rPr>
        <w:t>3</w:t>
      </w:r>
      <w:r w:rsidRPr="001D0549">
        <w:t xml:space="preserve"> </w:t>
      </w:r>
      <w:sdt>
        <w:sdtPr>
          <w:id w:val="278926555"/>
          <w:citation/>
        </w:sdtPr>
        <w:sdtEndPr/>
        <w:sdtContent>
          <w:r w:rsidRPr="001D0549">
            <w:fldChar w:fldCharType="begin"/>
          </w:r>
          <w:r w:rsidRPr="001D0549">
            <w:instrText xml:space="preserve"> CITATION Mud11 \l 2057 </w:instrText>
          </w:r>
          <w:r w:rsidRPr="001D0549">
            <w:fldChar w:fldCharType="separate"/>
          </w:r>
          <w:r w:rsidR="00A14D06">
            <w:rPr>
              <w:noProof/>
            </w:rPr>
            <w:t>(Mudgal, et al. 2011)</w:t>
          </w:r>
          <w:r w:rsidRPr="001D0549">
            <w:fldChar w:fldCharType="end"/>
          </w:r>
        </w:sdtContent>
      </w:sdt>
      <w:r w:rsidRPr="001D0549">
        <w:rPr>
          <w:noProof/>
        </w:rPr>
        <w:t>.</w:t>
      </w:r>
    </w:p>
    <w:p w:rsidR="001D0549" w:rsidRPr="001D0549" w:rsidRDefault="001D0549" w:rsidP="001D0549">
      <w:r w:rsidRPr="001D0549">
        <w:t>There are few published surveys comparing the performance of more than a few cold stores. Surveys also rarely differentiate between type of store, storage temperature, location, room size or room function. In 2002 the IIR estimated that the Specific Energy Consumption (SEC) of cold stores was between 30 and 50 kWh m</w:t>
      </w:r>
      <w:r w:rsidRPr="001D0549">
        <w:rPr>
          <w:vertAlign w:val="superscript"/>
        </w:rPr>
        <w:t>-3</w:t>
      </w:r>
      <w:r w:rsidRPr="001D0549">
        <w:t xml:space="preserve"> year</w:t>
      </w:r>
      <w:r w:rsidRPr="001D0549">
        <w:rPr>
          <w:vertAlign w:val="superscript"/>
        </w:rPr>
        <w:t>-1</w:t>
      </w:r>
      <w:r w:rsidRPr="001D0549">
        <w:rPr>
          <w:noProof/>
        </w:rPr>
        <w:t xml:space="preserve"> </w:t>
      </w:r>
      <w:sdt>
        <w:sdtPr>
          <w:rPr>
            <w:noProof/>
          </w:rPr>
          <w:id w:val="-1325890053"/>
          <w:citation/>
        </w:sdtPr>
        <w:sdtEndPr/>
        <w:sdtContent>
          <w:r w:rsidRPr="001D0549">
            <w:rPr>
              <w:noProof/>
            </w:rPr>
            <w:fldChar w:fldCharType="begin"/>
          </w:r>
          <w:r w:rsidRPr="001D0549">
            <w:rPr>
              <w:noProof/>
            </w:rPr>
            <w:instrText xml:space="preserve"> CITATION Dui02 \l 2057 </w:instrText>
          </w:r>
          <w:r w:rsidRPr="001D0549">
            <w:rPr>
              <w:noProof/>
            </w:rPr>
            <w:fldChar w:fldCharType="separate"/>
          </w:r>
          <w:r w:rsidR="00A14D06">
            <w:rPr>
              <w:noProof/>
            </w:rPr>
            <w:t>(Duiven and Binard 2002)</w:t>
          </w:r>
          <w:r w:rsidRPr="001D0549">
            <w:rPr>
              <w:noProof/>
            </w:rPr>
            <w:fldChar w:fldCharType="end"/>
          </w:r>
        </w:sdtContent>
      </w:sdt>
      <w:r w:rsidRPr="001D0549">
        <w:t xml:space="preserve">. The minimum value from this study was similar to values from a study carried out in the Netherlands by </w:t>
      </w:r>
      <w:proofErr w:type="spellStart"/>
      <w:r w:rsidRPr="001D0549">
        <w:t>Bosma</w:t>
      </w:r>
      <w:proofErr w:type="spellEnd"/>
      <w:r w:rsidRPr="001D0549">
        <w:t xml:space="preserve"> </w:t>
      </w:r>
      <w:sdt>
        <w:sdtPr>
          <w:id w:val="272982582"/>
          <w:citation/>
        </w:sdtPr>
        <w:sdtEndPr/>
        <w:sdtContent>
          <w:r w:rsidRPr="001D0549">
            <w:fldChar w:fldCharType="begin"/>
          </w:r>
          <w:r w:rsidRPr="001D0549">
            <w:rPr>
              <w:noProof/>
            </w:rPr>
            <w:instrText xml:space="preserve">CITATION Bos95 \n  \t  \l 2057 </w:instrText>
          </w:r>
          <w:r w:rsidRPr="001D0549">
            <w:fldChar w:fldCharType="separate"/>
          </w:r>
          <w:r w:rsidR="00A14D06">
            <w:rPr>
              <w:noProof/>
            </w:rPr>
            <w:t>(1995)</w:t>
          </w:r>
          <w:r w:rsidRPr="001D0549">
            <w:fldChar w:fldCharType="end"/>
          </w:r>
        </w:sdtContent>
      </w:sdt>
      <w:r w:rsidRPr="001D0549">
        <w:t xml:space="preserve"> which found energy consumption of cold stores to be 35 kWh m</w:t>
      </w:r>
      <w:r w:rsidRPr="001D0549">
        <w:rPr>
          <w:vertAlign w:val="superscript"/>
        </w:rPr>
        <w:t>-3</w:t>
      </w:r>
      <w:r w:rsidRPr="001D0549">
        <w:t xml:space="preserve"> year</w:t>
      </w:r>
      <w:r w:rsidRPr="001D0549">
        <w:rPr>
          <w:vertAlign w:val="superscript"/>
        </w:rPr>
        <w:t>-1</w:t>
      </w:r>
      <w:r w:rsidRPr="001D0549">
        <w:t xml:space="preserve">. In the UK ETSU </w:t>
      </w:r>
      <w:sdt>
        <w:sdtPr>
          <w:id w:val="808437792"/>
          <w:citation/>
        </w:sdtPr>
        <w:sdtEndPr/>
        <w:sdtContent>
          <w:r w:rsidRPr="001D0549">
            <w:fldChar w:fldCharType="begin"/>
          </w:r>
          <w:r w:rsidR="00AF0312">
            <w:instrText xml:space="preserve">CITATION Mar \n  \t  \l 2057 </w:instrText>
          </w:r>
          <w:r w:rsidRPr="001D0549">
            <w:fldChar w:fldCharType="separate"/>
          </w:r>
          <w:r w:rsidR="00A14D06">
            <w:rPr>
              <w:noProof/>
            </w:rPr>
            <w:t>(1994)</w:t>
          </w:r>
          <w:r w:rsidRPr="001D0549">
            <w:fldChar w:fldCharType="end"/>
          </w:r>
        </w:sdtContent>
      </w:sdt>
      <w:r w:rsidRPr="001D0549">
        <w:t xml:space="preserve"> also found that stores consumed at minimum 34 kWh m</w:t>
      </w:r>
      <w:r w:rsidRPr="001D0549">
        <w:rPr>
          <w:vertAlign w:val="superscript"/>
        </w:rPr>
        <w:t>-3</w:t>
      </w:r>
      <w:r w:rsidRPr="001D0549">
        <w:t xml:space="preserve"> year</w:t>
      </w:r>
      <w:r w:rsidRPr="001D0549">
        <w:rPr>
          <w:vertAlign w:val="superscript"/>
        </w:rPr>
        <w:t>-1</w:t>
      </w:r>
      <w:r w:rsidRPr="001D0549">
        <w:t xml:space="preserve"> but that consumption could also be up to 124 kWh m</w:t>
      </w:r>
      <w:r w:rsidRPr="001D0549">
        <w:rPr>
          <w:vertAlign w:val="superscript"/>
        </w:rPr>
        <w:t>-3</w:t>
      </w:r>
      <w:r w:rsidRPr="001D0549">
        <w:t>.year</w:t>
      </w:r>
      <w:r w:rsidRPr="001D0549">
        <w:rPr>
          <w:vertAlign w:val="superscript"/>
        </w:rPr>
        <w:t>-1</w:t>
      </w:r>
      <w:r w:rsidRPr="001D0549">
        <w:t xml:space="preserve">. Other studies in the USA by </w:t>
      </w:r>
      <w:r w:rsidRPr="001D0549">
        <w:rPr>
          <w:noProof/>
        </w:rPr>
        <w:t>(Elleson &amp; Freund</w:t>
      </w:r>
      <w:r w:rsidRPr="001D0549">
        <w:t xml:space="preserve"> </w:t>
      </w:r>
      <w:sdt>
        <w:sdtPr>
          <w:id w:val="-1658906893"/>
          <w:citation/>
        </w:sdtPr>
        <w:sdtEndPr/>
        <w:sdtContent>
          <w:r w:rsidRPr="001D0549">
            <w:fldChar w:fldCharType="begin"/>
          </w:r>
          <w:r w:rsidRPr="001D0549">
            <w:instrText xml:space="preserve">CITATION Ell04 \n  \t  \l 2057 </w:instrText>
          </w:r>
          <w:r w:rsidRPr="001D0549">
            <w:fldChar w:fldCharType="separate"/>
          </w:r>
          <w:r w:rsidR="00A14D06">
            <w:rPr>
              <w:noProof/>
            </w:rPr>
            <w:t>(2004)</w:t>
          </w:r>
          <w:r w:rsidRPr="001D0549">
            <w:fldChar w:fldCharType="end"/>
          </w:r>
        </w:sdtContent>
      </w:sdt>
      <w:r w:rsidRPr="001D0549">
        <w:t xml:space="preserve"> and </w:t>
      </w:r>
      <w:r w:rsidRPr="001D0549">
        <w:rPr>
          <w:noProof/>
        </w:rPr>
        <w:t>Singh</w:t>
      </w:r>
      <w:r w:rsidRPr="001D0549">
        <w:t xml:space="preserve"> </w:t>
      </w:r>
      <w:sdt>
        <w:sdtPr>
          <w:id w:val="34006050"/>
          <w:citation/>
        </w:sdtPr>
        <w:sdtEndPr/>
        <w:sdtContent>
          <w:r w:rsidRPr="001D0549">
            <w:fldChar w:fldCharType="begin"/>
          </w:r>
          <w:r w:rsidRPr="001D0549">
            <w:instrText xml:space="preserve">CITATION Sin06 \n  \t  \l 2057 </w:instrText>
          </w:r>
          <w:r w:rsidRPr="001D0549">
            <w:fldChar w:fldCharType="separate"/>
          </w:r>
          <w:r w:rsidR="00A14D06">
            <w:rPr>
              <w:noProof/>
            </w:rPr>
            <w:t>(2006)</w:t>
          </w:r>
          <w:r w:rsidRPr="001D0549">
            <w:fldChar w:fldCharType="end"/>
          </w:r>
        </w:sdtContent>
      </w:sdt>
      <w:r w:rsidRPr="001D0549">
        <w:t xml:space="preserve"> found SECs of between 19 and 88, and 15 and 132 kWh m</w:t>
      </w:r>
      <w:r w:rsidRPr="001D0549">
        <w:rPr>
          <w:vertAlign w:val="superscript"/>
        </w:rPr>
        <w:t>-3</w:t>
      </w:r>
      <w:r w:rsidRPr="001D0549">
        <w:t xml:space="preserve"> year</w:t>
      </w:r>
      <w:r w:rsidRPr="001D0549">
        <w:rPr>
          <w:vertAlign w:val="superscript"/>
        </w:rPr>
        <w:t>-1</w:t>
      </w:r>
      <w:r w:rsidRPr="001D0549">
        <w:t xml:space="preserve"> respectively. In one of the most comprehensive recent surveys carried out in New Zealand by </w:t>
      </w:r>
      <w:sdt>
        <w:sdtPr>
          <w:id w:val="1800423449"/>
          <w:citation/>
        </w:sdtPr>
        <w:sdtEndPr/>
        <w:sdtContent>
          <w:r w:rsidRPr="001D0549">
            <w:fldChar w:fldCharType="begin"/>
          </w:r>
          <w:r w:rsidRPr="001D0549">
            <w:instrText xml:space="preserve"> CITATION Wer06 \l 2057 </w:instrText>
          </w:r>
          <w:r w:rsidRPr="001D0549">
            <w:fldChar w:fldCharType="separate"/>
          </w:r>
          <w:r w:rsidR="00A14D06">
            <w:rPr>
              <w:noProof/>
            </w:rPr>
            <w:t>(Werner, et al. 2006)</w:t>
          </w:r>
          <w:r w:rsidRPr="001D0549">
            <w:fldChar w:fldCharType="end"/>
          </w:r>
        </w:sdtContent>
      </w:sdt>
      <w:r w:rsidRPr="001D0549">
        <w:t xml:space="preserve"> the performance of 34 cold stores was compared. The SECs recorded varied from 26 </w:t>
      </w:r>
      <w:proofErr w:type="gramStart"/>
      <w:r w:rsidRPr="001D0549">
        <w:t>to 379 kWh m</w:t>
      </w:r>
      <w:r w:rsidRPr="001D0549">
        <w:rPr>
          <w:vertAlign w:val="superscript"/>
        </w:rPr>
        <w:t>-3</w:t>
      </w:r>
      <w:r w:rsidRPr="001D0549">
        <w:t xml:space="preserve"> year</w:t>
      </w:r>
      <w:r w:rsidRPr="001D0549">
        <w:rPr>
          <w:vertAlign w:val="superscript"/>
        </w:rPr>
        <w:t>-1</w:t>
      </w:r>
      <w:r w:rsidRPr="001D0549">
        <w:t xml:space="preserve"> demonstrating that there was a large variation in energy consumed by cold stores</w:t>
      </w:r>
      <w:proofErr w:type="gramEnd"/>
      <w:r w:rsidRPr="001D0549">
        <w:t>. Savings of between 15 and 26% were found to be achievable by applying best practice technologies. This large range in performance was also found by</w:t>
      </w:r>
      <w:r w:rsidR="00331AED">
        <w:t xml:space="preserve"> </w:t>
      </w:r>
      <w:r w:rsidR="00331AED" w:rsidRPr="001D0549">
        <w:rPr>
          <w:noProof/>
        </w:rPr>
        <w:t>Carlsson-Kanyama &amp; Faist</w:t>
      </w:r>
      <w:r w:rsidRPr="001D0549">
        <w:t xml:space="preserve"> </w:t>
      </w:r>
      <w:sdt>
        <w:sdtPr>
          <w:id w:val="-2130848135"/>
          <w:citation/>
        </w:sdtPr>
        <w:sdtEndPr/>
        <w:sdtContent>
          <w:r w:rsidRPr="001D0549">
            <w:fldChar w:fldCharType="begin"/>
          </w:r>
          <w:r w:rsidR="00AF0312">
            <w:instrText xml:space="preserve">CITATION Car00 \n  \t  \l 2057 </w:instrText>
          </w:r>
          <w:r w:rsidRPr="001D0549">
            <w:fldChar w:fldCharType="separate"/>
          </w:r>
          <w:r w:rsidR="00A14D06">
            <w:rPr>
              <w:noProof/>
            </w:rPr>
            <w:t>(2000)</w:t>
          </w:r>
          <w:r w:rsidRPr="001D0549">
            <w:fldChar w:fldCharType="end"/>
          </w:r>
        </w:sdtContent>
      </w:sdt>
      <w:r w:rsidRPr="001D0549">
        <w:t xml:space="preserve"> who report data from BELF </w:t>
      </w:r>
      <w:sdt>
        <w:sdtPr>
          <w:id w:val="-871304594"/>
          <w:citation/>
        </w:sdtPr>
        <w:sdtEndPr/>
        <w:sdtContent>
          <w:r w:rsidRPr="001D0549">
            <w:fldChar w:fldCharType="begin"/>
          </w:r>
          <w:r w:rsidRPr="001D0549">
            <w:instrText xml:space="preserve">CITATION BEL83 \n  \t  \l 2057 </w:instrText>
          </w:r>
          <w:r w:rsidRPr="001D0549">
            <w:fldChar w:fldCharType="separate"/>
          </w:r>
          <w:r w:rsidR="00A14D06">
            <w:rPr>
              <w:noProof/>
            </w:rPr>
            <w:t>(1983)</w:t>
          </w:r>
          <w:r w:rsidRPr="001D0549">
            <w:fldChar w:fldCharType="end"/>
          </w:r>
        </w:sdtContent>
      </w:sdt>
      <w:r w:rsidRPr="001D0549">
        <w:t xml:space="preserve"> for energy use for freezers per litre net volume per day to be 1.0 kJ (equivalent to 101 kWh m</w:t>
      </w:r>
      <w:r w:rsidRPr="001D0549">
        <w:rPr>
          <w:vertAlign w:val="superscript"/>
        </w:rPr>
        <w:t>-3</w:t>
      </w:r>
      <w:r w:rsidRPr="001D0549">
        <w:t xml:space="preserve"> year</w:t>
      </w:r>
      <w:r w:rsidRPr="001D0549">
        <w:rPr>
          <w:vertAlign w:val="superscript"/>
        </w:rPr>
        <w:t>-1</w:t>
      </w:r>
      <w:r w:rsidRPr="001D0549">
        <w:t>) when food was stored in rooms of 10,000 m</w:t>
      </w:r>
      <w:r w:rsidRPr="001D0549">
        <w:rPr>
          <w:vertAlign w:val="superscript"/>
        </w:rPr>
        <w:t>3</w:t>
      </w:r>
      <w:r w:rsidRPr="001D0549">
        <w:t xml:space="preserve"> whereas in rooms of 10 m</w:t>
      </w:r>
      <w:r w:rsidRPr="001D0549">
        <w:rPr>
          <w:vertAlign w:val="superscript"/>
        </w:rPr>
        <w:t>3</w:t>
      </w:r>
      <w:r w:rsidRPr="001D0549">
        <w:t xml:space="preserve"> the energy was 15 kJ (equivalent to 1520 kWh m</w:t>
      </w:r>
      <w:r w:rsidRPr="001D0549">
        <w:rPr>
          <w:vertAlign w:val="superscript"/>
        </w:rPr>
        <w:t>-3</w:t>
      </w:r>
      <w:r w:rsidRPr="001D0549">
        <w:t xml:space="preserve"> year</w:t>
      </w:r>
      <w:r w:rsidRPr="001D0549">
        <w:rPr>
          <w:vertAlign w:val="superscript"/>
        </w:rPr>
        <w:t>-1</w:t>
      </w:r>
      <w:r w:rsidR="00F457D1">
        <w:t xml:space="preserve">). In both surveys the range between best and worst was </w:t>
      </w:r>
      <w:r w:rsidRPr="001D0549">
        <w:t xml:space="preserve">15. </w:t>
      </w:r>
    </w:p>
    <w:p w:rsidR="001D0549" w:rsidRPr="001D0549" w:rsidRDefault="001D0549" w:rsidP="001D0549">
      <w:r w:rsidRPr="001D0549">
        <w:lastRenderedPageBreak/>
        <w:t>Limited information has been published on throughputs and storage and often information is difficult to compare due to the metrics used by the authors.</w:t>
      </w:r>
      <w:r w:rsidRPr="001D0549">
        <w:rPr>
          <w:noProof/>
        </w:rPr>
        <w:t xml:space="preserve"> Carlsson-Kanyama &amp; Faist</w:t>
      </w:r>
      <w:r w:rsidRPr="001D0549">
        <w:t xml:space="preserve"> </w:t>
      </w:r>
      <w:sdt>
        <w:sdtPr>
          <w:id w:val="1913586879"/>
          <w:citation/>
        </w:sdtPr>
        <w:sdtEndPr/>
        <w:sdtContent>
          <w:r w:rsidRPr="001D0549">
            <w:fldChar w:fldCharType="begin"/>
          </w:r>
          <w:r w:rsidRPr="001D0549">
            <w:instrText xml:space="preserve">CITATION Car00 \n  \t  \l 2057 </w:instrText>
          </w:r>
          <w:r w:rsidRPr="001D0549">
            <w:fldChar w:fldCharType="separate"/>
          </w:r>
          <w:r w:rsidR="00A14D06">
            <w:rPr>
              <w:noProof/>
            </w:rPr>
            <w:t>(2000)</w:t>
          </w:r>
          <w:r w:rsidRPr="001D0549">
            <w:fldChar w:fldCharType="end"/>
          </w:r>
        </w:sdtContent>
      </w:sdt>
      <w:r w:rsidRPr="001D0549">
        <w:t xml:space="preserve"> report energy used for long-term cold storage of apples may vary between 0.9 - 1.7 kJ electricity per kg per day. Swain </w:t>
      </w:r>
      <w:sdt>
        <w:sdtPr>
          <w:id w:val="-2091612603"/>
          <w:citation/>
        </w:sdtPr>
        <w:sdtEndPr/>
        <w:sdtContent>
          <w:r w:rsidRPr="001D0549">
            <w:fldChar w:fldCharType="begin"/>
          </w:r>
          <w:r w:rsidR="00EE240C">
            <w:instrText xml:space="preserve">CITATION Swi14 \n  \t  \l 2057 </w:instrText>
          </w:r>
          <w:r w:rsidRPr="001D0549">
            <w:fldChar w:fldCharType="separate"/>
          </w:r>
          <w:r w:rsidR="00EE240C">
            <w:rPr>
              <w:noProof/>
            </w:rPr>
            <w:t>(2010)</w:t>
          </w:r>
          <w:r w:rsidRPr="001D0549">
            <w:fldChar w:fldCharType="end"/>
          </w:r>
        </w:sdtContent>
      </w:sdt>
      <w:r w:rsidRPr="001D0549">
        <w:t xml:space="preserve"> reported figures for potato storage collected over a 3 year period from 8 stores as being between 0.1 and </w:t>
      </w:r>
      <w:proofErr w:type="gramStart"/>
      <w:r w:rsidRPr="001D0549">
        <w:t>0.29 kWh tonne-</w:t>
      </w:r>
      <w:r w:rsidRPr="001D0549">
        <w:rPr>
          <w:vertAlign w:val="superscript"/>
        </w:rPr>
        <w:t>1</w:t>
      </w:r>
      <w:r w:rsidRPr="001D0549">
        <w:t xml:space="preserve"> day</w:t>
      </w:r>
      <w:r w:rsidRPr="001D0549">
        <w:rPr>
          <w:vertAlign w:val="superscript"/>
        </w:rPr>
        <w:t>-1</w:t>
      </w:r>
      <w:proofErr w:type="gramEnd"/>
      <w:r w:rsidRPr="001D0549">
        <w:t>. On average the energy ranged from 0.12 to 0.15 kWh tonne</w:t>
      </w:r>
      <w:r w:rsidRPr="001D0549">
        <w:rPr>
          <w:vertAlign w:val="superscript"/>
        </w:rPr>
        <w:t>-1</w:t>
      </w:r>
      <w:r w:rsidRPr="001D0549">
        <w:t xml:space="preserve"> day</w:t>
      </w:r>
      <w:r w:rsidRPr="001D0549">
        <w:rPr>
          <w:vertAlign w:val="superscript"/>
        </w:rPr>
        <w:t>-1</w:t>
      </w:r>
      <w:r w:rsidRPr="001D0549">
        <w:t xml:space="preserve"> within each of the 3 years where monitoring took place. The results showed a massive difference in energy consumption between the best and worse stores. It should be noted that the data included all energy used and that in cold weather, potato farmers need to heat stores to maintain the potatoes at the usual storage temperatures of 3°C. In addition there was no information presented on store temperatures and so the stores that appear most efficient may be those that stored the potatoes at a higher temperature.</w:t>
      </w:r>
    </w:p>
    <w:p w:rsidR="001D0549" w:rsidRPr="001D0549" w:rsidRDefault="001D0549" w:rsidP="001D0549">
      <w:r w:rsidRPr="001D0549">
        <w:t xml:space="preserve">Previous detailed audits carried out on a small number of cold stores </w:t>
      </w:r>
      <w:r w:rsidR="00986385" w:rsidRPr="001D0549">
        <w:t>ha</w:t>
      </w:r>
      <w:r w:rsidR="00986385">
        <w:t>ve</w:t>
      </w:r>
      <w:r w:rsidR="00986385" w:rsidRPr="001D0549">
        <w:t xml:space="preserve"> </w:t>
      </w:r>
      <w:r w:rsidRPr="001D0549">
        <w:t xml:space="preserve">confirmed that energy consumption can vary considerably and that this was due to a variety of factors </w:t>
      </w:r>
      <w:sdt>
        <w:sdtPr>
          <w:id w:val="-1023933745"/>
          <w:citation/>
        </w:sdtPr>
        <w:sdtEndPr/>
        <w:sdtContent>
          <w:r w:rsidRPr="001D0549">
            <w:fldChar w:fldCharType="begin"/>
          </w:r>
          <w:r w:rsidR="00E05C99">
            <w:instrText xml:space="preserve">CITATION Eva071 \t  \l 2057 </w:instrText>
          </w:r>
          <w:r w:rsidRPr="001D0549">
            <w:fldChar w:fldCharType="separate"/>
          </w:r>
          <w:r w:rsidR="00E05C99">
            <w:rPr>
              <w:noProof/>
            </w:rPr>
            <w:t>(Evans and Gigiel 2007)</w:t>
          </w:r>
          <w:r w:rsidRPr="001D0549">
            <w:fldChar w:fldCharType="end"/>
          </w:r>
        </w:sdtContent>
      </w:sdt>
      <w:sdt>
        <w:sdtPr>
          <w:id w:val="820465886"/>
          <w:citation/>
        </w:sdtPr>
        <w:sdtEndPr/>
        <w:sdtContent>
          <w:r w:rsidRPr="001D0549">
            <w:fldChar w:fldCharType="begin"/>
          </w:r>
          <w:r w:rsidR="00E05C99">
            <w:instrText xml:space="preserve">CITATION Eva101 \t  \l 2057 </w:instrText>
          </w:r>
          <w:r w:rsidRPr="001D0549">
            <w:fldChar w:fldCharType="separate"/>
          </w:r>
          <w:r w:rsidR="00E05C99">
            <w:rPr>
              <w:noProof/>
            </w:rPr>
            <w:t xml:space="preserve"> (Evans and Gigiel 2010)</w:t>
          </w:r>
          <w:r w:rsidRPr="001D0549">
            <w:fldChar w:fldCharType="end"/>
          </w:r>
        </w:sdtContent>
      </w:sdt>
      <w:r w:rsidR="00E05C99">
        <w:t xml:space="preserve"> (Evans et al. 2014).</w:t>
      </w:r>
      <w:r w:rsidRPr="001D0549">
        <w:t xml:space="preserve"> These surveys also demonstrated that energy savings </w:t>
      </w:r>
      <w:r w:rsidR="00331AED" w:rsidRPr="001D0549">
        <w:t xml:space="preserve">of </w:t>
      </w:r>
      <w:r w:rsidR="00331AED">
        <w:t xml:space="preserve">around </w:t>
      </w:r>
      <w:r w:rsidRPr="001D0549">
        <w:t>30-40% were achievable by optimising usage of the stores, repairing current equipment and by retrofitting of energy efficient equipment.</w:t>
      </w:r>
    </w:p>
    <w:p w:rsidR="001D0549" w:rsidRPr="001D0549" w:rsidRDefault="001D0549" w:rsidP="001D0549">
      <w:r w:rsidRPr="001D0549">
        <w:t xml:space="preserve">Although the </w:t>
      </w:r>
      <w:r w:rsidR="00331AED" w:rsidRPr="001D0549">
        <w:t>performances of cold stores have</w:t>
      </w:r>
      <w:r w:rsidRPr="001D0549">
        <w:t xml:space="preserve"> been compared in a number of surveys the reasons for the variations that have been found have not been understood. This paper uses a mathematical model to compare the performance of cold stores under varied usage scenarios to compare the results to data collected in a large survey of cold stores.</w:t>
      </w:r>
    </w:p>
    <w:p w:rsidR="001D0549" w:rsidRPr="001D0549" w:rsidRDefault="001D0549" w:rsidP="001D0549">
      <w:pPr>
        <w:pStyle w:val="Heading1"/>
      </w:pPr>
      <w:r w:rsidRPr="001D0549">
        <w:t>MATERIALS AND METHOD</w:t>
      </w:r>
      <w:bookmarkEnd w:id="0"/>
      <w:r w:rsidRPr="001D0549">
        <w:t>S</w:t>
      </w:r>
    </w:p>
    <w:p w:rsidR="001D0549" w:rsidRPr="001D0549" w:rsidRDefault="001D0549" w:rsidP="001D0549">
      <w:pPr>
        <w:pStyle w:val="Heading2"/>
      </w:pPr>
      <w:r w:rsidRPr="001D0549">
        <w:t>Survey data</w:t>
      </w:r>
    </w:p>
    <w:p w:rsidR="001D0549" w:rsidRPr="001D0549" w:rsidRDefault="001D0549" w:rsidP="001D0549">
      <w:bookmarkStart w:id="1" w:name="_Ref248499392"/>
      <w:r w:rsidRPr="001D0549">
        <w:t>Data was collected as part of a survey of cold store energy performance. Although a large range of parameters were collected the main parameters used for t</w:t>
      </w:r>
      <w:r w:rsidR="00331AED">
        <w:t>he analysis in this paper were:</w:t>
      </w:r>
      <w:r w:rsidRPr="001D0549">
        <w:t xml:space="preserve"> temperature</w:t>
      </w:r>
      <w:r w:rsidR="00331AED">
        <w:t xml:space="preserve"> of the store</w:t>
      </w:r>
      <w:r w:rsidRPr="001D0549">
        <w:t xml:space="preserve">, volume of the store and energy usage per year. Further details of the data collection can be found in </w:t>
      </w:r>
      <w:r w:rsidR="00331AED" w:rsidRPr="001D0549">
        <w:rPr>
          <w:noProof/>
        </w:rPr>
        <w:t>Evans, et al</w:t>
      </w:r>
      <w:r w:rsidR="00AF0312">
        <w:rPr>
          <w:noProof/>
        </w:rPr>
        <w:t xml:space="preserve">. </w:t>
      </w:r>
      <w:sdt>
        <w:sdtPr>
          <w:id w:val="1209302189"/>
          <w:citation/>
        </w:sdtPr>
        <w:sdtEndPr/>
        <w:sdtContent>
          <w:r w:rsidRPr="001D0549">
            <w:fldChar w:fldCharType="begin"/>
          </w:r>
          <w:r w:rsidRPr="001D0549">
            <w:instrText xml:space="preserve">CITATION 31E14 \n  \t  \l 2057 </w:instrText>
          </w:r>
          <w:r w:rsidRPr="001D0549">
            <w:fldChar w:fldCharType="separate"/>
          </w:r>
          <w:r w:rsidR="00A14D06">
            <w:rPr>
              <w:noProof/>
            </w:rPr>
            <w:t>(2014)</w:t>
          </w:r>
          <w:r w:rsidRPr="001D0549">
            <w:fldChar w:fldCharType="end"/>
          </w:r>
        </w:sdtContent>
      </w:sdt>
      <w:r w:rsidRPr="001D0549">
        <w:t>.</w:t>
      </w:r>
    </w:p>
    <w:p w:rsidR="001D0549" w:rsidRPr="001D0549" w:rsidRDefault="001D0549" w:rsidP="001D0549">
      <w:pPr>
        <w:pStyle w:val="Heading2"/>
      </w:pPr>
      <w:r w:rsidRPr="001D0549">
        <w:t>Mathematical model</w:t>
      </w:r>
    </w:p>
    <w:p w:rsidR="001D0549" w:rsidRPr="001D0549" w:rsidRDefault="001D0549" w:rsidP="001D0549">
      <w:r w:rsidRPr="001D0549">
        <w:t xml:space="preserve">A mathematical model of cold store energy use was developed to predict energy used by cold stores. The model is more fully described in </w:t>
      </w:r>
      <w:r w:rsidRPr="001D0549">
        <w:rPr>
          <w:noProof/>
        </w:rPr>
        <w:t>Foster, et al.</w:t>
      </w:r>
      <w:r w:rsidRPr="001D0549">
        <w:t xml:space="preserve"> </w:t>
      </w:r>
      <w:sdt>
        <w:sdtPr>
          <w:id w:val="1018901392"/>
          <w:citation/>
        </w:sdtPr>
        <w:sdtEndPr/>
        <w:sdtContent>
          <w:r w:rsidRPr="001D0549">
            <w:fldChar w:fldCharType="begin"/>
          </w:r>
          <w:r w:rsidR="00AF0312">
            <w:instrText xml:space="preserve">CITATION Fos13 \n  \t  \l 2057 </w:instrText>
          </w:r>
          <w:r w:rsidRPr="001D0549">
            <w:fldChar w:fldCharType="separate"/>
          </w:r>
          <w:r w:rsidR="00A14D06">
            <w:rPr>
              <w:noProof/>
            </w:rPr>
            <w:t>(2013)</w:t>
          </w:r>
          <w:r w:rsidRPr="001D0549">
            <w:fldChar w:fldCharType="end"/>
          </w:r>
        </w:sdtContent>
      </w:sdt>
      <w:r w:rsidRPr="001D0549">
        <w:t>. The model was steady state, therefore all heat loads were averaged over one day.</w:t>
      </w:r>
      <w:bookmarkStart w:id="2" w:name="_GoBack"/>
      <w:r w:rsidR="00487CB4">
        <w:t xml:space="preserve"> </w:t>
      </w:r>
      <w:bookmarkEnd w:id="2"/>
      <w:r w:rsidRPr="001D0549">
        <w:t>The cold store was modelled as a fully sealed rectangular box with one entry door. The cold store had enough thermal mass such that door openings did not change the temperature in the cold store. The temperature of the ambient air outside the cold store was not changed by the door openings. There was only one layer of insulation on the walls, roof and floor. Any metal cladding was ignored as the resistance to heat transfer from this was considered negligible. The luminous flux from the lights was divided by the area of the floor and walls to give a uniform luminance. The thermal mass of the</w:t>
      </w:r>
      <w:r w:rsidR="00DE0B79">
        <w:t xml:space="preserve"> forklift trucks were ignored. </w:t>
      </w:r>
      <w:r w:rsidRPr="001D0549">
        <w:t>Therefore if they moved from a warm environment into the store, they did not give up this heat to the store. Energy from fork lift trucks did not include charging the batteries. Any product which changed temperature when loaded into the store did not have a latent load (e.g. freezing and thawing), only a sensible load.</w:t>
      </w:r>
    </w:p>
    <w:p w:rsidR="001D0549" w:rsidRPr="001D0549" w:rsidRDefault="001D0549" w:rsidP="001D0549">
      <w:r w:rsidRPr="001D0549">
        <w:t>Data</w:t>
      </w:r>
      <w:r w:rsidR="00DE0B79">
        <w:t xml:space="preserve"> was input via a spread sheet. </w:t>
      </w:r>
      <w:r w:rsidRPr="001D0549">
        <w:t>The inputs included;</w:t>
      </w:r>
    </w:p>
    <w:p w:rsidR="001D0549" w:rsidRPr="001D0549" w:rsidRDefault="001D0549" w:rsidP="001D0549">
      <w:pPr>
        <w:ind w:left="852" w:hanging="426"/>
      </w:pPr>
      <w:r w:rsidRPr="001D0549">
        <w:t>•</w:t>
      </w:r>
      <w:r w:rsidRPr="001D0549">
        <w:tab/>
        <w:t>Information about each wall (including ceiling and floor) of the cold store, e.g. face area, whether it was in the sun, outside ambient or internal and the type</w:t>
      </w:r>
      <w:r w:rsidR="00331AED">
        <w:t>, colour</w:t>
      </w:r>
      <w:r w:rsidRPr="001D0549">
        <w:t xml:space="preserve"> and thickness of the insulation.</w:t>
      </w:r>
    </w:p>
    <w:p w:rsidR="001D0549" w:rsidRPr="001D0549" w:rsidRDefault="001D0549" w:rsidP="001D0549">
      <w:pPr>
        <w:ind w:left="852" w:hanging="426"/>
      </w:pPr>
      <w:r w:rsidRPr="001D0549">
        <w:t>•</w:t>
      </w:r>
      <w:r w:rsidRPr="001D0549">
        <w:tab/>
        <w:t>The size of the door, its opening schedule, whether it was protected (e.g. by strip or curtains), amount of traffic through the door and the outside conditions.</w:t>
      </w:r>
    </w:p>
    <w:p w:rsidR="001D0549" w:rsidRPr="001D0549" w:rsidRDefault="001D0549" w:rsidP="001D0549">
      <w:pPr>
        <w:ind w:left="852" w:hanging="426"/>
      </w:pPr>
      <w:r w:rsidRPr="001D0549">
        <w:t>•</w:t>
      </w:r>
      <w:r w:rsidRPr="001D0549">
        <w:tab/>
        <w:t>The refrigeration system, refrigerant, type of condenser, condenser ambient, efficiency of compressor and number of compression stages.</w:t>
      </w:r>
    </w:p>
    <w:p w:rsidR="001D0549" w:rsidRPr="001D0549" w:rsidRDefault="001D0549" w:rsidP="001D0549">
      <w:pPr>
        <w:ind w:left="852" w:hanging="426"/>
      </w:pPr>
      <w:r w:rsidRPr="001D0549">
        <w:t>•</w:t>
      </w:r>
      <w:r w:rsidRPr="001D0549">
        <w:tab/>
        <w:t>Heat loads inside the store from forklifts, lights, personnel, product, defrosts and evaporator fans.</w:t>
      </w:r>
    </w:p>
    <w:p w:rsidR="00DE0B79" w:rsidRDefault="001D0549" w:rsidP="00487CB4">
      <w:pPr>
        <w:ind w:left="852" w:hanging="426"/>
      </w:pPr>
      <w:r w:rsidRPr="001D0549">
        <w:t>•</w:t>
      </w:r>
      <w:r w:rsidRPr="001D0549">
        <w:tab/>
        <w:t>Electrical loads from lights, defrosts, evaporator fans and condenser fans.</w:t>
      </w:r>
    </w:p>
    <w:p w:rsidR="00DE0B79" w:rsidRDefault="00DE0B79" w:rsidP="00387F4E">
      <w:r>
        <w:lastRenderedPageBreak/>
        <w:t xml:space="preserve">From these data a steady state heat load </w:t>
      </w:r>
      <w:r>
        <w:t>wa</w:t>
      </w:r>
      <w:r>
        <w:t xml:space="preserve">s </w:t>
      </w:r>
      <w:r>
        <w:t xml:space="preserve">calculated for the cold store. </w:t>
      </w:r>
      <w:r>
        <w:t xml:space="preserve">An electrical energy of the compressor </w:t>
      </w:r>
      <w:r>
        <w:t>wa</w:t>
      </w:r>
      <w:r>
        <w:t xml:space="preserve">s derived from the heat load using a calculated </w:t>
      </w:r>
      <w:r>
        <w:t xml:space="preserve">COP. </w:t>
      </w:r>
      <w:r>
        <w:t xml:space="preserve">The energy of the compressor </w:t>
      </w:r>
      <w:proofErr w:type="spellStart"/>
      <w:r>
        <w:t>E</w:t>
      </w:r>
      <w:r w:rsidRPr="007C0586">
        <w:rPr>
          <w:vertAlign w:val="subscript"/>
        </w:rPr>
        <w:t>comp</w:t>
      </w:r>
      <w:proofErr w:type="spellEnd"/>
      <w:r>
        <w:t xml:space="preserve"> </w:t>
      </w:r>
      <w:r>
        <w:t>wa</w:t>
      </w:r>
      <w:r>
        <w:t>s calculated using the formula given in</w:t>
      </w:r>
      <w:r>
        <w:t xml:space="preserve"> </w:t>
      </w:r>
      <w:r>
        <w:rPr>
          <w:noProof/>
        </w:rPr>
        <w:t>Cleland</w:t>
      </w:r>
      <w:r>
        <w:t xml:space="preserve"> </w:t>
      </w:r>
      <w:sdt>
        <w:sdtPr>
          <w:id w:val="924841062"/>
          <w:citation/>
        </w:sdtPr>
        <w:sdtContent>
          <w:r>
            <w:fldChar w:fldCharType="begin"/>
          </w:r>
          <w:r>
            <w:instrText xml:space="preserve">CITATION Cle94 \n  \t  \l 2057 </w:instrText>
          </w:r>
          <w:r>
            <w:fldChar w:fldCharType="separate"/>
          </w:r>
          <w:r>
            <w:rPr>
              <w:noProof/>
            </w:rPr>
            <w:t>(1994)</w:t>
          </w:r>
          <w:r>
            <w:fldChar w:fldCharType="end"/>
          </w:r>
        </w:sdtContent>
      </w:sdt>
      <w:r>
        <w:t xml:space="preserve"> </w:t>
      </w:r>
      <w:r>
        <w:t>(eq. 1).</w:t>
      </w:r>
    </w:p>
    <w:p w:rsidR="00DE0B79" w:rsidRPr="00E126D7" w:rsidRDefault="00DE0B79" w:rsidP="00387F4E">
      <w:pPr>
        <w:jc w:val="center"/>
        <w:rPr>
          <w:rFonts w:ascii="Symbol" w:hAnsi="Symbol" w:cs="Arial"/>
          <w:szCs w:val="24"/>
        </w:rPr>
      </w:pPr>
      <m:oMath>
        <m:sSub>
          <m:sSubPr>
            <m:ctrlPr>
              <w:rPr>
                <w:rFonts w:ascii="Cambria Math" w:hAnsi="Cambria Math" w:cs="Arial"/>
                <w:i/>
                <w:szCs w:val="24"/>
              </w:rPr>
            </m:ctrlPr>
          </m:sSubPr>
          <m:e>
            <m:r>
              <w:rPr>
                <w:rFonts w:ascii="Cambria Math" w:hAnsi="Cambria Math" w:cs="Arial"/>
                <w:szCs w:val="24"/>
              </w:rPr>
              <m:t>E</m:t>
            </m:r>
          </m:e>
          <m:sub>
            <m:r>
              <w:rPr>
                <w:rFonts w:ascii="Cambria Math" w:hAnsi="Cambria Math" w:cs="Arial"/>
                <w:szCs w:val="24"/>
              </w:rPr>
              <m:t xml:space="preserve">comp </m:t>
            </m:r>
          </m:sub>
        </m:sSub>
        <m:r>
          <w:rPr>
            <w:rFonts w:ascii="Cambria Math" w:hAnsi="Cambria Math" w:cs="Arial"/>
            <w:szCs w:val="24"/>
          </w:rPr>
          <m:t xml:space="preserve">= </m:t>
        </m:r>
        <m:f>
          <m:fPr>
            <m:ctrlPr>
              <w:rPr>
                <w:rFonts w:ascii="Cambria Math" w:hAnsi="Cambria Math" w:cs="Arial"/>
                <w:i/>
                <w:szCs w:val="24"/>
              </w:rPr>
            </m:ctrlPr>
          </m:fPr>
          <m:num>
            <m:r>
              <w:rPr>
                <w:rFonts w:ascii="Cambria Math" w:hAnsi="Cambria Math" w:cs="Arial"/>
                <w:szCs w:val="24"/>
              </w:rPr>
              <m:t>[Q.(</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c</m:t>
                </m:r>
              </m:sub>
            </m:sSub>
            <m:r>
              <w:rPr>
                <w:rFonts w:ascii="Cambria Math" w:hAnsi="Cambria Math" w:cs="Arial"/>
                <w:szCs w:val="24"/>
              </w:rPr>
              <m:t>-</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e</m:t>
                </m:r>
              </m:sub>
            </m:sSub>
            <m:r>
              <w:rPr>
                <w:rFonts w:ascii="Cambria Math" w:hAnsi="Cambria Math" w:cs="Arial"/>
                <w:szCs w:val="24"/>
              </w:rPr>
              <m:t xml:space="preserve"> )]</m:t>
            </m:r>
          </m:num>
          <m:den>
            <m:d>
              <m:dPr>
                <m:begChr m:val="["/>
                <m:endChr m:val="]"/>
                <m:ctrlPr>
                  <w:rPr>
                    <w:rFonts w:ascii="Cambria Math" w:hAnsi="Cambria Math" w:cs="Arial"/>
                    <w:i/>
                    <w:szCs w:val="24"/>
                  </w:rPr>
                </m:ctrlPr>
              </m:dPr>
              <m:e>
                <m:d>
                  <m:dPr>
                    <m:ctrlPr>
                      <w:rPr>
                        <w:rFonts w:ascii="Cambria Math" w:hAnsi="Cambria Math" w:cs="Arial"/>
                        <w:i/>
                        <w:szCs w:val="24"/>
                      </w:rPr>
                    </m:ctrlPr>
                  </m:dPr>
                  <m:e>
                    <m:r>
                      <w:rPr>
                        <w:rFonts w:ascii="Cambria Math" w:hAnsi="Cambria Math" w:cs="Arial"/>
                        <w:szCs w:val="24"/>
                      </w:rPr>
                      <m:t xml:space="preserve">273+ </m:t>
                    </m:r>
                    <m:sSub>
                      <m:sSubPr>
                        <m:ctrlPr>
                          <w:rPr>
                            <w:rFonts w:ascii="Cambria Math" w:hAnsi="Cambria Math" w:cs="Arial"/>
                            <w:i/>
                            <w:szCs w:val="24"/>
                          </w:rPr>
                        </m:ctrlPr>
                      </m:sSubPr>
                      <m:e>
                        <m:r>
                          <w:rPr>
                            <w:rFonts w:ascii="Cambria Math" w:hAnsi="Cambria Math" w:cs="Arial"/>
                            <w:szCs w:val="24"/>
                          </w:rPr>
                          <m:t>T</m:t>
                        </m:r>
                      </m:e>
                      <m:sub>
                        <m:r>
                          <w:rPr>
                            <w:rFonts w:ascii="Cambria Math" w:hAnsi="Cambria Math" w:cs="Arial"/>
                            <w:szCs w:val="24"/>
                          </w:rPr>
                          <m:t>e</m:t>
                        </m:r>
                      </m:sub>
                    </m:sSub>
                  </m:e>
                </m:d>
                <m:sSup>
                  <m:sSupPr>
                    <m:ctrlPr>
                      <w:rPr>
                        <w:rFonts w:ascii="Cambria Math" w:hAnsi="Cambria Math" w:cs="Arial"/>
                        <w:i/>
                        <w:szCs w:val="24"/>
                      </w:rPr>
                    </m:ctrlPr>
                  </m:sSupPr>
                  <m:e>
                    <m:r>
                      <w:rPr>
                        <w:rFonts w:ascii="Cambria Math" w:hAnsi="Cambria Math" w:cs="Arial"/>
                        <w:szCs w:val="24"/>
                      </w:rPr>
                      <m:t>(1-α.x)</m:t>
                    </m:r>
                  </m:e>
                  <m:sup>
                    <m:r>
                      <w:rPr>
                        <w:rFonts w:ascii="Cambria Math" w:hAnsi="Cambria Math" w:cs="Arial"/>
                        <w:szCs w:val="24"/>
                      </w:rPr>
                      <m:t>n</m:t>
                    </m:r>
                  </m:sup>
                </m:sSup>
                <m:sSub>
                  <m:sSubPr>
                    <m:ctrlPr>
                      <w:rPr>
                        <w:rFonts w:ascii="Cambria Math" w:hAnsi="Cambria Math" w:cs="Arial"/>
                        <w:i/>
                        <w:szCs w:val="24"/>
                      </w:rPr>
                    </m:ctrlPr>
                  </m:sSubPr>
                  <m:e>
                    <m:r>
                      <w:rPr>
                        <w:rFonts w:ascii="Cambria Math" w:hAnsi="Cambria Math" w:cs="Arial"/>
                        <w:szCs w:val="24"/>
                      </w:rPr>
                      <m:t>μ</m:t>
                    </m:r>
                  </m:e>
                  <m:sub>
                    <m:r>
                      <w:rPr>
                        <w:rFonts w:ascii="Cambria Math" w:hAnsi="Cambria Math" w:cs="Arial"/>
                        <w:szCs w:val="24"/>
                      </w:rPr>
                      <m:t>c</m:t>
                    </m:r>
                  </m:sub>
                </m:sSub>
              </m:e>
            </m:d>
          </m:den>
        </m:f>
      </m:oMath>
      <w:r w:rsidR="00ED7E85">
        <w:rPr>
          <w:rFonts w:ascii="Symbol" w:hAnsi="Symbol" w:cs="Arial"/>
          <w:szCs w:val="24"/>
        </w:rPr>
        <w:tab/>
      </w:r>
      <w:r w:rsidR="00ED7E85" w:rsidRPr="00ED7E85">
        <w:rPr>
          <w:szCs w:val="24"/>
        </w:rPr>
        <w:t>(1)</w:t>
      </w:r>
    </w:p>
    <w:p w:rsidR="00DE0B79" w:rsidRPr="002834AF" w:rsidRDefault="00DE0B79" w:rsidP="00387F4E">
      <w:pPr>
        <w:rPr>
          <w:szCs w:val="24"/>
        </w:rPr>
      </w:pPr>
      <w:r>
        <w:rPr>
          <w:szCs w:val="24"/>
        </w:rPr>
        <w:t xml:space="preserve">Where </w:t>
      </w:r>
      <w:r>
        <w:rPr>
          <w:rFonts w:cs="Arial"/>
          <w:szCs w:val="24"/>
        </w:rPr>
        <w:t xml:space="preserve">Q </w:t>
      </w:r>
      <w:r>
        <w:rPr>
          <w:rFonts w:cs="Arial"/>
          <w:szCs w:val="24"/>
        </w:rPr>
        <w:t>wa</w:t>
      </w:r>
      <w:r>
        <w:rPr>
          <w:rFonts w:cs="Arial"/>
          <w:szCs w:val="24"/>
        </w:rPr>
        <w:t>s the t</w:t>
      </w:r>
      <w:r w:rsidRPr="00077F60">
        <w:rPr>
          <w:rFonts w:cs="Arial"/>
          <w:szCs w:val="24"/>
        </w:rPr>
        <w:t xml:space="preserve">otal </w:t>
      </w:r>
      <w:r>
        <w:rPr>
          <w:rFonts w:cs="Arial"/>
          <w:szCs w:val="24"/>
        </w:rPr>
        <w:t xml:space="preserve">heat load on cold store, </w:t>
      </w:r>
      <w:proofErr w:type="spellStart"/>
      <w:r w:rsidRPr="00077F60">
        <w:rPr>
          <w:rFonts w:cs="Arial"/>
          <w:szCs w:val="24"/>
        </w:rPr>
        <w:t>T</w:t>
      </w:r>
      <w:r w:rsidRPr="00077F60">
        <w:rPr>
          <w:rFonts w:cs="Arial"/>
          <w:szCs w:val="24"/>
          <w:vertAlign w:val="subscript"/>
        </w:rPr>
        <w:t>c</w:t>
      </w:r>
      <w:proofErr w:type="spellEnd"/>
      <w:r>
        <w:rPr>
          <w:rFonts w:cs="Arial"/>
          <w:szCs w:val="24"/>
        </w:rPr>
        <w:t xml:space="preserve"> </w:t>
      </w:r>
      <w:r>
        <w:rPr>
          <w:rFonts w:cs="Arial"/>
          <w:szCs w:val="24"/>
        </w:rPr>
        <w:t>wa</w:t>
      </w:r>
      <w:r>
        <w:rPr>
          <w:rFonts w:cs="Arial"/>
          <w:szCs w:val="24"/>
        </w:rPr>
        <w:t xml:space="preserve">s the condensing temperature, </w:t>
      </w:r>
      <w:proofErr w:type="spellStart"/>
      <w:r w:rsidRPr="00077F60">
        <w:rPr>
          <w:rFonts w:cs="Arial"/>
          <w:szCs w:val="24"/>
        </w:rPr>
        <w:t>T</w:t>
      </w:r>
      <w:r w:rsidRPr="00077F60">
        <w:rPr>
          <w:rFonts w:cs="Arial"/>
          <w:szCs w:val="24"/>
          <w:vertAlign w:val="subscript"/>
        </w:rPr>
        <w:t>e</w:t>
      </w:r>
      <w:proofErr w:type="spellEnd"/>
      <w:r>
        <w:rPr>
          <w:rFonts w:cs="Arial"/>
          <w:szCs w:val="24"/>
        </w:rPr>
        <w:t xml:space="preserve"> wa</w:t>
      </w:r>
      <w:r>
        <w:rPr>
          <w:rFonts w:cs="Arial"/>
          <w:szCs w:val="24"/>
        </w:rPr>
        <w:t xml:space="preserve">s the evaporating temperature, </w:t>
      </w:r>
      <w:r w:rsidRPr="00077F60">
        <w:rPr>
          <w:rFonts w:ascii="Symbol" w:hAnsi="Symbol" w:cs="Arial"/>
          <w:szCs w:val="24"/>
        </w:rPr>
        <w:t></w:t>
      </w:r>
      <w:r w:rsidRPr="00077F60">
        <w:rPr>
          <w:rFonts w:ascii="Symbol" w:hAnsi="Symbol" w:cs="Arial"/>
          <w:szCs w:val="24"/>
        </w:rPr>
        <w:t></w:t>
      </w:r>
      <w:r>
        <w:rPr>
          <w:rFonts w:cs="Arial"/>
          <w:szCs w:val="24"/>
        </w:rPr>
        <w:t>wa</w:t>
      </w:r>
      <w:r>
        <w:rPr>
          <w:rFonts w:cs="Arial"/>
          <w:szCs w:val="24"/>
        </w:rPr>
        <w:t>s</w:t>
      </w:r>
      <w:r w:rsidRPr="00077F60">
        <w:rPr>
          <w:rFonts w:cs="Arial"/>
          <w:szCs w:val="24"/>
        </w:rPr>
        <w:t xml:space="preserve"> </w:t>
      </w:r>
      <w:r>
        <w:rPr>
          <w:rFonts w:cs="Arial"/>
          <w:szCs w:val="24"/>
        </w:rPr>
        <w:t xml:space="preserve">an empirical constant for different </w:t>
      </w:r>
      <w:r w:rsidRPr="00077F60">
        <w:rPr>
          <w:rFonts w:cs="Arial"/>
          <w:szCs w:val="24"/>
        </w:rPr>
        <w:t>refrigera</w:t>
      </w:r>
      <w:r>
        <w:rPr>
          <w:rFonts w:cs="Arial"/>
          <w:szCs w:val="24"/>
        </w:rPr>
        <w:t xml:space="preserve">nts, </w:t>
      </w:r>
      <w:r w:rsidRPr="004A6816">
        <w:rPr>
          <w:rFonts w:cs="Arial"/>
          <w:szCs w:val="24"/>
          <w:lang w:val="fr-FR"/>
        </w:rPr>
        <w:t xml:space="preserve">x </w:t>
      </w:r>
      <w:proofErr w:type="spellStart"/>
      <w:r>
        <w:rPr>
          <w:rFonts w:cs="Arial"/>
          <w:szCs w:val="24"/>
          <w:lang w:val="fr-FR"/>
        </w:rPr>
        <w:t>wa</w:t>
      </w:r>
      <w:r>
        <w:rPr>
          <w:rFonts w:cs="Arial"/>
          <w:szCs w:val="24"/>
          <w:lang w:val="fr-FR"/>
        </w:rPr>
        <w:t>s</w:t>
      </w:r>
      <w:proofErr w:type="spellEnd"/>
      <w:r>
        <w:rPr>
          <w:rFonts w:cs="Arial"/>
          <w:szCs w:val="24"/>
          <w:lang w:val="fr-FR"/>
        </w:rPr>
        <w:t xml:space="preserve"> the </w:t>
      </w:r>
      <w:proofErr w:type="spellStart"/>
      <w:r w:rsidRPr="004A6816">
        <w:rPr>
          <w:rFonts w:cs="Arial"/>
          <w:szCs w:val="24"/>
          <w:lang w:val="fr-FR"/>
        </w:rPr>
        <w:t>fractional</w:t>
      </w:r>
      <w:proofErr w:type="spellEnd"/>
      <w:r w:rsidRPr="004A6816">
        <w:rPr>
          <w:rFonts w:cs="Arial"/>
          <w:szCs w:val="24"/>
          <w:lang w:val="fr-FR"/>
        </w:rPr>
        <w:t xml:space="preserve"> vaporisation</w:t>
      </w:r>
      <w:r>
        <w:rPr>
          <w:rFonts w:cs="Arial"/>
          <w:szCs w:val="24"/>
          <w:lang w:val="fr-FR"/>
        </w:rPr>
        <w:t xml:space="preserve"> on expansion </w:t>
      </w:r>
      <w:proofErr w:type="spellStart"/>
      <w:r>
        <w:rPr>
          <w:rFonts w:cs="Arial"/>
          <w:szCs w:val="24"/>
          <w:lang w:val="fr-FR"/>
        </w:rPr>
        <w:t>from</w:t>
      </w:r>
      <w:proofErr w:type="spellEnd"/>
      <w:r>
        <w:rPr>
          <w:rFonts w:cs="Arial"/>
          <w:szCs w:val="24"/>
          <w:lang w:val="fr-FR"/>
        </w:rPr>
        <w:t xml:space="preserve"> </w:t>
      </w:r>
      <w:proofErr w:type="spellStart"/>
      <w:r>
        <w:rPr>
          <w:rFonts w:cs="Arial"/>
          <w:szCs w:val="24"/>
          <w:lang w:val="fr-FR"/>
        </w:rPr>
        <w:t>liquid</w:t>
      </w:r>
      <w:proofErr w:type="spellEnd"/>
      <w:r>
        <w:rPr>
          <w:rFonts w:cs="Arial"/>
          <w:szCs w:val="24"/>
          <w:lang w:val="fr-FR"/>
        </w:rPr>
        <w:t xml:space="preserve"> to saturation </w:t>
      </w:r>
      <w:proofErr w:type="spellStart"/>
      <w:r>
        <w:rPr>
          <w:rFonts w:cs="Arial"/>
          <w:szCs w:val="24"/>
          <w:lang w:val="fr-FR"/>
        </w:rPr>
        <w:t>at</w:t>
      </w:r>
      <w:proofErr w:type="spellEnd"/>
      <w:r>
        <w:rPr>
          <w:rFonts w:cs="Arial"/>
          <w:szCs w:val="24"/>
          <w:lang w:val="fr-FR"/>
        </w:rPr>
        <w:t xml:space="preserve"> </w:t>
      </w:r>
      <w:r>
        <w:rPr>
          <w:rFonts w:cs="Arial"/>
          <w:szCs w:val="24"/>
          <w:lang w:val="fr-FR"/>
        </w:rPr>
        <w:t xml:space="preserve">the </w:t>
      </w:r>
      <w:proofErr w:type="spellStart"/>
      <w:r>
        <w:rPr>
          <w:rFonts w:cs="Arial"/>
          <w:szCs w:val="24"/>
          <w:lang w:val="fr-FR"/>
        </w:rPr>
        <w:t>discharge</w:t>
      </w:r>
      <w:proofErr w:type="spellEnd"/>
      <w:r>
        <w:rPr>
          <w:rFonts w:cs="Arial"/>
          <w:szCs w:val="24"/>
        </w:rPr>
        <w:t xml:space="preserve">, </w:t>
      </w:r>
      <w:r w:rsidRPr="004A6816">
        <w:rPr>
          <w:rFonts w:cs="Arial"/>
          <w:szCs w:val="24"/>
          <w:lang w:val="fr-FR"/>
        </w:rPr>
        <w:t xml:space="preserve">n </w:t>
      </w:r>
      <w:proofErr w:type="spellStart"/>
      <w:r>
        <w:rPr>
          <w:rFonts w:cs="Arial"/>
          <w:szCs w:val="24"/>
          <w:lang w:val="fr-FR"/>
        </w:rPr>
        <w:t>wa</w:t>
      </w:r>
      <w:r>
        <w:rPr>
          <w:rFonts w:cs="Arial"/>
          <w:szCs w:val="24"/>
          <w:lang w:val="fr-FR"/>
        </w:rPr>
        <w:t>s</w:t>
      </w:r>
      <w:proofErr w:type="spellEnd"/>
      <w:r>
        <w:rPr>
          <w:rFonts w:cs="Arial"/>
          <w:szCs w:val="24"/>
          <w:lang w:val="fr-FR"/>
        </w:rPr>
        <w:t xml:space="preserve"> the</w:t>
      </w:r>
      <w:r w:rsidRPr="004A6816">
        <w:rPr>
          <w:rFonts w:cs="Arial"/>
          <w:szCs w:val="24"/>
          <w:lang w:val="fr-FR"/>
        </w:rPr>
        <w:t xml:space="preserve"> stage coefficient</w:t>
      </w:r>
      <w:r>
        <w:rPr>
          <w:rFonts w:cs="Arial"/>
          <w:szCs w:val="24"/>
        </w:rPr>
        <w:t xml:space="preserve"> and </w:t>
      </w:r>
      <w:r w:rsidRPr="00077F60">
        <w:rPr>
          <w:rFonts w:ascii="Symbol" w:hAnsi="Symbol" w:cs="Arial"/>
          <w:szCs w:val="24"/>
        </w:rPr>
        <w:t></w:t>
      </w:r>
      <w:r w:rsidRPr="00077F60">
        <w:rPr>
          <w:rFonts w:cs="Arial"/>
          <w:szCs w:val="24"/>
          <w:vertAlign w:val="subscript"/>
        </w:rPr>
        <w:t>c</w:t>
      </w:r>
      <w:r>
        <w:rPr>
          <w:rFonts w:cs="Arial"/>
          <w:szCs w:val="24"/>
        </w:rPr>
        <w:t xml:space="preserve"> </w:t>
      </w:r>
      <w:r>
        <w:rPr>
          <w:rFonts w:cs="Arial"/>
          <w:szCs w:val="24"/>
        </w:rPr>
        <w:t>wa</w:t>
      </w:r>
      <w:r>
        <w:rPr>
          <w:rFonts w:cs="Arial"/>
          <w:szCs w:val="24"/>
        </w:rPr>
        <w:t xml:space="preserve">s the </w:t>
      </w:r>
      <w:r w:rsidRPr="00077F60">
        <w:rPr>
          <w:rFonts w:cs="Arial"/>
          <w:szCs w:val="24"/>
        </w:rPr>
        <w:t xml:space="preserve">isentropic efficiency of </w:t>
      </w:r>
      <w:r>
        <w:rPr>
          <w:rFonts w:cs="Arial"/>
          <w:szCs w:val="24"/>
        </w:rPr>
        <w:t xml:space="preserve">the </w:t>
      </w:r>
      <w:r w:rsidRPr="00077F60">
        <w:rPr>
          <w:rFonts w:cs="Arial"/>
          <w:szCs w:val="24"/>
        </w:rPr>
        <w:t>compressor</w:t>
      </w:r>
    </w:p>
    <w:p w:rsidR="00DE0B79" w:rsidRPr="004D11CA" w:rsidRDefault="00DE0B79" w:rsidP="00387F4E">
      <w:r w:rsidRPr="004D11CA">
        <w:t xml:space="preserve">The electrical power of the condenser and evaporator fan motors, </w:t>
      </w:r>
      <w:proofErr w:type="spellStart"/>
      <w:r w:rsidRPr="004D11CA">
        <w:t>E</w:t>
      </w:r>
      <w:r w:rsidRPr="004D11CA">
        <w:rPr>
          <w:vertAlign w:val="subscript"/>
        </w:rPr>
        <w:t>motor</w:t>
      </w:r>
      <w:proofErr w:type="spellEnd"/>
      <w:r>
        <w:rPr>
          <w:vertAlign w:val="subscript"/>
        </w:rPr>
        <w:t xml:space="preserve"> </w:t>
      </w:r>
      <w:r>
        <w:t>wa</w:t>
      </w:r>
      <w:r w:rsidRPr="004D11CA">
        <w:t>s</w:t>
      </w:r>
      <w:r>
        <w:t xml:space="preserve"> </w:t>
      </w:r>
      <w:r>
        <w:t>calculated from</w:t>
      </w:r>
      <w:r w:rsidRPr="004D11CA">
        <w:t xml:space="preserve"> eq. (2).</w:t>
      </w:r>
    </w:p>
    <w:p w:rsidR="00DE0B79" w:rsidRPr="004D11CA" w:rsidRDefault="00DE0B79" w:rsidP="00387F4E">
      <w:pPr>
        <w:autoSpaceDE w:val="0"/>
        <w:autoSpaceDN w:val="0"/>
        <w:adjustRightInd w:val="0"/>
        <w:jc w:val="center"/>
        <w:rPr>
          <w:rFonts w:ascii="Arial" w:eastAsia="Calibri" w:hAnsi="Arial" w:cs="Arial"/>
          <w:szCs w:val="22"/>
          <w:vertAlign w:val="subscript"/>
          <w:lang w:val="de-DE"/>
        </w:rPr>
      </w:pPr>
      <m:oMath>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E</m:t>
            </m:r>
          </m:e>
          <m:sub>
            <m:r>
              <w:rPr>
                <w:rFonts w:ascii="Cambria Math" w:eastAsia="Calibri" w:hAnsi="Cambria Math" w:cs="Arial"/>
                <w:szCs w:val="22"/>
                <w:vertAlign w:val="subscript"/>
                <w:lang w:val="de-DE"/>
              </w:rPr>
              <m:t>motor</m:t>
            </m:r>
          </m:sub>
        </m:sSub>
        <m:r>
          <w:rPr>
            <w:rFonts w:ascii="Cambria Math" w:eastAsia="Calibri" w:hAnsi="Cambria Math" w:cs="Arial"/>
            <w:szCs w:val="22"/>
            <w:vertAlign w:val="subscript"/>
            <w:lang w:val="de-DE"/>
          </w:rPr>
          <m:t>=</m:t>
        </m:r>
        <m:f>
          <m:fPr>
            <m:ctrlPr>
              <w:rPr>
                <w:rFonts w:ascii="Cambria Math" w:eastAsia="Calibri" w:hAnsi="Cambria Math" w:cs="Arial"/>
                <w:i/>
                <w:szCs w:val="22"/>
                <w:vertAlign w:val="subscript"/>
                <w:lang w:val="de-DE"/>
              </w:rPr>
            </m:ctrlPr>
          </m:fPr>
          <m:num>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N</m:t>
                </m:r>
              </m:e>
              <m:sub>
                <m:r>
                  <w:rPr>
                    <w:rFonts w:ascii="Cambria Math" w:eastAsia="Calibri" w:hAnsi="Cambria Math" w:cs="Arial"/>
                    <w:szCs w:val="22"/>
                    <w:vertAlign w:val="subscript"/>
                    <w:lang w:val="de-DE"/>
                  </w:rPr>
                  <m:t>motor</m:t>
                </m:r>
              </m:sub>
            </m:sSub>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P</m:t>
                </m:r>
              </m:e>
              <m:sub>
                <m:r>
                  <w:rPr>
                    <w:rFonts w:ascii="Cambria Math" w:eastAsia="Calibri" w:hAnsi="Cambria Math" w:cs="Arial"/>
                    <w:szCs w:val="22"/>
                    <w:vertAlign w:val="subscript"/>
                    <w:lang w:val="de-DE"/>
                  </w:rPr>
                  <m:t>o</m:t>
                </m:r>
              </m:sub>
            </m:sSub>
          </m:num>
          <m:den>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μ</m:t>
                </m:r>
              </m:e>
              <m:sub>
                <m:r>
                  <w:rPr>
                    <w:rFonts w:ascii="Cambria Math" w:eastAsia="Calibri" w:hAnsi="Cambria Math" w:cs="Arial"/>
                    <w:szCs w:val="22"/>
                    <w:vertAlign w:val="subscript"/>
                    <w:lang w:val="de-DE"/>
                  </w:rPr>
                  <m:t>motor</m:t>
                </m:r>
              </m:sub>
            </m:sSub>
          </m:den>
        </m:f>
      </m:oMath>
      <w:r w:rsidR="00ED7E85">
        <w:rPr>
          <w:rFonts w:ascii="Arial" w:eastAsia="Calibri" w:hAnsi="Arial" w:cs="Arial"/>
          <w:szCs w:val="22"/>
          <w:vertAlign w:val="subscript"/>
          <w:lang w:val="de-DE"/>
        </w:rPr>
        <w:tab/>
      </w:r>
      <w:r w:rsidR="00ED7E85" w:rsidRPr="00ED7E85">
        <w:rPr>
          <w:rFonts w:eastAsia="Calibri"/>
          <w:szCs w:val="22"/>
          <w:lang w:val="de-DE"/>
        </w:rPr>
        <w:t>(2)</w:t>
      </w:r>
    </w:p>
    <w:p w:rsidR="00DE0B79" w:rsidRPr="00DE0B79" w:rsidRDefault="00DE0B79" w:rsidP="00387F4E">
      <w:pPr>
        <w:autoSpaceDE w:val="0"/>
        <w:autoSpaceDN w:val="0"/>
        <w:adjustRightInd w:val="0"/>
        <w:rPr>
          <w:rFonts w:eastAsia="Calibri"/>
          <w:szCs w:val="22"/>
          <w:lang w:val="de-DE"/>
        </w:rPr>
      </w:pPr>
      <w:r w:rsidRPr="004D11CA">
        <w:rPr>
          <w:rFonts w:eastAsia="Calibri"/>
          <w:szCs w:val="22"/>
        </w:rPr>
        <w:t xml:space="preserve">Where </w:t>
      </w:r>
      <w:r w:rsidRPr="004D11CA">
        <w:rPr>
          <w:rFonts w:eastAsia="Calibri"/>
          <w:szCs w:val="22"/>
          <w:lang w:val="de-DE"/>
        </w:rPr>
        <w:tab/>
        <w:t>N</w:t>
      </w:r>
      <w:r w:rsidRPr="004D11CA">
        <w:rPr>
          <w:rFonts w:eastAsia="Calibri"/>
          <w:szCs w:val="22"/>
          <w:vertAlign w:val="subscript"/>
          <w:lang w:val="de-DE"/>
        </w:rPr>
        <w:t xml:space="preserve">motor </w:t>
      </w:r>
      <w:r>
        <w:rPr>
          <w:rFonts w:eastAsia="Calibri"/>
          <w:szCs w:val="22"/>
          <w:lang w:val="de-DE"/>
        </w:rPr>
        <w:t>wa</w:t>
      </w:r>
      <w:r w:rsidRPr="004D11CA">
        <w:rPr>
          <w:rFonts w:eastAsia="Calibri"/>
          <w:szCs w:val="22"/>
          <w:lang w:val="de-DE"/>
        </w:rPr>
        <w:t>s the number fan motors, P</w:t>
      </w:r>
      <w:r w:rsidRPr="004D11CA">
        <w:rPr>
          <w:rFonts w:eastAsia="Calibri"/>
          <w:szCs w:val="22"/>
          <w:vertAlign w:val="subscript"/>
          <w:lang w:val="de-DE"/>
        </w:rPr>
        <w:t>o</w:t>
      </w:r>
      <w:r>
        <w:rPr>
          <w:rFonts w:eastAsia="Calibri"/>
          <w:szCs w:val="22"/>
          <w:lang w:val="de-DE"/>
        </w:rPr>
        <w:t xml:space="preserve"> wa</w:t>
      </w:r>
      <w:r w:rsidRPr="004D11CA">
        <w:rPr>
          <w:rFonts w:eastAsia="Calibri"/>
          <w:szCs w:val="22"/>
          <w:lang w:val="de-DE"/>
        </w:rPr>
        <w:t xml:space="preserve">s the output power (shaft) of fan motor and </w:t>
      </w:r>
      <w:r w:rsidRPr="004D11CA">
        <w:rPr>
          <w:rFonts w:ascii="Symbol" w:eastAsia="Calibri" w:hAnsi="Symbol"/>
          <w:szCs w:val="22"/>
          <w:lang w:val="de-DE"/>
        </w:rPr>
        <w:t></w:t>
      </w:r>
      <w:r w:rsidRPr="004D11CA">
        <w:rPr>
          <w:rFonts w:eastAsia="Calibri"/>
          <w:szCs w:val="22"/>
          <w:vertAlign w:val="subscript"/>
          <w:lang w:val="de-DE"/>
        </w:rPr>
        <w:t>motor</w:t>
      </w:r>
      <w:r>
        <w:rPr>
          <w:rFonts w:eastAsia="Calibri"/>
          <w:szCs w:val="22"/>
          <w:vertAlign w:val="subscript"/>
          <w:lang w:val="de-DE"/>
        </w:rPr>
        <w:t xml:space="preserve"> </w:t>
      </w:r>
      <w:r>
        <w:rPr>
          <w:rFonts w:eastAsia="Calibri"/>
          <w:szCs w:val="22"/>
          <w:lang w:val="de-DE"/>
        </w:rPr>
        <w:t>wa</w:t>
      </w:r>
      <w:r w:rsidRPr="004D11CA">
        <w:rPr>
          <w:rFonts w:eastAsia="Calibri"/>
          <w:szCs w:val="22"/>
          <w:lang w:val="de-DE"/>
        </w:rPr>
        <w:t>s the efficiency of</w:t>
      </w:r>
      <w:r>
        <w:rPr>
          <w:rFonts w:eastAsia="Calibri"/>
          <w:szCs w:val="22"/>
          <w:lang w:val="de-DE"/>
        </w:rPr>
        <w:t xml:space="preserve"> </w:t>
      </w:r>
      <w:r w:rsidRPr="004D11CA">
        <w:rPr>
          <w:rFonts w:eastAsia="Calibri"/>
          <w:szCs w:val="22"/>
          <w:lang w:val="de-DE"/>
        </w:rPr>
        <w:t>the fan motor.</w:t>
      </w:r>
      <w:r>
        <w:rPr>
          <w:rFonts w:eastAsia="Calibri"/>
          <w:sz w:val="24"/>
          <w:szCs w:val="24"/>
          <w:lang w:val="de-DE"/>
        </w:rPr>
        <w:t xml:space="preserve"> </w:t>
      </w:r>
      <w:r w:rsidRPr="004D11CA">
        <w:rPr>
          <w:rFonts w:eastAsia="Calibri"/>
          <w:szCs w:val="22"/>
        </w:rPr>
        <w:t>For electric defrosts, the electrical power of the defrost heater</w:t>
      </w:r>
      <w:r>
        <w:rPr>
          <w:rFonts w:eastAsia="Calibri"/>
          <w:szCs w:val="22"/>
        </w:rPr>
        <w:t xml:space="preserve"> was given by</w:t>
      </w:r>
      <w:r w:rsidRPr="004D11CA">
        <w:rPr>
          <w:rFonts w:eastAsia="Calibri"/>
          <w:szCs w:val="22"/>
        </w:rPr>
        <w:t xml:space="preserve"> eq. (3).</w:t>
      </w:r>
    </w:p>
    <w:p w:rsidR="00DE0B79" w:rsidRPr="00ED7E85" w:rsidRDefault="00DE0B79" w:rsidP="00387F4E">
      <w:pPr>
        <w:autoSpaceDE w:val="0"/>
        <w:autoSpaceDN w:val="0"/>
        <w:adjustRightInd w:val="0"/>
        <w:jc w:val="center"/>
        <w:rPr>
          <w:rFonts w:ascii="Arial" w:eastAsia="Calibri" w:hAnsi="Arial" w:cs="Arial"/>
          <w:szCs w:val="22"/>
          <w:vertAlign w:val="subscript"/>
          <w:lang w:val="de-DE"/>
        </w:rPr>
      </w:pPr>
      <m:oMath>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E</m:t>
            </m:r>
          </m:e>
          <m:sub>
            <m:r>
              <w:rPr>
                <w:rFonts w:ascii="Cambria Math" w:eastAsia="Calibri" w:hAnsi="Cambria Math" w:cs="Arial"/>
                <w:szCs w:val="22"/>
                <w:vertAlign w:val="subscript"/>
                <w:lang w:val="de-DE"/>
              </w:rPr>
              <m:t>def</m:t>
            </m:r>
          </m:sub>
        </m:sSub>
        <m:r>
          <w:rPr>
            <w:rFonts w:ascii="Cambria Math" w:eastAsia="Calibri" w:hAnsi="Cambria Math" w:cs="Arial"/>
            <w:szCs w:val="22"/>
            <w:vertAlign w:val="subscript"/>
            <w:lang w:val="de-DE"/>
          </w:rPr>
          <m:t>=</m:t>
        </m:r>
        <m:f>
          <m:fPr>
            <m:ctrlPr>
              <w:rPr>
                <w:rFonts w:ascii="Cambria Math" w:eastAsia="Calibri" w:hAnsi="Cambria Math" w:cs="Arial"/>
                <w:i/>
                <w:szCs w:val="22"/>
                <w:vertAlign w:val="subscript"/>
                <w:lang w:val="de-DE"/>
              </w:rPr>
            </m:ctrlPr>
          </m:fPr>
          <m:num>
            <m:r>
              <w:rPr>
                <w:rFonts w:ascii="Cambria Math" w:eastAsia="Calibri" w:hAnsi="Cambria Math" w:cs="Arial"/>
                <w:szCs w:val="22"/>
                <w:vertAlign w:val="subscript"/>
                <w:lang w:val="de-DE"/>
              </w:rPr>
              <m:t>1</m:t>
            </m:r>
          </m:num>
          <m:den>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μ</m:t>
                </m:r>
              </m:e>
              <m:sub>
                <m:r>
                  <w:rPr>
                    <w:rFonts w:ascii="Cambria Math" w:eastAsia="Calibri" w:hAnsi="Cambria Math" w:cs="Arial"/>
                    <w:szCs w:val="22"/>
                    <w:vertAlign w:val="subscript"/>
                    <w:lang w:val="de-DE"/>
                  </w:rPr>
                  <m:t>D</m:t>
                </m:r>
              </m:sub>
            </m:sSub>
          </m:den>
        </m:f>
        <m:f>
          <m:fPr>
            <m:ctrlPr>
              <w:rPr>
                <w:rFonts w:ascii="Cambria Math" w:eastAsia="Calibri" w:hAnsi="Cambria Math" w:cs="Arial"/>
                <w:i/>
                <w:szCs w:val="22"/>
                <w:vertAlign w:val="subscript"/>
                <w:lang w:val="de-DE"/>
              </w:rPr>
            </m:ctrlPr>
          </m:fPr>
          <m:num>
            <m:d>
              <m:dPr>
                <m:begChr m:val="{"/>
                <m:endChr m:val="}"/>
                <m:ctrlPr>
                  <w:rPr>
                    <w:rFonts w:ascii="Cambria Math" w:eastAsia="Calibri" w:hAnsi="Cambria Math" w:cs="Arial"/>
                    <w:i/>
                    <w:szCs w:val="22"/>
                    <w:vertAlign w:val="subscript"/>
                    <w:lang w:val="de-DE"/>
                  </w:rPr>
                </m:ctrlPr>
              </m:dPr>
              <m:e>
                <m:d>
                  <m:dPr>
                    <m:begChr m:val="["/>
                    <m:endChr m:val="]"/>
                    <m:ctrlPr>
                      <w:rPr>
                        <w:rFonts w:ascii="Cambria Math" w:eastAsia="Calibri" w:hAnsi="Cambria Math" w:cs="Arial"/>
                        <w:i/>
                        <w:szCs w:val="22"/>
                        <w:vertAlign w:val="subscript"/>
                        <w:lang w:val="de-DE"/>
                      </w:rPr>
                    </m:ctrlPr>
                  </m:dPr>
                  <m:e>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m</m:t>
                        </m:r>
                      </m:e>
                      <m:sub>
                        <m:r>
                          <w:rPr>
                            <w:rFonts w:ascii="Cambria Math" w:eastAsia="Calibri" w:hAnsi="Cambria Math" w:cs="Arial"/>
                            <w:szCs w:val="22"/>
                            <w:vertAlign w:val="subscript"/>
                            <w:lang w:val="de-DE"/>
                          </w:rPr>
                          <m:t xml:space="preserve">DO. </m:t>
                        </m:r>
                      </m:sub>
                    </m:sSub>
                    <m:d>
                      <m:dPr>
                        <m:ctrlPr>
                          <w:rPr>
                            <w:rFonts w:ascii="Cambria Math" w:eastAsia="Calibri" w:hAnsi="Cambria Math" w:cs="Arial"/>
                            <w:i/>
                            <w:szCs w:val="22"/>
                            <w:vertAlign w:val="subscript"/>
                            <w:lang w:val="de-DE"/>
                          </w:rPr>
                        </m:ctrlPr>
                      </m:dPr>
                      <m:e>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X</m:t>
                            </m:r>
                          </m:e>
                          <m:sub>
                            <m:r>
                              <w:rPr>
                                <w:rFonts w:ascii="Cambria Math" w:eastAsia="Calibri" w:hAnsi="Cambria Math" w:cs="Arial"/>
                                <w:szCs w:val="22"/>
                                <w:vertAlign w:val="subscript"/>
                                <w:lang w:val="de-DE"/>
                              </w:rPr>
                              <m:t>o</m:t>
                            </m:r>
                          </m:sub>
                        </m:sSub>
                        <m:r>
                          <w:rPr>
                            <w:rFonts w:ascii="Cambria Math" w:eastAsia="Calibri" w:hAnsi="Cambria Math" w:cs="Arial"/>
                            <w:szCs w:val="22"/>
                            <w:vertAlign w:val="subscript"/>
                            <w:lang w:val="de-DE"/>
                          </w:rPr>
                          <m:t xml:space="preserve">- </m:t>
                        </m:r>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X</m:t>
                            </m:r>
                          </m:e>
                          <m:sub>
                            <m:r>
                              <w:rPr>
                                <w:rFonts w:ascii="Cambria Math" w:eastAsia="Calibri" w:hAnsi="Cambria Math" w:cs="Arial"/>
                                <w:szCs w:val="22"/>
                                <w:vertAlign w:val="subscript"/>
                                <w:lang w:val="de-DE"/>
                              </w:rPr>
                              <m:t>i</m:t>
                            </m:r>
                          </m:sub>
                        </m:sSub>
                      </m:e>
                    </m:d>
                    <m:r>
                      <w:rPr>
                        <w:rFonts w:ascii="Cambria Math" w:eastAsia="Calibri" w:hAnsi="Cambria Math" w:cs="Arial"/>
                        <w:szCs w:val="22"/>
                        <w:vertAlign w:val="subscript"/>
                        <w:lang w:val="de-DE"/>
                      </w:rPr>
                      <m:t>.</m:t>
                    </m:r>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L</m:t>
                        </m:r>
                      </m:e>
                      <m:sub>
                        <m:r>
                          <w:rPr>
                            <w:rFonts w:ascii="Cambria Math" w:eastAsia="Calibri" w:hAnsi="Cambria Math" w:cs="Arial"/>
                            <w:szCs w:val="22"/>
                            <w:vertAlign w:val="subscript"/>
                            <w:lang w:val="de-DE"/>
                          </w:rPr>
                          <m:t>f</m:t>
                        </m:r>
                      </m:sub>
                    </m:sSub>
                    <m:r>
                      <w:rPr>
                        <w:rFonts w:ascii="Cambria Math" w:eastAsia="Calibri" w:hAnsi="Cambria Math" w:cs="Arial"/>
                        <w:szCs w:val="22"/>
                        <w:vertAlign w:val="subscript"/>
                        <w:lang w:val="de-DE"/>
                      </w:rPr>
                      <m:t>.</m:t>
                    </m:r>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D</m:t>
                        </m:r>
                      </m:e>
                      <m:sub>
                        <m:r>
                          <w:rPr>
                            <w:rFonts w:ascii="Cambria Math" w:eastAsia="Calibri" w:hAnsi="Cambria Math" w:cs="Arial"/>
                            <w:szCs w:val="22"/>
                            <w:vertAlign w:val="subscript"/>
                            <w:lang w:val="de-DE"/>
                          </w:rPr>
                          <m:t>DO</m:t>
                        </m:r>
                      </m:sub>
                    </m:sSub>
                    <m:r>
                      <w:rPr>
                        <w:rFonts w:ascii="Cambria Math" w:eastAsia="Calibri" w:hAnsi="Cambria Math" w:cs="Arial"/>
                        <w:szCs w:val="22"/>
                        <w:vertAlign w:val="subscript"/>
                        <w:lang w:val="de-DE"/>
                      </w:rPr>
                      <m:t>.</m:t>
                    </m:r>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N</m:t>
                        </m:r>
                      </m:e>
                      <m:sub>
                        <m:r>
                          <w:rPr>
                            <w:rFonts w:ascii="Cambria Math" w:eastAsia="Calibri" w:hAnsi="Cambria Math" w:cs="Arial"/>
                            <w:szCs w:val="22"/>
                            <w:vertAlign w:val="subscript"/>
                            <w:lang w:val="de-DE"/>
                          </w:rPr>
                          <m:t>DO</m:t>
                        </m:r>
                      </m:sub>
                    </m:sSub>
                  </m:e>
                </m:d>
                <m:r>
                  <w:rPr>
                    <w:rFonts w:ascii="Cambria Math" w:eastAsia="Calibri" w:hAnsi="Cambria Math" w:cs="Arial"/>
                    <w:szCs w:val="22"/>
                    <w:vertAlign w:val="subscript"/>
                    <w:lang w:val="de-DE"/>
                  </w:rPr>
                  <m:t>+</m:t>
                </m:r>
                <m:d>
                  <m:dPr>
                    <m:ctrlPr>
                      <w:rPr>
                        <w:rFonts w:ascii="Cambria Math" w:eastAsia="Calibri" w:hAnsi="Cambria Math" w:cs="Arial"/>
                        <w:i/>
                        <w:szCs w:val="22"/>
                        <w:vertAlign w:val="subscript"/>
                        <w:lang w:val="de-DE"/>
                      </w:rPr>
                    </m:ctrlPr>
                  </m:dPr>
                  <m:e>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m</m:t>
                        </m:r>
                      </m:e>
                      <m:sub>
                        <m:r>
                          <w:rPr>
                            <w:rFonts w:ascii="Cambria Math" w:eastAsia="Calibri" w:hAnsi="Cambria Math" w:cs="Arial"/>
                            <w:szCs w:val="22"/>
                            <w:vertAlign w:val="subscript"/>
                            <w:lang w:val="de-DE"/>
                          </w:rPr>
                          <m:t>WL</m:t>
                        </m:r>
                      </m:sub>
                    </m:sSub>
                    <m:r>
                      <w:rPr>
                        <w:rFonts w:ascii="Cambria Math" w:eastAsia="Calibri" w:hAnsi="Cambria Math" w:cs="Arial"/>
                        <w:szCs w:val="22"/>
                        <w:vertAlign w:val="subscript"/>
                        <w:lang w:val="de-DE"/>
                      </w:rPr>
                      <m:t>.</m:t>
                    </m:r>
                    <m:sSub>
                      <m:sSubPr>
                        <m:ctrlPr>
                          <w:rPr>
                            <w:rFonts w:ascii="Cambria Math" w:eastAsia="Calibri" w:hAnsi="Cambria Math" w:cs="Arial"/>
                            <w:i/>
                            <w:szCs w:val="22"/>
                            <w:vertAlign w:val="subscript"/>
                            <w:lang w:val="de-DE"/>
                          </w:rPr>
                        </m:ctrlPr>
                      </m:sSubPr>
                      <m:e>
                        <m:r>
                          <w:rPr>
                            <w:rFonts w:ascii="Cambria Math" w:eastAsia="Calibri" w:hAnsi="Cambria Math" w:cs="Arial"/>
                            <w:szCs w:val="22"/>
                            <w:vertAlign w:val="subscript"/>
                            <w:lang w:val="de-DE"/>
                          </w:rPr>
                          <m:t>L</m:t>
                        </m:r>
                      </m:e>
                      <m:sub>
                        <m:r>
                          <w:rPr>
                            <w:rFonts w:ascii="Cambria Math" w:eastAsia="Calibri" w:hAnsi="Cambria Math" w:cs="Arial"/>
                            <w:szCs w:val="22"/>
                            <w:vertAlign w:val="subscript"/>
                            <w:lang w:val="de-DE"/>
                          </w:rPr>
                          <m:t>f</m:t>
                        </m:r>
                      </m:sub>
                    </m:sSub>
                  </m:e>
                </m:d>
              </m:e>
            </m:d>
          </m:num>
          <m:den>
            <m:d>
              <m:dPr>
                <m:ctrlPr>
                  <w:rPr>
                    <w:rFonts w:ascii="Cambria Math" w:eastAsia="Calibri" w:hAnsi="Cambria Math" w:cs="Arial"/>
                    <w:i/>
                    <w:szCs w:val="22"/>
                    <w:vertAlign w:val="subscript"/>
                    <w:lang w:val="de-DE"/>
                  </w:rPr>
                </m:ctrlPr>
              </m:dPr>
              <m:e>
                <m:r>
                  <w:rPr>
                    <w:rFonts w:ascii="Cambria Math" w:eastAsia="Calibri" w:hAnsi="Cambria Math" w:cs="Arial"/>
                    <w:szCs w:val="22"/>
                    <w:vertAlign w:val="subscript"/>
                    <w:lang w:val="de-DE"/>
                  </w:rPr>
                  <m:t>24 . 3600</m:t>
                </m:r>
              </m:e>
            </m:d>
          </m:den>
        </m:f>
      </m:oMath>
      <w:r w:rsidR="00ED7E85">
        <w:rPr>
          <w:rFonts w:ascii="Arial" w:eastAsia="Calibri" w:hAnsi="Arial" w:cs="Arial"/>
          <w:szCs w:val="22"/>
          <w:vertAlign w:val="subscript"/>
          <w:lang w:val="de-DE"/>
        </w:rPr>
        <w:tab/>
      </w:r>
      <w:r w:rsidR="00ED7E85" w:rsidRPr="00ED7E85">
        <w:rPr>
          <w:rFonts w:eastAsia="Calibri"/>
          <w:szCs w:val="22"/>
          <w:lang w:val="de-DE"/>
        </w:rPr>
        <w:t>(3)</w:t>
      </w:r>
    </w:p>
    <w:p w:rsidR="00DE0B79" w:rsidRDefault="00DE0B79" w:rsidP="00387F4E">
      <w:pPr>
        <w:autoSpaceDE w:val="0"/>
        <w:autoSpaceDN w:val="0"/>
        <w:adjustRightInd w:val="0"/>
        <w:rPr>
          <w:rFonts w:eastAsia="Calibri"/>
          <w:szCs w:val="22"/>
        </w:rPr>
      </w:pPr>
      <w:r w:rsidRPr="004D11CA">
        <w:rPr>
          <w:rFonts w:eastAsia="Calibri"/>
          <w:szCs w:val="22"/>
        </w:rPr>
        <w:t xml:space="preserve">Where </w:t>
      </w:r>
      <w:proofErr w:type="spellStart"/>
      <w:r w:rsidRPr="004D11CA">
        <w:rPr>
          <w:rFonts w:eastAsia="Calibri"/>
          <w:szCs w:val="22"/>
        </w:rPr>
        <w:t>m</w:t>
      </w:r>
      <w:r w:rsidRPr="004D11CA">
        <w:rPr>
          <w:rFonts w:eastAsia="Calibri"/>
          <w:szCs w:val="22"/>
          <w:vertAlign w:val="subscript"/>
        </w:rPr>
        <w:t>DO</w:t>
      </w:r>
      <w:proofErr w:type="spellEnd"/>
      <w:r>
        <w:rPr>
          <w:rFonts w:eastAsia="Calibri"/>
          <w:szCs w:val="22"/>
        </w:rPr>
        <w:t xml:space="preserve"> wa</w:t>
      </w:r>
      <w:r w:rsidRPr="004D11CA">
        <w:rPr>
          <w:rFonts w:eastAsia="Calibri"/>
          <w:szCs w:val="22"/>
        </w:rPr>
        <w:t>s the mass flow through an open door, X</w:t>
      </w:r>
      <w:r w:rsidRPr="004D11CA">
        <w:rPr>
          <w:rFonts w:eastAsia="Calibri"/>
          <w:szCs w:val="22"/>
          <w:vertAlign w:val="subscript"/>
        </w:rPr>
        <w:t>o</w:t>
      </w:r>
      <w:r>
        <w:rPr>
          <w:rFonts w:eastAsia="Calibri"/>
          <w:szCs w:val="22"/>
          <w:vertAlign w:val="subscript"/>
        </w:rPr>
        <w:t xml:space="preserve"> </w:t>
      </w:r>
      <w:r w:rsidRPr="004D11CA">
        <w:rPr>
          <w:rFonts w:eastAsia="Calibri"/>
          <w:szCs w:val="22"/>
        </w:rPr>
        <w:t>and X</w:t>
      </w:r>
      <w:r w:rsidRPr="004D11CA">
        <w:rPr>
          <w:rFonts w:eastAsia="Calibri"/>
          <w:szCs w:val="22"/>
          <w:vertAlign w:val="subscript"/>
        </w:rPr>
        <w:t>i</w:t>
      </w:r>
      <w:r w:rsidRPr="004D11CA">
        <w:rPr>
          <w:rFonts w:eastAsia="Calibri"/>
          <w:szCs w:val="22"/>
        </w:rPr>
        <w:t xml:space="preserve"> </w:t>
      </w:r>
      <w:r>
        <w:rPr>
          <w:rFonts w:eastAsia="Calibri"/>
          <w:szCs w:val="22"/>
        </w:rPr>
        <w:t>we</w:t>
      </w:r>
      <w:r w:rsidRPr="004D11CA">
        <w:rPr>
          <w:rFonts w:eastAsia="Calibri"/>
          <w:szCs w:val="22"/>
        </w:rPr>
        <w:t xml:space="preserve">re the concentration of water </w:t>
      </w:r>
      <w:r>
        <w:rPr>
          <w:rFonts w:eastAsia="Calibri"/>
          <w:szCs w:val="22"/>
        </w:rPr>
        <w:t xml:space="preserve">in </w:t>
      </w:r>
      <w:r w:rsidRPr="004D11CA">
        <w:rPr>
          <w:rFonts w:eastAsia="Calibri"/>
          <w:szCs w:val="22"/>
        </w:rPr>
        <w:t>air outside and inside the cold the store, L</w:t>
      </w:r>
      <w:r w:rsidRPr="004D11CA">
        <w:rPr>
          <w:rFonts w:eastAsia="Calibri"/>
          <w:szCs w:val="22"/>
          <w:vertAlign w:val="subscript"/>
        </w:rPr>
        <w:t>f</w:t>
      </w:r>
      <w:r>
        <w:rPr>
          <w:rFonts w:eastAsia="Calibri"/>
          <w:szCs w:val="22"/>
        </w:rPr>
        <w:t xml:space="preserve"> wa</w:t>
      </w:r>
      <w:r w:rsidRPr="004D11CA">
        <w:rPr>
          <w:rFonts w:eastAsia="Calibri"/>
          <w:szCs w:val="22"/>
        </w:rPr>
        <w:t>s the latent heat of fusion for water, D</w:t>
      </w:r>
      <w:r w:rsidRPr="004D11CA">
        <w:rPr>
          <w:rFonts w:eastAsia="Calibri"/>
          <w:szCs w:val="22"/>
          <w:vertAlign w:val="subscript"/>
        </w:rPr>
        <w:t>DO</w:t>
      </w:r>
      <w:r>
        <w:rPr>
          <w:rFonts w:eastAsia="Calibri"/>
          <w:szCs w:val="22"/>
        </w:rPr>
        <w:t xml:space="preserve"> wa</w:t>
      </w:r>
      <w:r w:rsidRPr="004D11CA">
        <w:rPr>
          <w:rFonts w:eastAsia="Calibri"/>
          <w:szCs w:val="22"/>
        </w:rPr>
        <w:t>s the duration of each door opening, N</w:t>
      </w:r>
      <w:r w:rsidRPr="004D11CA">
        <w:rPr>
          <w:rFonts w:eastAsia="Calibri"/>
          <w:szCs w:val="22"/>
          <w:vertAlign w:val="subscript"/>
        </w:rPr>
        <w:t>DO</w:t>
      </w:r>
      <w:r>
        <w:rPr>
          <w:rFonts w:eastAsia="Calibri"/>
          <w:szCs w:val="22"/>
        </w:rPr>
        <w:t xml:space="preserve"> wa</w:t>
      </w:r>
      <w:r w:rsidRPr="004D11CA">
        <w:rPr>
          <w:rFonts w:eastAsia="Calibri"/>
          <w:szCs w:val="22"/>
        </w:rPr>
        <w:t xml:space="preserve">s the number of door openings per 24 hours, </w:t>
      </w:r>
      <w:proofErr w:type="spellStart"/>
      <w:r w:rsidRPr="004D11CA">
        <w:rPr>
          <w:rFonts w:eastAsia="Calibri"/>
          <w:szCs w:val="22"/>
        </w:rPr>
        <w:t>m</w:t>
      </w:r>
      <w:r w:rsidRPr="004D11CA">
        <w:rPr>
          <w:rFonts w:eastAsia="Calibri"/>
          <w:szCs w:val="22"/>
          <w:vertAlign w:val="subscript"/>
        </w:rPr>
        <w:t>WL</w:t>
      </w:r>
      <w:proofErr w:type="spellEnd"/>
      <w:r>
        <w:rPr>
          <w:rFonts w:eastAsia="Calibri"/>
          <w:szCs w:val="22"/>
        </w:rPr>
        <w:t xml:space="preserve"> wa</w:t>
      </w:r>
      <w:r w:rsidRPr="004D11CA">
        <w:rPr>
          <w:rFonts w:eastAsia="Calibri"/>
          <w:szCs w:val="22"/>
        </w:rPr>
        <w:t xml:space="preserve">s the weight loss from product and packaging and </w:t>
      </w:r>
      <w:proofErr w:type="spellStart"/>
      <w:r w:rsidRPr="004D11CA">
        <w:rPr>
          <w:rFonts w:eastAsia="Calibri"/>
          <w:szCs w:val="22"/>
        </w:rPr>
        <w:t>μ</w:t>
      </w:r>
      <w:r w:rsidRPr="004D11CA">
        <w:rPr>
          <w:rFonts w:eastAsia="Calibri"/>
          <w:szCs w:val="22"/>
          <w:vertAlign w:val="subscript"/>
        </w:rPr>
        <w:t>D</w:t>
      </w:r>
      <w:proofErr w:type="spellEnd"/>
      <w:r>
        <w:rPr>
          <w:rFonts w:eastAsia="Calibri"/>
          <w:szCs w:val="22"/>
        </w:rPr>
        <w:t xml:space="preserve"> wa</w:t>
      </w:r>
      <w:r w:rsidRPr="004D11CA">
        <w:rPr>
          <w:rFonts w:eastAsia="Calibri"/>
          <w:szCs w:val="22"/>
        </w:rPr>
        <w:t>s the defrost efficiency</w:t>
      </w:r>
      <w:r>
        <w:rPr>
          <w:rFonts w:eastAsia="Calibri"/>
          <w:szCs w:val="22"/>
        </w:rPr>
        <w:t xml:space="preserve">. </w:t>
      </w:r>
      <w:r w:rsidRPr="004D11CA">
        <w:rPr>
          <w:rFonts w:eastAsia="Calibri"/>
          <w:szCs w:val="22"/>
        </w:rPr>
        <w:t xml:space="preserve">Where </w:t>
      </w:r>
      <w:proofErr w:type="gramStart"/>
      <w:r w:rsidRPr="004D11CA">
        <w:rPr>
          <w:rFonts w:eastAsia="Calibri"/>
          <w:szCs w:val="22"/>
        </w:rPr>
        <w:t>the defrost</w:t>
      </w:r>
      <w:proofErr w:type="gramEnd"/>
      <w:r>
        <w:rPr>
          <w:rFonts w:eastAsia="Calibri"/>
          <w:szCs w:val="22"/>
        </w:rPr>
        <w:t xml:space="preserve"> </w:t>
      </w:r>
      <w:r w:rsidRPr="004D11CA">
        <w:rPr>
          <w:rFonts w:eastAsia="Calibri"/>
          <w:szCs w:val="22"/>
        </w:rPr>
        <w:t xml:space="preserve">was either hot gas or </w:t>
      </w:r>
      <w:r>
        <w:rPr>
          <w:rFonts w:eastAsia="Calibri"/>
          <w:szCs w:val="22"/>
        </w:rPr>
        <w:t>passive</w:t>
      </w:r>
      <w:r w:rsidRPr="004D11CA">
        <w:rPr>
          <w:rFonts w:eastAsia="Calibri"/>
          <w:szCs w:val="22"/>
        </w:rPr>
        <w:t xml:space="preserve"> then</w:t>
      </w:r>
      <w:r>
        <w:rPr>
          <w:rFonts w:eastAsia="Calibri"/>
          <w:szCs w:val="22"/>
        </w:rPr>
        <w:t xml:space="preserve"> </w:t>
      </w:r>
      <w:proofErr w:type="spellStart"/>
      <w:r w:rsidRPr="004D11CA">
        <w:rPr>
          <w:rFonts w:eastAsia="Calibri"/>
          <w:szCs w:val="22"/>
        </w:rPr>
        <w:t>E</w:t>
      </w:r>
      <w:r w:rsidRPr="004D11CA">
        <w:rPr>
          <w:rFonts w:eastAsia="Calibri"/>
          <w:szCs w:val="22"/>
          <w:vertAlign w:val="subscript"/>
        </w:rPr>
        <w:t>def</w:t>
      </w:r>
      <w:proofErr w:type="spellEnd"/>
      <w:r>
        <w:rPr>
          <w:rFonts w:eastAsia="Calibri"/>
          <w:szCs w:val="22"/>
          <w:vertAlign w:val="subscript"/>
        </w:rPr>
        <w:t xml:space="preserve"> </w:t>
      </w:r>
      <w:r w:rsidRPr="004D11CA">
        <w:rPr>
          <w:rFonts w:eastAsia="Calibri"/>
          <w:szCs w:val="22"/>
        </w:rPr>
        <w:t>= 0</w:t>
      </w:r>
      <w:r>
        <w:rPr>
          <w:rFonts w:eastAsia="Calibri"/>
          <w:szCs w:val="22"/>
        </w:rPr>
        <w:t xml:space="preserve">. </w:t>
      </w:r>
    </w:p>
    <w:p w:rsidR="00DE0B79" w:rsidRPr="00E700FD" w:rsidRDefault="00DE0B79" w:rsidP="00387F4E">
      <w:pPr>
        <w:autoSpaceDE w:val="0"/>
        <w:autoSpaceDN w:val="0"/>
        <w:adjustRightInd w:val="0"/>
        <w:rPr>
          <w:rFonts w:eastAsia="Calibri"/>
          <w:szCs w:val="22"/>
        </w:rPr>
      </w:pPr>
      <w:r w:rsidRPr="00E700FD">
        <w:rPr>
          <w:rFonts w:eastAsia="Calibri"/>
          <w:szCs w:val="22"/>
        </w:rPr>
        <w:t>The electrical power of the lamps E</w:t>
      </w:r>
      <w:r w:rsidRPr="00E700FD">
        <w:rPr>
          <w:rFonts w:eastAsia="Calibri"/>
          <w:szCs w:val="22"/>
          <w:vertAlign w:val="subscript"/>
        </w:rPr>
        <w:t>L</w:t>
      </w:r>
      <w:r>
        <w:rPr>
          <w:rFonts w:eastAsia="Calibri"/>
          <w:szCs w:val="22"/>
        </w:rPr>
        <w:t xml:space="preserve"> wa</w:t>
      </w:r>
      <w:r w:rsidRPr="00E700FD">
        <w:rPr>
          <w:rFonts w:eastAsia="Calibri"/>
          <w:szCs w:val="22"/>
        </w:rPr>
        <w:t xml:space="preserve">s given </w:t>
      </w:r>
      <w:r>
        <w:rPr>
          <w:rFonts w:eastAsia="Calibri"/>
          <w:szCs w:val="22"/>
        </w:rPr>
        <w:t>by</w:t>
      </w:r>
      <w:r w:rsidRPr="00E700FD">
        <w:rPr>
          <w:rFonts w:eastAsia="Calibri"/>
          <w:szCs w:val="22"/>
        </w:rPr>
        <w:t xml:space="preserve"> eq. (4).</w:t>
      </w:r>
    </w:p>
    <w:p w:rsidR="00DE0B79" w:rsidRPr="00E700FD" w:rsidRDefault="00DE0B79" w:rsidP="00387F4E">
      <w:pPr>
        <w:autoSpaceDE w:val="0"/>
        <w:autoSpaceDN w:val="0"/>
        <w:adjustRightInd w:val="0"/>
        <w:jc w:val="center"/>
        <w:rPr>
          <w:rFonts w:eastAsia="Calibri"/>
          <w:szCs w:val="22"/>
        </w:rPr>
      </w:pPr>
      <m:oMath>
        <m:sSub>
          <m:sSubPr>
            <m:ctrlPr>
              <w:rPr>
                <w:rFonts w:ascii="Cambria Math" w:eastAsia="Calibri" w:hAnsi="Cambria Math"/>
                <w:i/>
                <w:szCs w:val="22"/>
              </w:rPr>
            </m:ctrlPr>
          </m:sSubPr>
          <m:e>
            <m:r>
              <w:rPr>
                <w:rFonts w:ascii="Cambria Math" w:eastAsia="Calibri" w:hAnsi="Cambria Math"/>
                <w:szCs w:val="22"/>
              </w:rPr>
              <m:t>E</m:t>
            </m:r>
          </m:e>
          <m:sub>
            <m:r>
              <w:rPr>
                <w:rFonts w:ascii="Cambria Math" w:eastAsia="Calibri" w:hAnsi="Cambria Math"/>
                <w:szCs w:val="22"/>
              </w:rPr>
              <m:t>L</m:t>
            </m:r>
          </m:sub>
        </m:sSub>
        <m:r>
          <w:rPr>
            <w:rFonts w:ascii="Cambria Math" w:eastAsia="Calibri" w:hAnsi="Cambria Math"/>
            <w:szCs w:val="22"/>
          </w:rPr>
          <m:t xml:space="preserve">=L . </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A</m:t>
                </m:r>
              </m:e>
              <m:sub>
                <m:r>
                  <w:rPr>
                    <w:rFonts w:ascii="Cambria Math" w:eastAsia="Calibri" w:hAnsi="Cambria Math"/>
                    <w:szCs w:val="22"/>
                  </w:rPr>
                  <m:t>f</m:t>
                </m:r>
              </m:sub>
            </m:sSub>
          </m:num>
          <m:den>
            <m:sSub>
              <m:sSubPr>
                <m:ctrlPr>
                  <w:rPr>
                    <w:rFonts w:ascii="Cambria Math" w:eastAsia="Calibri" w:hAnsi="Cambria Math"/>
                    <w:i/>
                    <w:szCs w:val="22"/>
                  </w:rPr>
                </m:ctrlPr>
              </m:sSubPr>
              <m:e>
                <m:r>
                  <w:rPr>
                    <w:rFonts w:ascii="Cambria Math" w:eastAsia="Calibri" w:hAnsi="Cambria Math"/>
                    <w:szCs w:val="22"/>
                  </w:rPr>
                  <m:t>e</m:t>
                </m:r>
              </m:e>
              <m:sub>
                <m:r>
                  <w:rPr>
                    <w:rFonts w:ascii="Cambria Math" w:eastAsia="Calibri" w:hAnsi="Cambria Math"/>
                    <w:szCs w:val="22"/>
                  </w:rPr>
                  <m:t>L</m:t>
                </m:r>
              </m:sub>
            </m:sSub>
          </m:den>
        </m:f>
      </m:oMath>
      <w:r w:rsidR="00ED7E85">
        <w:rPr>
          <w:rFonts w:eastAsia="Calibri"/>
          <w:szCs w:val="22"/>
        </w:rPr>
        <w:tab/>
        <w:t>(4)</w:t>
      </w:r>
    </w:p>
    <w:p w:rsidR="00DE0B79" w:rsidRPr="00DE0B79" w:rsidRDefault="00DE0B79" w:rsidP="00387F4E">
      <w:pPr>
        <w:autoSpaceDE w:val="0"/>
        <w:autoSpaceDN w:val="0"/>
        <w:adjustRightInd w:val="0"/>
        <w:rPr>
          <w:rFonts w:eastAsia="Calibri"/>
          <w:szCs w:val="22"/>
        </w:rPr>
      </w:pPr>
      <w:r w:rsidRPr="00DE0B79">
        <w:rPr>
          <w:rFonts w:eastAsia="Calibri"/>
          <w:szCs w:val="22"/>
        </w:rPr>
        <w:t>Where L</w:t>
      </w:r>
      <w:r w:rsidRPr="00DE0B79">
        <w:rPr>
          <w:rFonts w:eastAsia="Calibri"/>
          <w:szCs w:val="22"/>
        </w:rPr>
        <w:t xml:space="preserve"> wa</w:t>
      </w:r>
      <w:r w:rsidRPr="00DE0B79">
        <w:rPr>
          <w:rFonts w:eastAsia="Calibri"/>
          <w:szCs w:val="22"/>
        </w:rPr>
        <w:t xml:space="preserve">s the Luminous flux required, </w:t>
      </w:r>
      <w:proofErr w:type="spellStart"/>
      <w:proofErr w:type="gramStart"/>
      <w:r w:rsidRPr="00DE0B79">
        <w:rPr>
          <w:rFonts w:eastAsia="Calibri"/>
          <w:szCs w:val="22"/>
        </w:rPr>
        <w:t>A</w:t>
      </w:r>
      <w:r w:rsidRPr="00DE0B79">
        <w:rPr>
          <w:rFonts w:eastAsia="Calibri"/>
          <w:szCs w:val="22"/>
          <w:vertAlign w:val="subscript"/>
        </w:rPr>
        <w:t>f</w:t>
      </w:r>
      <w:proofErr w:type="spellEnd"/>
      <w:proofErr w:type="gramEnd"/>
      <w:r w:rsidRPr="00DE0B79">
        <w:rPr>
          <w:rFonts w:eastAsia="Calibri"/>
          <w:szCs w:val="22"/>
        </w:rPr>
        <w:t xml:space="preserve"> wa</w:t>
      </w:r>
      <w:r w:rsidRPr="00DE0B79">
        <w:rPr>
          <w:rFonts w:eastAsia="Calibri"/>
          <w:szCs w:val="22"/>
        </w:rPr>
        <w:t xml:space="preserve">s the floor area and </w:t>
      </w:r>
      <w:proofErr w:type="spellStart"/>
      <w:r w:rsidRPr="00DE0B79">
        <w:rPr>
          <w:rFonts w:eastAsia="Calibri"/>
          <w:szCs w:val="22"/>
        </w:rPr>
        <w:t>e</w:t>
      </w:r>
      <w:r w:rsidRPr="00DE0B79">
        <w:rPr>
          <w:rFonts w:eastAsia="Calibri"/>
          <w:szCs w:val="22"/>
          <w:vertAlign w:val="subscript"/>
        </w:rPr>
        <w:t>L</w:t>
      </w:r>
      <w:proofErr w:type="spellEnd"/>
      <w:r w:rsidRPr="00DE0B79">
        <w:rPr>
          <w:rFonts w:eastAsia="Calibri"/>
          <w:szCs w:val="22"/>
        </w:rPr>
        <w:t xml:space="preserve"> was</w:t>
      </w:r>
      <w:r w:rsidRPr="00DE0B79">
        <w:rPr>
          <w:rFonts w:eastAsia="Calibri"/>
          <w:szCs w:val="22"/>
        </w:rPr>
        <w:t xml:space="preserve"> the efficacy of the lamps.</w:t>
      </w:r>
    </w:p>
    <w:p w:rsidR="00DE0B79" w:rsidRPr="004D11CA" w:rsidRDefault="00DE0B79" w:rsidP="00387F4E">
      <w:pPr>
        <w:autoSpaceDE w:val="0"/>
        <w:autoSpaceDN w:val="0"/>
        <w:adjustRightInd w:val="0"/>
        <w:rPr>
          <w:rFonts w:eastAsia="Calibri"/>
          <w:szCs w:val="22"/>
        </w:rPr>
      </w:pPr>
      <w:r w:rsidRPr="004D11CA">
        <w:rPr>
          <w:rFonts w:eastAsia="Calibri"/>
          <w:szCs w:val="22"/>
        </w:rPr>
        <w:t xml:space="preserve">If floor heating, </w:t>
      </w:r>
      <w:r w:rsidRPr="004D11CA">
        <w:rPr>
          <w:rFonts w:eastAsia="Calibri"/>
          <w:szCs w:val="22"/>
          <w:lang w:val="de-DE"/>
        </w:rPr>
        <w:t>E</w:t>
      </w:r>
      <w:r w:rsidRPr="004D11CA">
        <w:rPr>
          <w:rFonts w:eastAsia="Calibri"/>
          <w:szCs w:val="22"/>
          <w:vertAlign w:val="subscript"/>
          <w:lang w:val="de-DE"/>
        </w:rPr>
        <w:t>f</w:t>
      </w:r>
      <w:r w:rsidRPr="004D11CA">
        <w:rPr>
          <w:rFonts w:eastAsia="Calibri"/>
          <w:szCs w:val="22"/>
          <w:lang w:val="de-DE"/>
        </w:rPr>
        <w:t>,</w:t>
      </w:r>
      <w:r w:rsidRPr="004D11CA">
        <w:rPr>
          <w:rFonts w:eastAsia="Calibri"/>
          <w:szCs w:val="22"/>
        </w:rPr>
        <w:t xml:space="preserve"> use</w:t>
      </w:r>
      <w:r w:rsidR="00387F4E">
        <w:rPr>
          <w:rFonts w:eastAsia="Calibri"/>
          <w:szCs w:val="22"/>
        </w:rPr>
        <w:t xml:space="preserve">d </w:t>
      </w:r>
      <w:r w:rsidRPr="004D11CA">
        <w:rPr>
          <w:rFonts w:eastAsia="Calibri"/>
          <w:szCs w:val="22"/>
        </w:rPr>
        <w:t>recovered</w:t>
      </w:r>
      <w:r>
        <w:rPr>
          <w:rFonts w:eastAsia="Calibri"/>
          <w:szCs w:val="22"/>
        </w:rPr>
        <w:t xml:space="preserve"> heat</w:t>
      </w:r>
      <w:r w:rsidR="00ED7E85">
        <w:rPr>
          <w:rFonts w:eastAsia="Calibri"/>
          <w:szCs w:val="22"/>
        </w:rPr>
        <w:t xml:space="preserve"> </w:t>
      </w:r>
      <w:r w:rsidRPr="004D11CA">
        <w:rPr>
          <w:rFonts w:eastAsia="Calibri"/>
          <w:szCs w:val="22"/>
        </w:rPr>
        <w:t xml:space="preserve">then </w:t>
      </w:r>
      <w:r w:rsidRPr="004D11CA">
        <w:rPr>
          <w:rFonts w:eastAsia="Calibri"/>
          <w:szCs w:val="22"/>
          <w:lang w:val="de-DE"/>
        </w:rPr>
        <w:t>E</w:t>
      </w:r>
      <w:r w:rsidRPr="004D11CA">
        <w:rPr>
          <w:rFonts w:eastAsia="Calibri"/>
          <w:szCs w:val="22"/>
          <w:vertAlign w:val="subscript"/>
          <w:lang w:val="de-DE"/>
        </w:rPr>
        <w:t>f</w:t>
      </w:r>
      <w:r w:rsidRPr="004D11CA">
        <w:rPr>
          <w:rFonts w:eastAsia="Calibri"/>
          <w:szCs w:val="22"/>
          <w:lang w:val="de-DE"/>
        </w:rPr>
        <w:t xml:space="preserve"> =0</w:t>
      </w:r>
      <w:r w:rsidR="00ED7E85">
        <w:rPr>
          <w:rFonts w:eastAsia="Calibri"/>
          <w:szCs w:val="22"/>
          <w:lang w:val="de-DE"/>
        </w:rPr>
        <w:t>.</w:t>
      </w:r>
    </w:p>
    <w:p w:rsidR="00DE0B79" w:rsidRDefault="00DE0B79" w:rsidP="00387F4E">
      <w:r>
        <w:t>This electrical energy wa</w:t>
      </w:r>
      <w:r>
        <w:t>s added to all other electrical energies from fans, lights, defrost heaters, floor heating etc.</w:t>
      </w:r>
    </w:p>
    <w:p w:rsidR="001D0549" w:rsidRPr="001D0549" w:rsidRDefault="001D0549" w:rsidP="00387F4E">
      <w:r w:rsidRPr="001D0549">
        <w:t xml:space="preserve">To better understand the variations in the </w:t>
      </w:r>
      <w:r w:rsidR="00331AED">
        <w:t xml:space="preserve">collected </w:t>
      </w:r>
      <w:r w:rsidRPr="001D0549">
        <w:t>survey data, 8 usage scenarios were modelled over a range of store volumes between 10 and 350,000 m</w:t>
      </w:r>
      <w:r w:rsidRPr="001D0549">
        <w:rPr>
          <w:vertAlign w:val="superscript"/>
        </w:rPr>
        <w:t>3</w:t>
      </w:r>
      <w:r w:rsidRPr="001D0549">
        <w:t xml:space="preserve"> (Table 1). The geometry of the store modelled was 5 m height with width and depth equal in all cases. For each scenario a chilled store at 2°C and a frozen store at </w:t>
      </w:r>
      <w:r w:rsidR="00331AED">
        <w:br/>
      </w:r>
      <w:r w:rsidRPr="001D0549">
        <w:t xml:space="preserve">-23°C were modelled at the average annual temperature for the store location (based on data from </w:t>
      </w:r>
      <w:proofErr w:type="spellStart"/>
      <w:r w:rsidRPr="001D0549">
        <w:t>weatherbase</w:t>
      </w:r>
      <w:proofErr w:type="spellEnd"/>
      <w:r w:rsidRPr="001D0549">
        <w:t xml:space="preserve"> </w:t>
      </w:r>
      <w:sdt>
        <w:sdtPr>
          <w:id w:val="794718620"/>
          <w:citation/>
        </w:sdtPr>
        <w:sdtEndPr/>
        <w:sdtContent>
          <w:r w:rsidRPr="001D0549">
            <w:fldChar w:fldCharType="begin"/>
          </w:r>
          <w:r w:rsidR="00AF0312">
            <w:instrText xml:space="preserve">CITATION Can13 \l 2057 </w:instrText>
          </w:r>
          <w:r w:rsidRPr="001D0549">
            <w:fldChar w:fldCharType="separate"/>
          </w:r>
          <w:r w:rsidR="00A14D06">
            <w:rPr>
              <w:noProof/>
            </w:rPr>
            <w:t>(LLC, Canty and Associates 2013)</w:t>
          </w:r>
          <w:r w:rsidRPr="001D0549">
            <w:fldChar w:fldCharType="end"/>
          </w:r>
        </w:sdtContent>
      </w:sdt>
      <w:r w:rsidRPr="001D0549">
        <w:t xml:space="preserve">). The 8 scenarios ranged from a scenario with high efficiency </w:t>
      </w:r>
      <w:r w:rsidR="00331AED">
        <w:t xml:space="preserve">where </w:t>
      </w:r>
      <w:r w:rsidRPr="001D0549">
        <w:t xml:space="preserve">all heat loads </w:t>
      </w:r>
      <w:r w:rsidR="00331AED">
        <w:t xml:space="preserve">were </w:t>
      </w:r>
      <w:r w:rsidRPr="001D0549">
        <w:t xml:space="preserve">minimised to a scenario with an inefficient store with high heat loads from infiltration, lighting, fans, people, forklifts and external radiation. </w:t>
      </w:r>
    </w:p>
    <w:p w:rsidR="00783AB2" w:rsidRPr="001D0549" w:rsidRDefault="001D0549" w:rsidP="001D0549">
      <w:r w:rsidRPr="001D0549">
        <w:t xml:space="preserve">Parameters for each scenario were selected based on information </w:t>
      </w:r>
      <w:r w:rsidR="00331AED">
        <w:t xml:space="preserve">collected from energy audits carried out by </w:t>
      </w:r>
      <w:r w:rsidR="00331AED" w:rsidRPr="001D0549">
        <w:rPr>
          <w:noProof/>
        </w:rPr>
        <w:t>Evans, et al.</w:t>
      </w:r>
      <w:r w:rsidR="00331AED" w:rsidRPr="001D0549">
        <w:t xml:space="preserve"> </w:t>
      </w:r>
      <w:sdt>
        <w:sdtPr>
          <w:id w:val="82267964"/>
          <w:citation/>
        </w:sdtPr>
        <w:sdtEndPr/>
        <w:sdtContent>
          <w:r w:rsidR="00331AED" w:rsidRPr="001D0549">
            <w:fldChar w:fldCharType="begin"/>
          </w:r>
          <w:r w:rsidR="00AF0312">
            <w:instrText xml:space="preserve">CITATION 31E14 \n  \t  \l 2057 </w:instrText>
          </w:r>
          <w:r w:rsidR="00331AED" w:rsidRPr="001D0549">
            <w:fldChar w:fldCharType="separate"/>
          </w:r>
          <w:r w:rsidR="00A14D06">
            <w:rPr>
              <w:noProof/>
            </w:rPr>
            <w:t>(2014)</w:t>
          </w:r>
          <w:r w:rsidR="00331AED" w:rsidRPr="001D0549">
            <w:fldChar w:fldCharType="end"/>
          </w:r>
        </w:sdtContent>
      </w:sdt>
      <w:r w:rsidR="00331AED">
        <w:t>. These represented a change from what would be the most efficient configuration to the worst configuration that would be feasibly possible</w:t>
      </w:r>
      <w:r w:rsidRPr="001D0549">
        <w:t xml:space="preserve">. Full details of the assumptions made for each of the </w:t>
      </w:r>
      <w:r w:rsidR="009326C1">
        <w:t>8</w:t>
      </w:r>
      <w:r w:rsidRPr="001D0549">
        <w:t xml:space="preserve"> scenarios are listed in Table 1.</w:t>
      </w:r>
    </w:p>
    <w:p w:rsidR="001D0549" w:rsidRPr="001D0549" w:rsidRDefault="001D0549" w:rsidP="001D0549">
      <w:pPr>
        <w:jc w:val="center"/>
      </w:pPr>
      <w:proofErr w:type="gramStart"/>
      <w:r w:rsidRPr="001D0549">
        <w:t>Table 1.</w:t>
      </w:r>
      <w:proofErr w:type="gramEnd"/>
      <w:r w:rsidRPr="001D0549">
        <w:t xml:space="preserve"> Assumptions used in model.</w:t>
      </w:r>
    </w:p>
    <w:tbl>
      <w:tblPr>
        <w:tblW w:w="9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322"/>
        <w:gridCol w:w="6087"/>
      </w:tblGrid>
      <w:tr w:rsidR="001D0549" w:rsidRPr="001D0549" w:rsidTr="009326C1">
        <w:trPr>
          <w:trHeight w:val="117"/>
        </w:trPr>
        <w:tc>
          <w:tcPr>
            <w:tcW w:w="1384" w:type="dxa"/>
            <w:vMerge w:val="restart"/>
          </w:tcPr>
          <w:p w:rsidR="001D0549" w:rsidRPr="009326C1" w:rsidRDefault="001D0549" w:rsidP="00487CB4">
            <w:pPr>
              <w:spacing w:after="0" w:line="280" w:lineRule="exact"/>
            </w:pPr>
            <w:r w:rsidRPr="009326C1">
              <w:t>Scenario 1</w:t>
            </w:r>
          </w:p>
        </w:tc>
        <w:tc>
          <w:tcPr>
            <w:tcW w:w="2322" w:type="dxa"/>
          </w:tcPr>
          <w:p w:rsidR="001D0549" w:rsidRPr="009326C1" w:rsidRDefault="001D0549" w:rsidP="00487CB4">
            <w:pPr>
              <w:spacing w:after="0" w:line="280" w:lineRule="exact"/>
            </w:pPr>
            <w:r w:rsidRPr="009326C1">
              <w:t>External walls</w:t>
            </w:r>
          </w:p>
        </w:tc>
        <w:tc>
          <w:tcPr>
            <w:tcW w:w="6087" w:type="dxa"/>
          </w:tcPr>
          <w:p w:rsidR="001D0549" w:rsidRPr="009326C1" w:rsidRDefault="001D0549" w:rsidP="00487CB4">
            <w:pPr>
              <w:spacing w:after="0" w:line="280" w:lineRule="exact"/>
            </w:pPr>
            <w:r w:rsidRPr="009326C1">
              <w:t>All walls shaded. All walls light coloured</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Wall insulation</w:t>
            </w:r>
          </w:p>
        </w:tc>
        <w:tc>
          <w:tcPr>
            <w:tcW w:w="6087" w:type="dxa"/>
          </w:tcPr>
          <w:p w:rsidR="001D0549" w:rsidRPr="009326C1" w:rsidRDefault="001D0549" w:rsidP="00487CB4">
            <w:pPr>
              <w:spacing w:after="0" w:line="280" w:lineRule="exact"/>
            </w:pPr>
            <w:r w:rsidRPr="009326C1">
              <w:t>Polyurethane, 100 mm for chilled stores 150 mm for frozen stores</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Air around store</w:t>
            </w:r>
          </w:p>
        </w:tc>
        <w:tc>
          <w:tcPr>
            <w:tcW w:w="6087" w:type="dxa"/>
          </w:tcPr>
          <w:p w:rsidR="001D0549" w:rsidRPr="009326C1" w:rsidRDefault="001D0549" w:rsidP="00487CB4">
            <w:pPr>
              <w:spacing w:after="0" w:line="280" w:lineRule="exact"/>
            </w:pPr>
            <w:r w:rsidRPr="009326C1">
              <w:t>Still</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006E5D" w:rsidP="00487CB4">
            <w:pPr>
              <w:spacing w:after="0" w:line="280" w:lineRule="exact"/>
            </w:pPr>
            <w:r w:rsidRPr="009326C1">
              <w:t>Under floor</w:t>
            </w:r>
            <w:r w:rsidR="001D0549" w:rsidRPr="009326C1">
              <w:t xml:space="preserve"> heating</w:t>
            </w:r>
          </w:p>
        </w:tc>
        <w:tc>
          <w:tcPr>
            <w:tcW w:w="6087" w:type="dxa"/>
          </w:tcPr>
          <w:p w:rsidR="001D0549" w:rsidRPr="009326C1" w:rsidRDefault="001D0549" w:rsidP="00487CB4">
            <w:pPr>
              <w:spacing w:after="0" w:line="280" w:lineRule="exact"/>
            </w:pPr>
            <w:r w:rsidRPr="009326C1">
              <w:t>None</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Refrigeration system</w:t>
            </w:r>
          </w:p>
        </w:tc>
        <w:tc>
          <w:tcPr>
            <w:tcW w:w="6087" w:type="dxa"/>
          </w:tcPr>
          <w:p w:rsidR="001D0549" w:rsidRPr="009326C1" w:rsidRDefault="001D0549" w:rsidP="00487CB4">
            <w:pPr>
              <w:spacing w:after="0" w:line="280" w:lineRule="exact"/>
            </w:pPr>
            <w:r w:rsidRPr="009326C1">
              <w:t>R717 (ammonia), 2 compression/1 expansion stage, high isentropic efficiency (0.7)</w:t>
            </w:r>
            <w:r w:rsidR="00487CB4">
              <w:t xml:space="preserve">. </w:t>
            </w:r>
            <w:r w:rsidRPr="009326C1">
              <w:t xml:space="preserve">Evaporative condenser </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Defrosts</w:t>
            </w:r>
          </w:p>
        </w:tc>
        <w:tc>
          <w:tcPr>
            <w:tcW w:w="6087" w:type="dxa"/>
          </w:tcPr>
          <w:p w:rsidR="001D0549" w:rsidRPr="009326C1" w:rsidRDefault="001D0549" w:rsidP="00487CB4">
            <w:pPr>
              <w:spacing w:after="0" w:line="280" w:lineRule="exact"/>
            </w:pPr>
            <w:r w:rsidRPr="009326C1">
              <w:t>Off-cycle def</w:t>
            </w:r>
            <w:r w:rsidR="00006E5D" w:rsidRPr="009326C1">
              <w:t>rost</w:t>
            </w:r>
            <w:r w:rsidRPr="009326C1">
              <w:t xml:space="preserve"> for chilled stores, electric for frozen stores</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Product heat load</w:t>
            </w:r>
          </w:p>
        </w:tc>
        <w:tc>
          <w:tcPr>
            <w:tcW w:w="6087" w:type="dxa"/>
          </w:tcPr>
          <w:p w:rsidR="001D0549" w:rsidRPr="009326C1" w:rsidRDefault="001D0549" w:rsidP="00487CB4">
            <w:pPr>
              <w:spacing w:after="0" w:line="280" w:lineRule="exact"/>
            </w:pPr>
            <w:r w:rsidRPr="009326C1">
              <w:t>None</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Fork lift heat load</w:t>
            </w:r>
          </w:p>
        </w:tc>
        <w:tc>
          <w:tcPr>
            <w:tcW w:w="6087" w:type="dxa"/>
          </w:tcPr>
          <w:p w:rsidR="001D0549" w:rsidRPr="009326C1" w:rsidRDefault="001D0549" w:rsidP="00487CB4">
            <w:pPr>
              <w:spacing w:after="0" w:line="280" w:lineRule="exact"/>
            </w:pPr>
            <w:r w:rsidRPr="009326C1">
              <w:t>None</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Personnel heat load</w:t>
            </w:r>
          </w:p>
        </w:tc>
        <w:tc>
          <w:tcPr>
            <w:tcW w:w="6087" w:type="dxa"/>
          </w:tcPr>
          <w:p w:rsidR="001D0549" w:rsidRPr="009326C1" w:rsidRDefault="001D0549" w:rsidP="00487CB4">
            <w:pPr>
              <w:spacing w:after="0" w:line="280" w:lineRule="exact"/>
            </w:pPr>
            <w:r w:rsidRPr="009326C1">
              <w:t>None</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Lighting heat load</w:t>
            </w:r>
          </w:p>
        </w:tc>
        <w:tc>
          <w:tcPr>
            <w:tcW w:w="6087" w:type="dxa"/>
          </w:tcPr>
          <w:p w:rsidR="001D0549" w:rsidRPr="009326C1" w:rsidRDefault="001D0549" w:rsidP="00487CB4">
            <w:pPr>
              <w:spacing w:after="0" w:line="280" w:lineRule="exact"/>
            </w:pPr>
            <w:r w:rsidRPr="009326C1">
              <w:t>None</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Infiltration heat load</w:t>
            </w:r>
          </w:p>
        </w:tc>
        <w:tc>
          <w:tcPr>
            <w:tcW w:w="6087" w:type="dxa"/>
          </w:tcPr>
          <w:p w:rsidR="001D0549" w:rsidRPr="009326C1" w:rsidRDefault="001D0549" w:rsidP="00487CB4">
            <w:pPr>
              <w:spacing w:after="0" w:line="280" w:lineRule="exact"/>
            </w:pPr>
            <w:r w:rsidRPr="009326C1">
              <w:t>None</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Evaporator/condenser fan power</w:t>
            </w:r>
          </w:p>
        </w:tc>
        <w:tc>
          <w:tcPr>
            <w:tcW w:w="6087" w:type="dxa"/>
          </w:tcPr>
          <w:p w:rsidR="001D0549" w:rsidRPr="009326C1" w:rsidRDefault="001D0549" w:rsidP="00487CB4">
            <w:pPr>
              <w:spacing w:after="0" w:line="280" w:lineRule="exact"/>
            </w:pPr>
            <w:r w:rsidRPr="009326C1">
              <w:t>Created from correlation from Evans et al</w:t>
            </w:r>
            <w:r w:rsidR="00F457D1">
              <w:t>.</w:t>
            </w:r>
            <w:r w:rsidRPr="009326C1">
              <w:t xml:space="preserve"> 2013b</w:t>
            </w:r>
          </w:p>
        </w:tc>
      </w:tr>
      <w:tr w:rsidR="001D0549" w:rsidRPr="001D0549" w:rsidTr="009326C1">
        <w:tc>
          <w:tcPr>
            <w:tcW w:w="1384" w:type="dxa"/>
            <w:vMerge w:val="restart"/>
          </w:tcPr>
          <w:p w:rsidR="001D0549" w:rsidRPr="009326C1" w:rsidRDefault="001D0549" w:rsidP="00487CB4">
            <w:pPr>
              <w:spacing w:after="0" w:line="280" w:lineRule="exact"/>
            </w:pPr>
            <w:r w:rsidRPr="009326C1">
              <w:t>Scenario 2</w:t>
            </w:r>
          </w:p>
        </w:tc>
        <w:tc>
          <w:tcPr>
            <w:tcW w:w="8409" w:type="dxa"/>
            <w:gridSpan w:val="2"/>
          </w:tcPr>
          <w:p w:rsidR="001D0549" w:rsidRPr="009326C1" w:rsidRDefault="001D0549" w:rsidP="00487CB4">
            <w:pPr>
              <w:spacing w:after="0" w:line="280" w:lineRule="exact"/>
            </w:pPr>
            <w:r w:rsidRPr="009326C1">
              <w:rPr>
                <w:i/>
              </w:rPr>
              <w:t>As Scenario 1, except:</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Product heat load</w:t>
            </w:r>
          </w:p>
        </w:tc>
        <w:tc>
          <w:tcPr>
            <w:tcW w:w="6087" w:type="dxa"/>
          </w:tcPr>
          <w:p w:rsidR="001D0549" w:rsidRPr="009326C1" w:rsidRDefault="001D0549" w:rsidP="00487CB4">
            <w:pPr>
              <w:spacing w:after="0" w:line="280" w:lineRule="exact"/>
            </w:pPr>
            <w:r w:rsidRPr="009326C1">
              <w:t xml:space="preserve">Food loaded at 1°C above store temperature </w:t>
            </w:r>
          </w:p>
          <w:p w:rsidR="001D0549" w:rsidRPr="009326C1" w:rsidRDefault="001D0549" w:rsidP="00487CB4">
            <w:pPr>
              <w:spacing w:after="0" w:line="280" w:lineRule="exact"/>
            </w:pPr>
            <w:r w:rsidRPr="009326C1">
              <w:t>Product density = 250 kg m</w:t>
            </w:r>
            <w:r w:rsidRPr="009326C1">
              <w:rPr>
                <w:vertAlign w:val="superscript"/>
              </w:rPr>
              <w:t>-3</w:t>
            </w:r>
            <w:r w:rsidRPr="009326C1">
              <w:t>, product weight loss = zero</w:t>
            </w:r>
          </w:p>
          <w:p w:rsidR="001D0549" w:rsidRPr="009326C1" w:rsidRDefault="001D0549" w:rsidP="00487CB4">
            <w:pPr>
              <w:spacing w:after="0" w:line="280" w:lineRule="exact"/>
            </w:pPr>
            <w:r w:rsidRPr="009326C1">
              <w:t xml:space="preserve">Chilled stores: 25% of total mass loaded each day. </w:t>
            </w:r>
          </w:p>
          <w:p w:rsidR="001D0549" w:rsidRPr="009326C1" w:rsidRDefault="001D0549" w:rsidP="00487CB4">
            <w:pPr>
              <w:spacing w:after="0" w:line="280" w:lineRule="exact"/>
            </w:pPr>
            <w:r w:rsidRPr="009326C1">
              <w:t>Frozen stores: 10% of total mass loaded each day.</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Fork lift heat load</w:t>
            </w:r>
          </w:p>
        </w:tc>
        <w:tc>
          <w:tcPr>
            <w:tcW w:w="6087" w:type="dxa"/>
          </w:tcPr>
          <w:p w:rsidR="001D0549" w:rsidRPr="009326C1" w:rsidRDefault="001D0549" w:rsidP="00487CB4">
            <w:pPr>
              <w:spacing w:after="0" w:line="280" w:lineRule="exact"/>
            </w:pPr>
            <w:r w:rsidRPr="009326C1">
              <w:t>1 per 40,000 m</w:t>
            </w:r>
            <w:r w:rsidRPr="009326C1">
              <w:rPr>
                <w:vertAlign w:val="superscript"/>
              </w:rPr>
              <w:t>3</w:t>
            </w:r>
            <w:r w:rsidRPr="009326C1">
              <w:t xml:space="preserve"> store volume, size=medium, electric, operated 12h per day</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People heat load</w:t>
            </w:r>
          </w:p>
        </w:tc>
        <w:tc>
          <w:tcPr>
            <w:tcW w:w="6087" w:type="dxa"/>
          </w:tcPr>
          <w:p w:rsidR="001D0549" w:rsidRPr="009326C1" w:rsidRDefault="001D0549" w:rsidP="00487CB4">
            <w:pPr>
              <w:spacing w:after="0" w:line="280" w:lineRule="exact"/>
            </w:pPr>
            <w:r w:rsidRPr="009326C1">
              <w:t>2 persons per forklift truck, 2 hours per day, person in store for short periods</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Lighting heat load</w:t>
            </w:r>
          </w:p>
        </w:tc>
        <w:tc>
          <w:tcPr>
            <w:tcW w:w="6087" w:type="dxa"/>
          </w:tcPr>
          <w:p w:rsidR="001D0549" w:rsidRPr="009326C1" w:rsidRDefault="001D0549" w:rsidP="00487CB4">
            <w:pPr>
              <w:spacing w:after="0" w:line="280" w:lineRule="exact"/>
            </w:pPr>
            <w:r w:rsidRPr="009326C1">
              <w:t>Fluorescent lights, 50 lumens.W</w:t>
            </w:r>
            <w:r w:rsidRPr="009326C1">
              <w:rPr>
                <w:vertAlign w:val="superscript"/>
              </w:rPr>
              <w:t>-1</w:t>
            </w:r>
            <w:r w:rsidRPr="009326C1">
              <w:t>, 500 lux, operational 12 hours per day</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Infiltration heat load</w:t>
            </w:r>
          </w:p>
        </w:tc>
        <w:tc>
          <w:tcPr>
            <w:tcW w:w="6087" w:type="dxa"/>
          </w:tcPr>
          <w:p w:rsidR="001D0549" w:rsidRPr="009326C1" w:rsidRDefault="001D0549" w:rsidP="00487CB4">
            <w:pPr>
              <w:spacing w:after="0" w:line="280" w:lineRule="exact"/>
            </w:pPr>
            <w:r w:rsidRPr="009326C1">
              <w:t>Door height 2.5 m, width 2 m minimum, if &gt; 50,000 m</w:t>
            </w:r>
            <w:r w:rsidRPr="009326C1">
              <w:rPr>
                <w:vertAlign w:val="superscript"/>
              </w:rPr>
              <w:t>3</w:t>
            </w:r>
            <w:r w:rsidRPr="009326C1">
              <w:t xml:space="preserve"> store volume then door width = store volume/10,000, door opening time = 30 sec, volume of traffic during door opening = medium, door seal = good, strip curtains on door</w:t>
            </w:r>
          </w:p>
          <w:p w:rsidR="001D0549" w:rsidRPr="009326C1" w:rsidRDefault="001D0549" w:rsidP="00487CB4">
            <w:pPr>
              <w:spacing w:after="0" w:line="280" w:lineRule="exact"/>
            </w:pPr>
            <w:r w:rsidRPr="009326C1">
              <w:t>48 door openings per day for chilled store, 24 for frozen store</w:t>
            </w:r>
          </w:p>
        </w:tc>
      </w:tr>
      <w:tr w:rsidR="001D0549" w:rsidRPr="001D0549" w:rsidTr="009326C1">
        <w:tc>
          <w:tcPr>
            <w:tcW w:w="1384" w:type="dxa"/>
            <w:vMerge w:val="restart"/>
          </w:tcPr>
          <w:p w:rsidR="001D0549" w:rsidRPr="009326C1" w:rsidRDefault="001D0549" w:rsidP="00487CB4">
            <w:pPr>
              <w:spacing w:after="0" w:line="280" w:lineRule="exact"/>
            </w:pPr>
            <w:r w:rsidRPr="009326C1">
              <w:t>Scenario 3</w:t>
            </w:r>
          </w:p>
        </w:tc>
        <w:tc>
          <w:tcPr>
            <w:tcW w:w="8409" w:type="dxa"/>
            <w:gridSpan w:val="2"/>
          </w:tcPr>
          <w:p w:rsidR="001D0549" w:rsidRPr="009326C1" w:rsidRDefault="001D0549" w:rsidP="00487CB4">
            <w:pPr>
              <w:spacing w:after="0" w:line="280" w:lineRule="exact"/>
            </w:pPr>
            <w:r w:rsidRPr="009326C1">
              <w:rPr>
                <w:i/>
              </w:rPr>
              <w:t>As scenario 2, except:</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Refrigeration system</w:t>
            </w:r>
          </w:p>
        </w:tc>
        <w:tc>
          <w:tcPr>
            <w:tcW w:w="6087" w:type="dxa"/>
          </w:tcPr>
          <w:p w:rsidR="001D0549" w:rsidRPr="009326C1" w:rsidRDefault="001D0549" w:rsidP="00487CB4">
            <w:pPr>
              <w:spacing w:after="0" w:line="280" w:lineRule="exact"/>
            </w:pPr>
            <w:r w:rsidRPr="009326C1">
              <w:t>Medium isentropic efficiency (0.6)</w:t>
            </w:r>
          </w:p>
        </w:tc>
      </w:tr>
      <w:tr w:rsidR="001D0549" w:rsidRPr="001D0549" w:rsidTr="009326C1">
        <w:tc>
          <w:tcPr>
            <w:tcW w:w="1384" w:type="dxa"/>
            <w:vMerge w:val="restart"/>
          </w:tcPr>
          <w:p w:rsidR="001D0549" w:rsidRPr="009326C1" w:rsidRDefault="001D0549" w:rsidP="00487CB4">
            <w:pPr>
              <w:spacing w:after="0" w:line="280" w:lineRule="exact"/>
            </w:pPr>
            <w:r w:rsidRPr="009326C1">
              <w:t>Scenario 4</w:t>
            </w:r>
          </w:p>
        </w:tc>
        <w:tc>
          <w:tcPr>
            <w:tcW w:w="8409" w:type="dxa"/>
            <w:gridSpan w:val="2"/>
          </w:tcPr>
          <w:p w:rsidR="001D0549" w:rsidRPr="009326C1" w:rsidRDefault="001D0549" w:rsidP="00487CB4">
            <w:pPr>
              <w:spacing w:after="0" w:line="280" w:lineRule="exact"/>
            </w:pPr>
            <w:r w:rsidRPr="009326C1">
              <w:rPr>
                <w:i/>
              </w:rPr>
              <w:t>As scenario 3, except:</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Fork lift heat load</w:t>
            </w:r>
          </w:p>
        </w:tc>
        <w:tc>
          <w:tcPr>
            <w:tcW w:w="6087" w:type="dxa"/>
          </w:tcPr>
          <w:p w:rsidR="001D0549" w:rsidRPr="009326C1" w:rsidRDefault="001D0549" w:rsidP="00487CB4">
            <w:pPr>
              <w:spacing w:after="0" w:line="280" w:lineRule="exact"/>
            </w:pPr>
            <w:r w:rsidRPr="009326C1">
              <w:t>1 per 40,000 m</w:t>
            </w:r>
            <w:r w:rsidRPr="009326C1">
              <w:rPr>
                <w:vertAlign w:val="superscript"/>
              </w:rPr>
              <w:t>3</w:t>
            </w:r>
            <w:r w:rsidRPr="009326C1">
              <w:t xml:space="preserve"> store volume, size=medium, electric, operated 24h per day</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People heat load</w:t>
            </w:r>
          </w:p>
        </w:tc>
        <w:tc>
          <w:tcPr>
            <w:tcW w:w="6087" w:type="dxa"/>
          </w:tcPr>
          <w:p w:rsidR="001D0549" w:rsidRPr="009326C1" w:rsidRDefault="001D0549" w:rsidP="00487CB4">
            <w:pPr>
              <w:spacing w:after="0" w:line="280" w:lineRule="exact"/>
            </w:pPr>
            <w:r w:rsidRPr="009326C1">
              <w:t>2 persons per forklift truck, 6 hours per day, person in store for short periods</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Lighting heat load</w:t>
            </w:r>
          </w:p>
        </w:tc>
        <w:tc>
          <w:tcPr>
            <w:tcW w:w="6087" w:type="dxa"/>
          </w:tcPr>
          <w:p w:rsidR="001D0549" w:rsidRPr="009326C1" w:rsidRDefault="001D0549" w:rsidP="00487CB4">
            <w:pPr>
              <w:spacing w:after="0" w:line="280" w:lineRule="exact"/>
            </w:pPr>
            <w:r w:rsidRPr="009326C1">
              <w:t>Fluorescent lights, 50 lumens.W</w:t>
            </w:r>
            <w:r w:rsidRPr="009326C1">
              <w:rPr>
                <w:vertAlign w:val="superscript"/>
              </w:rPr>
              <w:t>-1</w:t>
            </w:r>
            <w:r w:rsidRPr="009326C1">
              <w:t>, 500 lux, operational 24 hours per day</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Infiltration heat load</w:t>
            </w:r>
          </w:p>
        </w:tc>
        <w:tc>
          <w:tcPr>
            <w:tcW w:w="6087" w:type="dxa"/>
          </w:tcPr>
          <w:p w:rsidR="001D0549" w:rsidRPr="009326C1" w:rsidRDefault="001D0549" w:rsidP="00487CB4">
            <w:pPr>
              <w:spacing w:after="0" w:line="280" w:lineRule="exact"/>
            </w:pPr>
            <w:r w:rsidRPr="009326C1">
              <w:t>No door protection</w:t>
            </w:r>
          </w:p>
          <w:p w:rsidR="001D0549" w:rsidRPr="009326C1" w:rsidRDefault="001D0549" w:rsidP="00487CB4">
            <w:pPr>
              <w:spacing w:after="0" w:line="280" w:lineRule="exact"/>
            </w:pPr>
            <w:r w:rsidRPr="009326C1">
              <w:t>96 door openings per day for chilled store, 48 for frozen store</w:t>
            </w:r>
          </w:p>
        </w:tc>
      </w:tr>
      <w:tr w:rsidR="001D0549" w:rsidRPr="001D0549" w:rsidTr="009326C1">
        <w:tc>
          <w:tcPr>
            <w:tcW w:w="1384" w:type="dxa"/>
            <w:vMerge w:val="restart"/>
          </w:tcPr>
          <w:p w:rsidR="001D0549" w:rsidRPr="009326C1" w:rsidRDefault="001D0549" w:rsidP="00487CB4">
            <w:pPr>
              <w:spacing w:after="0" w:line="280" w:lineRule="exact"/>
            </w:pPr>
            <w:r w:rsidRPr="009326C1">
              <w:t>Scenario 5</w:t>
            </w:r>
          </w:p>
        </w:tc>
        <w:tc>
          <w:tcPr>
            <w:tcW w:w="8409" w:type="dxa"/>
            <w:gridSpan w:val="2"/>
          </w:tcPr>
          <w:p w:rsidR="001D0549" w:rsidRPr="009326C1" w:rsidRDefault="001D0549" w:rsidP="00487CB4">
            <w:pPr>
              <w:spacing w:after="0" w:line="280" w:lineRule="exact"/>
            </w:pPr>
            <w:r w:rsidRPr="009326C1">
              <w:rPr>
                <w:i/>
              </w:rPr>
              <w:t>As scenario 4, except:</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Product heat load</w:t>
            </w:r>
          </w:p>
        </w:tc>
        <w:tc>
          <w:tcPr>
            <w:tcW w:w="6087" w:type="dxa"/>
          </w:tcPr>
          <w:p w:rsidR="001D0549" w:rsidRPr="009326C1" w:rsidRDefault="001D0549" w:rsidP="00487CB4">
            <w:pPr>
              <w:spacing w:after="0" w:line="280" w:lineRule="exact"/>
            </w:pPr>
            <w:r w:rsidRPr="009326C1">
              <w:t xml:space="preserve">Food loaded at 5°C above store temperature </w:t>
            </w:r>
          </w:p>
        </w:tc>
      </w:tr>
      <w:tr w:rsidR="001D0549" w:rsidRPr="001D0549" w:rsidTr="009326C1">
        <w:tc>
          <w:tcPr>
            <w:tcW w:w="1384" w:type="dxa"/>
            <w:vMerge w:val="restart"/>
          </w:tcPr>
          <w:p w:rsidR="001D0549" w:rsidRPr="009326C1" w:rsidRDefault="001D0549" w:rsidP="00487CB4">
            <w:pPr>
              <w:spacing w:after="0" w:line="280" w:lineRule="exact"/>
            </w:pPr>
            <w:r w:rsidRPr="009326C1">
              <w:t>Scenario 6</w:t>
            </w:r>
          </w:p>
        </w:tc>
        <w:tc>
          <w:tcPr>
            <w:tcW w:w="8409" w:type="dxa"/>
            <w:gridSpan w:val="2"/>
          </w:tcPr>
          <w:p w:rsidR="001D0549" w:rsidRPr="009326C1" w:rsidRDefault="001D0549" w:rsidP="00487CB4">
            <w:pPr>
              <w:spacing w:after="0" w:line="280" w:lineRule="exact"/>
            </w:pPr>
            <w:r w:rsidRPr="009326C1">
              <w:rPr>
                <w:i/>
              </w:rPr>
              <w:t>As scenario 5, except:</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Refrigeration system</w:t>
            </w:r>
          </w:p>
        </w:tc>
        <w:tc>
          <w:tcPr>
            <w:tcW w:w="6087" w:type="dxa"/>
          </w:tcPr>
          <w:p w:rsidR="001D0549" w:rsidRPr="009326C1" w:rsidRDefault="001D0549" w:rsidP="00487CB4">
            <w:pPr>
              <w:spacing w:after="0" w:line="280" w:lineRule="exact"/>
            </w:pPr>
            <w:r w:rsidRPr="009326C1">
              <w:t>Low isentropic efficiency (0.5)</w:t>
            </w:r>
          </w:p>
        </w:tc>
      </w:tr>
      <w:tr w:rsidR="001D0549" w:rsidRPr="001D0549" w:rsidTr="009326C1">
        <w:tc>
          <w:tcPr>
            <w:tcW w:w="1384" w:type="dxa"/>
            <w:vMerge w:val="restart"/>
          </w:tcPr>
          <w:p w:rsidR="001D0549" w:rsidRPr="009326C1" w:rsidRDefault="001D0549" w:rsidP="00487CB4">
            <w:pPr>
              <w:spacing w:after="0" w:line="280" w:lineRule="exact"/>
            </w:pPr>
            <w:r w:rsidRPr="009326C1">
              <w:t>Scenario 7</w:t>
            </w:r>
          </w:p>
        </w:tc>
        <w:tc>
          <w:tcPr>
            <w:tcW w:w="8409" w:type="dxa"/>
            <w:gridSpan w:val="2"/>
          </w:tcPr>
          <w:p w:rsidR="001D0549" w:rsidRPr="009326C1" w:rsidRDefault="001D0549" w:rsidP="00487CB4">
            <w:pPr>
              <w:spacing w:after="0" w:line="280" w:lineRule="exact"/>
            </w:pPr>
            <w:r w:rsidRPr="009326C1">
              <w:rPr>
                <w:i/>
              </w:rPr>
              <w:t>As scenario 6, except:</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External walls</w:t>
            </w:r>
          </w:p>
        </w:tc>
        <w:tc>
          <w:tcPr>
            <w:tcW w:w="6087" w:type="dxa"/>
          </w:tcPr>
          <w:p w:rsidR="001D0549" w:rsidRPr="009326C1" w:rsidRDefault="001D0549" w:rsidP="00487CB4">
            <w:pPr>
              <w:spacing w:after="0" w:line="280" w:lineRule="exact"/>
            </w:pPr>
            <w:r w:rsidRPr="009326C1">
              <w:t xml:space="preserve">All walls </w:t>
            </w:r>
            <w:proofErr w:type="gramStart"/>
            <w:r w:rsidRPr="009326C1">
              <w:t>non</w:t>
            </w:r>
            <w:proofErr w:type="gramEnd"/>
            <w:r w:rsidRPr="009326C1">
              <w:t xml:space="preserve"> shaded. All walls dark coloured</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Refrigeration system</w:t>
            </w:r>
          </w:p>
        </w:tc>
        <w:tc>
          <w:tcPr>
            <w:tcW w:w="6087" w:type="dxa"/>
          </w:tcPr>
          <w:p w:rsidR="001D0549" w:rsidRPr="009326C1" w:rsidRDefault="001D0549" w:rsidP="00487CB4">
            <w:pPr>
              <w:spacing w:after="0" w:line="280" w:lineRule="exact"/>
            </w:pPr>
            <w:r w:rsidRPr="009326C1">
              <w:t xml:space="preserve">Air cooled condenser </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Infiltration heat load</w:t>
            </w:r>
          </w:p>
        </w:tc>
        <w:tc>
          <w:tcPr>
            <w:tcW w:w="6087" w:type="dxa"/>
          </w:tcPr>
          <w:p w:rsidR="001D0549" w:rsidRPr="009326C1" w:rsidRDefault="001D0549" w:rsidP="00487CB4">
            <w:pPr>
              <w:spacing w:after="0" w:line="280" w:lineRule="exact"/>
            </w:pPr>
            <w:r w:rsidRPr="009326C1">
              <w:t>Volume of traffic during door opening = low, door seal = poor</w:t>
            </w:r>
          </w:p>
          <w:p w:rsidR="001D0549" w:rsidRPr="009326C1" w:rsidRDefault="001D0549" w:rsidP="00487CB4">
            <w:pPr>
              <w:spacing w:after="0" w:line="280" w:lineRule="exact"/>
            </w:pPr>
            <w:r w:rsidRPr="009326C1">
              <w:t>192 door openings per day for chilled store, 96 for frozen store</w:t>
            </w:r>
          </w:p>
        </w:tc>
      </w:tr>
      <w:tr w:rsidR="001D0549" w:rsidRPr="001D0549" w:rsidTr="009326C1">
        <w:tc>
          <w:tcPr>
            <w:tcW w:w="1384" w:type="dxa"/>
            <w:vMerge w:val="restart"/>
          </w:tcPr>
          <w:p w:rsidR="001D0549" w:rsidRPr="009326C1" w:rsidRDefault="001D0549" w:rsidP="00487CB4">
            <w:pPr>
              <w:spacing w:after="0" w:line="280" w:lineRule="exact"/>
            </w:pPr>
            <w:r w:rsidRPr="009326C1">
              <w:t>Scenario 8</w:t>
            </w:r>
          </w:p>
        </w:tc>
        <w:tc>
          <w:tcPr>
            <w:tcW w:w="8409" w:type="dxa"/>
            <w:gridSpan w:val="2"/>
          </w:tcPr>
          <w:p w:rsidR="001D0549" w:rsidRPr="009326C1" w:rsidRDefault="001D0549" w:rsidP="00487CB4">
            <w:pPr>
              <w:spacing w:after="0" w:line="280" w:lineRule="exact"/>
            </w:pPr>
            <w:r w:rsidRPr="009326C1">
              <w:rPr>
                <w:i/>
              </w:rPr>
              <w:t>As scenario 7, except:</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Wall insulation</w:t>
            </w:r>
          </w:p>
        </w:tc>
        <w:tc>
          <w:tcPr>
            <w:tcW w:w="6087" w:type="dxa"/>
          </w:tcPr>
          <w:p w:rsidR="001D0549" w:rsidRPr="009326C1" w:rsidRDefault="001D0549" w:rsidP="00487CB4">
            <w:pPr>
              <w:spacing w:after="0" w:line="280" w:lineRule="exact"/>
            </w:pPr>
            <w:r w:rsidRPr="009326C1">
              <w:t>Glass/mineral wool</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Evaporator/condenser fan power</w:t>
            </w:r>
          </w:p>
        </w:tc>
        <w:tc>
          <w:tcPr>
            <w:tcW w:w="6087" w:type="dxa"/>
          </w:tcPr>
          <w:p w:rsidR="001D0549" w:rsidRPr="009326C1" w:rsidRDefault="001D0549" w:rsidP="00487CB4">
            <w:pPr>
              <w:spacing w:after="0" w:line="280" w:lineRule="exact"/>
            </w:pPr>
            <w:r w:rsidRPr="009326C1">
              <w:t>Doubled</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Infiltration heat load</w:t>
            </w:r>
          </w:p>
        </w:tc>
        <w:tc>
          <w:tcPr>
            <w:tcW w:w="6087" w:type="dxa"/>
          </w:tcPr>
          <w:p w:rsidR="001D0549" w:rsidRPr="009326C1" w:rsidRDefault="001D0549" w:rsidP="00487CB4">
            <w:pPr>
              <w:spacing w:after="0" w:line="280" w:lineRule="exact"/>
            </w:pPr>
            <w:r w:rsidRPr="009326C1">
              <w:t>384 door openings per day for chilled store, 192 for frozen store</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Lighting heat load</w:t>
            </w:r>
          </w:p>
        </w:tc>
        <w:tc>
          <w:tcPr>
            <w:tcW w:w="6087" w:type="dxa"/>
          </w:tcPr>
          <w:p w:rsidR="001D0549" w:rsidRPr="009326C1" w:rsidRDefault="001D0549" w:rsidP="00487CB4">
            <w:pPr>
              <w:spacing w:after="0" w:line="280" w:lineRule="exact"/>
            </w:pPr>
            <w:r w:rsidRPr="009326C1">
              <w:t>Fluorescent lights, 30 lumens.W</w:t>
            </w:r>
            <w:r w:rsidRPr="009326C1">
              <w:rPr>
                <w:vertAlign w:val="superscript"/>
              </w:rPr>
              <w:t>-1</w:t>
            </w:r>
          </w:p>
        </w:tc>
      </w:tr>
      <w:tr w:rsidR="001D0549" w:rsidRPr="001D0549" w:rsidTr="009326C1">
        <w:tc>
          <w:tcPr>
            <w:tcW w:w="1384" w:type="dxa"/>
            <w:vMerge/>
          </w:tcPr>
          <w:p w:rsidR="001D0549" w:rsidRPr="009326C1" w:rsidRDefault="001D0549" w:rsidP="00487CB4">
            <w:pPr>
              <w:spacing w:after="0" w:line="280" w:lineRule="exact"/>
            </w:pPr>
          </w:p>
        </w:tc>
        <w:tc>
          <w:tcPr>
            <w:tcW w:w="2322" w:type="dxa"/>
          </w:tcPr>
          <w:p w:rsidR="001D0549" w:rsidRPr="009326C1" w:rsidRDefault="001D0549" w:rsidP="00487CB4">
            <w:pPr>
              <w:spacing w:after="0" w:line="280" w:lineRule="exact"/>
            </w:pPr>
            <w:r w:rsidRPr="009326C1">
              <w:t>Product heat load</w:t>
            </w:r>
          </w:p>
        </w:tc>
        <w:tc>
          <w:tcPr>
            <w:tcW w:w="6087" w:type="dxa"/>
          </w:tcPr>
          <w:p w:rsidR="001D0549" w:rsidRPr="009326C1" w:rsidRDefault="001D0549" w:rsidP="00487CB4">
            <w:pPr>
              <w:spacing w:after="0" w:line="280" w:lineRule="exact"/>
            </w:pPr>
            <w:r w:rsidRPr="009326C1">
              <w:t xml:space="preserve">Food loaded at 10°C above store temperature </w:t>
            </w:r>
          </w:p>
        </w:tc>
      </w:tr>
    </w:tbl>
    <w:bookmarkEnd w:id="1"/>
    <w:p w:rsidR="001D0549" w:rsidRDefault="001D0549" w:rsidP="001D0549">
      <w:pPr>
        <w:pStyle w:val="Heading1"/>
      </w:pPr>
      <w:r w:rsidRPr="001D0549">
        <w:lastRenderedPageBreak/>
        <w:t>RESULTS</w:t>
      </w:r>
    </w:p>
    <w:p w:rsidR="001D0549" w:rsidRPr="001D0549" w:rsidRDefault="001D0549" w:rsidP="001D0549">
      <w:pPr>
        <w:pStyle w:val="Heading2"/>
      </w:pPr>
      <w:r w:rsidRPr="001D0549">
        <w:t>Predicted cold store energy performance</w:t>
      </w:r>
    </w:p>
    <w:p w:rsidR="006538E8" w:rsidRPr="001D0549" w:rsidRDefault="001D0549" w:rsidP="001D0549">
      <w:r w:rsidRPr="001D0549">
        <w:t>Predicted and measured energy uses for the 8 scenarios are presented in Figure 1 (chilled stores) and Figure 2 (frozen stores). The</w:t>
      </w:r>
      <w:r w:rsidR="00393A1B">
        <w:t xml:space="preserve"> performance of the</w:t>
      </w:r>
      <w:r w:rsidRPr="001D0549">
        <w:t xml:space="preserve"> low use, efficient refrigeration system modelled in scenario 1 was only achieved by 3.2% of the chilled stores and 2.4% of the frozen stores </w:t>
      </w:r>
      <w:r w:rsidR="00393A1B">
        <w:t xml:space="preserve">in the survey </w:t>
      </w:r>
      <w:r w:rsidRPr="001D0549">
        <w:t xml:space="preserve">(Figure 3). </w:t>
      </w:r>
      <w:r w:rsidR="006538E8">
        <w:rPr>
          <w:lang w:val="en-NZ"/>
        </w:rPr>
        <w:t>In contrast 88.9% of chilled and 96% of frozen stores performed better than that predicted for the high usage, inefficient refrigeration system scenario in scenario 8</w:t>
      </w:r>
      <w:r w:rsidR="006538E8">
        <w:rPr>
          <w:lang w:val="en-NZ"/>
        </w:rPr>
        <w:t>.</w:t>
      </w:r>
    </w:p>
    <w:p w:rsidR="001D0549" w:rsidRPr="001D0549" w:rsidRDefault="001D0549" w:rsidP="001D0549">
      <w:r w:rsidRPr="001D0549">
        <w:t xml:space="preserve">Ambient conditions around the store had greater influence on frozen stores than chilled stores. This was due to the greater temperature difference between ambient and store temperature for freezers. Ambient temperature had a greater impact on energy use when usage of the store was high and this was </w:t>
      </w:r>
      <w:r w:rsidR="00F44365">
        <w:t xml:space="preserve">mainly </w:t>
      </w:r>
      <w:r w:rsidRPr="001D0549">
        <w:t>due to door openings.</w:t>
      </w:r>
    </w:p>
    <w:p w:rsidR="001D0549" w:rsidRDefault="001D0549" w:rsidP="00F06091">
      <w:r w:rsidRPr="001D0549">
        <w:t xml:space="preserve">Although each scenario in the sequence increased the usage and inefficiency of the store certain assumptions had a greater effect than others. In particular efficiency of the refrigeration system (and in particular the use of evaporative condensers) had a major impact on energy use. Product, lighting and fan heat loads </w:t>
      </w:r>
      <w:r w:rsidR="00F44365">
        <w:t xml:space="preserve">also </w:t>
      </w:r>
      <w:r w:rsidRPr="001D0549">
        <w:t xml:space="preserve">had a major impact on energy use. Wall shading and colour, air flow around the store, personnel and fork lift heat load had minimal impacts at the levels modelled. Infiltration load was only of </w:t>
      </w:r>
      <w:r w:rsidR="00253A52" w:rsidRPr="001D0549">
        <w:t>significan</w:t>
      </w:r>
      <w:r w:rsidR="00253A52">
        <w:t>ce</w:t>
      </w:r>
      <w:r w:rsidR="00253A52" w:rsidRPr="001D0549">
        <w:t xml:space="preserve"> </w:t>
      </w:r>
      <w:r w:rsidRPr="001D0549">
        <w:t xml:space="preserve">when the door was not protected and the </w:t>
      </w:r>
      <w:r w:rsidR="00F44365">
        <w:t xml:space="preserve">number of </w:t>
      </w:r>
      <w:r w:rsidR="00F44365" w:rsidRPr="001D0549">
        <w:t>door openings was</w:t>
      </w:r>
      <w:r w:rsidRPr="001D0549">
        <w:t xml:space="preserve"> high. As defrosts were related to moisture ingress into the store the impact of defrosts </w:t>
      </w:r>
      <w:r w:rsidR="00253A52" w:rsidRPr="001D0549">
        <w:t>w</w:t>
      </w:r>
      <w:r w:rsidR="00253A52">
        <w:t>as</w:t>
      </w:r>
      <w:r w:rsidR="00253A52" w:rsidRPr="001D0549">
        <w:t xml:space="preserve"> </w:t>
      </w:r>
      <w:r w:rsidRPr="001D0549">
        <w:t>similar to that of the infiltration loads.</w:t>
      </w:r>
    </w:p>
    <w:p w:rsidR="00487CB4" w:rsidRPr="00F06091" w:rsidRDefault="00487CB4" w:rsidP="00F06091"/>
    <w:tbl>
      <w:tblPr>
        <w:tblW w:w="0" w:type="auto"/>
        <w:tblLook w:val="04A0" w:firstRow="1" w:lastRow="0" w:firstColumn="1" w:lastColumn="0" w:noHBand="0" w:noVBand="1"/>
      </w:tblPr>
      <w:tblGrid>
        <w:gridCol w:w="4815"/>
        <w:gridCol w:w="4817"/>
      </w:tblGrid>
      <w:tr w:rsidR="001D0549" w:rsidRPr="001D0549" w:rsidTr="00C36C5D">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53FE3E80" wp14:editId="5BB09455">
                  <wp:extent cx="2858400" cy="1872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8400" cy="1872000"/>
                          </a:xfrm>
                          <a:prstGeom prst="rect">
                            <a:avLst/>
                          </a:prstGeom>
                          <a:noFill/>
                        </pic:spPr>
                      </pic:pic>
                    </a:graphicData>
                  </a:graphic>
                </wp:inline>
              </w:drawing>
            </w:r>
          </w:p>
        </w:tc>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17AD988E" wp14:editId="79C242DE">
                  <wp:extent cx="2880000" cy="1886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000" cy="1886400"/>
                          </a:xfrm>
                          <a:prstGeom prst="rect">
                            <a:avLst/>
                          </a:prstGeom>
                          <a:noFill/>
                        </pic:spPr>
                      </pic:pic>
                    </a:graphicData>
                  </a:graphic>
                </wp:inline>
              </w:drawing>
            </w:r>
          </w:p>
        </w:tc>
      </w:tr>
      <w:tr w:rsidR="001D0549" w:rsidRPr="001D0549" w:rsidTr="00C36C5D">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2C8C4333" wp14:editId="1BFABB72">
                  <wp:extent cx="2876400" cy="1882800"/>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400" cy="1882800"/>
                          </a:xfrm>
                          <a:prstGeom prst="rect">
                            <a:avLst/>
                          </a:prstGeom>
                          <a:noFill/>
                        </pic:spPr>
                      </pic:pic>
                    </a:graphicData>
                  </a:graphic>
                </wp:inline>
              </w:drawing>
            </w:r>
          </w:p>
        </w:tc>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7CF5B590" wp14:editId="79435B82">
                  <wp:extent cx="2876400" cy="1882800"/>
                  <wp:effectExtent l="0" t="0" r="63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400" cy="1882800"/>
                          </a:xfrm>
                          <a:prstGeom prst="rect">
                            <a:avLst/>
                          </a:prstGeom>
                          <a:noFill/>
                        </pic:spPr>
                      </pic:pic>
                    </a:graphicData>
                  </a:graphic>
                </wp:inline>
              </w:drawing>
            </w:r>
          </w:p>
        </w:tc>
      </w:tr>
    </w:tbl>
    <w:p w:rsidR="00783AB2" w:rsidRPr="001D0549" w:rsidRDefault="001D0549" w:rsidP="00F06091">
      <w:pPr>
        <w:pStyle w:val="BodyText"/>
        <w:jc w:val="center"/>
        <w:rPr>
          <w:rFonts w:ascii="Times New Roman" w:hAnsi="Times New Roman"/>
          <w:noProof/>
          <w:szCs w:val="22"/>
          <w:lang w:eastAsia="en-GB"/>
        </w:rPr>
      </w:pPr>
      <w:r w:rsidRPr="001D0549">
        <w:rPr>
          <w:rFonts w:ascii="Times New Roman" w:hAnsi="Times New Roman"/>
          <w:noProof/>
          <w:szCs w:val="22"/>
          <w:lang w:eastAsia="en-GB"/>
        </w:rPr>
        <w:t xml:space="preserve">Figure 1. </w:t>
      </w:r>
      <w:r w:rsidRPr="001D0549">
        <w:rPr>
          <w:rFonts w:ascii="Times New Roman" w:hAnsi="Times New Roman"/>
        </w:rPr>
        <w:t>Predicted and measured energy compared for the 8 chilled store scenarios (dashed line shows x=y, indicating that points for cold stores above the dashed line use less energy than the model predicted).</w:t>
      </w:r>
    </w:p>
    <w:tbl>
      <w:tblPr>
        <w:tblW w:w="0" w:type="auto"/>
        <w:tblLook w:val="04A0" w:firstRow="1" w:lastRow="0" w:firstColumn="1" w:lastColumn="0" w:noHBand="0" w:noVBand="1"/>
      </w:tblPr>
      <w:tblGrid>
        <w:gridCol w:w="4816"/>
        <w:gridCol w:w="4816"/>
      </w:tblGrid>
      <w:tr w:rsidR="001D0549" w:rsidRPr="001D0549" w:rsidTr="00F06091">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lastRenderedPageBreak/>
              <w:drawing>
                <wp:inline distT="0" distB="0" distL="0" distR="0" wp14:anchorId="27998A88" wp14:editId="48643B4D">
                  <wp:extent cx="2876400" cy="182880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400" cy="1828800"/>
                          </a:xfrm>
                          <a:prstGeom prst="rect">
                            <a:avLst/>
                          </a:prstGeom>
                          <a:noFill/>
                        </pic:spPr>
                      </pic:pic>
                    </a:graphicData>
                  </a:graphic>
                </wp:inline>
              </w:drawing>
            </w:r>
          </w:p>
        </w:tc>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4843E625" wp14:editId="6FE0E5DE">
                  <wp:extent cx="2876400" cy="18288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400" cy="1828800"/>
                          </a:xfrm>
                          <a:prstGeom prst="rect">
                            <a:avLst/>
                          </a:prstGeom>
                          <a:noFill/>
                        </pic:spPr>
                      </pic:pic>
                    </a:graphicData>
                  </a:graphic>
                </wp:inline>
              </w:drawing>
            </w:r>
          </w:p>
        </w:tc>
      </w:tr>
      <w:tr w:rsidR="001D0549" w:rsidRPr="001D0549" w:rsidTr="00F06091">
        <w:trPr>
          <w:trHeight w:val="2725"/>
        </w:trPr>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11ACB753" wp14:editId="2A01969D">
                  <wp:extent cx="2876400" cy="18288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400" cy="1828800"/>
                          </a:xfrm>
                          <a:prstGeom prst="rect">
                            <a:avLst/>
                          </a:prstGeom>
                          <a:noFill/>
                        </pic:spPr>
                      </pic:pic>
                    </a:graphicData>
                  </a:graphic>
                </wp:inline>
              </w:drawing>
            </w:r>
          </w:p>
        </w:tc>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19FBC600" wp14:editId="6AE7B3FB">
                  <wp:extent cx="2876400" cy="18288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400" cy="1828800"/>
                          </a:xfrm>
                          <a:prstGeom prst="rect">
                            <a:avLst/>
                          </a:prstGeom>
                          <a:noFill/>
                        </pic:spPr>
                      </pic:pic>
                    </a:graphicData>
                  </a:graphic>
                </wp:inline>
              </w:drawing>
            </w:r>
          </w:p>
        </w:tc>
      </w:tr>
    </w:tbl>
    <w:p w:rsidR="001D0549" w:rsidRDefault="001D0549" w:rsidP="001D0549">
      <w:pPr>
        <w:pStyle w:val="BodyText"/>
        <w:jc w:val="center"/>
        <w:rPr>
          <w:rFonts w:ascii="Times New Roman" w:hAnsi="Times New Roman"/>
        </w:rPr>
      </w:pPr>
      <w:r w:rsidRPr="001D0549">
        <w:rPr>
          <w:rFonts w:ascii="Times New Roman" w:hAnsi="Times New Roman"/>
          <w:noProof/>
          <w:szCs w:val="22"/>
          <w:lang w:eastAsia="en-GB"/>
        </w:rPr>
        <w:t xml:space="preserve">Figure 2. </w:t>
      </w:r>
      <w:r w:rsidRPr="001D0549">
        <w:rPr>
          <w:rFonts w:ascii="Times New Roman" w:hAnsi="Times New Roman"/>
        </w:rPr>
        <w:t>Predicted and measured energy compared for the 8 frozen store scenarios (dashed line shows x=y, indicating that points for cold stores above the dashed line use less energy than the model predicted).</w:t>
      </w:r>
    </w:p>
    <w:p w:rsidR="00487CB4" w:rsidRPr="001D0549" w:rsidRDefault="00487CB4" w:rsidP="001D0549">
      <w:pPr>
        <w:pStyle w:val="BodyText"/>
        <w:jc w:val="center"/>
        <w:rPr>
          <w:rFonts w:ascii="Times New Roman" w:hAnsi="Times New Roman"/>
          <w:noProof/>
          <w:szCs w:val="22"/>
          <w:lang w:eastAsia="en-GB"/>
        </w:rPr>
      </w:pPr>
    </w:p>
    <w:p w:rsidR="001D0549" w:rsidRPr="001D0549" w:rsidRDefault="001D0549" w:rsidP="001D0549">
      <w:pPr>
        <w:pStyle w:val="BodyText"/>
        <w:jc w:val="center"/>
        <w:rPr>
          <w:rFonts w:ascii="Times New Roman" w:hAnsi="Times New Roman"/>
          <w:szCs w:val="22"/>
        </w:rPr>
      </w:pPr>
      <w:r w:rsidRPr="001D0549">
        <w:rPr>
          <w:rFonts w:ascii="Times New Roman" w:hAnsi="Times New Roman"/>
          <w:noProof/>
          <w:szCs w:val="22"/>
          <w:lang w:eastAsia="en-GB"/>
        </w:rPr>
        <w:drawing>
          <wp:inline distT="0" distB="0" distL="0" distR="0" wp14:anchorId="312EC641" wp14:editId="6A786FA5">
            <wp:extent cx="4219575" cy="2489835"/>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9575" cy="2489835"/>
                    </a:xfrm>
                    <a:prstGeom prst="rect">
                      <a:avLst/>
                    </a:prstGeom>
                    <a:noFill/>
                  </pic:spPr>
                </pic:pic>
              </a:graphicData>
            </a:graphic>
          </wp:inline>
        </w:drawing>
      </w:r>
    </w:p>
    <w:p w:rsidR="001D0549" w:rsidRPr="001D0549" w:rsidRDefault="001D0549" w:rsidP="001D0549">
      <w:pPr>
        <w:pStyle w:val="BodyText"/>
        <w:jc w:val="center"/>
        <w:rPr>
          <w:rFonts w:ascii="Times New Roman" w:hAnsi="Times New Roman"/>
          <w:noProof/>
          <w:szCs w:val="22"/>
          <w:lang w:eastAsia="en-GB"/>
        </w:rPr>
      </w:pPr>
      <w:r w:rsidRPr="001D0549">
        <w:rPr>
          <w:rFonts w:ascii="Times New Roman" w:hAnsi="Times New Roman"/>
          <w:noProof/>
          <w:szCs w:val="22"/>
          <w:lang w:eastAsia="en-GB"/>
        </w:rPr>
        <w:t xml:space="preserve">Figure 3. </w:t>
      </w:r>
      <w:proofErr w:type="gramStart"/>
      <w:r w:rsidRPr="001D0549">
        <w:rPr>
          <w:rFonts w:ascii="Times New Roman" w:hAnsi="Times New Roman"/>
        </w:rPr>
        <w:t>Percentage of stores achieving equal to, or less than, the predicted energy consumption in each modelled scenario.</w:t>
      </w:r>
      <w:proofErr w:type="gramEnd"/>
    </w:p>
    <w:p w:rsidR="001D0549" w:rsidRPr="001D0549" w:rsidRDefault="001D0549" w:rsidP="001D0549"/>
    <w:p w:rsidR="001D0549" w:rsidRPr="001D0549" w:rsidRDefault="001D0549" w:rsidP="001D0549">
      <w:pPr>
        <w:pStyle w:val="Heading2"/>
      </w:pPr>
      <w:r w:rsidRPr="001D0549">
        <w:t>Effect of store volume</w:t>
      </w:r>
    </w:p>
    <w:p w:rsidR="001D0549" w:rsidRPr="001D0549" w:rsidRDefault="001D0549" w:rsidP="001D0549">
      <w:r w:rsidRPr="001D0549">
        <w:t>The stores that used more energy than predicted were investigated. Although detailed information on all stores was not available it was noticeable that for both chilled and frozen stores</w:t>
      </w:r>
      <w:r w:rsidR="00C42917">
        <w:t>,</w:t>
      </w:r>
      <w:r w:rsidRPr="001D0549">
        <w:t xml:space="preserve"> smaller stores tended to use more energy than predicted. Figure 4 shows the actual energy used by </w:t>
      </w:r>
      <w:r w:rsidR="00F44365">
        <w:t xml:space="preserve">chilled and frozen </w:t>
      </w:r>
      <w:r w:rsidRPr="001D0549">
        <w:t>stores compared to the predicted energy use for scenario 8. In both cases the stores that used more energy than the model predicted were all less than 100,000 m</w:t>
      </w:r>
      <w:r w:rsidRPr="001D0549">
        <w:rPr>
          <w:vertAlign w:val="superscript"/>
        </w:rPr>
        <w:t>3</w:t>
      </w:r>
      <w:r w:rsidRPr="001D0549">
        <w:t>, with most being less than 25,000 m</w:t>
      </w:r>
      <w:r w:rsidRPr="001D0549">
        <w:rPr>
          <w:vertAlign w:val="superscript"/>
        </w:rPr>
        <w:t>3</w:t>
      </w:r>
      <w:r w:rsidRPr="001D0549">
        <w:t xml:space="preserve">. This might indicate that </w:t>
      </w:r>
      <w:r w:rsidRPr="001D0549">
        <w:lastRenderedPageBreak/>
        <w:t>smaller stores have less efficient components and the impact of larger surface are</w:t>
      </w:r>
      <w:r w:rsidR="00F44365">
        <w:t>a</w:t>
      </w:r>
      <w:r w:rsidRPr="001D0549">
        <w:t xml:space="preserve"> to volume may have an influence.</w:t>
      </w:r>
    </w:p>
    <w:p w:rsidR="001D0549" w:rsidRPr="001D0549" w:rsidRDefault="001D0549" w:rsidP="001D0549"/>
    <w:tbl>
      <w:tblPr>
        <w:tblW w:w="0" w:type="auto"/>
        <w:tblLook w:val="04A0" w:firstRow="1" w:lastRow="0" w:firstColumn="1" w:lastColumn="0" w:noHBand="0" w:noVBand="1"/>
      </w:tblPr>
      <w:tblGrid>
        <w:gridCol w:w="4818"/>
        <w:gridCol w:w="4814"/>
      </w:tblGrid>
      <w:tr w:rsidR="001D0549" w:rsidRPr="001D0549" w:rsidTr="00C36C5D">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29600A73" wp14:editId="647D9AC4">
                  <wp:extent cx="3298190" cy="2178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r="1703"/>
                          <a:stretch>
                            <a:fillRect/>
                          </a:stretch>
                        </pic:blipFill>
                        <pic:spPr bwMode="auto">
                          <a:xfrm>
                            <a:off x="0" y="0"/>
                            <a:ext cx="3298190" cy="2178685"/>
                          </a:xfrm>
                          <a:prstGeom prst="rect">
                            <a:avLst/>
                          </a:prstGeom>
                          <a:noFill/>
                        </pic:spPr>
                      </pic:pic>
                    </a:graphicData>
                  </a:graphic>
                </wp:inline>
              </w:drawing>
            </w:r>
          </w:p>
        </w:tc>
        <w:tc>
          <w:tcPr>
            <w:tcW w:w="4924" w:type="dxa"/>
            <w:tcMar>
              <w:left w:w="0" w:type="dxa"/>
              <w:right w:w="0" w:type="dxa"/>
            </w:tcMar>
          </w:tcPr>
          <w:p w:rsidR="001D0549" w:rsidRPr="001D0549" w:rsidRDefault="001D0549" w:rsidP="00C36C5D">
            <w:pPr>
              <w:pStyle w:val="BodyText"/>
              <w:jc w:val="center"/>
              <w:rPr>
                <w:rFonts w:ascii="Times New Roman" w:hAnsi="Times New Roman"/>
                <w:noProof/>
                <w:sz w:val="22"/>
                <w:szCs w:val="22"/>
                <w:lang w:eastAsia="en-GB"/>
              </w:rPr>
            </w:pPr>
            <w:r w:rsidRPr="001D0549">
              <w:rPr>
                <w:rFonts w:ascii="Times New Roman" w:hAnsi="Times New Roman"/>
                <w:noProof/>
                <w:sz w:val="22"/>
                <w:szCs w:val="22"/>
                <w:lang w:eastAsia="en-GB"/>
              </w:rPr>
              <w:drawing>
                <wp:inline distT="0" distB="0" distL="0" distR="0" wp14:anchorId="41A74BDC" wp14:editId="4A161E06">
                  <wp:extent cx="3288665" cy="21786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r="1987"/>
                          <a:stretch>
                            <a:fillRect/>
                          </a:stretch>
                        </pic:blipFill>
                        <pic:spPr bwMode="auto">
                          <a:xfrm>
                            <a:off x="0" y="0"/>
                            <a:ext cx="3288665" cy="2178685"/>
                          </a:xfrm>
                          <a:prstGeom prst="rect">
                            <a:avLst/>
                          </a:prstGeom>
                          <a:noFill/>
                        </pic:spPr>
                      </pic:pic>
                    </a:graphicData>
                  </a:graphic>
                </wp:inline>
              </w:drawing>
            </w:r>
          </w:p>
        </w:tc>
      </w:tr>
    </w:tbl>
    <w:p w:rsidR="001D0549" w:rsidRDefault="001D0549" w:rsidP="001D0549">
      <w:pPr>
        <w:pStyle w:val="BodyText"/>
        <w:jc w:val="center"/>
        <w:rPr>
          <w:rFonts w:ascii="Times New Roman" w:hAnsi="Times New Roman"/>
        </w:rPr>
      </w:pPr>
      <w:r w:rsidRPr="001D0549">
        <w:rPr>
          <w:rFonts w:ascii="Times New Roman" w:hAnsi="Times New Roman"/>
          <w:noProof/>
          <w:szCs w:val="22"/>
          <w:lang w:eastAsia="en-GB"/>
        </w:rPr>
        <w:t xml:space="preserve">Figure 4. </w:t>
      </w:r>
      <w:r w:rsidRPr="001D0549">
        <w:rPr>
          <w:rFonts w:ascii="Times New Roman" w:hAnsi="Times New Roman"/>
        </w:rPr>
        <w:t>Volume of cold stores compared to percentage of actual energy consumption predicted by the model for scenario 8 (a value of less than 100% on the y axis denotes that the store used more energy than was predicted in scenario 8).</w:t>
      </w:r>
    </w:p>
    <w:p w:rsidR="001D0549" w:rsidRPr="001D0549" w:rsidRDefault="001D0549" w:rsidP="001D0549">
      <w:pPr>
        <w:pStyle w:val="Heading1"/>
      </w:pPr>
      <w:r w:rsidRPr="001D0549">
        <w:t>DISCUSSION</w:t>
      </w:r>
    </w:p>
    <w:p w:rsidR="001D0549" w:rsidRPr="001D0549" w:rsidRDefault="001D0549" w:rsidP="001D0549">
      <w:r w:rsidRPr="001D0549">
        <w:t>The energy consumption</w:t>
      </w:r>
      <w:r w:rsidR="00C42917">
        <w:t xml:space="preserve"> data for</w:t>
      </w:r>
      <w:r w:rsidRPr="001D0549">
        <w:t xml:space="preserve"> cold stores collected in the survey showed that there was large variability in the</w:t>
      </w:r>
      <w:r w:rsidR="00F44365">
        <w:t>ir energy use</w:t>
      </w:r>
      <w:r w:rsidRPr="001D0549">
        <w:t>. Work to audit cold stores</w:t>
      </w:r>
      <w:r>
        <w:t xml:space="preserve"> </w:t>
      </w:r>
      <w:r>
        <w:rPr>
          <w:noProof/>
        </w:rPr>
        <w:t>Evans, et al.</w:t>
      </w:r>
      <w:r>
        <w:t xml:space="preserve"> </w:t>
      </w:r>
      <w:sdt>
        <w:sdtPr>
          <w:id w:val="-618452440"/>
          <w:citation/>
        </w:sdtPr>
        <w:sdtEndPr/>
        <w:sdtContent>
          <w:r>
            <w:fldChar w:fldCharType="begin"/>
          </w:r>
          <w:r w:rsidR="00AF0312">
            <w:instrText xml:space="preserve">CITATION 31E14 \n  \t  \l 2057 </w:instrText>
          </w:r>
          <w:r>
            <w:fldChar w:fldCharType="separate"/>
          </w:r>
          <w:r w:rsidR="00A14D06">
            <w:rPr>
              <w:noProof/>
            </w:rPr>
            <w:t>(2014)</w:t>
          </w:r>
          <w:r>
            <w:fldChar w:fldCharType="end"/>
          </w:r>
        </w:sdtContent>
      </w:sdt>
      <w:r>
        <w:t xml:space="preserve"> </w:t>
      </w:r>
      <w:r w:rsidRPr="001D0549">
        <w:t>and understand why energy consumption varie</w:t>
      </w:r>
      <w:r w:rsidR="00F44365">
        <w:t>d</w:t>
      </w:r>
      <w:r w:rsidRPr="001D0549">
        <w:t xml:space="preserve"> so considerably between stores </w:t>
      </w:r>
      <w:r w:rsidR="00F44365">
        <w:t>demonstrated</w:t>
      </w:r>
      <w:r w:rsidRPr="001D0549">
        <w:t xml:space="preserve"> that there was no single contributing factor that could reduce energy consumption. Therefore it is difficult to identify one or a small number of </w:t>
      </w:r>
      <w:r w:rsidR="00F44365">
        <w:t>factors that influence</w:t>
      </w:r>
      <w:r w:rsidRPr="001D0549">
        <w:t xml:space="preserve"> energy use. The mathematical model was used to attempt to understand some of this variability. </w:t>
      </w:r>
    </w:p>
    <w:p w:rsidR="001D0549" w:rsidRPr="001D0549" w:rsidRDefault="001D0549" w:rsidP="001D0549">
      <w:r w:rsidRPr="001D0549">
        <w:t xml:space="preserve">Although the scenarios modelled are not necessarily exact in terms of real life usage, they do show (from scenario 1 to 8) the impact of increasing usage and reducing efficiency of the refrigeration system. The model </w:t>
      </w:r>
      <w:r w:rsidR="00C42917" w:rsidRPr="001D0549">
        <w:t>require</w:t>
      </w:r>
      <w:r w:rsidR="00C42917">
        <w:t>s</w:t>
      </w:r>
      <w:r w:rsidR="00C42917" w:rsidRPr="001D0549">
        <w:t xml:space="preserve"> </w:t>
      </w:r>
      <w:r w:rsidRPr="001D0549">
        <w:t>further detailed validation before the results can be fully claimed to be accurate but within the scenario</w:t>
      </w:r>
      <w:r w:rsidR="00C42917">
        <w:t>s</w:t>
      </w:r>
      <w:r w:rsidRPr="001D0549">
        <w:t xml:space="preserve"> modelled</w:t>
      </w:r>
      <w:r w:rsidR="00F44365">
        <w:t>,</w:t>
      </w:r>
      <w:r w:rsidRPr="001D0549">
        <w:t xml:space="preserve"> and the real life data from the survey</w:t>
      </w:r>
      <w:r w:rsidR="00C42917">
        <w:t>,</w:t>
      </w:r>
      <w:r w:rsidRPr="001D0549">
        <w:t xml:space="preserve"> the range in predications seem realistic. </w:t>
      </w:r>
    </w:p>
    <w:p w:rsidR="001D0549" w:rsidRPr="001D0549" w:rsidRDefault="001D0549" w:rsidP="001D0549">
      <w:r w:rsidRPr="001D0549">
        <w:t>If with further work the model can be validated</w:t>
      </w:r>
      <w:r w:rsidR="00F44365">
        <w:t xml:space="preserve"> it could then be used to model</w:t>
      </w:r>
      <w:r w:rsidRPr="001D0549">
        <w:t xml:space="preserve"> specific cold stores and to predict a range in energy usage that could be used to create an energy label or benchmark for cold stores. This would seem to particularly relevant for smaller stores where energy use was considerably higher in many cases than the worst case scenario modelled (scenario 8).</w:t>
      </w:r>
    </w:p>
    <w:p w:rsidR="001D0549" w:rsidRPr="001D0549" w:rsidRDefault="001D0549" w:rsidP="001D0549">
      <w:pPr>
        <w:pStyle w:val="Heading1"/>
      </w:pPr>
      <w:bookmarkStart w:id="3" w:name="_Ref248508291"/>
      <w:r w:rsidRPr="001D0549">
        <w:t>CONCLUSION</w:t>
      </w:r>
    </w:p>
    <w:p w:rsidR="001D0549" w:rsidRPr="001D0549" w:rsidRDefault="001D0549" w:rsidP="001D0549">
      <w:r w:rsidRPr="001D0549">
        <w:t>Much of the variation in cold store performance can be explained by the store usage, the efficiency of the refrigeration system and ambient conditions surrounding the store. The mathematical model provided a better understanding of the variations in cold store energy consumption. The model was shown to be a useful tool to estimate energy use of a cold store and provided a mechanism to generate metrics that can be used to assess efficiency of a cold store. With further detailed validation the model could be used to benchmark cold stores and identify stores where significant energy savings could be achieved.</w:t>
      </w:r>
    </w:p>
    <w:p w:rsidR="001D0549" w:rsidRPr="001D0549" w:rsidRDefault="001D0549" w:rsidP="001D0549">
      <w:pPr>
        <w:pStyle w:val="Heading1"/>
      </w:pPr>
      <w:r w:rsidRPr="001D0549">
        <w:t>AKNOWLEDGEMENT</w:t>
      </w:r>
    </w:p>
    <w:p w:rsidR="00F06091" w:rsidRDefault="001D0549" w:rsidP="001D0549">
      <w:r w:rsidRPr="001D0549">
        <w:t xml:space="preserve">The authors would like to thank EACI (Executive Agency for Competitiveness and Innovation) for funding this work and in particular the project officer, Christophe </w:t>
      </w:r>
      <w:proofErr w:type="spellStart"/>
      <w:r w:rsidRPr="001D0549">
        <w:t>Coudun</w:t>
      </w:r>
      <w:proofErr w:type="spellEnd"/>
      <w:r w:rsidRPr="001D0549">
        <w:t xml:space="preserve"> for his help in managing the project.</w:t>
      </w:r>
      <w:bookmarkEnd w:id="3"/>
    </w:p>
    <w:p w:rsidR="00F06091" w:rsidRDefault="00F06091" w:rsidP="00F06091">
      <w:pPr>
        <w:pStyle w:val="Heading1"/>
      </w:pPr>
      <w:r w:rsidRPr="001D0549">
        <w:lastRenderedPageBreak/>
        <w:t>REFERENCES</w:t>
      </w:r>
      <w:bookmarkStart w:id="4" w:name="_Ref48463241"/>
      <w:bookmarkEnd w:id="4"/>
    </w:p>
    <w:p w:rsidR="00CA1F4D" w:rsidRDefault="00A14D06" w:rsidP="00CA1F4D">
      <w:pPr>
        <w:pStyle w:val="Bibliography"/>
        <w:ind w:left="426" w:hanging="426"/>
        <w:rPr>
          <w:noProof/>
        </w:rPr>
      </w:pPr>
      <w:r w:rsidRPr="00A14D06">
        <w:rPr>
          <w:sz w:val="24"/>
        </w:rPr>
        <w:t>1</w:t>
      </w:r>
      <w:r>
        <w:rPr>
          <w:b/>
          <w:sz w:val="28"/>
        </w:rPr>
        <w:tab/>
      </w:r>
      <w:r w:rsidR="00F06091" w:rsidRPr="00F06091">
        <w:rPr>
          <w:b/>
          <w:sz w:val="28"/>
        </w:rPr>
        <w:fldChar w:fldCharType="begin"/>
      </w:r>
      <w:r w:rsidR="00F06091" w:rsidRPr="00F06091">
        <w:instrText xml:space="preserve"> BIBLIOGRAPHY  \l 2057 </w:instrText>
      </w:r>
      <w:r w:rsidR="00F06091" w:rsidRPr="00F06091">
        <w:rPr>
          <w:b/>
          <w:sz w:val="28"/>
        </w:rPr>
        <w:fldChar w:fldCharType="separate"/>
      </w:r>
      <w:r w:rsidR="00CA1F4D">
        <w:rPr>
          <w:noProof/>
        </w:rPr>
        <w:t xml:space="preserve">BELF, Bundesministerium für Ernährung, Landwirtsch. </w:t>
      </w:r>
      <w:r w:rsidR="00CA1F4D">
        <w:rPr>
          <w:i/>
          <w:iCs/>
          <w:noProof/>
        </w:rPr>
        <w:t>Energie und Ernährungswirtschaft. Teil I: Bericht über die Energiesituation im Ernährungsgewerbe, Teil II Energieverbrauch für die Herstellung ausgewählter Lebensmittel.</w:t>
      </w:r>
      <w:r w:rsidR="00CA1F4D">
        <w:rPr>
          <w:noProof/>
        </w:rPr>
        <w:t xml:space="preserve"> Reihe A: Angewandte Wissenschaft, Heft 285. Münster-Hiltrup, Landwirtschaftsverlag Gm, 1983.</w:t>
      </w:r>
    </w:p>
    <w:p w:rsidR="00CA1F4D" w:rsidRDefault="00CA1F4D" w:rsidP="00CA1F4D">
      <w:pPr>
        <w:pStyle w:val="Bibliography"/>
        <w:ind w:left="426" w:hanging="426"/>
        <w:rPr>
          <w:noProof/>
        </w:rPr>
      </w:pPr>
      <w:r>
        <w:rPr>
          <w:noProof/>
        </w:rPr>
        <w:t xml:space="preserve">2 </w:t>
      </w:r>
      <w:r>
        <w:rPr>
          <w:noProof/>
        </w:rPr>
        <w:tab/>
        <w:t xml:space="preserve">Bosma, J. “Inventory study of the energy conservation potential in cold storage insulations in the Netherlands.” </w:t>
      </w:r>
      <w:r>
        <w:rPr>
          <w:i/>
          <w:iCs/>
          <w:noProof/>
        </w:rPr>
        <w:t>Proc. 19th International Congress of Refrigeration, vol. II, 382-391.</w:t>
      </w:r>
      <w:r>
        <w:rPr>
          <w:noProof/>
        </w:rPr>
        <w:t xml:space="preserve"> 1995.</w:t>
      </w:r>
    </w:p>
    <w:p w:rsidR="00CA1F4D" w:rsidRDefault="00CA1F4D" w:rsidP="00CA1F4D">
      <w:pPr>
        <w:pStyle w:val="Bibliography"/>
        <w:ind w:left="426" w:hanging="426"/>
        <w:rPr>
          <w:noProof/>
        </w:rPr>
      </w:pPr>
      <w:r>
        <w:rPr>
          <w:noProof/>
        </w:rPr>
        <w:t>3</w:t>
      </w:r>
      <w:r>
        <w:rPr>
          <w:noProof/>
        </w:rPr>
        <w:tab/>
        <w:t xml:space="preserve">Carlsson-Kanyama, A, and M Faist. </w:t>
      </w:r>
      <w:r>
        <w:rPr>
          <w:i/>
          <w:iCs/>
          <w:noProof/>
        </w:rPr>
        <w:t>Energy Use in the Food Sector: A data survey.</w:t>
      </w:r>
      <w:r>
        <w:rPr>
          <w:noProof/>
        </w:rPr>
        <w:t xml:space="preserve"> Environmental Strategies Research Group / Swiss Federal Institute of Technology, 2000.</w:t>
      </w:r>
    </w:p>
    <w:p w:rsidR="00CA1F4D" w:rsidRDefault="00CA1F4D" w:rsidP="00CA1F4D">
      <w:pPr>
        <w:pStyle w:val="Bibliography"/>
        <w:ind w:left="426" w:hanging="426"/>
        <w:rPr>
          <w:noProof/>
        </w:rPr>
      </w:pPr>
      <w:r>
        <w:rPr>
          <w:noProof/>
        </w:rPr>
        <w:t>4</w:t>
      </w:r>
      <w:r>
        <w:rPr>
          <w:noProof/>
        </w:rPr>
        <w:tab/>
        <w:t xml:space="preserve">Cleland, A C. “Polynomial curve-fits for refrigerant thermodynamic properties: extension to include R134a.” </w:t>
      </w:r>
      <w:r>
        <w:rPr>
          <w:i/>
          <w:iCs/>
          <w:noProof/>
        </w:rPr>
        <w:t>Rev. Int. Froid</w:t>
      </w:r>
      <w:r>
        <w:rPr>
          <w:noProof/>
        </w:rPr>
        <w:t>, 1994: 17(4):245-249.</w:t>
      </w:r>
    </w:p>
    <w:p w:rsidR="00CA1F4D" w:rsidRDefault="00CA1F4D" w:rsidP="00CA1F4D">
      <w:pPr>
        <w:pStyle w:val="Bibliography"/>
        <w:ind w:left="426" w:hanging="426"/>
        <w:rPr>
          <w:noProof/>
        </w:rPr>
      </w:pPr>
      <w:r>
        <w:rPr>
          <w:noProof/>
        </w:rPr>
        <w:t>5</w:t>
      </w:r>
      <w:r>
        <w:rPr>
          <w:noProof/>
        </w:rPr>
        <w:tab/>
        <w:t xml:space="preserve">Duiven, J E, and P Binard. “Refrigerated storage: new developments.” </w:t>
      </w:r>
      <w:r>
        <w:rPr>
          <w:i/>
          <w:iCs/>
          <w:noProof/>
        </w:rPr>
        <w:t>Bulletin of the IIR</w:t>
      </w:r>
      <w:r>
        <w:rPr>
          <w:noProof/>
        </w:rPr>
        <w:t xml:space="preserve"> No. 2002-2 (2002).</w:t>
      </w:r>
    </w:p>
    <w:p w:rsidR="00CA1F4D" w:rsidRDefault="00CA1F4D" w:rsidP="00CA1F4D">
      <w:pPr>
        <w:pStyle w:val="Bibliography"/>
        <w:ind w:left="426" w:hanging="426"/>
        <w:rPr>
          <w:noProof/>
        </w:rPr>
      </w:pPr>
      <w:r>
        <w:rPr>
          <w:noProof/>
        </w:rPr>
        <w:t>6</w:t>
      </w:r>
      <w:r>
        <w:rPr>
          <w:noProof/>
        </w:rPr>
        <w:tab/>
        <w:t xml:space="preserve">Elleson, J S, and S W Freund. </w:t>
      </w:r>
      <w:r>
        <w:rPr>
          <w:i/>
          <w:iCs/>
          <w:noProof/>
        </w:rPr>
        <w:t>Benchmarking the Energy Performance of Industrial Refrigeration Systems.</w:t>
      </w:r>
      <w:r>
        <w:rPr>
          <w:noProof/>
        </w:rPr>
        <w:t xml:space="preserve"> Interim Draft Report, Industrial Refrigeration Consortium, College of Engineering, University of Wisconsin- Madison, US, 2004.</w:t>
      </w:r>
    </w:p>
    <w:p w:rsidR="00CA1F4D" w:rsidRDefault="00CA1F4D" w:rsidP="00CA1F4D">
      <w:pPr>
        <w:pStyle w:val="Bibliography"/>
        <w:ind w:left="426" w:hanging="426"/>
        <w:rPr>
          <w:noProof/>
        </w:rPr>
      </w:pPr>
      <w:r>
        <w:rPr>
          <w:noProof/>
        </w:rPr>
        <w:t>7</w:t>
      </w:r>
      <w:r>
        <w:rPr>
          <w:noProof/>
        </w:rPr>
        <w:tab/>
        <w:t xml:space="preserve">ETSU. </w:t>
      </w:r>
      <w:r>
        <w:rPr>
          <w:i/>
          <w:iCs/>
          <w:noProof/>
        </w:rPr>
        <w:t>Energy Consumption Guide 37: Cold storage sector. ,.</w:t>
      </w:r>
      <w:r>
        <w:rPr>
          <w:noProof/>
        </w:rPr>
        <w:t xml:space="preserve"> UK: Energy Efficiency office, Department of the Environment, 1994.</w:t>
      </w:r>
    </w:p>
    <w:p w:rsidR="00CA1F4D" w:rsidRDefault="00CA1F4D" w:rsidP="00CA1F4D">
      <w:pPr>
        <w:pStyle w:val="Bibliography"/>
        <w:ind w:left="426" w:hanging="426"/>
        <w:rPr>
          <w:noProof/>
        </w:rPr>
      </w:pPr>
      <w:r>
        <w:rPr>
          <w:noProof/>
        </w:rPr>
        <w:t>8</w:t>
      </w:r>
      <w:r>
        <w:rPr>
          <w:noProof/>
        </w:rPr>
        <w:tab/>
        <w:t xml:space="preserve">Evans, J A, and A J Gigiel. “Reducing energy consumption in cold storage rooms.” </w:t>
      </w:r>
      <w:r>
        <w:rPr>
          <w:i/>
          <w:iCs/>
          <w:noProof/>
        </w:rPr>
        <w:t>IIR ICCC.</w:t>
      </w:r>
      <w:r>
        <w:rPr>
          <w:noProof/>
        </w:rPr>
        <w:t xml:space="preserve"> Cambridge, 2010.</w:t>
      </w:r>
    </w:p>
    <w:p w:rsidR="00CA1F4D" w:rsidRDefault="00CA1F4D" w:rsidP="00CA1F4D">
      <w:pPr>
        <w:pStyle w:val="Bibliography"/>
        <w:ind w:left="426" w:hanging="426"/>
        <w:rPr>
          <w:noProof/>
        </w:rPr>
      </w:pPr>
      <w:r>
        <w:rPr>
          <w:noProof/>
        </w:rPr>
        <w:t>9</w:t>
      </w:r>
      <w:r>
        <w:rPr>
          <w:noProof/>
        </w:rPr>
        <w:tab/>
        <w:t xml:space="preserve">Evans, J A, and A J Gigiel. “Reducing the energy consumption in cold stores.” </w:t>
      </w:r>
      <w:r>
        <w:rPr>
          <w:i/>
          <w:iCs/>
          <w:noProof/>
        </w:rPr>
        <w:t>The 22nd IIR International Congress of Refrigeration.</w:t>
      </w:r>
      <w:r>
        <w:rPr>
          <w:noProof/>
        </w:rPr>
        <w:t xml:space="preserve"> Beijing, 2007.</w:t>
      </w:r>
    </w:p>
    <w:p w:rsidR="00CA1F4D" w:rsidRDefault="00CA1F4D" w:rsidP="00CA1F4D">
      <w:pPr>
        <w:pStyle w:val="Bibliography"/>
        <w:ind w:left="426" w:hanging="426"/>
        <w:rPr>
          <w:noProof/>
        </w:rPr>
      </w:pPr>
      <w:r>
        <w:rPr>
          <w:noProof/>
        </w:rPr>
        <w:t>10</w:t>
      </w:r>
      <w:r>
        <w:rPr>
          <w:noProof/>
        </w:rPr>
        <w:tab/>
        <w:t xml:space="preserve">Evans, J A, et al. “Assessment of methods to reduce the energy consumption of food cold stores.” </w:t>
      </w:r>
      <w:r>
        <w:rPr>
          <w:i/>
          <w:iCs/>
          <w:noProof/>
        </w:rPr>
        <w:t>Applied Thermal Engineering</w:t>
      </w:r>
      <w:r>
        <w:rPr>
          <w:noProof/>
        </w:rPr>
        <w:t xml:space="preserve"> 62 (2014): 697-705.</w:t>
      </w:r>
    </w:p>
    <w:p w:rsidR="00CA1F4D" w:rsidRDefault="00CA1F4D" w:rsidP="00CA1F4D">
      <w:pPr>
        <w:pStyle w:val="Bibliography"/>
        <w:ind w:left="426" w:hanging="426"/>
        <w:rPr>
          <w:noProof/>
        </w:rPr>
      </w:pPr>
      <w:r>
        <w:rPr>
          <w:noProof/>
        </w:rPr>
        <w:t>11</w:t>
      </w:r>
      <w:r>
        <w:rPr>
          <w:noProof/>
        </w:rPr>
        <w:tab/>
        <w:t>Foster, A, C Zilio, C, M Corradi, L Reinhold, and J Evans. “Freely available cold store energy models.” Paris: 2nd IIR Conference on Sustainability and the Cold Chain, 2013.</w:t>
      </w:r>
    </w:p>
    <w:p w:rsidR="00CA1F4D" w:rsidRDefault="00CA1F4D" w:rsidP="00CA1F4D">
      <w:pPr>
        <w:pStyle w:val="Bibliography"/>
        <w:ind w:left="426" w:hanging="426"/>
        <w:rPr>
          <w:noProof/>
        </w:rPr>
      </w:pPr>
      <w:r>
        <w:rPr>
          <w:noProof/>
        </w:rPr>
        <w:t>13</w:t>
      </w:r>
      <w:r>
        <w:rPr>
          <w:noProof/>
        </w:rPr>
        <w:tab/>
        <w:t xml:space="preserve">LLC, Canty and Associates. </w:t>
      </w:r>
      <w:r>
        <w:rPr>
          <w:i/>
          <w:iCs/>
          <w:noProof/>
        </w:rPr>
        <w:t>weatherbase.</w:t>
      </w:r>
      <w:r>
        <w:rPr>
          <w:noProof/>
        </w:rPr>
        <w:t xml:space="preserve"> 2013. http://www.weatherbase.com/ (accessed July 16, 2013).</w:t>
      </w:r>
    </w:p>
    <w:p w:rsidR="00CA1F4D" w:rsidRDefault="00CA1F4D" w:rsidP="00CA1F4D">
      <w:pPr>
        <w:pStyle w:val="Bibliography"/>
        <w:ind w:left="426" w:hanging="426"/>
        <w:rPr>
          <w:noProof/>
        </w:rPr>
      </w:pPr>
      <w:r>
        <w:rPr>
          <w:noProof/>
        </w:rPr>
        <w:t>14</w:t>
      </w:r>
      <w:r>
        <w:rPr>
          <w:noProof/>
        </w:rPr>
        <w:tab/>
        <w:t>Mudgal, S, B Tinetti, J Bain, R Cervantes, and A de Prado Trigo. “Preparatory study for Eco-design requirements for EuPs, Lot 1. Task 2: Economic and market analysis.” 2011.</w:t>
      </w:r>
    </w:p>
    <w:p w:rsidR="00CA1F4D" w:rsidRDefault="00CA1F4D" w:rsidP="00CA1F4D">
      <w:pPr>
        <w:pStyle w:val="Bibliography"/>
        <w:ind w:left="426" w:hanging="426"/>
        <w:rPr>
          <w:noProof/>
        </w:rPr>
      </w:pPr>
      <w:r>
        <w:rPr>
          <w:noProof/>
        </w:rPr>
        <w:t>15</w:t>
      </w:r>
      <w:r>
        <w:rPr>
          <w:noProof/>
        </w:rPr>
        <w:tab/>
        <w:t xml:space="preserve">Singh, R P. </w:t>
      </w:r>
      <w:r>
        <w:rPr>
          <w:i/>
          <w:iCs/>
          <w:noProof/>
        </w:rPr>
        <w:t>Benchmarking study of the refrigerated warehousing sector in California.</w:t>
      </w:r>
      <w:r>
        <w:rPr>
          <w:noProof/>
        </w:rPr>
        <w:t xml:space="preserve"> Public Interest Energy Research Program, California Energy Commission, 2006.</w:t>
      </w:r>
    </w:p>
    <w:p w:rsidR="00CA1F4D" w:rsidRDefault="00CA1F4D" w:rsidP="00CA1F4D">
      <w:pPr>
        <w:pStyle w:val="Bibliography"/>
        <w:ind w:left="426" w:hanging="426"/>
        <w:rPr>
          <w:noProof/>
        </w:rPr>
      </w:pPr>
      <w:r>
        <w:rPr>
          <w:noProof/>
        </w:rPr>
        <w:t>16</w:t>
      </w:r>
      <w:r>
        <w:rPr>
          <w:noProof/>
        </w:rPr>
        <w:tab/>
        <w:t xml:space="preserve">Swain, J. </w:t>
      </w:r>
      <w:r>
        <w:rPr>
          <w:i/>
          <w:iCs/>
          <w:noProof/>
        </w:rPr>
        <w:t>Reducing the Energy Cost of Potato Storage (Final Report), Report No. 2010/14.</w:t>
      </w:r>
      <w:r>
        <w:rPr>
          <w:noProof/>
        </w:rPr>
        <w:t xml:space="preserve"> British Potato Council, 2010.</w:t>
      </w:r>
    </w:p>
    <w:p w:rsidR="00CA1F4D" w:rsidRDefault="00CA1F4D" w:rsidP="00CA1F4D">
      <w:pPr>
        <w:pStyle w:val="Bibliography"/>
        <w:ind w:left="426" w:hanging="426"/>
        <w:rPr>
          <w:noProof/>
        </w:rPr>
      </w:pPr>
      <w:r>
        <w:rPr>
          <w:noProof/>
        </w:rPr>
        <w:t>17</w:t>
      </w:r>
      <w:r>
        <w:rPr>
          <w:noProof/>
        </w:rPr>
        <w:tab/>
        <w:t xml:space="preserve">Werner, S R, F Vaino, I Merts, and D J Cleland. “Energy use in the New Zealand cold storage industry.” </w:t>
      </w:r>
      <w:r>
        <w:rPr>
          <w:i/>
          <w:iCs/>
          <w:noProof/>
        </w:rPr>
        <w:t>IIR-IRHACE Conference.</w:t>
      </w:r>
      <w:r>
        <w:rPr>
          <w:noProof/>
        </w:rPr>
        <w:t xml:space="preserve"> Auckland, 2006.</w:t>
      </w:r>
    </w:p>
    <w:p w:rsidR="00F06091" w:rsidRDefault="00F06091" w:rsidP="00CA1F4D">
      <w:pPr>
        <w:ind w:left="426" w:hanging="426"/>
      </w:pPr>
      <w:r w:rsidRPr="00F06091">
        <w:fldChar w:fldCharType="end"/>
      </w:r>
    </w:p>
    <w:sectPr w:rsidR="00F06091" w:rsidSect="00331AED">
      <w:footerReference w:type="even" r:id="rId20"/>
      <w:footerReference w:type="default" r:id="rId21"/>
      <w:pgSz w:w="11900" w:h="16840" w:code="9"/>
      <w:pgMar w:top="1134" w:right="1134" w:bottom="1418" w:left="1134" w:header="709"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54" w:rsidRDefault="00514254">
      <w:pPr>
        <w:spacing w:after="0"/>
      </w:pPr>
      <w:r>
        <w:separator/>
      </w:r>
    </w:p>
  </w:endnote>
  <w:endnote w:type="continuationSeparator" w:id="0">
    <w:p w:rsidR="00514254" w:rsidRDefault="005142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37" w:rsidRDefault="004B7A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666337" w:rsidRDefault="005142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337" w:rsidRDefault="004B7A83" w:rsidP="0037033E">
    <w:pPr>
      <w:pStyle w:val="Footer"/>
    </w:pPr>
    <w:r>
      <w:t>3rd IIR International Cold Chain Conference, Twickenham UK,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54" w:rsidRDefault="00514254">
      <w:pPr>
        <w:spacing w:after="0"/>
      </w:pPr>
      <w:r>
        <w:separator/>
      </w:r>
    </w:p>
  </w:footnote>
  <w:footnote w:type="continuationSeparator" w:id="0">
    <w:p w:rsidR="00514254" w:rsidRDefault="005142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66E5274"/>
    <w:lvl w:ilvl="0">
      <w:start w:val="1"/>
      <w:numFmt w:val="decimal"/>
      <w:pStyle w:val="Heading1"/>
      <w:lvlText w:val="%1."/>
      <w:lvlJc w:val="left"/>
      <w:pPr>
        <w:ind w:left="0" w:firstLine="0"/>
      </w:pPr>
      <w:rPr>
        <w:rFonts w:hint="default"/>
        <w:b w:val="0"/>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23A16D2"/>
    <w:multiLevelType w:val="hybridMultilevel"/>
    <w:tmpl w:val="702CE6C4"/>
    <w:lvl w:ilvl="0" w:tplc="EC18D2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BA42A5"/>
    <w:multiLevelType w:val="hybridMultilevel"/>
    <w:tmpl w:val="0EE85A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1C405B"/>
    <w:multiLevelType w:val="hybridMultilevel"/>
    <w:tmpl w:val="91EC80DC"/>
    <w:lvl w:ilvl="0" w:tplc="EC18D2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7542266"/>
    <w:multiLevelType w:val="multilevel"/>
    <w:tmpl w:val="91EC80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49"/>
    <w:rsid w:val="00006E5D"/>
    <w:rsid w:val="001D0549"/>
    <w:rsid w:val="00253A52"/>
    <w:rsid w:val="002B7F87"/>
    <w:rsid w:val="00331AED"/>
    <w:rsid w:val="00387F4E"/>
    <w:rsid w:val="00393A1B"/>
    <w:rsid w:val="00487CB4"/>
    <w:rsid w:val="00492C5C"/>
    <w:rsid w:val="004A71C5"/>
    <w:rsid w:val="004B7A83"/>
    <w:rsid w:val="00514254"/>
    <w:rsid w:val="005158E6"/>
    <w:rsid w:val="005D568A"/>
    <w:rsid w:val="006512AF"/>
    <w:rsid w:val="006538E8"/>
    <w:rsid w:val="00747B21"/>
    <w:rsid w:val="00783AB2"/>
    <w:rsid w:val="009326C1"/>
    <w:rsid w:val="00986385"/>
    <w:rsid w:val="00A14D06"/>
    <w:rsid w:val="00AA19E8"/>
    <w:rsid w:val="00AE6CF7"/>
    <w:rsid w:val="00AF0312"/>
    <w:rsid w:val="00B64378"/>
    <w:rsid w:val="00C41100"/>
    <w:rsid w:val="00C42917"/>
    <w:rsid w:val="00CA1F4D"/>
    <w:rsid w:val="00DE0B79"/>
    <w:rsid w:val="00E05C99"/>
    <w:rsid w:val="00ED7E85"/>
    <w:rsid w:val="00EE240C"/>
    <w:rsid w:val="00F06091"/>
    <w:rsid w:val="00F44365"/>
    <w:rsid w:val="00F45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49"/>
    <w:pPr>
      <w:spacing w:after="120" w:line="240"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F06091"/>
    <w:pPr>
      <w:keepNext/>
      <w:numPr>
        <w:numId w:val="1"/>
      </w:numPr>
      <w:spacing w:before="360"/>
      <w:jc w:val="center"/>
      <w:outlineLvl w:val="0"/>
    </w:pPr>
    <w:rPr>
      <w:b/>
      <w:sz w:val="28"/>
    </w:rPr>
  </w:style>
  <w:style w:type="paragraph" w:styleId="Heading2">
    <w:name w:val="heading 2"/>
    <w:basedOn w:val="Normal"/>
    <w:next w:val="BodyText"/>
    <w:link w:val="Heading2Char"/>
    <w:qFormat/>
    <w:rsid w:val="001D0549"/>
    <w:pPr>
      <w:keepNext/>
      <w:numPr>
        <w:ilvl w:val="1"/>
        <w:numId w:val="1"/>
      </w:numPr>
      <w:outlineLvl w:val="1"/>
    </w:pPr>
    <w:rPr>
      <w:b/>
      <w:lang w:val="x-none"/>
    </w:rPr>
  </w:style>
  <w:style w:type="paragraph" w:styleId="Heading3">
    <w:name w:val="heading 3"/>
    <w:basedOn w:val="Normal"/>
    <w:next w:val="BodyText"/>
    <w:link w:val="Heading3Char"/>
    <w:qFormat/>
    <w:rsid w:val="001D0549"/>
    <w:pPr>
      <w:keepNext/>
      <w:numPr>
        <w:ilvl w:val="2"/>
        <w:numId w:val="1"/>
      </w:numPr>
      <w:jc w:val="both"/>
      <w:outlineLvl w:val="2"/>
    </w:pPr>
  </w:style>
  <w:style w:type="paragraph" w:styleId="Heading4">
    <w:name w:val="heading 4"/>
    <w:basedOn w:val="Normal"/>
    <w:next w:val="Normal"/>
    <w:link w:val="Heading4Char"/>
    <w:qFormat/>
    <w:rsid w:val="001D0549"/>
    <w:pPr>
      <w:keepNext/>
      <w:numPr>
        <w:ilvl w:val="3"/>
        <w:numId w:val="1"/>
      </w:numPr>
      <w:spacing w:before="240" w:after="60"/>
      <w:outlineLvl w:val="3"/>
    </w:pPr>
    <w:rPr>
      <w:i/>
    </w:rPr>
  </w:style>
  <w:style w:type="paragraph" w:styleId="Heading5">
    <w:name w:val="heading 5"/>
    <w:basedOn w:val="Normal"/>
    <w:next w:val="BodyText"/>
    <w:link w:val="Heading5Char"/>
    <w:qFormat/>
    <w:rsid w:val="001D0549"/>
    <w:pPr>
      <w:numPr>
        <w:ilvl w:val="4"/>
        <w:numId w:val="1"/>
      </w:numPr>
      <w:spacing w:before="120"/>
      <w:outlineLvl w:val="4"/>
    </w:pPr>
    <w:rPr>
      <w:i/>
    </w:rPr>
  </w:style>
  <w:style w:type="paragraph" w:styleId="Heading6">
    <w:name w:val="heading 6"/>
    <w:basedOn w:val="Normal"/>
    <w:next w:val="BodyText"/>
    <w:link w:val="Heading6Char"/>
    <w:qFormat/>
    <w:rsid w:val="001D0549"/>
    <w:pPr>
      <w:numPr>
        <w:ilvl w:val="5"/>
        <w:numId w:val="1"/>
      </w:numPr>
      <w:spacing w:before="120"/>
      <w:outlineLvl w:val="5"/>
    </w:pPr>
    <w:rPr>
      <w:i/>
    </w:rPr>
  </w:style>
  <w:style w:type="paragraph" w:styleId="Heading7">
    <w:name w:val="heading 7"/>
    <w:basedOn w:val="Normal"/>
    <w:next w:val="BodyText"/>
    <w:link w:val="Heading7Char"/>
    <w:qFormat/>
    <w:rsid w:val="001D0549"/>
    <w:pPr>
      <w:numPr>
        <w:ilvl w:val="6"/>
        <w:numId w:val="1"/>
      </w:numPr>
      <w:spacing w:before="120"/>
      <w:outlineLvl w:val="6"/>
    </w:pPr>
    <w:rPr>
      <w:i/>
    </w:rPr>
  </w:style>
  <w:style w:type="paragraph" w:styleId="Heading8">
    <w:name w:val="heading 8"/>
    <w:basedOn w:val="Normal"/>
    <w:next w:val="BodyText"/>
    <w:link w:val="Heading8Char"/>
    <w:qFormat/>
    <w:rsid w:val="001D0549"/>
    <w:pPr>
      <w:numPr>
        <w:ilvl w:val="7"/>
        <w:numId w:val="1"/>
      </w:numPr>
      <w:spacing w:before="120"/>
      <w:outlineLvl w:val="7"/>
    </w:pPr>
    <w:rPr>
      <w:i/>
    </w:rPr>
  </w:style>
  <w:style w:type="paragraph" w:styleId="Heading9">
    <w:name w:val="heading 9"/>
    <w:basedOn w:val="Normal"/>
    <w:next w:val="BodyText"/>
    <w:link w:val="Heading9Char"/>
    <w:qFormat/>
    <w:rsid w:val="001D0549"/>
    <w:pPr>
      <w:numPr>
        <w:ilvl w:val="8"/>
        <w:numId w:val="1"/>
      </w:numPr>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5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49"/>
    <w:rPr>
      <w:rFonts w:ascii="Tahoma" w:hAnsi="Tahoma" w:cs="Tahoma"/>
      <w:sz w:val="16"/>
      <w:szCs w:val="16"/>
    </w:rPr>
  </w:style>
  <w:style w:type="character" w:customStyle="1" w:styleId="Heading1Char">
    <w:name w:val="Heading 1 Char"/>
    <w:basedOn w:val="DefaultParagraphFont"/>
    <w:link w:val="Heading1"/>
    <w:rsid w:val="00F0609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D0549"/>
    <w:rPr>
      <w:rFonts w:ascii="Times New Roman" w:eastAsia="Times New Roman" w:hAnsi="Times New Roman" w:cs="Times New Roman"/>
      <w:b/>
      <w:szCs w:val="20"/>
      <w:lang w:val="x-none"/>
    </w:rPr>
  </w:style>
  <w:style w:type="character" w:customStyle="1" w:styleId="Heading3Char">
    <w:name w:val="Heading 3 Char"/>
    <w:basedOn w:val="DefaultParagraphFont"/>
    <w:link w:val="Heading3"/>
    <w:rsid w:val="001D0549"/>
    <w:rPr>
      <w:rFonts w:ascii="Times New Roman" w:eastAsia="Times New Roman" w:hAnsi="Times New Roman" w:cs="Times New Roman"/>
      <w:szCs w:val="20"/>
    </w:rPr>
  </w:style>
  <w:style w:type="character" w:customStyle="1" w:styleId="Heading4Char">
    <w:name w:val="Heading 4 Char"/>
    <w:basedOn w:val="DefaultParagraphFont"/>
    <w:link w:val="Heading4"/>
    <w:rsid w:val="001D0549"/>
    <w:rPr>
      <w:rFonts w:ascii="Times New Roman" w:eastAsia="Times New Roman" w:hAnsi="Times New Roman" w:cs="Times New Roman"/>
      <w:i/>
      <w:szCs w:val="20"/>
    </w:rPr>
  </w:style>
  <w:style w:type="character" w:customStyle="1" w:styleId="Heading5Char">
    <w:name w:val="Heading 5 Char"/>
    <w:basedOn w:val="DefaultParagraphFont"/>
    <w:link w:val="Heading5"/>
    <w:rsid w:val="001D0549"/>
    <w:rPr>
      <w:rFonts w:ascii="Times New Roman" w:eastAsia="Times New Roman" w:hAnsi="Times New Roman" w:cs="Times New Roman"/>
      <w:i/>
      <w:szCs w:val="20"/>
    </w:rPr>
  </w:style>
  <w:style w:type="character" w:customStyle="1" w:styleId="Heading6Char">
    <w:name w:val="Heading 6 Char"/>
    <w:basedOn w:val="DefaultParagraphFont"/>
    <w:link w:val="Heading6"/>
    <w:rsid w:val="001D0549"/>
    <w:rPr>
      <w:rFonts w:ascii="Times New Roman" w:eastAsia="Times New Roman" w:hAnsi="Times New Roman" w:cs="Times New Roman"/>
      <w:i/>
      <w:szCs w:val="20"/>
    </w:rPr>
  </w:style>
  <w:style w:type="character" w:customStyle="1" w:styleId="Heading7Char">
    <w:name w:val="Heading 7 Char"/>
    <w:basedOn w:val="DefaultParagraphFont"/>
    <w:link w:val="Heading7"/>
    <w:rsid w:val="001D0549"/>
    <w:rPr>
      <w:rFonts w:ascii="Times New Roman" w:eastAsia="Times New Roman" w:hAnsi="Times New Roman" w:cs="Times New Roman"/>
      <w:i/>
      <w:szCs w:val="20"/>
    </w:rPr>
  </w:style>
  <w:style w:type="character" w:customStyle="1" w:styleId="Heading8Char">
    <w:name w:val="Heading 8 Char"/>
    <w:basedOn w:val="DefaultParagraphFont"/>
    <w:link w:val="Heading8"/>
    <w:rsid w:val="001D0549"/>
    <w:rPr>
      <w:rFonts w:ascii="Times New Roman" w:eastAsia="Times New Roman" w:hAnsi="Times New Roman" w:cs="Times New Roman"/>
      <w:i/>
      <w:szCs w:val="20"/>
    </w:rPr>
  </w:style>
  <w:style w:type="character" w:customStyle="1" w:styleId="Heading9Char">
    <w:name w:val="Heading 9 Char"/>
    <w:basedOn w:val="DefaultParagraphFont"/>
    <w:link w:val="Heading9"/>
    <w:rsid w:val="001D0549"/>
    <w:rPr>
      <w:rFonts w:ascii="Times New Roman" w:eastAsia="Times New Roman" w:hAnsi="Times New Roman" w:cs="Times New Roman"/>
      <w:i/>
      <w:szCs w:val="20"/>
    </w:rPr>
  </w:style>
  <w:style w:type="paragraph" w:styleId="BodyText">
    <w:name w:val="Body Text"/>
    <w:basedOn w:val="Normal"/>
    <w:link w:val="BodyTextChar"/>
    <w:rsid w:val="001D0549"/>
    <w:rPr>
      <w:rFonts w:ascii="Times" w:hAnsi="Times"/>
      <w:sz w:val="24"/>
    </w:rPr>
  </w:style>
  <w:style w:type="character" w:customStyle="1" w:styleId="BodyTextChar">
    <w:name w:val="Body Text Char"/>
    <w:basedOn w:val="DefaultParagraphFont"/>
    <w:link w:val="BodyText"/>
    <w:rsid w:val="001D0549"/>
    <w:rPr>
      <w:rFonts w:ascii="Times" w:eastAsia="Times New Roman" w:hAnsi="Times" w:cs="Times New Roman"/>
      <w:sz w:val="24"/>
      <w:szCs w:val="20"/>
    </w:rPr>
  </w:style>
  <w:style w:type="paragraph" w:styleId="Subtitle">
    <w:name w:val="Subtitle"/>
    <w:basedOn w:val="Normal"/>
    <w:link w:val="SubtitleChar"/>
    <w:qFormat/>
    <w:rsid w:val="001D0549"/>
    <w:pPr>
      <w:spacing w:after="60"/>
      <w:jc w:val="center"/>
    </w:pPr>
  </w:style>
  <w:style w:type="character" w:customStyle="1" w:styleId="SubtitleChar">
    <w:name w:val="Subtitle Char"/>
    <w:basedOn w:val="DefaultParagraphFont"/>
    <w:link w:val="Subtitle"/>
    <w:rsid w:val="001D0549"/>
    <w:rPr>
      <w:rFonts w:ascii="Times New Roman" w:eastAsia="Times New Roman" w:hAnsi="Times New Roman" w:cs="Times New Roman"/>
      <w:szCs w:val="20"/>
    </w:rPr>
  </w:style>
  <w:style w:type="paragraph" w:styleId="Footer">
    <w:name w:val="footer"/>
    <w:basedOn w:val="Normal"/>
    <w:link w:val="FooterChar"/>
    <w:uiPriority w:val="99"/>
    <w:rsid w:val="001D0549"/>
    <w:pPr>
      <w:tabs>
        <w:tab w:val="center" w:pos="4320"/>
        <w:tab w:val="right" w:pos="8640"/>
      </w:tabs>
    </w:pPr>
    <w:rPr>
      <w:sz w:val="24"/>
      <w:lang w:val="x-none"/>
    </w:rPr>
  </w:style>
  <w:style w:type="character" w:customStyle="1" w:styleId="FooterChar">
    <w:name w:val="Footer Char"/>
    <w:basedOn w:val="DefaultParagraphFont"/>
    <w:link w:val="Footer"/>
    <w:uiPriority w:val="99"/>
    <w:rsid w:val="001D0549"/>
    <w:rPr>
      <w:rFonts w:ascii="Times New Roman" w:eastAsia="Times New Roman" w:hAnsi="Times New Roman" w:cs="Times New Roman"/>
      <w:sz w:val="24"/>
      <w:szCs w:val="20"/>
      <w:lang w:val="x-none"/>
    </w:rPr>
  </w:style>
  <w:style w:type="character" w:styleId="PageNumber">
    <w:name w:val="page number"/>
    <w:basedOn w:val="DefaultParagraphFont"/>
    <w:rsid w:val="001D0549"/>
  </w:style>
  <w:style w:type="paragraph" w:customStyle="1" w:styleId="Abstract">
    <w:name w:val="Abstract"/>
    <w:basedOn w:val="Heading1"/>
    <w:next w:val="BodyText"/>
    <w:rsid w:val="001D0549"/>
    <w:pPr>
      <w:numPr>
        <w:numId w:val="0"/>
      </w:numPr>
    </w:pPr>
  </w:style>
  <w:style w:type="paragraph" w:customStyle="1" w:styleId="StyleHeading211ptLatinBoldNotLatinItalic">
    <w:name w:val="Style Heading 2 + 11 pt (Latin) Bold Not (Latin) Italic"/>
    <w:basedOn w:val="Heading2"/>
    <w:link w:val="StyleHeading211ptLatinBoldNotLatinItalicChar"/>
    <w:rsid w:val="001D0549"/>
    <w:pPr>
      <w:spacing w:line="360" w:lineRule="auto"/>
    </w:pPr>
    <w:rPr>
      <w:szCs w:val="22"/>
    </w:rPr>
  </w:style>
  <w:style w:type="character" w:customStyle="1" w:styleId="StyleHeading211ptLatinBoldNotLatinItalicChar">
    <w:name w:val="Style Heading 2 + 11 pt (Latin) Bold Not (Latin) Italic Char"/>
    <w:link w:val="StyleHeading211ptLatinBoldNotLatinItalic"/>
    <w:rsid w:val="001D0549"/>
    <w:rPr>
      <w:rFonts w:ascii="Times New Roman" w:eastAsia="Times New Roman" w:hAnsi="Times New Roman" w:cs="Times New Roman"/>
      <w:b/>
      <w:lang w:val="x-none"/>
    </w:rPr>
  </w:style>
  <w:style w:type="paragraph" w:styleId="Bibliography">
    <w:name w:val="Bibliography"/>
    <w:basedOn w:val="Normal"/>
    <w:next w:val="Normal"/>
    <w:uiPriority w:val="37"/>
    <w:unhideWhenUsed/>
    <w:rsid w:val="001D0549"/>
  </w:style>
  <w:style w:type="paragraph" w:styleId="ListParagraph">
    <w:name w:val="List Paragraph"/>
    <w:basedOn w:val="Normal"/>
    <w:uiPriority w:val="34"/>
    <w:qFormat/>
    <w:rsid w:val="004B7A83"/>
    <w:pPr>
      <w:ind w:left="720"/>
      <w:contextualSpacing/>
    </w:pPr>
  </w:style>
  <w:style w:type="character" w:styleId="CommentReference">
    <w:name w:val="annotation reference"/>
    <w:basedOn w:val="DefaultParagraphFont"/>
    <w:uiPriority w:val="99"/>
    <w:semiHidden/>
    <w:unhideWhenUsed/>
    <w:rsid w:val="00986385"/>
    <w:rPr>
      <w:sz w:val="16"/>
      <w:szCs w:val="16"/>
    </w:rPr>
  </w:style>
  <w:style w:type="paragraph" w:styleId="CommentText">
    <w:name w:val="annotation text"/>
    <w:basedOn w:val="Normal"/>
    <w:link w:val="CommentTextChar"/>
    <w:uiPriority w:val="99"/>
    <w:semiHidden/>
    <w:unhideWhenUsed/>
    <w:rsid w:val="00986385"/>
    <w:rPr>
      <w:sz w:val="20"/>
    </w:rPr>
  </w:style>
  <w:style w:type="character" w:customStyle="1" w:styleId="CommentTextChar">
    <w:name w:val="Comment Text Char"/>
    <w:basedOn w:val="DefaultParagraphFont"/>
    <w:link w:val="CommentText"/>
    <w:uiPriority w:val="99"/>
    <w:semiHidden/>
    <w:rsid w:val="009863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385"/>
    <w:rPr>
      <w:b/>
      <w:bCs/>
    </w:rPr>
  </w:style>
  <w:style w:type="character" w:customStyle="1" w:styleId="CommentSubjectChar">
    <w:name w:val="Comment Subject Char"/>
    <w:basedOn w:val="CommentTextChar"/>
    <w:link w:val="CommentSubject"/>
    <w:uiPriority w:val="99"/>
    <w:semiHidden/>
    <w:rsid w:val="0098638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53A52"/>
    <w:pPr>
      <w:tabs>
        <w:tab w:val="center" w:pos="4513"/>
        <w:tab w:val="right" w:pos="9026"/>
      </w:tabs>
      <w:spacing w:after="0"/>
    </w:pPr>
  </w:style>
  <w:style w:type="character" w:customStyle="1" w:styleId="HeaderChar">
    <w:name w:val="Header Char"/>
    <w:basedOn w:val="DefaultParagraphFont"/>
    <w:link w:val="Header"/>
    <w:uiPriority w:val="99"/>
    <w:rsid w:val="00253A52"/>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49"/>
    <w:pPr>
      <w:spacing w:after="120" w:line="240"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F06091"/>
    <w:pPr>
      <w:keepNext/>
      <w:numPr>
        <w:numId w:val="1"/>
      </w:numPr>
      <w:spacing w:before="360"/>
      <w:jc w:val="center"/>
      <w:outlineLvl w:val="0"/>
    </w:pPr>
    <w:rPr>
      <w:b/>
      <w:sz w:val="28"/>
    </w:rPr>
  </w:style>
  <w:style w:type="paragraph" w:styleId="Heading2">
    <w:name w:val="heading 2"/>
    <w:basedOn w:val="Normal"/>
    <w:next w:val="BodyText"/>
    <w:link w:val="Heading2Char"/>
    <w:qFormat/>
    <w:rsid w:val="001D0549"/>
    <w:pPr>
      <w:keepNext/>
      <w:numPr>
        <w:ilvl w:val="1"/>
        <w:numId w:val="1"/>
      </w:numPr>
      <w:outlineLvl w:val="1"/>
    </w:pPr>
    <w:rPr>
      <w:b/>
      <w:lang w:val="x-none"/>
    </w:rPr>
  </w:style>
  <w:style w:type="paragraph" w:styleId="Heading3">
    <w:name w:val="heading 3"/>
    <w:basedOn w:val="Normal"/>
    <w:next w:val="BodyText"/>
    <w:link w:val="Heading3Char"/>
    <w:qFormat/>
    <w:rsid w:val="001D0549"/>
    <w:pPr>
      <w:keepNext/>
      <w:numPr>
        <w:ilvl w:val="2"/>
        <w:numId w:val="1"/>
      </w:numPr>
      <w:jc w:val="both"/>
      <w:outlineLvl w:val="2"/>
    </w:pPr>
  </w:style>
  <w:style w:type="paragraph" w:styleId="Heading4">
    <w:name w:val="heading 4"/>
    <w:basedOn w:val="Normal"/>
    <w:next w:val="Normal"/>
    <w:link w:val="Heading4Char"/>
    <w:qFormat/>
    <w:rsid w:val="001D0549"/>
    <w:pPr>
      <w:keepNext/>
      <w:numPr>
        <w:ilvl w:val="3"/>
        <w:numId w:val="1"/>
      </w:numPr>
      <w:spacing w:before="240" w:after="60"/>
      <w:outlineLvl w:val="3"/>
    </w:pPr>
    <w:rPr>
      <w:i/>
    </w:rPr>
  </w:style>
  <w:style w:type="paragraph" w:styleId="Heading5">
    <w:name w:val="heading 5"/>
    <w:basedOn w:val="Normal"/>
    <w:next w:val="BodyText"/>
    <w:link w:val="Heading5Char"/>
    <w:qFormat/>
    <w:rsid w:val="001D0549"/>
    <w:pPr>
      <w:numPr>
        <w:ilvl w:val="4"/>
        <w:numId w:val="1"/>
      </w:numPr>
      <w:spacing w:before="120"/>
      <w:outlineLvl w:val="4"/>
    </w:pPr>
    <w:rPr>
      <w:i/>
    </w:rPr>
  </w:style>
  <w:style w:type="paragraph" w:styleId="Heading6">
    <w:name w:val="heading 6"/>
    <w:basedOn w:val="Normal"/>
    <w:next w:val="BodyText"/>
    <w:link w:val="Heading6Char"/>
    <w:qFormat/>
    <w:rsid w:val="001D0549"/>
    <w:pPr>
      <w:numPr>
        <w:ilvl w:val="5"/>
        <w:numId w:val="1"/>
      </w:numPr>
      <w:spacing w:before="120"/>
      <w:outlineLvl w:val="5"/>
    </w:pPr>
    <w:rPr>
      <w:i/>
    </w:rPr>
  </w:style>
  <w:style w:type="paragraph" w:styleId="Heading7">
    <w:name w:val="heading 7"/>
    <w:basedOn w:val="Normal"/>
    <w:next w:val="BodyText"/>
    <w:link w:val="Heading7Char"/>
    <w:qFormat/>
    <w:rsid w:val="001D0549"/>
    <w:pPr>
      <w:numPr>
        <w:ilvl w:val="6"/>
        <w:numId w:val="1"/>
      </w:numPr>
      <w:spacing w:before="120"/>
      <w:outlineLvl w:val="6"/>
    </w:pPr>
    <w:rPr>
      <w:i/>
    </w:rPr>
  </w:style>
  <w:style w:type="paragraph" w:styleId="Heading8">
    <w:name w:val="heading 8"/>
    <w:basedOn w:val="Normal"/>
    <w:next w:val="BodyText"/>
    <w:link w:val="Heading8Char"/>
    <w:qFormat/>
    <w:rsid w:val="001D0549"/>
    <w:pPr>
      <w:numPr>
        <w:ilvl w:val="7"/>
        <w:numId w:val="1"/>
      </w:numPr>
      <w:spacing w:before="120"/>
      <w:outlineLvl w:val="7"/>
    </w:pPr>
    <w:rPr>
      <w:i/>
    </w:rPr>
  </w:style>
  <w:style w:type="paragraph" w:styleId="Heading9">
    <w:name w:val="heading 9"/>
    <w:basedOn w:val="Normal"/>
    <w:next w:val="BodyText"/>
    <w:link w:val="Heading9Char"/>
    <w:qFormat/>
    <w:rsid w:val="001D0549"/>
    <w:pPr>
      <w:numPr>
        <w:ilvl w:val="8"/>
        <w:numId w:val="1"/>
      </w:numPr>
      <w:spacing w:before="1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5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549"/>
    <w:rPr>
      <w:rFonts w:ascii="Tahoma" w:hAnsi="Tahoma" w:cs="Tahoma"/>
      <w:sz w:val="16"/>
      <w:szCs w:val="16"/>
    </w:rPr>
  </w:style>
  <w:style w:type="character" w:customStyle="1" w:styleId="Heading1Char">
    <w:name w:val="Heading 1 Char"/>
    <w:basedOn w:val="DefaultParagraphFont"/>
    <w:link w:val="Heading1"/>
    <w:rsid w:val="00F06091"/>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1D0549"/>
    <w:rPr>
      <w:rFonts w:ascii="Times New Roman" w:eastAsia="Times New Roman" w:hAnsi="Times New Roman" w:cs="Times New Roman"/>
      <w:b/>
      <w:szCs w:val="20"/>
      <w:lang w:val="x-none"/>
    </w:rPr>
  </w:style>
  <w:style w:type="character" w:customStyle="1" w:styleId="Heading3Char">
    <w:name w:val="Heading 3 Char"/>
    <w:basedOn w:val="DefaultParagraphFont"/>
    <w:link w:val="Heading3"/>
    <w:rsid w:val="001D0549"/>
    <w:rPr>
      <w:rFonts w:ascii="Times New Roman" w:eastAsia="Times New Roman" w:hAnsi="Times New Roman" w:cs="Times New Roman"/>
      <w:szCs w:val="20"/>
    </w:rPr>
  </w:style>
  <w:style w:type="character" w:customStyle="1" w:styleId="Heading4Char">
    <w:name w:val="Heading 4 Char"/>
    <w:basedOn w:val="DefaultParagraphFont"/>
    <w:link w:val="Heading4"/>
    <w:rsid w:val="001D0549"/>
    <w:rPr>
      <w:rFonts w:ascii="Times New Roman" w:eastAsia="Times New Roman" w:hAnsi="Times New Roman" w:cs="Times New Roman"/>
      <w:i/>
      <w:szCs w:val="20"/>
    </w:rPr>
  </w:style>
  <w:style w:type="character" w:customStyle="1" w:styleId="Heading5Char">
    <w:name w:val="Heading 5 Char"/>
    <w:basedOn w:val="DefaultParagraphFont"/>
    <w:link w:val="Heading5"/>
    <w:rsid w:val="001D0549"/>
    <w:rPr>
      <w:rFonts w:ascii="Times New Roman" w:eastAsia="Times New Roman" w:hAnsi="Times New Roman" w:cs="Times New Roman"/>
      <w:i/>
      <w:szCs w:val="20"/>
    </w:rPr>
  </w:style>
  <w:style w:type="character" w:customStyle="1" w:styleId="Heading6Char">
    <w:name w:val="Heading 6 Char"/>
    <w:basedOn w:val="DefaultParagraphFont"/>
    <w:link w:val="Heading6"/>
    <w:rsid w:val="001D0549"/>
    <w:rPr>
      <w:rFonts w:ascii="Times New Roman" w:eastAsia="Times New Roman" w:hAnsi="Times New Roman" w:cs="Times New Roman"/>
      <w:i/>
      <w:szCs w:val="20"/>
    </w:rPr>
  </w:style>
  <w:style w:type="character" w:customStyle="1" w:styleId="Heading7Char">
    <w:name w:val="Heading 7 Char"/>
    <w:basedOn w:val="DefaultParagraphFont"/>
    <w:link w:val="Heading7"/>
    <w:rsid w:val="001D0549"/>
    <w:rPr>
      <w:rFonts w:ascii="Times New Roman" w:eastAsia="Times New Roman" w:hAnsi="Times New Roman" w:cs="Times New Roman"/>
      <w:i/>
      <w:szCs w:val="20"/>
    </w:rPr>
  </w:style>
  <w:style w:type="character" w:customStyle="1" w:styleId="Heading8Char">
    <w:name w:val="Heading 8 Char"/>
    <w:basedOn w:val="DefaultParagraphFont"/>
    <w:link w:val="Heading8"/>
    <w:rsid w:val="001D0549"/>
    <w:rPr>
      <w:rFonts w:ascii="Times New Roman" w:eastAsia="Times New Roman" w:hAnsi="Times New Roman" w:cs="Times New Roman"/>
      <w:i/>
      <w:szCs w:val="20"/>
    </w:rPr>
  </w:style>
  <w:style w:type="character" w:customStyle="1" w:styleId="Heading9Char">
    <w:name w:val="Heading 9 Char"/>
    <w:basedOn w:val="DefaultParagraphFont"/>
    <w:link w:val="Heading9"/>
    <w:rsid w:val="001D0549"/>
    <w:rPr>
      <w:rFonts w:ascii="Times New Roman" w:eastAsia="Times New Roman" w:hAnsi="Times New Roman" w:cs="Times New Roman"/>
      <w:i/>
      <w:szCs w:val="20"/>
    </w:rPr>
  </w:style>
  <w:style w:type="paragraph" w:styleId="BodyText">
    <w:name w:val="Body Text"/>
    <w:basedOn w:val="Normal"/>
    <w:link w:val="BodyTextChar"/>
    <w:rsid w:val="001D0549"/>
    <w:rPr>
      <w:rFonts w:ascii="Times" w:hAnsi="Times"/>
      <w:sz w:val="24"/>
    </w:rPr>
  </w:style>
  <w:style w:type="character" w:customStyle="1" w:styleId="BodyTextChar">
    <w:name w:val="Body Text Char"/>
    <w:basedOn w:val="DefaultParagraphFont"/>
    <w:link w:val="BodyText"/>
    <w:rsid w:val="001D0549"/>
    <w:rPr>
      <w:rFonts w:ascii="Times" w:eastAsia="Times New Roman" w:hAnsi="Times" w:cs="Times New Roman"/>
      <w:sz w:val="24"/>
      <w:szCs w:val="20"/>
    </w:rPr>
  </w:style>
  <w:style w:type="paragraph" w:styleId="Subtitle">
    <w:name w:val="Subtitle"/>
    <w:basedOn w:val="Normal"/>
    <w:link w:val="SubtitleChar"/>
    <w:qFormat/>
    <w:rsid w:val="001D0549"/>
    <w:pPr>
      <w:spacing w:after="60"/>
      <w:jc w:val="center"/>
    </w:pPr>
  </w:style>
  <w:style w:type="character" w:customStyle="1" w:styleId="SubtitleChar">
    <w:name w:val="Subtitle Char"/>
    <w:basedOn w:val="DefaultParagraphFont"/>
    <w:link w:val="Subtitle"/>
    <w:rsid w:val="001D0549"/>
    <w:rPr>
      <w:rFonts w:ascii="Times New Roman" w:eastAsia="Times New Roman" w:hAnsi="Times New Roman" w:cs="Times New Roman"/>
      <w:szCs w:val="20"/>
    </w:rPr>
  </w:style>
  <w:style w:type="paragraph" w:styleId="Footer">
    <w:name w:val="footer"/>
    <w:basedOn w:val="Normal"/>
    <w:link w:val="FooterChar"/>
    <w:uiPriority w:val="99"/>
    <w:rsid w:val="001D0549"/>
    <w:pPr>
      <w:tabs>
        <w:tab w:val="center" w:pos="4320"/>
        <w:tab w:val="right" w:pos="8640"/>
      </w:tabs>
    </w:pPr>
    <w:rPr>
      <w:sz w:val="24"/>
      <w:lang w:val="x-none"/>
    </w:rPr>
  </w:style>
  <w:style w:type="character" w:customStyle="1" w:styleId="FooterChar">
    <w:name w:val="Footer Char"/>
    <w:basedOn w:val="DefaultParagraphFont"/>
    <w:link w:val="Footer"/>
    <w:uiPriority w:val="99"/>
    <w:rsid w:val="001D0549"/>
    <w:rPr>
      <w:rFonts w:ascii="Times New Roman" w:eastAsia="Times New Roman" w:hAnsi="Times New Roman" w:cs="Times New Roman"/>
      <w:sz w:val="24"/>
      <w:szCs w:val="20"/>
      <w:lang w:val="x-none"/>
    </w:rPr>
  </w:style>
  <w:style w:type="character" w:styleId="PageNumber">
    <w:name w:val="page number"/>
    <w:basedOn w:val="DefaultParagraphFont"/>
    <w:rsid w:val="001D0549"/>
  </w:style>
  <w:style w:type="paragraph" w:customStyle="1" w:styleId="Abstract">
    <w:name w:val="Abstract"/>
    <w:basedOn w:val="Heading1"/>
    <w:next w:val="BodyText"/>
    <w:rsid w:val="001D0549"/>
    <w:pPr>
      <w:numPr>
        <w:numId w:val="0"/>
      </w:numPr>
    </w:pPr>
  </w:style>
  <w:style w:type="paragraph" w:customStyle="1" w:styleId="StyleHeading211ptLatinBoldNotLatinItalic">
    <w:name w:val="Style Heading 2 + 11 pt (Latin) Bold Not (Latin) Italic"/>
    <w:basedOn w:val="Heading2"/>
    <w:link w:val="StyleHeading211ptLatinBoldNotLatinItalicChar"/>
    <w:rsid w:val="001D0549"/>
    <w:pPr>
      <w:spacing w:line="360" w:lineRule="auto"/>
    </w:pPr>
    <w:rPr>
      <w:szCs w:val="22"/>
    </w:rPr>
  </w:style>
  <w:style w:type="character" w:customStyle="1" w:styleId="StyleHeading211ptLatinBoldNotLatinItalicChar">
    <w:name w:val="Style Heading 2 + 11 pt (Latin) Bold Not (Latin) Italic Char"/>
    <w:link w:val="StyleHeading211ptLatinBoldNotLatinItalic"/>
    <w:rsid w:val="001D0549"/>
    <w:rPr>
      <w:rFonts w:ascii="Times New Roman" w:eastAsia="Times New Roman" w:hAnsi="Times New Roman" w:cs="Times New Roman"/>
      <w:b/>
      <w:lang w:val="x-none"/>
    </w:rPr>
  </w:style>
  <w:style w:type="paragraph" w:styleId="Bibliography">
    <w:name w:val="Bibliography"/>
    <w:basedOn w:val="Normal"/>
    <w:next w:val="Normal"/>
    <w:uiPriority w:val="37"/>
    <w:unhideWhenUsed/>
    <w:rsid w:val="001D0549"/>
  </w:style>
  <w:style w:type="paragraph" w:styleId="ListParagraph">
    <w:name w:val="List Paragraph"/>
    <w:basedOn w:val="Normal"/>
    <w:uiPriority w:val="34"/>
    <w:qFormat/>
    <w:rsid w:val="004B7A83"/>
    <w:pPr>
      <w:ind w:left="720"/>
      <w:contextualSpacing/>
    </w:pPr>
  </w:style>
  <w:style w:type="character" w:styleId="CommentReference">
    <w:name w:val="annotation reference"/>
    <w:basedOn w:val="DefaultParagraphFont"/>
    <w:uiPriority w:val="99"/>
    <w:semiHidden/>
    <w:unhideWhenUsed/>
    <w:rsid w:val="00986385"/>
    <w:rPr>
      <w:sz w:val="16"/>
      <w:szCs w:val="16"/>
    </w:rPr>
  </w:style>
  <w:style w:type="paragraph" w:styleId="CommentText">
    <w:name w:val="annotation text"/>
    <w:basedOn w:val="Normal"/>
    <w:link w:val="CommentTextChar"/>
    <w:uiPriority w:val="99"/>
    <w:semiHidden/>
    <w:unhideWhenUsed/>
    <w:rsid w:val="00986385"/>
    <w:rPr>
      <w:sz w:val="20"/>
    </w:rPr>
  </w:style>
  <w:style w:type="character" w:customStyle="1" w:styleId="CommentTextChar">
    <w:name w:val="Comment Text Char"/>
    <w:basedOn w:val="DefaultParagraphFont"/>
    <w:link w:val="CommentText"/>
    <w:uiPriority w:val="99"/>
    <w:semiHidden/>
    <w:rsid w:val="009863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6385"/>
    <w:rPr>
      <w:b/>
      <w:bCs/>
    </w:rPr>
  </w:style>
  <w:style w:type="character" w:customStyle="1" w:styleId="CommentSubjectChar">
    <w:name w:val="Comment Subject Char"/>
    <w:basedOn w:val="CommentTextChar"/>
    <w:link w:val="CommentSubject"/>
    <w:uiPriority w:val="99"/>
    <w:semiHidden/>
    <w:rsid w:val="0098638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53A52"/>
    <w:pPr>
      <w:tabs>
        <w:tab w:val="center" w:pos="4513"/>
        <w:tab w:val="right" w:pos="9026"/>
      </w:tabs>
      <w:spacing w:after="0"/>
    </w:pPr>
  </w:style>
  <w:style w:type="character" w:customStyle="1" w:styleId="HeaderChar">
    <w:name w:val="Header Char"/>
    <w:basedOn w:val="DefaultParagraphFont"/>
    <w:link w:val="Header"/>
    <w:uiPriority w:val="99"/>
    <w:rsid w:val="00253A5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BEL83</b:Tag>
    <b:SourceType>Report</b:SourceType>
    <b:Guid>{AF4EDC5D-AF29-4C8A-A7B4-A84F54818976}</b:Guid>
    <b:Author>
      <b:Author>
        <b:Corporate>BELF, Bundesministerium für Ernährung, Landwirtsch</b:Corporate>
      </b:Author>
    </b:Author>
    <b:Year>1983</b:Year>
    <b:Title>Energie und Ernährungswirtschaft. Teil I: Bericht über die Energiesituation im Ernährungsgewerbe, Teil II Energieverbrauch für die Herstellung ausgewählter Lebensmittel</b:Title>
    <b:Publisher>Reihe A: Angewandte Wissenschaft, Heft 285. Münster-Hiltrup, Landwirtschaftsverlag Gm</b:Publisher>
    <b:RefOrder>9</b:RefOrder>
  </b:Source>
  <b:Source>
    <b:Tag>Bos95</b:Tag>
    <b:SourceType>ConferenceProceedings</b:SourceType>
    <b:Guid>{E6F0D927-A380-42A6-8C04-00060E031987}</b:Guid>
    <b:Author>
      <b:Author>
        <b:NameList>
          <b:Person>
            <b:Last>Bosma</b:Last>
            <b:First>J</b:First>
          </b:Person>
        </b:NameList>
      </b:Author>
    </b:Author>
    <b:Title>Inventory study of the energy conservation potential in cold storage insulations in the Netherlands</b:Title>
    <b:Year>1995</b:Year>
    <b:ConferenceName>Proc. 19th International Congress of Refrigeration, vol. II, 382-391</b:ConferenceName>
    <b:RefOrder>3</b:RefOrder>
  </b:Source>
  <b:Source>
    <b:Tag>Car00</b:Tag>
    <b:SourceType>Report</b:SourceType>
    <b:Guid>{5A195633-76BE-4858-951F-57753D6373E7}</b:Guid>
    <b:Title>Energy Use in the Food Sector: A data survey</b:Title>
    <b:Year>2000</b:Year>
    <b:Publisher>Environmental Strategies Research Group / Swiss Federal Institute of Technology</b:Publisher>
    <b:Author>
      <b:Author>
        <b:NameList>
          <b:Person>
            <b:Last>Carlsson-Kanyama</b:Last>
            <b:First>A</b:First>
          </b:Person>
          <b:Person>
            <b:Last>Faist</b:Last>
            <b:First>M</b:First>
          </b:Person>
        </b:NameList>
      </b:Author>
    </b:Author>
    <b:RefOrder>8</b:RefOrder>
  </b:Source>
  <b:Source>
    <b:Tag>Dui02</b:Tag>
    <b:SourceType>JournalArticle</b:SourceType>
    <b:Guid>{990208E3-CA39-4DBF-9543-7B7BD1A01B36}</b:Guid>
    <b:Author>
      <b:Author>
        <b:NameList>
          <b:Person>
            <b:Last>Duiven</b:Last>
            <b:First>J</b:First>
            <b:Middle>E</b:Middle>
          </b:Person>
          <b:Person>
            <b:Last>Binard</b:Last>
            <b:First>P</b:First>
          </b:Person>
        </b:NameList>
      </b:Author>
    </b:Author>
    <b:Title>Refrigerated storage: new developments</b:Title>
    <b:Year>2002</b:Year>
    <b:JournalName>Bulletin of the IIR</b:JournalName>
    <b:Volume>No. 2002-2</b:Volume>
    <b:RefOrder>2</b:RefOrder>
  </b:Source>
  <b:Source>
    <b:Tag>Ell04</b:Tag>
    <b:SourceType>Report</b:SourceType>
    <b:Guid>{88D42B97-4B5C-4EB6-A6FB-A6628E495093}</b:Guid>
    <b:Author>
      <b:Author>
        <b:NameList>
          <b:Person>
            <b:Last>Elleson</b:Last>
            <b:First>J</b:First>
            <b:Middle>S</b:Middle>
          </b:Person>
          <b:Person>
            <b:Last>Freund</b:Last>
            <b:First>S</b:First>
            <b:Middle>W</b:Middle>
          </b:Person>
        </b:NameList>
      </b:Author>
    </b:Author>
    <b:Title>Benchmarking the Energy Performance of Industrial Refrigeration Systems</b:Title>
    <b:Year>2004</b:Year>
    <b:Publisher>Interim Draft Report, Industrial Refrigeration Consortium, College of Engineering, University of Wisconsin- Madison, US</b:Publisher>
    <b:RefOrder>5</b:RefOrder>
  </b:Source>
  <b:Source>
    <b:Tag>Mar</b:Tag>
    <b:SourceType>Report</b:SourceType>
    <b:Guid>{2BEC57BB-A5D4-4CE7-BB4F-C1612EAE68D9}</b:Guid>
    <b:Title>Energy Consumption Guide 37: Cold storage sector. ,</b:Title>
    <b:Author>
      <b:Author>
        <b:NameList>
          <b:Person>
            <b:Last>ETSU</b:Last>
          </b:Person>
        </b:NameList>
      </b:Author>
    </b:Author>
    <b:Year>1994</b:Year>
    <b:Publisher>Energy Efficiency office, Department of the Environment</b:Publisher>
    <b:City>UK</b:City>
    <b:RefOrder>4</b:RefOrder>
  </b:Source>
  <b:Source>
    <b:Tag>31E14</b:Tag>
    <b:SourceType>JournalArticle</b:SourceType>
    <b:Guid>{24B352FE-0100-41FA-A6F0-D3F92DB84E8B}</b:Guid>
    <b:Title>Assessment of methods to reduce the energy consumption of food cold stores</b:Title>
    <b:JournalName>Applied Thermal Engineering</b:JournalName>
    <b:Year>2014</b:Year>
    <b:Pages>697-705</b:Pages>
    <b:Volume>62</b:Volume>
    <b:Author>
      <b:Author>
        <b:NameList>
          <b:Person>
            <b:Last>Evans</b:Last>
            <b:Middle>A</b:Middle>
            <b:First>J</b:First>
          </b:Person>
          <b:Person>
            <b:Last>Hammond</b:Last>
            <b:Middle>C</b:Middle>
            <b:First>E</b:First>
          </b:Person>
          <b:Person>
            <b:Last>Gigiel</b:Last>
            <b:Middle>J</b:Middle>
            <b:First>A</b:First>
          </b:Person>
          <b:Person>
            <b:Last>Foster</b:Last>
            <b:Middle>M</b:Middle>
            <b:First>A</b:First>
          </b:Person>
          <b:Person>
            <b:Last>Reinholdt</b:Last>
            <b:First>L</b:First>
          </b:Person>
          <b:Person>
            <b:Last>Fikiin</b:Last>
            <b:First>K</b:First>
          </b:Person>
          <b:Person>
            <b:Last>Zilio</b:Last>
            <b:First>C</b:First>
          </b:Person>
        </b:NameList>
      </b:Author>
    </b:Author>
    <b:RefOrder>13</b:RefOrder>
  </b:Source>
  <b:Source>
    <b:Tag>Eva101</b:Tag>
    <b:SourceType>ConferenceProceedings</b:SourceType>
    <b:Guid>{98A3E08A-C4FC-497E-9551-8B4C2C8A9A9D}</b:Guid>
    <b:Author>
      <b:Author>
        <b:NameList>
          <b:Person>
            <b:Last>Evans</b:Last>
            <b:First>J</b:First>
            <b:Middle>A</b:Middle>
          </b:Person>
          <b:Person>
            <b:Last>Gigiel</b:Last>
            <b:First>A</b:First>
            <b:Middle>J</b:Middle>
          </b:Person>
        </b:NameList>
      </b:Author>
    </b:Author>
    <b:Title>Reducing energy consumption in cold storage rooms</b:Title>
    <b:Year>2010</b:Year>
    <b:ConferenceName>IIR ICCC</b:ConferenceName>
    <b:City>Cambridge</b:City>
    <b:RefOrder>12</b:RefOrder>
  </b:Source>
  <b:Source>
    <b:Tag>Eva071</b:Tag>
    <b:SourceType>ConferenceProceedings</b:SourceType>
    <b:Guid>{7F3F312D-0EBD-49C1-9252-D2EA0D77F8D6}</b:Guid>
    <b:Author>
      <b:Author>
        <b:NameList>
          <b:Person>
            <b:Last>Evans</b:Last>
            <b:First>J</b:First>
            <b:Middle>A</b:Middle>
          </b:Person>
          <b:Person>
            <b:Last>Gigiel</b:Last>
            <b:First>A</b:First>
            <b:Middle>J</b:Middle>
          </b:Person>
        </b:NameList>
      </b:Author>
    </b:Author>
    <b:Title>Reducing the energy consumption in cold stores</b:Title>
    <b:Year>2007</b:Year>
    <b:ConferenceName>The 22nd IIR International Congress of Refrigeration</b:ConferenceName>
    <b:City>Beijing</b:City>
    <b:RefOrder>11</b:RefOrder>
  </b:Source>
  <b:Source>
    <b:Tag>Mud11</b:Tag>
    <b:SourceType>Report</b:SourceType>
    <b:Guid>{D35B2549-0A28-481E-AD94-DB19EF6F1C87}</b:Guid>
    <b:Author>
      <b:Author>
        <b:NameList>
          <b:Person>
            <b:Last>Mudgal</b:Last>
            <b:First>S</b:First>
          </b:Person>
          <b:Person>
            <b:Last>Tinetti</b:Last>
            <b:First>B</b:First>
          </b:Person>
          <b:Person>
            <b:Last>Bain</b:Last>
            <b:First>J</b:First>
          </b:Person>
          <b:Person>
            <b:Last>Cervantes</b:Last>
            <b:First>R</b:First>
          </b:Person>
          <b:Person>
            <b:Last>de Prado Trigo</b:Last>
            <b:First>A</b:First>
          </b:Person>
        </b:NameList>
      </b:Author>
    </b:Author>
    <b:Title>Preparatory study for Eco-design requirements for EuPs, Lot 1. Task 2: Economic and market analysis</b:Title>
    <b:Year>2011</b:Year>
    <b:RefOrder>1</b:RefOrder>
  </b:Source>
  <b:Source>
    <b:Tag>Sin06</b:Tag>
    <b:SourceType>Report</b:SourceType>
    <b:Guid>{40A42B68-0114-4A88-8E39-0C449428E4E8}</b:Guid>
    <b:Author>
      <b:Author>
        <b:NameList>
          <b:Person>
            <b:Last>Singh</b:Last>
            <b:First>R</b:First>
            <b:Middle>P</b:Middle>
          </b:Person>
        </b:NameList>
      </b:Author>
    </b:Author>
    <b:Title>Benchmarking study of the refrigerated warehousing sector in California</b:Title>
    <b:Year>2006</b:Year>
    <b:Publisher>Public Interest Energy Research Program, California Energy Commission</b:Publisher>
    <b:RefOrder>6</b:RefOrder>
  </b:Source>
  <b:Source>
    <b:Tag>Wer06</b:Tag>
    <b:SourceType>ConferenceProceedings</b:SourceType>
    <b:Guid>{B00F3816-BAE3-4844-9F73-02FD18230827}</b:Guid>
    <b:Author>
      <b:Author>
        <b:NameList>
          <b:Person>
            <b:Last>Werner</b:Last>
            <b:First>S</b:First>
            <b:Middle>R</b:Middle>
          </b:Person>
          <b:Person>
            <b:Last>Vaino</b:Last>
            <b:First>F</b:First>
          </b:Person>
          <b:Person>
            <b:Last>Merts</b:Last>
            <b:First>I</b:First>
          </b:Person>
          <b:Person>
            <b:Last>Cleland</b:Last>
            <b:First>D</b:First>
            <b:Middle>J</b:Middle>
          </b:Person>
        </b:NameList>
      </b:Author>
    </b:Author>
    <b:Title>Energy use in the New Zealand cold storage industry</b:Title>
    <b:Year>2006</b:Year>
    <b:ConferenceName>IIR-IRHACE Conference</b:ConferenceName>
    <b:City>Auckland</b:City>
    <b:RefOrder>7</b:RefOrder>
  </b:Source>
  <b:Source>
    <b:Tag>Fos13</b:Tag>
    <b:SourceType>ConferenceProceedings</b:SourceType>
    <b:Guid>{1986BA10-B85B-4AFD-A623-3711452C1912}</b:Guid>
    <b:Title>Freely available cold store energy models</b:Title>
    <b:Year>2013</b:Year>
    <b:City>Paris</b:City>
    <b:Publisher>2nd IIR Conference on Sustainability and the Cold Chain</b:Publisher>
    <b:Author>
      <b:Author>
        <b:NameList>
          <b:Person>
            <b:Last>Foster</b:Last>
            <b:First>A</b:First>
          </b:Person>
          <b:Person>
            <b:Last>Zilio, C</b:Last>
            <b:First>C</b:First>
          </b:Person>
          <b:Person>
            <b:Last>Corradi</b:Last>
            <b:First>M</b:First>
          </b:Person>
          <b:Person>
            <b:Last>Reinhold</b:Last>
            <b:First>L</b:First>
          </b:Person>
          <b:Person>
            <b:Last>Evans</b:Last>
            <b:First>J</b:First>
          </b:Person>
        </b:NameList>
      </b:Author>
    </b:Author>
    <b:RefOrder>14</b:RefOrder>
  </b:Source>
  <b:Source>
    <b:Tag>Can13</b:Tag>
    <b:SourceType>InternetSite</b:SourceType>
    <b:Guid>{79109C36-420C-40EA-A92A-A419D29FF12C}</b:Guid>
    <b:Title>weatherbase</b:Title>
    <b:Year>2013</b:Year>
    <b:Author>
      <b:Author>
        <b:Corporate>LLC, Canty and Associates</b:Corporate>
      </b:Author>
    </b:Author>
    <b:YearAccessed>2013</b:YearAccessed>
    <b:MonthAccessed>July</b:MonthAccessed>
    <b:DayAccessed>16</b:DayAccessed>
    <b:URL>http://www.weatherbase.com/</b:URL>
    <b:RefOrder>16</b:RefOrder>
  </b:Source>
  <b:Source>
    <b:Tag>Swi14</b:Tag>
    <b:SourceType>Report</b:SourceType>
    <b:Guid>{A7ED068C-E01E-458E-94C3-FEF7732596F5}</b:Guid>
    <b:Author>
      <b:Author>
        <b:NameList>
          <b:Person>
            <b:Last>Swain</b:Last>
            <b:First>J</b:First>
          </b:Person>
        </b:NameList>
      </b:Author>
    </b:Author>
    <b:Title>Reducing the Energy Cost of Potato Storage (Final Report), Report No. 2010/14</b:Title>
    <b:Year>2010</b:Year>
    <b:Publisher>British Potato Council</b:Publisher>
    <b:RefOrder>10</b:RefOrder>
  </b:Source>
  <b:Source>
    <b:Tag>Cle94</b:Tag>
    <b:SourceType>JournalArticle</b:SourceType>
    <b:Guid>{833EA877-D1DE-4321-9F56-8639C6B54593}</b:Guid>
    <b:Title>Polynomial curve-fits for refrigerant thermodynamic properties: extension to include R134a</b:Title>
    <b:JournalName>Rev. Int. Froid</b:JournalName>
    <b:Year>1994</b:Year>
    <b:Pages>17(4):245-249</b:Pages>
    <b:Author>
      <b:Author>
        <b:NameList>
          <b:Person>
            <b:Last>Cleland</b:Last>
            <b:Middle>C</b:Middle>
            <b:First>A</b:First>
          </b:Person>
        </b:NameList>
      </b:Author>
    </b:Author>
    <b:RefOrder>15</b:RefOrder>
  </b:Source>
</b:Sources>
</file>

<file path=customXml/itemProps1.xml><?xml version="1.0" encoding="utf-8"?>
<ds:datastoreItem xmlns:ds="http://schemas.openxmlformats.org/officeDocument/2006/customXml" ds:itemID="{F6E41C05-84BB-439A-A2D5-BE009E4CB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3424</Words>
  <Characters>19522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22901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dc:creator>
  <cp:lastModifiedBy>Jude</cp:lastModifiedBy>
  <cp:revision>10</cp:revision>
  <dcterms:created xsi:type="dcterms:W3CDTF">2014-06-02T10:24:00Z</dcterms:created>
  <dcterms:modified xsi:type="dcterms:W3CDTF">2014-06-02T11:00:00Z</dcterms:modified>
</cp:coreProperties>
</file>