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4C5A" w14:textId="77777777" w:rsidR="00F818D4" w:rsidRPr="00B31A23" w:rsidRDefault="00F818D4" w:rsidP="00F818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480" w:lineRule="auto"/>
        <w:jc w:val="center"/>
        <w:textAlignment w:val="baseline"/>
        <w:rPr>
          <w:b/>
          <w:bCs/>
          <w:lang w:val="en-US" w:eastAsia="en-US"/>
        </w:rPr>
      </w:pPr>
      <w:r w:rsidRPr="00B31A23">
        <w:rPr>
          <w:b/>
          <w:bCs/>
          <w:lang w:val="en-US" w:eastAsia="en-US"/>
        </w:rPr>
        <w:t>The relative contribution of health cognitions and metacognitions about health anxiety to Cyberchondria: a prospective study</w:t>
      </w:r>
    </w:p>
    <w:p w14:paraId="314F02DF" w14:textId="77777777" w:rsidR="00F818D4" w:rsidRPr="00B31A23" w:rsidRDefault="00F818D4" w:rsidP="00F818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480" w:lineRule="auto"/>
        <w:textAlignment w:val="baseline"/>
        <w:rPr>
          <w:lang w:val="en-US" w:eastAsia="en-US"/>
        </w:rPr>
      </w:pPr>
    </w:p>
    <w:p w14:paraId="3F2DE740" w14:textId="77777777" w:rsidR="00F818D4" w:rsidRPr="00B31A23" w:rsidRDefault="00F818D4" w:rsidP="00F818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480" w:lineRule="auto"/>
        <w:jc w:val="center"/>
        <w:textAlignment w:val="baseline"/>
        <w:rPr>
          <w:lang w:val="en-US" w:eastAsia="en-US"/>
        </w:rPr>
      </w:pPr>
      <w:r w:rsidRPr="00B31A23">
        <w:rPr>
          <w:lang w:val="en-US" w:eastAsia="en-US"/>
        </w:rPr>
        <w:t>Regular Article</w:t>
      </w:r>
    </w:p>
    <w:p w14:paraId="5F0D4B9A" w14:textId="77777777" w:rsidR="00F818D4" w:rsidRPr="00B31A23" w:rsidRDefault="00F818D4" w:rsidP="00F818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480" w:lineRule="auto"/>
        <w:jc w:val="center"/>
        <w:textAlignment w:val="baseline"/>
        <w:rPr>
          <w:lang w:val="en-US" w:eastAsia="en-US"/>
        </w:rPr>
      </w:pPr>
    </w:p>
    <w:p w14:paraId="1C1A4C7B" w14:textId="77777777" w:rsidR="00F818D4" w:rsidRPr="00B31A23" w:rsidRDefault="00F818D4" w:rsidP="00F818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480" w:lineRule="auto"/>
        <w:jc w:val="center"/>
        <w:textAlignment w:val="baseline"/>
        <w:rPr>
          <w:i/>
          <w:iCs/>
          <w:lang w:val="en-US" w:eastAsia="en-US"/>
        </w:rPr>
      </w:pPr>
      <w:r w:rsidRPr="00B31A23">
        <w:rPr>
          <w:i/>
          <w:iCs/>
          <w:lang w:val="en-US" w:eastAsia="en-US"/>
        </w:rPr>
        <w:t>Date of submission: 17/11/2020</w:t>
      </w:r>
    </w:p>
    <w:p w14:paraId="1D8DF9CE" w14:textId="77DA49C9" w:rsidR="009960FB" w:rsidRPr="00B31A23" w:rsidRDefault="009960FB" w:rsidP="009960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480" w:lineRule="auto"/>
        <w:jc w:val="center"/>
        <w:textAlignment w:val="baseline"/>
        <w:rPr>
          <w:i/>
          <w:iCs/>
          <w:lang w:val="en-US" w:eastAsia="en-US"/>
        </w:rPr>
      </w:pPr>
      <w:r w:rsidRPr="00B31A23">
        <w:rPr>
          <w:i/>
          <w:iCs/>
          <w:lang w:val="en-US" w:eastAsia="en-US"/>
        </w:rPr>
        <w:t xml:space="preserve">Date of </w:t>
      </w:r>
      <w:r w:rsidR="00B00615" w:rsidRPr="00B31A23">
        <w:rPr>
          <w:i/>
          <w:iCs/>
          <w:lang w:val="en-US" w:eastAsia="en-US"/>
        </w:rPr>
        <w:t>first revised</w:t>
      </w:r>
      <w:r w:rsidRPr="00B31A23">
        <w:rPr>
          <w:i/>
          <w:iCs/>
          <w:lang w:val="en-US" w:eastAsia="en-US"/>
        </w:rPr>
        <w:t xml:space="preserve"> submission: 13/05/2021</w:t>
      </w:r>
    </w:p>
    <w:p w14:paraId="1629B87E" w14:textId="545073B8" w:rsidR="00B00615" w:rsidRPr="00B31A23" w:rsidRDefault="00B00615" w:rsidP="00B006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480" w:lineRule="auto"/>
        <w:jc w:val="center"/>
        <w:textAlignment w:val="baseline"/>
        <w:rPr>
          <w:i/>
          <w:iCs/>
          <w:lang w:val="en-US" w:eastAsia="en-US"/>
        </w:rPr>
      </w:pPr>
      <w:r w:rsidRPr="00B31A23">
        <w:rPr>
          <w:i/>
          <w:iCs/>
          <w:lang w:val="en-US" w:eastAsia="en-US"/>
        </w:rPr>
        <w:t xml:space="preserve">Date of second revised submission: </w:t>
      </w:r>
      <w:r w:rsidR="009605B5" w:rsidRPr="00B31A23">
        <w:rPr>
          <w:i/>
          <w:iCs/>
          <w:lang w:val="en-US" w:eastAsia="en-US"/>
        </w:rPr>
        <w:t>30</w:t>
      </w:r>
      <w:r w:rsidRPr="00B31A23">
        <w:rPr>
          <w:i/>
          <w:iCs/>
          <w:lang w:val="en-US" w:eastAsia="en-US"/>
        </w:rPr>
        <w:t>/</w:t>
      </w:r>
      <w:r w:rsidR="009605B5" w:rsidRPr="00B31A23">
        <w:rPr>
          <w:i/>
          <w:iCs/>
          <w:lang w:val="en-US" w:eastAsia="en-US"/>
        </w:rPr>
        <w:t>08</w:t>
      </w:r>
      <w:r w:rsidRPr="00B31A23">
        <w:rPr>
          <w:i/>
          <w:iCs/>
          <w:lang w:val="en-US" w:eastAsia="en-US"/>
        </w:rPr>
        <w:t>/2021</w:t>
      </w:r>
    </w:p>
    <w:p w14:paraId="0C4D8D13" w14:textId="77777777" w:rsidR="00B00615" w:rsidRPr="00B31A23" w:rsidRDefault="00B00615" w:rsidP="009960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480" w:lineRule="auto"/>
        <w:jc w:val="center"/>
        <w:textAlignment w:val="baseline"/>
        <w:rPr>
          <w:i/>
          <w:iCs/>
          <w:lang w:val="en-US" w:eastAsia="en-US"/>
        </w:rPr>
      </w:pPr>
    </w:p>
    <w:p w14:paraId="46C21371" w14:textId="77777777" w:rsidR="00F818D4" w:rsidRPr="00B31A23" w:rsidRDefault="00F818D4" w:rsidP="00F818D4">
      <w:pPr>
        <w:pStyle w:val="Corpo"/>
        <w:spacing w:line="480" w:lineRule="auto"/>
        <w:rPr>
          <w:rFonts w:ascii="Times New Roman" w:hAnsi="Times New Roman" w:cs="Times New Roman"/>
          <w:sz w:val="24"/>
          <w:szCs w:val="24"/>
          <w:lang w:val="en-GB"/>
        </w:rPr>
      </w:pPr>
      <w:r w:rsidRPr="00B31A23">
        <w:rPr>
          <w:rFonts w:ascii="Times New Roman" w:hAnsi="Times New Roman" w:cs="Times New Roman"/>
          <w:sz w:val="24"/>
          <w:szCs w:val="24"/>
          <w:lang w:val="en-GB"/>
        </w:rPr>
        <w:t>Sofia Airoldi</w:t>
      </w:r>
      <w:r w:rsidRPr="00B31A23">
        <w:rPr>
          <w:rFonts w:ascii="Times New Roman" w:hAnsi="Times New Roman" w:cs="Times New Roman"/>
          <w:sz w:val="24"/>
          <w:szCs w:val="24"/>
          <w:vertAlign w:val="superscript"/>
          <w:lang w:val="en-GB"/>
        </w:rPr>
        <w:t>a</w:t>
      </w:r>
      <w:r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shd w:val="clear" w:color="auto" w:fill="FFFFFF"/>
          <w:lang w:val="en-GB"/>
        </w:rPr>
        <w:t>Daniel C. Kolubinski</w:t>
      </w:r>
      <w:r w:rsidRPr="00B31A23">
        <w:rPr>
          <w:rFonts w:ascii="Times New Roman" w:hAnsi="Times New Roman" w:cs="Times New Roman"/>
          <w:sz w:val="24"/>
          <w:szCs w:val="24"/>
          <w:shd w:val="clear" w:color="auto" w:fill="FFFFFF"/>
          <w:vertAlign w:val="superscript"/>
          <w:lang w:val="en-GB"/>
        </w:rPr>
        <w:t>a</w:t>
      </w:r>
      <w:r w:rsidRPr="00B31A23">
        <w:rPr>
          <w:rFonts w:ascii="Times New Roman" w:hAnsi="Times New Roman" w:cs="Times New Roman"/>
          <w:sz w:val="24"/>
          <w:szCs w:val="24"/>
          <w:shd w:val="clear" w:color="auto" w:fill="FFFFFF"/>
          <w:lang w:val="en-GB"/>
        </w:rPr>
        <w:t>,</w:t>
      </w:r>
      <w:r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shd w:val="clear" w:color="auto" w:fill="FFFFFF"/>
          <w:lang w:val="es-ES"/>
        </w:rPr>
        <w:t>Ana V. Nikčević</w:t>
      </w:r>
      <w:r w:rsidRPr="00B31A23">
        <w:rPr>
          <w:rFonts w:ascii="Times New Roman" w:hAnsi="Times New Roman" w:cs="Times New Roman"/>
          <w:sz w:val="24"/>
          <w:szCs w:val="24"/>
          <w:shd w:val="clear" w:color="auto" w:fill="FFFFFF"/>
          <w:vertAlign w:val="superscript"/>
          <w:lang w:val="es-ES"/>
        </w:rPr>
        <w:t>b</w:t>
      </w:r>
      <w:r w:rsidRPr="00B31A23">
        <w:rPr>
          <w:rFonts w:ascii="Times New Roman" w:hAnsi="Times New Roman" w:cs="Times New Roman"/>
          <w:sz w:val="24"/>
          <w:szCs w:val="24"/>
          <w:lang w:val="en-GB"/>
        </w:rPr>
        <w:t xml:space="preserve"> and Marcantonio M. Spada</w:t>
      </w:r>
      <w:r w:rsidRPr="00B31A23">
        <w:rPr>
          <w:rFonts w:ascii="Times New Roman" w:hAnsi="Times New Roman" w:cs="Times New Roman"/>
          <w:sz w:val="24"/>
          <w:szCs w:val="24"/>
          <w:vertAlign w:val="superscript"/>
          <w:lang w:val="en-GB"/>
        </w:rPr>
        <w:t>a,*</w:t>
      </w:r>
      <w:r w:rsidRPr="00B31A23">
        <w:rPr>
          <w:rFonts w:ascii="Times New Roman" w:hAnsi="Times New Roman" w:cs="Times New Roman"/>
          <w:sz w:val="24"/>
          <w:szCs w:val="24"/>
          <w:lang w:val="en-GB"/>
        </w:rPr>
        <w:t xml:space="preserve"> </w:t>
      </w:r>
    </w:p>
    <w:p w14:paraId="1E70A94C" w14:textId="77777777" w:rsidR="00F818D4" w:rsidRPr="00B31A23" w:rsidRDefault="00F818D4" w:rsidP="00F818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480" w:lineRule="auto"/>
        <w:textAlignment w:val="baseline"/>
        <w:rPr>
          <w:vertAlign w:val="superscript"/>
          <w:lang w:val="en-GB"/>
        </w:rPr>
      </w:pPr>
    </w:p>
    <w:p w14:paraId="631B9AE1" w14:textId="77777777" w:rsidR="00F818D4" w:rsidRPr="00B31A23" w:rsidRDefault="00F818D4" w:rsidP="00F818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480" w:lineRule="auto"/>
        <w:textAlignment w:val="baseline"/>
        <w:rPr>
          <w:lang w:val="en-GB"/>
        </w:rPr>
      </w:pPr>
      <w:r w:rsidRPr="00B31A23">
        <w:rPr>
          <w:vertAlign w:val="superscript"/>
          <w:lang w:val="en-GB"/>
        </w:rPr>
        <w:t>a</w:t>
      </w:r>
      <w:r w:rsidRPr="00B31A23">
        <w:rPr>
          <w:lang w:val="en-GB"/>
        </w:rPr>
        <w:t>Division of Psychology, School of Applied Sciences, London South Bank University, London, UK</w:t>
      </w:r>
    </w:p>
    <w:p w14:paraId="35119483" w14:textId="77777777" w:rsidR="00F818D4" w:rsidRPr="00B31A23" w:rsidRDefault="00F818D4" w:rsidP="00F818D4">
      <w:pPr>
        <w:pStyle w:val="Default"/>
        <w:rPr>
          <w:rFonts w:ascii="Times New Roman" w:hAnsi="Times New Roman" w:cs="Times New Roman"/>
          <w:color w:val="auto"/>
          <w:sz w:val="24"/>
          <w:szCs w:val="24"/>
          <w:lang w:val="en-GB"/>
        </w:rPr>
      </w:pPr>
      <w:r w:rsidRPr="00B31A23">
        <w:rPr>
          <w:rFonts w:ascii="Times New Roman" w:hAnsi="Times New Roman" w:cs="Times New Roman"/>
          <w:sz w:val="24"/>
          <w:szCs w:val="24"/>
          <w:shd w:val="clear" w:color="auto" w:fill="FFFFFF"/>
          <w:vertAlign w:val="superscript"/>
        </w:rPr>
        <w:t>b</w:t>
      </w:r>
      <w:r w:rsidRPr="00B31A23">
        <w:rPr>
          <w:rFonts w:ascii="Times New Roman" w:hAnsi="Times New Roman" w:cs="Times New Roman"/>
          <w:color w:val="auto"/>
          <w:sz w:val="24"/>
          <w:szCs w:val="24"/>
          <w:lang w:val="en-GB"/>
        </w:rPr>
        <w:t>Department of Psychology, Kingston University, Kingston upon Thames, UK</w:t>
      </w:r>
    </w:p>
    <w:p w14:paraId="7E7B3935" w14:textId="77777777" w:rsidR="00F818D4" w:rsidRPr="00B31A23" w:rsidRDefault="00F818D4" w:rsidP="00F818D4">
      <w:pPr>
        <w:pStyle w:val="Default"/>
        <w:rPr>
          <w:rFonts w:ascii="Times New Roman" w:hAnsi="Times New Roman" w:cs="Times New Roman"/>
          <w:sz w:val="24"/>
          <w:szCs w:val="24"/>
          <w:shd w:val="clear" w:color="auto" w:fill="FFFFFF"/>
          <w:vertAlign w:val="superscript"/>
        </w:rPr>
      </w:pPr>
    </w:p>
    <w:p w14:paraId="584E9B5E" w14:textId="5C06C5A7" w:rsidR="00F818D4" w:rsidRPr="00B31A23" w:rsidRDefault="00F818D4" w:rsidP="00F818D4">
      <w:pPr>
        <w:pStyle w:val="Default"/>
        <w:jc w:val="both"/>
        <w:rPr>
          <w:rFonts w:ascii="Times New Roman" w:hAnsi="Times New Roman"/>
          <w:sz w:val="24"/>
          <w:szCs w:val="24"/>
        </w:rPr>
      </w:pPr>
      <w:r w:rsidRPr="00B31A23">
        <w:rPr>
          <w:rFonts w:ascii="Times New Roman" w:hAnsi="Times New Roman" w:cs="Times New Roman"/>
          <w:sz w:val="24"/>
          <w:szCs w:val="24"/>
          <w:shd w:val="clear" w:color="auto" w:fill="FFFFFF"/>
          <w:vertAlign w:val="superscript"/>
        </w:rPr>
        <w:t>*</w:t>
      </w:r>
      <w:r w:rsidRPr="00B31A23">
        <w:rPr>
          <w:rFonts w:ascii="Times New Roman" w:hAnsi="Times New Roman" w:cs="Times New Roman"/>
          <w:color w:val="auto"/>
          <w:sz w:val="24"/>
          <w:szCs w:val="24"/>
          <w:lang w:val="en-GB"/>
        </w:rPr>
        <w:t xml:space="preserve">Correspondence to: Professor Marcantonio M. Spada, Division of Psychology, School of Applied Sciences, London South Bank University, </w:t>
      </w:r>
      <w:hyperlink r:id="rId7" w:history="1">
        <w:r w:rsidRPr="00B31A23">
          <w:rPr>
            <w:rStyle w:val="Hyperlink"/>
            <w:rFonts w:ascii="Times New Roman" w:hAnsi="Times New Roman" w:cs="Times New Roman"/>
            <w:sz w:val="24"/>
            <w:szCs w:val="24"/>
            <w:lang w:val="en-GB"/>
          </w:rPr>
          <w:t>spadam@lsbu.ac.uk</w:t>
        </w:r>
      </w:hyperlink>
      <w:r w:rsidRPr="00B31A23">
        <w:rPr>
          <w:rFonts w:ascii="Times New Roman" w:hAnsi="Times New Roman" w:cs="Times New Roman"/>
          <w:color w:val="auto"/>
          <w:sz w:val="24"/>
          <w:szCs w:val="24"/>
          <w:lang w:val="en-GB"/>
        </w:rPr>
        <w:t xml:space="preserve">. </w:t>
      </w:r>
    </w:p>
    <w:p w14:paraId="0CF314E3" w14:textId="02E5325E" w:rsidR="00F818D4" w:rsidRPr="00B31A23" w:rsidRDefault="00F818D4" w:rsidP="00F818D4">
      <w:pPr>
        <w:rPr>
          <w:lang w:val="en-US" w:eastAsia="en-US"/>
        </w:rPr>
      </w:pPr>
    </w:p>
    <w:p w14:paraId="2DC9EB29" w14:textId="77777777" w:rsidR="00B00615" w:rsidRPr="00B31A23" w:rsidRDefault="00B00615" w:rsidP="00F818D4">
      <w:pPr>
        <w:rPr>
          <w:lang w:val="en-US" w:eastAsia="en-US"/>
        </w:rPr>
      </w:pPr>
    </w:p>
    <w:p w14:paraId="64750468" w14:textId="77777777" w:rsidR="00F818D4" w:rsidRPr="00B31A23" w:rsidRDefault="00F818D4" w:rsidP="00F818D4">
      <w:pPr>
        <w:pStyle w:val="ListParagraph"/>
        <w:numPr>
          <w:ilvl w:val="0"/>
          <w:numId w:val="13"/>
        </w:numPr>
        <w:spacing w:line="480" w:lineRule="auto"/>
        <w:rPr>
          <w:rFonts w:ascii="Times New Roman" w:hAnsi="Times New Roman" w:cs="Times New Roman"/>
          <w:sz w:val="24"/>
          <w:szCs w:val="24"/>
        </w:rPr>
      </w:pPr>
      <w:r w:rsidRPr="00B31A23">
        <w:rPr>
          <w:rFonts w:ascii="Times New Roman" w:hAnsi="Times New Roman" w:cs="Times New Roman"/>
          <w:sz w:val="24"/>
          <w:szCs w:val="24"/>
        </w:rPr>
        <w:t>Conflict of Interest: the authors have no conflict of interest to declare.</w:t>
      </w:r>
    </w:p>
    <w:p w14:paraId="7836EF9B" w14:textId="77777777" w:rsidR="00F818D4" w:rsidRPr="00B31A23" w:rsidRDefault="00F818D4" w:rsidP="00F818D4">
      <w:pPr>
        <w:pStyle w:val="ListParagraph"/>
        <w:numPr>
          <w:ilvl w:val="0"/>
          <w:numId w:val="13"/>
        </w:numPr>
        <w:spacing w:line="480" w:lineRule="auto"/>
        <w:rPr>
          <w:rFonts w:ascii="Times New Roman" w:hAnsi="Times New Roman" w:cs="Times New Roman"/>
          <w:sz w:val="24"/>
          <w:szCs w:val="24"/>
        </w:rPr>
      </w:pPr>
      <w:r w:rsidRPr="00B31A23">
        <w:rPr>
          <w:rFonts w:ascii="Times New Roman" w:hAnsi="Times New Roman" w:cs="Times New Roman"/>
          <w:sz w:val="24"/>
          <w:szCs w:val="24"/>
        </w:rPr>
        <w:t>Ethics approval: Research ethics approval was obtained to conduct the study from the Division of Psychology Ethics Committee at London South Bank University, London, United Kingdom.</w:t>
      </w:r>
    </w:p>
    <w:p w14:paraId="6E9307BD" w14:textId="77777777" w:rsidR="00F818D4" w:rsidRPr="00B31A23" w:rsidRDefault="00F818D4" w:rsidP="00F818D4">
      <w:pPr>
        <w:pStyle w:val="ListParagraph"/>
        <w:numPr>
          <w:ilvl w:val="0"/>
          <w:numId w:val="13"/>
        </w:numPr>
        <w:spacing w:line="480" w:lineRule="auto"/>
        <w:rPr>
          <w:rFonts w:ascii="Times New Roman" w:hAnsi="Times New Roman" w:cs="Times New Roman"/>
          <w:sz w:val="24"/>
          <w:szCs w:val="24"/>
        </w:rPr>
      </w:pPr>
      <w:r w:rsidRPr="00B31A23">
        <w:rPr>
          <w:rFonts w:ascii="Times New Roman" w:hAnsi="Times New Roman" w:cs="Times New Roman"/>
          <w:sz w:val="24"/>
          <w:szCs w:val="24"/>
        </w:rPr>
        <w:t>Informed consent: Written informed consent was obtained from all participants.</w:t>
      </w:r>
    </w:p>
    <w:p w14:paraId="199CD65F" w14:textId="77777777" w:rsidR="00F818D4" w:rsidRPr="00B31A23" w:rsidRDefault="00F818D4" w:rsidP="00F818D4">
      <w:pPr>
        <w:pStyle w:val="ListParagraph"/>
        <w:numPr>
          <w:ilvl w:val="0"/>
          <w:numId w:val="13"/>
        </w:numPr>
        <w:spacing w:line="480" w:lineRule="auto"/>
        <w:jc w:val="both"/>
        <w:rPr>
          <w:rFonts w:ascii="Times New Roman" w:hAnsi="Times New Roman" w:cs="Times New Roman"/>
          <w:sz w:val="24"/>
          <w:szCs w:val="24"/>
        </w:rPr>
      </w:pPr>
      <w:r w:rsidRPr="00B31A23">
        <w:rPr>
          <w:rFonts w:ascii="Times New Roman" w:hAnsi="Times New Roman" w:cs="Times New Roman"/>
          <w:sz w:val="24"/>
          <w:szCs w:val="24"/>
        </w:rPr>
        <w:t xml:space="preserve">Authors’ contribution: Sofia Airoldi and Marcantonio M. Spada have made contributions to conception and design, acquisition, and interpretation of data. All authors have been involved in drafting the manuscript and have given final approval of the version to be submitted for publication. </w:t>
      </w:r>
    </w:p>
    <w:p w14:paraId="69CA732D" w14:textId="2E217766" w:rsidR="00094336" w:rsidRPr="00B31A23" w:rsidRDefault="0073720E" w:rsidP="00355C22">
      <w:pPr>
        <w:pStyle w:val="Corpo"/>
        <w:spacing w:line="480" w:lineRule="auto"/>
        <w:jc w:val="center"/>
        <w:rPr>
          <w:rFonts w:ascii="Times New Roman" w:eastAsia="Times New Roman" w:hAnsi="Times New Roman" w:cs="Times New Roman"/>
          <w:b/>
          <w:bCs/>
          <w:sz w:val="24"/>
          <w:szCs w:val="24"/>
          <w:lang w:val="en-US"/>
        </w:rPr>
      </w:pPr>
      <w:r w:rsidRPr="00B31A23">
        <w:rPr>
          <w:rFonts w:ascii="Times New Roman" w:hAnsi="Times New Roman" w:cs="Times New Roman"/>
          <w:b/>
          <w:bCs/>
          <w:sz w:val="24"/>
          <w:szCs w:val="24"/>
          <w:lang w:val="en-US"/>
        </w:rPr>
        <w:lastRenderedPageBreak/>
        <w:t>Abstract</w:t>
      </w:r>
    </w:p>
    <w:p w14:paraId="3B846F37" w14:textId="77777777" w:rsidR="004A3D28" w:rsidRPr="00B31A23" w:rsidRDefault="004A3D28" w:rsidP="004A3D28">
      <w:pPr>
        <w:pStyle w:val="Corpo"/>
        <w:spacing w:line="480" w:lineRule="auto"/>
        <w:jc w:val="both"/>
        <w:rPr>
          <w:rFonts w:ascii="Times New Roman" w:eastAsia="Times New Roman" w:hAnsi="Times New Roman" w:cs="Times New Roman"/>
          <w:b/>
          <w:bCs/>
          <w:sz w:val="24"/>
          <w:szCs w:val="24"/>
          <w:lang w:val="en-US"/>
        </w:rPr>
      </w:pPr>
      <w:r w:rsidRPr="00B31A23">
        <w:rPr>
          <w:rFonts w:ascii="Times New Roman" w:eastAsia="Times New Roman" w:hAnsi="Times New Roman" w:cs="Times New Roman"/>
          <w:b/>
          <w:bCs/>
          <w:sz w:val="24"/>
          <w:szCs w:val="24"/>
          <w:lang w:val="en-US"/>
        </w:rPr>
        <w:t>Objectives</w:t>
      </w:r>
    </w:p>
    <w:p w14:paraId="62AB69C5" w14:textId="4D414FFC" w:rsidR="004A3D28" w:rsidRPr="00B31A23" w:rsidRDefault="004A3D28" w:rsidP="004A3D28">
      <w:pPr>
        <w:pStyle w:val="Corpo"/>
        <w:spacing w:line="480" w:lineRule="auto"/>
        <w:jc w:val="both"/>
        <w:rPr>
          <w:rFonts w:ascii="Times New Roman" w:eastAsia="Times New Roman" w:hAnsi="Times New Roman" w:cs="Times New Roman"/>
          <w:sz w:val="24"/>
          <w:szCs w:val="24"/>
          <w:lang w:val="en-US"/>
        </w:rPr>
      </w:pPr>
      <w:r w:rsidRPr="00B31A23">
        <w:rPr>
          <w:rFonts w:ascii="Times New Roman" w:eastAsia="Times New Roman" w:hAnsi="Times New Roman" w:cs="Times New Roman"/>
          <w:sz w:val="24"/>
          <w:szCs w:val="24"/>
          <w:lang w:val="en-US"/>
        </w:rPr>
        <w:t xml:space="preserve">Cyberchondria involves the excessive and compulsive use of the Internet to search for health information. The present study investigated the relative contribution of </w:t>
      </w:r>
      <w:r w:rsidRPr="00B31A23">
        <w:rPr>
          <w:rFonts w:ascii="Times New Roman" w:eastAsia="Times New Roman" w:hAnsi="Times New Roman" w:cs="Times New Roman"/>
          <w:color w:val="auto"/>
          <w:sz w:val="24"/>
          <w:szCs w:val="24"/>
          <w:lang w:val="en-US"/>
        </w:rPr>
        <w:t xml:space="preserve">health cognitions </w:t>
      </w:r>
      <w:r w:rsidRPr="00B31A23">
        <w:rPr>
          <w:rFonts w:ascii="Times New Roman" w:eastAsia="Times New Roman" w:hAnsi="Times New Roman" w:cs="Times New Roman"/>
          <w:sz w:val="24"/>
          <w:szCs w:val="24"/>
          <w:lang w:val="en-US"/>
        </w:rPr>
        <w:t xml:space="preserve">and metacognitions about health anxiety to prospective Cyberchondria scores, controlling for health anxiety and </w:t>
      </w:r>
      <w:r w:rsidR="002539D1" w:rsidRPr="00B31A23">
        <w:rPr>
          <w:rFonts w:ascii="Times New Roman" w:hAnsi="Times New Roman" w:cs="Times New Roman"/>
          <w:sz w:val="24"/>
          <w:szCs w:val="24"/>
          <w:lang w:val="en-US"/>
        </w:rPr>
        <w:t>hours spent online per day</w:t>
      </w:r>
      <w:r w:rsidRPr="00B31A23">
        <w:rPr>
          <w:rFonts w:ascii="Times New Roman" w:eastAsia="Times New Roman" w:hAnsi="Times New Roman" w:cs="Times New Roman"/>
          <w:sz w:val="24"/>
          <w:szCs w:val="24"/>
          <w:lang w:val="en-US"/>
        </w:rPr>
        <w:t xml:space="preserve">. </w:t>
      </w:r>
    </w:p>
    <w:p w14:paraId="65058DC5" w14:textId="77777777" w:rsidR="004A3D28" w:rsidRPr="00B31A23" w:rsidRDefault="004A3D28" w:rsidP="004A3D28">
      <w:pPr>
        <w:pStyle w:val="Corpo"/>
        <w:spacing w:line="480" w:lineRule="auto"/>
        <w:jc w:val="both"/>
        <w:rPr>
          <w:rFonts w:ascii="Times New Roman" w:eastAsia="Times New Roman" w:hAnsi="Times New Roman" w:cs="Times New Roman"/>
          <w:b/>
          <w:bCs/>
          <w:sz w:val="24"/>
          <w:szCs w:val="24"/>
          <w:lang w:val="en-US"/>
        </w:rPr>
      </w:pPr>
      <w:r w:rsidRPr="00B31A23">
        <w:rPr>
          <w:rFonts w:ascii="Times New Roman" w:eastAsia="Times New Roman" w:hAnsi="Times New Roman" w:cs="Times New Roman"/>
          <w:b/>
          <w:bCs/>
          <w:sz w:val="24"/>
          <w:szCs w:val="24"/>
          <w:lang w:val="en-US"/>
        </w:rPr>
        <w:t>Methods</w:t>
      </w:r>
    </w:p>
    <w:p w14:paraId="211CAB4A" w14:textId="5279B07B" w:rsidR="004A3D28" w:rsidRPr="00B31A23" w:rsidRDefault="00E77011" w:rsidP="004A3D28">
      <w:pPr>
        <w:pStyle w:val="Corpo"/>
        <w:spacing w:line="480" w:lineRule="auto"/>
        <w:jc w:val="both"/>
        <w:rPr>
          <w:rFonts w:ascii="Times New Roman" w:eastAsia="Times New Roman" w:hAnsi="Times New Roman" w:cs="Times New Roman"/>
          <w:sz w:val="24"/>
          <w:szCs w:val="24"/>
          <w:lang w:val="en-US"/>
        </w:rPr>
      </w:pPr>
      <w:r w:rsidRPr="00B31A23">
        <w:rPr>
          <w:rFonts w:ascii="Times New Roman" w:eastAsia="Times New Roman" w:hAnsi="Times New Roman" w:cs="Times New Roman"/>
          <w:sz w:val="24"/>
          <w:szCs w:val="24"/>
          <w:lang w:val="en-US"/>
        </w:rPr>
        <w:t>A convenience sample of 221 participants was recruited for the purpose of this study with a final sample totaling 125 participants (58.4% females, Mage 34.51 years)</w:t>
      </w:r>
      <w:r w:rsidR="004A3D28" w:rsidRPr="00B31A23">
        <w:rPr>
          <w:rFonts w:ascii="Times New Roman" w:eastAsia="Times New Roman" w:hAnsi="Times New Roman" w:cs="Times New Roman"/>
          <w:sz w:val="24"/>
          <w:szCs w:val="24"/>
          <w:lang w:val="en-US"/>
        </w:rPr>
        <w:t xml:space="preserve"> who completed the full survey at baseline (T</w:t>
      </w:r>
      <w:r w:rsidR="004A3D28" w:rsidRPr="00B31A23">
        <w:rPr>
          <w:rFonts w:ascii="Times New Roman" w:eastAsia="Times New Roman" w:hAnsi="Times New Roman" w:cs="Times New Roman"/>
          <w:sz w:val="24"/>
          <w:szCs w:val="24"/>
          <w:vertAlign w:val="subscript"/>
          <w:lang w:val="en-US"/>
        </w:rPr>
        <w:t>0</w:t>
      </w:r>
      <w:r w:rsidR="004A3D28" w:rsidRPr="00B31A23">
        <w:rPr>
          <w:rFonts w:ascii="Times New Roman" w:eastAsia="Times New Roman" w:hAnsi="Times New Roman" w:cs="Times New Roman"/>
          <w:sz w:val="24"/>
          <w:szCs w:val="24"/>
          <w:lang w:val="en-US"/>
        </w:rPr>
        <w:t>) and a measure of Cyberchondria after thirty days (T</w:t>
      </w:r>
      <w:r w:rsidR="004A3D28" w:rsidRPr="00B31A23">
        <w:rPr>
          <w:rFonts w:ascii="Times New Roman" w:eastAsia="Times New Roman" w:hAnsi="Times New Roman" w:cs="Times New Roman"/>
          <w:sz w:val="24"/>
          <w:szCs w:val="24"/>
          <w:vertAlign w:val="subscript"/>
          <w:lang w:val="en-US"/>
        </w:rPr>
        <w:t>1</w:t>
      </w:r>
      <w:r w:rsidR="004A3D28" w:rsidRPr="00B31A23">
        <w:rPr>
          <w:rFonts w:ascii="Times New Roman" w:eastAsia="Times New Roman" w:hAnsi="Times New Roman" w:cs="Times New Roman"/>
          <w:sz w:val="24"/>
          <w:szCs w:val="24"/>
          <w:lang w:val="en-US"/>
        </w:rPr>
        <w:t xml:space="preserve">). </w:t>
      </w:r>
    </w:p>
    <w:p w14:paraId="63E3FEDC" w14:textId="77777777" w:rsidR="004A3D28" w:rsidRPr="00B31A23" w:rsidRDefault="004A3D28" w:rsidP="004A3D28">
      <w:pPr>
        <w:pStyle w:val="Corpo"/>
        <w:spacing w:line="480" w:lineRule="auto"/>
        <w:jc w:val="both"/>
        <w:rPr>
          <w:rFonts w:ascii="Times New Roman" w:eastAsia="Times New Roman" w:hAnsi="Times New Roman" w:cs="Times New Roman"/>
          <w:b/>
          <w:bCs/>
          <w:sz w:val="24"/>
          <w:szCs w:val="24"/>
          <w:lang w:val="en-US"/>
        </w:rPr>
      </w:pPr>
      <w:r w:rsidRPr="00B31A23">
        <w:rPr>
          <w:rFonts w:ascii="Times New Roman" w:eastAsia="Times New Roman" w:hAnsi="Times New Roman" w:cs="Times New Roman"/>
          <w:b/>
          <w:bCs/>
          <w:sz w:val="24"/>
          <w:szCs w:val="24"/>
          <w:lang w:val="en-US"/>
        </w:rPr>
        <w:t>Results</w:t>
      </w:r>
    </w:p>
    <w:p w14:paraId="3CB53AFA" w14:textId="77777777" w:rsidR="004A3D28" w:rsidRPr="00B31A23" w:rsidRDefault="004A3D28" w:rsidP="004A3D28">
      <w:pPr>
        <w:pStyle w:val="Corpo"/>
        <w:spacing w:line="480" w:lineRule="auto"/>
        <w:jc w:val="both"/>
        <w:rPr>
          <w:rFonts w:ascii="Times New Roman" w:eastAsia="Times New Roman" w:hAnsi="Times New Roman" w:cs="Times New Roman"/>
          <w:sz w:val="24"/>
          <w:szCs w:val="24"/>
          <w:lang w:val="en-US"/>
        </w:rPr>
      </w:pPr>
      <w:r w:rsidRPr="00B31A23">
        <w:rPr>
          <w:rFonts w:ascii="Times New Roman" w:eastAsia="Times New Roman" w:hAnsi="Times New Roman" w:cs="Times New Roman"/>
          <w:sz w:val="24"/>
          <w:szCs w:val="24"/>
          <w:lang w:val="en-US"/>
        </w:rPr>
        <w:t xml:space="preserve">The results of the study showed that </w:t>
      </w:r>
      <w:bookmarkStart w:id="0" w:name="_Hlk51572928"/>
      <w:r w:rsidRPr="00B31A23">
        <w:rPr>
          <w:rFonts w:ascii="Times New Roman" w:eastAsia="Times New Roman" w:hAnsi="Times New Roman" w:cs="Times New Roman"/>
          <w:sz w:val="24"/>
          <w:szCs w:val="24"/>
          <w:lang w:val="en-US"/>
        </w:rPr>
        <w:t xml:space="preserve">metacognitions about health anxiety relating to </w:t>
      </w:r>
      <w:bookmarkEnd w:id="0"/>
      <w:r w:rsidRPr="00B31A23">
        <w:rPr>
          <w:rFonts w:ascii="Times New Roman" w:hAnsi="Times New Roman" w:cs="Times New Roman"/>
          <w:sz w:val="24"/>
          <w:szCs w:val="24"/>
          <w:lang w:val="en-US"/>
        </w:rPr>
        <w:t>beliefs about the uncontrollability of thoughts</w:t>
      </w:r>
      <w:r w:rsidRPr="00B31A23">
        <w:rPr>
          <w:rFonts w:ascii="Times New Roman" w:eastAsia="Times New Roman" w:hAnsi="Times New Roman" w:cs="Times New Roman"/>
          <w:sz w:val="24"/>
          <w:szCs w:val="24"/>
          <w:lang w:val="en-US"/>
        </w:rPr>
        <w:t xml:space="preserve"> were the only significant predictor of prospective Cyberchondria scores when controlling for health anxiety. </w:t>
      </w:r>
    </w:p>
    <w:p w14:paraId="083C1861" w14:textId="695C10BF" w:rsidR="00355C22" w:rsidRPr="00B31A23" w:rsidRDefault="00355C22">
      <w:pPr>
        <w:pStyle w:val="Corpo"/>
        <w:spacing w:line="480" w:lineRule="auto"/>
        <w:jc w:val="both"/>
        <w:rPr>
          <w:rFonts w:ascii="Times New Roman" w:eastAsia="Times New Roman" w:hAnsi="Times New Roman" w:cs="Times New Roman"/>
          <w:b/>
          <w:bCs/>
          <w:sz w:val="24"/>
          <w:szCs w:val="24"/>
          <w:lang w:val="en-US"/>
        </w:rPr>
      </w:pPr>
      <w:r w:rsidRPr="00B31A23">
        <w:rPr>
          <w:rFonts w:ascii="Times New Roman" w:eastAsia="Times New Roman" w:hAnsi="Times New Roman" w:cs="Times New Roman"/>
          <w:b/>
          <w:bCs/>
          <w:sz w:val="24"/>
          <w:szCs w:val="24"/>
          <w:lang w:val="en-US"/>
        </w:rPr>
        <w:t>Conclusions</w:t>
      </w:r>
    </w:p>
    <w:p w14:paraId="1DFB0BA5" w14:textId="3F3788B6" w:rsidR="006A38F6" w:rsidRPr="00B31A23" w:rsidRDefault="00D26401">
      <w:pPr>
        <w:pStyle w:val="Corpo"/>
        <w:spacing w:line="480" w:lineRule="auto"/>
        <w:jc w:val="both"/>
        <w:rPr>
          <w:rFonts w:ascii="Times New Roman" w:eastAsia="Times New Roman" w:hAnsi="Times New Roman" w:cs="Times New Roman"/>
          <w:sz w:val="24"/>
          <w:szCs w:val="24"/>
          <w:lang w:val="en-US"/>
        </w:rPr>
      </w:pPr>
      <w:r w:rsidRPr="00B31A23">
        <w:rPr>
          <w:rFonts w:ascii="Times New Roman" w:eastAsia="Times New Roman" w:hAnsi="Times New Roman" w:cs="Times New Roman"/>
          <w:sz w:val="24"/>
          <w:szCs w:val="24"/>
          <w:lang w:val="en-US"/>
        </w:rPr>
        <w:t xml:space="preserve">These results offer further support to the </w:t>
      </w:r>
      <w:r w:rsidR="003F3C05" w:rsidRPr="00B31A23">
        <w:rPr>
          <w:rFonts w:ascii="Times New Roman" w:eastAsia="Times New Roman" w:hAnsi="Times New Roman" w:cs="Times New Roman"/>
          <w:sz w:val="24"/>
          <w:szCs w:val="24"/>
          <w:lang w:val="en-US"/>
        </w:rPr>
        <w:t xml:space="preserve">role of </w:t>
      </w:r>
      <w:r w:rsidR="008E4519" w:rsidRPr="00B31A23">
        <w:rPr>
          <w:rFonts w:ascii="Times New Roman" w:eastAsia="Times New Roman" w:hAnsi="Times New Roman" w:cs="Times New Roman"/>
          <w:sz w:val="24"/>
          <w:szCs w:val="24"/>
          <w:lang w:val="en-US"/>
        </w:rPr>
        <w:t xml:space="preserve">beliefs about the uncontrollability of thoughts </w:t>
      </w:r>
      <w:r w:rsidR="003F3C05" w:rsidRPr="00B31A23">
        <w:rPr>
          <w:rFonts w:ascii="Times New Roman" w:eastAsia="Times New Roman" w:hAnsi="Times New Roman" w:cs="Times New Roman"/>
          <w:sz w:val="24"/>
          <w:szCs w:val="24"/>
          <w:lang w:val="en-US"/>
        </w:rPr>
        <w:t>in</w:t>
      </w:r>
      <w:r w:rsidRPr="00B31A23">
        <w:rPr>
          <w:rFonts w:ascii="Times New Roman" w:eastAsia="Times New Roman" w:hAnsi="Times New Roman" w:cs="Times New Roman"/>
          <w:sz w:val="24"/>
          <w:szCs w:val="24"/>
          <w:lang w:val="en-US"/>
        </w:rPr>
        <w:t xml:space="preserve"> </w:t>
      </w:r>
      <w:r w:rsidR="00D272BA" w:rsidRPr="00B31A23">
        <w:rPr>
          <w:rFonts w:ascii="Times New Roman" w:eastAsia="Times New Roman" w:hAnsi="Times New Roman" w:cs="Times New Roman"/>
          <w:sz w:val="24"/>
          <w:szCs w:val="24"/>
          <w:lang w:val="en-US"/>
        </w:rPr>
        <w:t>C</w:t>
      </w:r>
      <w:r w:rsidRPr="00B31A23">
        <w:rPr>
          <w:rFonts w:ascii="Times New Roman" w:eastAsia="Times New Roman" w:hAnsi="Times New Roman" w:cs="Times New Roman"/>
          <w:sz w:val="24"/>
          <w:szCs w:val="24"/>
          <w:lang w:val="en-US"/>
        </w:rPr>
        <w:t>yberchondria.</w:t>
      </w:r>
      <w:r w:rsidR="001E72B8" w:rsidRPr="00B31A23">
        <w:rPr>
          <w:rFonts w:ascii="Times New Roman" w:eastAsia="Times New Roman" w:hAnsi="Times New Roman" w:cs="Times New Roman"/>
          <w:sz w:val="24"/>
          <w:szCs w:val="24"/>
          <w:lang w:val="en-US"/>
        </w:rPr>
        <w:t xml:space="preserve"> The implications of the findings are discussed.</w:t>
      </w:r>
    </w:p>
    <w:p w14:paraId="4A9589EA" w14:textId="77777777" w:rsidR="00051725" w:rsidRPr="00B31A23" w:rsidRDefault="00051725" w:rsidP="00051725">
      <w:pPr>
        <w:pStyle w:val="Corpo"/>
        <w:spacing w:line="480" w:lineRule="auto"/>
        <w:jc w:val="both"/>
        <w:rPr>
          <w:rFonts w:ascii="Times New Roman" w:eastAsia="Times New Roman" w:hAnsi="Times New Roman" w:cs="Times New Roman"/>
          <w:i/>
          <w:iCs/>
          <w:sz w:val="24"/>
          <w:szCs w:val="24"/>
          <w:lang w:val="en-US"/>
        </w:rPr>
      </w:pPr>
    </w:p>
    <w:p w14:paraId="7D7A82AD" w14:textId="0B875861" w:rsidR="001E72B8" w:rsidRPr="00B31A23" w:rsidRDefault="008C74F1" w:rsidP="001E72B8">
      <w:pPr>
        <w:pStyle w:val="Corpo"/>
        <w:spacing w:line="480" w:lineRule="auto"/>
        <w:jc w:val="both"/>
        <w:rPr>
          <w:rFonts w:ascii="Times New Roman" w:eastAsia="Times New Roman" w:hAnsi="Times New Roman" w:cs="Times New Roman"/>
          <w:sz w:val="24"/>
          <w:szCs w:val="24"/>
          <w:lang w:val="en-US"/>
        </w:rPr>
      </w:pPr>
      <w:r w:rsidRPr="00B31A23">
        <w:rPr>
          <w:rFonts w:ascii="Times New Roman" w:eastAsia="Times New Roman" w:hAnsi="Times New Roman" w:cs="Times New Roman"/>
          <w:i/>
          <w:iCs/>
          <w:sz w:val="24"/>
          <w:szCs w:val="24"/>
          <w:lang w:val="en-US"/>
        </w:rPr>
        <w:t>Keywords:</w:t>
      </w:r>
      <w:r w:rsidRPr="00B31A23">
        <w:rPr>
          <w:rFonts w:ascii="Times New Roman" w:eastAsia="Times New Roman" w:hAnsi="Times New Roman" w:cs="Times New Roman"/>
          <w:b/>
          <w:bCs/>
          <w:sz w:val="24"/>
          <w:szCs w:val="24"/>
          <w:lang w:val="en-US"/>
        </w:rPr>
        <w:t xml:space="preserve"> </w:t>
      </w:r>
      <w:r w:rsidR="003F3C05" w:rsidRPr="00B31A23">
        <w:rPr>
          <w:rFonts w:ascii="Times New Roman" w:eastAsia="Times New Roman" w:hAnsi="Times New Roman" w:cs="Times New Roman"/>
          <w:sz w:val="24"/>
          <w:szCs w:val="24"/>
          <w:lang w:val="en-US"/>
        </w:rPr>
        <w:t>C</w:t>
      </w:r>
      <w:r w:rsidRPr="00B31A23">
        <w:rPr>
          <w:rFonts w:ascii="Times New Roman" w:eastAsia="Times New Roman" w:hAnsi="Times New Roman" w:cs="Times New Roman"/>
          <w:sz w:val="24"/>
          <w:szCs w:val="24"/>
          <w:lang w:val="en-US"/>
        </w:rPr>
        <w:t xml:space="preserve">yberchondria; </w:t>
      </w:r>
      <w:r w:rsidR="003F3C05" w:rsidRPr="00B31A23">
        <w:rPr>
          <w:rFonts w:ascii="Times New Roman" w:eastAsia="Times New Roman" w:hAnsi="Times New Roman" w:cs="Times New Roman"/>
          <w:sz w:val="24"/>
          <w:szCs w:val="24"/>
          <w:lang w:val="en-US"/>
        </w:rPr>
        <w:t xml:space="preserve">health anxiety; health </w:t>
      </w:r>
      <w:r w:rsidRPr="00B31A23">
        <w:rPr>
          <w:rFonts w:ascii="Times New Roman" w:eastAsia="Times New Roman" w:hAnsi="Times New Roman" w:cs="Times New Roman"/>
          <w:sz w:val="24"/>
          <w:szCs w:val="24"/>
          <w:lang w:val="en-US"/>
        </w:rPr>
        <w:t>cognitions; metacognition</w:t>
      </w:r>
      <w:r w:rsidR="003F3C05" w:rsidRPr="00B31A23">
        <w:rPr>
          <w:rFonts w:ascii="Times New Roman" w:eastAsia="Times New Roman" w:hAnsi="Times New Roman" w:cs="Times New Roman"/>
          <w:sz w:val="24"/>
          <w:szCs w:val="24"/>
          <w:lang w:val="en-US"/>
        </w:rPr>
        <w:t>s about health anxiety</w:t>
      </w:r>
      <w:r w:rsidRPr="00B31A23">
        <w:rPr>
          <w:rFonts w:ascii="Times New Roman" w:eastAsia="Times New Roman" w:hAnsi="Times New Roman" w:cs="Times New Roman"/>
          <w:sz w:val="24"/>
          <w:szCs w:val="24"/>
          <w:lang w:val="en-US"/>
        </w:rPr>
        <w:t>.</w:t>
      </w:r>
    </w:p>
    <w:p w14:paraId="625632B0" w14:textId="1FE385A5" w:rsidR="004A3D28" w:rsidRPr="00B31A23" w:rsidRDefault="004A3D28" w:rsidP="001E72B8">
      <w:pPr>
        <w:pStyle w:val="Corpo"/>
        <w:spacing w:line="480" w:lineRule="auto"/>
        <w:jc w:val="both"/>
        <w:rPr>
          <w:rFonts w:ascii="Times New Roman" w:eastAsia="Times New Roman" w:hAnsi="Times New Roman" w:cs="Times New Roman"/>
          <w:sz w:val="24"/>
          <w:szCs w:val="24"/>
          <w:lang w:val="en-US"/>
        </w:rPr>
      </w:pPr>
    </w:p>
    <w:p w14:paraId="768AE082" w14:textId="48D3C5B3" w:rsidR="004A3D28" w:rsidRPr="00B31A23" w:rsidRDefault="004A3D28" w:rsidP="001E72B8">
      <w:pPr>
        <w:pStyle w:val="Corpo"/>
        <w:spacing w:line="480" w:lineRule="auto"/>
        <w:jc w:val="both"/>
        <w:rPr>
          <w:rFonts w:ascii="Times New Roman" w:eastAsia="Times New Roman" w:hAnsi="Times New Roman" w:cs="Times New Roman"/>
          <w:sz w:val="24"/>
          <w:szCs w:val="24"/>
          <w:lang w:val="en-US"/>
        </w:rPr>
      </w:pPr>
    </w:p>
    <w:p w14:paraId="7F544235" w14:textId="5E7CF7D1" w:rsidR="004A3D28" w:rsidRPr="00B31A23" w:rsidRDefault="004A3D28" w:rsidP="001E72B8">
      <w:pPr>
        <w:pStyle w:val="Corpo"/>
        <w:spacing w:line="480" w:lineRule="auto"/>
        <w:jc w:val="both"/>
        <w:rPr>
          <w:rFonts w:ascii="Times New Roman" w:eastAsia="Times New Roman" w:hAnsi="Times New Roman" w:cs="Times New Roman"/>
          <w:sz w:val="24"/>
          <w:szCs w:val="24"/>
          <w:lang w:val="en-US"/>
        </w:rPr>
      </w:pPr>
    </w:p>
    <w:p w14:paraId="7B3C03D5" w14:textId="486C0CB2" w:rsidR="004A3D28" w:rsidRPr="00B31A23" w:rsidRDefault="004A3D28" w:rsidP="001E72B8">
      <w:pPr>
        <w:pStyle w:val="Corpo"/>
        <w:spacing w:line="480" w:lineRule="auto"/>
        <w:jc w:val="both"/>
        <w:rPr>
          <w:rFonts w:ascii="Times New Roman" w:eastAsia="Times New Roman" w:hAnsi="Times New Roman" w:cs="Times New Roman"/>
          <w:sz w:val="24"/>
          <w:szCs w:val="24"/>
          <w:lang w:val="en-US"/>
        </w:rPr>
      </w:pPr>
    </w:p>
    <w:p w14:paraId="742FEE7D" w14:textId="6DDD2BD7" w:rsidR="004A3D28" w:rsidRPr="00B31A23" w:rsidRDefault="004A3D28" w:rsidP="001E72B8">
      <w:pPr>
        <w:pStyle w:val="Corpo"/>
        <w:spacing w:line="480" w:lineRule="auto"/>
        <w:jc w:val="both"/>
        <w:rPr>
          <w:rFonts w:ascii="Times New Roman" w:eastAsia="Times New Roman" w:hAnsi="Times New Roman" w:cs="Times New Roman"/>
          <w:sz w:val="24"/>
          <w:szCs w:val="24"/>
          <w:lang w:val="en-US"/>
        </w:rPr>
      </w:pPr>
    </w:p>
    <w:p w14:paraId="265C6215" w14:textId="3174714A" w:rsidR="00094336" w:rsidRPr="00B31A23" w:rsidRDefault="0073720E" w:rsidP="000E7E7C">
      <w:pPr>
        <w:pBdr>
          <w:top w:val="nil"/>
          <w:left w:val="nil"/>
          <w:bottom w:val="nil"/>
          <w:right w:val="nil"/>
          <w:between w:val="nil"/>
          <w:bar w:val="nil"/>
        </w:pBdr>
        <w:spacing w:line="480" w:lineRule="auto"/>
        <w:jc w:val="center"/>
        <w:rPr>
          <w:b/>
          <w:bCs/>
          <w:lang w:val="en-US"/>
        </w:rPr>
      </w:pPr>
      <w:r w:rsidRPr="00B31A23">
        <w:rPr>
          <w:b/>
          <w:bCs/>
          <w:lang w:val="en-US"/>
        </w:rPr>
        <w:lastRenderedPageBreak/>
        <w:t>Introduction</w:t>
      </w:r>
    </w:p>
    <w:p w14:paraId="3738F831" w14:textId="1E60BF4E" w:rsidR="00990522" w:rsidRPr="00B31A23" w:rsidRDefault="00990522" w:rsidP="000E7E7C">
      <w:pPr>
        <w:pStyle w:val="Corpo"/>
        <w:spacing w:line="480" w:lineRule="auto"/>
        <w:rPr>
          <w:rFonts w:ascii="Times New Roman" w:eastAsia="Times New Roman" w:hAnsi="Times New Roman" w:cs="Times New Roman"/>
          <w:b/>
          <w:bCs/>
          <w:sz w:val="24"/>
          <w:szCs w:val="24"/>
          <w:lang w:val="en-US"/>
        </w:rPr>
      </w:pPr>
      <w:r w:rsidRPr="00B31A23">
        <w:rPr>
          <w:rFonts w:ascii="Times New Roman" w:hAnsi="Times New Roman" w:cs="Times New Roman"/>
          <w:b/>
          <w:bCs/>
          <w:sz w:val="24"/>
          <w:szCs w:val="24"/>
          <w:lang w:val="en-US"/>
        </w:rPr>
        <w:t>Cyberchondria</w:t>
      </w:r>
    </w:p>
    <w:p w14:paraId="3BAA709D" w14:textId="3B91A5D8" w:rsidR="009605B5" w:rsidRPr="00B31A23" w:rsidRDefault="009605B5" w:rsidP="003F14CD">
      <w:pPr>
        <w:pStyle w:val="Corpo"/>
        <w:spacing w:line="480" w:lineRule="auto"/>
        <w:ind w:firstLine="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According to a recent study by the European Commission (2014),</w:t>
      </w:r>
      <w:r w:rsidRPr="00B31A23" w:rsidDel="00826955">
        <w:rPr>
          <w:rFonts w:ascii="Times New Roman" w:hAnsi="Times New Roman" w:cs="Times New Roman"/>
          <w:sz w:val="24"/>
          <w:szCs w:val="24"/>
          <w:lang w:val="en-US"/>
        </w:rPr>
        <w:t xml:space="preserve"> </w:t>
      </w:r>
      <w:r w:rsidRPr="00B31A23">
        <w:rPr>
          <w:rFonts w:ascii="Times New Roman" w:hAnsi="Times New Roman" w:cs="Times New Roman"/>
          <w:sz w:val="24"/>
          <w:szCs w:val="24"/>
          <w:lang w:val="en-US"/>
        </w:rPr>
        <w:t xml:space="preserve">75% of the </w:t>
      </w:r>
      <w:r w:rsidR="00E62AC6" w:rsidRPr="00B31A23">
        <w:rPr>
          <w:rFonts w:ascii="Times New Roman" w:hAnsi="Times New Roman" w:cs="Times New Roman"/>
          <w:sz w:val="24"/>
          <w:szCs w:val="24"/>
          <w:lang w:val="en-US"/>
        </w:rPr>
        <w:t xml:space="preserve">European </w:t>
      </w:r>
      <w:r w:rsidRPr="00B31A23">
        <w:rPr>
          <w:rFonts w:ascii="Times New Roman" w:hAnsi="Times New Roman" w:cs="Times New Roman"/>
          <w:sz w:val="24"/>
          <w:szCs w:val="24"/>
          <w:lang w:val="en-US"/>
        </w:rPr>
        <w:t xml:space="preserve">population have been involved in researching for information about their health on the Internet, with only 19% turning to health experts, including nurses and medical practitioners (Hone, Palladino &amp; Filippidis, 2016). </w:t>
      </w:r>
      <w:r w:rsidR="003F14CD" w:rsidRPr="00B31A23">
        <w:rPr>
          <w:rFonts w:ascii="Times New Roman" w:hAnsi="Times New Roman" w:cs="Times New Roman"/>
          <w:sz w:val="24"/>
          <w:szCs w:val="24"/>
          <w:lang w:val="en-US"/>
        </w:rPr>
        <w:t>O</w:t>
      </w:r>
      <w:r w:rsidRPr="00B31A23">
        <w:rPr>
          <w:rFonts w:ascii="Times New Roman" w:hAnsi="Times New Roman" w:cs="Times New Roman"/>
          <w:sz w:val="24"/>
          <w:szCs w:val="24"/>
          <w:lang w:val="en-US"/>
        </w:rPr>
        <w:t xml:space="preserve">nline </w:t>
      </w:r>
      <w:r w:rsidR="003F14CD" w:rsidRPr="00B31A23">
        <w:rPr>
          <w:rFonts w:ascii="Times New Roman" w:hAnsi="Times New Roman" w:cs="Times New Roman"/>
          <w:sz w:val="24"/>
          <w:szCs w:val="24"/>
          <w:lang w:val="en-US"/>
        </w:rPr>
        <w:t>re</w:t>
      </w:r>
      <w:r w:rsidRPr="00B31A23">
        <w:rPr>
          <w:rFonts w:ascii="Times New Roman" w:hAnsi="Times New Roman" w:cs="Times New Roman"/>
          <w:sz w:val="24"/>
          <w:szCs w:val="24"/>
          <w:lang w:val="en-US"/>
        </w:rPr>
        <w:t>search</w:t>
      </w:r>
      <w:r w:rsidR="003F14CD" w:rsidRPr="00B31A23">
        <w:rPr>
          <w:rFonts w:ascii="Times New Roman" w:hAnsi="Times New Roman" w:cs="Times New Roman"/>
          <w:sz w:val="24"/>
          <w:szCs w:val="24"/>
          <w:lang w:val="en-US"/>
        </w:rPr>
        <w:t>ing</w:t>
      </w:r>
      <w:r w:rsidRPr="00B31A23">
        <w:rPr>
          <w:rFonts w:ascii="Times New Roman" w:hAnsi="Times New Roman" w:cs="Times New Roman"/>
          <w:sz w:val="24"/>
          <w:szCs w:val="24"/>
          <w:lang w:val="en-US"/>
        </w:rPr>
        <w:t xml:space="preserve"> allows easy access to information regarding health conditions of interest (AlGhamdi &amp; Moussa, 2012)</w:t>
      </w:r>
      <w:r w:rsidR="00E62AC6" w:rsidRPr="00B31A23">
        <w:rPr>
          <w:rFonts w:ascii="Times New Roman" w:hAnsi="Times New Roman" w:cs="Times New Roman"/>
          <w:sz w:val="24"/>
          <w:szCs w:val="24"/>
          <w:lang w:val="en-US"/>
        </w:rPr>
        <w:t>,</w:t>
      </w:r>
      <w:r w:rsidRPr="00B31A23">
        <w:rPr>
          <w:rFonts w:ascii="Times New Roman" w:hAnsi="Times New Roman" w:cs="Times New Roman"/>
          <w:sz w:val="24"/>
          <w:szCs w:val="24"/>
          <w:lang w:val="pt-PT"/>
        </w:rPr>
        <w:t xml:space="preserve"> </w:t>
      </w:r>
      <w:r w:rsidR="00E62AC6" w:rsidRPr="00B31A23">
        <w:rPr>
          <w:rFonts w:ascii="Times New Roman" w:hAnsi="Times New Roman" w:cs="Times New Roman"/>
          <w:sz w:val="24"/>
          <w:szCs w:val="24"/>
          <w:lang w:val="pt-PT"/>
        </w:rPr>
        <w:t>offering</w:t>
      </w:r>
      <w:r w:rsidRPr="00B31A23">
        <w:rPr>
          <w:rFonts w:ascii="Times New Roman" w:hAnsi="Times New Roman" w:cs="Times New Roman"/>
          <w:sz w:val="24"/>
          <w:szCs w:val="24"/>
          <w:lang w:val="en-US"/>
        </w:rPr>
        <w:t xml:space="preserve"> </w:t>
      </w:r>
      <w:r w:rsidR="00C65A22" w:rsidRPr="00B31A23">
        <w:rPr>
          <w:rFonts w:ascii="Times New Roman" w:hAnsi="Times New Roman" w:cs="Times New Roman"/>
          <w:sz w:val="24"/>
          <w:szCs w:val="24"/>
          <w:lang w:val="en-US"/>
        </w:rPr>
        <w:t xml:space="preserve">the potential for an </w:t>
      </w:r>
      <w:r w:rsidRPr="00B31A23">
        <w:rPr>
          <w:rFonts w:ascii="Times New Roman" w:hAnsi="Times New Roman" w:cs="Times New Roman"/>
          <w:sz w:val="24"/>
          <w:szCs w:val="24"/>
          <w:lang w:val="en-US"/>
        </w:rPr>
        <w:t xml:space="preserve">instant reassurance about one’s own current health status and a feeling of being better informed about it (Starcevic &amp; Berle, 2013). However, researching </w:t>
      </w:r>
      <w:r w:rsidR="00E62AC6" w:rsidRPr="00B31A23">
        <w:rPr>
          <w:rFonts w:ascii="Times New Roman" w:hAnsi="Times New Roman" w:cs="Times New Roman"/>
          <w:sz w:val="24"/>
          <w:szCs w:val="24"/>
          <w:lang w:val="en-US"/>
        </w:rPr>
        <w:t>information about one’s health</w:t>
      </w:r>
      <w:r w:rsidRPr="00B31A23">
        <w:rPr>
          <w:rFonts w:ascii="Times New Roman" w:hAnsi="Times New Roman" w:cs="Times New Roman"/>
          <w:sz w:val="24"/>
          <w:szCs w:val="24"/>
          <w:lang w:val="en-US"/>
        </w:rPr>
        <w:t xml:space="preserve"> </w:t>
      </w:r>
      <w:r w:rsidRPr="00B31A23">
        <w:rPr>
          <w:rFonts w:ascii="Times New Roman" w:hAnsi="Times New Roman" w:cs="Times New Roman"/>
          <w:sz w:val="24"/>
          <w:szCs w:val="24"/>
          <w:lang w:val="fr-FR"/>
        </w:rPr>
        <w:t xml:space="preserve">online can </w:t>
      </w:r>
      <w:r w:rsidRPr="00B31A23">
        <w:rPr>
          <w:rFonts w:ascii="Times New Roman" w:hAnsi="Times New Roman" w:cs="Times New Roman"/>
          <w:sz w:val="24"/>
          <w:szCs w:val="24"/>
          <w:lang w:val="en-US"/>
        </w:rPr>
        <w:t>lead to compulsive checking for health-related symptoms and self-diagnosis which are associated with increased levels of health anxiety (White &amp; Horvitz, 2009; Bailer, Kerstner, Witthö</w:t>
      </w:r>
      <w:r w:rsidRPr="00B31A23">
        <w:rPr>
          <w:rFonts w:ascii="Times New Roman" w:hAnsi="Times New Roman" w:cs="Times New Roman"/>
          <w:sz w:val="24"/>
          <w:szCs w:val="24"/>
          <w:lang w:val="de-DE"/>
        </w:rPr>
        <w:t>ft, Diener, Mier &amp; Rist, 2016).</w:t>
      </w:r>
      <w:r w:rsidRPr="00B31A23">
        <w:rPr>
          <w:rFonts w:ascii="Times New Roman" w:hAnsi="Times New Roman" w:cs="Times New Roman"/>
          <w:sz w:val="24"/>
          <w:szCs w:val="24"/>
          <w:lang w:val="en-US"/>
        </w:rPr>
        <w:t xml:space="preserve"> </w:t>
      </w:r>
    </w:p>
    <w:p w14:paraId="6361EB49" w14:textId="6F14310B" w:rsidR="009605B5" w:rsidRPr="00B31A23" w:rsidRDefault="009605B5" w:rsidP="009605B5">
      <w:pPr>
        <w:pStyle w:val="Corpo"/>
        <w:spacing w:line="480" w:lineRule="auto"/>
        <w:ind w:firstLine="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Health anxiety is characterised by intrusive preoccupations regarding one’s health and the fear of suffering from a disease (Asmundson &amp; Taylor, 2005) and has been found to be associated with </w:t>
      </w:r>
      <w:r w:rsidR="00C65A22" w:rsidRPr="00B31A23">
        <w:rPr>
          <w:rFonts w:ascii="Times New Roman" w:hAnsi="Times New Roman" w:cs="Times New Roman"/>
          <w:sz w:val="24"/>
          <w:szCs w:val="24"/>
          <w:lang w:val="en-US"/>
        </w:rPr>
        <w:t>re</w:t>
      </w:r>
      <w:r w:rsidRPr="00B31A23">
        <w:rPr>
          <w:rFonts w:ascii="Times New Roman" w:hAnsi="Times New Roman" w:cs="Times New Roman"/>
          <w:sz w:val="24"/>
          <w:szCs w:val="24"/>
          <w:lang w:val="en-US"/>
        </w:rPr>
        <w:t xml:space="preserve">searching health-related information online (Doherty-Torstrick, Walton &amp; Fallon, 2016). The relationship between health anxiety and </w:t>
      </w:r>
      <w:r w:rsidR="00E62AC6" w:rsidRPr="00B31A23">
        <w:rPr>
          <w:rFonts w:ascii="Times New Roman" w:hAnsi="Times New Roman" w:cs="Times New Roman"/>
          <w:sz w:val="24"/>
          <w:szCs w:val="24"/>
          <w:lang w:val="en-US"/>
        </w:rPr>
        <w:t>re</w:t>
      </w:r>
      <w:r w:rsidRPr="00B31A23">
        <w:rPr>
          <w:rFonts w:ascii="Times New Roman" w:hAnsi="Times New Roman" w:cs="Times New Roman"/>
          <w:sz w:val="24"/>
          <w:szCs w:val="24"/>
          <w:lang w:val="en-US"/>
        </w:rPr>
        <w:t xml:space="preserve">searching health-related information online is likely to be bi-directional (Starcevic &amp; Berle, 2015). </w:t>
      </w:r>
      <w:r w:rsidRPr="00B31A23">
        <w:rPr>
          <w:rFonts w:ascii="Times New Roman"/>
          <w:sz w:val="24"/>
          <w:szCs w:val="24"/>
          <w:lang w:val="en-US"/>
        </w:rPr>
        <w:t xml:space="preserve">Hypothetically, </w:t>
      </w:r>
      <w:r w:rsidR="00E62AC6" w:rsidRPr="00B31A23">
        <w:rPr>
          <w:rFonts w:ascii="Times New Roman"/>
          <w:sz w:val="24"/>
          <w:szCs w:val="24"/>
          <w:lang w:val="en-US"/>
        </w:rPr>
        <w:t>re</w:t>
      </w:r>
      <w:r w:rsidRPr="00B31A23">
        <w:rPr>
          <w:rFonts w:ascii="Times New Roman"/>
          <w:sz w:val="24"/>
          <w:szCs w:val="24"/>
          <w:lang w:val="en-US"/>
        </w:rPr>
        <w:t>search</w:t>
      </w:r>
      <w:r w:rsidR="00C65A22" w:rsidRPr="00B31A23">
        <w:rPr>
          <w:rFonts w:ascii="Times New Roman"/>
          <w:sz w:val="24"/>
          <w:szCs w:val="24"/>
          <w:lang w:val="en-US"/>
        </w:rPr>
        <w:t>ing</w:t>
      </w:r>
      <w:r w:rsidRPr="00B31A23">
        <w:rPr>
          <w:rFonts w:ascii="Times New Roman"/>
          <w:sz w:val="24"/>
          <w:szCs w:val="24"/>
          <w:lang w:val="en-US"/>
        </w:rPr>
        <w:t xml:space="preserve"> symptoms </w:t>
      </w:r>
      <w:r w:rsidR="00C65A22" w:rsidRPr="00B31A23">
        <w:rPr>
          <w:rFonts w:ascii="Times New Roman"/>
          <w:sz w:val="24"/>
          <w:szCs w:val="24"/>
          <w:lang w:val="en-US"/>
        </w:rPr>
        <w:t xml:space="preserve">online </w:t>
      </w:r>
      <w:r w:rsidRPr="00B31A23">
        <w:rPr>
          <w:rFonts w:ascii="Times New Roman"/>
          <w:sz w:val="24"/>
          <w:szCs w:val="24"/>
          <w:lang w:val="en-US"/>
        </w:rPr>
        <w:t xml:space="preserve">could be caused by the presence of health anxiety. </w:t>
      </w:r>
      <w:r w:rsidR="00E62AC6" w:rsidRPr="00B31A23">
        <w:rPr>
          <w:rFonts w:ascii="Times New Roman"/>
          <w:sz w:val="24"/>
          <w:szCs w:val="24"/>
          <w:lang w:val="en-US"/>
        </w:rPr>
        <w:t>Conversely</w:t>
      </w:r>
      <w:r w:rsidRPr="00B31A23">
        <w:rPr>
          <w:rFonts w:ascii="Times New Roman"/>
          <w:sz w:val="24"/>
          <w:szCs w:val="24"/>
          <w:lang w:val="en-US"/>
        </w:rPr>
        <w:t xml:space="preserve">, health anxiety could be a product of </w:t>
      </w:r>
      <w:r w:rsidR="00C65A22" w:rsidRPr="00B31A23">
        <w:rPr>
          <w:rFonts w:ascii="Times New Roman"/>
          <w:sz w:val="24"/>
          <w:szCs w:val="24"/>
          <w:lang w:val="en-US"/>
        </w:rPr>
        <w:t>online researching</w:t>
      </w:r>
      <w:r w:rsidRPr="00B31A23">
        <w:rPr>
          <w:rFonts w:ascii="Times New Roman"/>
          <w:sz w:val="24"/>
          <w:szCs w:val="24"/>
          <w:lang w:val="en-US"/>
        </w:rPr>
        <w:t xml:space="preserve"> that trigger</w:t>
      </w:r>
      <w:r w:rsidR="00C65A22" w:rsidRPr="00B31A23">
        <w:rPr>
          <w:rFonts w:ascii="Times New Roman"/>
          <w:sz w:val="24"/>
          <w:szCs w:val="24"/>
          <w:lang w:val="en-US"/>
        </w:rPr>
        <w:t>s</w:t>
      </w:r>
      <w:r w:rsidRPr="00B31A23">
        <w:rPr>
          <w:rFonts w:ascii="Times New Roman"/>
          <w:sz w:val="24"/>
          <w:szCs w:val="24"/>
          <w:lang w:val="en-US"/>
        </w:rPr>
        <w:t xml:space="preserve"> even a simple curiosity about health or an appearance of a new symptom (Starcevic &amp; Berle, 2015). </w:t>
      </w:r>
      <w:r w:rsidRPr="00B31A23">
        <w:rPr>
          <w:rFonts w:ascii="Times New Roman" w:hAnsi="Times New Roman" w:cs="Times New Roman"/>
          <w:sz w:val="24"/>
          <w:szCs w:val="24"/>
          <w:lang w:val="en-US"/>
        </w:rPr>
        <w:t xml:space="preserve">This vicious interactive process, when occurring excessively and compulsively (regardless of the resultant distress caused), has been termed ‘Cyberchondria’ (Fergus, 2013). </w:t>
      </w:r>
    </w:p>
    <w:p w14:paraId="64950A0B" w14:textId="001DDD63" w:rsidR="00C46535" w:rsidRPr="00B31A23" w:rsidRDefault="00C44E6A" w:rsidP="00C46535">
      <w:pPr>
        <w:pStyle w:val="Corpo"/>
        <w:spacing w:line="480" w:lineRule="auto"/>
        <w:ind w:firstLine="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Cyberchondria </w:t>
      </w:r>
      <w:r w:rsidR="0073720E" w:rsidRPr="00B31A23">
        <w:rPr>
          <w:rFonts w:ascii="Times New Roman" w:hAnsi="Times New Roman" w:cs="Times New Roman"/>
          <w:sz w:val="24"/>
          <w:szCs w:val="24"/>
          <w:lang w:val="en-US"/>
        </w:rPr>
        <w:t xml:space="preserve">is a pattern of repetitive and compulsive behaviors </w:t>
      </w:r>
      <w:r w:rsidR="00666E3E" w:rsidRPr="00B31A23">
        <w:rPr>
          <w:rFonts w:ascii="Times New Roman" w:hAnsi="Times New Roman" w:cs="Times New Roman"/>
          <w:sz w:val="24"/>
          <w:szCs w:val="24"/>
          <w:lang w:val="en-US"/>
        </w:rPr>
        <w:t xml:space="preserve">aimed at </w:t>
      </w:r>
      <w:r w:rsidR="0073720E" w:rsidRPr="00B31A23">
        <w:rPr>
          <w:rFonts w:ascii="Times New Roman" w:hAnsi="Times New Roman" w:cs="Times New Roman"/>
          <w:sz w:val="24"/>
          <w:szCs w:val="24"/>
          <w:lang w:val="en-US"/>
        </w:rPr>
        <w:t xml:space="preserve">checking one's health status </w:t>
      </w:r>
      <w:r w:rsidR="00CB3A3A" w:rsidRPr="00B31A23">
        <w:rPr>
          <w:rFonts w:ascii="Times New Roman" w:hAnsi="Times New Roman" w:cs="Times New Roman"/>
          <w:sz w:val="24"/>
          <w:szCs w:val="24"/>
          <w:lang w:val="en-US"/>
        </w:rPr>
        <w:t>online</w:t>
      </w:r>
      <w:r w:rsidR="00C70827" w:rsidRPr="00B31A23">
        <w:rPr>
          <w:rFonts w:ascii="Times New Roman" w:hAnsi="Times New Roman" w:cs="Times New Roman"/>
          <w:sz w:val="24"/>
          <w:szCs w:val="24"/>
          <w:lang w:val="en-US"/>
        </w:rPr>
        <w:t>,</w:t>
      </w:r>
      <w:r w:rsidR="0073720E" w:rsidRPr="00B31A23">
        <w:rPr>
          <w:rFonts w:ascii="Times New Roman" w:hAnsi="Times New Roman" w:cs="Times New Roman"/>
          <w:sz w:val="24"/>
          <w:szCs w:val="24"/>
          <w:lang w:val="en-US"/>
        </w:rPr>
        <w:t xml:space="preserve"> which leads to functional impairment</w:t>
      </w:r>
      <w:r w:rsidR="00666E3E" w:rsidRPr="00B31A23">
        <w:rPr>
          <w:rFonts w:ascii="Times New Roman" w:hAnsi="Times New Roman" w:cs="Times New Roman"/>
          <w:sz w:val="24"/>
          <w:szCs w:val="24"/>
          <w:lang w:val="en-US"/>
        </w:rPr>
        <w:t>s</w:t>
      </w:r>
      <w:r w:rsidR="0073720E" w:rsidRPr="00B31A23">
        <w:rPr>
          <w:rFonts w:ascii="Times New Roman" w:hAnsi="Times New Roman" w:cs="Times New Roman"/>
          <w:sz w:val="24"/>
          <w:szCs w:val="24"/>
          <w:lang w:val="en-US"/>
        </w:rPr>
        <w:t xml:space="preserve"> </w:t>
      </w:r>
      <w:r w:rsidR="00CB3A3A" w:rsidRPr="00B31A23">
        <w:rPr>
          <w:rFonts w:ascii="Times New Roman" w:hAnsi="Times New Roman" w:cs="Times New Roman"/>
          <w:sz w:val="24"/>
          <w:szCs w:val="24"/>
          <w:lang w:val="en-US"/>
        </w:rPr>
        <w:t>in</w:t>
      </w:r>
      <w:r w:rsidR="0073720E" w:rsidRPr="00B31A23">
        <w:rPr>
          <w:rFonts w:ascii="Times New Roman" w:hAnsi="Times New Roman" w:cs="Times New Roman"/>
          <w:sz w:val="24"/>
          <w:szCs w:val="24"/>
          <w:lang w:val="en-US"/>
        </w:rPr>
        <w:t xml:space="preserve"> daily life (Doherty-Torstrick, Walton &amp; Fallon, 2016). The first definitions of </w:t>
      </w:r>
      <w:r w:rsidR="00CB3A3A" w:rsidRPr="00B31A23">
        <w:rPr>
          <w:rFonts w:ascii="Times New Roman" w:hAnsi="Times New Roman" w:cs="Times New Roman"/>
          <w:sz w:val="24"/>
          <w:szCs w:val="24"/>
          <w:lang w:val="en-US"/>
        </w:rPr>
        <w:t>C</w:t>
      </w:r>
      <w:r w:rsidR="0073720E" w:rsidRPr="00B31A23">
        <w:rPr>
          <w:rFonts w:ascii="Times New Roman" w:hAnsi="Times New Roman" w:cs="Times New Roman"/>
          <w:sz w:val="24"/>
          <w:szCs w:val="24"/>
          <w:lang w:val="en-US"/>
        </w:rPr>
        <w:t xml:space="preserve">yberchondria focused mainly on </w:t>
      </w:r>
      <w:r w:rsidR="0073720E" w:rsidRPr="00B31A23">
        <w:rPr>
          <w:rFonts w:ascii="Times New Roman" w:hAnsi="Times New Roman" w:cs="Times New Roman"/>
          <w:sz w:val="24"/>
          <w:szCs w:val="24"/>
          <w:lang w:val="en-US"/>
        </w:rPr>
        <w:lastRenderedPageBreak/>
        <w:t xml:space="preserve">the anxious manifestations following </w:t>
      </w:r>
      <w:r w:rsidR="00E62AC6" w:rsidRPr="00B31A23">
        <w:rPr>
          <w:rFonts w:ascii="Times New Roman" w:hAnsi="Times New Roman" w:cs="Times New Roman"/>
          <w:sz w:val="24"/>
          <w:szCs w:val="24"/>
          <w:lang w:val="en-US"/>
        </w:rPr>
        <w:t>re</w:t>
      </w:r>
      <w:r w:rsidR="0023152A" w:rsidRPr="00B31A23">
        <w:rPr>
          <w:rFonts w:ascii="Times New Roman" w:hAnsi="Times New Roman" w:cs="Times New Roman"/>
          <w:sz w:val="24"/>
          <w:szCs w:val="24"/>
          <w:lang w:val="en-US"/>
        </w:rPr>
        <w:t>searching health-related information online</w:t>
      </w:r>
      <w:r w:rsidR="0073720E" w:rsidRPr="00B31A23">
        <w:rPr>
          <w:rFonts w:ascii="Times New Roman" w:hAnsi="Times New Roman" w:cs="Times New Roman"/>
          <w:sz w:val="24"/>
          <w:szCs w:val="24"/>
          <w:lang w:val="en-US"/>
        </w:rPr>
        <w:t xml:space="preserve"> (Belling, 2006; Harding, Skritskaya, Doherty &amp; Fallon, 2008; Ryan &amp; Wilson, 2008), as well as on </w:t>
      </w:r>
      <w:r w:rsidR="00F835C8" w:rsidRPr="00B31A23">
        <w:rPr>
          <w:rFonts w:ascii="Times New Roman" w:hAnsi="Times New Roman" w:cs="Times New Roman"/>
          <w:sz w:val="24"/>
          <w:szCs w:val="24"/>
          <w:lang w:val="en-US"/>
        </w:rPr>
        <w:t xml:space="preserve">the </w:t>
      </w:r>
      <w:r w:rsidR="0073720E" w:rsidRPr="00B31A23">
        <w:rPr>
          <w:rFonts w:ascii="Times New Roman" w:hAnsi="Times New Roman" w:cs="Times New Roman"/>
          <w:sz w:val="24"/>
          <w:szCs w:val="24"/>
          <w:lang w:val="en-US"/>
        </w:rPr>
        <w:t xml:space="preserve">self-perpetuating tendency of this behavior which, in the short term produces a temporary reduction </w:t>
      </w:r>
      <w:r w:rsidR="00CB3A3A" w:rsidRPr="00B31A23">
        <w:rPr>
          <w:rFonts w:ascii="Times New Roman" w:hAnsi="Times New Roman" w:cs="Times New Roman"/>
          <w:sz w:val="24"/>
          <w:szCs w:val="24"/>
          <w:lang w:val="en-US"/>
        </w:rPr>
        <w:t>in anxiety and worry</w:t>
      </w:r>
      <w:r w:rsidR="0073720E" w:rsidRPr="00B31A23">
        <w:rPr>
          <w:rFonts w:ascii="Times New Roman" w:hAnsi="Times New Roman" w:cs="Times New Roman"/>
          <w:sz w:val="24"/>
          <w:szCs w:val="24"/>
          <w:lang w:val="en-US"/>
        </w:rPr>
        <w:t>,</w:t>
      </w:r>
      <w:r w:rsidR="00666E3E" w:rsidRPr="00B31A23">
        <w:rPr>
          <w:rFonts w:ascii="Times New Roman" w:hAnsi="Times New Roman" w:cs="Times New Roman"/>
          <w:sz w:val="24"/>
          <w:szCs w:val="24"/>
          <w:lang w:val="en-US"/>
        </w:rPr>
        <w:t xml:space="preserve"> </w:t>
      </w:r>
      <w:r w:rsidR="00CB3A3A" w:rsidRPr="00B31A23">
        <w:rPr>
          <w:rFonts w:ascii="Times New Roman" w:hAnsi="Times New Roman" w:cs="Times New Roman"/>
          <w:sz w:val="24"/>
          <w:szCs w:val="24"/>
          <w:lang w:val="en-US"/>
        </w:rPr>
        <w:t xml:space="preserve">but in the long term becomes </w:t>
      </w:r>
      <w:r w:rsidR="0073720E" w:rsidRPr="00B31A23">
        <w:rPr>
          <w:rFonts w:ascii="Times New Roman" w:hAnsi="Times New Roman" w:cs="Times New Roman"/>
          <w:sz w:val="24"/>
          <w:szCs w:val="24"/>
          <w:lang w:val="en-US"/>
        </w:rPr>
        <w:t xml:space="preserve">a </w:t>
      </w:r>
      <w:r w:rsidR="00CB3A3A" w:rsidRPr="00B31A23">
        <w:rPr>
          <w:rFonts w:ascii="Times New Roman" w:hAnsi="Times New Roman" w:cs="Times New Roman"/>
          <w:sz w:val="24"/>
          <w:szCs w:val="24"/>
          <w:lang w:val="en-US"/>
        </w:rPr>
        <w:t xml:space="preserve">maladaptive </w:t>
      </w:r>
      <w:r w:rsidR="0073720E" w:rsidRPr="00B31A23">
        <w:rPr>
          <w:rFonts w:ascii="Times New Roman" w:hAnsi="Times New Roman" w:cs="Times New Roman"/>
          <w:sz w:val="24"/>
          <w:szCs w:val="24"/>
          <w:lang w:val="en-US"/>
        </w:rPr>
        <w:t>habitual response pattern</w:t>
      </w:r>
      <w:r w:rsidR="00CB3A3A" w:rsidRPr="00B31A23">
        <w:rPr>
          <w:rFonts w:ascii="Times New Roman" w:hAnsi="Times New Roman" w:cs="Times New Roman"/>
          <w:sz w:val="24"/>
          <w:szCs w:val="24"/>
          <w:lang w:val="en-US"/>
        </w:rPr>
        <w:t xml:space="preserve"> </w:t>
      </w:r>
      <w:r w:rsidR="0073720E" w:rsidRPr="00B31A23">
        <w:rPr>
          <w:rFonts w:ascii="Times New Roman" w:hAnsi="Times New Roman" w:cs="Times New Roman"/>
          <w:sz w:val="24"/>
          <w:szCs w:val="24"/>
          <w:lang w:val="en-US"/>
        </w:rPr>
        <w:t xml:space="preserve">(Taylor &amp; Asmundson, 2004). </w:t>
      </w:r>
      <w:r w:rsidR="00C46535" w:rsidRPr="00B31A23">
        <w:rPr>
          <w:rFonts w:ascii="Times New Roman" w:hAnsi="Times New Roman" w:cs="Times New Roman"/>
          <w:sz w:val="24"/>
          <w:szCs w:val="24"/>
          <w:lang w:val="en-US"/>
        </w:rPr>
        <w:t xml:space="preserve">White </w:t>
      </w:r>
      <w:r w:rsidR="00CB3A3A" w:rsidRPr="00B31A23">
        <w:rPr>
          <w:rFonts w:ascii="Times New Roman" w:hAnsi="Times New Roman" w:cs="Times New Roman"/>
          <w:sz w:val="24"/>
          <w:szCs w:val="24"/>
          <w:lang w:val="en-US"/>
        </w:rPr>
        <w:t>and</w:t>
      </w:r>
      <w:r w:rsidR="00C46535" w:rsidRPr="00B31A23">
        <w:rPr>
          <w:rFonts w:ascii="Times New Roman" w:hAnsi="Times New Roman" w:cs="Times New Roman"/>
          <w:sz w:val="24"/>
          <w:szCs w:val="24"/>
          <w:lang w:val="en-US"/>
        </w:rPr>
        <w:t xml:space="preserve"> Horvitz (2009) </w:t>
      </w:r>
      <w:r w:rsidR="00CB3A3A" w:rsidRPr="00B31A23">
        <w:rPr>
          <w:rFonts w:ascii="Times New Roman" w:hAnsi="Times New Roman" w:cs="Times New Roman"/>
          <w:sz w:val="24"/>
          <w:szCs w:val="24"/>
          <w:lang w:val="en-US"/>
        </w:rPr>
        <w:t xml:space="preserve">have highlighted </w:t>
      </w:r>
      <w:r w:rsidR="00C46535" w:rsidRPr="00B31A23">
        <w:rPr>
          <w:rFonts w:ascii="Times New Roman" w:hAnsi="Times New Roman" w:cs="Times New Roman"/>
          <w:sz w:val="24"/>
          <w:szCs w:val="24"/>
          <w:lang w:val="en-US"/>
        </w:rPr>
        <w:t xml:space="preserve">how online </w:t>
      </w:r>
      <w:r w:rsidR="00F21FCD" w:rsidRPr="00B31A23">
        <w:rPr>
          <w:rFonts w:ascii="Times New Roman" w:hAnsi="Times New Roman" w:cs="Times New Roman"/>
          <w:sz w:val="24"/>
          <w:szCs w:val="24"/>
          <w:lang w:val="en-US"/>
        </w:rPr>
        <w:t>researching</w:t>
      </w:r>
      <w:r w:rsidR="00C46535" w:rsidRPr="00B31A23">
        <w:rPr>
          <w:rFonts w:ascii="Times New Roman" w:hAnsi="Times New Roman" w:cs="Times New Roman"/>
          <w:sz w:val="24"/>
          <w:szCs w:val="24"/>
          <w:lang w:val="en-US"/>
        </w:rPr>
        <w:t xml:space="preserve"> of the clinical meaning of common symptoms can determine an </w:t>
      </w:r>
      <w:r w:rsidR="008E4519" w:rsidRPr="00B31A23">
        <w:rPr>
          <w:rFonts w:ascii="Times New Roman" w:hAnsi="Times New Roman" w:cs="Times New Roman"/>
          <w:sz w:val="24"/>
          <w:szCs w:val="24"/>
          <w:lang w:val="en-US"/>
        </w:rPr>
        <w:t xml:space="preserve">escalation </w:t>
      </w:r>
      <w:r w:rsidR="00C46535" w:rsidRPr="00B31A23">
        <w:rPr>
          <w:rFonts w:ascii="Times New Roman" w:hAnsi="Times New Roman" w:cs="Times New Roman"/>
          <w:sz w:val="24"/>
          <w:szCs w:val="24"/>
          <w:lang w:val="en-US"/>
        </w:rPr>
        <w:t xml:space="preserve">in the search for more severe clinical conditions. In this regard, it is evident that, in the presence of </w:t>
      </w:r>
      <w:r w:rsidR="00CB3A3A" w:rsidRPr="00B31A23">
        <w:rPr>
          <w:rFonts w:ascii="Times New Roman" w:hAnsi="Times New Roman" w:cs="Times New Roman"/>
          <w:sz w:val="24"/>
          <w:szCs w:val="24"/>
          <w:lang w:val="en-US"/>
        </w:rPr>
        <w:t>C</w:t>
      </w:r>
      <w:r w:rsidR="00C46535" w:rsidRPr="00B31A23">
        <w:rPr>
          <w:rFonts w:ascii="Times New Roman" w:hAnsi="Times New Roman" w:cs="Times New Roman"/>
          <w:sz w:val="24"/>
          <w:szCs w:val="24"/>
          <w:lang w:val="en-US"/>
        </w:rPr>
        <w:t xml:space="preserve">yberchondria, the tendency to carry out continuous online </w:t>
      </w:r>
      <w:r w:rsidR="00F21FCD" w:rsidRPr="00B31A23">
        <w:rPr>
          <w:rFonts w:ascii="Times New Roman" w:hAnsi="Times New Roman" w:cs="Times New Roman"/>
          <w:sz w:val="24"/>
          <w:szCs w:val="24"/>
          <w:lang w:val="en-US"/>
        </w:rPr>
        <w:t>researching</w:t>
      </w:r>
      <w:r w:rsidR="00C46535" w:rsidRPr="00B31A23">
        <w:rPr>
          <w:rFonts w:ascii="Times New Roman" w:hAnsi="Times New Roman" w:cs="Times New Roman"/>
          <w:sz w:val="24"/>
          <w:szCs w:val="24"/>
          <w:lang w:val="en-US"/>
        </w:rPr>
        <w:t xml:space="preserve"> determines a progressive increase in </w:t>
      </w:r>
      <w:r w:rsidR="003F122A" w:rsidRPr="00B31A23">
        <w:rPr>
          <w:rFonts w:ascii="Times New Roman" w:hAnsi="Times New Roman" w:cs="Times New Roman"/>
          <w:sz w:val="24"/>
          <w:szCs w:val="24"/>
          <w:lang w:val="en-US"/>
        </w:rPr>
        <w:t>symptoms of anxiety</w:t>
      </w:r>
      <w:r w:rsidR="00C46535" w:rsidRPr="00B31A23">
        <w:rPr>
          <w:rFonts w:ascii="Times New Roman" w:hAnsi="Times New Roman" w:cs="Times New Roman"/>
          <w:sz w:val="24"/>
          <w:szCs w:val="24"/>
          <w:lang w:val="en-US"/>
        </w:rPr>
        <w:t xml:space="preserve"> related to health (Starcevic &amp; Berle, 2013). Through an integration of these features, McElroy &amp; Shevlin (2014) described </w:t>
      </w:r>
      <w:r w:rsidR="00CB3A3A" w:rsidRPr="00B31A23">
        <w:rPr>
          <w:rFonts w:ascii="Times New Roman" w:hAnsi="Times New Roman" w:cs="Times New Roman"/>
          <w:sz w:val="24"/>
          <w:szCs w:val="24"/>
          <w:lang w:val="en-US"/>
        </w:rPr>
        <w:t>C</w:t>
      </w:r>
      <w:r w:rsidR="00C46535" w:rsidRPr="00B31A23">
        <w:rPr>
          <w:rFonts w:ascii="Times New Roman" w:hAnsi="Times New Roman" w:cs="Times New Roman"/>
          <w:sz w:val="24"/>
          <w:szCs w:val="24"/>
          <w:lang w:val="en-US"/>
        </w:rPr>
        <w:t xml:space="preserve">yberchondria as a multidimensional construct, characterized by the unwanted nature of </w:t>
      </w:r>
      <w:r w:rsidR="00CB3A3A" w:rsidRPr="00B31A23">
        <w:rPr>
          <w:rFonts w:ascii="Times New Roman" w:hAnsi="Times New Roman" w:cs="Times New Roman"/>
          <w:sz w:val="24"/>
          <w:szCs w:val="24"/>
          <w:lang w:val="en-US"/>
        </w:rPr>
        <w:t>online</w:t>
      </w:r>
      <w:r w:rsidR="00C46535" w:rsidRPr="00B31A23">
        <w:rPr>
          <w:rFonts w:ascii="Times New Roman" w:hAnsi="Times New Roman" w:cs="Times New Roman"/>
          <w:sz w:val="24"/>
          <w:szCs w:val="24"/>
          <w:lang w:val="en-US"/>
        </w:rPr>
        <w:t xml:space="preserve"> </w:t>
      </w:r>
      <w:r w:rsidR="00F21FCD" w:rsidRPr="00B31A23">
        <w:rPr>
          <w:rFonts w:ascii="Times New Roman" w:hAnsi="Times New Roman" w:cs="Times New Roman"/>
          <w:sz w:val="24"/>
          <w:szCs w:val="24"/>
          <w:lang w:val="en-US"/>
        </w:rPr>
        <w:t>researching</w:t>
      </w:r>
      <w:r w:rsidR="00C46535" w:rsidRPr="00B31A23">
        <w:rPr>
          <w:rFonts w:ascii="Times New Roman" w:hAnsi="Times New Roman" w:cs="Times New Roman"/>
          <w:sz w:val="24"/>
          <w:szCs w:val="24"/>
          <w:lang w:val="en-US"/>
        </w:rPr>
        <w:t xml:space="preserve"> (compulsion), the anxious emotional states associated with </w:t>
      </w:r>
      <w:r w:rsidR="00F21FCD" w:rsidRPr="00B31A23">
        <w:rPr>
          <w:rFonts w:ascii="Times New Roman" w:hAnsi="Times New Roman" w:cs="Times New Roman"/>
          <w:sz w:val="24"/>
          <w:szCs w:val="24"/>
          <w:lang w:val="en-US"/>
        </w:rPr>
        <w:t>this process</w:t>
      </w:r>
      <w:r w:rsidR="00C46535" w:rsidRPr="00B31A23">
        <w:rPr>
          <w:rFonts w:ascii="Times New Roman" w:hAnsi="Times New Roman" w:cs="Times New Roman"/>
          <w:sz w:val="24"/>
          <w:szCs w:val="24"/>
          <w:lang w:val="en-US"/>
        </w:rPr>
        <w:t>, the distrust of the medical practitioner</w:t>
      </w:r>
      <w:r w:rsidR="00F0255F" w:rsidRPr="00B31A23">
        <w:rPr>
          <w:rFonts w:ascii="Times New Roman" w:hAnsi="Times New Roman" w:cs="Times New Roman"/>
          <w:sz w:val="24"/>
          <w:szCs w:val="24"/>
          <w:lang w:val="en-US"/>
        </w:rPr>
        <w:t>,</w:t>
      </w:r>
      <w:r w:rsidR="00C46535" w:rsidRPr="00B31A23">
        <w:rPr>
          <w:rFonts w:ascii="Times New Roman" w:hAnsi="Times New Roman" w:cs="Times New Roman"/>
          <w:sz w:val="24"/>
          <w:szCs w:val="24"/>
          <w:lang w:val="en-US"/>
        </w:rPr>
        <w:t xml:space="preserve"> and the excessive need for reassurance</w:t>
      </w:r>
      <w:r w:rsidR="00822480" w:rsidRPr="00B31A23">
        <w:rPr>
          <w:rFonts w:ascii="Times New Roman" w:hAnsi="Times New Roman" w:cs="Times New Roman"/>
          <w:sz w:val="24"/>
          <w:szCs w:val="24"/>
          <w:lang w:val="en-US"/>
        </w:rPr>
        <w:t>.</w:t>
      </w:r>
    </w:p>
    <w:p w14:paraId="66C61E94" w14:textId="1D1E981C" w:rsidR="009605B5" w:rsidRPr="00B31A23" w:rsidRDefault="00F21FCD" w:rsidP="009605B5">
      <w:pPr>
        <w:pStyle w:val="Corpo"/>
        <w:spacing w:line="480" w:lineRule="auto"/>
        <w:ind w:firstLine="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A variety of studies have</w:t>
      </w:r>
      <w:r w:rsidR="00CB3A3A" w:rsidRPr="00B31A23">
        <w:rPr>
          <w:rFonts w:ascii="Times New Roman" w:hAnsi="Times New Roman" w:cs="Times New Roman"/>
          <w:sz w:val="24"/>
          <w:szCs w:val="24"/>
          <w:lang w:val="en-US"/>
        </w:rPr>
        <w:t xml:space="preserve"> </w:t>
      </w:r>
      <w:r w:rsidR="0023152A" w:rsidRPr="00B31A23">
        <w:rPr>
          <w:rFonts w:ascii="Times New Roman" w:hAnsi="Times New Roman" w:cs="Times New Roman"/>
          <w:sz w:val="24"/>
          <w:szCs w:val="24"/>
          <w:lang w:val="en-US"/>
        </w:rPr>
        <w:t xml:space="preserve">also </w:t>
      </w:r>
      <w:r w:rsidR="00CB3A3A" w:rsidRPr="00B31A23">
        <w:rPr>
          <w:rFonts w:ascii="Times New Roman" w:hAnsi="Times New Roman" w:cs="Times New Roman"/>
          <w:sz w:val="24"/>
          <w:szCs w:val="24"/>
          <w:lang w:val="en-US"/>
        </w:rPr>
        <w:t>shown that Cyberchondria</w:t>
      </w:r>
      <w:r w:rsidR="0073720E" w:rsidRPr="00B31A23">
        <w:rPr>
          <w:rFonts w:ascii="Times New Roman" w:hAnsi="Times New Roman" w:cs="Times New Roman"/>
          <w:sz w:val="24"/>
          <w:szCs w:val="24"/>
          <w:lang w:val="en-US"/>
        </w:rPr>
        <w:t xml:space="preserve"> </w:t>
      </w:r>
      <w:r w:rsidR="00CB3A3A" w:rsidRPr="00B31A23">
        <w:rPr>
          <w:rFonts w:ascii="Times New Roman" w:hAnsi="Times New Roman" w:cs="Times New Roman"/>
          <w:sz w:val="24"/>
          <w:szCs w:val="24"/>
          <w:lang w:val="en-US"/>
        </w:rPr>
        <w:t>is</w:t>
      </w:r>
      <w:r w:rsidR="0073720E" w:rsidRPr="00B31A23">
        <w:rPr>
          <w:rFonts w:ascii="Times New Roman" w:hAnsi="Times New Roman" w:cs="Times New Roman"/>
          <w:sz w:val="24"/>
          <w:szCs w:val="24"/>
          <w:lang w:val="en-US"/>
        </w:rPr>
        <w:t xml:space="preserve"> related to problematic </w:t>
      </w:r>
      <w:r w:rsidR="003F122A" w:rsidRPr="00B31A23">
        <w:rPr>
          <w:rFonts w:ascii="Times New Roman" w:hAnsi="Times New Roman" w:cs="Times New Roman"/>
          <w:sz w:val="24"/>
          <w:szCs w:val="24"/>
          <w:lang w:val="en-US"/>
        </w:rPr>
        <w:t>internet</w:t>
      </w:r>
      <w:r w:rsidR="0073720E" w:rsidRPr="00B31A23">
        <w:rPr>
          <w:rFonts w:ascii="Times New Roman" w:hAnsi="Times New Roman" w:cs="Times New Roman"/>
          <w:sz w:val="24"/>
          <w:szCs w:val="24"/>
          <w:lang w:val="en-US"/>
        </w:rPr>
        <w:t xml:space="preserve"> use (PIU)</w:t>
      </w:r>
      <w:r w:rsidR="00F0255F" w:rsidRPr="00B31A23">
        <w:rPr>
          <w:rFonts w:ascii="Times New Roman" w:hAnsi="Times New Roman" w:cs="Times New Roman"/>
          <w:sz w:val="24"/>
          <w:szCs w:val="24"/>
          <w:lang w:val="en-US"/>
        </w:rPr>
        <w:t xml:space="preserve"> (Starcevic &amp; Berle, 2013; Fergus &amp; Dolan, 2014; Fergus &amp; Spada, 2017)</w:t>
      </w:r>
      <w:r w:rsidR="0073720E" w:rsidRPr="00B31A23">
        <w:rPr>
          <w:rFonts w:ascii="Times New Roman" w:hAnsi="Times New Roman" w:cs="Times New Roman"/>
          <w:sz w:val="24"/>
          <w:szCs w:val="24"/>
          <w:lang w:val="en-US"/>
        </w:rPr>
        <w:t xml:space="preserve">. PIU has been defined as the inability to control </w:t>
      </w:r>
      <w:r w:rsidR="00CB3A3A" w:rsidRPr="00B31A23">
        <w:rPr>
          <w:rFonts w:ascii="Times New Roman" w:hAnsi="Times New Roman" w:cs="Times New Roman"/>
          <w:sz w:val="24"/>
          <w:szCs w:val="24"/>
          <w:lang w:val="en-US"/>
        </w:rPr>
        <w:t>engagement with the</w:t>
      </w:r>
      <w:r w:rsidR="0073720E" w:rsidRPr="00B31A23">
        <w:rPr>
          <w:rFonts w:ascii="Times New Roman" w:hAnsi="Times New Roman" w:cs="Times New Roman"/>
          <w:sz w:val="24"/>
          <w:szCs w:val="24"/>
          <w:lang w:val="en-US"/>
        </w:rPr>
        <w:t xml:space="preserve"> </w:t>
      </w:r>
      <w:r w:rsidR="003F122A" w:rsidRPr="00B31A23">
        <w:rPr>
          <w:rFonts w:ascii="Times New Roman" w:hAnsi="Times New Roman" w:cs="Times New Roman"/>
          <w:sz w:val="24"/>
          <w:szCs w:val="24"/>
          <w:lang w:val="en-US"/>
        </w:rPr>
        <w:t>internet</w:t>
      </w:r>
      <w:r w:rsidR="0073720E" w:rsidRPr="00B31A23">
        <w:rPr>
          <w:rFonts w:ascii="Times New Roman" w:hAnsi="Times New Roman" w:cs="Times New Roman"/>
          <w:sz w:val="24"/>
          <w:szCs w:val="24"/>
          <w:lang w:val="en-US"/>
        </w:rPr>
        <w:t xml:space="preserve">, which can lead to a general impairment </w:t>
      </w:r>
      <w:r w:rsidR="00CB3A3A" w:rsidRPr="00B31A23">
        <w:rPr>
          <w:rFonts w:ascii="Times New Roman" w:hAnsi="Times New Roman" w:cs="Times New Roman"/>
          <w:sz w:val="24"/>
          <w:szCs w:val="24"/>
          <w:lang w:val="en-US"/>
        </w:rPr>
        <w:t>at</w:t>
      </w:r>
      <w:r w:rsidR="0073720E" w:rsidRPr="00B31A23">
        <w:rPr>
          <w:rFonts w:ascii="Times New Roman" w:hAnsi="Times New Roman" w:cs="Times New Roman"/>
          <w:sz w:val="24"/>
          <w:szCs w:val="24"/>
          <w:lang w:val="en-US"/>
        </w:rPr>
        <w:t xml:space="preserve"> psychological, social</w:t>
      </w:r>
      <w:r w:rsidR="003F122A" w:rsidRPr="00B31A23">
        <w:rPr>
          <w:rFonts w:ascii="Times New Roman" w:hAnsi="Times New Roman" w:cs="Times New Roman"/>
          <w:sz w:val="24"/>
          <w:szCs w:val="24"/>
          <w:lang w:val="en-US"/>
        </w:rPr>
        <w:t>,</w:t>
      </w:r>
      <w:r w:rsidR="0073720E" w:rsidRPr="00B31A23">
        <w:rPr>
          <w:rFonts w:ascii="Times New Roman" w:hAnsi="Times New Roman" w:cs="Times New Roman"/>
          <w:sz w:val="24"/>
          <w:szCs w:val="24"/>
          <w:lang w:val="en-US"/>
        </w:rPr>
        <w:t xml:space="preserve"> and working level</w:t>
      </w:r>
      <w:r w:rsidR="00CB3A3A" w:rsidRPr="00B31A23">
        <w:rPr>
          <w:rFonts w:ascii="Times New Roman" w:hAnsi="Times New Roman" w:cs="Times New Roman"/>
          <w:sz w:val="24"/>
          <w:szCs w:val="24"/>
          <w:lang w:val="en-US"/>
        </w:rPr>
        <w:t>s</w:t>
      </w:r>
      <w:r w:rsidR="0073720E" w:rsidRPr="00B31A23">
        <w:rPr>
          <w:rFonts w:ascii="Times New Roman" w:hAnsi="Times New Roman" w:cs="Times New Roman"/>
          <w:sz w:val="24"/>
          <w:szCs w:val="24"/>
          <w:lang w:val="en-US"/>
        </w:rPr>
        <w:t xml:space="preserve"> (Spada, 2014). </w:t>
      </w:r>
      <w:r w:rsidR="00CB3A3A" w:rsidRPr="00B31A23">
        <w:rPr>
          <w:rFonts w:ascii="Times New Roman" w:hAnsi="Times New Roman" w:cs="Times New Roman"/>
          <w:sz w:val="24"/>
          <w:szCs w:val="24"/>
          <w:lang w:val="en-US"/>
        </w:rPr>
        <w:t>The o</w:t>
      </w:r>
      <w:r w:rsidR="0073720E" w:rsidRPr="00B31A23">
        <w:rPr>
          <w:rFonts w:ascii="Times New Roman" w:hAnsi="Times New Roman" w:cs="Times New Roman"/>
          <w:sz w:val="24"/>
          <w:szCs w:val="24"/>
          <w:lang w:val="en-US"/>
        </w:rPr>
        <w:t xml:space="preserve">verlap between </w:t>
      </w:r>
      <w:r w:rsidR="00CB3A3A" w:rsidRPr="00B31A23">
        <w:rPr>
          <w:rFonts w:ascii="Times New Roman" w:hAnsi="Times New Roman" w:cs="Times New Roman"/>
          <w:sz w:val="24"/>
          <w:szCs w:val="24"/>
          <w:lang w:val="en-US"/>
        </w:rPr>
        <w:t>C</w:t>
      </w:r>
      <w:r w:rsidR="0073720E" w:rsidRPr="00B31A23">
        <w:rPr>
          <w:rFonts w:ascii="Times New Roman" w:hAnsi="Times New Roman" w:cs="Times New Roman"/>
          <w:sz w:val="24"/>
          <w:szCs w:val="24"/>
          <w:lang w:val="en-US"/>
        </w:rPr>
        <w:t>yberchondria and PIU</w:t>
      </w:r>
      <w:r w:rsidR="00E67213" w:rsidRPr="00B31A23">
        <w:rPr>
          <w:rFonts w:ascii="Times New Roman" w:hAnsi="Times New Roman" w:cs="Times New Roman"/>
          <w:sz w:val="24"/>
          <w:szCs w:val="24"/>
          <w:lang w:val="en-US"/>
        </w:rPr>
        <w:t xml:space="preserve"> is quite apparent:</w:t>
      </w:r>
      <w:r w:rsidR="009A3F54" w:rsidRPr="00B31A23">
        <w:rPr>
          <w:rFonts w:ascii="Times New Roman" w:hAnsi="Times New Roman" w:cs="Times New Roman"/>
          <w:sz w:val="24"/>
          <w:szCs w:val="24"/>
          <w:lang w:val="en-US"/>
        </w:rPr>
        <w:t xml:space="preserve"> </w:t>
      </w:r>
      <w:r w:rsidR="00E67213" w:rsidRPr="00B31A23">
        <w:rPr>
          <w:rFonts w:ascii="Times New Roman" w:hAnsi="Times New Roman" w:cs="Times New Roman"/>
          <w:sz w:val="24"/>
          <w:szCs w:val="24"/>
          <w:lang w:val="en-US"/>
        </w:rPr>
        <w:t xml:space="preserve">both are characterized by the </w:t>
      </w:r>
      <w:r w:rsidR="0073720E" w:rsidRPr="00B31A23">
        <w:rPr>
          <w:rFonts w:ascii="Times New Roman" w:hAnsi="Times New Roman" w:cs="Times New Roman"/>
          <w:sz w:val="24"/>
          <w:szCs w:val="24"/>
          <w:lang w:val="en-US"/>
        </w:rPr>
        <w:t xml:space="preserve">difficulty in controlling the use of the </w:t>
      </w:r>
      <w:r w:rsidR="003F122A" w:rsidRPr="00B31A23">
        <w:rPr>
          <w:rFonts w:ascii="Times New Roman" w:hAnsi="Times New Roman" w:cs="Times New Roman"/>
          <w:sz w:val="24"/>
          <w:szCs w:val="24"/>
          <w:lang w:val="en-US"/>
        </w:rPr>
        <w:t>internet</w:t>
      </w:r>
      <w:r w:rsidR="0073720E" w:rsidRPr="00B31A23">
        <w:rPr>
          <w:rFonts w:ascii="Times New Roman" w:hAnsi="Times New Roman" w:cs="Times New Roman"/>
          <w:sz w:val="24"/>
          <w:szCs w:val="24"/>
          <w:lang w:val="en-US"/>
        </w:rPr>
        <w:t xml:space="preserve">, which </w:t>
      </w:r>
      <w:r w:rsidR="00E67213" w:rsidRPr="00B31A23">
        <w:rPr>
          <w:rFonts w:ascii="Times New Roman" w:hAnsi="Times New Roman" w:cs="Times New Roman"/>
          <w:sz w:val="24"/>
          <w:szCs w:val="24"/>
          <w:lang w:val="en-US"/>
        </w:rPr>
        <w:t xml:space="preserve">can </w:t>
      </w:r>
      <w:r w:rsidR="0073720E" w:rsidRPr="00B31A23">
        <w:rPr>
          <w:rFonts w:ascii="Times New Roman" w:hAnsi="Times New Roman" w:cs="Times New Roman"/>
          <w:sz w:val="24"/>
          <w:szCs w:val="24"/>
          <w:lang w:val="en-US"/>
        </w:rPr>
        <w:t xml:space="preserve">lead to negative consequences </w:t>
      </w:r>
      <w:r w:rsidR="00CB3A3A" w:rsidRPr="00B31A23">
        <w:rPr>
          <w:rFonts w:ascii="Times New Roman" w:hAnsi="Times New Roman" w:cs="Times New Roman"/>
          <w:sz w:val="24"/>
          <w:szCs w:val="24"/>
          <w:lang w:val="en-US"/>
        </w:rPr>
        <w:t>in</w:t>
      </w:r>
      <w:r w:rsidR="0073720E" w:rsidRPr="00B31A23">
        <w:rPr>
          <w:rFonts w:ascii="Times New Roman" w:hAnsi="Times New Roman" w:cs="Times New Roman"/>
          <w:sz w:val="24"/>
          <w:szCs w:val="24"/>
          <w:lang w:val="en-US"/>
        </w:rPr>
        <w:t xml:space="preserve"> one's psychosocial well-being</w:t>
      </w:r>
      <w:r w:rsidR="00E67213" w:rsidRPr="00B31A23">
        <w:rPr>
          <w:rFonts w:ascii="Times New Roman" w:hAnsi="Times New Roman" w:cs="Times New Roman"/>
          <w:sz w:val="24"/>
          <w:szCs w:val="24"/>
          <w:lang w:val="en-US"/>
        </w:rPr>
        <w:t xml:space="preserve"> (Fergus &amp; Dolan, 2014)</w:t>
      </w:r>
      <w:r w:rsidR="0073720E" w:rsidRPr="00B31A23">
        <w:rPr>
          <w:rFonts w:ascii="Times New Roman" w:hAnsi="Times New Roman" w:cs="Times New Roman"/>
          <w:sz w:val="24"/>
          <w:szCs w:val="24"/>
          <w:lang w:val="en-US"/>
        </w:rPr>
        <w:t xml:space="preserve">. </w:t>
      </w:r>
      <w:r w:rsidR="00826955" w:rsidRPr="00B31A23">
        <w:rPr>
          <w:rFonts w:ascii="Times New Roman" w:hAnsi="Times New Roman" w:cs="Times New Roman"/>
          <w:sz w:val="24"/>
          <w:szCs w:val="24"/>
          <w:lang w:val="en-US"/>
        </w:rPr>
        <w:t xml:space="preserve">For this reason, some studies have argued that </w:t>
      </w:r>
      <w:r w:rsidR="00CB3A3A" w:rsidRPr="00B31A23">
        <w:rPr>
          <w:rFonts w:ascii="Times New Roman" w:hAnsi="Times New Roman" w:cs="Times New Roman"/>
          <w:sz w:val="24"/>
          <w:szCs w:val="24"/>
          <w:lang w:val="en-US"/>
        </w:rPr>
        <w:t>C</w:t>
      </w:r>
      <w:r w:rsidR="00826955" w:rsidRPr="00B31A23">
        <w:rPr>
          <w:rFonts w:ascii="Times New Roman" w:hAnsi="Times New Roman" w:cs="Times New Roman"/>
          <w:sz w:val="24"/>
          <w:szCs w:val="24"/>
          <w:lang w:val="en-US"/>
        </w:rPr>
        <w:t xml:space="preserve">yberchondria is a specific domain of health-related </w:t>
      </w:r>
      <w:r w:rsidR="00F0255F" w:rsidRPr="00B31A23">
        <w:rPr>
          <w:rFonts w:ascii="Times New Roman" w:hAnsi="Times New Roman" w:cs="Times New Roman"/>
          <w:sz w:val="24"/>
          <w:szCs w:val="24"/>
          <w:lang w:val="en-US"/>
        </w:rPr>
        <w:t xml:space="preserve">form of </w:t>
      </w:r>
      <w:r w:rsidR="00826955" w:rsidRPr="00B31A23">
        <w:rPr>
          <w:rFonts w:ascii="Times New Roman" w:hAnsi="Times New Roman" w:cs="Times New Roman"/>
          <w:sz w:val="24"/>
          <w:szCs w:val="24"/>
          <w:lang w:val="en-US"/>
        </w:rPr>
        <w:t>PIU (Fergus &amp; Dolan, 2014; Fergus &amp; Spada, 2017).</w:t>
      </w:r>
      <w:r w:rsidR="00D73763" w:rsidRPr="00B31A23">
        <w:rPr>
          <w:rFonts w:ascii="Times New Roman" w:hAnsi="Times New Roman" w:cs="Times New Roman"/>
          <w:sz w:val="24"/>
          <w:szCs w:val="24"/>
          <w:lang w:val="en-US"/>
        </w:rPr>
        <w:t xml:space="preserve"> </w:t>
      </w:r>
      <w:r w:rsidR="009605B5" w:rsidRPr="00B31A23">
        <w:rPr>
          <w:rFonts w:ascii="Times New Roman" w:hAnsi="Times New Roman" w:cs="Times New Roman"/>
          <w:sz w:val="24"/>
          <w:szCs w:val="24"/>
          <w:lang w:val="en-US"/>
        </w:rPr>
        <w:t>For the purposes of the current study, we used hours spent online per day as a proxy of PIU.</w:t>
      </w:r>
    </w:p>
    <w:p w14:paraId="1DB70ED7" w14:textId="77777777" w:rsidR="009605B5" w:rsidRPr="00B31A23" w:rsidRDefault="009605B5" w:rsidP="009605B5">
      <w:pPr>
        <w:pStyle w:val="Corpo"/>
        <w:spacing w:line="480" w:lineRule="auto"/>
        <w:jc w:val="both"/>
        <w:rPr>
          <w:rFonts w:ascii="Times New Roman" w:hAnsi="Times New Roman" w:cs="Times New Roman"/>
          <w:sz w:val="24"/>
          <w:szCs w:val="24"/>
          <w:lang w:val="en-US"/>
        </w:rPr>
      </w:pPr>
    </w:p>
    <w:p w14:paraId="1534F6F6" w14:textId="77777777" w:rsidR="009605B5" w:rsidRPr="00B31A23" w:rsidRDefault="009605B5" w:rsidP="009605B5">
      <w:pPr>
        <w:pStyle w:val="Corpo"/>
        <w:spacing w:line="480" w:lineRule="auto"/>
        <w:jc w:val="both"/>
        <w:rPr>
          <w:rFonts w:ascii="Times New Roman" w:hAnsi="Times New Roman" w:cs="Times New Roman"/>
          <w:sz w:val="24"/>
          <w:szCs w:val="24"/>
          <w:lang w:val="en-US"/>
        </w:rPr>
      </w:pPr>
    </w:p>
    <w:p w14:paraId="637FE804" w14:textId="12C11AFC" w:rsidR="00990522" w:rsidRPr="00B31A23" w:rsidRDefault="0023152A" w:rsidP="009605B5">
      <w:pPr>
        <w:pStyle w:val="Corpo"/>
        <w:spacing w:line="480" w:lineRule="auto"/>
        <w:jc w:val="both"/>
        <w:rPr>
          <w:rFonts w:ascii="Times New Roman" w:hAnsi="Times New Roman" w:cs="Times New Roman"/>
          <w:sz w:val="24"/>
          <w:szCs w:val="24"/>
          <w:lang w:val="en-GB"/>
        </w:rPr>
      </w:pPr>
      <w:r w:rsidRPr="00B31A23">
        <w:rPr>
          <w:rFonts w:ascii="Times New Roman" w:hAnsi="Times New Roman" w:cs="Times New Roman"/>
          <w:b/>
          <w:bCs/>
          <w:sz w:val="24"/>
          <w:szCs w:val="24"/>
          <w:lang w:val="en-US"/>
        </w:rPr>
        <w:lastRenderedPageBreak/>
        <w:t>Health cognitions</w:t>
      </w:r>
    </w:p>
    <w:p w14:paraId="06F883E1" w14:textId="59518192" w:rsidR="008C47C4" w:rsidRPr="00B31A23" w:rsidRDefault="009605B5" w:rsidP="003F122A">
      <w:pPr>
        <w:pStyle w:val="Corpo"/>
        <w:spacing w:line="480" w:lineRule="auto"/>
        <w:ind w:firstLine="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In the cognitive model of health anxiety proposed by Warwick and Salkovskis (1990), health anxiety is purported to arise from health cognitions, i.e., the combination of catastrophizing and distorting the meaning of symptoms as signs of a serious pathology, and the associated activation of maladaptive coping strategies (e.g., reassurance seeking). </w:t>
      </w:r>
      <w:r w:rsidR="00F5435D" w:rsidRPr="00B31A23">
        <w:rPr>
          <w:rFonts w:ascii="Times New Roman" w:hAnsi="Times New Roman" w:cs="Times New Roman"/>
          <w:sz w:val="24"/>
          <w:szCs w:val="24"/>
          <w:lang w:val="en-US"/>
        </w:rPr>
        <w:t xml:space="preserve">In support of this view, </w:t>
      </w:r>
      <w:r w:rsidR="00550B0B" w:rsidRPr="00B31A23">
        <w:rPr>
          <w:rFonts w:ascii="Times New Roman" w:hAnsi="Times New Roman" w:cs="Times New Roman"/>
          <w:sz w:val="24"/>
          <w:szCs w:val="24"/>
          <w:lang w:val="en-US"/>
        </w:rPr>
        <w:t>health cognitions</w:t>
      </w:r>
      <w:r w:rsidR="00F5435D" w:rsidRPr="00B31A23">
        <w:rPr>
          <w:rFonts w:ascii="Times New Roman" w:hAnsi="Times New Roman" w:cs="Times New Roman"/>
          <w:sz w:val="24"/>
          <w:szCs w:val="24"/>
          <w:lang w:val="en-US"/>
        </w:rPr>
        <w:t xml:space="preserve"> have been found to be associated t</w:t>
      </w:r>
      <w:r w:rsidR="0073720E" w:rsidRPr="00B31A23">
        <w:rPr>
          <w:rFonts w:ascii="Times New Roman" w:hAnsi="Times New Roman" w:cs="Times New Roman"/>
          <w:sz w:val="24"/>
          <w:szCs w:val="24"/>
          <w:lang w:val="en-US"/>
        </w:rPr>
        <w:t>o the overestimation of symptom severity (Sullivan, Bishop &amp; Pivik, 1995)</w:t>
      </w:r>
      <w:r w:rsidR="00F5435D" w:rsidRPr="00B31A23">
        <w:rPr>
          <w:rFonts w:ascii="Times New Roman" w:hAnsi="Times New Roman" w:cs="Times New Roman"/>
          <w:sz w:val="24"/>
          <w:szCs w:val="24"/>
          <w:lang w:val="en-US"/>
        </w:rPr>
        <w:t xml:space="preserve"> and </w:t>
      </w:r>
      <w:r w:rsidR="00877B8F" w:rsidRPr="00B31A23">
        <w:rPr>
          <w:rFonts w:ascii="Times New Roman" w:hAnsi="Times New Roman" w:cs="Times New Roman"/>
          <w:sz w:val="24"/>
          <w:szCs w:val="24"/>
          <w:lang w:val="en-US"/>
        </w:rPr>
        <w:t xml:space="preserve">excessive self-focused attention, </w:t>
      </w:r>
      <w:r w:rsidR="00F5435D" w:rsidRPr="00B31A23">
        <w:rPr>
          <w:rFonts w:ascii="Times New Roman" w:hAnsi="Times New Roman" w:cs="Times New Roman"/>
          <w:sz w:val="24"/>
          <w:szCs w:val="24"/>
          <w:lang w:val="en-US"/>
        </w:rPr>
        <w:t>h</w:t>
      </w:r>
      <w:r w:rsidR="0073720E" w:rsidRPr="00B31A23">
        <w:rPr>
          <w:rFonts w:ascii="Times New Roman" w:hAnsi="Times New Roman" w:cs="Times New Roman"/>
          <w:sz w:val="24"/>
          <w:szCs w:val="24"/>
          <w:lang w:val="en-US"/>
        </w:rPr>
        <w:t>ealth-related worry</w:t>
      </w:r>
      <w:r w:rsidR="00F5435D" w:rsidRPr="00B31A23">
        <w:rPr>
          <w:rFonts w:ascii="Times New Roman" w:hAnsi="Times New Roman" w:cs="Times New Roman"/>
          <w:sz w:val="24"/>
          <w:szCs w:val="24"/>
          <w:lang w:val="en-US"/>
        </w:rPr>
        <w:t>,</w:t>
      </w:r>
      <w:r w:rsidR="0073720E" w:rsidRPr="00B31A23">
        <w:rPr>
          <w:rFonts w:ascii="Times New Roman" w:hAnsi="Times New Roman" w:cs="Times New Roman"/>
          <w:sz w:val="24"/>
          <w:szCs w:val="24"/>
          <w:lang w:val="en-US"/>
        </w:rPr>
        <w:t xml:space="preserve"> </w:t>
      </w:r>
      <w:r w:rsidR="00F5435D" w:rsidRPr="00B31A23">
        <w:rPr>
          <w:rFonts w:ascii="Times New Roman" w:hAnsi="Times New Roman" w:cs="Times New Roman"/>
          <w:sz w:val="24"/>
          <w:szCs w:val="24"/>
          <w:lang w:val="en-US"/>
        </w:rPr>
        <w:t xml:space="preserve">and </w:t>
      </w:r>
      <w:r w:rsidR="0073720E" w:rsidRPr="00B31A23">
        <w:rPr>
          <w:rFonts w:ascii="Times New Roman" w:hAnsi="Times New Roman" w:cs="Times New Roman"/>
          <w:sz w:val="24"/>
          <w:szCs w:val="24"/>
          <w:lang w:val="en-US"/>
        </w:rPr>
        <w:t>reassurance-seeking (Wells &amp; Hackmann, 1993).</w:t>
      </w:r>
      <w:r w:rsidR="00BD1F19" w:rsidRPr="00B31A23">
        <w:rPr>
          <w:rFonts w:ascii="Times New Roman" w:hAnsi="Times New Roman" w:cs="Times New Roman"/>
          <w:sz w:val="24"/>
          <w:szCs w:val="24"/>
          <w:lang w:val="en-US"/>
        </w:rPr>
        <w:t xml:space="preserve"> Several studies have </w:t>
      </w:r>
      <w:r w:rsidR="006E7904" w:rsidRPr="00B31A23">
        <w:rPr>
          <w:rFonts w:ascii="Times New Roman" w:hAnsi="Times New Roman" w:cs="Times New Roman"/>
          <w:sz w:val="24"/>
          <w:szCs w:val="24"/>
          <w:lang w:val="en-US"/>
        </w:rPr>
        <w:t xml:space="preserve">also </w:t>
      </w:r>
      <w:r w:rsidR="000A31E6" w:rsidRPr="00B31A23">
        <w:rPr>
          <w:rFonts w:ascii="Times New Roman" w:hAnsi="Times New Roman" w:cs="Times New Roman"/>
          <w:sz w:val="24"/>
          <w:szCs w:val="24"/>
          <w:lang w:val="en-US"/>
        </w:rPr>
        <w:t>sho</w:t>
      </w:r>
      <w:r w:rsidR="006E7904" w:rsidRPr="00B31A23">
        <w:rPr>
          <w:rFonts w:ascii="Times New Roman" w:hAnsi="Times New Roman" w:cs="Times New Roman"/>
          <w:sz w:val="24"/>
          <w:szCs w:val="24"/>
          <w:lang w:val="en-US"/>
        </w:rPr>
        <w:t>w</w:t>
      </w:r>
      <w:r w:rsidR="000A31E6" w:rsidRPr="00B31A23">
        <w:rPr>
          <w:rFonts w:ascii="Times New Roman" w:hAnsi="Times New Roman" w:cs="Times New Roman"/>
          <w:sz w:val="24"/>
          <w:szCs w:val="24"/>
          <w:lang w:val="en-US"/>
        </w:rPr>
        <w:t>cased</w:t>
      </w:r>
      <w:r w:rsidR="00BD1F19" w:rsidRPr="00B31A23">
        <w:rPr>
          <w:rFonts w:ascii="Times New Roman" w:hAnsi="Times New Roman" w:cs="Times New Roman"/>
          <w:sz w:val="24"/>
          <w:szCs w:val="24"/>
          <w:lang w:val="en-US"/>
        </w:rPr>
        <w:t xml:space="preserve"> </w:t>
      </w:r>
      <w:r w:rsidR="00291434" w:rsidRPr="00B31A23">
        <w:rPr>
          <w:rFonts w:ascii="Times New Roman" w:hAnsi="Times New Roman" w:cs="Times New Roman"/>
          <w:sz w:val="24"/>
          <w:szCs w:val="24"/>
          <w:lang w:val="en-US"/>
        </w:rPr>
        <w:t>how</w:t>
      </w:r>
      <w:r w:rsidR="00BD1F19" w:rsidRPr="00B31A23">
        <w:rPr>
          <w:rFonts w:ascii="Times New Roman" w:hAnsi="Times New Roman" w:cs="Times New Roman"/>
          <w:sz w:val="24"/>
          <w:szCs w:val="24"/>
          <w:lang w:val="en-US"/>
        </w:rPr>
        <w:t xml:space="preserve"> individuals with health anxiety are more prone to misinterpret their body sensations and to </w:t>
      </w:r>
      <w:r w:rsidR="000A31E6" w:rsidRPr="00B31A23">
        <w:rPr>
          <w:rFonts w:ascii="Times New Roman" w:hAnsi="Times New Roman" w:cs="Times New Roman"/>
          <w:sz w:val="24"/>
          <w:szCs w:val="24"/>
          <w:lang w:val="en-US"/>
        </w:rPr>
        <w:t>hold inaccurate</w:t>
      </w:r>
      <w:r w:rsidR="00BD1F19" w:rsidRPr="00B31A23">
        <w:rPr>
          <w:rFonts w:ascii="Times New Roman" w:hAnsi="Times New Roman" w:cs="Times New Roman"/>
          <w:sz w:val="24"/>
          <w:szCs w:val="24"/>
          <w:lang w:val="en-US"/>
        </w:rPr>
        <w:t xml:space="preserve"> </w:t>
      </w:r>
      <w:r w:rsidR="000A31E6" w:rsidRPr="00B31A23">
        <w:rPr>
          <w:rFonts w:ascii="Times New Roman" w:hAnsi="Times New Roman" w:cs="Times New Roman"/>
          <w:sz w:val="24"/>
          <w:szCs w:val="24"/>
          <w:lang w:val="en-US"/>
        </w:rPr>
        <w:t>cognitions</w:t>
      </w:r>
      <w:r w:rsidR="00BD1F19" w:rsidRPr="00B31A23">
        <w:rPr>
          <w:rFonts w:ascii="Times New Roman" w:hAnsi="Times New Roman" w:cs="Times New Roman"/>
          <w:sz w:val="24"/>
          <w:szCs w:val="24"/>
          <w:lang w:val="en-US"/>
        </w:rPr>
        <w:t xml:space="preserve"> regarding their health status (Rief, Hiller &amp; Margraf, 1998; Marcus, 1999; Marcus &amp; Church, 2003).</w:t>
      </w:r>
      <w:r w:rsidR="00AE4824" w:rsidRPr="00B31A23">
        <w:rPr>
          <w:rFonts w:ascii="Times New Roman" w:hAnsi="Times New Roman" w:cs="Times New Roman"/>
          <w:sz w:val="24"/>
          <w:szCs w:val="24"/>
          <w:lang w:val="en-US"/>
        </w:rPr>
        <w:t xml:space="preserve"> Within this</w:t>
      </w:r>
      <w:r w:rsidR="00263D74" w:rsidRPr="00B31A23">
        <w:rPr>
          <w:rFonts w:ascii="Times New Roman" w:hAnsi="Times New Roman" w:cs="Times New Roman"/>
          <w:sz w:val="24"/>
          <w:szCs w:val="24"/>
          <w:lang w:val="en-US"/>
        </w:rPr>
        <w:t xml:space="preserve"> cognitive</w:t>
      </w:r>
      <w:r w:rsidR="00AE4824" w:rsidRPr="00B31A23">
        <w:rPr>
          <w:rFonts w:ascii="Times New Roman" w:hAnsi="Times New Roman" w:cs="Times New Roman"/>
          <w:sz w:val="24"/>
          <w:szCs w:val="24"/>
          <w:lang w:val="en-US"/>
        </w:rPr>
        <w:t xml:space="preserve"> framework, </w:t>
      </w:r>
      <w:r w:rsidR="000A31E6" w:rsidRPr="00B31A23">
        <w:rPr>
          <w:rFonts w:ascii="Times New Roman" w:hAnsi="Times New Roman" w:cs="Times New Roman"/>
          <w:sz w:val="24"/>
          <w:szCs w:val="24"/>
          <w:lang w:val="en-US"/>
        </w:rPr>
        <w:t>C</w:t>
      </w:r>
      <w:r w:rsidR="00AE4824" w:rsidRPr="00B31A23">
        <w:rPr>
          <w:rFonts w:ascii="Times New Roman" w:hAnsi="Times New Roman" w:cs="Times New Roman"/>
          <w:sz w:val="24"/>
          <w:szCs w:val="24"/>
          <w:lang w:val="en-US"/>
        </w:rPr>
        <w:t xml:space="preserve">yberchondria could be </w:t>
      </w:r>
      <w:r w:rsidR="006E7904" w:rsidRPr="00B31A23">
        <w:rPr>
          <w:rFonts w:ascii="Times New Roman" w:hAnsi="Times New Roman" w:cs="Times New Roman"/>
          <w:sz w:val="24"/>
          <w:szCs w:val="24"/>
          <w:lang w:val="en-US"/>
        </w:rPr>
        <w:t>construed</w:t>
      </w:r>
      <w:r w:rsidR="00AE4824" w:rsidRPr="00B31A23">
        <w:rPr>
          <w:rFonts w:ascii="Times New Roman" w:hAnsi="Times New Roman" w:cs="Times New Roman"/>
          <w:sz w:val="24"/>
          <w:szCs w:val="24"/>
          <w:lang w:val="en-US"/>
        </w:rPr>
        <w:t xml:space="preserve"> as a safety</w:t>
      </w:r>
      <w:r w:rsidR="006F6081" w:rsidRPr="00B31A23">
        <w:rPr>
          <w:rFonts w:ascii="Times New Roman" w:hAnsi="Times New Roman" w:cs="Times New Roman"/>
          <w:sz w:val="24"/>
          <w:szCs w:val="24"/>
          <w:lang w:val="en-US"/>
        </w:rPr>
        <w:t>-</w:t>
      </w:r>
      <w:r w:rsidR="00AE4824" w:rsidRPr="00B31A23">
        <w:rPr>
          <w:rFonts w:ascii="Times New Roman" w:hAnsi="Times New Roman" w:cs="Times New Roman"/>
          <w:sz w:val="24"/>
          <w:szCs w:val="24"/>
          <w:lang w:val="en-US"/>
        </w:rPr>
        <w:t>seeking behavior prompted by health anxiety (Fergus, 20</w:t>
      </w:r>
      <w:r w:rsidR="00263D74" w:rsidRPr="00B31A23">
        <w:rPr>
          <w:rFonts w:ascii="Times New Roman" w:hAnsi="Times New Roman" w:cs="Times New Roman"/>
          <w:sz w:val="24"/>
          <w:szCs w:val="24"/>
          <w:lang w:val="en-US"/>
        </w:rPr>
        <w:t>14</w:t>
      </w:r>
      <w:r w:rsidR="00AE4824" w:rsidRPr="00B31A23">
        <w:rPr>
          <w:rFonts w:ascii="Times New Roman" w:hAnsi="Times New Roman" w:cs="Times New Roman"/>
          <w:sz w:val="24"/>
          <w:szCs w:val="24"/>
          <w:lang w:val="en-US"/>
        </w:rPr>
        <w:t>, Fergus &amp; Dolan</w:t>
      </w:r>
      <w:r w:rsidR="00263D74" w:rsidRPr="00B31A23">
        <w:rPr>
          <w:rFonts w:ascii="Times New Roman" w:hAnsi="Times New Roman" w:cs="Times New Roman"/>
          <w:sz w:val="24"/>
          <w:szCs w:val="24"/>
          <w:lang w:val="en-US"/>
        </w:rPr>
        <w:t>, 2014</w:t>
      </w:r>
      <w:r w:rsidR="006E7904" w:rsidRPr="00B31A23">
        <w:rPr>
          <w:rFonts w:ascii="Times New Roman" w:hAnsi="Times New Roman" w:cs="Times New Roman"/>
          <w:sz w:val="24"/>
          <w:szCs w:val="24"/>
          <w:lang w:val="en-US"/>
        </w:rPr>
        <w:t>; Starcevic, 2017</w:t>
      </w:r>
      <w:r w:rsidR="00AE4824" w:rsidRPr="00B31A23">
        <w:rPr>
          <w:rFonts w:ascii="Times New Roman" w:hAnsi="Times New Roman" w:cs="Times New Roman"/>
          <w:sz w:val="24"/>
          <w:szCs w:val="24"/>
          <w:lang w:val="en-US"/>
        </w:rPr>
        <w:t xml:space="preserve">). Accordingly, individuals with increased </w:t>
      </w:r>
      <w:r w:rsidR="0021522E" w:rsidRPr="00B31A23">
        <w:rPr>
          <w:rFonts w:ascii="Times New Roman" w:hAnsi="Times New Roman" w:cs="Times New Roman"/>
          <w:sz w:val="24"/>
          <w:szCs w:val="24"/>
          <w:lang w:val="en-US"/>
        </w:rPr>
        <w:t xml:space="preserve">health anxiety </w:t>
      </w:r>
      <w:r w:rsidR="00AE4824" w:rsidRPr="00B31A23">
        <w:rPr>
          <w:rFonts w:ascii="Times New Roman" w:hAnsi="Times New Roman" w:cs="Times New Roman"/>
          <w:sz w:val="24"/>
          <w:szCs w:val="24"/>
          <w:lang w:val="en-US"/>
        </w:rPr>
        <w:t xml:space="preserve">may likewise constantly look for </w:t>
      </w:r>
      <w:r w:rsidR="006E7904" w:rsidRPr="00B31A23">
        <w:rPr>
          <w:rFonts w:ascii="Times New Roman" w:hAnsi="Times New Roman" w:cs="Times New Roman"/>
          <w:sz w:val="24"/>
          <w:szCs w:val="24"/>
          <w:lang w:val="en-US"/>
        </w:rPr>
        <w:t>health-related information online</w:t>
      </w:r>
      <w:r w:rsidR="00AE4824" w:rsidRPr="00B31A23">
        <w:rPr>
          <w:rFonts w:ascii="Times New Roman" w:hAnsi="Times New Roman" w:cs="Times New Roman"/>
          <w:sz w:val="24"/>
          <w:szCs w:val="24"/>
          <w:lang w:val="en-US"/>
        </w:rPr>
        <w:t> (Hadjistavropoulos</w:t>
      </w:r>
      <w:r w:rsidR="00263D74" w:rsidRPr="00B31A23">
        <w:rPr>
          <w:rFonts w:ascii="Times New Roman" w:hAnsi="Times New Roman" w:cs="Times New Roman"/>
          <w:sz w:val="24"/>
          <w:szCs w:val="24"/>
          <w:lang w:val="en-US"/>
        </w:rPr>
        <w:t>, Craig &amp; Hadjistavropoulos, 1998</w:t>
      </w:r>
      <w:r w:rsidR="00AE4824" w:rsidRPr="00B31A23">
        <w:rPr>
          <w:rFonts w:ascii="Times New Roman" w:hAnsi="Times New Roman" w:cs="Times New Roman"/>
          <w:sz w:val="24"/>
          <w:szCs w:val="24"/>
          <w:lang w:val="en-US"/>
        </w:rPr>
        <w:t>) in order to obtain reassurance and psychological well-being</w:t>
      </w:r>
      <w:r w:rsidR="00263D74" w:rsidRPr="00B31A23">
        <w:rPr>
          <w:rFonts w:ascii="Times New Roman" w:hAnsi="Times New Roman" w:cs="Times New Roman"/>
          <w:sz w:val="24"/>
          <w:szCs w:val="24"/>
          <w:lang w:val="en-US"/>
        </w:rPr>
        <w:t xml:space="preserve"> (</w:t>
      </w:r>
      <w:r w:rsidR="00263D74" w:rsidRPr="00B31A23">
        <w:rPr>
          <w:rFonts w:ascii="Times New Roman" w:hAnsi="Times New Roman" w:cs="Times New Roman"/>
          <w:sz w:val="24"/>
          <w:szCs w:val="24"/>
          <w:lang w:val="en-GB"/>
        </w:rPr>
        <w:t>Baumgartner &amp; Hartmann, 2011; Singh, Fox &amp; Brown, 2016).</w:t>
      </w:r>
      <w:r w:rsidR="009F5B71" w:rsidRPr="00B31A23">
        <w:rPr>
          <w:rFonts w:ascii="Times New Roman" w:hAnsi="Times New Roman" w:cs="Times New Roman"/>
          <w:sz w:val="24"/>
          <w:szCs w:val="24"/>
          <w:lang w:val="en-GB"/>
        </w:rPr>
        <w:t xml:space="preserve"> Nonetheless, the reassurance gained is likely </w:t>
      </w:r>
      <w:r w:rsidR="000A31E6" w:rsidRPr="00B31A23">
        <w:rPr>
          <w:rFonts w:ascii="Times New Roman" w:hAnsi="Times New Roman" w:cs="Times New Roman"/>
          <w:sz w:val="24"/>
          <w:szCs w:val="24"/>
          <w:lang w:val="en-GB"/>
        </w:rPr>
        <w:t xml:space="preserve">to be </w:t>
      </w:r>
      <w:r w:rsidR="009F5B71" w:rsidRPr="00B31A23">
        <w:rPr>
          <w:rFonts w:ascii="Times New Roman" w:hAnsi="Times New Roman" w:cs="Times New Roman"/>
          <w:sz w:val="24"/>
          <w:szCs w:val="24"/>
          <w:lang w:val="en-GB"/>
        </w:rPr>
        <w:t xml:space="preserve">transitory thus encouraging </w:t>
      </w:r>
      <w:r w:rsidR="000A31E6" w:rsidRPr="00B31A23">
        <w:rPr>
          <w:rFonts w:ascii="Times New Roman" w:hAnsi="Times New Roman" w:cs="Times New Roman"/>
          <w:sz w:val="24"/>
          <w:szCs w:val="24"/>
          <w:lang w:val="en-GB"/>
        </w:rPr>
        <w:t xml:space="preserve">further </w:t>
      </w:r>
      <w:r w:rsidR="009F5B71" w:rsidRPr="00B31A23">
        <w:rPr>
          <w:rFonts w:ascii="Times New Roman" w:hAnsi="Times New Roman" w:cs="Times New Roman"/>
          <w:sz w:val="24"/>
          <w:szCs w:val="24"/>
          <w:lang w:val="en-GB"/>
        </w:rPr>
        <w:t>search</w:t>
      </w:r>
      <w:r w:rsidR="000A31E6" w:rsidRPr="00B31A23">
        <w:rPr>
          <w:rFonts w:ascii="Times New Roman" w:hAnsi="Times New Roman" w:cs="Times New Roman"/>
          <w:sz w:val="24"/>
          <w:szCs w:val="24"/>
          <w:lang w:val="en-GB"/>
        </w:rPr>
        <w:t>es</w:t>
      </w:r>
      <w:r w:rsidR="009F5B71" w:rsidRPr="00B31A23">
        <w:rPr>
          <w:rFonts w:ascii="Times New Roman" w:hAnsi="Times New Roman" w:cs="Times New Roman"/>
          <w:sz w:val="24"/>
          <w:szCs w:val="24"/>
          <w:lang w:val="en-GB"/>
        </w:rPr>
        <w:t xml:space="preserve"> for </w:t>
      </w:r>
      <w:r w:rsidR="006E7904" w:rsidRPr="00B31A23">
        <w:rPr>
          <w:rFonts w:ascii="Times New Roman" w:hAnsi="Times New Roman" w:cs="Times New Roman"/>
          <w:sz w:val="24"/>
          <w:szCs w:val="24"/>
          <w:lang w:val="en-US"/>
        </w:rPr>
        <w:t>health-related information online</w:t>
      </w:r>
      <w:r w:rsidR="009F5B71" w:rsidRPr="00B31A23">
        <w:rPr>
          <w:rFonts w:ascii="Times New Roman" w:hAnsi="Times New Roman" w:cs="Times New Roman"/>
          <w:sz w:val="24"/>
          <w:szCs w:val="24"/>
          <w:lang w:val="en-GB"/>
        </w:rPr>
        <w:t xml:space="preserve"> result</w:t>
      </w:r>
      <w:r w:rsidR="000A31E6" w:rsidRPr="00B31A23">
        <w:rPr>
          <w:rFonts w:ascii="Times New Roman" w:hAnsi="Times New Roman" w:cs="Times New Roman"/>
          <w:sz w:val="24"/>
          <w:szCs w:val="24"/>
          <w:lang w:val="en-GB"/>
        </w:rPr>
        <w:t>ing</w:t>
      </w:r>
      <w:r w:rsidR="009F5B71" w:rsidRPr="00B31A23">
        <w:rPr>
          <w:rFonts w:ascii="Times New Roman" w:hAnsi="Times New Roman" w:cs="Times New Roman"/>
          <w:sz w:val="24"/>
          <w:szCs w:val="24"/>
          <w:lang w:val="en-GB"/>
        </w:rPr>
        <w:t xml:space="preserve"> </w:t>
      </w:r>
      <w:r w:rsidR="000A31E6" w:rsidRPr="00B31A23">
        <w:rPr>
          <w:rFonts w:ascii="Times New Roman" w:hAnsi="Times New Roman" w:cs="Times New Roman"/>
          <w:sz w:val="24"/>
          <w:szCs w:val="24"/>
          <w:lang w:val="en-GB"/>
        </w:rPr>
        <w:t>in a</w:t>
      </w:r>
      <w:r w:rsidR="009F5B71" w:rsidRPr="00B31A23">
        <w:rPr>
          <w:rFonts w:ascii="Times New Roman" w:hAnsi="Times New Roman" w:cs="Times New Roman"/>
          <w:sz w:val="24"/>
          <w:szCs w:val="24"/>
          <w:lang w:val="en-GB"/>
        </w:rPr>
        <w:t xml:space="preserve"> strengthen</w:t>
      </w:r>
      <w:r w:rsidR="000A31E6" w:rsidRPr="00B31A23">
        <w:rPr>
          <w:rFonts w:ascii="Times New Roman" w:hAnsi="Times New Roman" w:cs="Times New Roman"/>
          <w:sz w:val="24"/>
          <w:szCs w:val="24"/>
          <w:lang w:val="en-GB"/>
        </w:rPr>
        <w:t xml:space="preserve">ing of </w:t>
      </w:r>
      <w:r w:rsidR="006E7904" w:rsidRPr="00B31A23">
        <w:rPr>
          <w:rFonts w:ascii="Times New Roman" w:hAnsi="Times New Roman" w:cs="Times New Roman"/>
          <w:sz w:val="24"/>
          <w:szCs w:val="24"/>
          <w:lang w:val="en-GB"/>
        </w:rPr>
        <w:t>health cognitions</w:t>
      </w:r>
      <w:r w:rsidR="009F5B71" w:rsidRPr="00B31A23">
        <w:rPr>
          <w:rFonts w:ascii="Times New Roman" w:hAnsi="Times New Roman" w:cs="Times New Roman"/>
          <w:sz w:val="24"/>
          <w:szCs w:val="24"/>
          <w:lang w:val="en-GB"/>
        </w:rPr>
        <w:t xml:space="preserve"> (Kobori &amp; Salkovskis, 20</w:t>
      </w:r>
      <w:r w:rsidR="00C57AEC" w:rsidRPr="00B31A23">
        <w:rPr>
          <w:rFonts w:ascii="Times New Roman" w:hAnsi="Times New Roman" w:cs="Times New Roman"/>
          <w:sz w:val="24"/>
          <w:szCs w:val="24"/>
          <w:lang w:val="en-GB"/>
        </w:rPr>
        <w:t>12).</w:t>
      </w:r>
      <w:r w:rsidR="00623083" w:rsidRPr="00B31A23">
        <w:rPr>
          <w:rFonts w:ascii="Times New Roman" w:hAnsi="Times New Roman" w:cs="Times New Roman"/>
          <w:sz w:val="24"/>
          <w:szCs w:val="24"/>
          <w:lang w:val="en-GB"/>
        </w:rPr>
        <w:t xml:space="preserve"> </w:t>
      </w:r>
      <w:r w:rsidR="00F5435D" w:rsidRPr="00B31A23">
        <w:rPr>
          <w:rFonts w:ascii="Times New Roman" w:hAnsi="Times New Roman" w:cs="Times New Roman"/>
          <w:sz w:val="24"/>
          <w:szCs w:val="24"/>
          <w:lang w:val="en-US"/>
        </w:rPr>
        <w:t xml:space="preserve">No research to date, </w:t>
      </w:r>
      <w:r w:rsidR="000A31E6" w:rsidRPr="00B31A23">
        <w:rPr>
          <w:rFonts w:ascii="Times New Roman" w:hAnsi="Times New Roman" w:cs="Times New Roman"/>
          <w:sz w:val="24"/>
          <w:szCs w:val="24"/>
          <w:lang w:val="en-US"/>
        </w:rPr>
        <w:t xml:space="preserve">however, </w:t>
      </w:r>
      <w:r w:rsidR="00F5435D" w:rsidRPr="00B31A23">
        <w:rPr>
          <w:rFonts w:ascii="Times New Roman" w:hAnsi="Times New Roman" w:cs="Times New Roman"/>
          <w:sz w:val="24"/>
          <w:szCs w:val="24"/>
          <w:lang w:val="en-US"/>
        </w:rPr>
        <w:t xml:space="preserve">has investigated whether </w:t>
      </w:r>
      <w:r w:rsidR="006E7904" w:rsidRPr="00B31A23">
        <w:rPr>
          <w:rFonts w:ascii="Times New Roman" w:hAnsi="Times New Roman" w:cs="Times New Roman"/>
          <w:sz w:val="24"/>
          <w:szCs w:val="24"/>
          <w:lang w:val="en-US"/>
        </w:rPr>
        <w:t>health cognitions</w:t>
      </w:r>
      <w:r w:rsidR="000A31E6" w:rsidRPr="00B31A23">
        <w:rPr>
          <w:rFonts w:ascii="Times New Roman" w:hAnsi="Times New Roman" w:cs="Times New Roman"/>
          <w:sz w:val="24"/>
          <w:szCs w:val="24"/>
          <w:lang w:val="en-US"/>
        </w:rPr>
        <w:t xml:space="preserve"> are</w:t>
      </w:r>
      <w:r w:rsidR="00F5435D" w:rsidRPr="00B31A23">
        <w:rPr>
          <w:rFonts w:ascii="Times New Roman" w:hAnsi="Times New Roman" w:cs="Times New Roman"/>
          <w:sz w:val="24"/>
          <w:szCs w:val="24"/>
          <w:lang w:val="en-US"/>
        </w:rPr>
        <w:t xml:space="preserve"> associated </w:t>
      </w:r>
      <w:r w:rsidR="00AC1EF2" w:rsidRPr="00B31A23">
        <w:rPr>
          <w:rFonts w:ascii="Times New Roman" w:hAnsi="Times New Roman" w:cs="Times New Roman"/>
          <w:sz w:val="24"/>
          <w:szCs w:val="24"/>
          <w:lang w:val="en-US"/>
        </w:rPr>
        <w:t>with</w:t>
      </w:r>
      <w:r w:rsidR="00F5435D" w:rsidRPr="00B31A23">
        <w:rPr>
          <w:rFonts w:ascii="Times New Roman" w:hAnsi="Times New Roman" w:cs="Times New Roman"/>
          <w:sz w:val="24"/>
          <w:szCs w:val="24"/>
          <w:lang w:val="en-US"/>
        </w:rPr>
        <w:t xml:space="preserve"> </w:t>
      </w:r>
      <w:r w:rsidR="0030566C" w:rsidRPr="00B31A23">
        <w:rPr>
          <w:rFonts w:ascii="Times New Roman" w:hAnsi="Times New Roman" w:cs="Times New Roman"/>
          <w:sz w:val="24"/>
          <w:szCs w:val="24"/>
          <w:lang w:val="en-US"/>
        </w:rPr>
        <w:t>C</w:t>
      </w:r>
      <w:r w:rsidR="0073720E" w:rsidRPr="00B31A23">
        <w:rPr>
          <w:rFonts w:ascii="Times New Roman" w:hAnsi="Times New Roman" w:cs="Times New Roman"/>
          <w:sz w:val="24"/>
          <w:szCs w:val="24"/>
          <w:lang w:val="en-US"/>
        </w:rPr>
        <w:t>yberchondria</w:t>
      </w:r>
      <w:r w:rsidR="00F5435D" w:rsidRPr="00B31A23">
        <w:rPr>
          <w:rFonts w:ascii="Times New Roman" w:hAnsi="Times New Roman" w:cs="Times New Roman"/>
          <w:sz w:val="24"/>
          <w:szCs w:val="24"/>
          <w:lang w:val="en-US"/>
        </w:rPr>
        <w:t xml:space="preserve">. It would be plausible to assume that they should be in consideration of the fact that </w:t>
      </w:r>
      <w:r w:rsidR="0030566C" w:rsidRPr="00B31A23">
        <w:rPr>
          <w:rFonts w:ascii="Times New Roman" w:hAnsi="Times New Roman" w:cs="Times New Roman"/>
          <w:sz w:val="24"/>
          <w:szCs w:val="24"/>
          <w:lang w:val="en-US"/>
        </w:rPr>
        <w:t>C</w:t>
      </w:r>
      <w:r w:rsidR="00F5435D" w:rsidRPr="00B31A23">
        <w:rPr>
          <w:rFonts w:ascii="Times New Roman" w:hAnsi="Times New Roman" w:cs="Times New Roman"/>
          <w:sz w:val="24"/>
          <w:szCs w:val="24"/>
          <w:lang w:val="en-US"/>
        </w:rPr>
        <w:t xml:space="preserve">yberchondria could </w:t>
      </w:r>
      <w:r w:rsidR="00877B8F" w:rsidRPr="00B31A23">
        <w:rPr>
          <w:rFonts w:ascii="Times New Roman" w:hAnsi="Times New Roman" w:cs="Times New Roman"/>
          <w:sz w:val="24"/>
          <w:szCs w:val="24"/>
          <w:lang w:val="en-US"/>
        </w:rPr>
        <w:t>be construed as a further form of</w:t>
      </w:r>
      <w:r w:rsidR="00F5435D" w:rsidRPr="00B31A23">
        <w:rPr>
          <w:rFonts w:ascii="Times New Roman" w:hAnsi="Times New Roman" w:cs="Times New Roman"/>
          <w:sz w:val="24"/>
          <w:szCs w:val="24"/>
          <w:lang w:val="en-US"/>
        </w:rPr>
        <w:t xml:space="preserve"> maladaptive coping </w:t>
      </w:r>
      <w:r w:rsidR="005B295B" w:rsidRPr="00B31A23">
        <w:rPr>
          <w:rFonts w:ascii="Times New Roman" w:hAnsi="Times New Roman" w:cs="Times New Roman"/>
          <w:sz w:val="24"/>
          <w:szCs w:val="24"/>
          <w:lang w:val="en-US"/>
        </w:rPr>
        <w:t>strateg</w:t>
      </w:r>
      <w:r w:rsidR="00091748" w:rsidRPr="00B31A23">
        <w:rPr>
          <w:rFonts w:ascii="Times New Roman" w:hAnsi="Times New Roman" w:cs="Times New Roman"/>
          <w:sz w:val="24"/>
          <w:szCs w:val="24"/>
          <w:lang w:val="en-US"/>
        </w:rPr>
        <w:t>y</w:t>
      </w:r>
      <w:r w:rsidR="005B295B" w:rsidRPr="00B31A23">
        <w:rPr>
          <w:rFonts w:ascii="Times New Roman" w:hAnsi="Times New Roman" w:cs="Times New Roman"/>
          <w:sz w:val="24"/>
          <w:szCs w:val="24"/>
          <w:lang w:val="en-US"/>
        </w:rPr>
        <w:t xml:space="preserve"> </w:t>
      </w:r>
      <w:r w:rsidR="00F5435D" w:rsidRPr="00B31A23">
        <w:rPr>
          <w:rFonts w:ascii="Times New Roman" w:hAnsi="Times New Roman" w:cs="Times New Roman"/>
          <w:sz w:val="24"/>
          <w:szCs w:val="24"/>
          <w:lang w:val="en-US"/>
        </w:rPr>
        <w:t>driven by such cognitions</w:t>
      </w:r>
      <w:r w:rsidR="0073720E" w:rsidRPr="00B31A23">
        <w:rPr>
          <w:rFonts w:ascii="Times New Roman" w:hAnsi="Times New Roman" w:cs="Times New Roman"/>
          <w:sz w:val="24"/>
          <w:szCs w:val="24"/>
          <w:lang w:val="en-US"/>
        </w:rPr>
        <w:t xml:space="preserve">. </w:t>
      </w:r>
    </w:p>
    <w:p w14:paraId="50C45EB2" w14:textId="67708905" w:rsidR="00990522" w:rsidRPr="00B31A23" w:rsidRDefault="00F5435D" w:rsidP="00990522">
      <w:pPr>
        <w:pStyle w:val="Corpo"/>
        <w:spacing w:line="480" w:lineRule="auto"/>
        <w:jc w:val="both"/>
        <w:rPr>
          <w:rFonts w:ascii="Times New Roman" w:hAnsi="Times New Roman" w:cs="Times New Roman"/>
          <w:b/>
          <w:bCs/>
          <w:sz w:val="24"/>
          <w:szCs w:val="24"/>
          <w:lang w:val="en-GB"/>
        </w:rPr>
      </w:pPr>
      <w:r w:rsidRPr="00B31A23">
        <w:rPr>
          <w:rFonts w:ascii="Times New Roman" w:hAnsi="Times New Roman" w:cs="Times New Roman"/>
          <w:b/>
          <w:bCs/>
          <w:sz w:val="24"/>
          <w:szCs w:val="24"/>
          <w:lang w:val="en-GB"/>
        </w:rPr>
        <w:t>Metacognitions about health anxiety</w:t>
      </w:r>
      <w:r w:rsidR="003B0E8C" w:rsidRPr="00B31A23">
        <w:rPr>
          <w:rFonts w:ascii="Times New Roman" w:hAnsi="Times New Roman" w:cs="Times New Roman"/>
          <w:b/>
          <w:bCs/>
          <w:sz w:val="24"/>
          <w:szCs w:val="24"/>
          <w:lang w:val="en-GB"/>
        </w:rPr>
        <w:t xml:space="preserve"> </w:t>
      </w:r>
    </w:p>
    <w:p w14:paraId="4E20A3FC" w14:textId="2A625701" w:rsidR="00D41346" w:rsidRPr="00B31A23" w:rsidRDefault="00F14AD0" w:rsidP="003F122A">
      <w:pPr>
        <w:pStyle w:val="Corpo"/>
        <w:spacing w:line="480" w:lineRule="auto"/>
        <w:ind w:firstLine="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M</w:t>
      </w:r>
      <w:r w:rsidR="005B295B" w:rsidRPr="00B31A23">
        <w:rPr>
          <w:rFonts w:ascii="Times New Roman" w:hAnsi="Times New Roman" w:cs="Times New Roman"/>
          <w:sz w:val="24"/>
          <w:szCs w:val="24"/>
          <w:lang w:val="en-US"/>
        </w:rPr>
        <w:t xml:space="preserve">etacognitions </w:t>
      </w:r>
      <w:r w:rsidRPr="00B31A23">
        <w:rPr>
          <w:rFonts w:ascii="Times New Roman" w:hAnsi="Times New Roman" w:cs="Times New Roman"/>
          <w:sz w:val="24"/>
          <w:szCs w:val="24"/>
          <w:lang w:val="en-US"/>
        </w:rPr>
        <w:t xml:space="preserve">are </w:t>
      </w:r>
      <w:r w:rsidR="005B295B" w:rsidRPr="00B31A23">
        <w:rPr>
          <w:rFonts w:ascii="Times New Roman" w:hAnsi="Times New Roman" w:cs="Times New Roman"/>
          <w:sz w:val="24"/>
          <w:szCs w:val="24"/>
          <w:lang w:val="en-US"/>
        </w:rPr>
        <w:t>beliefs</w:t>
      </w:r>
      <w:r w:rsidR="00F520E4" w:rsidRPr="00B31A23">
        <w:rPr>
          <w:rFonts w:ascii="Times New Roman" w:hAnsi="Times New Roman" w:cs="Times New Roman"/>
          <w:sz w:val="24"/>
          <w:szCs w:val="24"/>
          <w:lang w:val="en-US"/>
        </w:rPr>
        <w:t xml:space="preserve"> that one holds about their thoughts.</w:t>
      </w:r>
      <w:r w:rsidR="005B295B" w:rsidRPr="00B31A23">
        <w:rPr>
          <w:rFonts w:ascii="Times New Roman" w:hAnsi="Times New Roman" w:cs="Times New Roman"/>
          <w:sz w:val="24"/>
          <w:szCs w:val="24"/>
          <w:lang w:val="en-US"/>
        </w:rPr>
        <w:t xml:space="preserve"> </w:t>
      </w:r>
      <w:r w:rsidRPr="00B31A23">
        <w:rPr>
          <w:rFonts w:ascii="Times New Roman" w:hAnsi="Times New Roman" w:cs="Times New Roman"/>
          <w:sz w:val="24"/>
          <w:szCs w:val="24"/>
          <w:lang w:val="en-US"/>
        </w:rPr>
        <w:t>They</w:t>
      </w:r>
      <w:r w:rsidR="005B295B" w:rsidRPr="00B31A23">
        <w:rPr>
          <w:rFonts w:ascii="Times New Roman" w:hAnsi="Times New Roman" w:cs="Times New Roman"/>
          <w:sz w:val="24"/>
          <w:szCs w:val="24"/>
          <w:lang w:val="en-US"/>
        </w:rPr>
        <w:t xml:space="preserve"> are typically separated into two dimensions: positive and negative. Positive metacognitions reflect beliefs </w:t>
      </w:r>
      <w:r w:rsidR="005B295B" w:rsidRPr="00B31A23">
        <w:rPr>
          <w:rFonts w:ascii="Times New Roman" w:hAnsi="Times New Roman" w:cs="Times New Roman"/>
          <w:sz w:val="24"/>
          <w:szCs w:val="24"/>
          <w:lang w:val="en-US"/>
        </w:rPr>
        <w:lastRenderedPageBreak/>
        <w:t xml:space="preserve">about the benefits of controlling thinking and negative metacognitions reflect beliefs about the dangers or uncontrollability of thinking (Wells, 2000). </w:t>
      </w:r>
      <w:r w:rsidR="009605B5" w:rsidRPr="00B31A23">
        <w:rPr>
          <w:rFonts w:ascii="Times New Roman" w:hAnsi="Times New Roman" w:cs="Times New Roman"/>
          <w:sz w:val="24"/>
          <w:szCs w:val="24"/>
          <w:lang w:val="en-US"/>
        </w:rPr>
        <w:t xml:space="preserve">Bailey and Wells (2015) elucidated three sets of metacognitions linked to health-related cognitions (i.e., metacognitions about health anxiety). </w:t>
      </w:r>
      <w:bookmarkStart w:id="1" w:name="_Hlk81234939"/>
      <w:r w:rsidR="009605B5" w:rsidRPr="00B31A23">
        <w:rPr>
          <w:rFonts w:ascii="Times New Roman" w:hAnsi="Times New Roman" w:cs="Times New Roman"/>
          <w:sz w:val="24"/>
          <w:szCs w:val="24"/>
          <w:lang w:val="en-US"/>
        </w:rPr>
        <w:t>These are higher-order beliefs that individuals have about their health cognitions, including biased thinking beliefs (e.g., “Worrying about my health will help me cope”), thought-illness fusion beliefs (e.g., “Worrying about illness is likely to make it happen”), and beliefs about the uncontrollability of thoughts (e.g., “Dwelling on thoughts of illness is uncontrollable”).</w:t>
      </w:r>
      <w:bookmarkEnd w:id="1"/>
      <w:r w:rsidR="009605B5" w:rsidRPr="00B31A23">
        <w:rPr>
          <w:rFonts w:ascii="Times New Roman" w:hAnsi="Times New Roman" w:cs="Times New Roman"/>
          <w:sz w:val="24"/>
          <w:szCs w:val="24"/>
          <w:lang w:val="en-US"/>
        </w:rPr>
        <w:t xml:space="preserve"> </w:t>
      </w:r>
      <w:r w:rsidR="00D41346" w:rsidRPr="00B31A23">
        <w:rPr>
          <w:rFonts w:ascii="Times New Roman" w:hAnsi="Times New Roman" w:cs="Times New Roman"/>
          <w:sz w:val="24"/>
          <w:szCs w:val="24"/>
          <w:lang w:val="en-US"/>
        </w:rPr>
        <w:t xml:space="preserve">Metacognitions </w:t>
      </w:r>
      <w:r w:rsidR="0021522E" w:rsidRPr="00B31A23">
        <w:rPr>
          <w:rFonts w:ascii="Times New Roman" w:hAnsi="Times New Roman" w:cs="Times New Roman"/>
          <w:sz w:val="24"/>
          <w:szCs w:val="24"/>
          <w:lang w:val="en-US"/>
        </w:rPr>
        <w:t xml:space="preserve">about health anxiety </w:t>
      </w:r>
      <w:r w:rsidR="00D41346" w:rsidRPr="00B31A23">
        <w:rPr>
          <w:rFonts w:ascii="Times New Roman" w:hAnsi="Times New Roman" w:cs="Times New Roman"/>
          <w:sz w:val="24"/>
          <w:szCs w:val="24"/>
          <w:lang w:val="en-US"/>
        </w:rPr>
        <w:t xml:space="preserve">have emerged as independent predictors of health anxiety over and above other related constructs, </w:t>
      </w:r>
      <w:r w:rsidR="0021522E" w:rsidRPr="00B31A23">
        <w:rPr>
          <w:rFonts w:ascii="Times New Roman" w:hAnsi="Times New Roman" w:cs="Times New Roman"/>
          <w:sz w:val="24"/>
          <w:szCs w:val="24"/>
          <w:lang w:val="en-US"/>
        </w:rPr>
        <w:t>including</w:t>
      </w:r>
      <w:r w:rsidR="00D41346" w:rsidRPr="00B31A23">
        <w:rPr>
          <w:rFonts w:ascii="Times New Roman" w:hAnsi="Times New Roman" w:cs="Times New Roman"/>
          <w:sz w:val="24"/>
          <w:szCs w:val="24"/>
          <w:lang w:val="en-US"/>
        </w:rPr>
        <w:t xml:space="preserve"> neuroticism, catastrophic misinterpretations, somatosensory amplification, and cog</w:t>
      </w:r>
      <w:r w:rsidR="0021522E" w:rsidRPr="00B31A23">
        <w:rPr>
          <w:rFonts w:ascii="Times New Roman" w:hAnsi="Times New Roman" w:cs="Times New Roman"/>
          <w:sz w:val="24"/>
          <w:szCs w:val="24"/>
          <w:lang w:val="en-US"/>
        </w:rPr>
        <w:t>n</w:t>
      </w:r>
      <w:r w:rsidR="00D41346" w:rsidRPr="00B31A23">
        <w:rPr>
          <w:rFonts w:ascii="Times New Roman" w:hAnsi="Times New Roman" w:cs="Times New Roman"/>
          <w:sz w:val="24"/>
          <w:szCs w:val="24"/>
          <w:lang w:val="en-US"/>
        </w:rPr>
        <w:t>itions (Bailey &amp; Wells, 2013</w:t>
      </w:r>
      <w:r w:rsidR="00FF6511" w:rsidRPr="00B31A23">
        <w:rPr>
          <w:rFonts w:ascii="Times New Roman" w:hAnsi="Times New Roman" w:cs="Times New Roman"/>
          <w:sz w:val="24"/>
          <w:szCs w:val="24"/>
          <w:lang w:val="en-US"/>
        </w:rPr>
        <w:t>;</w:t>
      </w:r>
      <w:r w:rsidR="00D41346" w:rsidRPr="00B31A23">
        <w:rPr>
          <w:rFonts w:ascii="Times New Roman" w:hAnsi="Times New Roman" w:cs="Times New Roman"/>
          <w:sz w:val="24"/>
          <w:szCs w:val="24"/>
          <w:lang w:val="en-US"/>
        </w:rPr>
        <w:t xml:space="preserve"> 2016; Melli, Carraresi, Poli, &amp; Bailey, 2016). Moreover, metacognitions relating to </w:t>
      </w:r>
      <w:r w:rsidR="00D73763" w:rsidRPr="00B31A23">
        <w:rPr>
          <w:rFonts w:ascii="Times New Roman" w:hAnsi="Times New Roman" w:cs="Times New Roman"/>
          <w:sz w:val="24"/>
          <w:szCs w:val="24"/>
          <w:lang w:val="en-US"/>
        </w:rPr>
        <w:t xml:space="preserve">the </w:t>
      </w:r>
      <w:r w:rsidR="00D41346" w:rsidRPr="00B31A23">
        <w:rPr>
          <w:rFonts w:ascii="Times New Roman" w:hAnsi="Times New Roman" w:cs="Times New Roman"/>
          <w:sz w:val="24"/>
          <w:szCs w:val="24"/>
          <w:lang w:val="en-US"/>
        </w:rPr>
        <w:t>uncontrollabil</w:t>
      </w:r>
      <w:r w:rsidR="00D73763" w:rsidRPr="00B31A23">
        <w:rPr>
          <w:rFonts w:ascii="Times New Roman" w:hAnsi="Times New Roman" w:cs="Times New Roman"/>
          <w:sz w:val="24"/>
          <w:szCs w:val="24"/>
          <w:lang w:val="en-US"/>
        </w:rPr>
        <w:t>i</w:t>
      </w:r>
      <w:r w:rsidR="00D41346" w:rsidRPr="00B31A23">
        <w:rPr>
          <w:rFonts w:ascii="Times New Roman" w:hAnsi="Times New Roman" w:cs="Times New Roman"/>
          <w:sz w:val="24"/>
          <w:szCs w:val="24"/>
          <w:lang w:val="en-US"/>
        </w:rPr>
        <w:t>ty of thoughts have been found to be related to health anxiety across several studies (Bailey &amp; Wells, 2013; 2016; Melli et al., 2016; Melli, Bailey, Carraresi, &amp; Poli, 2018).</w:t>
      </w:r>
    </w:p>
    <w:p w14:paraId="42FE2769" w14:textId="19B07CEF" w:rsidR="00094336" w:rsidRPr="00B31A23" w:rsidRDefault="00D41346" w:rsidP="00D41346">
      <w:pPr>
        <w:pStyle w:val="Corpo"/>
        <w:spacing w:line="480" w:lineRule="auto"/>
        <w:ind w:firstLine="720"/>
        <w:jc w:val="both"/>
        <w:rPr>
          <w:rFonts w:ascii="Times New Roman" w:hAnsi="Times New Roman" w:cs="Times New Roman"/>
          <w:sz w:val="24"/>
          <w:szCs w:val="24"/>
          <w:lang w:val="en-GB"/>
        </w:rPr>
      </w:pPr>
      <w:r w:rsidRPr="00B31A23">
        <w:rPr>
          <w:rFonts w:ascii="Times New Roman" w:hAnsi="Times New Roman" w:cs="Times New Roman"/>
          <w:sz w:val="24"/>
          <w:szCs w:val="24"/>
          <w:lang w:val="en-US"/>
        </w:rPr>
        <w:t xml:space="preserve">In recent research, </w:t>
      </w:r>
      <w:r w:rsidR="005B295B" w:rsidRPr="00B31A23">
        <w:rPr>
          <w:rFonts w:ascii="Times New Roman" w:hAnsi="Times New Roman" w:cs="Times New Roman"/>
          <w:sz w:val="24"/>
          <w:szCs w:val="24"/>
          <w:lang w:val="en-US"/>
        </w:rPr>
        <w:t xml:space="preserve">Fergus and Spada </w:t>
      </w:r>
      <w:r w:rsidR="00F14AD0" w:rsidRPr="00B31A23">
        <w:rPr>
          <w:rFonts w:ascii="Times New Roman" w:hAnsi="Times New Roman" w:cs="Times New Roman"/>
          <w:sz w:val="24"/>
          <w:szCs w:val="24"/>
          <w:lang w:val="en-US"/>
        </w:rPr>
        <w:t xml:space="preserve">(2017) </w:t>
      </w:r>
      <w:r w:rsidR="005B295B" w:rsidRPr="00B31A23">
        <w:rPr>
          <w:rFonts w:ascii="Times New Roman" w:hAnsi="Times New Roman" w:cs="Times New Roman"/>
          <w:sz w:val="24"/>
          <w:szCs w:val="24"/>
          <w:lang w:val="en-US"/>
        </w:rPr>
        <w:t xml:space="preserve">found positive </w:t>
      </w:r>
      <w:r w:rsidR="00F14AD0" w:rsidRPr="00B31A23">
        <w:rPr>
          <w:rFonts w:ascii="Times New Roman" w:hAnsi="Times New Roman" w:cs="Times New Roman"/>
          <w:sz w:val="24"/>
          <w:szCs w:val="24"/>
          <w:lang w:val="en-US"/>
        </w:rPr>
        <w:t>correlations</w:t>
      </w:r>
      <w:r w:rsidR="005B295B" w:rsidRPr="00B31A23">
        <w:rPr>
          <w:rFonts w:ascii="Times New Roman" w:hAnsi="Times New Roman" w:cs="Times New Roman"/>
          <w:sz w:val="24"/>
          <w:szCs w:val="24"/>
          <w:lang w:val="en-US"/>
        </w:rPr>
        <w:t xml:space="preserve"> between each of the three </w:t>
      </w:r>
      <w:r w:rsidR="00F14AD0" w:rsidRPr="00B31A23">
        <w:rPr>
          <w:rFonts w:ascii="Times New Roman" w:hAnsi="Times New Roman" w:cs="Times New Roman"/>
          <w:sz w:val="24"/>
          <w:szCs w:val="24"/>
          <w:lang w:val="en-US"/>
        </w:rPr>
        <w:t xml:space="preserve">sets of metacognitions </w:t>
      </w:r>
      <w:r w:rsidRPr="00B31A23">
        <w:rPr>
          <w:rFonts w:ascii="Times New Roman" w:hAnsi="Times New Roman" w:cs="Times New Roman"/>
          <w:sz w:val="24"/>
          <w:szCs w:val="24"/>
          <w:lang w:val="en-US"/>
        </w:rPr>
        <w:t xml:space="preserve">about health anxiety </w:t>
      </w:r>
      <w:r w:rsidR="00F14AD0" w:rsidRPr="00B31A23">
        <w:rPr>
          <w:rFonts w:ascii="Times New Roman" w:hAnsi="Times New Roman" w:cs="Times New Roman"/>
          <w:sz w:val="24"/>
          <w:szCs w:val="24"/>
          <w:lang w:val="en-US"/>
        </w:rPr>
        <w:t>and Cyberchondria</w:t>
      </w:r>
      <w:r w:rsidR="005B295B" w:rsidRPr="00B31A23">
        <w:rPr>
          <w:rFonts w:ascii="Times New Roman" w:hAnsi="Times New Roman" w:cs="Times New Roman"/>
          <w:sz w:val="24"/>
          <w:szCs w:val="24"/>
          <w:lang w:val="en-US"/>
        </w:rPr>
        <w:t xml:space="preserve">, while also finding that </w:t>
      </w:r>
      <w:r w:rsidR="00F14AD0" w:rsidRPr="00B31A23">
        <w:rPr>
          <w:rFonts w:ascii="Times New Roman" w:hAnsi="Times New Roman" w:cs="Times New Roman"/>
          <w:sz w:val="24"/>
          <w:szCs w:val="24"/>
          <w:lang w:val="en-US"/>
        </w:rPr>
        <w:t xml:space="preserve">these beliefs had </w:t>
      </w:r>
      <w:r w:rsidR="005B295B" w:rsidRPr="00B31A23">
        <w:rPr>
          <w:rFonts w:ascii="Times New Roman" w:hAnsi="Times New Roman" w:cs="Times New Roman"/>
          <w:sz w:val="24"/>
          <w:szCs w:val="24"/>
          <w:lang w:val="en-US"/>
        </w:rPr>
        <w:t xml:space="preserve">incremental explanatory power in relation to </w:t>
      </w:r>
      <w:r w:rsidR="00F14AD0" w:rsidRPr="00B31A23">
        <w:rPr>
          <w:rFonts w:ascii="Times New Roman" w:hAnsi="Times New Roman" w:cs="Times New Roman"/>
          <w:sz w:val="24"/>
          <w:szCs w:val="24"/>
          <w:lang w:val="en-US"/>
        </w:rPr>
        <w:t>C</w:t>
      </w:r>
      <w:r w:rsidR="005B295B" w:rsidRPr="00B31A23">
        <w:rPr>
          <w:rFonts w:ascii="Times New Roman" w:hAnsi="Times New Roman" w:cs="Times New Roman"/>
          <w:sz w:val="24"/>
          <w:szCs w:val="24"/>
          <w:lang w:val="en-US"/>
        </w:rPr>
        <w:t>yberchondria when statistically accounting for previously identified relevant content-based beliefs (i.e., anxiety sensitivity</w:t>
      </w:r>
      <w:r w:rsidR="00F14AD0" w:rsidRPr="00B31A23">
        <w:rPr>
          <w:rFonts w:ascii="Times New Roman" w:hAnsi="Times New Roman" w:cs="Times New Roman"/>
          <w:sz w:val="24"/>
          <w:szCs w:val="24"/>
          <w:lang w:val="en-US"/>
        </w:rPr>
        <w:t xml:space="preserve"> and</w:t>
      </w:r>
      <w:r w:rsidR="005B295B" w:rsidRPr="00B31A23">
        <w:rPr>
          <w:rFonts w:ascii="Times New Roman" w:hAnsi="Times New Roman" w:cs="Times New Roman"/>
          <w:sz w:val="24"/>
          <w:szCs w:val="24"/>
          <w:lang w:val="en-US"/>
        </w:rPr>
        <w:t xml:space="preserve"> intolerance of uncertainty). </w:t>
      </w:r>
      <w:r w:rsidR="00F14AD0" w:rsidRPr="00B31A23">
        <w:rPr>
          <w:rFonts w:ascii="Times New Roman" w:hAnsi="Times New Roman" w:cs="Times New Roman"/>
          <w:sz w:val="24"/>
          <w:szCs w:val="24"/>
          <w:lang w:val="en-US"/>
        </w:rPr>
        <w:t>Fergus and Spada (2018) and Marino and colleagues (20</w:t>
      </w:r>
      <w:r w:rsidR="000563BC" w:rsidRPr="00B31A23">
        <w:rPr>
          <w:rFonts w:ascii="Times New Roman" w:hAnsi="Times New Roman" w:cs="Times New Roman"/>
          <w:sz w:val="24"/>
          <w:szCs w:val="24"/>
          <w:lang w:val="en-US"/>
        </w:rPr>
        <w:t>20</w:t>
      </w:r>
      <w:r w:rsidR="00F14AD0" w:rsidRPr="00B31A23">
        <w:rPr>
          <w:rFonts w:ascii="Times New Roman" w:hAnsi="Times New Roman" w:cs="Times New Roman"/>
          <w:sz w:val="24"/>
          <w:szCs w:val="24"/>
          <w:lang w:val="en-US"/>
        </w:rPr>
        <w:t>) have argued</w:t>
      </w:r>
      <w:r w:rsidR="0073720E" w:rsidRPr="00B31A23">
        <w:rPr>
          <w:rFonts w:ascii="Times New Roman" w:hAnsi="Times New Roman" w:cs="Times New Roman"/>
          <w:sz w:val="24"/>
          <w:szCs w:val="24"/>
          <w:lang w:val="en-US"/>
        </w:rPr>
        <w:t xml:space="preserve"> </w:t>
      </w:r>
      <w:r w:rsidR="00F14AD0" w:rsidRPr="00B31A23">
        <w:rPr>
          <w:rFonts w:ascii="Times New Roman" w:hAnsi="Times New Roman" w:cs="Times New Roman"/>
          <w:sz w:val="24"/>
          <w:szCs w:val="24"/>
          <w:lang w:val="en-US"/>
        </w:rPr>
        <w:t xml:space="preserve">for the central importance of metacognitions about health anxiety in </w:t>
      </w:r>
      <w:r w:rsidR="00091748" w:rsidRPr="00B31A23">
        <w:rPr>
          <w:rFonts w:ascii="Times New Roman" w:hAnsi="Times New Roman" w:cs="Times New Roman"/>
          <w:sz w:val="24"/>
          <w:szCs w:val="24"/>
          <w:lang w:val="en-US"/>
        </w:rPr>
        <w:t xml:space="preserve">initiating and maintaining self-regulatory strategies </w:t>
      </w:r>
      <w:r w:rsidR="00D33E69" w:rsidRPr="00B31A23">
        <w:rPr>
          <w:rFonts w:ascii="Times New Roman" w:hAnsi="Times New Roman" w:cs="Times New Roman"/>
          <w:sz w:val="24"/>
          <w:szCs w:val="24"/>
          <w:lang w:val="en-US"/>
        </w:rPr>
        <w:t>(e.g.</w:t>
      </w:r>
      <w:r w:rsidR="00894B3E" w:rsidRPr="00B31A23">
        <w:rPr>
          <w:rFonts w:ascii="Times New Roman" w:hAnsi="Times New Roman" w:cs="Times New Roman"/>
          <w:sz w:val="24"/>
          <w:szCs w:val="24"/>
          <w:lang w:val="en-US"/>
        </w:rPr>
        <w:t>,</w:t>
      </w:r>
      <w:r w:rsidR="00D33E69" w:rsidRPr="00B31A23">
        <w:rPr>
          <w:rFonts w:ascii="Times New Roman" w:hAnsi="Times New Roman" w:cs="Times New Roman"/>
          <w:sz w:val="24"/>
          <w:szCs w:val="24"/>
          <w:lang w:val="en-US"/>
        </w:rPr>
        <w:t xml:space="preserve"> worrying, rumination, thought suppression) </w:t>
      </w:r>
      <w:r w:rsidR="00091748" w:rsidRPr="00B31A23">
        <w:rPr>
          <w:rFonts w:ascii="Times New Roman" w:hAnsi="Times New Roman" w:cs="Times New Roman"/>
          <w:sz w:val="24"/>
          <w:szCs w:val="24"/>
          <w:lang w:val="en-US"/>
        </w:rPr>
        <w:t>about health symptoms</w:t>
      </w:r>
      <w:r w:rsidR="00B66840" w:rsidRPr="00B31A23">
        <w:rPr>
          <w:rFonts w:ascii="Times New Roman" w:hAnsi="Times New Roman" w:cs="Times New Roman"/>
          <w:sz w:val="24"/>
          <w:szCs w:val="24"/>
          <w:lang w:val="en-US"/>
        </w:rPr>
        <w:t>,</w:t>
      </w:r>
      <w:r w:rsidR="00091748" w:rsidRPr="00B31A23">
        <w:rPr>
          <w:rFonts w:ascii="Times New Roman" w:hAnsi="Times New Roman" w:cs="Times New Roman"/>
          <w:sz w:val="24"/>
          <w:szCs w:val="24"/>
          <w:lang w:val="en-US"/>
        </w:rPr>
        <w:t xml:space="preserve"> </w:t>
      </w:r>
      <w:r w:rsidR="00D33E69" w:rsidRPr="00B31A23">
        <w:rPr>
          <w:rFonts w:ascii="Times New Roman" w:hAnsi="Times New Roman" w:cs="Times New Roman"/>
          <w:sz w:val="24"/>
          <w:szCs w:val="24"/>
          <w:lang w:val="en-US"/>
        </w:rPr>
        <w:t xml:space="preserve">which </w:t>
      </w:r>
      <w:r w:rsidR="003F3C05" w:rsidRPr="00B31A23">
        <w:rPr>
          <w:rFonts w:ascii="Times New Roman" w:hAnsi="Times New Roman" w:cs="Times New Roman"/>
          <w:sz w:val="24"/>
          <w:szCs w:val="24"/>
          <w:lang w:val="en-US"/>
        </w:rPr>
        <w:t>are likely to</w:t>
      </w:r>
      <w:r w:rsidR="00D33E69" w:rsidRPr="00B31A23">
        <w:rPr>
          <w:rFonts w:ascii="Times New Roman" w:hAnsi="Times New Roman" w:cs="Times New Roman"/>
          <w:sz w:val="24"/>
          <w:szCs w:val="24"/>
          <w:lang w:val="en-US"/>
        </w:rPr>
        <w:t xml:space="preserve"> </w:t>
      </w:r>
      <w:r w:rsidR="00091748" w:rsidRPr="00B31A23">
        <w:rPr>
          <w:rFonts w:ascii="Times New Roman" w:hAnsi="Times New Roman" w:cs="Times New Roman"/>
          <w:sz w:val="24"/>
          <w:szCs w:val="24"/>
          <w:lang w:val="en-US"/>
        </w:rPr>
        <w:t>increase threat</w:t>
      </w:r>
      <w:r w:rsidR="00D33E69" w:rsidRPr="00B31A23">
        <w:rPr>
          <w:rFonts w:ascii="Times New Roman" w:hAnsi="Times New Roman" w:cs="Times New Roman"/>
          <w:sz w:val="24"/>
          <w:szCs w:val="24"/>
          <w:lang w:val="en-US"/>
        </w:rPr>
        <w:t xml:space="preserve"> and, in turn, lead to Cyberchondria</w:t>
      </w:r>
      <w:r w:rsidR="00091748" w:rsidRPr="00B31A23">
        <w:rPr>
          <w:rFonts w:ascii="Times New Roman" w:hAnsi="Times New Roman" w:cs="Times New Roman"/>
          <w:sz w:val="24"/>
          <w:szCs w:val="24"/>
          <w:lang w:val="en-US"/>
        </w:rPr>
        <w:t xml:space="preserve"> as an attempt to avert threat</w:t>
      </w:r>
      <w:r w:rsidR="0073720E" w:rsidRPr="00B31A23">
        <w:rPr>
          <w:rFonts w:ascii="Times New Roman" w:hAnsi="Times New Roman" w:cs="Times New Roman"/>
          <w:sz w:val="24"/>
          <w:szCs w:val="24"/>
          <w:lang w:val="en-US"/>
        </w:rPr>
        <w:t xml:space="preserve">. According to this view, </w:t>
      </w:r>
      <w:r w:rsidR="00091748" w:rsidRPr="00B31A23">
        <w:rPr>
          <w:rFonts w:ascii="Times New Roman" w:hAnsi="Times New Roman" w:cs="Times New Roman"/>
          <w:sz w:val="24"/>
          <w:szCs w:val="24"/>
          <w:lang w:val="en-US"/>
        </w:rPr>
        <w:t>C</w:t>
      </w:r>
      <w:r w:rsidR="0073720E" w:rsidRPr="00B31A23">
        <w:rPr>
          <w:rFonts w:ascii="Times New Roman" w:hAnsi="Times New Roman" w:cs="Times New Roman"/>
          <w:sz w:val="24"/>
          <w:szCs w:val="24"/>
          <w:lang w:val="en-US"/>
        </w:rPr>
        <w:t xml:space="preserve">yberchondria can be described as a </w:t>
      </w:r>
      <w:r w:rsidR="00091748" w:rsidRPr="00B31A23">
        <w:rPr>
          <w:rFonts w:ascii="Times New Roman" w:hAnsi="Times New Roman" w:cs="Times New Roman"/>
          <w:sz w:val="24"/>
          <w:szCs w:val="24"/>
          <w:lang w:val="en-US"/>
        </w:rPr>
        <w:t>maladaptive self-</w:t>
      </w:r>
      <w:r w:rsidR="0073720E" w:rsidRPr="00B31A23">
        <w:rPr>
          <w:rFonts w:ascii="Times New Roman" w:hAnsi="Times New Roman" w:cs="Times New Roman"/>
          <w:sz w:val="24"/>
          <w:szCs w:val="24"/>
          <w:lang w:val="en-US"/>
        </w:rPr>
        <w:t xml:space="preserve">regulatory strategy for intrusive thoughts about health, triggered by </w:t>
      </w:r>
      <w:r w:rsidR="00091748" w:rsidRPr="00B31A23">
        <w:rPr>
          <w:rFonts w:ascii="Times New Roman" w:hAnsi="Times New Roman" w:cs="Times New Roman"/>
          <w:sz w:val="24"/>
          <w:szCs w:val="24"/>
          <w:lang w:val="en-US"/>
        </w:rPr>
        <w:t>metacognitions</w:t>
      </w:r>
      <w:r w:rsidR="0073720E" w:rsidRPr="00B31A23">
        <w:rPr>
          <w:rFonts w:ascii="Times New Roman" w:hAnsi="Times New Roman" w:cs="Times New Roman"/>
          <w:sz w:val="24"/>
          <w:szCs w:val="24"/>
          <w:lang w:val="en-GB"/>
        </w:rPr>
        <w:t xml:space="preserve"> (Fergus &amp; Spada, 2018). </w:t>
      </w:r>
    </w:p>
    <w:p w14:paraId="22B59FD0" w14:textId="77777777" w:rsidR="009605B5" w:rsidRPr="00B31A23" w:rsidRDefault="009605B5" w:rsidP="00D41346">
      <w:pPr>
        <w:pStyle w:val="Corpo"/>
        <w:spacing w:line="480" w:lineRule="auto"/>
        <w:ind w:firstLine="720"/>
        <w:jc w:val="both"/>
        <w:rPr>
          <w:rFonts w:ascii="Times New Roman" w:eastAsia="Times New Roman" w:hAnsi="Times New Roman" w:cs="Times New Roman"/>
          <w:sz w:val="24"/>
          <w:szCs w:val="24"/>
          <w:lang w:val="en-GB"/>
        </w:rPr>
      </w:pPr>
    </w:p>
    <w:p w14:paraId="3F7B931E" w14:textId="77777777" w:rsidR="009605B5" w:rsidRPr="00B31A23" w:rsidRDefault="009605B5" w:rsidP="009605B5">
      <w:pPr>
        <w:pStyle w:val="Corpo"/>
        <w:spacing w:line="480" w:lineRule="auto"/>
        <w:jc w:val="both"/>
        <w:rPr>
          <w:rFonts w:ascii="Times New Roman" w:eastAsia="Times New Roman" w:hAnsi="Times New Roman" w:cs="Times New Roman"/>
          <w:b/>
          <w:bCs/>
          <w:sz w:val="24"/>
          <w:szCs w:val="24"/>
          <w:lang w:val="en-GB"/>
        </w:rPr>
      </w:pPr>
      <w:r w:rsidRPr="00B31A23">
        <w:rPr>
          <w:rFonts w:ascii="Times New Roman" w:hAnsi="Times New Roman" w:cs="Times New Roman"/>
          <w:b/>
          <w:bCs/>
          <w:sz w:val="24"/>
          <w:szCs w:val="24"/>
          <w:lang w:val="en-GB"/>
        </w:rPr>
        <w:lastRenderedPageBreak/>
        <w:t>Purpose of the present study</w:t>
      </w:r>
    </w:p>
    <w:p w14:paraId="02C7B21B" w14:textId="6D08EC3A" w:rsidR="009605B5" w:rsidRPr="00B31A23" w:rsidRDefault="009605B5" w:rsidP="009605B5">
      <w:pPr>
        <w:pStyle w:val="Corpo"/>
        <w:spacing w:line="480" w:lineRule="auto"/>
        <w:ind w:firstLine="720"/>
        <w:jc w:val="both"/>
        <w:rPr>
          <w:rFonts w:ascii="Times New Roman" w:hAnsi="Times New Roman" w:cs="Times New Roman"/>
          <w:sz w:val="24"/>
          <w:szCs w:val="24"/>
          <w:lang w:val="en-GB"/>
        </w:rPr>
      </w:pPr>
      <w:r w:rsidRPr="00B31A23">
        <w:rPr>
          <w:rFonts w:ascii="Times New Roman" w:hAnsi="Times New Roman" w:cs="Times New Roman"/>
          <w:sz w:val="24"/>
          <w:szCs w:val="24"/>
          <w:lang w:val="en-GB"/>
        </w:rPr>
        <w:t xml:space="preserve">In view of the above findings, the purpose of the present study was to compare the role of health cognitions and metacognitions about health anxiety in prospective Cyberchondria scores. It was hypothesized that hours spent online </w:t>
      </w:r>
      <w:r w:rsidR="002539D1" w:rsidRPr="00B31A23">
        <w:rPr>
          <w:rFonts w:ascii="Times New Roman" w:hAnsi="Times New Roman" w:cs="Times New Roman"/>
          <w:sz w:val="24"/>
          <w:szCs w:val="24"/>
          <w:lang w:val="en-GB"/>
        </w:rPr>
        <w:t>per day</w:t>
      </w:r>
      <w:r w:rsidRPr="00B31A23">
        <w:rPr>
          <w:rFonts w:ascii="Times New Roman" w:hAnsi="Times New Roman" w:cs="Times New Roman"/>
          <w:sz w:val="24"/>
          <w:szCs w:val="24"/>
          <w:lang w:val="en-GB"/>
        </w:rPr>
        <w:t>, health anxiety, health cognitions and metacognitions about health anxiety would be positively correlated to prospective Cyberchondria scores. It was also hypothesized that both health cognitions and metacognitions about health anxiety would predict prospective Cyberchondria scores independently of hours spent online per day and health anxiety.</w:t>
      </w:r>
    </w:p>
    <w:p w14:paraId="09689749" w14:textId="58DF1F29" w:rsidR="00094336" w:rsidRPr="00B31A23" w:rsidRDefault="0073720E" w:rsidP="000A31E6">
      <w:pPr>
        <w:pStyle w:val="Corpo"/>
        <w:spacing w:line="480" w:lineRule="auto"/>
        <w:jc w:val="center"/>
        <w:rPr>
          <w:rFonts w:ascii="Times New Roman" w:eastAsia="Times New Roman" w:hAnsi="Times New Roman" w:cs="Times New Roman"/>
          <w:sz w:val="24"/>
          <w:szCs w:val="24"/>
          <w:lang w:val="en-GB"/>
        </w:rPr>
      </w:pPr>
      <w:r w:rsidRPr="00B31A23">
        <w:rPr>
          <w:rFonts w:ascii="Times New Roman" w:hAnsi="Times New Roman" w:cs="Times New Roman"/>
          <w:b/>
          <w:bCs/>
          <w:sz w:val="24"/>
          <w:szCs w:val="24"/>
          <w:lang w:val="en-GB"/>
        </w:rPr>
        <w:t>Methods</w:t>
      </w:r>
    </w:p>
    <w:p w14:paraId="3B6EED76" w14:textId="75888B0F" w:rsidR="00094336" w:rsidRPr="00B31A23" w:rsidRDefault="0073720E">
      <w:pPr>
        <w:pStyle w:val="Corpo"/>
        <w:spacing w:line="480" w:lineRule="auto"/>
        <w:jc w:val="both"/>
        <w:rPr>
          <w:rFonts w:ascii="Times New Roman" w:eastAsia="Times New Roman" w:hAnsi="Times New Roman" w:cs="Times New Roman"/>
          <w:b/>
          <w:bCs/>
          <w:sz w:val="24"/>
          <w:szCs w:val="24"/>
          <w:lang w:val="en-GB"/>
        </w:rPr>
      </w:pPr>
      <w:r w:rsidRPr="00B31A23">
        <w:rPr>
          <w:rFonts w:ascii="Times New Roman" w:hAnsi="Times New Roman" w:cs="Times New Roman"/>
          <w:b/>
          <w:bCs/>
          <w:sz w:val="24"/>
          <w:szCs w:val="24"/>
          <w:lang w:val="en-GB"/>
        </w:rPr>
        <w:t>Participants</w:t>
      </w:r>
    </w:p>
    <w:p w14:paraId="32AC1B29" w14:textId="77777777" w:rsidR="003F14CD" w:rsidRPr="00B31A23" w:rsidRDefault="009605B5" w:rsidP="009605B5">
      <w:pPr>
        <w:pStyle w:val="Corpo"/>
        <w:spacing w:line="480" w:lineRule="auto"/>
        <w:ind w:firstLine="720"/>
        <w:jc w:val="both"/>
        <w:rPr>
          <w:rFonts w:ascii="Times New Roman" w:hAnsi="Times New Roman" w:cs="Times New Roman"/>
          <w:sz w:val="24"/>
          <w:szCs w:val="24"/>
          <w:lang w:val="en-GB"/>
        </w:rPr>
      </w:pPr>
      <w:r w:rsidRPr="00B31A23">
        <w:rPr>
          <w:rFonts w:ascii="Times New Roman" w:hAnsi="Times New Roman" w:cs="Times New Roman"/>
          <w:sz w:val="24"/>
          <w:szCs w:val="24"/>
          <w:lang w:val="en-US"/>
        </w:rPr>
        <w:t xml:space="preserve">A convenience sample of 221 participants was recruited for the purpose of this study. Twenty-six participants did not fully complete the questionnaire set as required and 70 participants reported having at least one confirmed diagnosis of psychological disorder according to the Diagnostic and Statistical Manual of Mental Disorders Fifth Edition (DSM-5; American Psychiatric Association). The latter, being an exclusion criterion to participate in the </w:t>
      </w:r>
      <w:r w:rsidR="003F14CD" w:rsidRPr="00B31A23">
        <w:rPr>
          <w:rFonts w:ascii="Times New Roman" w:hAnsi="Times New Roman" w:cs="Times New Roman"/>
          <w:sz w:val="24"/>
          <w:szCs w:val="24"/>
          <w:lang w:val="en-US"/>
        </w:rPr>
        <w:t>study</w:t>
      </w:r>
      <w:r w:rsidRPr="00B31A23">
        <w:rPr>
          <w:rFonts w:ascii="Times New Roman" w:hAnsi="Times New Roman" w:cs="Times New Roman"/>
          <w:sz w:val="24"/>
          <w:szCs w:val="24"/>
          <w:lang w:val="en-US"/>
        </w:rPr>
        <w:t>, meant the final sample totaled 125</w:t>
      </w:r>
      <w:r w:rsidRPr="00B31A23">
        <w:rPr>
          <w:rFonts w:ascii="Times New Roman" w:hAnsi="Times New Roman" w:cs="Times New Roman"/>
          <w:sz w:val="24"/>
          <w:szCs w:val="24"/>
          <w:lang w:val="en-GB"/>
        </w:rPr>
        <w:t xml:space="preserve"> participants (58.4% females, M</w:t>
      </w:r>
      <w:r w:rsidRPr="00B31A23">
        <w:rPr>
          <w:rFonts w:ascii="Times New Roman" w:hAnsi="Times New Roman" w:cs="Times New Roman"/>
          <w:sz w:val="24"/>
          <w:szCs w:val="24"/>
          <w:vertAlign w:val="subscript"/>
          <w:lang w:val="en-GB"/>
        </w:rPr>
        <w:t>age</w:t>
      </w:r>
      <w:r w:rsidRPr="00B31A23">
        <w:rPr>
          <w:rFonts w:ascii="Times New Roman" w:hAnsi="Times New Roman" w:cs="Times New Roman"/>
          <w:sz w:val="24"/>
          <w:szCs w:val="24"/>
          <w:lang w:val="en-GB"/>
        </w:rPr>
        <w:t xml:space="preserve"> 34.51 years, SD = 14.08, range 19-68). Participants were predominantly employed (56.8%) or students (25.6%) with at least a high school qualification (53.6%) or bachelor’s degree (28.0%). </w:t>
      </w:r>
      <w:r w:rsidRPr="00B31A23">
        <w:rPr>
          <w:rFonts w:ascii="Times New Roman" w:hAnsi="Times New Roman" w:cs="Times New Roman"/>
          <w:sz w:val="24"/>
          <w:szCs w:val="24"/>
          <w:lang w:val="en-US"/>
        </w:rPr>
        <w:t>Most of the participants reported being of White European origin (90.3%), with the remaining participants reporting to be Latino-Hispanic (4.0%), Asian (1.6%), from other ethnic backgrounds</w:t>
      </w:r>
      <w:r w:rsidRPr="00B31A23">
        <w:rPr>
          <w:rFonts w:ascii="Times New Roman" w:hAnsi="Times New Roman" w:cs="Times New Roman"/>
          <w:sz w:val="24"/>
          <w:szCs w:val="24"/>
          <w:lang w:val="en-GB"/>
        </w:rPr>
        <w:t xml:space="preserve"> (2.4%), or preferred not to disclose (1.6%). </w:t>
      </w:r>
    </w:p>
    <w:p w14:paraId="5329EEFE" w14:textId="02708BB4" w:rsidR="009605B5" w:rsidRPr="00B31A23" w:rsidRDefault="009605B5" w:rsidP="009605B5">
      <w:pPr>
        <w:pStyle w:val="Corpo"/>
        <w:spacing w:line="480" w:lineRule="auto"/>
        <w:ind w:firstLine="720"/>
        <w:jc w:val="both"/>
        <w:rPr>
          <w:rFonts w:ascii="Times New Roman" w:eastAsia="Times New Roman" w:hAnsi="Times New Roman" w:cs="Times New Roman"/>
          <w:sz w:val="24"/>
          <w:szCs w:val="24"/>
          <w:lang w:val="en-GB"/>
        </w:rPr>
      </w:pPr>
      <w:r w:rsidRPr="00B31A23">
        <w:rPr>
          <w:rFonts w:ascii="Times New Roman" w:hAnsi="Times New Roman" w:cs="Times New Roman"/>
          <w:sz w:val="24"/>
          <w:szCs w:val="24"/>
          <w:lang w:val="en-GB"/>
        </w:rPr>
        <w:t>The participants</w:t>
      </w:r>
      <w:r w:rsidRPr="00B31A23">
        <w:rPr>
          <w:rFonts w:ascii="Times New Roman" w:hAnsi="Times New Roman" w:cs="Times New Roman"/>
          <w:sz w:val="24"/>
          <w:szCs w:val="24"/>
          <w:lang w:val="en-US"/>
        </w:rPr>
        <w:t xml:space="preserve"> also reported owning a PC</w:t>
      </w:r>
      <w:r w:rsidRPr="00B31A23">
        <w:rPr>
          <w:rFonts w:ascii="Times New Roman" w:hAnsi="Times New Roman" w:cs="Times New Roman"/>
          <w:sz w:val="24"/>
          <w:szCs w:val="24"/>
          <w:lang w:val="en-GB"/>
        </w:rPr>
        <w:t>/laptop (95%)</w:t>
      </w:r>
      <w:r w:rsidRPr="00B31A23">
        <w:rPr>
          <w:rFonts w:ascii="Times New Roman" w:hAnsi="Times New Roman" w:cs="Times New Roman"/>
          <w:sz w:val="24"/>
          <w:szCs w:val="24"/>
          <w:lang w:val="en-US"/>
        </w:rPr>
        <w:t>, a smartphone (100%), and being registered on at least one social media platform (93.3%)</w:t>
      </w:r>
      <w:r w:rsidRPr="00B31A23">
        <w:rPr>
          <w:rFonts w:ascii="Times New Roman" w:hAnsi="Times New Roman" w:cs="Times New Roman"/>
          <w:sz w:val="24"/>
          <w:szCs w:val="24"/>
          <w:lang w:val="en-GB"/>
        </w:rPr>
        <w:t xml:space="preserve">. Furthermore, </w:t>
      </w:r>
      <w:r w:rsidRPr="00B31A23">
        <w:rPr>
          <w:rFonts w:ascii="Times New Roman" w:hAnsi="Times New Roman" w:cs="Times New Roman"/>
          <w:sz w:val="24"/>
          <w:szCs w:val="24"/>
          <w:lang w:val="en-US"/>
        </w:rPr>
        <w:t>participants also reported hours spent online per day in one of four categories: between 0 and 2 hours (35.0%), between 2 and 4 hours (33.6%), between 4 and 6 hours (23.6%), and more than 6 hours (7.9%).</w:t>
      </w:r>
    </w:p>
    <w:p w14:paraId="57B8DBCA" w14:textId="5211F3C2" w:rsidR="00094336" w:rsidRPr="00B31A23" w:rsidRDefault="0073720E">
      <w:pPr>
        <w:pStyle w:val="Corpo"/>
        <w:spacing w:line="480" w:lineRule="auto"/>
        <w:jc w:val="both"/>
        <w:rPr>
          <w:rFonts w:ascii="Times New Roman" w:eastAsia="Times New Roman" w:hAnsi="Times New Roman" w:cs="Times New Roman"/>
          <w:b/>
          <w:bCs/>
          <w:sz w:val="24"/>
          <w:szCs w:val="24"/>
          <w:lang w:val="en-GB"/>
        </w:rPr>
      </w:pPr>
      <w:r w:rsidRPr="00B31A23">
        <w:rPr>
          <w:rFonts w:ascii="Times New Roman" w:hAnsi="Times New Roman" w:cs="Times New Roman"/>
          <w:b/>
          <w:bCs/>
          <w:sz w:val="24"/>
          <w:szCs w:val="24"/>
          <w:lang w:val="en-GB"/>
        </w:rPr>
        <w:lastRenderedPageBreak/>
        <w:t>Procedure</w:t>
      </w:r>
    </w:p>
    <w:p w14:paraId="0B3DBDFD" w14:textId="26A8693F" w:rsidR="00094336" w:rsidRPr="00B31A23" w:rsidRDefault="0073720E" w:rsidP="0068760D">
      <w:pPr>
        <w:pStyle w:val="Corpo"/>
        <w:spacing w:line="480" w:lineRule="auto"/>
        <w:ind w:firstLine="720"/>
        <w:jc w:val="both"/>
        <w:rPr>
          <w:rFonts w:ascii="Times New Roman" w:eastAsia="Times New Roman" w:hAnsi="Times New Roman" w:cs="Times New Roman"/>
          <w:sz w:val="24"/>
          <w:szCs w:val="24"/>
          <w:lang w:val="en-GB"/>
        </w:rPr>
      </w:pPr>
      <w:r w:rsidRPr="00B31A23">
        <w:rPr>
          <w:rFonts w:ascii="Times New Roman" w:hAnsi="Times New Roman" w:cs="Times New Roman"/>
          <w:sz w:val="24"/>
          <w:szCs w:val="24"/>
          <w:lang w:val="en-US"/>
        </w:rPr>
        <w:t xml:space="preserve">The sample was recruited through the publication of posts and announcements on various social </w:t>
      </w:r>
      <w:r w:rsidR="00181B08" w:rsidRPr="00B31A23">
        <w:rPr>
          <w:rFonts w:ascii="Times New Roman" w:hAnsi="Times New Roman" w:cs="Times New Roman"/>
          <w:sz w:val="24"/>
          <w:szCs w:val="24"/>
          <w:lang w:val="en-US"/>
        </w:rPr>
        <w:t>media</w:t>
      </w:r>
      <w:r w:rsidRPr="00B31A23">
        <w:rPr>
          <w:rFonts w:ascii="Times New Roman" w:hAnsi="Times New Roman" w:cs="Times New Roman"/>
          <w:sz w:val="24"/>
          <w:szCs w:val="24"/>
          <w:lang w:val="en-US"/>
        </w:rPr>
        <w:t xml:space="preserve"> sites. </w:t>
      </w:r>
      <w:r w:rsidR="00C60531" w:rsidRPr="00B31A23">
        <w:rPr>
          <w:rFonts w:ascii="Times New Roman" w:hAnsi="Times New Roman" w:cs="Times New Roman"/>
          <w:sz w:val="24"/>
          <w:szCs w:val="24"/>
          <w:lang w:val="en-US"/>
        </w:rPr>
        <w:t xml:space="preserve">Data was collected through an </w:t>
      </w:r>
      <w:r w:rsidR="004E3489" w:rsidRPr="00B31A23">
        <w:rPr>
          <w:rFonts w:ascii="Times New Roman" w:hAnsi="Times New Roman" w:cs="Times New Roman"/>
          <w:sz w:val="24"/>
          <w:szCs w:val="24"/>
          <w:lang w:val="en-US"/>
        </w:rPr>
        <w:t>o</w:t>
      </w:r>
      <w:r w:rsidR="00C60531" w:rsidRPr="00B31A23">
        <w:rPr>
          <w:rFonts w:ascii="Times New Roman" w:hAnsi="Times New Roman" w:cs="Times New Roman"/>
          <w:sz w:val="24"/>
          <w:szCs w:val="24"/>
          <w:lang w:val="en-US"/>
        </w:rPr>
        <w:t xml:space="preserve">nline </w:t>
      </w:r>
      <w:r w:rsidRPr="00B31A23">
        <w:rPr>
          <w:rFonts w:ascii="Times New Roman" w:hAnsi="Times New Roman" w:cs="Times New Roman"/>
          <w:sz w:val="24"/>
          <w:szCs w:val="24"/>
          <w:lang w:val="en-US"/>
        </w:rPr>
        <w:t xml:space="preserve">questionnaire </w:t>
      </w:r>
      <w:r w:rsidR="00C60531" w:rsidRPr="00B31A23">
        <w:rPr>
          <w:rFonts w:ascii="Times New Roman" w:hAnsi="Times New Roman" w:cs="Times New Roman"/>
          <w:sz w:val="24"/>
          <w:szCs w:val="24"/>
          <w:lang w:val="en-US"/>
        </w:rPr>
        <w:t xml:space="preserve">platform. After consent was sought, participants </w:t>
      </w:r>
      <w:r w:rsidRPr="00B31A23">
        <w:rPr>
          <w:rFonts w:ascii="Times New Roman" w:hAnsi="Times New Roman" w:cs="Times New Roman"/>
          <w:sz w:val="24"/>
          <w:szCs w:val="24"/>
          <w:lang w:val="en-US"/>
        </w:rPr>
        <w:t xml:space="preserve">were </w:t>
      </w:r>
      <w:r w:rsidR="00C60531" w:rsidRPr="00B31A23">
        <w:rPr>
          <w:rFonts w:ascii="Times New Roman" w:hAnsi="Times New Roman" w:cs="Times New Roman"/>
          <w:sz w:val="24"/>
          <w:szCs w:val="24"/>
          <w:lang w:val="en-US"/>
        </w:rPr>
        <w:t>asked to respond to socio-</w:t>
      </w:r>
      <w:r w:rsidRPr="00B31A23">
        <w:rPr>
          <w:rFonts w:ascii="Times New Roman" w:hAnsi="Times New Roman" w:cs="Times New Roman"/>
          <w:sz w:val="24"/>
          <w:szCs w:val="24"/>
          <w:lang w:val="en-US"/>
        </w:rPr>
        <w:t>demographic questions</w:t>
      </w:r>
      <w:r w:rsidR="00764E0A" w:rsidRPr="00B31A23">
        <w:rPr>
          <w:rFonts w:ascii="Times New Roman" w:hAnsi="Times New Roman" w:cs="Times New Roman"/>
          <w:sz w:val="24"/>
          <w:szCs w:val="24"/>
          <w:lang w:val="en-US"/>
        </w:rPr>
        <w:t xml:space="preserve">, </w:t>
      </w:r>
      <w:r w:rsidR="00C60531" w:rsidRPr="00B31A23">
        <w:rPr>
          <w:rFonts w:ascii="Times New Roman" w:hAnsi="Times New Roman" w:cs="Times New Roman"/>
          <w:sz w:val="24"/>
          <w:szCs w:val="24"/>
          <w:lang w:val="en-US"/>
        </w:rPr>
        <w:t>a</w:t>
      </w:r>
      <w:r w:rsidR="00764E0A" w:rsidRPr="00B31A23">
        <w:rPr>
          <w:rFonts w:ascii="Times New Roman" w:hAnsi="Times New Roman" w:cs="Times New Roman"/>
          <w:sz w:val="24"/>
          <w:szCs w:val="24"/>
          <w:lang w:val="en-US"/>
        </w:rPr>
        <w:t xml:space="preserve"> question about </w:t>
      </w:r>
      <w:r w:rsidR="009605B5" w:rsidRPr="00B31A23">
        <w:rPr>
          <w:rFonts w:ascii="Times New Roman" w:hAnsi="Times New Roman" w:cs="Times New Roman"/>
          <w:sz w:val="24"/>
          <w:szCs w:val="24"/>
          <w:lang w:val="en-US"/>
        </w:rPr>
        <w:t xml:space="preserve">hours spent online </w:t>
      </w:r>
      <w:r w:rsidR="002539D1" w:rsidRPr="00B31A23">
        <w:rPr>
          <w:rFonts w:ascii="Times New Roman" w:hAnsi="Times New Roman" w:cs="Times New Roman"/>
          <w:sz w:val="24"/>
          <w:szCs w:val="24"/>
          <w:lang w:val="en-US"/>
        </w:rPr>
        <w:t>per day</w:t>
      </w:r>
      <w:r w:rsidR="00C60531" w:rsidRPr="00B31A23">
        <w:rPr>
          <w:rFonts w:ascii="Times New Roman" w:hAnsi="Times New Roman" w:cs="Times New Roman"/>
          <w:sz w:val="24"/>
          <w:szCs w:val="24"/>
          <w:lang w:val="en-US"/>
        </w:rPr>
        <w:t>, and the</w:t>
      </w:r>
      <w:r w:rsidRPr="00B31A23">
        <w:rPr>
          <w:rFonts w:ascii="Times New Roman" w:hAnsi="Times New Roman" w:cs="Times New Roman"/>
          <w:sz w:val="24"/>
          <w:szCs w:val="24"/>
          <w:lang w:val="en-US"/>
        </w:rPr>
        <w:t xml:space="preserve"> self-report measures described in detail in the next section.</w:t>
      </w:r>
      <w:r w:rsidRPr="00B31A23">
        <w:rPr>
          <w:rFonts w:ascii="Times New Roman" w:hAnsi="Times New Roman" w:cs="Times New Roman"/>
          <w:sz w:val="24"/>
          <w:szCs w:val="24"/>
          <w:lang w:val="en-GB"/>
        </w:rPr>
        <w:t xml:space="preserve"> </w:t>
      </w:r>
      <w:r w:rsidR="00C60531" w:rsidRPr="00B31A23">
        <w:rPr>
          <w:rFonts w:ascii="Times New Roman" w:hAnsi="Times New Roman" w:cs="Times New Roman"/>
          <w:sz w:val="24"/>
          <w:szCs w:val="24"/>
          <w:lang w:val="en-US"/>
        </w:rPr>
        <w:t>S</w:t>
      </w:r>
      <w:r w:rsidRPr="00B31A23">
        <w:rPr>
          <w:rFonts w:ascii="Times New Roman" w:hAnsi="Times New Roman" w:cs="Times New Roman"/>
          <w:sz w:val="24"/>
          <w:szCs w:val="24"/>
          <w:lang w:val="en-US"/>
        </w:rPr>
        <w:t>uccessful complet</w:t>
      </w:r>
      <w:r w:rsidR="00C60531" w:rsidRPr="00B31A23">
        <w:rPr>
          <w:rFonts w:ascii="Times New Roman" w:hAnsi="Times New Roman" w:cs="Times New Roman"/>
          <w:sz w:val="24"/>
          <w:szCs w:val="24"/>
          <w:lang w:val="en-US"/>
        </w:rPr>
        <w:t>ions</w:t>
      </w:r>
      <w:r w:rsidRPr="00B31A23">
        <w:rPr>
          <w:rFonts w:ascii="Times New Roman" w:hAnsi="Times New Roman" w:cs="Times New Roman"/>
          <w:sz w:val="24"/>
          <w:szCs w:val="24"/>
          <w:lang w:val="en-US"/>
        </w:rPr>
        <w:t xml:space="preserve"> were associated with an identification number for each participant. After a month, at time T</w:t>
      </w:r>
      <w:r w:rsidRPr="00B31A23">
        <w:rPr>
          <w:rFonts w:ascii="Times New Roman" w:hAnsi="Times New Roman" w:cs="Times New Roman"/>
          <w:sz w:val="24"/>
          <w:szCs w:val="24"/>
          <w:vertAlign w:val="subscript"/>
          <w:lang w:val="en-GB"/>
        </w:rPr>
        <w:t>1</w:t>
      </w:r>
      <w:r w:rsidRPr="00B31A23">
        <w:rPr>
          <w:rFonts w:ascii="Times New Roman" w:hAnsi="Times New Roman" w:cs="Times New Roman"/>
          <w:sz w:val="24"/>
          <w:szCs w:val="24"/>
          <w:lang w:val="en-US"/>
        </w:rPr>
        <w:t>, a personalized link was sent to those who took part in the first phase of the study</w:t>
      </w:r>
      <w:r w:rsidR="009E78AA" w:rsidRPr="00B31A23">
        <w:rPr>
          <w:rFonts w:ascii="Times New Roman" w:hAnsi="Times New Roman" w:cs="Times New Roman"/>
          <w:sz w:val="24"/>
          <w:szCs w:val="24"/>
          <w:lang w:val="en-US"/>
        </w:rPr>
        <w:t xml:space="preserve"> (T</w:t>
      </w:r>
      <w:r w:rsidR="009E78AA" w:rsidRPr="00B31A23">
        <w:rPr>
          <w:rFonts w:ascii="Times New Roman" w:hAnsi="Times New Roman" w:cs="Times New Roman"/>
          <w:sz w:val="24"/>
          <w:szCs w:val="24"/>
          <w:vertAlign w:val="subscript"/>
          <w:lang w:val="en-GB"/>
        </w:rPr>
        <w:t>0)</w:t>
      </w:r>
      <w:r w:rsidRPr="00B31A23">
        <w:rPr>
          <w:rFonts w:ascii="Times New Roman" w:hAnsi="Times New Roman" w:cs="Times New Roman"/>
          <w:sz w:val="24"/>
          <w:szCs w:val="24"/>
          <w:lang w:val="en-US"/>
        </w:rPr>
        <w:t xml:space="preserve">. This process was carried out by guaranteeing the anonymity of the participants. The second questionnaire administered at follow-up included an initial briefing recalling the purpose of the research and, subsequently, the </w:t>
      </w:r>
      <w:r w:rsidR="009E78AA" w:rsidRPr="00B31A23">
        <w:rPr>
          <w:rFonts w:ascii="Times New Roman" w:hAnsi="Times New Roman" w:cs="Times New Roman"/>
          <w:sz w:val="24"/>
          <w:szCs w:val="24"/>
          <w:lang w:val="en-US"/>
        </w:rPr>
        <w:t>self-report measure</w:t>
      </w:r>
      <w:r w:rsidRPr="00B31A23">
        <w:rPr>
          <w:rFonts w:ascii="Times New Roman" w:hAnsi="Times New Roman" w:cs="Times New Roman"/>
          <w:sz w:val="24"/>
          <w:szCs w:val="24"/>
          <w:lang w:val="en-US"/>
        </w:rPr>
        <w:t xml:space="preserve"> relating to the assessment of </w:t>
      </w:r>
      <w:r w:rsidR="009E78AA" w:rsidRPr="00B31A23">
        <w:rPr>
          <w:rFonts w:ascii="Times New Roman" w:hAnsi="Times New Roman" w:cs="Times New Roman"/>
          <w:sz w:val="24"/>
          <w:szCs w:val="24"/>
          <w:lang w:val="en-US"/>
        </w:rPr>
        <w:t>C</w:t>
      </w:r>
      <w:r w:rsidRPr="00B31A23">
        <w:rPr>
          <w:rFonts w:ascii="Times New Roman" w:hAnsi="Times New Roman" w:cs="Times New Roman"/>
          <w:sz w:val="24"/>
          <w:szCs w:val="24"/>
          <w:lang w:val="en-US"/>
        </w:rPr>
        <w:t>yberchondria.</w:t>
      </w:r>
      <w:r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lang w:val="en-US"/>
        </w:rPr>
        <w:t>The current study received</w:t>
      </w:r>
      <w:r w:rsidR="000C084A" w:rsidRPr="00B31A23">
        <w:rPr>
          <w:rFonts w:ascii="Times New Roman" w:hAnsi="Times New Roman" w:cs="Times New Roman"/>
          <w:sz w:val="24"/>
          <w:szCs w:val="24"/>
          <w:lang w:val="en-US"/>
        </w:rPr>
        <w:t xml:space="preserve"> formal ethical approval</w:t>
      </w:r>
      <w:r w:rsidRPr="00B31A23">
        <w:rPr>
          <w:rFonts w:ascii="Times New Roman" w:hAnsi="Times New Roman" w:cs="Times New Roman"/>
          <w:sz w:val="24"/>
          <w:szCs w:val="24"/>
          <w:lang w:val="en-US"/>
        </w:rPr>
        <w:t xml:space="preserve"> from the </w:t>
      </w:r>
      <w:r w:rsidR="009E78AA" w:rsidRPr="00B31A23">
        <w:rPr>
          <w:rFonts w:ascii="Times New Roman" w:hAnsi="Times New Roman" w:cs="Times New Roman"/>
          <w:sz w:val="24"/>
          <w:szCs w:val="24"/>
          <w:lang w:val="en-US"/>
        </w:rPr>
        <w:t>Division of Psychology</w:t>
      </w:r>
      <w:r w:rsidRPr="00B31A23">
        <w:rPr>
          <w:rFonts w:ascii="Times New Roman" w:hAnsi="Times New Roman" w:cs="Times New Roman"/>
          <w:sz w:val="24"/>
          <w:szCs w:val="24"/>
          <w:lang w:val="en-US"/>
        </w:rPr>
        <w:t xml:space="preserve"> Ethics Committee</w:t>
      </w:r>
      <w:r w:rsidRPr="00B31A23">
        <w:rPr>
          <w:rFonts w:ascii="Times New Roman" w:hAnsi="Times New Roman" w:cs="Times New Roman"/>
          <w:sz w:val="24"/>
          <w:szCs w:val="24"/>
          <w:lang w:val="en-GB"/>
        </w:rPr>
        <w:t xml:space="preserve"> at London South Bank University</w:t>
      </w:r>
      <w:r w:rsidR="005D084B" w:rsidRPr="00B31A23">
        <w:rPr>
          <w:rFonts w:ascii="Times New Roman" w:hAnsi="Times New Roman" w:cs="Times New Roman"/>
          <w:sz w:val="24"/>
          <w:szCs w:val="24"/>
          <w:lang w:val="en-GB"/>
        </w:rPr>
        <w:t>, United Kingdom</w:t>
      </w:r>
      <w:r w:rsidRPr="00B31A23">
        <w:rPr>
          <w:rFonts w:ascii="Times New Roman" w:hAnsi="Times New Roman" w:cs="Times New Roman"/>
          <w:sz w:val="24"/>
          <w:szCs w:val="24"/>
          <w:lang w:val="en-GB"/>
        </w:rPr>
        <w:t>.</w:t>
      </w:r>
    </w:p>
    <w:p w14:paraId="6DB79424" w14:textId="665D9B84" w:rsidR="00094336" w:rsidRPr="00B31A23" w:rsidRDefault="004020C1">
      <w:pPr>
        <w:pStyle w:val="Corpo"/>
        <w:spacing w:line="480" w:lineRule="auto"/>
        <w:jc w:val="both"/>
        <w:rPr>
          <w:rFonts w:ascii="Times New Roman" w:eastAsia="Times New Roman" w:hAnsi="Times New Roman" w:cs="Times New Roman"/>
          <w:b/>
          <w:bCs/>
          <w:sz w:val="24"/>
          <w:szCs w:val="24"/>
          <w:lang w:val="en-GB"/>
        </w:rPr>
      </w:pPr>
      <w:r w:rsidRPr="00B31A23">
        <w:rPr>
          <w:rFonts w:ascii="Times New Roman" w:hAnsi="Times New Roman" w:cs="Times New Roman"/>
          <w:b/>
          <w:bCs/>
          <w:sz w:val="24"/>
          <w:szCs w:val="24"/>
          <w:lang w:val="en-GB"/>
        </w:rPr>
        <w:t xml:space="preserve">Self-report </w:t>
      </w:r>
      <w:r w:rsidR="0073720E" w:rsidRPr="00B31A23">
        <w:rPr>
          <w:rFonts w:ascii="Times New Roman" w:hAnsi="Times New Roman" w:cs="Times New Roman"/>
          <w:b/>
          <w:bCs/>
          <w:sz w:val="24"/>
          <w:szCs w:val="24"/>
          <w:lang w:val="en-GB"/>
        </w:rPr>
        <w:t>Measures</w:t>
      </w:r>
    </w:p>
    <w:p w14:paraId="36BB0949" w14:textId="3176B5E0" w:rsidR="00094336" w:rsidRPr="00B31A23" w:rsidRDefault="0073720E" w:rsidP="0068760D">
      <w:pPr>
        <w:pStyle w:val="Corpo"/>
        <w:spacing w:line="480" w:lineRule="auto"/>
        <w:ind w:firstLine="720"/>
        <w:jc w:val="both"/>
        <w:rPr>
          <w:rFonts w:ascii="Times New Roman" w:hAnsi="Times New Roman" w:cs="Times New Roman"/>
          <w:sz w:val="24"/>
          <w:szCs w:val="24"/>
          <w:lang w:val="en-GB"/>
        </w:rPr>
      </w:pPr>
      <w:r w:rsidRPr="00B31A23">
        <w:rPr>
          <w:rFonts w:ascii="Times New Roman" w:hAnsi="Times New Roman" w:cs="Times New Roman"/>
          <w:i/>
          <w:iCs/>
          <w:sz w:val="24"/>
          <w:szCs w:val="24"/>
          <w:lang w:val="en-GB"/>
        </w:rPr>
        <w:t>Cyberchondria Severity Scale (CSS; McElroy &amp; Shevlin, 2014)</w:t>
      </w:r>
      <w:r w:rsidRPr="00B31A23">
        <w:rPr>
          <w:rFonts w:ascii="Times New Roman" w:hAnsi="Times New Roman" w:cs="Times New Roman"/>
          <w:sz w:val="24"/>
          <w:szCs w:val="24"/>
          <w:lang w:val="en-GB"/>
        </w:rPr>
        <w:t xml:space="preserve">. </w:t>
      </w:r>
      <w:r w:rsidR="00C63747" w:rsidRPr="00B31A23">
        <w:rPr>
          <w:rFonts w:ascii="Times New Roman" w:hAnsi="Times New Roman" w:cs="Times New Roman"/>
          <w:sz w:val="24"/>
          <w:szCs w:val="24"/>
          <w:lang w:val="en-GB"/>
        </w:rPr>
        <w:t xml:space="preserve">The </w:t>
      </w:r>
      <w:r w:rsidRPr="00B31A23">
        <w:rPr>
          <w:rFonts w:ascii="Times New Roman" w:hAnsi="Times New Roman" w:cs="Times New Roman"/>
          <w:sz w:val="24"/>
          <w:szCs w:val="24"/>
          <w:lang w:val="en-GB"/>
        </w:rPr>
        <w:t xml:space="preserve">CSS </w:t>
      </w:r>
      <w:r w:rsidR="00C63747" w:rsidRPr="00B31A23">
        <w:rPr>
          <w:rFonts w:ascii="Times New Roman" w:hAnsi="Times New Roman" w:cs="Times New Roman"/>
          <w:sz w:val="24"/>
          <w:szCs w:val="24"/>
          <w:lang w:val="en-GB"/>
        </w:rPr>
        <w:t xml:space="preserve">has </w:t>
      </w:r>
      <w:r w:rsidRPr="00B31A23">
        <w:rPr>
          <w:rFonts w:ascii="Times New Roman" w:hAnsi="Times New Roman" w:cs="Times New Roman"/>
          <w:sz w:val="24"/>
          <w:szCs w:val="24"/>
          <w:lang w:val="en-GB"/>
        </w:rPr>
        <w:t xml:space="preserve">33 items </w:t>
      </w:r>
      <w:r w:rsidR="00C46378" w:rsidRPr="00B31A23">
        <w:rPr>
          <w:rFonts w:ascii="Times New Roman" w:hAnsi="Times New Roman" w:cs="Times New Roman"/>
          <w:sz w:val="24"/>
          <w:szCs w:val="24"/>
          <w:lang w:val="en-GB"/>
        </w:rPr>
        <w:t xml:space="preserve">rated </w:t>
      </w:r>
      <w:r w:rsidRPr="00B31A23">
        <w:rPr>
          <w:rFonts w:ascii="Times New Roman" w:hAnsi="Times New Roman" w:cs="Times New Roman"/>
          <w:sz w:val="24"/>
          <w:szCs w:val="24"/>
          <w:lang w:val="en-GB"/>
        </w:rPr>
        <w:t xml:space="preserve">on a 5-point Likert frequency scale. </w:t>
      </w:r>
      <w:r w:rsidR="00D90C9A" w:rsidRPr="00B31A23">
        <w:rPr>
          <w:rFonts w:ascii="Times New Roman" w:hAnsi="Times New Roman" w:cs="Times New Roman"/>
          <w:sz w:val="24"/>
          <w:szCs w:val="24"/>
          <w:lang w:val="en-GB"/>
        </w:rPr>
        <w:t xml:space="preserve">The CSS has  five </w:t>
      </w:r>
      <w:r w:rsidRPr="00B31A23">
        <w:rPr>
          <w:rFonts w:ascii="Times New Roman" w:hAnsi="Times New Roman" w:cs="Times New Roman"/>
          <w:sz w:val="24"/>
          <w:szCs w:val="24"/>
          <w:lang w:val="en-GB"/>
        </w:rPr>
        <w:t xml:space="preserve">sub-scales, </w:t>
      </w:r>
      <w:r w:rsidR="004020C1" w:rsidRPr="00B31A23">
        <w:rPr>
          <w:rFonts w:ascii="Times New Roman" w:hAnsi="Times New Roman" w:cs="Times New Roman"/>
          <w:sz w:val="24"/>
          <w:szCs w:val="24"/>
          <w:lang w:val="en-GB"/>
        </w:rPr>
        <w:t>as follows</w:t>
      </w:r>
      <w:r w:rsidRPr="00B31A23">
        <w:rPr>
          <w:rFonts w:ascii="Times New Roman" w:hAnsi="Times New Roman" w:cs="Times New Roman"/>
          <w:sz w:val="24"/>
          <w:szCs w:val="24"/>
          <w:lang w:val="en-GB"/>
        </w:rPr>
        <w:t xml:space="preserve"> (1) Compulsion</w:t>
      </w:r>
      <w:r w:rsidR="004020C1" w:rsidRPr="00B31A23">
        <w:rPr>
          <w:rFonts w:ascii="Times New Roman" w:hAnsi="Times New Roman" w:cs="Times New Roman"/>
          <w:sz w:val="24"/>
          <w:szCs w:val="24"/>
          <w:lang w:val="en-GB"/>
        </w:rPr>
        <w:t>,</w:t>
      </w:r>
      <w:r w:rsidRPr="00B31A23">
        <w:rPr>
          <w:rFonts w:ascii="Times New Roman" w:hAnsi="Times New Roman" w:cs="Times New Roman"/>
          <w:sz w:val="24"/>
          <w:szCs w:val="24"/>
          <w:lang w:val="en-GB"/>
        </w:rPr>
        <w:t xml:space="preserve"> </w:t>
      </w:r>
      <w:r w:rsidR="004020C1" w:rsidRPr="00B31A23">
        <w:rPr>
          <w:rFonts w:ascii="Times New Roman" w:hAnsi="Times New Roman" w:cs="Times New Roman"/>
          <w:sz w:val="24"/>
          <w:szCs w:val="24"/>
          <w:lang w:val="en-GB"/>
        </w:rPr>
        <w:t xml:space="preserve">which </w:t>
      </w:r>
      <w:r w:rsidRPr="00B31A23">
        <w:rPr>
          <w:rFonts w:ascii="Times New Roman" w:hAnsi="Times New Roman" w:cs="Times New Roman"/>
          <w:sz w:val="24"/>
          <w:szCs w:val="24"/>
          <w:lang w:val="en-GB"/>
        </w:rPr>
        <w:t>indicates how the behavior of continuing to look for symptoms</w:t>
      </w:r>
      <w:r w:rsidR="00261961"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lang w:val="en-GB"/>
        </w:rPr>
        <w:t>online compromises normal daily functioning</w:t>
      </w:r>
      <w:r w:rsidR="00157199" w:rsidRPr="00B31A23">
        <w:rPr>
          <w:rFonts w:ascii="Times New Roman" w:hAnsi="Times New Roman" w:cs="Times New Roman"/>
          <w:sz w:val="24"/>
          <w:szCs w:val="24"/>
          <w:lang w:val="en-GB"/>
        </w:rPr>
        <w:t xml:space="preserve"> (e.g.</w:t>
      </w:r>
      <w:r w:rsidR="00E46EF0" w:rsidRPr="00B31A23">
        <w:rPr>
          <w:rFonts w:ascii="Times New Roman" w:hAnsi="Times New Roman" w:cs="Times New Roman"/>
          <w:sz w:val="24"/>
          <w:szCs w:val="24"/>
          <w:lang w:val="en-GB"/>
        </w:rPr>
        <w:t>,</w:t>
      </w:r>
      <w:r w:rsidR="00157199" w:rsidRPr="00B31A23">
        <w:rPr>
          <w:rFonts w:ascii="Times New Roman" w:hAnsi="Times New Roman" w:cs="Times New Roman"/>
          <w:sz w:val="24"/>
          <w:szCs w:val="24"/>
          <w:lang w:val="en-GB"/>
        </w:rPr>
        <w:t xml:space="preserve"> “Researching symptoms or perceived medical conditions online interrupts my offline work activities”</w:t>
      </w:r>
      <w:r w:rsidR="009E78BC"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lang w:val="en-GB"/>
        </w:rPr>
        <w:t>(2) Distress</w:t>
      </w:r>
      <w:r w:rsidR="004020C1" w:rsidRPr="00B31A23">
        <w:rPr>
          <w:rFonts w:ascii="Times New Roman" w:hAnsi="Times New Roman" w:cs="Times New Roman"/>
          <w:sz w:val="24"/>
          <w:szCs w:val="24"/>
          <w:lang w:val="en-GB"/>
        </w:rPr>
        <w:t>, which</w:t>
      </w:r>
      <w:r w:rsidRPr="00B31A23">
        <w:rPr>
          <w:rFonts w:ascii="Times New Roman" w:hAnsi="Times New Roman" w:cs="Times New Roman"/>
          <w:sz w:val="24"/>
          <w:szCs w:val="24"/>
          <w:lang w:val="en-GB"/>
        </w:rPr>
        <w:t xml:space="preserve"> indicates the </w:t>
      </w:r>
      <w:r w:rsidR="004020C1" w:rsidRPr="00B31A23">
        <w:rPr>
          <w:rFonts w:ascii="Times New Roman" w:hAnsi="Times New Roman" w:cs="Times New Roman"/>
          <w:sz w:val="24"/>
          <w:szCs w:val="24"/>
          <w:lang w:val="en-GB"/>
        </w:rPr>
        <w:t xml:space="preserve">degree of </w:t>
      </w:r>
      <w:r w:rsidRPr="00B31A23">
        <w:rPr>
          <w:rFonts w:ascii="Times New Roman" w:hAnsi="Times New Roman" w:cs="Times New Roman"/>
          <w:sz w:val="24"/>
          <w:szCs w:val="24"/>
          <w:lang w:val="en-GB"/>
        </w:rPr>
        <w:t>health anxiety related to online searches</w:t>
      </w:r>
      <w:r w:rsidR="00157199" w:rsidRPr="00B31A23">
        <w:rPr>
          <w:rFonts w:ascii="Times New Roman" w:hAnsi="Times New Roman" w:cs="Times New Roman"/>
          <w:sz w:val="24"/>
          <w:szCs w:val="24"/>
          <w:lang w:val="en-GB"/>
        </w:rPr>
        <w:t xml:space="preserve"> (e.g.</w:t>
      </w:r>
      <w:r w:rsidR="00E46EF0" w:rsidRPr="00B31A23">
        <w:rPr>
          <w:rFonts w:ascii="Times New Roman" w:hAnsi="Times New Roman" w:cs="Times New Roman"/>
          <w:sz w:val="24"/>
          <w:szCs w:val="24"/>
          <w:lang w:val="en-GB"/>
        </w:rPr>
        <w:t>,</w:t>
      </w:r>
      <w:r w:rsidR="00157199" w:rsidRPr="00B31A23">
        <w:rPr>
          <w:rFonts w:ascii="Times New Roman" w:hAnsi="Times New Roman" w:cs="Times New Roman"/>
          <w:sz w:val="24"/>
          <w:szCs w:val="24"/>
          <w:lang w:val="en-GB"/>
        </w:rPr>
        <w:t xml:space="preserve"> “I find it hard stop worrying about symptoms or perceived medical conditions that I have researched online</w:t>
      </w:r>
      <w:r w:rsidR="009E78BC" w:rsidRPr="00B31A23">
        <w:rPr>
          <w:rFonts w:ascii="Times New Roman" w:hAnsi="Times New Roman" w:cs="Times New Roman"/>
          <w:sz w:val="24"/>
          <w:szCs w:val="24"/>
          <w:lang w:val="en-GB"/>
        </w:rPr>
        <w:t>”</w:t>
      </w:r>
      <w:r w:rsidR="00157199" w:rsidRPr="00B31A23">
        <w:rPr>
          <w:rFonts w:ascii="Times New Roman" w:hAnsi="Times New Roman" w:cs="Times New Roman"/>
          <w:sz w:val="24"/>
          <w:szCs w:val="24"/>
          <w:lang w:val="en-GB"/>
        </w:rPr>
        <w:t>)</w:t>
      </w:r>
      <w:r w:rsidRPr="00B31A23">
        <w:rPr>
          <w:rFonts w:ascii="Times New Roman" w:hAnsi="Times New Roman" w:cs="Times New Roman"/>
          <w:sz w:val="24"/>
          <w:szCs w:val="24"/>
          <w:lang w:val="en-GB"/>
        </w:rPr>
        <w:t>; (3) Excessiveness</w:t>
      </w:r>
      <w:r w:rsidR="004020C1" w:rsidRPr="00B31A23">
        <w:rPr>
          <w:rFonts w:ascii="Times New Roman" w:hAnsi="Times New Roman" w:cs="Times New Roman"/>
          <w:sz w:val="24"/>
          <w:szCs w:val="24"/>
          <w:lang w:val="en-GB"/>
        </w:rPr>
        <w:t>, which</w:t>
      </w:r>
      <w:r w:rsidRPr="00B31A23">
        <w:rPr>
          <w:rFonts w:ascii="Times New Roman" w:hAnsi="Times New Roman" w:cs="Times New Roman"/>
          <w:sz w:val="24"/>
          <w:szCs w:val="24"/>
          <w:lang w:val="en-GB"/>
        </w:rPr>
        <w:t xml:space="preserve"> indicates repeated and excessive </w:t>
      </w:r>
      <w:r w:rsidR="004020C1" w:rsidRPr="00B31A23">
        <w:rPr>
          <w:rFonts w:ascii="Times New Roman" w:hAnsi="Times New Roman" w:cs="Times New Roman"/>
          <w:sz w:val="24"/>
          <w:szCs w:val="24"/>
          <w:lang w:val="en-GB"/>
        </w:rPr>
        <w:t xml:space="preserve">online </w:t>
      </w:r>
      <w:r w:rsidRPr="00B31A23">
        <w:rPr>
          <w:rFonts w:ascii="Times New Roman" w:hAnsi="Times New Roman" w:cs="Times New Roman"/>
          <w:sz w:val="24"/>
          <w:szCs w:val="24"/>
          <w:lang w:val="en-GB"/>
        </w:rPr>
        <w:t>search</w:t>
      </w:r>
      <w:r w:rsidR="004020C1" w:rsidRPr="00B31A23">
        <w:rPr>
          <w:rFonts w:ascii="Times New Roman" w:hAnsi="Times New Roman" w:cs="Times New Roman"/>
          <w:sz w:val="24"/>
          <w:szCs w:val="24"/>
          <w:lang w:val="en-GB"/>
        </w:rPr>
        <w:t>ing</w:t>
      </w:r>
      <w:r w:rsidRPr="00B31A23">
        <w:rPr>
          <w:rFonts w:ascii="Times New Roman" w:hAnsi="Times New Roman" w:cs="Times New Roman"/>
          <w:sz w:val="24"/>
          <w:szCs w:val="24"/>
          <w:lang w:val="en-GB"/>
        </w:rPr>
        <w:t xml:space="preserve"> for perceived symptoms</w:t>
      </w:r>
      <w:r w:rsidR="005F2F68" w:rsidRPr="00B31A23">
        <w:rPr>
          <w:rFonts w:ascii="Times New Roman" w:hAnsi="Times New Roman" w:cs="Times New Roman"/>
          <w:sz w:val="24"/>
          <w:szCs w:val="24"/>
          <w:lang w:val="en-GB"/>
        </w:rPr>
        <w:t xml:space="preserve"> (e.g.</w:t>
      </w:r>
      <w:r w:rsidR="00AA4EBA" w:rsidRPr="00B31A23">
        <w:rPr>
          <w:rFonts w:ascii="Times New Roman" w:hAnsi="Times New Roman" w:cs="Times New Roman"/>
          <w:sz w:val="24"/>
          <w:szCs w:val="24"/>
          <w:lang w:val="en-GB"/>
        </w:rPr>
        <w:t>,</w:t>
      </w:r>
      <w:r w:rsidR="005F2F68" w:rsidRPr="00B31A23">
        <w:rPr>
          <w:rFonts w:ascii="Times New Roman" w:hAnsi="Times New Roman" w:cs="Times New Roman"/>
          <w:sz w:val="24"/>
          <w:szCs w:val="24"/>
          <w:lang w:val="en-GB"/>
        </w:rPr>
        <w:t xml:space="preserve"> “I read different web pages about the same perceived condition</w:t>
      </w:r>
      <w:r w:rsidR="009E78BC" w:rsidRPr="00B31A23">
        <w:rPr>
          <w:rFonts w:ascii="Times New Roman" w:hAnsi="Times New Roman" w:cs="Times New Roman"/>
          <w:sz w:val="24"/>
          <w:szCs w:val="24"/>
          <w:lang w:val="en-GB"/>
        </w:rPr>
        <w:t>”</w:t>
      </w:r>
      <w:r w:rsidR="005F2F68" w:rsidRPr="00B31A23">
        <w:rPr>
          <w:rFonts w:ascii="Times New Roman" w:hAnsi="Times New Roman" w:cs="Times New Roman"/>
          <w:sz w:val="24"/>
          <w:szCs w:val="24"/>
          <w:lang w:val="en-GB"/>
        </w:rPr>
        <w:t>)</w:t>
      </w:r>
      <w:r w:rsidRPr="00B31A23">
        <w:rPr>
          <w:rFonts w:ascii="Times New Roman" w:hAnsi="Times New Roman" w:cs="Times New Roman"/>
          <w:sz w:val="24"/>
          <w:szCs w:val="24"/>
          <w:lang w:val="en-GB"/>
        </w:rPr>
        <w:t>; (4) Reassurance</w:t>
      </w:r>
      <w:r w:rsidR="004020C1" w:rsidRPr="00B31A23">
        <w:rPr>
          <w:rFonts w:ascii="Times New Roman" w:hAnsi="Times New Roman" w:cs="Times New Roman"/>
          <w:sz w:val="24"/>
          <w:szCs w:val="24"/>
          <w:lang w:val="en-GB"/>
        </w:rPr>
        <w:t>, which</w:t>
      </w:r>
      <w:r w:rsidRPr="00B31A23">
        <w:rPr>
          <w:rFonts w:ascii="Times New Roman" w:hAnsi="Times New Roman" w:cs="Times New Roman"/>
          <w:sz w:val="24"/>
          <w:szCs w:val="24"/>
          <w:lang w:val="en-GB"/>
        </w:rPr>
        <w:t xml:space="preserve"> indicates the search for reassurance from </w:t>
      </w:r>
      <w:r w:rsidR="004020C1" w:rsidRPr="00B31A23">
        <w:rPr>
          <w:rFonts w:ascii="Times New Roman" w:hAnsi="Times New Roman" w:cs="Times New Roman"/>
          <w:sz w:val="24"/>
          <w:szCs w:val="24"/>
          <w:lang w:val="en-GB"/>
        </w:rPr>
        <w:t>medical professionals</w:t>
      </w:r>
      <w:r w:rsidRPr="00B31A23">
        <w:rPr>
          <w:rFonts w:ascii="Times New Roman" w:hAnsi="Times New Roman" w:cs="Times New Roman"/>
          <w:sz w:val="24"/>
          <w:szCs w:val="24"/>
          <w:lang w:val="en-GB"/>
        </w:rPr>
        <w:t xml:space="preserve"> for </w:t>
      </w:r>
      <w:r w:rsidR="004020C1" w:rsidRPr="00B31A23">
        <w:rPr>
          <w:rFonts w:ascii="Times New Roman" w:hAnsi="Times New Roman" w:cs="Times New Roman"/>
          <w:sz w:val="24"/>
          <w:szCs w:val="24"/>
          <w:lang w:val="en-GB"/>
        </w:rPr>
        <w:t>a</w:t>
      </w:r>
      <w:r w:rsidRPr="00B31A23">
        <w:rPr>
          <w:rFonts w:ascii="Times New Roman" w:hAnsi="Times New Roman" w:cs="Times New Roman"/>
          <w:sz w:val="24"/>
          <w:szCs w:val="24"/>
          <w:lang w:val="en-GB"/>
        </w:rPr>
        <w:t xml:space="preserve"> serious concern arising from the consultation of websites on health</w:t>
      </w:r>
      <w:r w:rsidR="005F2F68" w:rsidRPr="00B31A23">
        <w:rPr>
          <w:rFonts w:ascii="Times New Roman" w:hAnsi="Times New Roman" w:cs="Times New Roman"/>
          <w:sz w:val="24"/>
          <w:szCs w:val="24"/>
          <w:lang w:val="en-GB"/>
        </w:rPr>
        <w:t xml:space="preserve"> </w:t>
      </w:r>
      <w:r w:rsidR="009E78BC" w:rsidRPr="00B31A23">
        <w:rPr>
          <w:rFonts w:ascii="Times New Roman" w:hAnsi="Times New Roman" w:cs="Times New Roman"/>
          <w:sz w:val="24"/>
          <w:szCs w:val="24"/>
          <w:lang w:val="en-GB"/>
        </w:rPr>
        <w:t>(</w:t>
      </w:r>
      <w:r w:rsidR="004020C1" w:rsidRPr="00B31A23">
        <w:rPr>
          <w:rFonts w:ascii="Times New Roman" w:hAnsi="Times New Roman" w:cs="Times New Roman"/>
          <w:sz w:val="24"/>
          <w:szCs w:val="24"/>
          <w:lang w:val="en-GB"/>
        </w:rPr>
        <w:t>e.g.</w:t>
      </w:r>
      <w:r w:rsidR="008A7AEE" w:rsidRPr="00B31A23">
        <w:rPr>
          <w:rFonts w:ascii="Times New Roman" w:hAnsi="Times New Roman" w:cs="Times New Roman"/>
          <w:sz w:val="24"/>
          <w:szCs w:val="24"/>
          <w:lang w:val="en-GB"/>
        </w:rPr>
        <w:t>,</w:t>
      </w:r>
      <w:r w:rsidR="004020C1" w:rsidRPr="00B31A23">
        <w:rPr>
          <w:rFonts w:ascii="Times New Roman" w:hAnsi="Times New Roman" w:cs="Times New Roman"/>
          <w:sz w:val="24"/>
          <w:szCs w:val="24"/>
          <w:lang w:val="en-GB"/>
        </w:rPr>
        <w:t xml:space="preserve"> </w:t>
      </w:r>
      <w:r w:rsidR="005F2F68" w:rsidRPr="00B31A23">
        <w:rPr>
          <w:rFonts w:ascii="Times New Roman" w:hAnsi="Times New Roman" w:cs="Times New Roman"/>
          <w:sz w:val="24"/>
          <w:szCs w:val="24"/>
          <w:lang w:val="en-GB"/>
        </w:rPr>
        <w:t xml:space="preserve">“Discussing online info about a perceived medical </w:t>
      </w:r>
      <w:r w:rsidR="005F2F68" w:rsidRPr="00B31A23">
        <w:rPr>
          <w:rFonts w:ascii="Times New Roman" w:hAnsi="Times New Roman" w:cs="Times New Roman"/>
          <w:sz w:val="24"/>
          <w:szCs w:val="24"/>
          <w:lang w:val="en-GB"/>
        </w:rPr>
        <w:lastRenderedPageBreak/>
        <w:t>condition with my GP reassures me”)</w:t>
      </w:r>
      <w:r w:rsidRPr="00B31A23">
        <w:rPr>
          <w:rFonts w:ascii="Times New Roman" w:hAnsi="Times New Roman" w:cs="Times New Roman"/>
          <w:sz w:val="24"/>
          <w:szCs w:val="24"/>
          <w:lang w:val="en-GB"/>
        </w:rPr>
        <w:t>; and (5) Mistrust of medical professional</w:t>
      </w:r>
      <w:r w:rsidR="004020C1" w:rsidRPr="00B31A23">
        <w:rPr>
          <w:rFonts w:ascii="Times New Roman" w:hAnsi="Times New Roman" w:cs="Times New Roman"/>
          <w:sz w:val="24"/>
          <w:szCs w:val="24"/>
          <w:lang w:val="en-GB"/>
        </w:rPr>
        <w:t>s, which</w:t>
      </w:r>
      <w:r w:rsidRPr="00B31A23">
        <w:rPr>
          <w:rFonts w:ascii="Times New Roman" w:hAnsi="Times New Roman" w:cs="Times New Roman"/>
          <w:sz w:val="24"/>
          <w:szCs w:val="24"/>
          <w:lang w:val="en-GB"/>
        </w:rPr>
        <w:t xml:space="preserve"> indicates distrust in </w:t>
      </w:r>
      <w:r w:rsidR="004020C1" w:rsidRPr="00B31A23">
        <w:rPr>
          <w:rFonts w:ascii="Times New Roman" w:hAnsi="Times New Roman" w:cs="Times New Roman"/>
          <w:sz w:val="24"/>
          <w:szCs w:val="24"/>
          <w:lang w:val="en-GB"/>
        </w:rPr>
        <w:t>a</w:t>
      </w:r>
      <w:r w:rsidRPr="00B31A23">
        <w:rPr>
          <w:rFonts w:ascii="Times New Roman" w:hAnsi="Times New Roman" w:cs="Times New Roman"/>
          <w:sz w:val="24"/>
          <w:szCs w:val="24"/>
          <w:lang w:val="en-GB"/>
        </w:rPr>
        <w:t xml:space="preserve"> doctor's diagnosis compared to the results of online searches</w:t>
      </w:r>
      <w:r w:rsidR="004020C1" w:rsidRPr="00B31A23">
        <w:rPr>
          <w:rFonts w:ascii="Times New Roman" w:hAnsi="Times New Roman" w:cs="Times New Roman"/>
          <w:sz w:val="24"/>
          <w:szCs w:val="24"/>
          <w:lang w:val="en-GB"/>
        </w:rPr>
        <w:t xml:space="preserve"> (e.g.</w:t>
      </w:r>
      <w:r w:rsidR="008A7AEE" w:rsidRPr="00B31A23">
        <w:rPr>
          <w:rFonts w:ascii="Times New Roman" w:hAnsi="Times New Roman" w:cs="Times New Roman"/>
          <w:sz w:val="24"/>
          <w:szCs w:val="24"/>
          <w:lang w:val="en-GB"/>
        </w:rPr>
        <w:t>,</w:t>
      </w:r>
      <w:r w:rsidR="004020C1" w:rsidRPr="00B31A23">
        <w:rPr>
          <w:rFonts w:ascii="Times New Roman" w:hAnsi="Times New Roman" w:cs="Times New Roman"/>
          <w:sz w:val="24"/>
          <w:szCs w:val="24"/>
          <w:lang w:val="en-GB"/>
        </w:rPr>
        <w:t xml:space="preserve"> “</w:t>
      </w:r>
      <w:r w:rsidR="00261961" w:rsidRPr="00B31A23">
        <w:rPr>
          <w:rFonts w:ascii="Times New Roman" w:hAnsi="Times New Roman" w:cs="Times New Roman"/>
          <w:sz w:val="24"/>
          <w:szCs w:val="24"/>
          <w:lang w:val="en-GB"/>
        </w:rPr>
        <w:t>Take opinion of GP more seriously than online research</w:t>
      </w:r>
      <w:r w:rsidR="004020C1" w:rsidRPr="00B31A23">
        <w:rPr>
          <w:rFonts w:ascii="Times New Roman" w:hAnsi="Times New Roman" w:cs="Times New Roman"/>
          <w:sz w:val="24"/>
          <w:szCs w:val="24"/>
          <w:lang w:val="en-GB"/>
        </w:rPr>
        <w:t>”)</w:t>
      </w:r>
      <w:r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lang w:val="en-US"/>
        </w:rPr>
        <w:t xml:space="preserve">According to </w:t>
      </w:r>
      <w:r w:rsidR="004020C1" w:rsidRPr="00B31A23">
        <w:rPr>
          <w:rFonts w:ascii="Times New Roman" w:hAnsi="Times New Roman" w:cs="Times New Roman"/>
          <w:sz w:val="24"/>
          <w:szCs w:val="24"/>
          <w:lang w:val="en-US"/>
        </w:rPr>
        <w:t>recent</w:t>
      </w:r>
      <w:r w:rsidRPr="00B31A23">
        <w:rPr>
          <w:rFonts w:ascii="Times New Roman" w:hAnsi="Times New Roman" w:cs="Times New Roman"/>
          <w:sz w:val="24"/>
          <w:szCs w:val="24"/>
          <w:lang w:val="en-US"/>
        </w:rPr>
        <w:t xml:space="preserve"> research, the latter </w:t>
      </w:r>
      <w:r w:rsidR="00224DCF" w:rsidRPr="00B31A23">
        <w:rPr>
          <w:rFonts w:ascii="Times New Roman" w:hAnsi="Times New Roman" w:cs="Times New Roman"/>
          <w:sz w:val="24"/>
          <w:szCs w:val="24"/>
          <w:lang w:val="en-GB"/>
        </w:rPr>
        <w:t>factor</w:t>
      </w:r>
      <w:r w:rsidRPr="00B31A23">
        <w:rPr>
          <w:rFonts w:ascii="Times New Roman" w:hAnsi="Times New Roman" w:cs="Times New Roman"/>
          <w:sz w:val="24"/>
          <w:szCs w:val="24"/>
          <w:lang w:val="en-US"/>
        </w:rPr>
        <w:t xml:space="preserve"> </w:t>
      </w:r>
      <w:r w:rsidR="004020C1" w:rsidRPr="00B31A23">
        <w:rPr>
          <w:rFonts w:ascii="Times New Roman" w:hAnsi="Times New Roman" w:cs="Times New Roman"/>
          <w:sz w:val="24"/>
          <w:szCs w:val="24"/>
          <w:lang w:val="en-US"/>
        </w:rPr>
        <w:t>appears</w:t>
      </w:r>
      <w:r w:rsidRPr="00B31A23">
        <w:rPr>
          <w:rFonts w:ascii="Times New Roman" w:hAnsi="Times New Roman" w:cs="Times New Roman"/>
          <w:sz w:val="24"/>
          <w:szCs w:val="24"/>
          <w:lang w:val="en-US"/>
        </w:rPr>
        <w:t xml:space="preserve"> not to be as relevant in the assessment of </w:t>
      </w:r>
      <w:r w:rsidR="004020C1" w:rsidRPr="00B31A23">
        <w:rPr>
          <w:rFonts w:ascii="Times New Roman" w:hAnsi="Times New Roman" w:cs="Times New Roman"/>
          <w:sz w:val="24"/>
          <w:szCs w:val="24"/>
          <w:lang w:val="en-US"/>
        </w:rPr>
        <w:t>C</w:t>
      </w:r>
      <w:r w:rsidRPr="00B31A23">
        <w:rPr>
          <w:rFonts w:ascii="Times New Roman" w:hAnsi="Times New Roman" w:cs="Times New Roman"/>
          <w:sz w:val="24"/>
          <w:szCs w:val="24"/>
          <w:lang w:val="en-US"/>
        </w:rPr>
        <w:t xml:space="preserve">yberchondria as the other </w:t>
      </w:r>
      <w:r w:rsidRPr="00B31A23">
        <w:rPr>
          <w:rFonts w:ascii="Times New Roman" w:hAnsi="Times New Roman" w:cs="Times New Roman"/>
          <w:sz w:val="24"/>
          <w:szCs w:val="24"/>
          <w:lang w:val="en-GB"/>
        </w:rPr>
        <w:t xml:space="preserve">CSS </w:t>
      </w:r>
      <w:r w:rsidR="004020C1" w:rsidRPr="00B31A23">
        <w:rPr>
          <w:rFonts w:ascii="Times New Roman" w:hAnsi="Times New Roman" w:cs="Times New Roman"/>
          <w:sz w:val="24"/>
          <w:szCs w:val="24"/>
          <w:lang w:val="en-GB"/>
        </w:rPr>
        <w:t>factors</w:t>
      </w:r>
      <w:r w:rsidRPr="00B31A23">
        <w:rPr>
          <w:rFonts w:ascii="Times New Roman" w:hAnsi="Times New Roman" w:cs="Times New Roman"/>
          <w:sz w:val="24"/>
          <w:szCs w:val="24"/>
          <w:lang w:val="en-GB"/>
        </w:rPr>
        <w:t xml:space="preserve"> (Fergus, 2014; </w:t>
      </w:r>
      <w:r w:rsidRPr="00B31A23">
        <w:rPr>
          <w:rFonts w:ascii="Times New Roman" w:hAnsi="Times New Roman" w:cs="Times New Roman"/>
          <w:sz w:val="24"/>
          <w:szCs w:val="24"/>
          <w:lang w:val="fr-FR"/>
        </w:rPr>
        <w:t>Norr, Allan, Boffa, Raines</w:t>
      </w:r>
      <w:r w:rsidRPr="00B31A23">
        <w:rPr>
          <w:rFonts w:ascii="Times New Roman" w:hAnsi="Times New Roman" w:cs="Times New Roman"/>
          <w:sz w:val="24"/>
          <w:szCs w:val="24"/>
          <w:lang w:val="en-GB"/>
        </w:rPr>
        <w:t xml:space="preserve"> &amp;</w:t>
      </w:r>
      <w:r w:rsidRPr="00B31A23">
        <w:rPr>
          <w:rFonts w:ascii="Times New Roman" w:hAnsi="Times New Roman" w:cs="Times New Roman"/>
          <w:sz w:val="24"/>
          <w:szCs w:val="24"/>
          <w:lang w:val="de-DE"/>
        </w:rPr>
        <w:t xml:space="preserve"> Schmidt</w:t>
      </w:r>
      <w:r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lang w:val="en-US"/>
        </w:rPr>
        <w:t xml:space="preserve">2015). For this reason, the present study provided for the omission of </w:t>
      </w:r>
      <w:r w:rsidRPr="00B31A23">
        <w:rPr>
          <w:rFonts w:ascii="Times New Roman" w:hAnsi="Times New Roman" w:cs="Times New Roman"/>
          <w:sz w:val="24"/>
          <w:szCs w:val="24"/>
          <w:lang w:val="en-GB"/>
        </w:rPr>
        <w:t xml:space="preserve">mistrust items. </w:t>
      </w:r>
      <w:r w:rsidR="00C63747" w:rsidRPr="00B31A23">
        <w:rPr>
          <w:rFonts w:ascii="Times New Roman" w:hAnsi="Times New Roman" w:cs="Times New Roman"/>
          <w:sz w:val="24"/>
          <w:szCs w:val="24"/>
          <w:lang w:val="en-GB"/>
        </w:rPr>
        <w:t xml:space="preserve">Higher scores indicate higher levels of Cyberchondria. </w:t>
      </w:r>
      <w:r w:rsidR="00B64209" w:rsidRPr="00B31A23">
        <w:rPr>
          <w:rFonts w:ascii="Times New Roman" w:hAnsi="Times New Roman" w:cs="Times New Roman"/>
          <w:sz w:val="24"/>
          <w:szCs w:val="24"/>
          <w:lang w:val="en-GB"/>
        </w:rPr>
        <w:t>In</w:t>
      </w:r>
      <w:r w:rsidR="004020C1" w:rsidRPr="00B31A23">
        <w:rPr>
          <w:rFonts w:ascii="Times New Roman" w:hAnsi="Times New Roman" w:cs="Times New Roman"/>
          <w:sz w:val="24"/>
          <w:szCs w:val="24"/>
          <w:lang w:val="en-GB"/>
        </w:rPr>
        <w:t xml:space="preserve"> this study </w:t>
      </w:r>
      <w:r w:rsidRPr="00B31A23">
        <w:rPr>
          <w:rFonts w:ascii="Times New Roman" w:hAnsi="Times New Roman" w:cs="Times New Roman"/>
          <w:sz w:val="24"/>
          <w:szCs w:val="24"/>
          <w:lang w:val="en-GB"/>
        </w:rPr>
        <w:t xml:space="preserve">the </w:t>
      </w:r>
      <w:r w:rsidRPr="00B31A23">
        <w:rPr>
          <w:rFonts w:ascii="Times New Roman" w:hAnsi="Times New Roman" w:cs="Times New Roman"/>
          <w:sz w:val="24"/>
          <w:szCs w:val="24"/>
          <w:lang w:val="en-US"/>
        </w:rPr>
        <w:t xml:space="preserve">CSS has </w:t>
      </w:r>
      <w:r w:rsidR="00B64209" w:rsidRPr="00B31A23">
        <w:rPr>
          <w:rFonts w:ascii="Times New Roman" w:hAnsi="Times New Roman" w:cs="Times New Roman"/>
          <w:sz w:val="24"/>
          <w:szCs w:val="24"/>
          <w:lang w:val="en-US"/>
        </w:rPr>
        <w:t>excellent</w:t>
      </w:r>
      <w:r w:rsidRPr="00B31A23">
        <w:rPr>
          <w:rFonts w:ascii="Times New Roman" w:hAnsi="Times New Roman" w:cs="Times New Roman"/>
          <w:sz w:val="24"/>
          <w:szCs w:val="24"/>
          <w:lang w:val="en-US"/>
        </w:rPr>
        <w:t xml:space="preserve"> internal consistency</w:t>
      </w:r>
      <w:r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rPr>
        <w:t>α</w:t>
      </w:r>
      <w:r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lang w:val="en-US"/>
        </w:rPr>
        <w:t>= .94)</w:t>
      </w:r>
      <w:r w:rsidRPr="00B31A23">
        <w:rPr>
          <w:rFonts w:ascii="Times New Roman" w:hAnsi="Times New Roman" w:cs="Times New Roman"/>
          <w:sz w:val="24"/>
          <w:szCs w:val="24"/>
          <w:lang w:val="en-GB"/>
        </w:rPr>
        <w:t xml:space="preserve">. </w:t>
      </w:r>
    </w:p>
    <w:p w14:paraId="0BFB8A3A" w14:textId="78D7B29E" w:rsidR="00C63747" w:rsidRPr="00B31A23" w:rsidRDefault="0073720E" w:rsidP="0068760D">
      <w:pPr>
        <w:pStyle w:val="Corpo"/>
        <w:spacing w:line="480" w:lineRule="auto"/>
        <w:ind w:firstLine="720"/>
        <w:jc w:val="both"/>
        <w:rPr>
          <w:rFonts w:ascii="Times New Roman" w:eastAsia="Times New Roman" w:hAnsi="Times New Roman" w:cs="Times New Roman"/>
          <w:sz w:val="24"/>
          <w:szCs w:val="24"/>
          <w:lang w:val="en-GB"/>
        </w:rPr>
      </w:pPr>
      <w:r w:rsidRPr="00B31A23">
        <w:rPr>
          <w:rFonts w:ascii="Times New Roman" w:hAnsi="Times New Roman" w:cs="Times New Roman"/>
          <w:i/>
          <w:iCs/>
          <w:sz w:val="24"/>
          <w:szCs w:val="24"/>
          <w:lang w:val="en-GB"/>
        </w:rPr>
        <w:t>Health Anxiety Inventory (HAI; Salkovskis, Rimes, Warwick, &amp; Clark, 2002)</w:t>
      </w:r>
      <w:r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lang w:val="en-US"/>
        </w:rPr>
        <w:t xml:space="preserve">The </w:t>
      </w:r>
      <w:r w:rsidR="006F5BEE" w:rsidRPr="00B31A23">
        <w:rPr>
          <w:rFonts w:ascii="Times New Roman" w:hAnsi="Times New Roman" w:cs="Times New Roman"/>
          <w:sz w:val="24"/>
          <w:szCs w:val="24"/>
          <w:lang w:val="en-US"/>
        </w:rPr>
        <w:t>short-adapted</w:t>
      </w:r>
      <w:r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lang w:val="en-US"/>
        </w:rPr>
        <w:t xml:space="preserve">version of the HAI </w:t>
      </w:r>
      <w:r w:rsidR="00C63747" w:rsidRPr="00B31A23">
        <w:rPr>
          <w:rFonts w:ascii="Times New Roman" w:hAnsi="Times New Roman" w:cs="Times New Roman"/>
          <w:sz w:val="24"/>
          <w:szCs w:val="24"/>
          <w:lang w:val="en-US"/>
        </w:rPr>
        <w:t>has 14 items</w:t>
      </w:r>
      <w:r w:rsidRPr="00B31A23">
        <w:rPr>
          <w:rFonts w:ascii="Times New Roman" w:hAnsi="Times New Roman" w:cs="Times New Roman"/>
          <w:sz w:val="24"/>
          <w:szCs w:val="24"/>
          <w:lang w:val="en-GB"/>
        </w:rPr>
        <w:t xml:space="preserve"> </w:t>
      </w:r>
      <w:r w:rsidR="000C084A" w:rsidRPr="00B31A23">
        <w:rPr>
          <w:rFonts w:ascii="Times New Roman" w:hAnsi="Times New Roman" w:cs="Times New Roman"/>
          <w:sz w:val="24"/>
          <w:szCs w:val="24"/>
          <w:lang w:val="en-GB"/>
        </w:rPr>
        <w:t>–</w:t>
      </w:r>
      <w:r w:rsidRPr="00B31A23">
        <w:rPr>
          <w:rFonts w:ascii="Times New Roman" w:hAnsi="Times New Roman" w:cs="Times New Roman"/>
          <w:sz w:val="24"/>
          <w:szCs w:val="24"/>
          <w:lang w:val="en-GB"/>
        </w:rPr>
        <w:t xml:space="preserve"> instead of 18 </w:t>
      </w:r>
      <w:r w:rsidR="000C084A" w:rsidRPr="00B31A23">
        <w:rPr>
          <w:rFonts w:ascii="Times New Roman" w:hAnsi="Times New Roman" w:cs="Times New Roman"/>
          <w:sz w:val="24"/>
          <w:szCs w:val="24"/>
          <w:lang w:val="en-GB"/>
        </w:rPr>
        <w:t>–</w:t>
      </w:r>
      <w:r w:rsidRPr="00B31A23">
        <w:rPr>
          <w:rFonts w:ascii="Times New Roman" w:hAnsi="Times New Roman" w:cs="Times New Roman"/>
          <w:sz w:val="24"/>
          <w:szCs w:val="24"/>
          <w:lang w:val="en-US"/>
        </w:rPr>
        <w:t xml:space="preserve"> </w:t>
      </w:r>
      <w:r w:rsidR="00C63747" w:rsidRPr="00B31A23">
        <w:rPr>
          <w:rFonts w:ascii="Times New Roman" w:hAnsi="Times New Roman" w:cs="Times New Roman"/>
          <w:sz w:val="24"/>
          <w:szCs w:val="24"/>
          <w:lang w:val="en-US"/>
        </w:rPr>
        <w:t xml:space="preserve">and </w:t>
      </w:r>
      <w:r w:rsidRPr="00B31A23">
        <w:rPr>
          <w:rFonts w:ascii="Times New Roman" w:hAnsi="Times New Roman" w:cs="Times New Roman"/>
          <w:sz w:val="24"/>
          <w:szCs w:val="24"/>
          <w:lang w:val="en-US"/>
        </w:rPr>
        <w:t xml:space="preserve">was used for the present study to reduce the timing of administration. Each item </w:t>
      </w:r>
      <w:r w:rsidR="00C63747" w:rsidRPr="00B31A23">
        <w:rPr>
          <w:rFonts w:ascii="Times New Roman" w:hAnsi="Times New Roman" w:cs="Times New Roman"/>
          <w:sz w:val="24"/>
          <w:szCs w:val="24"/>
          <w:lang w:val="en-US"/>
        </w:rPr>
        <w:t>comprises</w:t>
      </w:r>
      <w:r w:rsidRPr="00B31A23">
        <w:rPr>
          <w:rFonts w:ascii="Times New Roman" w:hAnsi="Times New Roman" w:cs="Times New Roman"/>
          <w:sz w:val="24"/>
          <w:szCs w:val="24"/>
          <w:lang w:val="en-US"/>
        </w:rPr>
        <w:t xml:space="preserve"> of a group of four </w:t>
      </w:r>
      <w:r w:rsidR="006D0689" w:rsidRPr="00B31A23">
        <w:rPr>
          <w:rFonts w:ascii="Times New Roman" w:hAnsi="Times New Roman" w:cs="Times New Roman"/>
          <w:sz w:val="24"/>
          <w:szCs w:val="24"/>
          <w:lang w:val="en-GB"/>
        </w:rPr>
        <w:t>statements</w:t>
      </w:r>
      <w:r w:rsidRPr="00B31A23">
        <w:rPr>
          <w:rFonts w:ascii="Times New Roman" w:hAnsi="Times New Roman" w:cs="Times New Roman"/>
          <w:sz w:val="24"/>
          <w:szCs w:val="24"/>
          <w:lang w:val="en-US"/>
        </w:rPr>
        <w:t xml:space="preserve">, rated </w:t>
      </w:r>
      <w:r w:rsidR="00C63747" w:rsidRPr="00B31A23">
        <w:rPr>
          <w:rFonts w:ascii="Times New Roman" w:hAnsi="Times New Roman" w:cs="Times New Roman"/>
          <w:sz w:val="24"/>
          <w:szCs w:val="24"/>
          <w:lang w:val="en-US"/>
        </w:rPr>
        <w:t>on</w:t>
      </w:r>
      <w:r w:rsidRPr="00B31A23">
        <w:rPr>
          <w:rFonts w:ascii="Times New Roman" w:hAnsi="Times New Roman" w:cs="Times New Roman"/>
          <w:sz w:val="24"/>
          <w:szCs w:val="24"/>
          <w:lang w:val="en-US"/>
        </w:rPr>
        <w:t xml:space="preserve"> a 4-point </w:t>
      </w:r>
      <w:r w:rsidR="00C63747" w:rsidRPr="00B31A23">
        <w:rPr>
          <w:rFonts w:ascii="Times New Roman" w:hAnsi="Times New Roman" w:cs="Times New Roman"/>
          <w:sz w:val="24"/>
          <w:szCs w:val="24"/>
          <w:lang w:val="en-US"/>
        </w:rPr>
        <w:t xml:space="preserve">Likert frequency </w:t>
      </w:r>
      <w:r w:rsidRPr="00B31A23">
        <w:rPr>
          <w:rFonts w:ascii="Times New Roman" w:hAnsi="Times New Roman" w:cs="Times New Roman"/>
          <w:sz w:val="24"/>
          <w:szCs w:val="24"/>
          <w:lang w:val="en-US"/>
        </w:rPr>
        <w:t>scale</w:t>
      </w:r>
      <w:r w:rsidRPr="00B31A23">
        <w:rPr>
          <w:rFonts w:ascii="Times New Roman" w:hAnsi="Times New Roman" w:cs="Times New Roman"/>
          <w:sz w:val="24"/>
          <w:szCs w:val="24"/>
          <w:lang w:val="en-GB"/>
        </w:rPr>
        <w:t>, concerning intrusive health-related thoughts (e.g.</w:t>
      </w:r>
      <w:r w:rsidR="000C6058" w:rsidRPr="00B31A23">
        <w:rPr>
          <w:rFonts w:ascii="Times New Roman" w:hAnsi="Times New Roman" w:cs="Times New Roman"/>
          <w:sz w:val="24"/>
          <w:szCs w:val="24"/>
          <w:lang w:val="en-GB"/>
        </w:rPr>
        <w:t>,</w:t>
      </w:r>
      <w:r w:rsidRPr="00B31A23">
        <w:rPr>
          <w:rFonts w:ascii="Times New Roman" w:hAnsi="Times New Roman" w:cs="Times New Roman"/>
          <w:sz w:val="24"/>
          <w:szCs w:val="24"/>
          <w:lang w:val="en-GB"/>
        </w:rPr>
        <w:t xml:space="preserve"> </w:t>
      </w:r>
      <w:r w:rsidR="006F5BEE" w:rsidRPr="00B31A23">
        <w:rPr>
          <w:rFonts w:ascii="Times New Roman" w:hAnsi="Times New Roman" w:cs="Times New Roman"/>
          <w:sz w:val="24"/>
          <w:szCs w:val="24"/>
          <w:lang w:val="en-GB"/>
        </w:rPr>
        <w:t>“</w:t>
      </w:r>
      <w:r w:rsidRPr="00B31A23">
        <w:rPr>
          <w:rFonts w:ascii="Times New Roman" w:hAnsi="Times New Roman" w:cs="Times New Roman"/>
          <w:sz w:val="24"/>
          <w:szCs w:val="24"/>
          <w:lang w:val="en-US"/>
        </w:rPr>
        <w:t>I spend most of my time worrying about health</w:t>
      </w:r>
      <w:r w:rsidR="006F5BEE" w:rsidRPr="00B31A23">
        <w:rPr>
          <w:rFonts w:ascii="Times New Roman" w:hAnsi="Times New Roman" w:cs="Times New Roman"/>
          <w:sz w:val="24"/>
          <w:szCs w:val="24"/>
          <w:lang w:val="en-US"/>
        </w:rPr>
        <w:t>”</w:t>
      </w:r>
      <w:r w:rsidR="009E78BC" w:rsidRPr="00B31A23">
        <w:rPr>
          <w:rFonts w:ascii="Times New Roman" w:hAnsi="Times New Roman" w:cs="Times New Roman"/>
          <w:sz w:val="24"/>
          <w:szCs w:val="24"/>
          <w:lang w:val="en-US"/>
        </w:rPr>
        <w:t xml:space="preserve">) </w:t>
      </w:r>
      <w:r w:rsidRPr="00B31A23">
        <w:rPr>
          <w:rFonts w:ascii="Times New Roman" w:hAnsi="Times New Roman" w:cs="Times New Roman"/>
          <w:sz w:val="24"/>
          <w:szCs w:val="24"/>
          <w:lang w:val="en-US"/>
        </w:rPr>
        <w:t>and fear of developing a serious</w:t>
      </w:r>
      <w:r w:rsidRPr="00B31A23">
        <w:rPr>
          <w:rFonts w:ascii="Times New Roman" w:hAnsi="Times New Roman" w:cs="Times New Roman"/>
          <w:sz w:val="24"/>
          <w:szCs w:val="24"/>
          <w:lang w:val="en-GB"/>
        </w:rPr>
        <w:t xml:space="preserve"> physical</w:t>
      </w:r>
      <w:r w:rsidRPr="00B31A23">
        <w:rPr>
          <w:rFonts w:ascii="Times New Roman" w:hAnsi="Times New Roman" w:cs="Times New Roman"/>
          <w:sz w:val="24"/>
          <w:szCs w:val="24"/>
          <w:lang w:val="en-US"/>
        </w:rPr>
        <w:t xml:space="preserve"> disease</w:t>
      </w:r>
      <w:r w:rsidRPr="00B31A23">
        <w:rPr>
          <w:rFonts w:ascii="Times New Roman" w:hAnsi="Times New Roman" w:cs="Times New Roman"/>
          <w:sz w:val="24"/>
          <w:szCs w:val="24"/>
          <w:lang w:val="en-GB"/>
        </w:rPr>
        <w:t xml:space="preserve"> (e.g., </w:t>
      </w:r>
      <w:r w:rsidR="009E78BC" w:rsidRPr="00B31A23">
        <w:rPr>
          <w:rFonts w:ascii="Times New Roman" w:hAnsi="Times New Roman" w:cs="Times New Roman"/>
          <w:sz w:val="24"/>
          <w:szCs w:val="24"/>
          <w:lang w:val="en-GB"/>
        </w:rPr>
        <w:t>“</w:t>
      </w:r>
      <w:r w:rsidR="006F5BEE" w:rsidRPr="00B31A23">
        <w:rPr>
          <w:rFonts w:ascii="Times New Roman" w:hAnsi="Times New Roman" w:cs="Times New Roman"/>
          <w:sz w:val="24"/>
          <w:szCs w:val="24"/>
          <w:lang w:val="en-GB"/>
        </w:rPr>
        <w:t>If I hear about an illness I always think I have it myself”</w:t>
      </w:r>
      <w:r w:rsidRPr="00B31A23">
        <w:rPr>
          <w:rFonts w:ascii="Times New Roman" w:hAnsi="Times New Roman" w:cs="Times New Roman"/>
          <w:sz w:val="24"/>
          <w:szCs w:val="24"/>
          <w:lang w:val="en-GB"/>
        </w:rPr>
        <w:t xml:space="preserve">). </w:t>
      </w:r>
      <w:r w:rsidR="00C63747" w:rsidRPr="00B31A23">
        <w:rPr>
          <w:rFonts w:ascii="Times New Roman" w:hAnsi="Times New Roman" w:cs="Times New Roman"/>
          <w:sz w:val="24"/>
          <w:szCs w:val="24"/>
          <w:lang w:val="en-GB"/>
        </w:rPr>
        <w:t>Higher scores indicate higher levels of health anxiety.</w:t>
      </w:r>
      <w:r w:rsidRPr="00B31A23">
        <w:rPr>
          <w:rFonts w:ascii="Times New Roman" w:hAnsi="Times New Roman" w:cs="Times New Roman"/>
          <w:sz w:val="24"/>
          <w:szCs w:val="24"/>
          <w:lang w:val="en-US"/>
        </w:rPr>
        <w:t xml:space="preserve"> </w:t>
      </w:r>
      <w:r w:rsidR="00B64209" w:rsidRPr="00B31A23">
        <w:rPr>
          <w:rFonts w:ascii="Times New Roman" w:hAnsi="Times New Roman" w:cs="Times New Roman"/>
          <w:sz w:val="24"/>
          <w:szCs w:val="24"/>
          <w:lang w:val="en-GB"/>
        </w:rPr>
        <w:t>In</w:t>
      </w:r>
      <w:r w:rsidR="00C63747" w:rsidRPr="00B31A23">
        <w:rPr>
          <w:rFonts w:ascii="Times New Roman" w:hAnsi="Times New Roman" w:cs="Times New Roman"/>
          <w:sz w:val="24"/>
          <w:szCs w:val="24"/>
          <w:lang w:val="en-GB"/>
        </w:rPr>
        <w:t xml:space="preserve"> this study the </w:t>
      </w:r>
      <w:r w:rsidR="00C63747" w:rsidRPr="00B31A23">
        <w:rPr>
          <w:rFonts w:ascii="Times New Roman" w:hAnsi="Times New Roman" w:cs="Times New Roman"/>
          <w:sz w:val="24"/>
          <w:szCs w:val="24"/>
          <w:lang w:val="en-US"/>
        </w:rPr>
        <w:t xml:space="preserve">HAI </w:t>
      </w:r>
      <w:r w:rsidR="00B64209" w:rsidRPr="00B31A23">
        <w:rPr>
          <w:rFonts w:ascii="Times New Roman" w:hAnsi="Times New Roman" w:cs="Times New Roman"/>
          <w:sz w:val="24"/>
          <w:szCs w:val="24"/>
          <w:lang w:val="en-US"/>
        </w:rPr>
        <w:t>had excellent</w:t>
      </w:r>
      <w:r w:rsidR="00C63747" w:rsidRPr="00B31A23">
        <w:rPr>
          <w:rFonts w:ascii="Times New Roman" w:hAnsi="Times New Roman" w:cs="Times New Roman"/>
          <w:sz w:val="24"/>
          <w:szCs w:val="24"/>
          <w:lang w:val="en-US"/>
        </w:rPr>
        <w:t xml:space="preserve"> internal consistency</w:t>
      </w:r>
      <w:r w:rsidR="00C63747" w:rsidRPr="00B31A23">
        <w:rPr>
          <w:rFonts w:ascii="Times New Roman" w:hAnsi="Times New Roman" w:cs="Times New Roman"/>
          <w:sz w:val="24"/>
          <w:szCs w:val="24"/>
          <w:lang w:val="en-GB"/>
        </w:rPr>
        <w:t xml:space="preserve"> (</w:t>
      </w:r>
      <w:r w:rsidR="00C63747" w:rsidRPr="00B31A23">
        <w:rPr>
          <w:rFonts w:ascii="Times New Roman" w:hAnsi="Times New Roman" w:cs="Times New Roman"/>
          <w:sz w:val="24"/>
          <w:szCs w:val="24"/>
        </w:rPr>
        <w:t>α</w:t>
      </w:r>
      <w:r w:rsidR="00C63747" w:rsidRPr="00B31A23">
        <w:rPr>
          <w:rFonts w:ascii="Times New Roman" w:hAnsi="Times New Roman" w:cs="Times New Roman"/>
          <w:sz w:val="24"/>
          <w:szCs w:val="24"/>
          <w:lang w:val="en-GB"/>
        </w:rPr>
        <w:t xml:space="preserve"> </w:t>
      </w:r>
      <w:r w:rsidR="00C63747" w:rsidRPr="00B31A23">
        <w:rPr>
          <w:rFonts w:ascii="Times New Roman" w:hAnsi="Times New Roman" w:cs="Times New Roman"/>
          <w:sz w:val="24"/>
          <w:szCs w:val="24"/>
          <w:lang w:val="en-US"/>
        </w:rPr>
        <w:t>= .95)</w:t>
      </w:r>
      <w:r w:rsidR="00C63747" w:rsidRPr="00B31A23">
        <w:rPr>
          <w:rFonts w:ascii="Times New Roman" w:hAnsi="Times New Roman" w:cs="Times New Roman"/>
          <w:sz w:val="24"/>
          <w:szCs w:val="24"/>
          <w:lang w:val="en-GB"/>
        </w:rPr>
        <w:t xml:space="preserve">. </w:t>
      </w:r>
    </w:p>
    <w:p w14:paraId="71C01F75" w14:textId="46C39103" w:rsidR="00C46378" w:rsidRPr="00B31A23" w:rsidRDefault="0073720E" w:rsidP="0068760D">
      <w:pPr>
        <w:pStyle w:val="Corpo"/>
        <w:spacing w:line="480" w:lineRule="auto"/>
        <w:ind w:firstLine="720"/>
        <w:jc w:val="both"/>
        <w:rPr>
          <w:rFonts w:ascii="Times New Roman" w:eastAsia="Times New Roman" w:hAnsi="Times New Roman" w:cs="Times New Roman"/>
          <w:sz w:val="24"/>
          <w:szCs w:val="24"/>
          <w:lang w:val="en-GB"/>
        </w:rPr>
      </w:pPr>
      <w:r w:rsidRPr="00B31A23">
        <w:rPr>
          <w:rFonts w:ascii="Times New Roman" w:hAnsi="Times New Roman" w:cs="Times New Roman"/>
          <w:i/>
          <w:iCs/>
          <w:sz w:val="24"/>
          <w:szCs w:val="24"/>
          <w:lang w:val="en-GB"/>
        </w:rPr>
        <w:t xml:space="preserve">Health Cognitions Questionnaire (HCQ; Hadjistavropoulos, Janzen, Kehler, Leclerc, Sharpe </w:t>
      </w:r>
      <w:r w:rsidRPr="00B31A23">
        <w:rPr>
          <w:rFonts w:ascii="Times New Roman" w:hAnsi="Times New Roman" w:cs="Times New Roman"/>
          <w:i/>
          <w:iCs/>
          <w:sz w:val="24"/>
          <w:szCs w:val="24"/>
          <w:lang w:val="fr-FR"/>
        </w:rPr>
        <w:t>&amp; Bourgault-Fagnou</w:t>
      </w:r>
      <w:r w:rsidRPr="00B31A23">
        <w:rPr>
          <w:rFonts w:ascii="Times New Roman" w:hAnsi="Times New Roman" w:cs="Times New Roman"/>
          <w:i/>
          <w:iCs/>
          <w:sz w:val="24"/>
          <w:szCs w:val="24"/>
          <w:lang w:val="en-GB"/>
        </w:rPr>
        <w:t>, 2012)</w:t>
      </w:r>
      <w:r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lang w:val="en-US"/>
        </w:rPr>
        <w:t>The HCQ</w:t>
      </w:r>
      <w:r w:rsidR="00C46378" w:rsidRPr="00B31A23">
        <w:rPr>
          <w:rFonts w:ascii="Times New Roman" w:hAnsi="Times New Roman" w:cs="Times New Roman"/>
          <w:sz w:val="24"/>
          <w:szCs w:val="24"/>
          <w:lang w:val="en-US"/>
        </w:rPr>
        <w:t xml:space="preserve"> has</w:t>
      </w:r>
      <w:r w:rsidRPr="00B31A23">
        <w:rPr>
          <w:rFonts w:ascii="Times New Roman" w:hAnsi="Times New Roman" w:cs="Times New Roman"/>
          <w:sz w:val="24"/>
          <w:szCs w:val="24"/>
          <w:lang w:val="en-US"/>
        </w:rPr>
        <w:t xml:space="preserve"> 20 items</w:t>
      </w:r>
      <w:r w:rsidR="00C46378" w:rsidRPr="00B31A23">
        <w:rPr>
          <w:rFonts w:ascii="Times New Roman" w:hAnsi="Times New Roman" w:cs="Times New Roman"/>
          <w:sz w:val="24"/>
          <w:szCs w:val="24"/>
          <w:lang w:val="en-US"/>
        </w:rPr>
        <w:t xml:space="preserve"> rated on a 5-point Likert frequency scale. The HCQ</w:t>
      </w:r>
      <w:r w:rsidRPr="00B31A23">
        <w:rPr>
          <w:rFonts w:ascii="Times New Roman" w:hAnsi="Times New Roman" w:cs="Times New Roman"/>
          <w:sz w:val="24"/>
          <w:szCs w:val="24"/>
          <w:lang w:val="en-US"/>
        </w:rPr>
        <w:t xml:space="preserve"> </w:t>
      </w:r>
      <w:r w:rsidR="00D90C9A" w:rsidRPr="00B31A23">
        <w:rPr>
          <w:rFonts w:ascii="Times New Roman" w:hAnsi="Times New Roman" w:cs="Times New Roman"/>
          <w:sz w:val="24"/>
          <w:szCs w:val="24"/>
          <w:lang w:val="en-US"/>
        </w:rPr>
        <w:t>has</w:t>
      </w:r>
      <w:r w:rsidRPr="00B31A23">
        <w:rPr>
          <w:rFonts w:ascii="Times New Roman" w:hAnsi="Times New Roman" w:cs="Times New Roman"/>
          <w:sz w:val="24"/>
          <w:szCs w:val="24"/>
          <w:lang w:val="en-US"/>
        </w:rPr>
        <w:t xml:space="preserve"> </w:t>
      </w:r>
      <w:r w:rsidR="00C46378" w:rsidRPr="00B31A23">
        <w:rPr>
          <w:rFonts w:ascii="Times New Roman" w:hAnsi="Times New Roman" w:cs="Times New Roman"/>
          <w:sz w:val="24"/>
          <w:szCs w:val="24"/>
          <w:lang w:val="en-US"/>
        </w:rPr>
        <w:t>four</w:t>
      </w:r>
      <w:r w:rsidRPr="00B31A23">
        <w:rPr>
          <w:rFonts w:ascii="Times New Roman" w:hAnsi="Times New Roman" w:cs="Times New Roman"/>
          <w:sz w:val="24"/>
          <w:szCs w:val="24"/>
          <w:lang w:val="en-US"/>
        </w:rPr>
        <w:t xml:space="preserve"> sub</w:t>
      </w:r>
      <w:r w:rsidRPr="00B31A23">
        <w:rPr>
          <w:rFonts w:ascii="Times New Roman" w:hAnsi="Times New Roman" w:cs="Times New Roman"/>
          <w:sz w:val="24"/>
          <w:szCs w:val="24"/>
          <w:lang w:val="en-GB"/>
        </w:rPr>
        <w:t>-</w:t>
      </w:r>
      <w:r w:rsidRPr="00B31A23">
        <w:rPr>
          <w:rFonts w:ascii="Times New Roman" w:hAnsi="Times New Roman" w:cs="Times New Roman"/>
          <w:sz w:val="24"/>
          <w:szCs w:val="24"/>
          <w:lang w:val="en-US"/>
        </w:rPr>
        <w:t>scales:</w:t>
      </w:r>
      <w:r w:rsidR="001F3BD7" w:rsidRPr="00B31A23">
        <w:rPr>
          <w:rFonts w:ascii="Times New Roman" w:hAnsi="Times New Roman" w:cs="Times New Roman"/>
          <w:sz w:val="24"/>
          <w:szCs w:val="24"/>
          <w:lang w:val="en-US"/>
        </w:rPr>
        <w:t xml:space="preserve"> </w:t>
      </w:r>
      <w:r w:rsidR="00C46378" w:rsidRPr="00B31A23">
        <w:rPr>
          <w:rFonts w:ascii="Times New Roman" w:hAnsi="Times New Roman" w:cs="Times New Roman"/>
          <w:sz w:val="24"/>
          <w:szCs w:val="24"/>
          <w:lang w:val="en-US"/>
        </w:rPr>
        <w:t xml:space="preserve">(1) </w:t>
      </w:r>
      <w:r w:rsidR="001F3BD7" w:rsidRPr="00B31A23">
        <w:rPr>
          <w:rFonts w:ascii="Times New Roman" w:hAnsi="Times New Roman" w:cs="Times New Roman"/>
          <w:sz w:val="24"/>
          <w:szCs w:val="24"/>
          <w:lang w:val="en-US"/>
        </w:rPr>
        <w:t>the</w:t>
      </w:r>
      <w:r w:rsidRPr="00B31A23">
        <w:rPr>
          <w:rFonts w:ascii="Times New Roman" w:hAnsi="Times New Roman" w:cs="Times New Roman"/>
          <w:sz w:val="24"/>
          <w:szCs w:val="24"/>
          <w:lang w:val="en-US"/>
        </w:rPr>
        <w:t xml:space="preserve"> likelihood of illness</w:t>
      </w:r>
      <w:r w:rsidR="006F5BEE" w:rsidRPr="00B31A23">
        <w:rPr>
          <w:rFonts w:ascii="Times New Roman" w:hAnsi="Times New Roman" w:cs="Times New Roman"/>
          <w:sz w:val="24"/>
          <w:szCs w:val="24"/>
          <w:lang w:val="en-US"/>
        </w:rPr>
        <w:t xml:space="preserve"> (e.g.</w:t>
      </w:r>
      <w:r w:rsidR="0093683F" w:rsidRPr="00B31A23">
        <w:rPr>
          <w:rFonts w:ascii="Times New Roman" w:hAnsi="Times New Roman" w:cs="Times New Roman"/>
          <w:sz w:val="24"/>
          <w:szCs w:val="24"/>
          <w:lang w:val="en-US"/>
        </w:rPr>
        <w:t>,</w:t>
      </w:r>
      <w:r w:rsidR="006F5BEE" w:rsidRPr="00B31A23">
        <w:rPr>
          <w:rFonts w:ascii="Times New Roman" w:hAnsi="Times New Roman" w:cs="Times New Roman"/>
          <w:sz w:val="24"/>
          <w:szCs w:val="24"/>
          <w:lang w:val="en-US"/>
        </w:rPr>
        <w:t xml:space="preserve"> “I feel I am likely to experience health problems”);</w:t>
      </w:r>
      <w:r w:rsidR="001F3BD7" w:rsidRPr="00B31A23">
        <w:rPr>
          <w:rFonts w:ascii="Times New Roman" w:hAnsi="Times New Roman" w:cs="Times New Roman"/>
          <w:sz w:val="24"/>
          <w:szCs w:val="24"/>
          <w:lang w:val="en-US"/>
        </w:rPr>
        <w:t xml:space="preserve"> </w:t>
      </w:r>
      <w:r w:rsidR="00C46378" w:rsidRPr="00B31A23">
        <w:rPr>
          <w:rFonts w:ascii="Times New Roman" w:hAnsi="Times New Roman" w:cs="Times New Roman"/>
          <w:sz w:val="24"/>
          <w:szCs w:val="24"/>
          <w:lang w:val="en-US"/>
        </w:rPr>
        <w:t xml:space="preserve">(2) </w:t>
      </w:r>
      <w:r w:rsidR="001F3BD7" w:rsidRPr="00B31A23">
        <w:rPr>
          <w:rFonts w:ascii="Times New Roman" w:hAnsi="Times New Roman" w:cs="Times New Roman"/>
          <w:sz w:val="24"/>
          <w:szCs w:val="24"/>
          <w:lang w:val="en-US"/>
        </w:rPr>
        <w:t>the</w:t>
      </w:r>
      <w:r w:rsidRPr="00B31A23">
        <w:rPr>
          <w:rFonts w:ascii="Times New Roman" w:hAnsi="Times New Roman" w:cs="Times New Roman"/>
          <w:sz w:val="24"/>
          <w:szCs w:val="24"/>
          <w:lang w:val="en-US"/>
        </w:rPr>
        <w:t xml:space="preserve"> awfulness of illness</w:t>
      </w:r>
      <w:r w:rsidR="006F5BEE" w:rsidRPr="00B31A23">
        <w:rPr>
          <w:rFonts w:ascii="Times New Roman" w:hAnsi="Times New Roman" w:cs="Times New Roman"/>
          <w:sz w:val="24"/>
          <w:szCs w:val="24"/>
          <w:lang w:val="en-US"/>
        </w:rPr>
        <w:t xml:space="preserve"> (e.g.</w:t>
      </w:r>
      <w:r w:rsidR="00017E27" w:rsidRPr="00B31A23">
        <w:rPr>
          <w:rFonts w:ascii="Times New Roman" w:hAnsi="Times New Roman" w:cs="Times New Roman"/>
          <w:sz w:val="24"/>
          <w:szCs w:val="24"/>
          <w:lang w:val="en-US"/>
        </w:rPr>
        <w:t>,</w:t>
      </w:r>
      <w:r w:rsidR="006F5BEE" w:rsidRPr="00B31A23">
        <w:rPr>
          <w:rFonts w:ascii="Times New Roman" w:hAnsi="Times New Roman" w:cs="Times New Roman"/>
          <w:sz w:val="24"/>
          <w:szCs w:val="24"/>
          <w:lang w:val="en-US"/>
        </w:rPr>
        <w:t xml:space="preserve"> </w:t>
      </w:r>
      <w:r w:rsidR="00D063DD" w:rsidRPr="00B31A23">
        <w:rPr>
          <w:rFonts w:ascii="Times New Roman" w:hAnsi="Times New Roman" w:cs="Times New Roman"/>
          <w:sz w:val="24"/>
          <w:szCs w:val="24"/>
          <w:lang w:val="en-US"/>
        </w:rPr>
        <w:t>“</w:t>
      </w:r>
      <w:r w:rsidR="006F5BEE" w:rsidRPr="00B31A23">
        <w:rPr>
          <w:rFonts w:ascii="Times New Roman" w:hAnsi="Times New Roman" w:cs="Times New Roman"/>
          <w:sz w:val="24"/>
          <w:szCs w:val="24"/>
          <w:lang w:val="en-US"/>
        </w:rPr>
        <w:t>Having a serious health condition would be awful</w:t>
      </w:r>
      <w:r w:rsidR="00D063DD" w:rsidRPr="00B31A23">
        <w:rPr>
          <w:rFonts w:ascii="Times New Roman" w:hAnsi="Times New Roman" w:cs="Times New Roman"/>
          <w:sz w:val="24"/>
          <w:szCs w:val="24"/>
          <w:lang w:val="en-US"/>
        </w:rPr>
        <w:t>”</w:t>
      </w:r>
      <w:r w:rsidR="00AF0EE6" w:rsidRPr="00B31A23">
        <w:rPr>
          <w:rFonts w:ascii="Times New Roman" w:hAnsi="Times New Roman" w:cs="Times New Roman"/>
          <w:sz w:val="24"/>
          <w:szCs w:val="24"/>
          <w:lang w:val="en-US"/>
        </w:rPr>
        <w:t xml:space="preserve">); </w:t>
      </w:r>
      <w:r w:rsidR="00C46378" w:rsidRPr="00B31A23">
        <w:rPr>
          <w:rFonts w:ascii="Times New Roman" w:hAnsi="Times New Roman" w:cs="Times New Roman"/>
          <w:sz w:val="24"/>
          <w:szCs w:val="24"/>
          <w:lang w:val="en-US"/>
        </w:rPr>
        <w:t xml:space="preserve">(3) </w:t>
      </w:r>
      <w:r w:rsidRPr="00B31A23">
        <w:rPr>
          <w:rFonts w:ascii="Times New Roman" w:hAnsi="Times New Roman" w:cs="Times New Roman"/>
          <w:sz w:val="24"/>
          <w:szCs w:val="24"/>
          <w:lang w:val="en-US"/>
        </w:rPr>
        <w:t xml:space="preserve">difficulty </w:t>
      </w:r>
      <w:r w:rsidR="00AF0EE6" w:rsidRPr="00B31A23">
        <w:rPr>
          <w:rFonts w:ascii="Times New Roman" w:hAnsi="Times New Roman" w:cs="Times New Roman"/>
          <w:sz w:val="24"/>
          <w:szCs w:val="24"/>
          <w:lang w:val="en-US"/>
        </w:rPr>
        <w:t xml:space="preserve">in </w:t>
      </w:r>
      <w:r w:rsidRPr="00B31A23">
        <w:rPr>
          <w:rFonts w:ascii="Times New Roman" w:hAnsi="Times New Roman" w:cs="Times New Roman"/>
          <w:sz w:val="24"/>
          <w:szCs w:val="24"/>
          <w:lang w:val="en-US"/>
        </w:rPr>
        <w:t>coping</w:t>
      </w:r>
      <w:r w:rsidR="00AF0EE6" w:rsidRPr="00B31A23">
        <w:rPr>
          <w:rFonts w:ascii="Times New Roman" w:hAnsi="Times New Roman" w:cs="Times New Roman"/>
          <w:sz w:val="24"/>
          <w:szCs w:val="24"/>
          <w:lang w:val="en-US"/>
        </w:rPr>
        <w:t xml:space="preserve"> (e.g.</w:t>
      </w:r>
      <w:r w:rsidR="00017E27" w:rsidRPr="00B31A23">
        <w:rPr>
          <w:rFonts w:ascii="Times New Roman" w:hAnsi="Times New Roman" w:cs="Times New Roman"/>
          <w:sz w:val="24"/>
          <w:szCs w:val="24"/>
          <w:lang w:val="en-US"/>
        </w:rPr>
        <w:t>,</w:t>
      </w:r>
      <w:r w:rsidR="00AF0EE6" w:rsidRPr="00B31A23">
        <w:rPr>
          <w:rFonts w:ascii="Times New Roman" w:hAnsi="Times New Roman" w:cs="Times New Roman"/>
          <w:sz w:val="24"/>
          <w:szCs w:val="24"/>
          <w:lang w:val="en-US"/>
        </w:rPr>
        <w:t xml:space="preserve"> “I am not sure that I can handle any serious health problem that I might develop in the future</w:t>
      </w:r>
      <w:r w:rsidR="009E78BC" w:rsidRPr="00B31A23">
        <w:rPr>
          <w:rFonts w:ascii="Times New Roman" w:hAnsi="Times New Roman" w:cs="Times New Roman"/>
          <w:sz w:val="24"/>
          <w:szCs w:val="24"/>
          <w:lang w:val="en-US"/>
        </w:rPr>
        <w:t>”</w:t>
      </w:r>
      <w:r w:rsidR="00AF0EE6" w:rsidRPr="00B31A23">
        <w:rPr>
          <w:rFonts w:ascii="Times New Roman" w:hAnsi="Times New Roman" w:cs="Times New Roman"/>
          <w:sz w:val="24"/>
          <w:szCs w:val="24"/>
          <w:lang w:val="en-US"/>
        </w:rPr>
        <w:t xml:space="preserve">); </w:t>
      </w:r>
      <w:r w:rsidRPr="00B31A23">
        <w:rPr>
          <w:rFonts w:ascii="Times New Roman" w:hAnsi="Times New Roman" w:cs="Times New Roman"/>
          <w:sz w:val="24"/>
          <w:szCs w:val="24"/>
          <w:lang w:val="en-US"/>
        </w:rPr>
        <w:t xml:space="preserve">and </w:t>
      </w:r>
      <w:r w:rsidR="00C46378" w:rsidRPr="00B31A23">
        <w:rPr>
          <w:rFonts w:ascii="Times New Roman" w:hAnsi="Times New Roman" w:cs="Times New Roman"/>
          <w:sz w:val="24"/>
          <w:szCs w:val="24"/>
          <w:lang w:val="en-US"/>
        </w:rPr>
        <w:t xml:space="preserve">(4) </w:t>
      </w:r>
      <w:r w:rsidRPr="00B31A23">
        <w:rPr>
          <w:rFonts w:ascii="Times New Roman" w:hAnsi="Times New Roman" w:cs="Times New Roman"/>
          <w:sz w:val="24"/>
          <w:szCs w:val="24"/>
          <w:lang w:val="en-US"/>
        </w:rPr>
        <w:t>medical service inadequacy</w:t>
      </w:r>
      <w:r w:rsidR="00AF0EE6" w:rsidRPr="00B31A23">
        <w:rPr>
          <w:rFonts w:ascii="Times New Roman" w:hAnsi="Times New Roman" w:cs="Times New Roman"/>
          <w:sz w:val="24"/>
          <w:szCs w:val="24"/>
          <w:lang w:val="en-US"/>
        </w:rPr>
        <w:t xml:space="preserve"> (e.g.</w:t>
      </w:r>
      <w:r w:rsidR="00017E27" w:rsidRPr="00B31A23">
        <w:rPr>
          <w:rFonts w:ascii="Times New Roman" w:hAnsi="Times New Roman" w:cs="Times New Roman"/>
          <w:sz w:val="24"/>
          <w:szCs w:val="24"/>
          <w:lang w:val="en-US"/>
        </w:rPr>
        <w:t>,</w:t>
      </w:r>
      <w:r w:rsidR="00AF0EE6" w:rsidRPr="00B31A23">
        <w:rPr>
          <w:rFonts w:ascii="Times New Roman" w:hAnsi="Times New Roman" w:cs="Times New Roman"/>
          <w:sz w:val="24"/>
          <w:szCs w:val="24"/>
          <w:lang w:val="en-US"/>
        </w:rPr>
        <w:t xml:space="preserve"> “I do not have confidence in the health care system”)</w:t>
      </w:r>
      <w:r w:rsidRPr="00B31A23">
        <w:rPr>
          <w:rFonts w:ascii="Times New Roman" w:hAnsi="Times New Roman" w:cs="Times New Roman"/>
          <w:sz w:val="24"/>
          <w:szCs w:val="24"/>
          <w:lang w:val="en-US"/>
        </w:rPr>
        <w:t xml:space="preserve">. </w:t>
      </w:r>
      <w:r w:rsidR="00C46378" w:rsidRPr="00B31A23">
        <w:rPr>
          <w:rFonts w:ascii="Times New Roman" w:hAnsi="Times New Roman" w:cs="Times New Roman"/>
          <w:sz w:val="24"/>
          <w:szCs w:val="24"/>
          <w:lang w:val="en-US"/>
        </w:rPr>
        <w:t xml:space="preserve">Higher scores indicate higher levels of health cognitions. </w:t>
      </w:r>
      <w:r w:rsidR="00B64209" w:rsidRPr="00B31A23">
        <w:rPr>
          <w:rFonts w:ascii="Times New Roman" w:hAnsi="Times New Roman" w:cs="Times New Roman"/>
          <w:sz w:val="24"/>
          <w:szCs w:val="24"/>
          <w:lang w:val="en-GB"/>
        </w:rPr>
        <w:t>In</w:t>
      </w:r>
      <w:r w:rsidR="00C46378" w:rsidRPr="00B31A23">
        <w:rPr>
          <w:rFonts w:ascii="Times New Roman" w:hAnsi="Times New Roman" w:cs="Times New Roman"/>
          <w:sz w:val="24"/>
          <w:szCs w:val="24"/>
          <w:lang w:val="en-GB"/>
        </w:rPr>
        <w:t xml:space="preserve"> this study the </w:t>
      </w:r>
      <w:r w:rsidR="00C46378" w:rsidRPr="00B31A23">
        <w:rPr>
          <w:rFonts w:ascii="Times New Roman" w:hAnsi="Times New Roman" w:cs="Times New Roman"/>
          <w:sz w:val="24"/>
          <w:szCs w:val="24"/>
          <w:lang w:val="en-US"/>
        </w:rPr>
        <w:t xml:space="preserve">HAI </w:t>
      </w:r>
      <w:r w:rsidR="00B64209" w:rsidRPr="00B31A23">
        <w:rPr>
          <w:rFonts w:ascii="Times New Roman" w:hAnsi="Times New Roman" w:cs="Times New Roman"/>
          <w:sz w:val="24"/>
          <w:szCs w:val="24"/>
          <w:lang w:val="en-US"/>
        </w:rPr>
        <w:t>had</w:t>
      </w:r>
      <w:r w:rsidR="00C46378" w:rsidRPr="00B31A23">
        <w:rPr>
          <w:rFonts w:ascii="Times New Roman" w:hAnsi="Times New Roman" w:cs="Times New Roman"/>
          <w:sz w:val="24"/>
          <w:szCs w:val="24"/>
          <w:lang w:val="en-US"/>
        </w:rPr>
        <w:t xml:space="preserve"> adequate internal consistency</w:t>
      </w:r>
      <w:r w:rsidR="00C46378" w:rsidRPr="00B31A23">
        <w:rPr>
          <w:rFonts w:ascii="Times New Roman" w:hAnsi="Times New Roman" w:cs="Times New Roman"/>
          <w:sz w:val="24"/>
          <w:szCs w:val="24"/>
          <w:lang w:val="en-GB"/>
        </w:rPr>
        <w:t xml:space="preserve"> (</w:t>
      </w:r>
      <w:r w:rsidR="00C46378" w:rsidRPr="00B31A23">
        <w:rPr>
          <w:rFonts w:ascii="Times New Roman" w:hAnsi="Times New Roman" w:cs="Times New Roman"/>
          <w:sz w:val="24"/>
          <w:szCs w:val="24"/>
        </w:rPr>
        <w:t>α</w:t>
      </w:r>
      <w:r w:rsidR="00C46378" w:rsidRPr="00B31A23">
        <w:rPr>
          <w:rFonts w:ascii="Times New Roman" w:hAnsi="Times New Roman" w:cs="Times New Roman"/>
          <w:sz w:val="24"/>
          <w:szCs w:val="24"/>
          <w:lang w:val="en-GB"/>
        </w:rPr>
        <w:t xml:space="preserve"> </w:t>
      </w:r>
      <w:r w:rsidR="00C46378" w:rsidRPr="00B31A23">
        <w:rPr>
          <w:rFonts w:ascii="Times New Roman" w:hAnsi="Times New Roman" w:cs="Times New Roman"/>
          <w:sz w:val="24"/>
          <w:szCs w:val="24"/>
          <w:lang w:val="en-US"/>
        </w:rPr>
        <w:t>= .79)</w:t>
      </w:r>
      <w:r w:rsidR="00C46378" w:rsidRPr="00B31A23">
        <w:rPr>
          <w:rFonts w:ascii="Times New Roman" w:hAnsi="Times New Roman" w:cs="Times New Roman"/>
          <w:sz w:val="24"/>
          <w:szCs w:val="24"/>
          <w:lang w:val="en-GB"/>
        </w:rPr>
        <w:t xml:space="preserve">. </w:t>
      </w:r>
    </w:p>
    <w:p w14:paraId="640D1F72" w14:textId="20EAA8B3" w:rsidR="00204C9A" w:rsidRPr="00B31A23" w:rsidRDefault="004020C1" w:rsidP="0068760D">
      <w:pPr>
        <w:pStyle w:val="Corpo"/>
        <w:spacing w:line="480" w:lineRule="auto"/>
        <w:ind w:firstLine="720"/>
        <w:jc w:val="both"/>
        <w:rPr>
          <w:rFonts w:ascii="Times New Roman" w:hAnsi="Times New Roman" w:cs="Times New Roman"/>
          <w:sz w:val="24"/>
          <w:szCs w:val="24"/>
          <w:lang w:val="en-GB"/>
        </w:rPr>
      </w:pPr>
      <w:r w:rsidRPr="00B31A23">
        <w:rPr>
          <w:rFonts w:ascii="Times New Roman" w:hAnsi="Times New Roman" w:cs="Times New Roman"/>
          <w:i/>
          <w:iCs/>
          <w:sz w:val="24"/>
          <w:szCs w:val="24"/>
          <w:lang w:val="fr-FR"/>
        </w:rPr>
        <w:t>Metacognitions Questionnaire-Health Anxiety (MCQ-HA; Bailey &amp; Wells, 2015)</w:t>
      </w:r>
      <w:r w:rsidRPr="00B31A23">
        <w:rPr>
          <w:rFonts w:ascii="Times New Roman" w:hAnsi="Times New Roman" w:cs="Times New Roman"/>
          <w:i/>
          <w:iCs/>
          <w:sz w:val="24"/>
          <w:szCs w:val="24"/>
          <w:lang w:val="en-GB"/>
        </w:rPr>
        <w:t>.</w:t>
      </w:r>
      <w:r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lang w:val="en-US"/>
        </w:rPr>
        <w:t xml:space="preserve">The MCQ-HA </w:t>
      </w:r>
      <w:r w:rsidR="00D90C9A" w:rsidRPr="00B31A23">
        <w:rPr>
          <w:rFonts w:ascii="Times New Roman" w:hAnsi="Times New Roman" w:cs="Times New Roman"/>
          <w:sz w:val="24"/>
          <w:szCs w:val="24"/>
          <w:lang w:val="en-US"/>
        </w:rPr>
        <w:t>has</w:t>
      </w:r>
      <w:r w:rsidRPr="00B31A23">
        <w:rPr>
          <w:rFonts w:ascii="Times New Roman" w:hAnsi="Times New Roman" w:cs="Times New Roman"/>
          <w:sz w:val="24"/>
          <w:szCs w:val="24"/>
          <w:lang w:val="en-US"/>
        </w:rPr>
        <w:t xml:space="preserve"> 14 items</w:t>
      </w:r>
      <w:r w:rsidR="00D90C9A" w:rsidRPr="00B31A23">
        <w:rPr>
          <w:rFonts w:ascii="Times New Roman" w:hAnsi="Times New Roman" w:cs="Times New Roman"/>
          <w:sz w:val="24"/>
          <w:szCs w:val="24"/>
          <w:lang w:val="en-US"/>
        </w:rPr>
        <w:t xml:space="preserve"> rated on a 4-point Likert frequency scale</w:t>
      </w:r>
      <w:r w:rsidRPr="00B31A23">
        <w:rPr>
          <w:rFonts w:ascii="Times New Roman" w:hAnsi="Times New Roman" w:cs="Times New Roman"/>
          <w:sz w:val="24"/>
          <w:szCs w:val="24"/>
          <w:lang w:val="en-US"/>
        </w:rPr>
        <w:t xml:space="preserve">. The </w:t>
      </w:r>
      <w:r w:rsidR="00D90C9A" w:rsidRPr="00B31A23">
        <w:rPr>
          <w:rFonts w:ascii="Times New Roman" w:hAnsi="Times New Roman" w:cs="Times New Roman"/>
          <w:sz w:val="24"/>
          <w:szCs w:val="24"/>
          <w:lang w:val="en-US"/>
        </w:rPr>
        <w:t>MCQ-HA has</w:t>
      </w:r>
      <w:r w:rsidRPr="00B31A23">
        <w:rPr>
          <w:rFonts w:ascii="Times New Roman" w:hAnsi="Times New Roman" w:cs="Times New Roman"/>
          <w:sz w:val="24"/>
          <w:szCs w:val="24"/>
          <w:lang w:val="en-US"/>
        </w:rPr>
        <w:t xml:space="preserve"> </w:t>
      </w:r>
      <w:r w:rsidR="00D90C9A" w:rsidRPr="00B31A23">
        <w:rPr>
          <w:rFonts w:ascii="Times New Roman" w:hAnsi="Times New Roman" w:cs="Times New Roman"/>
          <w:sz w:val="24"/>
          <w:szCs w:val="24"/>
          <w:lang w:val="en-US"/>
        </w:rPr>
        <w:t>three sub-</w:t>
      </w:r>
      <w:r w:rsidR="00D90C9A" w:rsidRPr="00B31A23">
        <w:rPr>
          <w:rFonts w:ascii="Times New Roman" w:hAnsi="Times New Roman" w:cs="Times New Roman"/>
          <w:sz w:val="24"/>
          <w:szCs w:val="24"/>
          <w:lang w:val="en-US"/>
        </w:rPr>
        <w:lastRenderedPageBreak/>
        <w:t>scales: (1)</w:t>
      </w:r>
      <w:r w:rsidRPr="00B31A23">
        <w:rPr>
          <w:rFonts w:ascii="Times New Roman" w:hAnsi="Times New Roman" w:cs="Times New Roman"/>
          <w:sz w:val="24"/>
          <w:szCs w:val="24"/>
          <w:lang w:val="en-US"/>
        </w:rPr>
        <w:t xml:space="preserve"> </w:t>
      </w:r>
      <w:r w:rsidR="00D90C9A" w:rsidRPr="00B31A23">
        <w:rPr>
          <w:rFonts w:ascii="Times New Roman" w:hAnsi="Times New Roman" w:cs="Times New Roman"/>
          <w:sz w:val="24"/>
          <w:szCs w:val="24"/>
          <w:lang w:val="en-US"/>
        </w:rPr>
        <w:t>metacognitions about</w:t>
      </w:r>
      <w:r w:rsidRPr="00B31A23">
        <w:rPr>
          <w:rFonts w:ascii="Times New Roman" w:hAnsi="Times New Roman" w:cs="Times New Roman"/>
          <w:sz w:val="24"/>
          <w:szCs w:val="24"/>
          <w:lang w:val="en-US"/>
        </w:rPr>
        <w:t xml:space="preserve"> biased thinking (e.g.</w:t>
      </w:r>
      <w:r w:rsidR="007877CA" w:rsidRPr="00B31A23">
        <w:rPr>
          <w:rFonts w:ascii="Times New Roman" w:hAnsi="Times New Roman" w:cs="Times New Roman"/>
          <w:sz w:val="24"/>
          <w:szCs w:val="24"/>
          <w:lang w:val="en-US"/>
        </w:rPr>
        <w:t>,</w:t>
      </w:r>
      <w:r w:rsidRPr="00B31A23">
        <w:rPr>
          <w:rFonts w:ascii="Times New Roman" w:hAnsi="Times New Roman" w:cs="Times New Roman"/>
          <w:sz w:val="24"/>
          <w:szCs w:val="24"/>
          <w:lang w:val="en-US"/>
        </w:rPr>
        <w:t xml:space="preserve"> “Worrying about illness is likely to make it happen”); </w:t>
      </w:r>
      <w:r w:rsidR="00D90C9A" w:rsidRPr="00B31A23">
        <w:rPr>
          <w:rFonts w:ascii="Times New Roman" w:hAnsi="Times New Roman" w:cs="Times New Roman"/>
          <w:sz w:val="24"/>
          <w:szCs w:val="24"/>
          <w:lang w:val="en-US"/>
        </w:rPr>
        <w:t xml:space="preserve">metacognitions about </w:t>
      </w:r>
      <w:r w:rsidRPr="00B31A23">
        <w:rPr>
          <w:rFonts w:ascii="Times New Roman" w:hAnsi="Times New Roman" w:cs="Times New Roman"/>
          <w:sz w:val="24"/>
          <w:szCs w:val="24"/>
          <w:lang w:val="en-US"/>
        </w:rPr>
        <w:t>thought illness fusion (e.g.</w:t>
      </w:r>
      <w:r w:rsidR="003A5C4B" w:rsidRPr="00B31A23">
        <w:rPr>
          <w:rFonts w:ascii="Times New Roman" w:hAnsi="Times New Roman" w:cs="Times New Roman"/>
          <w:sz w:val="24"/>
          <w:szCs w:val="24"/>
          <w:lang w:val="en-US"/>
        </w:rPr>
        <w:t>,</w:t>
      </w:r>
      <w:r w:rsidRPr="00B31A23">
        <w:rPr>
          <w:rFonts w:ascii="Times New Roman" w:hAnsi="Times New Roman" w:cs="Times New Roman"/>
          <w:sz w:val="24"/>
          <w:szCs w:val="24"/>
          <w:lang w:val="en-US"/>
        </w:rPr>
        <w:t xml:space="preserve"> “If I think positively about physical </w:t>
      </w:r>
      <w:r w:rsidR="003A5C4B" w:rsidRPr="00B31A23">
        <w:rPr>
          <w:rFonts w:ascii="Times New Roman" w:hAnsi="Times New Roman" w:cs="Times New Roman"/>
          <w:sz w:val="24"/>
          <w:szCs w:val="24"/>
          <w:lang w:val="en-US"/>
        </w:rPr>
        <w:t>symptoms,</w:t>
      </w:r>
      <w:r w:rsidRPr="00B31A23">
        <w:rPr>
          <w:rFonts w:ascii="Times New Roman" w:hAnsi="Times New Roman" w:cs="Times New Roman"/>
          <w:sz w:val="24"/>
          <w:szCs w:val="24"/>
          <w:lang w:val="en-US"/>
        </w:rPr>
        <w:t xml:space="preserve"> I will be caught off guard”)</w:t>
      </w:r>
      <w:r w:rsidR="00D90C9A" w:rsidRPr="00B31A23">
        <w:rPr>
          <w:rFonts w:ascii="Times New Roman" w:hAnsi="Times New Roman" w:cs="Times New Roman"/>
          <w:sz w:val="24"/>
          <w:szCs w:val="24"/>
          <w:lang w:val="en-US"/>
        </w:rPr>
        <w:t>;</w:t>
      </w:r>
      <w:r w:rsidRPr="00B31A23">
        <w:rPr>
          <w:rFonts w:ascii="Times New Roman" w:hAnsi="Times New Roman" w:cs="Times New Roman"/>
          <w:sz w:val="24"/>
          <w:szCs w:val="24"/>
          <w:lang w:val="en-US"/>
        </w:rPr>
        <w:t xml:space="preserve"> and </w:t>
      </w:r>
      <w:r w:rsidR="00D90C9A" w:rsidRPr="00B31A23">
        <w:rPr>
          <w:rFonts w:ascii="Times New Roman" w:hAnsi="Times New Roman" w:cs="Times New Roman"/>
          <w:sz w:val="24"/>
          <w:szCs w:val="24"/>
          <w:lang w:val="en-US"/>
        </w:rPr>
        <w:t xml:space="preserve">(3) metacognitions about the </w:t>
      </w:r>
      <w:r w:rsidRPr="00B31A23">
        <w:rPr>
          <w:rFonts w:ascii="Times New Roman" w:hAnsi="Times New Roman" w:cs="Times New Roman"/>
          <w:sz w:val="24"/>
          <w:szCs w:val="24"/>
          <w:lang w:val="en-US"/>
        </w:rPr>
        <w:t>uncontrollability of thoughts (</w:t>
      </w:r>
      <w:r w:rsidR="003A5C4B" w:rsidRPr="00B31A23">
        <w:rPr>
          <w:rFonts w:ascii="Times New Roman" w:hAnsi="Times New Roman" w:cs="Times New Roman"/>
          <w:sz w:val="24"/>
          <w:szCs w:val="24"/>
          <w:lang w:val="en-US"/>
        </w:rPr>
        <w:t>e.g.,</w:t>
      </w:r>
      <w:r w:rsidRPr="00B31A23">
        <w:rPr>
          <w:rFonts w:ascii="Times New Roman" w:hAnsi="Times New Roman" w:cs="Times New Roman"/>
          <w:sz w:val="24"/>
          <w:szCs w:val="24"/>
          <w:lang w:val="en-US"/>
        </w:rPr>
        <w:t xml:space="preserve"> “I have no control over thinking about my health”).</w:t>
      </w:r>
      <w:r w:rsidR="00204C9A" w:rsidRPr="00B31A23">
        <w:rPr>
          <w:rFonts w:ascii="Times New Roman" w:hAnsi="Times New Roman" w:cs="Times New Roman"/>
          <w:sz w:val="24"/>
          <w:szCs w:val="24"/>
          <w:lang w:val="en-US"/>
        </w:rPr>
        <w:t xml:space="preserve"> Higher scores indicate higher levels of metacognitions about health anxiety. </w:t>
      </w:r>
      <w:r w:rsidR="00B64209" w:rsidRPr="00B31A23">
        <w:rPr>
          <w:rFonts w:ascii="Times New Roman" w:hAnsi="Times New Roman" w:cs="Times New Roman"/>
          <w:sz w:val="24"/>
          <w:szCs w:val="24"/>
          <w:lang w:val="en-GB"/>
        </w:rPr>
        <w:t xml:space="preserve">In this </w:t>
      </w:r>
      <w:r w:rsidR="00204C9A" w:rsidRPr="00B31A23">
        <w:rPr>
          <w:rFonts w:ascii="Times New Roman" w:hAnsi="Times New Roman" w:cs="Times New Roman"/>
          <w:sz w:val="24"/>
          <w:szCs w:val="24"/>
          <w:lang w:val="en-GB"/>
        </w:rPr>
        <w:t xml:space="preserve">study the </w:t>
      </w:r>
      <w:r w:rsidR="00204C9A" w:rsidRPr="00B31A23">
        <w:rPr>
          <w:rFonts w:ascii="Times New Roman" w:hAnsi="Times New Roman" w:cs="Times New Roman"/>
          <w:sz w:val="24"/>
          <w:szCs w:val="24"/>
          <w:lang w:val="en-US"/>
        </w:rPr>
        <w:t xml:space="preserve">MCQ-HA </w:t>
      </w:r>
      <w:r w:rsidR="00B64209" w:rsidRPr="00B31A23">
        <w:rPr>
          <w:rFonts w:ascii="Times New Roman" w:hAnsi="Times New Roman" w:cs="Times New Roman"/>
          <w:sz w:val="24"/>
          <w:szCs w:val="24"/>
          <w:lang w:val="en-US"/>
        </w:rPr>
        <w:t>had</w:t>
      </w:r>
      <w:r w:rsidR="00204C9A" w:rsidRPr="00B31A23">
        <w:rPr>
          <w:rFonts w:ascii="Times New Roman" w:hAnsi="Times New Roman" w:cs="Times New Roman"/>
          <w:sz w:val="24"/>
          <w:szCs w:val="24"/>
          <w:lang w:val="en-US"/>
        </w:rPr>
        <w:t xml:space="preserve"> adequate internal consistency</w:t>
      </w:r>
      <w:r w:rsidR="00204C9A" w:rsidRPr="00B31A23">
        <w:rPr>
          <w:rFonts w:ascii="Times New Roman" w:hAnsi="Times New Roman" w:cs="Times New Roman"/>
          <w:sz w:val="24"/>
          <w:szCs w:val="24"/>
          <w:lang w:val="en-GB"/>
        </w:rPr>
        <w:t xml:space="preserve"> (</w:t>
      </w:r>
      <w:r w:rsidR="00204C9A" w:rsidRPr="00B31A23">
        <w:rPr>
          <w:rFonts w:ascii="Times New Roman" w:hAnsi="Times New Roman" w:cs="Times New Roman"/>
          <w:sz w:val="24"/>
          <w:szCs w:val="24"/>
        </w:rPr>
        <w:t>α</w:t>
      </w:r>
      <w:r w:rsidR="00204C9A" w:rsidRPr="00B31A23">
        <w:rPr>
          <w:rFonts w:ascii="Times New Roman" w:hAnsi="Times New Roman" w:cs="Times New Roman"/>
          <w:sz w:val="24"/>
          <w:szCs w:val="24"/>
          <w:lang w:val="en-GB"/>
        </w:rPr>
        <w:t xml:space="preserve"> </w:t>
      </w:r>
      <w:r w:rsidR="00204C9A" w:rsidRPr="00B31A23">
        <w:rPr>
          <w:rFonts w:ascii="Times New Roman" w:hAnsi="Times New Roman" w:cs="Times New Roman"/>
          <w:sz w:val="24"/>
          <w:szCs w:val="24"/>
          <w:lang w:val="en-US"/>
        </w:rPr>
        <w:t>= .</w:t>
      </w:r>
      <w:r w:rsidR="00C6268A" w:rsidRPr="00B31A23">
        <w:rPr>
          <w:rFonts w:ascii="Times New Roman" w:hAnsi="Times New Roman" w:cs="Times New Roman"/>
          <w:sz w:val="24"/>
          <w:szCs w:val="24"/>
          <w:lang w:val="en-US"/>
        </w:rPr>
        <w:t>77</w:t>
      </w:r>
      <w:r w:rsidR="00204C9A" w:rsidRPr="00B31A23">
        <w:rPr>
          <w:rFonts w:ascii="Times New Roman" w:hAnsi="Times New Roman" w:cs="Times New Roman"/>
          <w:sz w:val="24"/>
          <w:szCs w:val="24"/>
          <w:lang w:val="en-US"/>
        </w:rPr>
        <w:t>)</w:t>
      </w:r>
      <w:r w:rsidR="00204C9A" w:rsidRPr="00B31A23">
        <w:rPr>
          <w:rFonts w:ascii="Times New Roman" w:hAnsi="Times New Roman" w:cs="Times New Roman"/>
          <w:sz w:val="24"/>
          <w:szCs w:val="24"/>
          <w:lang w:val="en-GB"/>
        </w:rPr>
        <w:t xml:space="preserve">. </w:t>
      </w:r>
    </w:p>
    <w:p w14:paraId="57EEB831" w14:textId="08BF2F97" w:rsidR="00094336" w:rsidRPr="00B31A23" w:rsidRDefault="0073720E">
      <w:pPr>
        <w:pStyle w:val="Corpo"/>
        <w:spacing w:line="480" w:lineRule="auto"/>
        <w:jc w:val="both"/>
        <w:rPr>
          <w:rFonts w:ascii="Times New Roman" w:hAnsi="Times New Roman" w:cs="Times New Roman"/>
          <w:b/>
          <w:bCs/>
          <w:sz w:val="24"/>
          <w:szCs w:val="24"/>
          <w:lang w:val="en-GB"/>
        </w:rPr>
      </w:pPr>
      <w:r w:rsidRPr="00B31A23">
        <w:rPr>
          <w:rFonts w:ascii="Times New Roman" w:hAnsi="Times New Roman" w:cs="Times New Roman"/>
          <w:b/>
          <w:bCs/>
          <w:sz w:val="24"/>
          <w:szCs w:val="24"/>
          <w:lang w:val="en-GB"/>
        </w:rPr>
        <w:t xml:space="preserve">Data </w:t>
      </w:r>
      <w:r w:rsidR="00DA0070" w:rsidRPr="00B31A23">
        <w:rPr>
          <w:rFonts w:ascii="Times New Roman" w:hAnsi="Times New Roman" w:cs="Times New Roman"/>
          <w:b/>
          <w:bCs/>
          <w:sz w:val="24"/>
          <w:szCs w:val="24"/>
          <w:lang w:val="en-GB"/>
        </w:rPr>
        <w:t>Analysis</w:t>
      </w:r>
    </w:p>
    <w:p w14:paraId="45EA81EF" w14:textId="798DACC4" w:rsidR="00BE0045" w:rsidRPr="00B31A23" w:rsidRDefault="00204C9A" w:rsidP="0068760D">
      <w:pPr>
        <w:pStyle w:val="Corpo"/>
        <w:spacing w:line="480" w:lineRule="auto"/>
        <w:ind w:firstLine="720"/>
        <w:jc w:val="both"/>
        <w:rPr>
          <w:rFonts w:ascii="Times New Roman" w:eastAsia="Times New Roman" w:hAnsi="Times New Roman" w:cs="Times New Roman"/>
          <w:sz w:val="24"/>
          <w:szCs w:val="24"/>
          <w:lang w:val="en-GB"/>
        </w:rPr>
      </w:pPr>
      <w:r w:rsidRPr="00B31A23">
        <w:rPr>
          <w:rFonts w:ascii="Times New Roman" w:hAnsi="Times New Roman" w:cs="Times New Roman"/>
          <w:sz w:val="24"/>
          <w:szCs w:val="24"/>
          <w:lang w:val="en-US"/>
        </w:rPr>
        <w:t>A</w:t>
      </w:r>
      <w:r w:rsidR="00067C2C" w:rsidRPr="00B31A23">
        <w:rPr>
          <w:rFonts w:ascii="Times New Roman" w:hAnsi="Times New Roman" w:cs="Times New Roman"/>
          <w:sz w:val="24"/>
          <w:szCs w:val="24"/>
          <w:lang w:val="en-US"/>
        </w:rPr>
        <w:t xml:space="preserve"> preliminary analysis was conducted to inspect descriptive statistics and </w:t>
      </w:r>
      <w:r w:rsidR="00DA0070" w:rsidRPr="00B31A23">
        <w:rPr>
          <w:rFonts w:ascii="Times New Roman" w:hAnsi="Times New Roman" w:cs="Times New Roman"/>
          <w:sz w:val="24"/>
          <w:szCs w:val="24"/>
          <w:lang w:val="en-US"/>
        </w:rPr>
        <w:t>bivariate</w:t>
      </w:r>
      <w:r w:rsidR="00067C2C" w:rsidRPr="00B31A23">
        <w:rPr>
          <w:rFonts w:ascii="Times New Roman" w:hAnsi="Times New Roman" w:cs="Times New Roman"/>
          <w:sz w:val="24"/>
          <w:szCs w:val="24"/>
          <w:lang w:val="en-US"/>
        </w:rPr>
        <w:t xml:space="preserve"> correlations between the independent variables and the dependent variable. Secondly, </w:t>
      </w:r>
      <w:r w:rsidR="0068760D" w:rsidRPr="00B31A23">
        <w:rPr>
          <w:rFonts w:ascii="Times New Roman" w:hAnsi="Times New Roman" w:cs="Times New Roman"/>
          <w:sz w:val="24"/>
          <w:szCs w:val="24"/>
          <w:lang w:val="en-US"/>
        </w:rPr>
        <w:t xml:space="preserve">and </w:t>
      </w:r>
      <w:r w:rsidR="00067C2C" w:rsidRPr="00B31A23">
        <w:rPr>
          <w:rFonts w:ascii="Times New Roman" w:hAnsi="Times New Roman" w:cs="Times New Roman"/>
          <w:sz w:val="24"/>
          <w:szCs w:val="24"/>
          <w:lang w:val="en-US"/>
        </w:rPr>
        <w:t>on the basis of the obtained outcomes, a hierarchical linear regression analysis was performed to evaluate</w:t>
      </w:r>
      <w:r w:rsidRPr="00B31A23">
        <w:rPr>
          <w:rFonts w:ascii="Times New Roman" w:hAnsi="Times New Roman" w:cs="Times New Roman"/>
          <w:sz w:val="24"/>
          <w:szCs w:val="24"/>
          <w:lang w:val="en-US"/>
        </w:rPr>
        <w:t xml:space="preserve"> the relative contribution of </w:t>
      </w:r>
      <w:r w:rsidR="00067C2C" w:rsidRPr="00B31A23">
        <w:rPr>
          <w:rFonts w:ascii="Times New Roman" w:hAnsi="Times New Roman" w:cs="Times New Roman"/>
          <w:sz w:val="24"/>
          <w:szCs w:val="24"/>
          <w:lang w:val="en-US"/>
        </w:rPr>
        <w:t xml:space="preserve">the potential predictors of </w:t>
      </w:r>
      <w:r w:rsidR="00C2554A" w:rsidRPr="00B31A23">
        <w:rPr>
          <w:rFonts w:ascii="Times New Roman" w:hAnsi="Times New Roman" w:cs="Times New Roman"/>
          <w:sz w:val="24"/>
          <w:szCs w:val="24"/>
          <w:lang w:val="en-US"/>
        </w:rPr>
        <w:t>prospective Cyberchondria scores</w:t>
      </w:r>
      <w:r w:rsidR="00067C2C" w:rsidRPr="00B31A23">
        <w:rPr>
          <w:rFonts w:ascii="Times New Roman" w:hAnsi="Times New Roman" w:cs="Times New Roman"/>
          <w:sz w:val="24"/>
          <w:szCs w:val="24"/>
          <w:lang w:val="en-US"/>
        </w:rPr>
        <w:t>.</w:t>
      </w:r>
      <w:r w:rsidR="00BE0045" w:rsidRPr="00B31A23">
        <w:rPr>
          <w:rFonts w:ascii="Times New Roman" w:eastAsia="Times New Roman" w:hAnsi="Times New Roman" w:cs="Times New Roman"/>
          <w:sz w:val="24"/>
          <w:szCs w:val="24"/>
          <w:lang w:val="en-GB"/>
        </w:rPr>
        <w:t xml:space="preserve"> Statistical analyses were performed with SPSS version 26.0</w:t>
      </w:r>
      <w:r w:rsidR="00EF1AC0" w:rsidRPr="00B31A23">
        <w:rPr>
          <w:rFonts w:ascii="Times New Roman" w:eastAsia="Times New Roman" w:hAnsi="Times New Roman" w:cs="Times New Roman"/>
          <w:sz w:val="24"/>
          <w:szCs w:val="24"/>
          <w:lang w:val="en-GB"/>
        </w:rPr>
        <w:t xml:space="preserve"> </w:t>
      </w:r>
      <w:r w:rsidR="007A7E40" w:rsidRPr="00B31A23">
        <w:rPr>
          <w:rFonts w:ascii="Times New Roman" w:hAnsi="Times New Roman" w:cs="Times New Roman"/>
          <w:sz w:val="24"/>
          <w:szCs w:val="24"/>
        </w:rPr>
        <w:t>(</w:t>
      </w:r>
      <w:r w:rsidR="00EF1AC0" w:rsidRPr="00B31A23">
        <w:rPr>
          <w:rFonts w:ascii="Times New Roman" w:hAnsi="Times New Roman" w:cs="Times New Roman"/>
          <w:noProof/>
          <w:sz w:val="24"/>
          <w:szCs w:val="24"/>
        </w:rPr>
        <w:t>IBM Corp, 2019</w:t>
      </w:r>
      <w:r w:rsidR="00EF1AC0" w:rsidRPr="00B31A23">
        <w:rPr>
          <w:rFonts w:ascii="Times New Roman" w:hAnsi="Times New Roman" w:cs="Times New Roman"/>
          <w:sz w:val="24"/>
          <w:szCs w:val="24"/>
        </w:rPr>
        <w:t>)</w:t>
      </w:r>
      <w:r w:rsidR="00BE0045" w:rsidRPr="00B31A23">
        <w:rPr>
          <w:rFonts w:ascii="Times New Roman" w:eastAsia="Times New Roman" w:hAnsi="Times New Roman" w:cs="Times New Roman"/>
          <w:sz w:val="24"/>
          <w:szCs w:val="24"/>
          <w:lang w:val="en-GB"/>
        </w:rPr>
        <w:t>.</w:t>
      </w:r>
    </w:p>
    <w:p w14:paraId="01F35FA6" w14:textId="57B01EBB" w:rsidR="00094336" w:rsidRPr="00B31A23" w:rsidRDefault="00632833" w:rsidP="00BE0045">
      <w:pPr>
        <w:pStyle w:val="Corpo"/>
        <w:spacing w:line="480" w:lineRule="auto"/>
        <w:jc w:val="center"/>
        <w:rPr>
          <w:rFonts w:ascii="Times New Roman" w:hAnsi="Times New Roman" w:cs="Times New Roman"/>
          <w:b/>
          <w:bCs/>
          <w:sz w:val="24"/>
          <w:szCs w:val="24"/>
          <w:lang w:val="en-GB"/>
        </w:rPr>
      </w:pPr>
      <w:r w:rsidRPr="00B31A23">
        <w:rPr>
          <w:rFonts w:ascii="Times New Roman" w:hAnsi="Times New Roman" w:cs="Times New Roman"/>
          <w:b/>
          <w:bCs/>
          <w:sz w:val="24"/>
          <w:szCs w:val="24"/>
          <w:lang w:val="en-GB"/>
        </w:rPr>
        <w:t>Results</w:t>
      </w:r>
    </w:p>
    <w:p w14:paraId="440F6EB7" w14:textId="79A41B4A" w:rsidR="00604D86" w:rsidRPr="00B31A23" w:rsidRDefault="00896553" w:rsidP="0068760D">
      <w:pPr>
        <w:pStyle w:val="Corpo"/>
        <w:spacing w:line="480" w:lineRule="auto"/>
        <w:ind w:firstLine="720"/>
        <w:jc w:val="both"/>
        <w:rPr>
          <w:rFonts w:ascii="Times New Roman" w:eastAsia="Times New Roman" w:hAnsi="Times New Roman" w:cs="Times New Roman"/>
          <w:sz w:val="24"/>
          <w:szCs w:val="24"/>
          <w:lang w:val="en-GB"/>
        </w:rPr>
      </w:pPr>
      <w:r w:rsidRPr="00B31A23">
        <w:rPr>
          <w:rFonts w:ascii="Times New Roman" w:eastAsia="Times New Roman" w:hAnsi="Times New Roman" w:cs="Times New Roman"/>
          <w:sz w:val="24"/>
          <w:szCs w:val="24"/>
          <w:lang w:val="en-GB"/>
        </w:rPr>
        <w:t xml:space="preserve">Descriptive statistics of the selected variables are presented in Table 1. An examination of kurtosis and skewness revealed that variables were broadly normally distributed. </w:t>
      </w:r>
      <w:r w:rsidR="00204C9A" w:rsidRPr="00B31A23">
        <w:rPr>
          <w:rFonts w:ascii="Times New Roman" w:eastAsia="Times New Roman" w:hAnsi="Times New Roman" w:cs="Times New Roman"/>
          <w:sz w:val="24"/>
          <w:szCs w:val="24"/>
          <w:lang w:val="en-GB"/>
        </w:rPr>
        <w:t>A</w:t>
      </w:r>
      <w:r w:rsidR="00375148" w:rsidRPr="00B31A23">
        <w:rPr>
          <w:rFonts w:ascii="Times New Roman" w:eastAsia="Times New Roman" w:hAnsi="Times New Roman" w:cs="Times New Roman"/>
          <w:sz w:val="24"/>
          <w:szCs w:val="24"/>
          <w:lang w:val="en-GB"/>
        </w:rPr>
        <w:t xml:space="preserve"> bivariate Pearson's Product-Moment correlation was conducted to establish the degree of association between the predictor variables and </w:t>
      </w:r>
      <w:r w:rsidR="00853E55" w:rsidRPr="00B31A23">
        <w:rPr>
          <w:rFonts w:ascii="Times New Roman" w:eastAsia="Times New Roman" w:hAnsi="Times New Roman" w:cs="Times New Roman"/>
          <w:sz w:val="24"/>
          <w:szCs w:val="24"/>
          <w:lang w:val="en-GB"/>
        </w:rPr>
        <w:t>prospective C</w:t>
      </w:r>
      <w:r w:rsidR="00375148" w:rsidRPr="00B31A23">
        <w:rPr>
          <w:rFonts w:ascii="Times New Roman" w:eastAsia="Times New Roman" w:hAnsi="Times New Roman" w:cs="Times New Roman"/>
          <w:sz w:val="24"/>
          <w:szCs w:val="24"/>
          <w:lang w:val="en-GB"/>
        </w:rPr>
        <w:t>yberchondria</w:t>
      </w:r>
      <w:r w:rsidR="00853E55" w:rsidRPr="00B31A23">
        <w:rPr>
          <w:rFonts w:ascii="Times New Roman" w:eastAsia="Times New Roman" w:hAnsi="Times New Roman" w:cs="Times New Roman"/>
          <w:sz w:val="24"/>
          <w:szCs w:val="24"/>
          <w:lang w:val="en-GB"/>
        </w:rPr>
        <w:t xml:space="preserve"> scores</w:t>
      </w:r>
      <w:r w:rsidR="00375148" w:rsidRPr="00B31A23">
        <w:rPr>
          <w:rFonts w:ascii="Times New Roman" w:eastAsia="Times New Roman" w:hAnsi="Times New Roman" w:cs="Times New Roman"/>
          <w:sz w:val="24"/>
          <w:szCs w:val="24"/>
          <w:lang w:val="en-GB"/>
        </w:rPr>
        <w:t xml:space="preserve">. Table </w:t>
      </w:r>
      <w:r w:rsidRPr="00B31A23">
        <w:rPr>
          <w:rFonts w:ascii="Times New Roman" w:eastAsia="Times New Roman" w:hAnsi="Times New Roman" w:cs="Times New Roman"/>
          <w:sz w:val="24"/>
          <w:szCs w:val="24"/>
          <w:lang w:val="en-GB"/>
        </w:rPr>
        <w:t>2</w:t>
      </w:r>
      <w:r w:rsidR="00375148" w:rsidRPr="00B31A23">
        <w:rPr>
          <w:rFonts w:ascii="Times New Roman" w:eastAsia="Times New Roman" w:hAnsi="Times New Roman" w:cs="Times New Roman"/>
          <w:sz w:val="24"/>
          <w:szCs w:val="24"/>
          <w:lang w:val="en-GB"/>
        </w:rPr>
        <w:t xml:space="preserve"> shows that </w:t>
      </w:r>
      <w:r w:rsidR="000C084A" w:rsidRPr="00B31A23">
        <w:rPr>
          <w:rFonts w:ascii="Times New Roman" w:eastAsia="Times New Roman" w:hAnsi="Times New Roman" w:cs="Times New Roman"/>
          <w:sz w:val="24"/>
          <w:szCs w:val="24"/>
          <w:lang w:val="en-GB"/>
        </w:rPr>
        <w:t xml:space="preserve">the </w:t>
      </w:r>
      <w:r w:rsidR="00375148" w:rsidRPr="00B31A23">
        <w:rPr>
          <w:rFonts w:ascii="Times New Roman" w:eastAsia="Times New Roman" w:hAnsi="Times New Roman" w:cs="Times New Roman"/>
          <w:sz w:val="24"/>
          <w:szCs w:val="24"/>
          <w:lang w:val="en-GB"/>
        </w:rPr>
        <w:t xml:space="preserve">majority of the variables under investigation were positively </w:t>
      </w:r>
      <w:r w:rsidR="00A85936" w:rsidRPr="00B31A23">
        <w:rPr>
          <w:rFonts w:ascii="Times New Roman" w:eastAsia="Times New Roman" w:hAnsi="Times New Roman" w:cs="Times New Roman"/>
          <w:sz w:val="24"/>
          <w:szCs w:val="24"/>
          <w:lang w:val="en-GB"/>
        </w:rPr>
        <w:t>co</w:t>
      </w:r>
      <w:r w:rsidR="00A674BB" w:rsidRPr="00B31A23">
        <w:rPr>
          <w:rFonts w:ascii="Times New Roman" w:eastAsia="Times New Roman" w:hAnsi="Times New Roman" w:cs="Times New Roman"/>
          <w:sz w:val="24"/>
          <w:szCs w:val="24"/>
          <w:lang w:val="en-GB"/>
        </w:rPr>
        <w:t>r</w:t>
      </w:r>
      <w:r w:rsidR="00A85936" w:rsidRPr="00B31A23">
        <w:rPr>
          <w:rFonts w:ascii="Times New Roman" w:eastAsia="Times New Roman" w:hAnsi="Times New Roman" w:cs="Times New Roman"/>
          <w:sz w:val="24"/>
          <w:szCs w:val="24"/>
          <w:lang w:val="en-GB"/>
        </w:rPr>
        <w:t>related</w:t>
      </w:r>
      <w:r w:rsidR="00375148" w:rsidRPr="00B31A23">
        <w:rPr>
          <w:rFonts w:ascii="Times New Roman" w:eastAsia="Times New Roman" w:hAnsi="Times New Roman" w:cs="Times New Roman"/>
          <w:sz w:val="24"/>
          <w:szCs w:val="24"/>
          <w:lang w:val="en-GB"/>
        </w:rPr>
        <w:t xml:space="preserve"> </w:t>
      </w:r>
      <w:r w:rsidR="00A85936" w:rsidRPr="00B31A23">
        <w:rPr>
          <w:rFonts w:ascii="Times New Roman" w:eastAsia="Times New Roman" w:hAnsi="Times New Roman" w:cs="Times New Roman"/>
          <w:sz w:val="24"/>
          <w:szCs w:val="24"/>
          <w:lang w:val="en-GB"/>
        </w:rPr>
        <w:t>with</w:t>
      </w:r>
      <w:r w:rsidR="00375148" w:rsidRPr="00B31A23">
        <w:rPr>
          <w:rFonts w:ascii="Times New Roman" w:eastAsia="Times New Roman" w:hAnsi="Times New Roman" w:cs="Times New Roman"/>
          <w:sz w:val="24"/>
          <w:szCs w:val="24"/>
          <w:lang w:val="en-GB"/>
        </w:rPr>
        <w:t xml:space="preserve"> the outcome variable. The </w:t>
      </w:r>
      <w:r w:rsidR="0078093E" w:rsidRPr="00B31A23">
        <w:rPr>
          <w:rFonts w:ascii="Times New Roman" w:eastAsia="Times New Roman" w:hAnsi="Times New Roman" w:cs="Times New Roman"/>
          <w:sz w:val="24"/>
          <w:szCs w:val="24"/>
          <w:lang w:val="en-GB"/>
        </w:rPr>
        <w:t>variables most strongly correlated with prospective Cyberchondria scores were</w:t>
      </w:r>
      <w:r w:rsidR="00375148" w:rsidRPr="00B31A23">
        <w:rPr>
          <w:rFonts w:ascii="Times New Roman" w:eastAsia="Times New Roman" w:hAnsi="Times New Roman" w:cs="Times New Roman"/>
          <w:sz w:val="24"/>
          <w:szCs w:val="24"/>
          <w:lang w:val="en-GB"/>
        </w:rPr>
        <w:t xml:space="preserve"> </w:t>
      </w:r>
      <w:r w:rsidR="0078093E" w:rsidRPr="00B31A23">
        <w:rPr>
          <w:rFonts w:ascii="Times New Roman" w:eastAsia="Times New Roman" w:hAnsi="Times New Roman" w:cs="Times New Roman"/>
          <w:sz w:val="24"/>
          <w:szCs w:val="24"/>
          <w:lang w:val="en-GB"/>
        </w:rPr>
        <w:t xml:space="preserve">metacognitions about the </w:t>
      </w:r>
      <w:r w:rsidR="00375148" w:rsidRPr="00B31A23">
        <w:rPr>
          <w:rFonts w:ascii="Times New Roman" w:eastAsia="Times New Roman" w:hAnsi="Times New Roman" w:cs="Times New Roman"/>
          <w:sz w:val="24"/>
          <w:szCs w:val="24"/>
          <w:lang w:val="en-GB"/>
        </w:rPr>
        <w:t>uncontrollability of thoughts (r = .49</w:t>
      </w:r>
      <w:r w:rsidR="006E188E" w:rsidRPr="00B31A23">
        <w:rPr>
          <w:rFonts w:ascii="Times New Roman" w:eastAsia="Times New Roman" w:hAnsi="Times New Roman" w:cs="Times New Roman"/>
          <w:sz w:val="24"/>
          <w:szCs w:val="24"/>
          <w:lang w:val="en-GB"/>
        </w:rPr>
        <w:t xml:space="preserve">, p </w:t>
      </w:r>
      <w:r w:rsidR="00F90AC0" w:rsidRPr="00B31A23">
        <w:rPr>
          <w:rFonts w:ascii="Times New Roman" w:eastAsia="Times New Roman" w:hAnsi="Times New Roman" w:cs="Times New Roman"/>
          <w:sz w:val="24"/>
          <w:szCs w:val="24"/>
          <w:lang w:val="en-GB"/>
        </w:rPr>
        <w:t>&lt; .01</w:t>
      </w:r>
      <w:r w:rsidR="00375148" w:rsidRPr="00B31A23">
        <w:rPr>
          <w:rFonts w:ascii="Times New Roman" w:eastAsia="Times New Roman" w:hAnsi="Times New Roman" w:cs="Times New Roman"/>
          <w:sz w:val="24"/>
          <w:szCs w:val="24"/>
          <w:lang w:val="en-GB"/>
        </w:rPr>
        <w:t>), followed by health anxiety (</w:t>
      </w:r>
      <w:r w:rsidR="0078093E" w:rsidRPr="00B31A23">
        <w:rPr>
          <w:rFonts w:ascii="Times New Roman" w:eastAsia="Times New Roman" w:hAnsi="Times New Roman" w:cs="Times New Roman"/>
          <w:sz w:val="24"/>
          <w:szCs w:val="24"/>
          <w:lang w:val="en-GB"/>
        </w:rPr>
        <w:t xml:space="preserve">r </w:t>
      </w:r>
      <w:r w:rsidR="00375148" w:rsidRPr="00B31A23">
        <w:rPr>
          <w:rFonts w:ascii="Times New Roman" w:eastAsia="Times New Roman" w:hAnsi="Times New Roman" w:cs="Times New Roman"/>
          <w:sz w:val="24"/>
          <w:szCs w:val="24"/>
          <w:lang w:val="en-GB"/>
        </w:rPr>
        <w:t>=</w:t>
      </w:r>
      <w:r w:rsidR="0078093E" w:rsidRPr="00B31A23">
        <w:rPr>
          <w:rFonts w:ascii="Times New Roman" w:eastAsia="Times New Roman" w:hAnsi="Times New Roman" w:cs="Times New Roman"/>
          <w:sz w:val="24"/>
          <w:szCs w:val="24"/>
          <w:lang w:val="en-GB"/>
        </w:rPr>
        <w:t xml:space="preserve"> </w:t>
      </w:r>
      <w:r w:rsidR="00375148" w:rsidRPr="00B31A23">
        <w:rPr>
          <w:rFonts w:ascii="Times New Roman" w:eastAsia="Times New Roman" w:hAnsi="Times New Roman" w:cs="Times New Roman"/>
          <w:sz w:val="24"/>
          <w:szCs w:val="24"/>
          <w:lang w:val="en-GB"/>
        </w:rPr>
        <w:t>.34</w:t>
      </w:r>
      <w:r w:rsidR="00F90AC0" w:rsidRPr="00B31A23">
        <w:rPr>
          <w:rFonts w:ascii="Times New Roman" w:eastAsia="Times New Roman" w:hAnsi="Times New Roman" w:cs="Times New Roman"/>
          <w:sz w:val="24"/>
          <w:szCs w:val="24"/>
          <w:lang w:val="en-GB"/>
        </w:rPr>
        <w:t>, p &lt; .01</w:t>
      </w:r>
      <w:r w:rsidR="00375148" w:rsidRPr="00B31A23">
        <w:rPr>
          <w:rFonts w:ascii="Times New Roman" w:eastAsia="Times New Roman" w:hAnsi="Times New Roman" w:cs="Times New Roman"/>
          <w:sz w:val="24"/>
          <w:szCs w:val="24"/>
          <w:lang w:val="en-GB"/>
        </w:rPr>
        <w:t>)</w:t>
      </w:r>
      <w:r w:rsidR="003B3A82" w:rsidRPr="00B31A23">
        <w:rPr>
          <w:rFonts w:ascii="Times New Roman" w:eastAsia="Times New Roman" w:hAnsi="Times New Roman" w:cs="Times New Roman"/>
          <w:sz w:val="24"/>
          <w:szCs w:val="24"/>
          <w:lang w:val="en-GB"/>
        </w:rPr>
        <w:t>,</w:t>
      </w:r>
      <w:r w:rsidR="00375148" w:rsidRPr="00B31A23">
        <w:rPr>
          <w:rFonts w:ascii="Times New Roman" w:eastAsia="Times New Roman" w:hAnsi="Times New Roman" w:cs="Times New Roman"/>
          <w:sz w:val="24"/>
          <w:szCs w:val="24"/>
          <w:lang w:val="en-GB"/>
        </w:rPr>
        <w:t xml:space="preserve"> </w:t>
      </w:r>
      <w:r w:rsidR="0078093E" w:rsidRPr="00B31A23">
        <w:rPr>
          <w:rFonts w:ascii="Times New Roman" w:eastAsia="Times New Roman" w:hAnsi="Times New Roman" w:cs="Times New Roman"/>
          <w:sz w:val="24"/>
          <w:szCs w:val="24"/>
          <w:lang w:val="en-GB"/>
        </w:rPr>
        <w:t xml:space="preserve">metacognitions about </w:t>
      </w:r>
      <w:r w:rsidR="00F23F89" w:rsidRPr="00B31A23">
        <w:rPr>
          <w:rFonts w:ascii="Times New Roman" w:eastAsia="Times New Roman" w:hAnsi="Times New Roman" w:cs="Times New Roman"/>
          <w:sz w:val="24"/>
          <w:szCs w:val="24"/>
          <w:lang w:val="en-GB"/>
        </w:rPr>
        <w:t xml:space="preserve">biased thinking </w:t>
      </w:r>
      <w:r w:rsidR="004B72C5" w:rsidRPr="00B31A23">
        <w:rPr>
          <w:rFonts w:ascii="Times New Roman" w:eastAsia="Times New Roman" w:hAnsi="Times New Roman" w:cs="Times New Roman"/>
          <w:sz w:val="24"/>
          <w:szCs w:val="24"/>
          <w:lang w:val="en-GB"/>
        </w:rPr>
        <w:t>(r = .23</w:t>
      </w:r>
      <w:r w:rsidR="00F90AC0" w:rsidRPr="00B31A23">
        <w:rPr>
          <w:rFonts w:ascii="Times New Roman" w:eastAsia="Times New Roman" w:hAnsi="Times New Roman" w:cs="Times New Roman"/>
          <w:sz w:val="24"/>
          <w:szCs w:val="24"/>
          <w:lang w:val="en-GB"/>
        </w:rPr>
        <w:t>, p &lt; .</w:t>
      </w:r>
      <w:r w:rsidR="00267949" w:rsidRPr="00B31A23">
        <w:rPr>
          <w:rFonts w:ascii="Times New Roman" w:eastAsia="Times New Roman" w:hAnsi="Times New Roman" w:cs="Times New Roman"/>
          <w:sz w:val="24"/>
          <w:szCs w:val="24"/>
          <w:lang w:val="en-GB"/>
        </w:rPr>
        <w:t>05</w:t>
      </w:r>
      <w:r w:rsidR="0078093E" w:rsidRPr="00B31A23">
        <w:rPr>
          <w:rFonts w:ascii="Times New Roman" w:eastAsia="Times New Roman" w:hAnsi="Times New Roman" w:cs="Times New Roman"/>
          <w:sz w:val="24"/>
          <w:szCs w:val="24"/>
          <w:lang w:val="en-GB"/>
        </w:rPr>
        <w:t xml:space="preserve">), and health cognitions relating to </w:t>
      </w:r>
      <w:r w:rsidR="003F0DDB" w:rsidRPr="00B31A23">
        <w:rPr>
          <w:rFonts w:ascii="Times New Roman" w:eastAsia="Times New Roman" w:hAnsi="Times New Roman" w:cs="Times New Roman"/>
          <w:sz w:val="24"/>
          <w:szCs w:val="24"/>
          <w:lang w:val="en-GB"/>
        </w:rPr>
        <w:t xml:space="preserve">coping </w:t>
      </w:r>
      <w:r w:rsidR="004B72C5" w:rsidRPr="00B31A23">
        <w:rPr>
          <w:rFonts w:ascii="Times New Roman" w:eastAsia="Times New Roman" w:hAnsi="Times New Roman" w:cs="Times New Roman"/>
          <w:sz w:val="24"/>
          <w:szCs w:val="24"/>
          <w:lang w:val="en-GB"/>
        </w:rPr>
        <w:t xml:space="preserve">(r = </w:t>
      </w:r>
      <w:r w:rsidR="00375148" w:rsidRPr="00B31A23">
        <w:rPr>
          <w:rFonts w:ascii="Times New Roman" w:eastAsia="Times New Roman" w:hAnsi="Times New Roman" w:cs="Times New Roman"/>
          <w:sz w:val="24"/>
          <w:szCs w:val="24"/>
          <w:lang w:val="en-GB"/>
        </w:rPr>
        <w:t>.</w:t>
      </w:r>
      <w:r w:rsidR="004B72C5" w:rsidRPr="00B31A23">
        <w:rPr>
          <w:rFonts w:ascii="Times New Roman" w:eastAsia="Times New Roman" w:hAnsi="Times New Roman" w:cs="Times New Roman"/>
          <w:sz w:val="24"/>
          <w:szCs w:val="24"/>
          <w:lang w:val="en-GB"/>
        </w:rPr>
        <w:t>22</w:t>
      </w:r>
      <w:r w:rsidR="00267949" w:rsidRPr="00B31A23">
        <w:rPr>
          <w:rFonts w:ascii="Times New Roman" w:eastAsia="Times New Roman" w:hAnsi="Times New Roman" w:cs="Times New Roman"/>
          <w:sz w:val="24"/>
          <w:szCs w:val="24"/>
          <w:lang w:val="en-GB"/>
        </w:rPr>
        <w:t>, p &lt; .05</w:t>
      </w:r>
      <w:r w:rsidR="004B72C5" w:rsidRPr="00B31A23">
        <w:rPr>
          <w:rFonts w:ascii="Times New Roman" w:eastAsia="Times New Roman" w:hAnsi="Times New Roman" w:cs="Times New Roman"/>
          <w:sz w:val="24"/>
          <w:szCs w:val="24"/>
          <w:lang w:val="en-GB"/>
        </w:rPr>
        <w:t>)</w:t>
      </w:r>
      <w:r w:rsidR="0078093E" w:rsidRPr="00B31A23">
        <w:rPr>
          <w:rFonts w:ascii="Times New Roman" w:eastAsia="Times New Roman" w:hAnsi="Times New Roman" w:cs="Times New Roman"/>
          <w:sz w:val="24"/>
          <w:szCs w:val="24"/>
          <w:lang w:val="en-GB"/>
        </w:rPr>
        <w:t xml:space="preserve"> and medical service inadequacy (r = .19</w:t>
      </w:r>
      <w:r w:rsidR="00267949" w:rsidRPr="00B31A23">
        <w:rPr>
          <w:rFonts w:ascii="Times New Roman" w:eastAsia="Times New Roman" w:hAnsi="Times New Roman" w:cs="Times New Roman"/>
          <w:sz w:val="24"/>
          <w:szCs w:val="24"/>
          <w:lang w:val="en-GB"/>
        </w:rPr>
        <w:t>, p &lt; .05</w:t>
      </w:r>
      <w:r w:rsidR="0078093E" w:rsidRPr="00B31A23">
        <w:rPr>
          <w:rFonts w:ascii="Times New Roman" w:eastAsia="Times New Roman" w:hAnsi="Times New Roman" w:cs="Times New Roman"/>
          <w:sz w:val="24"/>
          <w:szCs w:val="24"/>
          <w:lang w:val="en-GB"/>
        </w:rPr>
        <w:t>)</w:t>
      </w:r>
      <w:r w:rsidR="004B72C5" w:rsidRPr="00B31A23">
        <w:rPr>
          <w:rFonts w:ascii="Times New Roman" w:eastAsia="Times New Roman" w:hAnsi="Times New Roman" w:cs="Times New Roman"/>
          <w:sz w:val="24"/>
          <w:szCs w:val="24"/>
          <w:lang w:val="en-GB"/>
        </w:rPr>
        <w:t>.</w:t>
      </w:r>
      <w:r w:rsidR="00375148" w:rsidRPr="00B31A23">
        <w:rPr>
          <w:rFonts w:ascii="Times New Roman" w:eastAsia="Times New Roman" w:hAnsi="Times New Roman" w:cs="Times New Roman"/>
          <w:sz w:val="24"/>
          <w:szCs w:val="24"/>
          <w:lang w:val="en-GB"/>
        </w:rPr>
        <w:t xml:space="preserve"> </w:t>
      </w:r>
      <w:r w:rsidR="009605B5" w:rsidRPr="00B31A23">
        <w:rPr>
          <w:rFonts w:ascii="Times New Roman" w:hAnsi="Times New Roman" w:cs="Times New Roman"/>
          <w:sz w:val="24"/>
          <w:szCs w:val="24"/>
          <w:lang w:val="en-US"/>
        </w:rPr>
        <w:t xml:space="preserve">Hours spent online </w:t>
      </w:r>
      <w:r w:rsidR="002539D1" w:rsidRPr="00B31A23">
        <w:rPr>
          <w:rFonts w:ascii="Times New Roman" w:hAnsi="Times New Roman" w:cs="Times New Roman"/>
          <w:sz w:val="24"/>
          <w:szCs w:val="24"/>
          <w:lang w:val="en-US"/>
        </w:rPr>
        <w:t>per day</w:t>
      </w:r>
      <w:r w:rsidR="00375148" w:rsidRPr="00B31A23">
        <w:rPr>
          <w:rFonts w:ascii="Times New Roman" w:eastAsia="Times New Roman" w:hAnsi="Times New Roman" w:cs="Times New Roman"/>
          <w:sz w:val="24"/>
          <w:szCs w:val="24"/>
          <w:lang w:val="en-GB"/>
        </w:rPr>
        <w:t xml:space="preserve"> and the two factors belonging to </w:t>
      </w:r>
      <w:r w:rsidR="0078093E" w:rsidRPr="00B31A23">
        <w:rPr>
          <w:rFonts w:ascii="Times New Roman" w:eastAsia="Times New Roman" w:hAnsi="Times New Roman" w:cs="Times New Roman"/>
          <w:sz w:val="24"/>
          <w:szCs w:val="24"/>
          <w:lang w:val="en-GB"/>
        </w:rPr>
        <w:t>health cognitions</w:t>
      </w:r>
      <w:r w:rsidR="00375148" w:rsidRPr="00B31A23">
        <w:rPr>
          <w:rFonts w:ascii="Times New Roman" w:eastAsia="Times New Roman" w:hAnsi="Times New Roman" w:cs="Times New Roman"/>
          <w:sz w:val="24"/>
          <w:szCs w:val="24"/>
          <w:lang w:val="en-GB"/>
        </w:rPr>
        <w:t xml:space="preserve"> </w:t>
      </w:r>
      <w:r w:rsidR="0078093E" w:rsidRPr="00B31A23">
        <w:rPr>
          <w:rFonts w:ascii="Times New Roman" w:eastAsia="Times New Roman" w:hAnsi="Times New Roman" w:cs="Times New Roman"/>
          <w:sz w:val="24"/>
          <w:szCs w:val="24"/>
          <w:lang w:val="en-GB"/>
        </w:rPr>
        <w:t>(</w:t>
      </w:r>
      <w:r w:rsidR="00CE1F8C" w:rsidRPr="00B31A23">
        <w:rPr>
          <w:rFonts w:ascii="Times New Roman" w:eastAsia="Times New Roman" w:hAnsi="Times New Roman" w:cs="Times New Roman"/>
          <w:sz w:val="24"/>
          <w:szCs w:val="24"/>
          <w:lang w:val="en-GB"/>
        </w:rPr>
        <w:t>the</w:t>
      </w:r>
      <w:r w:rsidR="00375148" w:rsidRPr="00B31A23">
        <w:rPr>
          <w:rFonts w:ascii="Times New Roman" w:eastAsia="Times New Roman" w:hAnsi="Times New Roman" w:cs="Times New Roman"/>
          <w:sz w:val="24"/>
          <w:szCs w:val="24"/>
          <w:lang w:val="en-GB"/>
        </w:rPr>
        <w:t xml:space="preserve"> </w:t>
      </w:r>
      <w:r w:rsidR="00CE1F8C" w:rsidRPr="00B31A23">
        <w:rPr>
          <w:rFonts w:ascii="Times New Roman" w:hAnsi="Times New Roman" w:cs="Times New Roman"/>
          <w:sz w:val="24"/>
          <w:szCs w:val="24"/>
          <w:lang w:val="en-GB"/>
        </w:rPr>
        <w:t>likelihood and the awfulness of illness</w:t>
      </w:r>
      <w:r w:rsidR="0078093E" w:rsidRPr="00B31A23">
        <w:rPr>
          <w:rFonts w:ascii="Times New Roman" w:hAnsi="Times New Roman" w:cs="Times New Roman"/>
          <w:sz w:val="24"/>
          <w:szCs w:val="24"/>
          <w:lang w:val="en-GB"/>
        </w:rPr>
        <w:t>)</w:t>
      </w:r>
      <w:r w:rsidR="00375148" w:rsidRPr="00B31A23">
        <w:rPr>
          <w:rFonts w:ascii="Times New Roman" w:eastAsia="Times New Roman" w:hAnsi="Times New Roman" w:cs="Times New Roman"/>
          <w:sz w:val="24"/>
          <w:szCs w:val="24"/>
          <w:lang w:val="en-GB"/>
        </w:rPr>
        <w:t xml:space="preserve"> </w:t>
      </w:r>
      <w:r w:rsidR="0078093E" w:rsidRPr="00B31A23">
        <w:rPr>
          <w:rFonts w:ascii="Times New Roman" w:eastAsia="Times New Roman" w:hAnsi="Times New Roman" w:cs="Times New Roman"/>
          <w:sz w:val="24"/>
          <w:szCs w:val="24"/>
          <w:lang w:val="en-GB"/>
        </w:rPr>
        <w:t>were</w:t>
      </w:r>
      <w:r w:rsidR="00375148" w:rsidRPr="00B31A23">
        <w:rPr>
          <w:rFonts w:ascii="Times New Roman" w:eastAsia="Times New Roman" w:hAnsi="Times New Roman" w:cs="Times New Roman"/>
          <w:sz w:val="24"/>
          <w:szCs w:val="24"/>
          <w:lang w:val="en-GB"/>
        </w:rPr>
        <w:t xml:space="preserve"> not significant</w:t>
      </w:r>
      <w:r w:rsidR="0078093E" w:rsidRPr="00B31A23">
        <w:rPr>
          <w:rFonts w:ascii="Times New Roman" w:eastAsia="Times New Roman" w:hAnsi="Times New Roman" w:cs="Times New Roman"/>
          <w:sz w:val="24"/>
          <w:szCs w:val="24"/>
          <w:lang w:val="en-GB"/>
        </w:rPr>
        <w:t>ly</w:t>
      </w:r>
      <w:r w:rsidR="00375148" w:rsidRPr="00B31A23">
        <w:rPr>
          <w:rFonts w:ascii="Times New Roman" w:eastAsia="Times New Roman" w:hAnsi="Times New Roman" w:cs="Times New Roman"/>
          <w:sz w:val="24"/>
          <w:szCs w:val="24"/>
          <w:lang w:val="en-GB"/>
        </w:rPr>
        <w:t xml:space="preserve"> </w:t>
      </w:r>
      <w:r w:rsidR="0078093E" w:rsidRPr="00B31A23">
        <w:rPr>
          <w:rFonts w:ascii="Times New Roman" w:eastAsia="Times New Roman" w:hAnsi="Times New Roman" w:cs="Times New Roman"/>
          <w:sz w:val="24"/>
          <w:szCs w:val="24"/>
          <w:lang w:val="en-GB"/>
        </w:rPr>
        <w:t xml:space="preserve">correlated </w:t>
      </w:r>
      <w:r w:rsidR="00375148" w:rsidRPr="00B31A23">
        <w:rPr>
          <w:rFonts w:ascii="Times New Roman" w:eastAsia="Times New Roman" w:hAnsi="Times New Roman" w:cs="Times New Roman"/>
          <w:sz w:val="24"/>
          <w:szCs w:val="24"/>
          <w:lang w:val="en-GB"/>
        </w:rPr>
        <w:t xml:space="preserve">with </w:t>
      </w:r>
      <w:r w:rsidR="00C2554A" w:rsidRPr="00B31A23">
        <w:rPr>
          <w:rFonts w:ascii="Times New Roman" w:eastAsia="Times New Roman" w:hAnsi="Times New Roman" w:cs="Times New Roman"/>
          <w:sz w:val="24"/>
          <w:szCs w:val="24"/>
          <w:lang w:val="en-GB"/>
        </w:rPr>
        <w:t>prospective Cyberchondria scores</w:t>
      </w:r>
      <w:r w:rsidR="00375148" w:rsidRPr="00B31A23">
        <w:rPr>
          <w:rFonts w:ascii="Times New Roman" w:eastAsia="Times New Roman" w:hAnsi="Times New Roman" w:cs="Times New Roman"/>
          <w:sz w:val="24"/>
          <w:szCs w:val="24"/>
          <w:lang w:val="en-GB"/>
        </w:rPr>
        <w:t>.</w:t>
      </w:r>
    </w:p>
    <w:p w14:paraId="79EDB8EC" w14:textId="0E8E22AB" w:rsidR="00604D86" w:rsidRPr="00B31A23" w:rsidRDefault="00ED432A" w:rsidP="00024EEA">
      <w:pPr>
        <w:pStyle w:val="Corpo"/>
        <w:adjustRightInd w:val="0"/>
        <w:spacing w:line="480" w:lineRule="auto"/>
        <w:ind w:firstLine="720"/>
        <w:jc w:val="both"/>
        <w:rPr>
          <w:rFonts w:ascii="Times New Roman" w:eastAsia="Times New Roman" w:hAnsi="Times New Roman" w:cs="Times New Roman"/>
          <w:sz w:val="24"/>
          <w:szCs w:val="24"/>
          <w:lang w:val="en-GB"/>
        </w:rPr>
      </w:pPr>
      <w:r w:rsidRPr="00B31A23">
        <w:rPr>
          <w:rFonts w:ascii="Times New Roman" w:eastAsia="Times New Roman" w:hAnsi="Times New Roman" w:cs="Times New Roman"/>
          <w:sz w:val="24"/>
          <w:szCs w:val="24"/>
          <w:lang w:val="en-GB"/>
        </w:rPr>
        <w:lastRenderedPageBreak/>
        <w:t xml:space="preserve">A hierarchical linear regression was carried out to evaluate whether the variables positively correlated </w:t>
      </w:r>
      <w:r w:rsidR="00032D33" w:rsidRPr="00B31A23">
        <w:rPr>
          <w:rFonts w:ascii="Times New Roman" w:eastAsia="Times New Roman" w:hAnsi="Times New Roman" w:cs="Times New Roman"/>
          <w:sz w:val="24"/>
          <w:szCs w:val="24"/>
          <w:lang w:val="en-GB"/>
        </w:rPr>
        <w:t>with</w:t>
      </w:r>
      <w:r w:rsidRPr="00B31A23">
        <w:rPr>
          <w:rFonts w:ascii="Times New Roman" w:eastAsia="Times New Roman" w:hAnsi="Times New Roman" w:cs="Times New Roman"/>
          <w:sz w:val="24"/>
          <w:szCs w:val="24"/>
          <w:lang w:val="en-GB"/>
        </w:rPr>
        <w:t xml:space="preserve"> </w:t>
      </w:r>
      <w:r w:rsidR="00C2554A" w:rsidRPr="00B31A23">
        <w:rPr>
          <w:rFonts w:ascii="Times New Roman" w:eastAsia="Times New Roman" w:hAnsi="Times New Roman" w:cs="Times New Roman"/>
          <w:sz w:val="24"/>
          <w:szCs w:val="24"/>
          <w:lang w:val="en-GB"/>
        </w:rPr>
        <w:t>prospective Cyberchondria scores</w:t>
      </w:r>
      <w:r w:rsidRPr="00B31A23">
        <w:rPr>
          <w:rFonts w:ascii="Times New Roman" w:eastAsia="Times New Roman" w:hAnsi="Times New Roman" w:cs="Times New Roman"/>
          <w:sz w:val="24"/>
          <w:szCs w:val="24"/>
          <w:lang w:val="en-GB"/>
        </w:rPr>
        <w:t xml:space="preserve"> could have a predictive relationship, while controlling for health anxiety. Health anxiety was </w:t>
      </w:r>
      <w:r w:rsidR="00032D33" w:rsidRPr="00B31A23">
        <w:rPr>
          <w:rFonts w:ascii="Times New Roman" w:eastAsia="Times New Roman" w:hAnsi="Times New Roman" w:cs="Times New Roman"/>
          <w:sz w:val="24"/>
          <w:szCs w:val="24"/>
          <w:lang w:val="en-GB"/>
        </w:rPr>
        <w:t>entered</w:t>
      </w:r>
      <w:r w:rsidRPr="00B31A23">
        <w:rPr>
          <w:rFonts w:ascii="Times New Roman" w:eastAsia="Times New Roman" w:hAnsi="Times New Roman" w:cs="Times New Roman"/>
          <w:sz w:val="24"/>
          <w:szCs w:val="24"/>
          <w:lang w:val="en-GB"/>
        </w:rPr>
        <w:t xml:space="preserve"> in the first block </w:t>
      </w:r>
      <w:r w:rsidR="00032D33" w:rsidRPr="00B31A23">
        <w:rPr>
          <w:rFonts w:ascii="Times New Roman" w:eastAsia="Times New Roman" w:hAnsi="Times New Roman" w:cs="Times New Roman"/>
          <w:sz w:val="24"/>
          <w:szCs w:val="24"/>
          <w:lang w:val="en-GB"/>
        </w:rPr>
        <w:t xml:space="preserve">of the hierarchical regression analysis </w:t>
      </w:r>
      <w:r w:rsidRPr="00B31A23">
        <w:rPr>
          <w:rFonts w:ascii="Times New Roman" w:eastAsia="Times New Roman" w:hAnsi="Times New Roman" w:cs="Times New Roman"/>
          <w:sz w:val="24"/>
          <w:szCs w:val="24"/>
          <w:lang w:val="en-GB"/>
        </w:rPr>
        <w:t>as a control variable</w:t>
      </w:r>
      <w:r w:rsidR="00032D33" w:rsidRPr="00B31A23">
        <w:rPr>
          <w:rFonts w:ascii="Times New Roman" w:eastAsia="Times New Roman" w:hAnsi="Times New Roman" w:cs="Times New Roman"/>
          <w:sz w:val="24"/>
          <w:szCs w:val="24"/>
          <w:lang w:val="en-GB"/>
        </w:rPr>
        <w:t>.</w:t>
      </w:r>
      <w:r w:rsidRPr="00B31A23">
        <w:rPr>
          <w:rFonts w:ascii="Times New Roman" w:eastAsia="Times New Roman" w:hAnsi="Times New Roman" w:cs="Times New Roman"/>
          <w:sz w:val="24"/>
          <w:szCs w:val="24"/>
          <w:lang w:val="en-GB"/>
        </w:rPr>
        <w:t xml:space="preserve"> </w:t>
      </w:r>
      <w:r w:rsidR="00032D33" w:rsidRPr="00B31A23">
        <w:rPr>
          <w:rFonts w:ascii="Times New Roman" w:eastAsia="Times New Roman" w:hAnsi="Times New Roman" w:cs="Times New Roman"/>
          <w:sz w:val="24"/>
          <w:szCs w:val="24"/>
          <w:lang w:val="en-GB"/>
        </w:rPr>
        <w:t xml:space="preserve">Health cognitions were entered into the second block. </w:t>
      </w:r>
      <w:r w:rsidR="00024EEA" w:rsidRPr="00B31A23">
        <w:rPr>
          <w:rFonts w:ascii="Times New Roman" w:eastAsia="Times New Roman" w:hAnsi="Times New Roman" w:cs="Times New Roman"/>
          <w:sz w:val="24"/>
          <w:szCs w:val="24"/>
          <w:lang w:val="en-GB"/>
        </w:rPr>
        <w:t>M</w:t>
      </w:r>
      <w:r w:rsidR="00032D33" w:rsidRPr="00B31A23">
        <w:rPr>
          <w:rFonts w:ascii="Times New Roman" w:eastAsia="Times New Roman" w:hAnsi="Times New Roman" w:cs="Times New Roman"/>
          <w:sz w:val="24"/>
          <w:szCs w:val="24"/>
          <w:lang w:val="en-GB"/>
        </w:rPr>
        <w:t>etacognitions about health anxiety</w:t>
      </w:r>
      <w:r w:rsidR="00024EEA" w:rsidRPr="00B31A23">
        <w:rPr>
          <w:rFonts w:ascii="Times New Roman" w:eastAsia="Times New Roman" w:hAnsi="Times New Roman" w:cs="Times New Roman"/>
          <w:sz w:val="24"/>
          <w:szCs w:val="24"/>
          <w:lang w:val="en-GB"/>
        </w:rPr>
        <w:t xml:space="preserve"> were entered </w:t>
      </w:r>
      <w:r w:rsidR="00032D33" w:rsidRPr="00B31A23">
        <w:rPr>
          <w:rFonts w:ascii="Times New Roman" w:eastAsia="Times New Roman" w:hAnsi="Times New Roman" w:cs="Times New Roman"/>
          <w:sz w:val="24"/>
          <w:szCs w:val="24"/>
          <w:lang w:val="en-GB"/>
        </w:rPr>
        <w:t>in the third block.</w:t>
      </w:r>
      <w:r w:rsidRPr="00B31A23">
        <w:rPr>
          <w:rFonts w:ascii="Times New Roman" w:eastAsia="Times New Roman" w:hAnsi="Times New Roman" w:cs="Times New Roman"/>
          <w:sz w:val="24"/>
          <w:szCs w:val="24"/>
          <w:lang w:val="en-GB"/>
        </w:rPr>
        <w:t xml:space="preserve"> </w:t>
      </w:r>
      <w:r w:rsidR="00516B9E" w:rsidRPr="00B31A23">
        <w:rPr>
          <w:rFonts w:ascii="Times New Roman" w:eastAsia="Times New Roman" w:hAnsi="Times New Roman" w:cs="Times New Roman"/>
          <w:sz w:val="24"/>
          <w:szCs w:val="24"/>
          <w:lang w:val="en-GB"/>
        </w:rPr>
        <w:t xml:space="preserve">The hierarchical linear regression outcomes can be found in Table </w:t>
      </w:r>
      <w:r w:rsidR="005E41F0" w:rsidRPr="00B31A23">
        <w:rPr>
          <w:rFonts w:ascii="Times New Roman" w:eastAsia="Times New Roman" w:hAnsi="Times New Roman" w:cs="Times New Roman"/>
          <w:sz w:val="24"/>
          <w:szCs w:val="24"/>
          <w:lang w:val="en-GB"/>
        </w:rPr>
        <w:t>3</w:t>
      </w:r>
      <w:r w:rsidR="00516B9E" w:rsidRPr="00B31A23">
        <w:rPr>
          <w:rFonts w:ascii="Times New Roman" w:eastAsia="Times New Roman" w:hAnsi="Times New Roman" w:cs="Times New Roman"/>
          <w:sz w:val="24"/>
          <w:szCs w:val="24"/>
          <w:lang w:val="en-GB"/>
        </w:rPr>
        <w:t>.</w:t>
      </w:r>
      <w:r w:rsidR="00024EEA" w:rsidRPr="00B31A23">
        <w:rPr>
          <w:rFonts w:ascii="Times New Roman" w:eastAsia="Times New Roman" w:hAnsi="Times New Roman" w:cs="Times New Roman"/>
          <w:sz w:val="24"/>
          <w:szCs w:val="24"/>
          <w:lang w:val="en-GB"/>
        </w:rPr>
        <w:t xml:space="preserve"> These showed that the model predicted 30% of the variance in </w:t>
      </w:r>
      <w:r w:rsidR="00C2554A" w:rsidRPr="00B31A23">
        <w:rPr>
          <w:rFonts w:ascii="Times New Roman" w:eastAsia="Times New Roman" w:hAnsi="Times New Roman" w:cs="Times New Roman"/>
          <w:sz w:val="24"/>
          <w:szCs w:val="24"/>
          <w:lang w:val="en-GB"/>
        </w:rPr>
        <w:t>prospective Cyberchondria scores</w:t>
      </w:r>
      <w:r w:rsidR="00024EEA" w:rsidRPr="00B31A23">
        <w:rPr>
          <w:rFonts w:ascii="Times New Roman" w:eastAsia="Times New Roman" w:hAnsi="Times New Roman" w:cs="Times New Roman"/>
          <w:sz w:val="24"/>
          <w:szCs w:val="24"/>
          <w:lang w:val="en-GB"/>
        </w:rPr>
        <w:t>. An inspection of the final step of the equation indicates that only metacognitions about the</w:t>
      </w:r>
      <w:r w:rsidR="00516B9E" w:rsidRPr="00B31A23">
        <w:rPr>
          <w:rFonts w:ascii="Times New Roman" w:eastAsia="Times New Roman" w:hAnsi="Times New Roman" w:cs="Times New Roman"/>
          <w:sz w:val="24"/>
          <w:szCs w:val="24"/>
          <w:lang w:val="en-GB"/>
        </w:rPr>
        <w:t xml:space="preserve"> uncontrollability of thoughts </w:t>
      </w:r>
      <w:r w:rsidR="00024EEA" w:rsidRPr="00B31A23">
        <w:rPr>
          <w:rFonts w:ascii="Times New Roman" w:eastAsia="Times New Roman" w:hAnsi="Times New Roman" w:cs="Times New Roman"/>
          <w:sz w:val="24"/>
          <w:szCs w:val="24"/>
          <w:lang w:val="en-GB"/>
        </w:rPr>
        <w:t xml:space="preserve">remained </w:t>
      </w:r>
      <w:r w:rsidR="00516B9E" w:rsidRPr="00B31A23">
        <w:rPr>
          <w:rFonts w:ascii="Times New Roman" w:eastAsia="Times New Roman" w:hAnsi="Times New Roman" w:cs="Times New Roman"/>
          <w:sz w:val="24"/>
          <w:szCs w:val="24"/>
          <w:lang w:val="en-GB"/>
        </w:rPr>
        <w:t>(</w:t>
      </w:r>
      <w:r w:rsidR="004B3A96" w:rsidRPr="00B31A23">
        <w:rPr>
          <w:rFonts w:ascii="Times New Roman" w:eastAsia="Times New Roman" w:hAnsi="Times New Roman" w:cs="Times New Roman"/>
          <w:sz w:val="24"/>
          <w:szCs w:val="24"/>
          <w:lang w:val="en-GB"/>
        </w:rPr>
        <w:t xml:space="preserve">B = </w:t>
      </w:r>
      <w:r w:rsidR="004B3A96" w:rsidRPr="00B31A23">
        <w:rPr>
          <w:rFonts w:ascii="Times New Roman" w:eastAsiaTheme="minorHAnsi" w:hAnsi="Times New Roman" w:cs="Times New Roman"/>
          <w:sz w:val="24"/>
          <w:szCs w:val="24"/>
          <w:lang w:val="en-GB"/>
        </w:rPr>
        <w:t>2.226</w:t>
      </w:r>
      <w:r w:rsidR="000F62B3" w:rsidRPr="00B31A23">
        <w:rPr>
          <w:rFonts w:ascii="Times New Roman" w:eastAsiaTheme="minorHAnsi" w:hAnsi="Times New Roman" w:cs="Times New Roman"/>
          <w:sz w:val="24"/>
          <w:szCs w:val="24"/>
          <w:lang w:val="en-GB"/>
        </w:rPr>
        <w:t xml:space="preserve">, C.I. = 1.318 – 3.134, </w:t>
      </w:r>
      <w:r w:rsidR="00E21C53" w:rsidRPr="00B31A23">
        <w:rPr>
          <w:rFonts w:ascii="Times New Roman" w:eastAsia="Times New Roman" w:hAnsi="Times New Roman" w:cs="Times New Roman"/>
          <w:sz w:val="24"/>
          <w:szCs w:val="24"/>
          <w:lang w:val="en-GB"/>
        </w:rPr>
        <w:t>p &lt; .001</w:t>
      </w:r>
      <w:r w:rsidR="00516B9E" w:rsidRPr="00B31A23">
        <w:rPr>
          <w:rFonts w:ascii="Times New Roman" w:eastAsia="Times New Roman" w:hAnsi="Times New Roman" w:cs="Times New Roman"/>
          <w:sz w:val="24"/>
          <w:szCs w:val="24"/>
          <w:lang w:val="en-GB"/>
        </w:rPr>
        <w:t>)</w:t>
      </w:r>
      <w:r w:rsidR="00024EEA" w:rsidRPr="00B31A23">
        <w:rPr>
          <w:rFonts w:ascii="Times New Roman" w:eastAsia="Times New Roman" w:hAnsi="Times New Roman" w:cs="Times New Roman"/>
          <w:sz w:val="24"/>
          <w:szCs w:val="24"/>
          <w:lang w:val="en-GB"/>
        </w:rPr>
        <w:t xml:space="preserve"> as statistically significant predictor</w:t>
      </w:r>
      <w:r w:rsidR="00516B9E" w:rsidRPr="00B31A23">
        <w:rPr>
          <w:rFonts w:ascii="Times New Roman" w:eastAsia="Times New Roman" w:hAnsi="Times New Roman" w:cs="Times New Roman"/>
          <w:sz w:val="24"/>
          <w:szCs w:val="24"/>
          <w:lang w:val="en-GB"/>
        </w:rPr>
        <w:t xml:space="preserve"> as opposed to </w:t>
      </w:r>
      <w:r w:rsidR="00024EEA" w:rsidRPr="00B31A23">
        <w:rPr>
          <w:rFonts w:ascii="Times New Roman" w:eastAsia="Times New Roman" w:hAnsi="Times New Roman" w:cs="Times New Roman"/>
          <w:sz w:val="24"/>
          <w:szCs w:val="24"/>
          <w:lang w:val="en-GB"/>
        </w:rPr>
        <w:t>all other variables</w:t>
      </w:r>
      <w:r w:rsidR="00DF2FF5" w:rsidRPr="00B31A23">
        <w:rPr>
          <w:rFonts w:ascii="Times New Roman" w:eastAsia="Times New Roman" w:hAnsi="Times New Roman" w:cs="Times New Roman"/>
          <w:sz w:val="24"/>
          <w:szCs w:val="24"/>
          <w:lang w:val="en-GB"/>
        </w:rPr>
        <w:t>,</w:t>
      </w:r>
      <w:r w:rsidR="00024EEA" w:rsidRPr="00B31A23">
        <w:rPr>
          <w:rFonts w:ascii="Times New Roman" w:eastAsia="Times New Roman" w:hAnsi="Times New Roman" w:cs="Times New Roman"/>
          <w:sz w:val="24"/>
          <w:szCs w:val="24"/>
          <w:lang w:val="en-GB"/>
        </w:rPr>
        <w:t xml:space="preserve"> which lost predictive </w:t>
      </w:r>
      <w:r w:rsidR="00516B9E" w:rsidRPr="00B31A23">
        <w:rPr>
          <w:rFonts w:ascii="Times New Roman" w:eastAsia="Times New Roman" w:hAnsi="Times New Roman" w:cs="Times New Roman"/>
          <w:sz w:val="24"/>
          <w:szCs w:val="24"/>
          <w:lang w:val="en-GB"/>
        </w:rPr>
        <w:t xml:space="preserve">power. </w:t>
      </w:r>
    </w:p>
    <w:p w14:paraId="70A91DAC" w14:textId="2163B52C" w:rsidR="00094336" w:rsidRPr="00B31A23" w:rsidRDefault="0073720E" w:rsidP="000A31E6">
      <w:pPr>
        <w:pStyle w:val="Corpo"/>
        <w:spacing w:line="480" w:lineRule="auto"/>
        <w:jc w:val="center"/>
        <w:rPr>
          <w:rFonts w:ascii="Times New Roman" w:hAnsi="Times New Roman" w:cs="Times New Roman"/>
          <w:b/>
          <w:bCs/>
          <w:sz w:val="24"/>
          <w:szCs w:val="24"/>
          <w:lang w:val="en-GB"/>
        </w:rPr>
      </w:pPr>
      <w:r w:rsidRPr="00B31A23">
        <w:rPr>
          <w:rFonts w:ascii="Times New Roman" w:hAnsi="Times New Roman" w:cs="Times New Roman"/>
          <w:b/>
          <w:bCs/>
          <w:sz w:val="24"/>
          <w:szCs w:val="24"/>
          <w:lang w:val="en-GB"/>
        </w:rPr>
        <w:t>Discussion</w:t>
      </w:r>
    </w:p>
    <w:p w14:paraId="531F7F26" w14:textId="0A9E9965" w:rsidR="00FF3135" w:rsidRPr="00B31A23" w:rsidRDefault="00626520" w:rsidP="00024EEA">
      <w:pPr>
        <w:pStyle w:val="Corpo"/>
        <w:spacing w:line="480" w:lineRule="auto"/>
        <w:jc w:val="both"/>
        <w:rPr>
          <w:rFonts w:ascii="Times New Roman" w:hAnsi="Times New Roman" w:cs="Times New Roman"/>
          <w:sz w:val="24"/>
          <w:szCs w:val="24"/>
          <w:lang w:val="en-GB"/>
        </w:rPr>
      </w:pPr>
      <w:r w:rsidRPr="00B31A23">
        <w:rPr>
          <w:rFonts w:ascii="Times New Roman" w:eastAsia="Times New Roman" w:hAnsi="Times New Roman" w:cs="Times New Roman"/>
          <w:sz w:val="24"/>
          <w:szCs w:val="24"/>
          <w:lang w:val="en-US"/>
        </w:rPr>
        <w:t xml:space="preserve">The present study aimed to investigate the relative contribution of </w:t>
      </w:r>
      <w:r w:rsidRPr="00B31A23">
        <w:rPr>
          <w:rFonts w:ascii="Times New Roman" w:eastAsia="Times New Roman" w:hAnsi="Times New Roman" w:cs="Times New Roman"/>
          <w:color w:val="auto"/>
          <w:sz w:val="24"/>
          <w:szCs w:val="24"/>
          <w:lang w:val="en-US"/>
        </w:rPr>
        <w:t xml:space="preserve">health cognitions </w:t>
      </w:r>
      <w:r w:rsidRPr="00B31A23">
        <w:rPr>
          <w:rFonts w:ascii="Times New Roman" w:eastAsia="Times New Roman" w:hAnsi="Times New Roman" w:cs="Times New Roman"/>
          <w:sz w:val="24"/>
          <w:szCs w:val="24"/>
          <w:lang w:val="en-US"/>
        </w:rPr>
        <w:t xml:space="preserve">and metacognitions about health anxiety to prospective Cyberchondria scores, controlling for health anxiety and </w:t>
      </w:r>
      <w:r w:rsidR="009605B5" w:rsidRPr="00B31A23">
        <w:rPr>
          <w:rFonts w:ascii="Times New Roman" w:hAnsi="Times New Roman" w:cs="Times New Roman"/>
          <w:sz w:val="24"/>
          <w:szCs w:val="24"/>
          <w:lang w:val="en-US"/>
        </w:rPr>
        <w:t xml:space="preserve">hours spent online </w:t>
      </w:r>
      <w:r w:rsidR="002539D1" w:rsidRPr="00B31A23">
        <w:rPr>
          <w:rFonts w:ascii="Times New Roman" w:hAnsi="Times New Roman" w:cs="Times New Roman"/>
          <w:sz w:val="24"/>
          <w:szCs w:val="24"/>
          <w:lang w:val="en-US"/>
        </w:rPr>
        <w:t>per day</w:t>
      </w:r>
      <w:r w:rsidR="009605B5" w:rsidRPr="00B31A23">
        <w:rPr>
          <w:rFonts w:ascii="Times New Roman" w:hAnsi="Times New Roman" w:cs="Times New Roman"/>
          <w:sz w:val="24"/>
          <w:szCs w:val="24"/>
          <w:lang w:val="en-US"/>
        </w:rPr>
        <w:t xml:space="preserve"> </w:t>
      </w:r>
      <w:r w:rsidRPr="00B31A23">
        <w:rPr>
          <w:rFonts w:ascii="Times New Roman" w:eastAsia="Times New Roman" w:hAnsi="Times New Roman" w:cs="Times New Roman"/>
          <w:sz w:val="24"/>
          <w:szCs w:val="24"/>
          <w:lang w:val="en-US"/>
        </w:rPr>
        <w:t xml:space="preserve">as these factors have been found to predict Cyberchondria. </w:t>
      </w:r>
      <w:r w:rsidR="00280DA3" w:rsidRPr="00B31A23">
        <w:rPr>
          <w:rFonts w:ascii="Times New Roman" w:hAnsi="Times New Roman" w:cs="Times New Roman"/>
          <w:sz w:val="24"/>
          <w:szCs w:val="24"/>
          <w:lang w:val="en-GB"/>
        </w:rPr>
        <w:t xml:space="preserve">The results supported most of the hypotheses </w:t>
      </w:r>
      <w:r w:rsidR="00024EEA" w:rsidRPr="00B31A23">
        <w:rPr>
          <w:rFonts w:ascii="Times New Roman" w:hAnsi="Times New Roman" w:cs="Times New Roman"/>
          <w:sz w:val="24"/>
          <w:szCs w:val="24"/>
          <w:lang w:val="en-GB"/>
        </w:rPr>
        <w:t>relating to the association</w:t>
      </w:r>
      <w:r w:rsidR="00280DA3" w:rsidRPr="00B31A23">
        <w:rPr>
          <w:rFonts w:ascii="Times New Roman" w:hAnsi="Times New Roman" w:cs="Times New Roman"/>
          <w:sz w:val="24"/>
          <w:szCs w:val="24"/>
          <w:lang w:val="en-GB"/>
        </w:rPr>
        <w:t xml:space="preserve"> between the </w:t>
      </w:r>
      <w:r w:rsidR="00A85936" w:rsidRPr="00B31A23">
        <w:rPr>
          <w:rFonts w:ascii="Times New Roman" w:hAnsi="Times New Roman" w:cs="Times New Roman"/>
          <w:sz w:val="24"/>
          <w:szCs w:val="24"/>
          <w:lang w:val="en-GB"/>
        </w:rPr>
        <w:t>predictor</w:t>
      </w:r>
      <w:r w:rsidR="00280DA3" w:rsidRPr="00B31A23">
        <w:rPr>
          <w:rFonts w:ascii="Times New Roman" w:hAnsi="Times New Roman" w:cs="Times New Roman"/>
          <w:sz w:val="24"/>
          <w:szCs w:val="24"/>
          <w:lang w:val="en-GB"/>
        </w:rPr>
        <w:t xml:space="preserve"> variables and the </w:t>
      </w:r>
      <w:r w:rsidR="00A85936" w:rsidRPr="00B31A23">
        <w:rPr>
          <w:rFonts w:ascii="Times New Roman" w:hAnsi="Times New Roman" w:cs="Times New Roman"/>
          <w:sz w:val="24"/>
          <w:szCs w:val="24"/>
          <w:lang w:val="en-GB"/>
        </w:rPr>
        <w:t>outcome</w:t>
      </w:r>
      <w:r w:rsidR="00280DA3" w:rsidRPr="00B31A23">
        <w:rPr>
          <w:rFonts w:ascii="Times New Roman" w:hAnsi="Times New Roman" w:cs="Times New Roman"/>
          <w:sz w:val="24"/>
          <w:szCs w:val="24"/>
          <w:lang w:val="en-GB"/>
        </w:rPr>
        <w:t xml:space="preserve"> variable. </w:t>
      </w:r>
      <w:r w:rsidR="00024EEA" w:rsidRPr="00B31A23">
        <w:rPr>
          <w:rFonts w:ascii="Times New Roman" w:hAnsi="Times New Roman" w:cs="Times New Roman"/>
          <w:sz w:val="24"/>
          <w:szCs w:val="24"/>
          <w:lang w:val="en-GB"/>
        </w:rPr>
        <w:t>Specifically</w:t>
      </w:r>
      <w:r w:rsidR="00280DA3" w:rsidRPr="00B31A23">
        <w:rPr>
          <w:rFonts w:ascii="Times New Roman" w:hAnsi="Times New Roman" w:cs="Times New Roman"/>
          <w:sz w:val="24"/>
          <w:szCs w:val="24"/>
          <w:lang w:val="en-GB"/>
        </w:rPr>
        <w:t xml:space="preserve">, health anxiety, </w:t>
      </w:r>
      <w:r w:rsidR="00024EEA" w:rsidRPr="00B31A23">
        <w:rPr>
          <w:rFonts w:ascii="Times New Roman" w:hAnsi="Times New Roman" w:cs="Times New Roman"/>
          <w:sz w:val="24"/>
          <w:szCs w:val="24"/>
          <w:lang w:val="en-GB"/>
        </w:rPr>
        <w:t>two</w:t>
      </w:r>
      <w:r w:rsidR="00280DA3" w:rsidRPr="00B31A23">
        <w:rPr>
          <w:rFonts w:ascii="Times New Roman" w:hAnsi="Times New Roman" w:cs="Times New Roman"/>
          <w:sz w:val="24"/>
          <w:szCs w:val="24"/>
          <w:lang w:val="en-GB"/>
        </w:rPr>
        <w:t xml:space="preserve"> </w:t>
      </w:r>
      <w:r w:rsidR="00024EEA" w:rsidRPr="00B31A23">
        <w:rPr>
          <w:rFonts w:ascii="Times New Roman" w:hAnsi="Times New Roman" w:cs="Times New Roman"/>
          <w:sz w:val="24"/>
          <w:szCs w:val="24"/>
          <w:lang w:val="en-GB"/>
        </w:rPr>
        <w:t xml:space="preserve">sub-scales of health cognitions, and all metacognitions about health anxiety </w:t>
      </w:r>
      <w:r w:rsidR="00280DA3" w:rsidRPr="00B31A23">
        <w:rPr>
          <w:rFonts w:ascii="Times New Roman" w:hAnsi="Times New Roman" w:cs="Times New Roman"/>
          <w:sz w:val="24"/>
          <w:szCs w:val="24"/>
          <w:lang w:val="en-GB"/>
        </w:rPr>
        <w:t xml:space="preserve">were positively correlated to </w:t>
      </w:r>
      <w:r w:rsidR="00024EEA" w:rsidRPr="00B31A23">
        <w:rPr>
          <w:rFonts w:ascii="Times New Roman" w:hAnsi="Times New Roman" w:cs="Times New Roman"/>
          <w:sz w:val="24"/>
          <w:szCs w:val="24"/>
          <w:lang w:val="en-GB"/>
        </w:rPr>
        <w:t>prospective C</w:t>
      </w:r>
      <w:r w:rsidR="00280DA3" w:rsidRPr="00B31A23">
        <w:rPr>
          <w:rFonts w:ascii="Times New Roman" w:hAnsi="Times New Roman" w:cs="Times New Roman"/>
          <w:sz w:val="24"/>
          <w:szCs w:val="24"/>
          <w:lang w:val="en-GB"/>
        </w:rPr>
        <w:t>yberchondria</w:t>
      </w:r>
      <w:r w:rsidR="00EB1CAD" w:rsidRPr="00B31A23">
        <w:rPr>
          <w:rFonts w:ascii="Times New Roman" w:hAnsi="Times New Roman" w:cs="Times New Roman"/>
          <w:sz w:val="24"/>
          <w:szCs w:val="24"/>
          <w:lang w:val="en-GB"/>
        </w:rPr>
        <w:t xml:space="preserve"> </w:t>
      </w:r>
      <w:r w:rsidR="00024EEA" w:rsidRPr="00B31A23">
        <w:rPr>
          <w:rFonts w:ascii="Times New Roman" w:hAnsi="Times New Roman" w:cs="Times New Roman"/>
          <w:sz w:val="24"/>
          <w:szCs w:val="24"/>
          <w:lang w:val="en-GB"/>
        </w:rPr>
        <w:t>scores</w:t>
      </w:r>
      <w:r w:rsidR="00280DA3" w:rsidRPr="00B31A23">
        <w:rPr>
          <w:rFonts w:ascii="Times New Roman" w:hAnsi="Times New Roman" w:cs="Times New Roman"/>
          <w:sz w:val="24"/>
          <w:szCs w:val="24"/>
          <w:lang w:val="en-GB"/>
        </w:rPr>
        <w:t xml:space="preserve">. </w:t>
      </w:r>
      <w:r w:rsidR="002539D1" w:rsidRPr="00B31A23">
        <w:rPr>
          <w:rFonts w:ascii="Times New Roman" w:hAnsi="Times New Roman" w:cs="Times New Roman"/>
          <w:sz w:val="24"/>
          <w:szCs w:val="24"/>
          <w:lang w:val="en-GB"/>
        </w:rPr>
        <w:t>Hours spend online per day</w:t>
      </w:r>
      <w:r w:rsidR="00280DA3" w:rsidRPr="00B31A23">
        <w:rPr>
          <w:rFonts w:ascii="Times New Roman" w:hAnsi="Times New Roman" w:cs="Times New Roman"/>
          <w:sz w:val="24"/>
          <w:szCs w:val="24"/>
          <w:lang w:val="en-GB"/>
        </w:rPr>
        <w:t xml:space="preserve"> and the </w:t>
      </w:r>
      <w:r w:rsidR="00EB1CAD" w:rsidRPr="00B31A23">
        <w:rPr>
          <w:rFonts w:ascii="Times New Roman" w:hAnsi="Times New Roman" w:cs="Times New Roman"/>
          <w:sz w:val="24"/>
          <w:szCs w:val="24"/>
          <w:lang w:val="en-GB"/>
        </w:rPr>
        <w:t>remaining</w:t>
      </w:r>
      <w:r w:rsidR="00280DA3" w:rsidRPr="00B31A23">
        <w:rPr>
          <w:rFonts w:ascii="Times New Roman" w:hAnsi="Times New Roman" w:cs="Times New Roman"/>
          <w:sz w:val="24"/>
          <w:szCs w:val="24"/>
          <w:lang w:val="en-GB"/>
        </w:rPr>
        <w:t xml:space="preserve"> </w:t>
      </w:r>
      <w:r w:rsidR="00024EEA" w:rsidRPr="00B31A23">
        <w:rPr>
          <w:rFonts w:ascii="Times New Roman" w:hAnsi="Times New Roman" w:cs="Times New Roman"/>
          <w:sz w:val="24"/>
          <w:szCs w:val="24"/>
          <w:lang w:val="en-GB"/>
        </w:rPr>
        <w:t xml:space="preserve">sub-scales of health cognition </w:t>
      </w:r>
      <w:r w:rsidR="00280DA3" w:rsidRPr="00B31A23">
        <w:rPr>
          <w:rFonts w:ascii="Times New Roman" w:hAnsi="Times New Roman" w:cs="Times New Roman"/>
          <w:sz w:val="24"/>
          <w:szCs w:val="24"/>
          <w:lang w:val="en-GB"/>
        </w:rPr>
        <w:t xml:space="preserve">were </w:t>
      </w:r>
      <w:r w:rsidR="00024EEA" w:rsidRPr="00B31A23">
        <w:rPr>
          <w:rFonts w:ascii="Times New Roman" w:hAnsi="Times New Roman" w:cs="Times New Roman"/>
          <w:sz w:val="24"/>
          <w:szCs w:val="24"/>
          <w:lang w:val="en-GB"/>
        </w:rPr>
        <w:t xml:space="preserve">not found to be positively correlated with </w:t>
      </w:r>
      <w:r w:rsidR="00C2554A" w:rsidRPr="00B31A23">
        <w:rPr>
          <w:rFonts w:ascii="Times New Roman" w:hAnsi="Times New Roman" w:cs="Times New Roman"/>
          <w:sz w:val="24"/>
          <w:szCs w:val="24"/>
          <w:lang w:val="en-GB"/>
        </w:rPr>
        <w:t>prospective Cyberchondria scores</w:t>
      </w:r>
      <w:r w:rsidR="00280DA3" w:rsidRPr="00B31A23">
        <w:rPr>
          <w:rFonts w:ascii="Times New Roman" w:hAnsi="Times New Roman" w:cs="Times New Roman"/>
          <w:sz w:val="24"/>
          <w:szCs w:val="24"/>
          <w:lang w:val="en-GB"/>
        </w:rPr>
        <w:t>.</w:t>
      </w:r>
      <w:r w:rsidR="00024EEA" w:rsidRPr="00B31A23">
        <w:rPr>
          <w:rFonts w:ascii="Times New Roman" w:hAnsi="Times New Roman" w:cs="Times New Roman"/>
          <w:sz w:val="24"/>
          <w:szCs w:val="24"/>
          <w:lang w:val="en-GB"/>
        </w:rPr>
        <w:t xml:space="preserve"> A multiple hierarchical regression analysis indicated </w:t>
      </w:r>
      <w:r w:rsidR="00FF3135" w:rsidRPr="00B31A23">
        <w:rPr>
          <w:rFonts w:ascii="Times New Roman" w:hAnsi="Times New Roman" w:cs="Times New Roman"/>
          <w:sz w:val="24"/>
          <w:szCs w:val="24"/>
          <w:lang w:val="en-GB"/>
        </w:rPr>
        <w:t xml:space="preserve">that a considerable </w:t>
      </w:r>
      <w:r w:rsidR="00024EEA" w:rsidRPr="00B31A23">
        <w:rPr>
          <w:rFonts w:ascii="Times New Roman" w:hAnsi="Times New Roman" w:cs="Times New Roman"/>
          <w:sz w:val="24"/>
          <w:szCs w:val="24"/>
          <w:lang w:val="en-GB"/>
        </w:rPr>
        <w:t>degree</w:t>
      </w:r>
      <w:r w:rsidR="00FF3135" w:rsidRPr="00B31A23">
        <w:rPr>
          <w:rFonts w:ascii="Times New Roman" w:hAnsi="Times New Roman" w:cs="Times New Roman"/>
          <w:sz w:val="24"/>
          <w:szCs w:val="24"/>
          <w:lang w:val="en-GB"/>
        </w:rPr>
        <w:t xml:space="preserve"> of variance emerged from the final model (approximately </w:t>
      </w:r>
      <w:r w:rsidR="009565E8" w:rsidRPr="00B31A23">
        <w:rPr>
          <w:rFonts w:ascii="Times New Roman" w:hAnsi="Times New Roman" w:cs="Times New Roman"/>
          <w:sz w:val="24"/>
          <w:szCs w:val="24"/>
          <w:lang w:val="en-GB"/>
        </w:rPr>
        <w:t>3</w:t>
      </w:r>
      <w:r w:rsidR="003B4668" w:rsidRPr="00B31A23">
        <w:rPr>
          <w:rFonts w:ascii="Times New Roman" w:hAnsi="Times New Roman" w:cs="Times New Roman"/>
          <w:sz w:val="24"/>
          <w:szCs w:val="24"/>
          <w:lang w:val="en-GB"/>
        </w:rPr>
        <w:t>0</w:t>
      </w:r>
      <w:r w:rsidR="00FF3135" w:rsidRPr="00B31A23">
        <w:rPr>
          <w:rFonts w:ascii="Times New Roman" w:hAnsi="Times New Roman" w:cs="Times New Roman"/>
          <w:sz w:val="24"/>
          <w:szCs w:val="24"/>
          <w:lang w:val="en-GB"/>
        </w:rPr>
        <w:t>%)</w:t>
      </w:r>
      <w:r w:rsidR="00024EEA" w:rsidRPr="00B31A23">
        <w:rPr>
          <w:rFonts w:ascii="Times New Roman" w:hAnsi="Times New Roman" w:cs="Times New Roman"/>
          <w:sz w:val="24"/>
          <w:szCs w:val="24"/>
          <w:lang w:val="en-GB"/>
        </w:rPr>
        <w:t xml:space="preserve"> with </w:t>
      </w:r>
      <w:r w:rsidR="00C2554A" w:rsidRPr="00B31A23">
        <w:rPr>
          <w:rFonts w:ascii="Times New Roman" w:hAnsi="Times New Roman" w:cs="Times New Roman"/>
          <w:sz w:val="24"/>
          <w:szCs w:val="24"/>
          <w:lang w:val="en-US"/>
        </w:rPr>
        <w:t>beliefs about the uncontrollability of thoughts</w:t>
      </w:r>
      <w:r w:rsidR="00024EEA" w:rsidRPr="00B31A23">
        <w:rPr>
          <w:rFonts w:ascii="Times New Roman" w:hAnsi="Times New Roman" w:cs="Times New Roman"/>
          <w:sz w:val="24"/>
          <w:szCs w:val="24"/>
          <w:lang w:val="en-GB"/>
        </w:rPr>
        <w:t xml:space="preserve"> emerging as the only significant predictor of prospective Cyberchondria scores.</w:t>
      </w:r>
    </w:p>
    <w:p w14:paraId="1864641B" w14:textId="48AB5AB9" w:rsidR="003E3F39" w:rsidRPr="00B31A23" w:rsidRDefault="003E3F39" w:rsidP="0050171D">
      <w:pPr>
        <w:pStyle w:val="Corpo"/>
        <w:spacing w:line="480" w:lineRule="auto"/>
        <w:ind w:firstLine="720"/>
        <w:jc w:val="both"/>
        <w:rPr>
          <w:rFonts w:ascii="Times New Roman" w:hAnsi="Times New Roman" w:cs="Times New Roman"/>
          <w:sz w:val="24"/>
          <w:szCs w:val="24"/>
          <w:lang w:val="en-GB"/>
        </w:rPr>
      </w:pPr>
      <w:r w:rsidRPr="00B31A23">
        <w:rPr>
          <w:rFonts w:ascii="Times New Roman" w:eastAsia="Times New Roman" w:hAnsi="Times New Roman" w:cs="Times New Roman"/>
          <w:sz w:val="24"/>
          <w:szCs w:val="24"/>
          <w:lang w:val="en-GB"/>
        </w:rPr>
        <w:t>These findings confirm</w:t>
      </w:r>
      <w:r w:rsidR="00255FE7" w:rsidRPr="00B31A23">
        <w:rPr>
          <w:rFonts w:ascii="Times New Roman" w:eastAsia="Times New Roman" w:hAnsi="Times New Roman" w:cs="Times New Roman"/>
          <w:sz w:val="24"/>
          <w:szCs w:val="24"/>
          <w:lang w:val="en-GB"/>
        </w:rPr>
        <w:t xml:space="preserve"> t</w:t>
      </w:r>
      <w:r w:rsidRPr="00B31A23">
        <w:rPr>
          <w:rFonts w:ascii="Times New Roman" w:eastAsia="Times New Roman" w:hAnsi="Times New Roman" w:cs="Times New Roman"/>
          <w:sz w:val="24"/>
          <w:szCs w:val="24"/>
          <w:lang w:val="en-GB"/>
        </w:rPr>
        <w:t xml:space="preserve">hat metacognitions about health anxiety predict </w:t>
      </w:r>
      <w:r w:rsidR="00C2554A" w:rsidRPr="00B31A23">
        <w:rPr>
          <w:rFonts w:ascii="Times New Roman" w:eastAsia="Times New Roman" w:hAnsi="Times New Roman" w:cs="Times New Roman"/>
          <w:sz w:val="24"/>
          <w:szCs w:val="24"/>
          <w:lang w:val="en-GB"/>
        </w:rPr>
        <w:t>prospective Cyberchondria scores</w:t>
      </w:r>
      <w:r w:rsidRPr="00B31A23">
        <w:rPr>
          <w:rFonts w:ascii="Times New Roman" w:eastAsia="Times New Roman" w:hAnsi="Times New Roman" w:cs="Times New Roman"/>
          <w:sz w:val="24"/>
          <w:szCs w:val="24"/>
          <w:lang w:val="en-GB"/>
        </w:rPr>
        <w:t xml:space="preserve">, </w:t>
      </w:r>
      <w:r w:rsidR="00784322" w:rsidRPr="00B31A23">
        <w:rPr>
          <w:rFonts w:ascii="Times New Roman" w:eastAsia="Times New Roman" w:hAnsi="Times New Roman" w:cs="Times New Roman"/>
          <w:sz w:val="24"/>
          <w:szCs w:val="24"/>
          <w:lang w:val="en-GB"/>
        </w:rPr>
        <w:t>offer</w:t>
      </w:r>
      <w:r w:rsidRPr="00B31A23">
        <w:rPr>
          <w:rFonts w:ascii="Times New Roman" w:eastAsia="Times New Roman" w:hAnsi="Times New Roman" w:cs="Times New Roman"/>
          <w:sz w:val="24"/>
          <w:szCs w:val="24"/>
          <w:lang w:val="en-GB"/>
        </w:rPr>
        <w:t>ing</w:t>
      </w:r>
      <w:r w:rsidR="00784322" w:rsidRPr="00B31A23">
        <w:rPr>
          <w:rFonts w:ascii="Times New Roman" w:eastAsia="Times New Roman" w:hAnsi="Times New Roman" w:cs="Times New Roman"/>
          <w:sz w:val="24"/>
          <w:szCs w:val="24"/>
          <w:lang w:val="en-GB"/>
        </w:rPr>
        <w:t xml:space="preserve"> further support to the metacognitive theoretical model of </w:t>
      </w:r>
      <w:r w:rsidRPr="00B31A23">
        <w:rPr>
          <w:rFonts w:ascii="Times New Roman" w:eastAsia="Times New Roman" w:hAnsi="Times New Roman" w:cs="Times New Roman"/>
          <w:sz w:val="24"/>
          <w:szCs w:val="24"/>
          <w:lang w:val="en-GB"/>
        </w:rPr>
        <w:lastRenderedPageBreak/>
        <w:t>C</w:t>
      </w:r>
      <w:r w:rsidR="00784322" w:rsidRPr="00B31A23">
        <w:rPr>
          <w:rFonts w:ascii="Times New Roman" w:eastAsia="Times New Roman" w:hAnsi="Times New Roman" w:cs="Times New Roman"/>
          <w:sz w:val="24"/>
          <w:szCs w:val="24"/>
          <w:lang w:val="en-GB"/>
        </w:rPr>
        <w:t>yberchondria by Fergus and Spada (2018</w:t>
      </w:r>
      <w:r w:rsidR="00F94C07" w:rsidRPr="00B31A23">
        <w:rPr>
          <w:rFonts w:ascii="Times New Roman" w:eastAsia="Times New Roman" w:hAnsi="Times New Roman" w:cs="Times New Roman"/>
          <w:sz w:val="24"/>
          <w:szCs w:val="24"/>
          <w:lang w:val="en-GB"/>
        </w:rPr>
        <w:t>)</w:t>
      </w:r>
      <w:r w:rsidR="00784322" w:rsidRPr="00B31A23">
        <w:rPr>
          <w:rFonts w:ascii="Times New Roman" w:eastAsia="Times New Roman" w:hAnsi="Times New Roman" w:cs="Times New Roman"/>
          <w:sz w:val="24"/>
          <w:szCs w:val="24"/>
          <w:lang w:val="en-GB"/>
        </w:rPr>
        <w:t xml:space="preserve">. </w:t>
      </w:r>
      <w:r w:rsidRPr="00B31A23">
        <w:rPr>
          <w:rFonts w:ascii="Times New Roman" w:eastAsia="Times New Roman" w:hAnsi="Times New Roman" w:cs="Times New Roman"/>
          <w:sz w:val="24"/>
          <w:szCs w:val="24"/>
          <w:lang w:val="en-GB"/>
        </w:rPr>
        <w:t>In addition, the findings show the lack of predictive power of health cognitions when juxtaposed to metacognitions about health anxiety.  Although other research has shown significant correlations between health cognitions and online compulsive symptom-seeking behaviour online (</w:t>
      </w:r>
      <w:bookmarkStart w:id="2" w:name="bbib0055"/>
      <w:r w:rsidRPr="00B31A23">
        <w:rPr>
          <w:rFonts w:ascii="Times New Roman" w:eastAsia="Times New Roman" w:hAnsi="Times New Roman" w:cs="Times New Roman"/>
          <w:sz w:val="24"/>
          <w:szCs w:val="24"/>
          <w:lang w:val="en-GB"/>
        </w:rPr>
        <w:fldChar w:fldCharType="begin"/>
      </w:r>
      <w:r w:rsidRPr="00B31A23">
        <w:rPr>
          <w:rFonts w:ascii="Times New Roman" w:eastAsia="Times New Roman" w:hAnsi="Times New Roman" w:cs="Times New Roman"/>
          <w:sz w:val="24"/>
          <w:szCs w:val="24"/>
          <w:lang w:val="en-GB"/>
        </w:rPr>
        <w:instrText xml:space="preserve"> HYPERLINK "https://www.sciencedirect.com/science/article/pii/S0887618520300530" \l "bib0055" </w:instrText>
      </w:r>
      <w:r w:rsidRPr="00B31A23">
        <w:rPr>
          <w:rFonts w:ascii="Times New Roman" w:eastAsia="Times New Roman" w:hAnsi="Times New Roman" w:cs="Times New Roman"/>
          <w:sz w:val="24"/>
          <w:szCs w:val="24"/>
          <w:lang w:val="en-GB"/>
        </w:rPr>
        <w:fldChar w:fldCharType="separate"/>
      </w:r>
      <w:r w:rsidRPr="00B31A23">
        <w:rPr>
          <w:rFonts w:ascii="Times New Roman" w:eastAsia="Times New Roman" w:hAnsi="Times New Roman" w:cs="Times New Roman"/>
          <w:sz w:val="24"/>
          <w:szCs w:val="24"/>
          <w:lang w:val="en-GB"/>
        </w:rPr>
        <w:t>Brown, Skelly &amp; Chew-Graham, 2019</w:t>
      </w:r>
      <w:r w:rsidRPr="00B31A23">
        <w:rPr>
          <w:rFonts w:ascii="Times New Roman" w:eastAsia="Times New Roman" w:hAnsi="Times New Roman" w:cs="Times New Roman"/>
          <w:sz w:val="24"/>
          <w:szCs w:val="24"/>
          <w:lang w:val="en-GB"/>
        </w:rPr>
        <w:fldChar w:fldCharType="end"/>
      </w:r>
      <w:bookmarkEnd w:id="2"/>
      <w:r w:rsidRPr="00B31A23">
        <w:rPr>
          <w:rFonts w:ascii="Times New Roman" w:eastAsia="Times New Roman" w:hAnsi="Times New Roman" w:cs="Times New Roman"/>
          <w:sz w:val="24"/>
          <w:szCs w:val="24"/>
          <w:lang w:val="en-GB"/>
        </w:rPr>
        <w:t>; </w:t>
      </w:r>
      <w:bookmarkStart w:id="3" w:name="bbib0235"/>
      <w:r w:rsidRPr="00B31A23">
        <w:rPr>
          <w:rFonts w:ascii="Times New Roman" w:eastAsia="Times New Roman" w:hAnsi="Times New Roman" w:cs="Times New Roman"/>
          <w:sz w:val="24"/>
          <w:szCs w:val="24"/>
          <w:lang w:val="en-GB"/>
        </w:rPr>
        <w:fldChar w:fldCharType="begin"/>
      </w:r>
      <w:r w:rsidRPr="00B31A23">
        <w:rPr>
          <w:rFonts w:ascii="Times New Roman" w:eastAsia="Times New Roman" w:hAnsi="Times New Roman" w:cs="Times New Roman"/>
          <w:sz w:val="24"/>
          <w:szCs w:val="24"/>
          <w:lang w:val="en-GB"/>
        </w:rPr>
        <w:instrText xml:space="preserve"> HYPERLINK "https://www.sciencedirect.com/science/article/pii/S0887618520300530" \l "bib0235" </w:instrText>
      </w:r>
      <w:r w:rsidRPr="00B31A23">
        <w:rPr>
          <w:rFonts w:ascii="Times New Roman" w:eastAsia="Times New Roman" w:hAnsi="Times New Roman" w:cs="Times New Roman"/>
          <w:sz w:val="24"/>
          <w:szCs w:val="24"/>
          <w:lang w:val="en-GB"/>
        </w:rPr>
        <w:fldChar w:fldCharType="separate"/>
      </w:r>
      <w:r w:rsidRPr="00B31A23">
        <w:rPr>
          <w:rFonts w:ascii="Times New Roman" w:eastAsia="Times New Roman" w:hAnsi="Times New Roman" w:cs="Times New Roman"/>
          <w:sz w:val="24"/>
          <w:szCs w:val="24"/>
          <w:lang w:val="en-GB"/>
        </w:rPr>
        <w:t>McMullan, Berle, Arnáez, &amp; Starcevic, 2019</w:t>
      </w:r>
      <w:r w:rsidRPr="00B31A23">
        <w:rPr>
          <w:rFonts w:ascii="Times New Roman" w:eastAsia="Times New Roman" w:hAnsi="Times New Roman" w:cs="Times New Roman"/>
          <w:sz w:val="24"/>
          <w:szCs w:val="24"/>
          <w:lang w:val="en-GB"/>
        </w:rPr>
        <w:fldChar w:fldCharType="end"/>
      </w:r>
      <w:bookmarkEnd w:id="3"/>
      <w:r w:rsidRPr="00B31A23">
        <w:rPr>
          <w:rFonts w:ascii="Times New Roman" w:eastAsia="Times New Roman" w:hAnsi="Times New Roman" w:cs="Times New Roman"/>
          <w:sz w:val="24"/>
          <w:szCs w:val="24"/>
          <w:lang w:val="en-GB"/>
        </w:rPr>
        <w:t xml:space="preserve">), the results of our study would appear to suggest that these constructs </w:t>
      </w:r>
      <w:r w:rsidR="00A674BB" w:rsidRPr="00B31A23">
        <w:rPr>
          <w:rFonts w:ascii="Times New Roman" w:eastAsia="Times New Roman" w:hAnsi="Times New Roman" w:cs="Times New Roman"/>
          <w:sz w:val="24"/>
          <w:szCs w:val="24"/>
          <w:lang w:val="en-GB"/>
        </w:rPr>
        <w:t>could, possibly,</w:t>
      </w:r>
      <w:r w:rsidRPr="00B31A23">
        <w:rPr>
          <w:rFonts w:ascii="Times New Roman" w:eastAsia="Times New Roman" w:hAnsi="Times New Roman" w:cs="Times New Roman"/>
          <w:sz w:val="24"/>
          <w:szCs w:val="24"/>
          <w:lang w:val="en-GB"/>
        </w:rPr>
        <w:t xml:space="preserve"> </w:t>
      </w:r>
      <w:r w:rsidR="00A674BB" w:rsidRPr="00B31A23">
        <w:rPr>
          <w:rFonts w:ascii="Times New Roman" w:eastAsia="Times New Roman" w:hAnsi="Times New Roman" w:cs="Times New Roman"/>
          <w:sz w:val="24"/>
          <w:szCs w:val="24"/>
          <w:lang w:val="en-GB"/>
        </w:rPr>
        <w:t xml:space="preserve">be </w:t>
      </w:r>
      <w:r w:rsidRPr="00B31A23">
        <w:rPr>
          <w:rFonts w:ascii="Times New Roman" w:eastAsia="Times New Roman" w:hAnsi="Times New Roman" w:cs="Times New Roman"/>
          <w:sz w:val="24"/>
          <w:szCs w:val="24"/>
          <w:lang w:val="en-GB"/>
        </w:rPr>
        <w:t>non-causal dimensions in understanding Cyberchondria. In other words, ‘content of cognition’ relating to health (</w:t>
      </w:r>
      <w:r w:rsidR="008B13F2" w:rsidRPr="00B31A23">
        <w:rPr>
          <w:rFonts w:ascii="Times New Roman" w:eastAsia="Times New Roman" w:hAnsi="Times New Roman" w:cs="Times New Roman"/>
          <w:sz w:val="24"/>
          <w:szCs w:val="24"/>
          <w:lang w:val="en-GB"/>
        </w:rPr>
        <w:t xml:space="preserve">i.e., </w:t>
      </w:r>
      <w:r w:rsidRPr="00B31A23">
        <w:rPr>
          <w:rFonts w:ascii="Times New Roman" w:eastAsia="Times New Roman" w:hAnsi="Times New Roman" w:cs="Times New Roman"/>
          <w:sz w:val="24"/>
          <w:szCs w:val="24"/>
          <w:lang w:val="en-GB"/>
        </w:rPr>
        <w:t xml:space="preserve">beliefs about </w:t>
      </w:r>
      <w:r w:rsidRPr="00B31A23">
        <w:rPr>
          <w:rFonts w:ascii="Times New Roman" w:hAnsi="Times New Roman" w:cs="Times New Roman"/>
          <w:sz w:val="24"/>
          <w:szCs w:val="24"/>
          <w:lang w:val="en-US"/>
        </w:rPr>
        <w:t>the likelihood of illness, the awfulness of illness,</w:t>
      </w:r>
      <w:r w:rsidR="008B13F2" w:rsidRPr="00B31A23">
        <w:rPr>
          <w:rFonts w:ascii="Times New Roman" w:hAnsi="Times New Roman" w:cs="Times New Roman"/>
          <w:sz w:val="24"/>
          <w:szCs w:val="24"/>
          <w:lang w:val="en-US"/>
        </w:rPr>
        <w:t xml:space="preserve"> and</w:t>
      </w:r>
      <w:r w:rsidRPr="00B31A23">
        <w:rPr>
          <w:rFonts w:ascii="Times New Roman" w:hAnsi="Times New Roman" w:cs="Times New Roman"/>
          <w:sz w:val="24"/>
          <w:szCs w:val="24"/>
          <w:lang w:val="en-US"/>
        </w:rPr>
        <w:t xml:space="preserve"> difficulty in coping and medical service inadequacy) </w:t>
      </w:r>
      <w:r w:rsidR="00A674BB" w:rsidRPr="00B31A23">
        <w:rPr>
          <w:rFonts w:ascii="Times New Roman" w:hAnsi="Times New Roman" w:cs="Times New Roman"/>
          <w:sz w:val="24"/>
          <w:szCs w:val="24"/>
          <w:lang w:val="en-US"/>
        </w:rPr>
        <w:t xml:space="preserve">may </w:t>
      </w:r>
      <w:r w:rsidRPr="00B31A23">
        <w:rPr>
          <w:rFonts w:ascii="Times New Roman" w:hAnsi="Times New Roman" w:cs="Times New Roman"/>
          <w:sz w:val="24"/>
          <w:szCs w:val="24"/>
          <w:lang w:val="en-US"/>
        </w:rPr>
        <w:t>have an impact o</w:t>
      </w:r>
      <w:r w:rsidR="00A674BB" w:rsidRPr="00B31A23">
        <w:rPr>
          <w:rFonts w:ascii="Times New Roman" w:hAnsi="Times New Roman" w:cs="Times New Roman"/>
          <w:sz w:val="24"/>
          <w:szCs w:val="24"/>
          <w:lang w:val="en-US"/>
        </w:rPr>
        <w:t>n</w:t>
      </w:r>
      <w:r w:rsidRPr="00B31A23">
        <w:rPr>
          <w:rFonts w:ascii="Times New Roman" w:hAnsi="Times New Roman" w:cs="Times New Roman"/>
          <w:sz w:val="24"/>
          <w:szCs w:val="24"/>
          <w:lang w:val="en-US"/>
        </w:rPr>
        <w:t xml:space="preserve"> </w:t>
      </w:r>
      <w:r w:rsidRPr="00B31A23">
        <w:rPr>
          <w:rFonts w:ascii="Times New Roman" w:hAnsi="Times New Roman" w:cs="Times New Roman"/>
          <w:sz w:val="24"/>
          <w:szCs w:val="24"/>
          <w:lang w:val="en-GB"/>
        </w:rPr>
        <w:t xml:space="preserve">prospective Cyberchondria scores through </w:t>
      </w:r>
      <w:r w:rsidR="00C2554A" w:rsidRPr="00B31A23">
        <w:rPr>
          <w:rFonts w:ascii="Times New Roman" w:hAnsi="Times New Roman" w:cs="Times New Roman"/>
          <w:sz w:val="24"/>
          <w:szCs w:val="24"/>
          <w:lang w:val="en-US"/>
        </w:rPr>
        <w:t>beliefs about the uncontrollability of thoughts</w:t>
      </w:r>
      <w:r w:rsidR="00C2554A"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lang w:val="en-GB"/>
        </w:rPr>
        <w:t xml:space="preserve">(metacognitions). </w:t>
      </w:r>
      <w:r w:rsidR="008E0516" w:rsidRPr="00B31A23">
        <w:rPr>
          <w:rFonts w:ascii="Times New Roman" w:hAnsi="Times New Roman" w:cs="Times New Roman"/>
          <w:sz w:val="24"/>
          <w:szCs w:val="24"/>
          <w:lang w:val="en-GB"/>
        </w:rPr>
        <w:t>This might be because t</w:t>
      </w:r>
      <w:r w:rsidR="007E2434" w:rsidRPr="00B31A23">
        <w:rPr>
          <w:rFonts w:ascii="Times New Roman" w:hAnsi="Times New Roman" w:cs="Times New Roman"/>
          <w:sz w:val="24"/>
          <w:szCs w:val="24"/>
          <w:lang w:val="en-GB"/>
        </w:rPr>
        <w:t>he</w:t>
      </w:r>
      <w:r w:rsidR="00A674BB" w:rsidRPr="00B31A23">
        <w:rPr>
          <w:rFonts w:ascii="Times New Roman" w:hAnsi="Times New Roman" w:cs="Times New Roman"/>
          <w:sz w:val="24"/>
          <w:szCs w:val="24"/>
          <w:lang w:val="en-GB"/>
        </w:rPr>
        <w:t>se</w:t>
      </w:r>
      <w:r w:rsidR="007E2434" w:rsidRPr="00B31A23">
        <w:rPr>
          <w:rFonts w:ascii="Times New Roman" w:hAnsi="Times New Roman" w:cs="Times New Roman"/>
          <w:sz w:val="24"/>
          <w:szCs w:val="24"/>
          <w:lang w:val="en-GB"/>
        </w:rPr>
        <w:t xml:space="preserve"> </w:t>
      </w:r>
      <w:r w:rsidR="00A674BB" w:rsidRPr="00B31A23">
        <w:rPr>
          <w:rFonts w:ascii="Times New Roman" w:hAnsi="Times New Roman" w:cs="Times New Roman"/>
          <w:sz w:val="24"/>
          <w:szCs w:val="24"/>
          <w:lang w:val="en-GB"/>
        </w:rPr>
        <w:t xml:space="preserve">metacognitions </w:t>
      </w:r>
      <w:r w:rsidR="007E2434" w:rsidRPr="00B31A23">
        <w:rPr>
          <w:rFonts w:ascii="Times New Roman" w:hAnsi="Times New Roman" w:cs="Times New Roman"/>
          <w:sz w:val="24"/>
          <w:szCs w:val="24"/>
          <w:lang w:val="en-GB"/>
        </w:rPr>
        <w:t>are linked to the activation of maladaptive forms of self-regulation</w:t>
      </w:r>
      <w:r w:rsidR="008E0516" w:rsidRPr="00B31A23">
        <w:rPr>
          <w:rFonts w:ascii="Times New Roman" w:hAnsi="Times New Roman" w:cs="Times New Roman"/>
          <w:sz w:val="24"/>
          <w:szCs w:val="24"/>
          <w:lang w:val="en-GB"/>
        </w:rPr>
        <w:t xml:space="preserve">, </w:t>
      </w:r>
      <w:r w:rsidR="007E2434" w:rsidRPr="00B31A23">
        <w:rPr>
          <w:rFonts w:ascii="Times New Roman" w:hAnsi="Times New Roman" w:cs="Times New Roman"/>
          <w:sz w:val="24"/>
          <w:szCs w:val="24"/>
          <w:lang w:val="en-GB"/>
        </w:rPr>
        <w:t>such as worry, rumination and thought suppression</w:t>
      </w:r>
      <w:r w:rsidR="008E0516" w:rsidRPr="00B31A23">
        <w:rPr>
          <w:rFonts w:ascii="Times New Roman" w:hAnsi="Times New Roman" w:cs="Times New Roman"/>
          <w:sz w:val="24"/>
          <w:szCs w:val="24"/>
          <w:lang w:val="en-GB"/>
        </w:rPr>
        <w:t>,</w:t>
      </w:r>
      <w:r w:rsidR="007E2434" w:rsidRPr="00B31A23">
        <w:rPr>
          <w:rFonts w:ascii="Times New Roman" w:hAnsi="Times New Roman" w:cs="Times New Roman"/>
          <w:sz w:val="24"/>
          <w:szCs w:val="24"/>
          <w:lang w:val="en-GB"/>
        </w:rPr>
        <w:t xml:space="preserve"> which are likely to exacerbate the impact of health cognitions leading to an escalation of negative affect and a greater likelihood of engaging in Cyberchondria as a means of cognitive-affective self-regulation (Fergus &amp; Spada, 201</w:t>
      </w:r>
      <w:r w:rsidR="0050171D" w:rsidRPr="00B31A23">
        <w:rPr>
          <w:rFonts w:ascii="Times New Roman" w:hAnsi="Times New Roman" w:cs="Times New Roman"/>
          <w:sz w:val="24"/>
          <w:szCs w:val="24"/>
          <w:lang w:val="en-GB"/>
        </w:rPr>
        <w:t>7</w:t>
      </w:r>
      <w:r w:rsidR="007E2434" w:rsidRPr="00B31A23">
        <w:rPr>
          <w:rFonts w:ascii="Times New Roman" w:hAnsi="Times New Roman" w:cs="Times New Roman"/>
          <w:sz w:val="24"/>
          <w:szCs w:val="24"/>
          <w:lang w:val="en-GB"/>
        </w:rPr>
        <w:t>; 2018). In this sense, metacognitions can be construed as a ‘bridge’ from</w:t>
      </w:r>
      <w:r w:rsidR="00DF327C" w:rsidRPr="00B31A23">
        <w:rPr>
          <w:rFonts w:ascii="Times New Roman" w:hAnsi="Times New Roman" w:cs="Times New Roman"/>
          <w:sz w:val="24"/>
          <w:szCs w:val="24"/>
          <w:lang w:val="en-GB"/>
        </w:rPr>
        <w:t xml:space="preserve"> disturbing, but</w:t>
      </w:r>
      <w:r w:rsidR="007E2434" w:rsidRPr="00B31A23">
        <w:rPr>
          <w:rFonts w:ascii="Times New Roman" w:hAnsi="Times New Roman" w:cs="Times New Roman"/>
          <w:sz w:val="24"/>
          <w:szCs w:val="24"/>
          <w:lang w:val="en-GB"/>
        </w:rPr>
        <w:t xml:space="preserve"> manageable</w:t>
      </w:r>
      <w:r w:rsidR="00412946" w:rsidRPr="00B31A23">
        <w:rPr>
          <w:rFonts w:ascii="Times New Roman" w:hAnsi="Times New Roman" w:cs="Times New Roman"/>
          <w:sz w:val="24"/>
          <w:szCs w:val="24"/>
          <w:lang w:val="en-GB"/>
        </w:rPr>
        <w:t>,</w:t>
      </w:r>
      <w:r w:rsidR="007E2434" w:rsidRPr="00B31A23">
        <w:rPr>
          <w:rFonts w:ascii="Times New Roman" w:hAnsi="Times New Roman" w:cs="Times New Roman"/>
          <w:sz w:val="24"/>
          <w:szCs w:val="24"/>
          <w:lang w:val="en-GB"/>
        </w:rPr>
        <w:t xml:space="preserve"> thoughts about health to the escalation of threat to such levels that Cyberchondria is employed as a means of reducing this threat.</w:t>
      </w:r>
      <w:r w:rsidR="00B64209" w:rsidRPr="00B31A23">
        <w:rPr>
          <w:rFonts w:ascii="Times New Roman" w:hAnsi="Times New Roman" w:cs="Times New Roman"/>
          <w:sz w:val="24"/>
          <w:szCs w:val="24"/>
          <w:lang w:val="en-GB"/>
        </w:rPr>
        <w:t xml:space="preserve"> Over time, beliefs about the uncontrollability of thoughts are likely to become reinforced through the emergence of Cyberchondriac behaviour, locking the person into increasing levels of psychological distress.</w:t>
      </w:r>
    </w:p>
    <w:p w14:paraId="3F5FC4DD" w14:textId="408FABE1" w:rsidR="007E2434" w:rsidRPr="00B31A23" w:rsidRDefault="007E2434" w:rsidP="00FB543F">
      <w:pPr>
        <w:pStyle w:val="Corpo"/>
        <w:spacing w:line="480" w:lineRule="auto"/>
        <w:ind w:firstLine="720"/>
        <w:jc w:val="both"/>
        <w:rPr>
          <w:rFonts w:ascii="Times New Roman" w:eastAsia="Times New Roman" w:hAnsi="Times New Roman" w:cs="Times New Roman"/>
          <w:sz w:val="24"/>
          <w:szCs w:val="24"/>
          <w:lang w:val="en-GB"/>
        </w:rPr>
      </w:pPr>
      <w:r w:rsidRPr="00B31A23">
        <w:rPr>
          <w:rFonts w:ascii="Times New Roman" w:eastAsia="Times New Roman" w:hAnsi="Times New Roman" w:cs="Times New Roman"/>
          <w:sz w:val="24"/>
          <w:szCs w:val="24"/>
          <w:lang w:val="en-GB"/>
        </w:rPr>
        <w:t>The findings of this study confirm that Metacognitive Therapy (Wells, 200</w:t>
      </w:r>
      <w:r w:rsidR="001722DD" w:rsidRPr="00B31A23">
        <w:rPr>
          <w:rFonts w:ascii="Times New Roman" w:eastAsia="Times New Roman" w:hAnsi="Times New Roman" w:cs="Times New Roman"/>
          <w:sz w:val="24"/>
          <w:szCs w:val="24"/>
          <w:lang w:val="en-GB"/>
        </w:rPr>
        <w:t>9</w:t>
      </w:r>
      <w:r w:rsidRPr="00B31A23">
        <w:rPr>
          <w:rFonts w:ascii="Times New Roman" w:eastAsia="Times New Roman" w:hAnsi="Times New Roman" w:cs="Times New Roman"/>
          <w:sz w:val="24"/>
          <w:szCs w:val="24"/>
          <w:lang w:val="en-GB"/>
        </w:rPr>
        <w:t>) may be of value in tackling metacognitions about health anxiety. This form of therapy has found success in the treatment of many anxiety disorders (</w:t>
      </w:r>
      <w:r w:rsidR="00B73A0B" w:rsidRPr="00B31A23">
        <w:rPr>
          <w:rFonts w:ascii="Times New Roman" w:eastAsia="Times New Roman" w:hAnsi="Times New Roman" w:cs="Times New Roman"/>
          <w:sz w:val="24"/>
          <w:szCs w:val="24"/>
          <w:lang w:val="en-GB"/>
        </w:rPr>
        <w:t>Normann &amp; Morina, 2018</w:t>
      </w:r>
      <w:r w:rsidRPr="00B31A23">
        <w:rPr>
          <w:rFonts w:ascii="Times New Roman" w:eastAsia="Times New Roman" w:hAnsi="Times New Roman" w:cs="Times New Roman"/>
          <w:sz w:val="24"/>
          <w:szCs w:val="24"/>
          <w:lang w:val="en-GB"/>
        </w:rPr>
        <w:t>). It focuses on challenging metacognitions through Socratic questioning and utilising strategies such as detached mindfulness and attention training to develop metacognitive distancing from one’s thoughts (e.g.</w:t>
      </w:r>
      <w:r w:rsidR="00CC2B97" w:rsidRPr="00B31A23">
        <w:rPr>
          <w:rFonts w:ascii="Times New Roman" w:eastAsia="Times New Roman" w:hAnsi="Times New Roman" w:cs="Times New Roman"/>
          <w:sz w:val="24"/>
          <w:szCs w:val="24"/>
          <w:lang w:val="en-GB"/>
        </w:rPr>
        <w:t>,</w:t>
      </w:r>
      <w:r w:rsidRPr="00B31A23">
        <w:rPr>
          <w:rFonts w:ascii="Times New Roman" w:eastAsia="Times New Roman" w:hAnsi="Times New Roman" w:cs="Times New Roman"/>
          <w:sz w:val="24"/>
          <w:szCs w:val="24"/>
          <w:lang w:val="en-GB"/>
        </w:rPr>
        <w:t xml:space="preserve"> health cognitions, in our example). These strategies, combined with the </w:t>
      </w:r>
      <w:r w:rsidRPr="00B31A23">
        <w:rPr>
          <w:rFonts w:ascii="Times New Roman" w:eastAsia="Times New Roman" w:hAnsi="Times New Roman" w:cs="Times New Roman"/>
          <w:sz w:val="24"/>
          <w:szCs w:val="24"/>
          <w:lang w:val="en-GB"/>
        </w:rPr>
        <w:lastRenderedPageBreak/>
        <w:t>postponement of engaging in perseverative thinking styles</w:t>
      </w:r>
      <w:r w:rsidR="00280B25" w:rsidRPr="00B31A23">
        <w:rPr>
          <w:rFonts w:ascii="Times New Roman" w:eastAsia="Times New Roman" w:hAnsi="Times New Roman" w:cs="Times New Roman"/>
          <w:sz w:val="24"/>
          <w:szCs w:val="24"/>
          <w:lang w:val="en-GB"/>
        </w:rPr>
        <w:t>, such as</w:t>
      </w:r>
      <w:r w:rsidRPr="00B31A23">
        <w:rPr>
          <w:rFonts w:ascii="Times New Roman" w:eastAsia="Times New Roman" w:hAnsi="Times New Roman" w:cs="Times New Roman"/>
          <w:sz w:val="24"/>
          <w:szCs w:val="24"/>
          <w:lang w:val="en-GB"/>
        </w:rPr>
        <w:t xml:space="preserve"> worry and rumination, are believed to bring significant improvements in cognitive-affective states.</w:t>
      </w:r>
    </w:p>
    <w:p w14:paraId="2DD0F508" w14:textId="372DE22F" w:rsidR="00626520" w:rsidRPr="00B31A23" w:rsidRDefault="00626520" w:rsidP="00626520">
      <w:pPr>
        <w:pStyle w:val="Corpo"/>
        <w:spacing w:line="480" w:lineRule="auto"/>
        <w:jc w:val="both"/>
        <w:rPr>
          <w:rFonts w:ascii="Times New Roman" w:eastAsia="Times New Roman" w:hAnsi="Times New Roman" w:cs="Times New Roman"/>
          <w:b/>
          <w:bCs/>
          <w:sz w:val="24"/>
          <w:szCs w:val="24"/>
          <w:lang w:val="en-GB"/>
        </w:rPr>
      </w:pPr>
      <w:r w:rsidRPr="00B31A23">
        <w:rPr>
          <w:rFonts w:ascii="Times New Roman" w:eastAsia="Times New Roman" w:hAnsi="Times New Roman" w:cs="Times New Roman"/>
          <w:b/>
          <w:bCs/>
          <w:sz w:val="24"/>
          <w:szCs w:val="24"/>
          <w:lang w:val="en-GB"/>
        </w:rPr>
        <w:t>Limitations</w:t>
      </w:r>
    </w:p>
    <w:p w14:paraId="75F95407" w14:textId="3B263B51" w:rsidR="00626520" w:rsidRPr="00B31A23" w:rsidRDefault="007E2434" w:rsidP="00A277B0">
      <w:pPr>
        <w:pStyle w:val="Corpo"/>
        <w:spacing w:line="480" w:lineRule="auto"/>
        <w:ind w:firstLine="720"/>
        <w:jc w:val="both"/>
        <w:rPr>
          <w:rFonts w:ascii="Times New Roman" w:eastAsia="Times New Roman" w:hAnsi="Times New Roman" w:cs="Times New Roman"/>
          <w:sz w:val="24"/>
          <w:szCs w:val="24"/>
          <w:lang w:val="en-GB"/>
        </w:rPr>
      </w:pPr>
      <w:r w:rsidRPr="00B31A23">
        <w:rPr>
          <w:rFonts w:ascii="Times New Roman" w:eastAsia="Times New Roman" w:hAnsi="Times New Roman" w:cs="Times New Roman"/>
          <w:sz w:val="24"/>
          <w:szCs w:val="24"/>
          <w:lang w:val="en-GB"/>
        </w:rPr>
        <w:t>This study has several limitations that need to be acknowledged.</w:t>
      </w:r>
      <w:r w:rsidR="00B20122" w:rsidRPr="00B31A23">
        <w:rPr>
          <w:rFonts w:ascii="Times New Roman" w:eastAsia="Times New Roman" w:hAnsi="Times New Roman" w:cs="Times New Roman"/>
          <w:sz w:val="24"/>
          <w:szCs w:val="24"/>
          <w:lang w:val="en-GB"/>
        </w:rPr>
        <w:t xml:space="preserve"> </w:t>
      </w:r>
      <w:r w:rsidR="007E2800" w:rsidRPr="00B31A23">
        <w:rPr>
          <w:rFonts w:ascii="Times New Roman" w:eastAsia="Times New Roman" w:hAnsi="Times New Roman" w:cs="Times New Roman"/>
          <w:sz w:val="24"/>
          <w:szCs w:val="24"/>
          <w:lang w:val="en-GB"/>
        </w:rPr>
        <w:t>First</w:t>
      </w:r>
      <w:r w:rsidR="00B20122" w:rsidRPr="00B31A23">
        <w:rPr>
          <w:rFonts w:ascii="Times New Roman" w:eastAsia="Times New Roman" w:hAnsi="Times New Roman" w:cs="Times New Roman"/>
          <w:sz w:val="24"/>
          <w:szCs w:val="24"/>
          <w:lang w:val="en-GB"/>
        </w:rPr>
        <w:t xml:space="preserve">, the sample </w:t>
      </w:r>
      <w:r w:rsidRPr="00B31A23">
        <w:rPr>
          <w:rFonts w:ascii="Times New Roman" w:eastAsia="Times New Roman" w:hAnsi="Times New Roman" w:cs="Times New Roman"/>
          <w:sz w:val="24"/>
          <w:szCs w:val="24"/>
          <w:lang w:val="en-GB"/>
        </w:rPr>
        <w:t>comprised of</w:t>
      </w:r>
      <w:r w:rsidR="00B20122" w:rsidRPr="00B31A23">
        <w:rPr>
          <w:rFonts w:ascii="Times New Roman" w:eastAsia="Times New Roman" w:hAnsi="Times New Roman" w:cs="Times New Roman"/>
          <w:sz w:val="24"/>
          <w:szCs w:val="24"/>
          <w:lang w:val="en-GB"/>
        </w:rPr>
        <w:t xml:space="preserve"> self-chose</w:t>
      </w:r>
      <w:r w:rsidR="004D58BB" w:rsidRPr="00B31A23">
        <w:rPr>
          <w:rFonts w:ascii="Times New Roman" w:eastAsia="Times New Roman" w:hAnsi="Times New Roman" w:cs="Times New Roman"/>
          <w:sz w:val="24"/>
          <w:szCs w:val="24"/>
          <w:lang w:val="en-GB"/>
        </w:rPr>
        <w:t>n</w:t>
      </w:r>
      <w:r w:rsidR="00B20122" w:rsidRPr="00B31A23">
        <w:rPr>
          <w:rFonts w:ascii="Times New Roman" w:eastAsia="Times New Roman" w:hAnsi="Times New Roman" w:cs="Times New Roman"/>
          <w:sz w:val="24"/>
          <w:szCs w:val="24"/>
          <w:lang w:val="en-GB"/>
        </w:rPr>
        <w:t xml:space="preserve"> participants on</w:t>
      </w:r>
      <w:r w:rsidR="003C0754" w:rsidRPr="00B31A23">
        <w:rPr>
          <w:rFonts w:ascii="Times New Roman" w:eastAsia="Times New Roman" w:hAnsi="Times New Roman" w:cs="Times New Roman"/>
          <w:sz w:val="24"/>
          <w:szCs w:val="24"/>
          <w:lang w:val="en-GB"/>
        </w:rPr>
        <w:t>line</w:t>
      </w:r>
      <w:r w:rsidR="00B20122" w:rsidRPr="00B31A23">
        <w:rPr>
          <w:rFonts w:ascii="Times New Roman" w:eastAsia="Times New Roman" w:hAnsi="Times New Roman" w:cs="Times New Roman"/>
          <w:sz w:val="24"/>
          <w:szCs w:val="24"/>
          <w:lang w:val="en-GB"/>
        </w:rPr>
        <w:t xml:space="preserve"> and future </w:t>
      </w:r>
      <w:r w:rsidRPr="00B31A23">
        <w:rPr>
          <w:rFonts w:ascii="Times New Roman" w:eastAsia="Times New Roman" w:hAnsi="Times New Roman" w:cs="Times New Roman"/>
          <w:sz w:val="24"/>
          <w:szCs w:val="24"/>
          <w:lang w:val="en-GB"/>
        </w:rPr>
        <w:t>studies</w:t>
      </w:r>
      <w:r w:rsidR="00B20122" w:rsidRPr="00B31A23">
        <w:rPr>
          <w:rFonts w:ascii="Times New Roman" w:eastAsia="Times New Roman" w:hAnsi="Times New Roman" w:cs="Times New Roman"/>
          <w:sz w:val="24"/>
          <w:szCs w:val="24"/>
          <w:lang w:val="en-GB"/>
        </w:rPr>
        <w:t xml:space="preserve"> ought to </w:t>
      </w:r>
      <w:r w:rsidRPr="00B31A23">
        <w:rPr>
          <w:rFonts w:ascii="Times New Roman" w:eastAsia="Times New Roman" w:hAnsi="Times New Roman" w:cs="Times New Roman"/>
          <w:sz w:val="24"/>
          <w:szCs w:val="24"/>
          <w:lang w:val="en-GB"/>
        </w:rPr>
        <w:t>replicate our efforts by</w:t>
      </w:r>
      <w:r w:rsidR="00B20122" w:rsidRPr="00B31A23">
        <w:rPr>
          <w:rFonts w:ascii="Times New Roman" w:eastAsia="Times New Roman" w:hAnsi="Times New Roman" w:cs="Times New Roman"/>
          <w:sz w:val="24"/>
          <w:szCs w:val="24"/>
          <w:lang w:val="en-GB"/>
        </w:rPr>
        <w:t xml:space="preserve"> utilizing an arbitrarily </w:t>
      </w:r>
      <w:r w:rsidR="004B29C0" w:rsidRPr="00B31A23">
        <w:rPr>
          <w:rFonts w:ascii="Times New Roman" w:eastAsia="Times New Roman" w:hAnsi="Times New Roman" w:cs="Times New Roman"/>
          <w:sz w:val="24"/>
          <w:szCs w:val="24"/>
          <w:lang w:val="en-GB"/>
        </w:rPr>
        <w:t>selected sample</w:t>
      </w:r>
      <w:r w:rsidR="00B92FEC" w:rsidRPr="00B31A23">
        <w:rPr>
          <w:rFonts w:ascii="Times New Roman" w:eastAsia="Times New Roman" w:hAnsi="Times New Roman" w:cs="Times New Roman"/>
          <w:sz w:val="24"/>
          <w:szCs w:val="24"/>
          <w:lang w:val="en-GB"/>
        </w:rPr>
        <w:t>, including</w:t>
      </w:r>
      <w:r w:rsidRPr="00B31A23">
        <w:rPr>
          <w:rFonts w:ascii="Times New Roman" w:eastAsia="Times New Roman" w:hAnsi="Times New Roman" w:cs="Times New Roman"/>
          <w:sz w:val="24"/>
          <w:szCs w:val="24"/>
          <w:lang w:val="en-GB"/>
        </w:rPr>
        <w:t xml:space="preserve"> those reporting difficulties with Cyberchondria</w:t>
      </w:r>
      <w:r w:rsidR="00B20122" w:rsidRPr="00B31A23">
        <w:rPr>
          <w:rFonts w:ascii="Times New Roman" w:eastAsia="Times New Roman" w:hAnsi="Times New Roman" w:cs="Times New Roman"/>
          <w:sz w:val="24"/>
          <w:szCs w:val="24"/>
          <w:lang w:val="en-GB"/>
        </w:rPr>
        <w:t>.</w:t>
      </w:r>
      <w:r w:rsidR="004B29C0" w:rsidRPr="00B31A23">
        <w:rPr>
          <w:rFonts w:ascii="Times New Roman" w:eastAsia="Times New Roman" w:hAnsi="Times New Roman" w:cs="Times New Roman"/>
          <w:sz w:val="24"/>
          <w:szCs w:val="24"/>
          <w:lang w:val="en-GB"/>
        </w:rPr>
        <w:t xml:space="preserve"> </w:t>
      </w:r>
      <w:r w:rsidR="007E2800" w:rsidRPr="00B31A23">
        <w:rPr>
          <w:rFonts w:ascii="Times New Roman" w:eastAsia="Times New Roman" w:hAnsi="Times New Roman" w:cs="Times New Roman"/>
          <w:sz w:val="24"/>
          <w:szCs w:val="24"/>
          <w:lang w:val="en-GB"/>
        </w:rPr>
        <w:t>Second</w:t>
      </w:r>
      <w:r w:rsidR="004B29C0" w:rsidRPr="00B31A23">
        <w:rPr>
          <w:rFonts w:ascii="Times New Roman" w:eastAsia="Times New Roman" w:hAnsi="Times New Roman" w:cs="Times New Roman"/>
          <w:sz w:val="24"/>
          <w:szCs w:val="24"/>
          <w:lang w:val="en-GB"/>
        </w:rPr>
        <w:t xml:space="preserve">, the sample </w:t>
      </w:r>
      <w:r w:rsidRPr="00B31A23">
        <w:rPr>
          <w:rFonts w:ascii="Times New Roman" w:eastAsia="Times New Roman" w:hAnsi="Times New Roman" w:cs="Times New Roman"/>
          <w:sz w:val="24"/>
          <w:szCs w:val="24"/>
          <w:lang w:val="en-GB"/>
        </w:rPr>
        <w:t xml:space="preserve">was </w:t>
      </w:r>
      <w:r w:rsidR="00B92FEC" w:rsidRPr="00B31A23">
        <w:rPr>
          <w:rFonts w:ascii="Times New Roman" w:eastAsia="Times New Roman" w:hAnsi="Times New Roman" w:cs="Times New Roman"/>
          <w:sz w:val="24"/>
          <w:szCs w:val="24"/>
          <w:lang w:val="en-GB"/>
        </w:rPr>
        <w:t>relatively</w:t>
      </w:r>
      <w:r w:rsidRPr="00B31A23">
        <w:rPr>
          <w:rFonts w:ascii="Times New Roman" w:eastAsia="Times New Roman" w:hAnsi="Times New Roman" w:cs="Times New Roman"/>
          <w:sz w:val="24"/>
          <w:szCs w:val="24"/>
          <w:lang w:val="en-GB"/>
        </w:rPr>
        <w:t xml:space="preserve"> small</w:t>
      </w:r>
      <w:r w:rsidR="00B92FEC" w:rsidRPr="00B31A23">
        <w:rPr>
          <w:rFonts w:ascii="Times New Roman" w:eastAsia="Times New Roman" w:hAnsi="Times New Roman" w:cs="Times New Roman"/>
          <w:sz w:val="24"/>
          <w:szCs w:val="24"/>
          <w:lang w:val="en-GB"/>
        </w:rPr>
        <w:t>.  F</w:t>
      </w:r>
      <w:r w:rsidRPr="00B31A23">
        <w:rPr>
          <w:rFonts w:ascii="Times New Roman" w:eastAsia="Times New Roman" w:hAnsi="Times New Roman" w:cs="Times New Roman"/>
          <w:sz w:val="24"/>
          <w:szCs w:val="24"/>
          <w:lang w:val="en-GB"/>
        </w:rPr>
        <w:t xml:space="preserve">uture studies should engage a </w:t>
      </w:r>
      <w:r w:rsidR="004B29C0" w:rsidRPr="00B31A23">
        <w:rPr>
          <w:rFonts w:ascii="Times New Roman" w:eastAsia="Times New Roman" w:hAnsi="Times New Roman" w:cs="Times New Roman"/>
          <w:sz w:val="24"/>
          <w:szCs w:val="24"/>
          <w:lang w:val="en-GB"/>
        </w:rPr>
        <w:t>larger number of participants</w:t>
      </w:r>
      <w:r w:rsidR="00D63295" w:rsidRPr="00B31A23">
        <w:rPr>
          <w:rFonts w:ascii="Times New Roman" w:eastAsia="Times New Roman" w:hAnsi="Times New Roman" w:cs="Times New Roman"/>
          <w:sz w:val="24"/>
          <w:szCs w:val="24"/>
          <w:lang w:val="en-GB"/>
        </w:rPr>
        <w:t xml:space="preserve"> to confirm </w:t>
      </w:r>
      <w:r w:rsidRPr="00B31A23">
        <w:rPr>
          <w:rFonts w:ascii="Times New Roman" w:eastAsia="Times New Roman" w:hAnsi="Times New Roman" w:cs="Times New Roman"/>
          <w:sz w:val="24"/>
          <w:szCs w:val="24"/>
          <w:lang w:val="en-GB"/>
        </w:rPr>
        <w:t>our observations</w:t>
      </w:r>
      <w:r w:rsidR="004B29C0" w:rsidRPr="00B31A23">
        <w:rPr>
          <w:rFonts w:ascii="Times New Roman" w:eastAsia="Times New Roman" w:hAnsi="Times New Roman" w:cs="Times New Roman"/>
          <w:sz w:val="24"/>
          <w:szCs w:val="24"/>
          <w:lang w:val="en-GB"/>
        </w:rPr>
        <w:t>.</w:t>
      </w:r>
      <w:r w:rsidR="00FE7314" w:rsidRPr="00B31A23">
        <w:rPr>
          <w:rFonts w:ascii="Times New Roman" w:eastAsia="Times New Roman" w:hAnsi="Times New Roman" w:cs="Times New Roman"/>
          <w:sz w:val="24"/>
          <w:szCs w:val="24"/>
          <w:lang w:val="en-GB"/>
        </w:rPr>
        <w:t xml:space="preserve"> </w:t>
      </w:r>
      <w:r w:rsidR="007E2800" w:rsidRPr="00B31A23">
        <w:rPr>
          <w:rFonts w:ascii="Times New Roman" w:eastAsia="Times New Roman" w:hAnsi="Times New Roman" w:cs="Times New Roman"/>
          <w:sz w:val="24"/>
          <w:szCs w:val="24"/>
          <w:lang w:val="en-GB"/>
        </w:rPr>
        <w:t>Third, w</w:t>
      </w:r>
      <w:r w:rsidR="0025580C" w:rsidRPr="00B31A23">
        <w:rPr>
          <w:rFonts w:ascii="Times New Roman" w:eastAsia="Times New Roman" w:hAnsi="Times New Roman" w:cs="Times New Roman"/>
          <w:sz w:val="24"/>
          <w:szCs w:val="24"/>
          <w:lang w:val="en-GB"/>
        </w:rPr>
        <w:t xml:space="preserve">hile data with respect to the </w:t>
      </w:r>
      <w:r w:rsidR="002539D1" w:rsidRPr="00B31A23">
        <w:rPr>
          <w:rFonts w:ascii="Times New Roman" w:eastAsia="Times New Roman" w:hAnsi="Times New Roman" w:cs="Times New Roman"/>
          <w:sz w:val="24"/>
          <w:szCs w:val="24"/>
          <w:lang w:val="en-GB"/>
        </w:rPr>
        <w:t>hours spent online per day</w:t>
      </w:r>
      <w:r w:rsidR="00333FE3" w:rsidRPr="00B31A23">
        <w:rPr>
          <w:rFonts w:ascii="Times New Roman" w:eastAsia="Times New Roman" w:hAnsi="Times New Roman" w:cs="Times New Roman"/>
          <w:sz w:val="24"/>
          <w:szCs w:val="24"/>
          <w:lang w:val="en-GB"/>
        </w:rPr>
        <w:t xml:space="preserve"> was collected, PIU as not assessed</w:t>
      </w:r>
      <w:r w:rsidR="0025580C" w:rsidRPr="00B31A23">
        <w:rPr>
          <w:rFonts w:ascii="Times New Roman" w:eastAsia="Times New Roman" w:hAnsi="Times New Roman" w:cs="Times New Roman"/>
          <w:sz w:val="24"/>
          <w:szCs w:val="24"/>
          <w:lang w:val="en-GB"/>
        </w:rPr>
        <w:t>.</w:t>
      </w:r>
      <w:r w:rsidR="00333FE3" w:rsidRPr="00B31A23">
        <w:rPr>
          <w:rFonts w:ascii="Times New Roman" w:eastAsia="Times New Roman" w:hAnsi="Times New Roman" w:cs="Times New Roman"/>
          <w:sz w:val="24"/>
          <w:szCs w:val="24"/>
          <w:lang w:val="en-GB"/>
        </w:rPr>
        <w:t xml:space="preserve"> In view of the important role played by this variable in predicting Cyberchondria, future studies should control for it</w:t>
      </w:r>
      <w:r w:rsidR="00B64209" w:rsidRPr="00B31A23">
        <w:rPr>
          <w:rFonts w:ascii="Times New Roman" w:eastAsia="Times New Roman" w:hAnsi="Times New Roman" w:cs="Times New Roman"/>
          <w:sz w:val="24"/>
          <w:szCs w:val="24"/>
          <w:lang w:val="en-GB"/>
        </w:rPr>
        <w:t xml:space="preserve"> using standardised measures</w:t>
      </w:r>
      <w:r w:rsidR="00333FE3" w:rsidRPr="00B31A23">
        <w:rPr>
          <w:rFonts w:ascii="Times New Roman" w:eastAsia="Times New Roman" w:hAnsi="Times New Roman" w:cs="Times New Roman"/>
          <w:sz w:val="24"/>
          <w:szCs w:val="24"/>
          <w:lang w:val="en-GB"/>
        </w:rPr>
        <w:t>.</w:t>
      </w:r>
      <w:r w:rsidR="0025580C" w:rsidRPr="00B31A23">
        <w:rPr>
          <w:rFonts w:ascii="Times New Roman" w:eastAsia="Times New Roman" w:hAnsi="Times New Roman" w:cs="Times New Roman"/>
          <w:sz w:val="24"/>
          <w:szCs w:val="24"/>
          <w:lang w:val="en-GB"/>
        </w:rPr>
        <w:t xml:space="preserve"> </w:t>
      </w:r>
      <w:r w:rsidR="00333FE3" w:rsidRPr="00B31A23">
        <w:rPr>
          <w:rFonts w:ascii="Times New Roman" w:eastAsia="Times New Roman" w:hAnsi="Times New Roman" w:cs="Times New Roman"/>
          <w:sz w:val="24"/>
          <w:szCs w:val="24"/>
          <w:lang w:val="en-GB"/>
        </w:rPr>
        <w:t>Fourth, t</w:t>
      </w:r>
      <w:r w:rsidR="0025580C" w:rsidRPr="00B31A23">
        <w:rPr>
          <w:rFonts w:ascii="Times New Roman" w:eastAsia="Times New Roman" w:hAnsi="Times New Roman" w:cs="Times New Roman"/>
          <w:sz w:val="24"/>
          <w:szCs w:val="24"/>
          <w:lang w:val="en-GB"/>
        </w:rPr>
        <w:t xml:space="preserve">he </w:t>
      </w:r>
      <w:r w:rsidR="00A34805" w:rsidRPr="00B31A23">
        <w:rPr>
          <w:rFonts w:ascii="Times New Roman" w:eastAsia="Times New Roman" w:hAnsi="Times New Roman" w:cs="Times New Roman"/>
          <w:sz w:val="24"/>
          <w:szCs w:val="24"/>
          <w:lang w:val="en-GB"/>
        </w:rPr>
        <w:t>generality</w:t>
      </w:r>
      <w:r w:rsidR="0025580C" w:rsidRPr="00B31A23">
        <w:rPr>
          <w:rFonts w:ascii="Times New Roman" w:eastAsia="Times New Roman" w:hAnsi="Times New Roman" w:cs="Times New Roman"/>
          <w:sz w:val="24"/>
          <w:szCs w:val="24"/>
          <w:lang w:val="en-GB"/>
        </w:rPr>
        <w:t xml:space="preserve"> of the </w:t>
      </w:r>
      <w:r w:rsidR="00D432BC" w:rsidRPr="00B31A23">
        <w:rPr>
          <w:rFonts w:ascii="Times New Roman" w:eastAsia="Times New Roman" w:hAnsi="Times New Roman" w:cs="Times New Roman"/>
          <w:sz w:val="24"/>
          <w:szCs w:val="24"/>
          <w:lang w:val="en-GB"/>
        </w:rPr>
        <w:t>outcomes</w:t>
      </w:r>
      <w:r w:rsidR="0025580C" w:rsidRPr="00B31A23">
        <w:rPr>
          <w:rFonts w:ascii="Times New Roman" w:eastAsia="Times New Roman" w:hAnsi="Times New Roman" w:cs="Times New Roman"/>
          <w:sz w:val="24"/>
          <w:szCs w:val="24"/>
          <w:lang w:val="en-GB"/>
        </w:rPr>
        <w:t xml:space="preserve"> would be additionally upheld by looking at different gatherings of network respondents, </w:t>
      </w:r>
      <w:r w:rsidR="005B52A4" w:rsidRPr="00B31A23">
        <w:rPr>
          <w:rFonts w:ascii="Times New Roman" w:eastAsia="Times New Roman" w:hAnsi="Times New Roman" w:cs="Times New Roman"/>
          <w:sz w:val="24"/>
          <w:szCs w:val="24"/>
          <w:lang w:val="en-GB"/>
        </w:rPr>
        <w:t xml:space="preserve">such </w:t>
      </w:r>
      <w:r w:rsidR="0025580C" w:rsidRPr="00B31A23">
        <w:rPr>
          <w:rFonts w:ascii="Times New Roman" w:eastAsia="Times New Roman" w:hAnsi="Times New Roman" w:cs="Times New Roman"/>
          <w:sz w:val="24"/>
          <w:szCs w:val="24"/>
          <w:lang w:val="en-GB"/>
        </w:rPr>
        <w:t>as</w:t>
      </w:r>
      <w:r w:rsidR="001F3BD7" w:rsidRPr="00B31A23">
        <w:rPr>
          <w:rFonts w:ascii="Times New Roman" w:eastAsia="Times New Roman" w:hAnsi="Times New Roman" w:cs="Times New Roman"/>
          <w:sz w:val="24"/>
          <w:szCs w:val="24"/>
          <w:lang w:val="en-GB"/>
        </w:rPr>
        <w:t xml:space="preserve"> a</w:t>
      </w:r>
      <w:r w:rsidR="0025580C" w:rsidRPr="00B31A23">
        <w:rPr>
          <w:rFonts w:ascii="Times New Roman" w:eastAsia="Times New Roman" w:hAnsi="Times New Roman" w:cs="Times New Roman"/>
          <w:sz w:val="24"/>
          <w:szCs w:val="24"/>
          <w:lang w:val="en-GB"/>
        </w:rPr>
        <w:t xml:space="preserve"> group of participants who look for symptoms </w:t>
      </w:r>
      <w:r w:rsidR="00333FE3" w:rsidRPr="00B31A23">
        <w:rPr>
          <w:rFonts w:ascii="Times New Roman" w:eastAsia="Times New Roman" w:hAnsi="Times New Roman" w:cs="Times New Roman"/>
          <w:sz w:val="24"/>
          <w:szCs w:val="24"/>
          <w:lang w:val="en-GB"/>
        </w:rPr>
        <w:t>online</w:t>
      </w:r>
      <w:r w:rsidR="0025580C" w:rsidRPr="00B31A23">
        <w:rPr>
          <w:rFonts w:ascii="Times New Roman" w:eastAsia="Times New Roman" w:hAnsi="Times New Roman" w:cs="Times New Roman"/>
          <w:sz w:val="24"/>
          <w:szCs w:val="24"/>
          <w:lang w:val="en-GB"/>
        </w:rPr>
        <w:t xml:space="preserve"> and report hindrance</w:t>
      </w:r>
      <w:r w:rsidR="00E947A2" w:rsidRPr="00B31A23">
        <w:rPr>
          <w:rFonts w:ascii="Times New Roman" w:eastAsia="Times New Roman" w:hAnsi="Times New Roman" w:cs="Times New Roman"/>
          <w:sz w:val="24"/>
          <w:szCs w:val="24"/>
          <w:lang w:val="en-GB"/>
        </w:rPr>
        <w:t>s</w:t>
      </w:r>
      <w:r w:rsidR="0025580C" w:rsidRPr="00B31A23">
        <w:rPr>
          <w:rFonts w:ascii="Times New Roman" w:eastAsia="Times New Roman" w:hAnsi="Times New Roman" w:cs="Times New Roman"/>
          <w:sz w:val="24"/>
          <w:szCs w:val="24"/>
          <w:lang w:val="en-GB"/>
        </w:rPr>
        <w:t xml:space="preserve"> encompassing those </w:t>
      </w:r>
      <w:r w:rsidR="00D432BC" w:rsidRPr="00B31A23">
        <w:rPr>
          <w:rFonts w:ascii="Times New Roman" w:eastAsia="Times New Roman" w:hAnsi="Times New Roman" w:cs="Times New Roman"/>
          <w:sz w:val="24"/>
          <w:szCs w:val="24"/>
          <w:lang w:val="en-GB"/>
        </w:rPr>
        <w:t xml:space="preserve">online </w:t>
      </w:r>
      <w:r w:rsidR="0025580C" w:rsidRPr="00B31A23">
        <w:rPr>
          <w:rFonts w:ascii="Times New Roman" w:eastAsia="Times New Roman" w:hAnsi="Times New Roman" w:cs="Times New Roman"/>
          <w:sz w:val="24"/>
          <w:szCs w:val="24"/>
          <w:lang w:val="en-GB"/>
        </w:rPr>
        <w:t>searches</w:t>
      </w:r>
      <w:r w:rsidR="00FB7BE5" w:rsidRPr="00B31A23">
        <w:rPr>
          <w:rFonts w:ascii="Times New Roman" w:eastAsia="Times New Roman" w:hAnsi="Times New Roman" w:cs="Times New Roman"/>
          <w:sz w:val="24"/>
          <w:szCs w:val="24"/>
          <w:lang w:val="en-GB"/>
        </w:rPr>
        <w:t xml:space="preserve"> </w:t>
      </w:r>
      <w:r w:rsidR="00D432BC" w:rsidRPr="00B31A23">
        <w:rPr>
          <w:rFonts w:ascii="Times New Roman" w:eastAsia="Times New Roman" w:hAnsi="Times New Roman" w:cs="Times New Roman"/>
          <w:sz w:val="24"/>
          <w:szCs w:val="24"/>
          <w:lang w:val="en-GB"/>
        </w:rPr>
        <w:t xml:space="preserve">(Norr, Oglesby, Raines, Macatee, Allan &amp; Schmidt, 2015). </w:t>
      </w:r>
      <w:r w:rsidR="007E2800" w:rsidRPr="00B31A23">
        <w:rPr>
          <w:rFonts w:ascii="Times New Roman" w:eastAsia="Times New Roman" w:hAnsi="Times New Roman" w:cs="Times New Roman"/>
          <w:sz w:val="24"/>
          <w:szCs w:val="24"/>
          <w:lang w:val="en-GB"/>
        </w:rPr>
        <w:t>F</w:t>
      </w:r>
      <w:r w:rsidR="00333FE3" w:rsidRPr="00B31A23">
        <w:rPr>
          <w:rFonts w:ascii="Times New Roman" w:eastAsia="Times New Roman" w:hAnsi="Times New Roman" w:cs="Times New Roman"/>
          <w:sz w:val="24"/>
          <w:szCs w:val="24"/>
          <w:lang w:val="en-GB"/>
        </w:rPr>
        <w:t>ifth</w:t>
      </w:r>
      <w:r w:rsidR="004B29C0" w:rsidRPr="00B31A23">
        <w:rPr>
          <w:rFonts w:ascii="Times New Roman" w:eastAsia="Times New Roman" w:hAnsi="Times New Roman" w:cs="Times New Roman"/>
          <w:sz w:val="24"/>
          <w:szCs w:val="24"/>
          <w:lang w:val="en-GB"/>
        </w:rPr>
        <w:t xml:space="preserve">, </w:t>
      </w:r>
      <w:r w:rsidR="007E2800" w:rsidRPr="00B31A23">
        <w:rPr>
          <w:rFonts w:ascii="Times New Roman" w:eastAsia="Times New Roman" w:hAnsi="Times New Roman" w:cs="Times New Roman"/>
          <w:sz w:val="24"/>
          <w:szCs w:val="24"/>
          <w:lang w:val="en-GB"/>
        </w:rPr>
        <w:t xml:space="preserve">the sample comprised mostly of Caucasian participants. </w:t>
      </w:r>
      <w:r w:rsidR="00626520" w:rsidRPr="00B31A23">
        <w:rPr>
          <w:rFonts w:ascii="Times New Roman" w:eastAsia="Times New Roman" w:hAnsi="Times New Roman" w:cs="Times New Roman"/>
          <w:sz w:val="24"/>
          <w:szCs w:val="24"/>
          <w:lang w:val="en-GB"/>
        </w:rPr>
        <w:t xml:space="preserve">Finally, </w:t>
      </w:r>
      <w:r w:rsidR="008E4519" w:rsidRPr="00B31A23">
        <w:rPr>
          <w:rFonts w:ascii="Times New Roman" w:eastAsia="Times New Roman" w:hAnsi="Times New Roman" w:cs="Times New Roman"/>
          <w:sz w:val="24"/>
          <w:szCs w:val="24"/>
          <w:lang w:val="en-GB"/>
        </w:rPr>
        <w:t>our study design</w:t>
      </w:r>
      <w:r w:rsidR="00626520" w:rsidRPr="00B31A23">
        <w:rPr>
          <w:rFonts w:ascii="Times New Roman" w:eastAsia="Times New Roman" w:hAnsi="Times New Roman" w:cs="Times New Roman"/>
          <w:sz w:val="24"/>
          <w:szCs w:val="24"/>
          <w:lang w:val="en-GB"/>
        </w:rPr>
        <w:t xml:space="preserve"> does not account for the possible change, over time, of </w:t>
      </w:r>
      <w:r w:rsidR="008E4519" w:rsidRPr="00B31A23">
        <w:rPr>
          <w:rFonts w:ascii="Times New Roman" w:eastAsia="Times New Roman" w:hAnsi="Times New Roman" w:cs="Times New Roman"/>
          <w:sz w:val="24"/>
          <w:szCs w:val="24"/>
          <w:lang w:val="en-GB"/>
        </w:rPr>
        <w:t>scores on the</w:t>
      </w:r>
      <w:r w:rsidR="00626520" w:rsidRPr="00B31A23">
        <w:rPr>
          <w:rFonts w:ascii="Times New Roman" w:eastAsia="Times New Roman" w:hAnsi="Times New Roman" w:cs="Times New Roman"/>
          <w:sz w:val="24"/>
          <w:szCs w:val="24"/>
          <w:lang w:val="en-GB"/>
        </w:rPr>
        <w:t xml:space="preserve"> predictor variables and how this change may be associated to </w:t>
      </w:r>
      <w:r w:rsidR="008E4519" w:rsidRPr="00B31A23">
        <w:rPr>
          <w:rFonts w:ascii="Times New Roman" w:eastAsia="Times New Roman" w:hAnsi="Times New Roman" w:cs="Times New Roman"/>
          <w:sz w:val="24"/>
          <w:szCs w:val="24"/>
          <w:lang w:val="en-GB"/>
        </w:rPr>
        <w:t xml:space="preserve">scores on Cyberchondria at </w:t>
      </w:r>
      <w:r w:rsidR="008E4519" w:rsidRPr="00B31A23">
        <w:rPr>
          <w:rFonts w:ascii="Times New Roman" w:eastAsia="Times New Roman" w:hAnsi="Times New Roman" w:cs="Times New Roman"/>
          <w:sz w:val="24"/>
          <w:szCs w:val="24"/>
          <w:lang w:val="en-US"/>
        </w:rPr>
        <w:t>T</w:t>
      </w:r>
      <w:r w:rsidR="008E4519" w:rsidRPr="00B31A23">
        <w:rPr>
          <w:rFonts w:ascii="Times New Roman" w:eastAsia="Times New Roman" w:hAnsi="Times New Roman" w:cs="Times New Roman"/>
          <w:sz w:val="24"/>
          <w:szCs w:val="24"/>
          <w:vertAlign w:val="subscript"/>
          <w:lang w:val="en-US"/>
        </w:rPr>
        <w:t>1</w:t>
      </w:r>
      <w:r w:rsidR="00626520" w:rsidRPr="00B31A23">
        <w:rPr>
          <w:rFonts w:ascii="Times New Roman" w:eastAsia="Times New Roman" w:hAnsi="Times New Roman" w:cs="Times New Roman"/>
          <w:sz w:val="24"/>
          <w:szCs w:val="24"/>
          <w:lang w:val="en-GB"/>
        </w:rPr>
        <w:t xml:space="preserve">. </w:t>
      </w:r>
      <w:r w:rsidR="00333FE3" w:rsidRPr="00B31A23">
        <w:rPr>
          <w:rFonts w:ascii="Times New Roman" w:eastAsia="Times New Roman" w:hAnsi="Times New Roman" w:cs="Times New Roman"/>
          <w:sz w:val="24"/>
          <w:szCs w:val="24"/>
          <w:lang w:val="en-GB"/>
        </w:rPr>
        <w:t>Future studies will need to focus on regional and ethnic differences in the prediction of Cyberchondria</w:t>
      </w:r>
      <w:r w:rsidR="007E2800" w:rsidRPr="00B31A23">
        <w:rPr>
          <w:rFonts w:ascii="Times New Roman" w:eastAsia="Times New Roman" w:hAnsi="Times New Roman" w:cs="Times New Roman"/>
          <w:sz w:val="24"/>
          <w:szCs w:val="24"/>
          <w:lang w:val="en-GB"/>
        </w:rPr>
        <w:t xml:space="preserve">. </w:t>
      </w:r>
      <w:r w:rsidR="00333FE3" w:rsidRPr="00B31A23">
        <w:rPr>
          <w:rFonts w:ascii="Times New Roman" w:eastAsia="Times New Roman" w:hAnsi="Times New Roman" w:cs="Times New Roman"/>
          <w:sz w:val="24"/>
          <w:szCs w:val="24"/>
          <w:lang w:val="en-GB"/>
        </w:rPr>
        <w:t>Finally</w:t>
      </w:r>
      <w:r w:rsidR="007E2800" w:rsidRPr="00B31A23">
        <w:rPr>
          <w:rFonts w:ascii="Times New Roman" w:eastAsia="Times New Roman" w:hAnsi="Times New Roman" w:cs="Times New Roman"/>
          <w:sz w:val="24"/>
          <w:szCs w:val="24"/>
          <w:lang w:val="en-GB"/>
        </w:rPr>
        <w:t xml:space="preserve">, </w:t>
      </w:r>
      <w:r w:rsidR="004B29C0" w:rsidRPr="00B31A23">
        <w:rPr>
          <w:rFonts w:ascii="Times New Roman" w:eastAsia="Times New Roman" w:hAnsi="Times New Roman" w:cs="Times New Roman"/>
          <w:sz w:val="24"/>
          <w:szCs w:val="24"/>
          <w:lang w:val="en-GB"/>
        </w:rPr>
        <w:t xml:space="preserve">in spite of the fact that the </w:t>
      </w:r>
      <w:r w:rsidR="00333FE3" w:rsidRPr="00B31A23">
        <w:rPr>
          <w:rFonts w:ascii="Times New Roman" w:eastAsia="Times New Roman" w:hAnsi="Times New Roman" w:cs="Times New Roman"/>
          <w:sz w:val="24"/>
          <w:szCs w:val="24"/>
          <w:lang w:val="en-GB"/>
        </w:rPr>
        <w:t xml:space="preserve">self-report </w:t>
      </w:r>
      <w:r w:rsidR="004B29C0" w:rsidRPr="00B31A23">
        <w:rPr>
          <w:rFonts w:ascii="Times New Roman" w:eastAsia="Times New Roman" w:hAnsi="Times New Roman" w:cs="Times New Roman"/>
          <w:sz w:val="24"/>
          <w:szCs w:val="24"/>
          <w:lang w:val="en-GB"/>
        </w:rPr>
        <w:t xml:space="preserve">measures </w:t>
      </w:r>
      <w:r w:rsidR="00333FE3" w:rsidRPr="00B31A23">
        <w:rPr>
          <w:rFonts w:ascii="Times New Roman" w:eastAsia="Times New Roman" w:hAnsi="Times New Roman" w:cs="Times New Roman"/>
          <w:sz w:val="24"/>
          <w:szCs w:val="24"/>
          <w:lang w:val="en-GB"/>
        </w:rPr>
        <w:t>employed</w:t>
      </w:r>
      <w:r w:rsidR="004B29C0" w:rsidRPr="00B31A23">
        <w:rPr>
          <w:rFonts w:ascii="Times New Roman" w:eastAsia="Times New Roman" w:hAnsi="Times New Roman" w:cs="Times New Roman"/>
          <w:sz w:val="24"/>
          <w:szCs w:val="24"/>
          <w:lang w:val="en-GB"/>
        </w:rPr>
        <w:t xml:space="preserve"> in this </w:t>
      </w:r>
      <w:r w:rsidR="00333FE3" w:rsidRPr="00B31A23">
        <w:rPr>
          <w:rFonts w:ascii="Times New Roman" w:eastAsia="Times New Roman" w:hAnsi="Times New Roman" w:cs="Times New Roman"/>
          <w:sz w:val="24"/>
          <w:szCs w:val="24"/>
          <w:lang w:val="en-GB"/>
        </w:rPr>
        <w:t>study</w:t>
      </w:r>
      <w:r w:rsidR="004B29C0" w:rsidRPr="00B31A23">
        <w:rPr>
          <w:rFonts w:ascii="Times New Roman" w:eastAsia="Times New Roman" w:hAnsi="Times New Roman" w:cs="Times New Roman"/>
          <w:sz w:val="24"/>
          <w:szCs w:val="24"/>
          <w:lang w:val="en-GB"/>
        </w:rPr>
        <w:t xml:space="preserve"> have strong psychometric properties, they </w:t>
      </w:r>
      <w:r w:rsidR="00333FE3" w:rsidRPr="00B31A23">
        <w:rPr>
          <w:rFonts w:ascii="Times New Roman" w:eastAsia="Times New Roman" w:hAnsi="Times New Roman" w:cs="Times New Roman"/>
          <w:sz w:val="24"/>
          <w:szCs w:val="24"/>
          <w:lang w:val="en-GB"/>
        </w:rPr>
        <w:t>remain subject to bias</w:t>
      </w:r>
      <w:r w:rsidR="004B29C0" w:rsidRPr="00B31A23">
        <w:rPr>
          <w:rFonts w:ascii="Times New Roman" w:eastAsia="Times New Roman" w:hAnsi="Times New Roman" w:cs="Times New Roman"/>
          <w:sz w:val="24"/>
          <w:szCs w:val="24"/>
          <w:lang w:val="en-GB"/>
        </w:rPr>
        <w:t>.</w:t>
      </w:r>
      <w:r w:rsidR="00D42077" w:rsidRPr="00B31A23">
        <w:rPr>
          <w:rFonts w:ascii="Times New Roman" w:eastAsia="Times New Roman" w:hAnsi="Times New Roman" w:cs="Times New Roman"/>
          <w:sz w:val="24"/>
          <w:szCs w:val="24"/>
          <w:lang w:val="en-GB"/>
        </w:rPr>
        <w:t xml:space="preserve"> </w:t>
      </w:r>
    </w:p>
    <w:p w14:paraId="60DEEEA8" w14:textId="027C6A24" w:rsidR="00626520" w:rsidRPr="00B31A23" w:rsidRDefault="00626520" w:rsidP="00626520">
      <w:pPr>
        <w:pStyle w:val="Corpo"/>
        <w:spacing w:line="480" w:lineRule="auto"/>
        <w:jc w:val="both"/>
        <w:rPr>
          <w:rFonts w:ascii="Times New Roman" w:eastAsia="Times New Roman" w:hAnsi="Times New Roman" w:cs="Times New Roman"/>
          <w:b/>
          <w:bCs/>
          <w:sz w:val="24"/>
          <w:szCs w:val="24"/>
          <w:lang w:val="en-GB"/>
        </w:rPr>
      </w:pPr>
      <w:r w:rsidRPr="00B31A23">
        <w:rPr>
          <w:rFonts w:ascii="Times New Roman" w:eastAsia="Times New Roman" w:hAnsi="Times New Roman" w:cs="Times New Roman"/>
          <w:b/>
          <w:bCs/>
          <w:sz w:val="24"/>
          <w:szCs w:val="24"/>
          <w:lang w:val="en-GB"/>
        </w:rPr>
        <w:t>Conclusions</w:t>
      </w:r>
    </w:p>
    <w:p w14:paraId="4A96DBAD" w14:textId="47E75EDD" w:rsidR="009605B5" w:rsidRPr="00B31A23" w:rsidRDefault="009605B5" w:rsidP="009605B5">
      <w:pPr>
        <w:pStyle w:val="Corpo"/>
        <w:spacing w:line="480" w:lineRule="auto"/>
        <w:ind w:firstLine="720"/>
        <w:jc w:val="both"/>
        <w:rPr>
          <w:b/>
          <w:bCs/>
          <w:lang w:val="en-GB"/>
        </w:rPr>
      </w:pPr>
      <w:bookmarkStart w:id="4" w:name="_Hlk81235460"/>
      <w:r w:rsidRPr="00B31A23">
        <w:rPr>
          <w:rFonts w:ascii="Times New Roman" w:eastAsia="Times New Roman" w:hAnsi="Times New Roman" w:cs="Times New Roman"/>
          <w:sz w:val="24"/>
          <w:szCs w:val="24"/>
          <w:lang w:val="en-GB"/>
        </w:rPr>
        <w:t xml:space="preserve">Limitations notwithstanding, the current outcomes offer considerable support for the conceptualization of Cyberchondria in terms of metacognitions about health anxiety. Future research will help address in further detail the viability of a metacognitive conceptualisation of Cyberchondria and lead to refinements in treatment. In order to accomplish this, it is conceivable to recommend that </w:t>
      </w:r>
      <w:r w:rsidR="00C56739" w:rsidRPr="00B31A23">
        <w:rPr>
          <w:rFonts w:ascii="Times New Roman" w:eastAsia="Times New Roman" w:hAnsi="Times New Roman" w:cs="Times New Roman"/>
          <w:sz w:val="24"/>
          <w:szCs w:val="24"/>
          <w:lang w:val="en-GB"/>
        </w:rPr>
        <w:t>such</w:t>
      </w:r>
      <w:r w:rsidRPr="00B31A23">
        <w:rPr>
          <w:rFonts w:ascii="Times New Roman" w:eastAsia="Times New Roman" w:hAnsi="Times New Roman" w:cs="Times New Roman"/>
          <w:sz w:val="24"/>
          <w:szCs w:val="24"/>
          <w:lang w:val="en-GB"/>
        </w:rPr>
        <w:t xml:space="preserve"> research </w:t>
      </w:r>
      <w:r w:rsidR="00C56739" w:rsidRPr="00B31A23">
        <w:rPr>
          <w:rFonts w:ascii="Times New Roman" w:eastAsia="Times New Roman" w:hAnsi="Times New Roman" w:cs="Times New Roman"/>
          <w:sz w:val="24"/>
          <w:szCs w:val="24"/>
          <w:lang w:val="en-GB"/>
        </w:rPr>
        <w:t>focus on choosing</w:t>
      </w:r>
      <w:r w:rsidRPr="00B31A23">
        <w:rPr>
          <w:rFonts w:ascii="Times New Roman" w:eastAsia="Times New Roman" w:hAnsi="Times New Roman" w:cs="Times New Roman"/>
          <w:sz w:val="24"/>
          <w:szCs w:val="24"/>
          <w:lang w:val="en-GB"/>
        </w:rPr>
        <w:t xml:space="preserve"> participants dependent on their </w:t>
      </w:r>
      <w:r w:rsidRPr="00B31A23">
        <w:rPr>
          <w:rFonts w:ascii="Times New Roman" w:eastAsia="Times New Roman" w:hAnsi="Times New Roman" w:cs="Times New Roman"/>
          <w:sz w:val="24"/>
          <w:szCs w:val="24"/>
          <w:lang w:val="en-GB"/>
        </w:rPr>
        <w:lastRenderedPageBreak/>
        <w:t xml:space="preserve">repeated behaviours of </w:t>
      </w:r>
      <w:r w:rsidR="00C56739" w:rsidRPr="00B31A23">
        <w:rPr>
          <w:rFonts w:ascii="Times New Roman" w:eastAsia="Times New Roman" w:hAnsi="Times New Roman" w:cs="Times New Roman"/>
          <w:sz w:val="24"/>
          <w:szCs w:val="24"/>
          <w:lang w:val="en-GB"/>
        </w:rPr>
        <w:t>re</w:t>
      </w:r>
      <w:r w:rsidRPr="00B31A23">
        <w:rPr>
          <w:rFonts w:ascii="Times New Roman" w:eastAsia="Times New Roman" w:hAnsi="Times New Roman" w:cs="Times New Roman"/>
          <w:sz w:val="24"/>
          <w:szCs w:val="24"/>
          <w:lang w:val="en-GB"/>
        </w:rPr>
        <w:t xml:space="preserve">searching for online health-related information or different levels of Cyberchondria. Assessing a Cyberchondria severity range would </w:t>
      </w:r>
      <w:r w:rsidR="00C56739" w:rsidRPr="00B31A23">
        <w:rPr>
          <w:rFonts w:ascii="Times New Roman" w:eastAsia="Times New Roman" w:hAnsi="Times New Roman" w:cs="Times New Roman"/>
          <w:sz w:val="24"/>
          <w:szCs w:val="24"/>
          <w:lang w:val="en-GB"/>
        </w:rPr>
        <w:t xml:space="preserve">also </w:t>
      </w:r>
      <w:r w:rsidRPr="00B31A23">
        <w:rPr>
          <w:rFonts w:ascii="Times New Roman" w:eastAsia="Times New Roman" w:hAnsi="Times New Roman" w:cs="Times New Roman"/>
          <w:sz w:val="24"/>
          <w:szCs w:val="24"/>
          <w:lang w:val="en-GB"/>
        </w:rPr>
        <w:t>help to expand statistical power and limit data loss (Fergus &amp; Spada, 2018).</w:t>
      </w:r>
    </w:p>
    <w:bookmarkEnd w:id="4"/>
    <w:p w14:paraId="0B8A5305" w14:textId="77777777" w:rsidR="00942FA3" w:rsidRPr="00B31A23" w:rsidRDefault="00942FA3" w:rsidP="000A31E6">
      <w:pPr>
        <w:tabs>
          <w:tab w:val="left" w:pos="900"/>
          <w:tab w:val="left" w:pos="1080"/>
        </w:tabs>
        <w:spacing w:line="480" w:lineRule="auto"/>
        <w:jc w:val="center"/>
        <w:rPr>
          <w:b/>
          <w:bCs/>
          <w:lang w:val="en-GB"/>
        </w:rPr>
      </w:pPr>
    </w:p>
    <w:p w14:paraId="09C102FE" w14:textId="7A0087E5" w:rsidR="00942FA3" w:rsidRPr="00B31A23" w:rsidRDefault="00942FA3" w:rsidP="000A31E6">
      <w:pPr>
        <w:tabs>
          <w:tab w:val="left" w:pos="900"/>
          <w:tab w:val="left" w:pos="1080"/>
        </w:tabs>
        <w:spacing w:line="480" w:lineRule="auto"/>
        <w:jc w:val="center"/>
        <w:rPr>
          <w:b/>
          <w:bCs/>
          <w:lang w:val="en-GB"/>
        </w:rPr>
      </w:pPr>
    </w:p>
    <w:p w14:paraId="016A4B77" w14:textId="77777777" w:rsidR="00626520" w:rsidRPr="00B31A23" w:rsidRDefault="00626520" w:rsidP="000A31E6">
      <w:pPr>
        <w:tabs>
          <w:tab w:val="left" w:pos="900"/>
          <w:tab w:val="left" w:pos="1080"/>
        </w:tabs>
        <w:spacing w:line="480" w:lineRule="auto"/>
        <w:jc w:val="center"/>
        <w:rPr>
          <w:b/>
          <w:bCs/>
          <w:lang w:val="en-GB"/>
        </w:rPr>
      </w:pPr>
    </w:p>
    <w:p w14:paraId="28E1D3D3" w14:textId="70C5452D" w:rsidR="00942FA3" w:rsidRPr="00B31A23" w:rsidRDefault="00942FA3" w:rsidP="000A31E6">
      <w:pPr>
        <w:tabs>
          <w:tab w:val="left" w:pos="900"/>
          <w:tab w:val="left" w:pos="1080"/>
        </w:tabs>
        <w:spacing w:line="480" w:lineRule="auto"/>
        <w:jc w:val="center"/>
        <w:rPr>
          <w:b/>
          <w:bCs/>
          <w:lang w:val="en-GB"/>
        </w:rPr>
      </w:pPr>
    </w:p>
    <w:p w14:paraId="5AFBD611" w14:textId="0A503ACC" w:rsidR="009605B5" w:rsidRPr="00B31A23" w:rsidRDefault="009605B5" w:rsidP="000A31E6">
      <w:pPr>
        <w:tabs>
          <w:tab w:val="left" w:pos="900"/>
          <w:tab w:val="left" w:pos="1080"/>
        </w:tabs>
        <w:spacing w:line="480" w:lineRule="auto"/>
        <w:jc w:val="center"/>
        <w:rPr>
          <w:b/>
          <w:bCs/>
          <w:lang w:val="en-GB"/>
        </w:rPr>
      </w:pPr>
    </w:p>
    <w:p w14:paraId="42EC57CF" w14:textId="7FF186C6" w:rsidR="009605B5" w:rsidRPr="00B31A23" w:rsidRDefault="009605B5" w:rsidP="000A31E6">
      <w:pPr>
        <w:tabs>
          <w:tab w:val="left" w:pos="900"/>
          <w:tab w:val="left" w:pos="1080"/>
        </w:tabs>
        <w:spacing w:line="480" w:lineRule="auto"/>
        <w:jc w:val="center"/>
        <w:rPr>
          <w:b/>
          <w:bCs/>
          <w:lang w:val="en-GB"/>
        </w:rPr>
      </w:pPr>
    </w:p>
    <w:p w14:paraId="6FCC4D51" w14:textId="0BBF1224" w:rsidR="009605B5" w:rsidRPr="00B31A23" w:rsidRDefault="009605B5" w:rsidP="000A31E6">
      <w:pPr>
        <w:tabs>
          <w:tab w:val="left" w:pos="900"/>
          <w:tab w:val="left" w:pos="1080"/>
        </w:tabs>
        <w:spacing w:line="480" w:lineRule="auto"/>
        <w:jc w:val="center"/>
        <w:rPr>
          <w:b/>
          <w:bCs/>
          <w:lang w:val="en-GB"/>
        </w:rPr>
      </w:pPr>
    </w:p>
    <w:p w14:paraId="3C27B057" w14:textId="59A4DB76" w:rsidR="009605B5" w:rsidRPr="00B31A23" w:rsidRDefault="009605B5" w:rsidP="000A31E6">
      <w:pPr>
        <w:tabs>
          <w:tab w:val="left" w:pos="900"/>
          <w:tab w:val="left" w:pos="1080"/>
        </w:tabs>
        <w:spacing w:line="480" w:lineRule="auto"/>
        <w:jc w:val="center"/>
        <w:rPr>
          <w:b/>
          <w:bCs/>
          <w:lang w:val="en-GB"/>
        </w:rPr>
      </w:pPr>
    </w:p>
    <w:p w14:paraId="24842040" w14:textId="7BD5FDAE" w:rsidR="009605B5" w:rsidRPr="00B31A23" w:rsidRDefault="009605B5" w:rsidP="000A31E6">
      <w:pPr>
        <w:tabs>
          <w:tab w:val="left" w:pos="900"/>
          <w:tab w:val="left" w:pos="1080"/>
        </w:tabs>
        <w:spacing w:line="480" w:lineRule="auto"/>
        <w:jc w:val="center"/>
        <w:rPr>
          <w:b/>
          <w:bCs/>
          <w:lang w:val="en-GB"/>
        </w:rPr>
      </w:pPr>
    </w:p>
    <w:p w14:paraId="5B71F285" w14:textId="3D71D153" w:rsidR="009605B5" w:rsidRPr="00B31A23" w:rsidRDefault="009605B5" w:rsidP="000A31E6">
      <w:pPr>
        <w:tabs>
          <w:tab w:val="left" w:pos="900"/>
          <w:tab w:val="left" w:pos="1080"/>
        </w:tabs>
        <w:spacing w:line="480" w:lineRule="auto"/>
        <w:jc w:val="center"/>
        <w:rPr>
          <w:b/>
          <w:bCs/>
          <w:lang w:val="en-GB"/>
        </w:rPr>
      </w:pPr>
    </w:p>
    <w:p w14:paraId="52784467" w14:textId="6AE508CB" w:rsidR="009605B5" w:rsidRPr="00B31A23" w:rsidRDefault="009605B5" w:rsidP="000A31E6">
      <w:pPr>
        <w:tabs>
          <w:tab w:val="left" w:pos="900"/>
          <w:tab w:val="left" w:pos="1080"/>
        </w:tabs>
        <w:spacing w:line="480" w:lineRule="auto"/>
        <w:jc w:val="center"/>
        <w:rPr>
          <w:b/>
          <w:bCs/>
          <w:lang w:val="en-GB"/>
        </w:rPr>
      </w:pPr>
    </w:p>
    <w:p w14:paraId="6F8F4ABB" w14:textId="6732D2DB" w:rsidR="009605B5" w:rsidRPr="00B31A23" w:rsidRDefault="009605B5" w:rsidP="000A31E6">
      <w:pPr>
        <w:tabs>
          <w:tab w:val="left" w:pos="900"/>
          <w:tab w:val="left" w:pos="1080"/>
        </w:tabs>
        <w:spacing w:line="480" w:lineRule="auto"/>
        <w:jc w:val="center"/>
        <w:rPr>
          <w:b/>
          <w:bCs/>
          <w:lang w:val="en-GB"/>
        </w:rPr>
      </w:pPr>
    </w:p>
    <w:p w14:paraId="23CFFD31" w14:textId="7D310E46" w:rsidR="009605B5" w:rsidRPr="00B31A23" w:rsidRDefault="009605B5" w:rsidP="000A31E6">
      <w:pPr>
        <w:tabs>
          <w:tab w:val="left" w:pos="900"/>
          <w:tab w:val="left" w:pos="1080"/>
        </w:tabs>
        <w:spacing w:line="480" w:lineRule="auto"/>
        <w:jc w:val="center"/>
        <w:rPr>
          <w:b/>
          <w:bCs/>
          <w:lang w:val="en-GB"/>
        </w:rPr>
      </w:pPr>
    </w:p>
    <w:p w14:paraId="5DFD8C96" w14:textId="63074BC1" w:rsidR="009605B5" w:rsidRPr="00B31A23" w:rsidRDefault="009605B5" w:rsidP="000A31E6">
      <w:pPr>
        <w:tabs>
          <w:tab w:val="left" w:pos="900"/>
          <w:tab w:val="left" w:pos="1080"/>
        </w:tabs>
        <w:spacing w:line="480" w:lineRule="auto"/>
        <w:jc w:val="center"/>
        <w:rPr>
          <w:b/>
          <w:bCs/>
          <w:lang w:val="en-GB"/>
        </w:rPr>
      </w:pPr>
    </w:p>
    <w:p w14:paraId="29F20F38" w14:textId="463EA498" w:rsidR="009605B5" w:rsidRPr="00B31A23" w:rsidRDefault="009605B5" w:rsidP="000A31E6">
      <w:pPr>
        <w:tabs>
          <w:tab w:val="left" w:pos="900"/>
          <w:tab w:val="left" w:pos="1080"/>
        </w:tabs>
        <w:spacing w:line="480" w:lineRule="auto"/>
        <w:jc w:val="center"/>
        <w:rPr>
          <w:b/>
          <w:bCs/>
          <w:lang w:val="en-GB"/>
        </w:rPr>
      </w:pPr>
    </w:p>
    <w:p w14:paraId="6C3D3F78" w14:textId="04B8E026" w:rsidR="009605B5" w:rsidRPr="00B31A23" w:rsidRDefault="009605B5" w:rsidP="000A31E6">
      <w:pPr>
        <w:tabs>
          <w:tab w:val="left" w:pos="900"/>
          <w:tab w:val="left" w:pos="1080"/>
        </w:tabs>
        <w:spacing w:line="480" w:lineRule="auto"/>
        <w:jc w:val="center"/>
        <w:rPr>
          <w:b/>
          <w:bCs/>
          <w:lang w:val="en-GB"/>
        </w:rPr>
      </w:pPr>
    </w:p>
    <w:p w14:paraId="437BC787" w14:textId="7EA268F2" w:rsidR="009605B5" w:rsidRPr="00B31A23" w:rsidRDefault="009605B5" w:rsidP="000A31E6">
      <w:pPr>
        <w:tabs>
          <w:tab w:val="left" w:pos="900"/>
          <w:tab w:val="left" w:pos="1080"/>
        </w:tabs>
        <w:spacing w:line="480" w:lineRule="auto"/>
        <w:jc w:val="center"/>
        <w:rPr>
          <w:b/>
          <w:bCs/>
          <w:lang w:val="en-GB"/>
        </w:rPr>
      </w:pPr>
    </w:p>
    <w:p w14:paraId="37A10320" w14:textId="3701BC2A" w:rsidR="009605B5" w:rsidRPr="00B31A23" w:rsidRDefault="009605B5" w:rsidP="000A31E6">
      <w:pPr>
        <w:tabs>
          <w:tab w:val="left" w:pos="900"/>
          <w:tab w:val="left" w:pos="1080"/>
        </w:tabs>
        <w:spacing w:line="480" w:lineRule="auto"/>
        <w:jc w:val="center"/>
        <w:rPr>
          <w:b/>
          <w:bCs/>
          <w:lang w:val="en-GB"/>
        </w:rPr>
      </w:pPr>
    </w:p>
    <w:p w14:paraId="589C736B" w14:textId="122F21B9" w:rsidR="009605B5" w:rsidRPr="00B31A23" w:rsidRDefault="009605B5" w:rsidP="000A31E6">
      <w:pPr>
        <w:tabs>
          <w:tab w:val="left" w:pos="900"/>
          <w:tab w:val="left" w:pos="1080"/>
        </w:tabs>
        <w:spacing w:line="480" w:lineRule="auto"/>
        <w:jc w:val="center"/>
        <w:rPr>
          <w:b/>
          <w:bCs/>
          <w:lang w:val="en-GB"/>
        </w:rPr>
      </w:pPr>
    </w:p>
    <w:p w14:paraId="352D7D17" w14:textId="2D24AEC1" w:rsidR="00C56739" w:rsidRPr="00B31A23" w:rsidRDefault="00C56739" w:rsidP="000A31E6">
      <w:pPr>
        <w:tabs>
          <w:tab w:val="left" w:pos="900"/>
          <w:tab w:val="left" w:pos="1080"/>
        </w:tabs>
        <w:spacing w:line="480" w:lineRule="auto"/>
        <w:jc w:val="center"/>
        <w:rPr>
          <w:b/>
          <w:bCs/>
          <w:lang w:val="en-GB"/>
        </w:rPr>
      </w:pPr>
    </w:p>
    <w:p w14:paraId="7350DBF5" w14:textId="77777777" w:rsidR="00C56739" w:rsidRPr="00B31A23" w:rsidRDefault="00C56739" w:rsidP="000A31E6">
      <w:pPr>
        <w:tabs>
          <w:tab w:val="left" w:pos="900"/>
          <w:tab w:val="left" w:pos="1080"/>
        </w:tabs>
        <w:spacing w:line="480" w:lineRule="auto"/>
        <w:jc w:val="center"/>
        <w:rPr>
          <w:b/>
          <w:bCs/>
          <w:lang w:val="en-GB"/>
        </w:rPr>
      </w:pPr>
    </w:p>
    <w:p w14:paraId="2156A11E" w14:textId="136FAF61" w:rsidR="009605B5" w:rsidRPr="00B31A23" w:rsidRDefault="009605B5" w:rsidP="000A31E6">
      <w:pPr>
        <w:tabs>
          <w:tab w:val="left" w:pos="900"/>
          <w:tab w:val="left" w:pos="1080"/>
        </w:tabs>
        <w:spacing w:line="480" w:lineRule="auto"/>
        <w:jc w:val="center"/>
        <w:rPr>
          <w:b/>
          <w:bCs/>
          <w:lang w:val="en-GB"/>
        </w:rPr>
      </w:pPr>
    </w:p>
    <w:p w14:paraId="7D011853" w14:textId="0442E399" w:rsidR="00094336" w:rsidRPr="00B31A23" w:rsidRDefault="0073720E" w:rsidP="000A31E6">
      <w:pPr>
        <w:tabs>
          <w:tab w:val="left" w:pos="900"/>
          <w:tab w:val="left" w:pos="1080"/>
        </w:tabs>
        <w:spacing w:line="480" w:lineRule="auto"/>
        <w:jc w:val="center"/>
        <w:rPr>
          <w:lang w:val="en-US"/>
        </w:rPr>
      </w:pPr>
      <w:r w:rsidRPr="00B31A23">
        <w:rPr>
          <w:b/>
          <w:bCs/>
          <w:lang w:val="en-GB"/>
        </w:rPr>
        <w:lastRenderedPageBreak/>
        <w:t>References</w:t>
      </w:r>
    </w:p>
    <w:p w14:paraId="4DF84F2D" w14:textId="470E162B" w:rsidR="00A201C7" w:rsidRPr="00B31A23" w:rsidRDefault="0073720E" w:rsidP="00A201C7">
      <w:pPr>
        <w:pStyle w:val="Corpo"/>
        <w:spacing w:line="480" w:lineRule="auto"/>
        <w:ind w:left="720" w:hanging="720"/>
        <w:jc w:val="both"/>
        <w:rPr>
          <w:rFonts w:ascii="Times New Roman" w:hAnsi="Times New Roman" w:cs="Times New Roman"/>
          <w:sz w:val="24"/>
          <w:szCs w:val="24"/>
          <w:lang w:val="en-GB"/>
        </w:rPr>
      </w:pPr>
      <w:r w:rsidRPr="00B31A23">
        <w:rPr>
          <w:rFonts w:ascii="Times New Roman" w:hAnsi="Times New Roman" w:cs="Times New Roman"/>
          <w:sz w:val="24"/>
          <w:szCs w:val="24"/>
          <w:lang w:val="en-GB"/>
        </w:rPr>
        <w:t>Al</w:t>
      </w:r>
      <w:r w:rsidR="00626520"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lang w:val="en-GB"/>
        </w:rPr>
        <w:t xml:space="preserve">Ghamdi, K. M., &amp; Moussa, N. A. (2012). </w:t>
      </w:r>
      <w:r w:rsidRPr="00B31A23">
        <w:rPr>
          <w:rFonts w:ascii="Times New Roman" w:hAnsi="Times New Roman" w:cs="Times New Roman"/>
          <w:sz w:val="24"/>
          <w:szCs w:val="24"/>
          <w:lang w:val="en-US"/>
        </w:rPr>
        <w:t>Internet use by the public to search for health-related information</w:t>
      </w:r>
      <w:r w:rsidRPr="00B31A23">
        <w:rPr>
          <w:rFonts w:ascii="Times New Roman" w:hAnsi="Times New Roman" w:cs="Times New Roman"/>
          <w:sz w:val="24"/>
          <w:szCs w:val="24"/>
          <w:lang w:val="en-GB"/>
        </w:rPr>
        <w:t>.</w:t>
      </w:r>
      <w:r w:rsidRPr="00B31A23">
        <w:rPr>
          <w:rFonts w:ascii="Times New Roman" w:hAnsi="Times New Roman" w:cs="Times New Roman"/>
          <w:i/>
          <w:iCs/>
          <w:sz w:val="24"/>
          <w:szCs w:val="24"/>
          <w:lang w:val="en-GB"/>
        </w:rPr>
        <w:t xml:space="preserve"> International Journal of Medical Informatics</w:t>
      </w:r>
      <w:r w:rsidRPr="00B31A23">
        <w:rPr>
          <w:rFonts w:ascii="Times New Roman" w:hAnsi="Times New Roman" w:cs="Times New Roman"/>
          <w:sz w:val="24"/>
          <w:szCs w:val="24"/>
          <w:lang w:val="en-GB"/>
        </w:rPr>
        <w:t xml:space="preserve">, 81, 363-373. </w:t>
      </w:r>
    </w:p>
    <w:p w14:paraId="70C8ED74" w14:textId="1E865623" w:rsidR="00094336" w:rsidRPr="00B31A23" w:rsidRDefault="0073720E" w:rsidP="00A201C7">
      <w:pPr>
        <w:pStyle w:val="Corpo"/>
        <w:spacing w:line="480" w:lineRule="auto"/>
        <w:ind w:left="720" w:hanging="720"/>
        <w:jc w:val="both"/>
        <w:rPr>
          <w:rFonts w:ascii="Times New Roman" w:hAnsi="Times New Roman" w:cs="Times New Roman"/>
          <w:sz w:val="24"/>
          <w:szCs w:val="24"/>
          <w:lang w:val="en-GB"/>
        </w:rPr>
      </w:pPr>
      <w:r w:rsidRPr="00B31A23">
        <w:rPr>
          <w:rFonts w:ascii="Times New Roman" w:hAnsi="Times New Roman" w:cs="Times New Roman"/>
          <w:sz w:val="24"/>
          <w:szCs w:val="24"/>
          <w:lang w:val="en-GB"/>
        </w:rPr>
        <w:t xml:space="preserve">Asmundson, G. J. G., &amp; Taylor, S. (2005). </w:t>
      </w:r>
      <w:r w:rsidRPr="00B31A23">
        <w:rPr>
          <w:rFonts w:ascii="Times New Roman" w:hAnsi="Times New Roman" w:cs="Times New Roman"/>
          <w:i/>
          <w:iCs/>
          <w:sz w:val="24"/>
          <w:szCs w:val="24"/>
          <w:lang w:val="en-US"/>
        </w:rPr>
        <w:t>It's not all in your head: How worrying about your health could be making you sick</w:t>
      </w:r>
      <w:r w:rsidRPr="00B31A23">
        <w:rPr>
          <w:rFonts w:ascii="Times New Roman" w:hAnsi="Times New Roman" w:cs="Times New Roman"/>
          <w:i/>
          <w:iCs/>
          <w:sz w:val="24"/>
          <w:szCs w:val="24"/>
          <w:lang w:val="en-GB"/>
        </w:rPr>
        <w:t xml:space="preserve"> - </w:t>
      </w:r>
      <w:r w:rsidRPr="00B31A23">
        <w:rPr>
          <w:rFonts w:ascii="Times New Roman" w:hAnsi="Times New Roman" w:cs="Times New Roman"/>
          <w:i/>
          <w:iCs/>
          <w:sz w:val="24"/>
          <w:szCs w:val="24"/>
          <w:lang w:val="en-US"/>
        </w:rPr>
        <w:t>And what you can do about it.</w:t>
      </w:r>
      <w:r w:rsidRPr="00B31A23">
        <w:rPr>
          <w:rFonts w:ascii="Times New Roman" w:hAnsi="Times New Roman" w:cs="Times New Roman"/>
          <w:sz w:val="24"/>
          <w:szCs w:val="24"/>
          <w:lang w:val="en-GB"/>
        </w:rPr>
        <w:t xml:space="preserve"> New York, NY: Guilford. </w:t>
      </w:r>
    </w:p>
    <w:p w14:paraId="22A33164" w14:textId="313A16CE" w:rsidR="00BC7AC9" w:rsidRPr="00B31A23" w:rsidRDefault="00BC7AC9" w:rsidP="00BC7AC9">
      <w:pPr>
        <w:pStyle w:val="Corpo"/>
        <w:spacing w:line="480" w:lineRule="auto"/>
        <w:ind w:left="720" w:hanging="720"/>
        <w:jc w:val="both"/>
        <w:rPr>
          <w:rFonts w:ascii="Times New Roman" w:hAnsi="Times New Roman" w:cs="Times New Roman"/>
          <w:sz w:val="24"/>
          <w:szCs w:val="24"/>
          <w:lang w:val="en-GB"/>
        </w:rPr>
      </w:pPr>
      <w:r w:rsidRPr="00B31A23">
        <w:rPr>
          <w:rFonts w:ascii="Times New Roman" w:hAnsi="Times New Roman" w:cs="Times New Roman"/>
          <w:sz w:val="24"/>
          <w:szCs w:val="24"/>
          <w:lang w:val="en-GB"/>
        </w:rPr>
        <w:t xml:space="preserve">Bailey, R., &amp; Wells, A. (2013). Does </w:t>
      </w:r>
      <w:r w:rsidR="00942FA3" w:rsidRPr="00B31A23">
        <w:rPr>
          <w:rFonts w:ascii="Times New Roman" w:hAnsi="Times New Roman" w:cs="Times New Roman"/>
          <w:sz w:val="24"/>
          <w:szCs w:val="24"/>
          <w:lang w:val="en-GB"/>
        </w:rPr>
        <w:t>m</w:t>
      </w:r>
      <w:r w:rsidRPr="00B31A23">
        <w:rPr>
          <w:rFonts w:ascii="Times New Roman" w:hAnsi="Times New Roman" w:cs="Times New Roman"/>
          <w:sz w:val="24"/>
          <w:szCs w:val="24"/>
          <w:lang w:val="en-GB"/>
        </w:rPr>
        <w:t xml:space="preserve">etacognition </w:t>
      </w:r>
      <w:r w:rsidR="00942FA3" w:rsidRPr="00B31A23">
        <w:rPr>
          <w:rFonts w:ascii="Times New Roman" w:hAnsi="Times New Roman" w:cs="Times New Roman"/>
          <w:sz w:val="24"/>
          <w:szCs w:val="24"/>
          <w:lang w:val="en-GB"/>
        </w:rPr>
        <w:t>m</w:t>
      </w:r>
      <w:r w:rsidRPr="00B31A23">
        <w:rPr>
          <w:rFonts w:ascii="Times New Roman" w:hAnsi="Times New Roman" w:cs="Times New Roman"/>
          <w:sz w:val="24"/>
          <w:szCs w:val="24"/>
          <w:lang w:val="en-GB"/>
        </w:rPr>
        <w:t xml:space="preserve">ake a </w:t>
      </w:r>
      <w:r w:rsidR="00942FA3" w:rsidRPr="00B31A23">
        <w:rPr>
          <w:rFonts w:ascii="Times New Roman" w:hAnsi="Times New Roman" w:cs="Times New Roman"/>
          <w:sz w:val="24"/>
          <w:szCs w:val="24"/>
          <w:lang w:val="en-GB"/>
        </w:rPr>
        <w:t>u</w:t>
      </w:r>
      <w:r w:rsidRPr="00B31A23">
        <w:rPr>
          <w:rFonts w:ascii="Times New Roman" w:hAnsi="Times New Roman" w:cs="Times New Roman"/>
          <w:sz w:val="24"/>
          <w:szCs w:val="24"/>
          <w:lang w:val="en-GB"/>
        </w:rPr>
        <w:t xml:space="preserve">nique </w:t>
      </w:r>
      <w:r w:rsidR="00942FA3" w:rsidRPr="00B31A23">
        <w:rPr>
          <w:rFonts w:ascii="Times New Roman" w:hAnsi="Times New Roman" w:cs="Times New Roman"/>
          <w:sz w:val="24"/>
          <w:szCs w:val="24"/>
          <w:lang w:val="en-GB"/>
        </w:rPr>
        <w:t>c</w:t>
      </w:r>
      <w:r w:rsidRPr="00B31A23">
        <w:rPr>
          <w:rFonts w:ascii="Times New Roman" w:hAnsi="Times New Roman" w:cs="Times New Roman"/>
          <w:sz w:val="24"/>
          <w:szCs w:val="24"/>
          <w:lang w:val="en-GB"/>
        </w:rPr>
        <w:t xml:space="preserve">ontribution to </w:t>
      </w:r>
      <w:r w:rsidR="00942FA3" w:rsidRPr="00B31A23">
        <w:rPr>
          <w:rFonts w:ascii="Times New Roman" w:hAnsi="Times New Roman" w:cs="Times New Roman"/>
          <w:sz w:val="24"/>
          <w:szCs w:val="24"/>
          <w:lang w:val="en-GB"/>
        </w:rPr>
        <w:t>h</w:t>
      </w:r>
      <w:r w:rsidRPr="00B31A23">
        <w:rPr>
          <w:rFonts w:ascii="Times New Roman" w:hAnsi="Times New Roman" w:cs="Times New Roman"/>
          <w:sz w:val="24"/>
          <w:szCs w:val="24"/>
          <w:lang w:val="en-GB"/>
        </w:rPr>
        <w:t xml:space="preserve">ealth </w:t>
      </w:r>
      <w:r w:rsidR="00942FA3" w:rsidRPr="00B31A23">
        <w:rPr>
          <w:rFonts w:ascii="Times New Roman" w:hAnsi="Times New Roman" w:cs="Times New Roman"/>
          <w:sz w:val="24"/>
          <w:szCs w:val="24"/>
          <w:lang w:val="en-GB"/>
        </w:rPr>
        <w:t>a</w:t>
      </w:r>
      <w:r w:rsidRPr="00B31A23">
        <w:rPr>
          <w:rFonts w:ascii="Times New Roman" w:hAnsi="Times New Roman" w:cs="Times New Roman"/>
          <w:sz w:val="24"/>
          <w:szCs w:val="24"/>
          <w:lang w:val="en-GB"/>
        </w:rPr>
        <w:t xml:space="preserve">nxiety </w:t>
      </w:r>
      <w:r w:rsidR="00942FA3" w:rsidRPr="00B31A23">
        <w:rPr>
          <w:rFonts w:ascii="Times New Roman" w:hAnsi="Times New Roman" w:cs="Times New Roman"/>
          <w:sz w:val="24"/>
          <w:szCs w:val="24"/>
          <w:lang w:val="en-GB"/>
        </w:rPr>
        <w:t>w</w:t>
      </w:r>
      <w:r w:rsidRPr="00B31A23">
        <w:rPr>
          <w:rFonts w:ascii="Times New Roman" w:hAnsi="Times New Roman" w:cs="Times New Roman"/>
          <w:sz w:val="24"/>
          <w:szCs w:val="24"/>
          <w:lang w:val="en-GB"/>
        </w:rPr>
        <w:t xml:space="preserve">hen </w:t>
      </w:r>
      <w:r w:rsidR="00942FA3" w:rsidRPr="00B31A23">
        <w:rPr>
          <w:rFonts w:ascii="Times New Roman" w:hAnsi="Times New Roman" w:cs="Times New Roman"/>
          <w:sz w:val="24"/>
          <w:szCs w:val="24"/>
          <w:lang w:val="en-GB"/>
        </w:rPr>
        <w:t>c</w:t>
      </w:r>
      <w:r w:rsidRPr="00B31A23">
        <w:rPr>
          <w:rFonts w:ascii="Times New Roman" w:hAnsi="Times New Roman" w:cs="Times New Roman"/>
          <w:sz w:val="24"/>
          <w:szCs w:val="24"/>
          <w:lang w:val="en-GB"/>
        </w:rPr>
        <w:t xml:space="preserve">ontrolling for </w:t>
      </w:r>
      <w:r w:rsidR="00942FA3" w:rsidRPr="00B31A23">
        <w:rPr>
          <w:rFonts w:ascii="Times New Roman" w:hAnsi="Times New Roman" w:cs="Times New Roman"/>
          <w:sz w:val="24"/>
          <w:szCs w:val="24"/>
          <w:lang w:val="en-GB"/>
        </w:rPr>
        <w:t>n</w:t>
      </w:r>
      <w:r w:rsidRPr="00B31A23">
        <w:rPr>
          <w:rFonts w:ascii="Times New Roman" w:hAnsi="Times New Roman" w:cs="Times New Roman"/>
          <w:sz w:val="24"/>
          <w:szCs w:val="24"/>
          <w:lang w:val="en-GB"/>
        </w:rPr>
        <w:t xml:space="preserve">euroticism, </w:t>
      </w:r>
      <w:r w:rsidR="00942FA3" w:rsidRPr="00B31A23">
        <w:rPr>
          <w:rFonts w:ascii="Times New Roman" w:hAnsi="Times New Roman" w:cs="Times New Roman"/>
          <w:sz w:val="24"/>
          <w:szCs w:val="24"/>
          <w:lang w:val="en-GB"/>
        </w:rPr>
        <w:t>i</w:t>
      </w:r>
      <w:r w:rsidRPr="00B31A23">
        <w:rPr>
          <w:rFonts w:ascii="Times New Roman" w:hAnsi="Times New Roman" w:cs="Times New Roman"/>
          <w:sz w:val="24"/>
          <w:szCs w:val="24"/>
          <w:lang w:val="en-GB"/>
        </w:rPr>
        <w:t xml:space="preserve">llness </w:t>
      </w:r>
      <w:r w:rsidR="00942FA3" w:rsidRPr="00B31A23">
        <w:rPr>
          <w:rFonts w:ascii="Times New Roman" w:hAnsi="Times New Roman" w:cs="Times New Roman"/>
          <w:sz w:val="24"/>
          <w:szCs w:val="24"/>
          <w:lang w:val="en-GB"/>
        </w:rPr>
        <w:t>c</w:t>
      </w:r>
      <w:r w:rsidRPr="00B31A23">
        <w:rPr>
          <w:rFonts w:ascii="Times New Roman" w:hAnsi="Times New Roman" w:cs="Times New Roman"/>
          <w:sz w:val="24"/>
          <w:szCs w:val="24"/>
          <w:lang w:val="en-GB"/>
        </w:rPr>
        <w:t xml:space="preserve">ognition, and </w:t>
      </w:r>
      <w:r w:rsidR="00942FA3" w:rsidRPr="00B31A23">
        <w:rPr>
          <w:rFonts w:ascii="Times New Roman" w:hAnsi="Times New Roman" w:cs="Times New Roman"/>
          <w:sz w:val="24"/>
          <w:szCs w:val="24"/>
          <w:lang w:val="en-GB"/>
        </w:rPr>
        <w:t>s</w:t>
      </w:r>
      <w:r w:rsidRPr="00B31A23">
        <w:rPr>
          <w:rFonts w:ascii="Times New Roman" w:hAnsi="Times New Roman" w:cs="Times New Roman"/>
          <w:sz w:val="24"/>
          <w:szCs w:val="24"/>
          <w:lang w:val="en-GB"/>
        </w:rPr>
        <w:t xml:space="preserve">omatosensory </w:t>
      </w:r>
      <w:r w:rsidR="00942FA3" w:rsidRPr="00B31A23">
        <w:rPr>
          <w:rFonts w:ascii="Times New Roman" w:hAnsi="Times New Roman" w:cs="Times New Roman"/>
          <w:sz w:val="24"/>
          <w:szCs w:val="24"/>
          <w:lang w:val="en-GB"/>
        </w:rPr>
        <w:t>a</w:t>
      </w:r>
      <w:r w:rsidRPr="00B31A23">
        <w:rPr>
          <w:rFonts w:ascii="Times New Roman" w:hAnsi="Times New Roman" w:cs="Times New Roman"/>
          <w:sz w:val="24"/>
          <w:szCs w:val="24"/>
          <w:lang w:val="en-GB"/>
        </w:rPr>
        <w:t>mplification? </w:t>
      </w:r>
      <w:r w:rsidRPr="00B31A23">
        <w:rPr>
          <w:rFonts w:ascii="Times New Roman" w:hAnsi="Times New Roman" w:cs="Times New Roman"/>
          <w:i/>
          <w:iCs/>
          <w:sz w:val="24"/>
          <w:szCs w:val="24"/>
          <w:lang w:val="en-GB"/>
        </w:rPr>
        <w:t xml:space="preserve">Journal of Cognitive Psychotherapy, </w:t>
      </w:r>
      <w:r w:rsidRPr="00B31A23">
        <w:rPr>
          <w:rFonts w:ascii="Times New Roman" w:hAnsi="Times New Roman" w:cs="Times New Roman"/>
          <w:sz w:val="24"/>
          <w:szCs w:val="24"/>
          <w:lang w:val="en-GB"/>
        </w:rPr>
        <w:t>27, 327-337.</w:t>
      </w:r>
    </w:p>
    <w:p w14:paraId="2E429DF6" w14:textId="0767195E" w:rsidR="00094336" w:rsidRPr="00B31A23" w:rsidRDefault="0073720E" w:rsidP="000A31E6">
      <w:pPr>
        <w:pStyle w:val="Corpo"/>
        <w:spacing w:line="480" w:lineRule="auto"/>
        <w:ind w:left="720" w:hanging="720"/>
        <w:jc w:val="both"/>
        <w:rPr>
          <w:rFonts w:ascii="Times New Roman" w:hAnsi="Times New Roman" w:cs="Times New Roman"/>
          <w:sz w:val="24"/>
          <w:szCs w:val="24"/>
          <w:lang w:val="en-GB"/>
        </w:rPr>
      </w:pPr>
      <w:r w:rsidRPr="00B31A23">
        <w:rPr>
          <w:rFonts w:ascii="Times New Roman" w:hAnsi="Times New Roman" w:cs="Times New Roman"/>
          <w:sz w:val="24"/>
          <w:szCs w:val="24"/>
          <w:lang w:val="en-GB"/>
        </w:rPr>
        <w:t>Bailey, R., &amp;</w:t>
      </w:r>
      <w:r w:rsidRPr="00B31A23">
        <w:rPr>
          <w:rFonts w:ascii="Times New Roman" w:hAnsi="Times New Roman" w:cs="Times New Roman"/>
          <w:sz w:val="24"/>
          <w:szCs w:val="24"/>
          <w:lang w:val="de-DE"/>
        </w:rPr>
        <w:t xml:space="preserve"> Wells</w:t>
      </w:r>
      <w:r w:rsidRPr="00B31A23">
        <w:rPr>
          <w:rFonts w:ascii="Times New Roman" w:hAnsi="Times New Roman" w:cs="Times New Roman"/>
          <w:sz w:val="24"/>
          <w:szCs w:val="24"/>
          <w:lang w:val="en-GB"/>
        </w:rPr>
        <w:t>,</w:t>
      </w:r>
      <w:r w:rsidRPr="00B31A23">
        <w:rPr>
          <w:rFonts w:ascii="Times New Roman" w:hAnsi="Times New Roman" w:cs="Times New Roman"/>
          <w:sz w:val="24"/>
          <w:szCs w:val="24"/>
          <w:lang w:val="en-US"/>
        </w:rPr>
        <w:t xml:space="preserve"> A. (2015). Development and initial validation of a measure of metacognitive beliefs in health anxiety: the MCQ-HA. </w:t>
      </w:r>
      <w:r w:rsidRPr="00B31A23">
        <w:rPr>
          <w:rFonts w:ascii="Times New Roman" w:hAnsi="Times New Roman" w:cs="Times New Roman"/>
          <w:i/>
          <w:iCs/>
          <w:sz w:val="24"/>
          <w:szCs w:val="24"/>
          <w:lang w:val="en-GB"/>
        </w:rPr>
        <w:t>Journal of Psychiatry Research</w:t>
      </w:r>
      <w:r w:rsidRPr="00B31A23">
        <w:rPr>
          <w:rFonts w:ascii="Times New Roman" w:hAnsi="Times New Roman" w:cs="Times New Roman"/>
          <w:sz w:val="24"/>
          <w:szCs w:val="24"/>
          <w:lang w:val="en-GB"/>
        </w:rPr>
        <w:t>, 230, 871-877.</w:t>
      </w:r>
    </w:p>
    <w:p w14:paraId="1944E9F1" w14:textId="4295ADC5" w:rsidR="00781893" w:rsidRPr="00B31A23" w:rsidRDefault="00781893" w:rsidP="00781893">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Bailey, R., &amp; Wells, A. (2016). The contribution of metacognitive beliefs and dysfunctional illness beliefs in predicting health anxiety: An evaluation of the metacognitive versus the cognitive models. </w:t>
      </w:r>
      <w:r w:rsidRPr="00B31A23">
        <w:rPr>
          <w:rFonts w:ascii="Times New Roman" w:hAnsi="Times New Roman" w:cs="Times New Roman"/>
          <w:i/>
          <w:iCs/>
          <w:sz w:val="24"/>
          <w:szCs w:val="24"/>
          <w:lang w:val="en-US"/>
        </w:rPr>
        <w:t>Clinical Psychologist</w:t>
      </w:r>
      <w:r w:rsidRPr="00B31A23">
        <w:rPr>
          <w:rFonts w:ascii="Times New Roman" w:hAnsi="Times New Roman" w:cs="Times New Roman"/>
          <w:sz w:val="24"/>
          <w:szCs w:val="24"/>
          <w:lang w:val="en-US"/>
        </w:rPr>
        <w:t>, 20, 129-137.</w:t>
      </w:r>
    </w:p>
    <w:p w14:paraId="00D21F70" w14:textId="475A42BE" w:rsidR="00094336" w:rsidRPr="00B31A23" w:rsidRDefault="0073720E" w:rsidP="000A31E6">
      <w:pPr>
        <w:pStyle w:val="Corpo"/>
        <w:spacing w:line="480" w:lineRule="auto"/>
        <w:ind w:left="720" w:hanging="720"/>
        <w:jc w:val="both"/>
        <w:rPr>
          <w:rFonts w:ascii="Times New Roman" w:eastAsia="Times New Roman" w:hAnsi="Times New Roman" w:cs="Times New Roman"/>
          <w:sz w:val="24"/>
          <w:szCs w:val="24"/>
          <w:lang w:val="en-GB"/>
        </w:rPr>
      </w:pPr>
      <w:r w:rsidRPr="00B31A23">
        <w:rPr>
          <w:rFonts w:ascii="Times New Roman" w:hAnsi="Times New Roman" w:cs="Times New Roman"/>
          <w:sz w:val="24"/>
          <w:szCs w:val="24"/>
          <w:lang w:val="en-GB"/>
        </w:rPr>
        <w:t>Bailer, J., Kerstner, T., Witthö</w:t>
      </w:r>
      <w:r w:rsidRPr="00B31A23">
        <w:rPr>
          <w:rFonts w:ascii="Times New Roman" w:hAnsi="Times New Roman" w:cs="Times New Roman"/>
          <w:sz w:val="24"/>
          <w:szCs w:val="24"/>
          <w:lang w:val="en-US"/>
        </w:rPr>
        <w:t xml:space="preserve">ft, M., Diener, C., Mier, D., &amp; Rist, F. (2016). Health anxiety and hypochondriasis in the light of DSM-5. </w:t>
      </w:r>
      <w:r w:rsidRPr="00B31A23">
        <w:rPr>
          <w:rFonts w:ascii="Times New Roman" w:hAnsi="Times New Roman" w:cs="Times New Roman"/>
          <w:i/>
          <w:iCs/>
          <w:sz w:val="24"/>
          <w:szCs w:val="24"/>
          <w:lang w:val="en-US"/>
        </w:rPr>
        <w:t xml:space="preserve">Anxiety, Stress, &amp; Coping, </w:t>
      </w:r>
      <w:r w:rsidRPr="00B31A23">
        <w:rPr>
          <w:rFonts w:ascii="Times New Roman" w:hAnsi="Times New Roman" w:cs="Times New Roman"/>
          <w:sz w:val="24"/>
          <w:szCs w:val="24"/>
          <w:lang w:val="en-GB"/>
        </w:rPr>
        <w:t xml:space="preserve">29, 219-239. </w:t>
      </w:r>
    </w:p>
    <w:p w14:paraId="6F795673" w14:textId="32881D05" w:rsidR="00263D74" w:rsidRPr="00B31A23" w:rsidRDefault="00263D74" w:rsidP="000A31E6">
      <w:pPr>
        <w:pStyle w:val="Corpo"/>
        <w:spacing w:line="480" w:lineRule="auto"/>
        <w:ind w:left="720" w:hanging="720"/>
        <w:jc w:val="both"/>
        <w:rPr>
          <w:rFonts w:ascii="Times New Roman" w:hAnsi="Times New Roman" w:cs="Times New Roman"/>
          <w:sz w:val="24"/>
          <w:szCs w:val="24"/>
          <w:lang w:val="en-GB"/>
        </w:rPr>
      </w:pPr>
      <w:r w:rsidRPr="00B31A23">
        <w:rPr>
          <w:rFonts w:ascii="Times New Roman" w:hAnsi="Times New Roman" w:cs="Times New Roman"/>
          <w:sz w:val="24"/>
          <w:szCs w:val="24"/>
          <w:lang w:val="en-GB"/>
        </w:rPr>
        <w:t>Baumgartner, S. E., &amp; Hartmann, T. (2011). The role of health anxiety in online health information search. </w:t>
      </w:r>
      <w:r w:rsidRPr="00B31A23">
        <w:rPr>
          <w:rFonts w:ascii="Times New Roman" w:hAnsi="Times New Roman" w:cs="Times New Roman"/>
          <w:i/>
          <w:iCs/>
          <w:sz w:val="24"/>
          <w:szCs w:val="24"/>
          <w:lang w:val="en-GB"/>
        </w:rPr>
        <w:t>Cyberpsychology, Behavior and Social Networking</w:t>
      </w:r>
      <w:r w:rsidRPr="00B31A23">
        <w:rPr>
          <w:rFonts w:ascii="Times New Roman" w:hAnsi="Times New Roman" w:cs="Times New Roman"/>
          <w:sz w:val="24"/>
          <w:szCs w:val="24"/>
          <w:lang w:val="en-GB"/>
        </w:rPr>
        <w:t>, 14, 613-618.</w:t>
      </w:r>
    </w:p>
    <w:p w14:paraId="11FAE5C5" w14:textId="6E0478F7" w:rsidR="00EC0E41" w:rsidRPr="00B31A23" w:rsidRDefault="0073720E" w:rsidP="000A31E6">
      <w:pPr>
        <w:pStyle w:val="Corpo"/>
        <w:spacing w:line="480" w:lineRule="auto"/>
        <w:ind w:left="720" w:hanging="720"/>
        <w:jc w:val="both"/>
        <w:rPr>
          <w:rFonts w:ascii="Times New Roman" w:hAnsi="Times New Roman" w:cs="Times New Roman"/>
          <w:sz w:val="24"/>
          <w:szCs w:val="24"/>
          <w:lang w:val="en-GB"/>
        </w:rPr>
      </w:pPr>
      <w:r w:rsidRPr="00B31A23">
        <w:rPr>
          <w:rFonts w:ascii="Times New Roman" w:hAnsi="Times New Roman" w:cs="Times New Roman"/>
          <w:sz w:val="24"/>
          <w:szCs w:val="24"/>
          <w:lang w:val="en-GB"/>
        </w:rPr>
        <w:t>Belling,</w:t>
      </w:r>
      <w:r w:rsidRPr="00B31A23">
        <w:rPr>
          <w:rFonts w:ascii="Times New Roman" w:hAnsi="Times New Roman" w:cs="Times New Roman"/>
          <w:sz w:val="24"/>
          <w:szCs w:val="24"/>
          <w:lang w:val="en-US"/>
        </w:rPr>
        <w:t xml:space="preserve"> C. (2006). Hypochondriac hermeneutics: medicine and the anxiety of interpretation. </w:t>
      </w:r>
      <w:r w:rsidRPr="00B31A23">
        <w:rPr>
          <w:rFonts w:ascii="Times New Roman" w:hAnsi="Times New Roman" w:cs="Times New Roman"/>
          <w:i/>
          <w:iCs/>
          <w:sz w:val="24"/>
          <w:szCs w:val="24"/>
          <w:lang w:val="en-GB"/>
        </w:rPr>
        <w:t>Lit Med</w:t>
      </w:r>
      <w:r w:rsidRPr="00B31A23">
        <w:rPr>
          <w:rFonts w:ascii="Times New Roman" w:hAnsi="Times New Roman" w:cs="Times New Roman"/>
          <w:sz w:val="24"/>
          <w:szCs w:val="24"/>
          <w:lang w:val="en-GB"/>
        </w:rPr>
        <w:t>, 25, 376-401.</w:t>
      </w:r>
    </w:p>
    <w:p w14:paraId="09F87DB4" w14:textId="3CA197AA" w:rsidR="003A05CA" w:rsidRPr="00B31A23" w:rsidRDefault="00BB1A2C"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Brown, R. J., Skelly, N., &amp; Chew-Graham, C. A. (2019). Online health research and health anxiety: A systematic review and conceptual integration</w:t>
      </w:r>
      <w:r w:rsidRPr="00B31A23">
        <w:rPr>
          <w:rFonts w:ascii="Times New Roman" w:hAnsi="Times New Roman" w:cs="Times New Roman"/>
          <w:i/>
          <w:iCs/>
          <w:sz w:val="24"/>
          <w:szCs w:val="24"/>
          <w:lang w:val="en-US"/>
        </w:rPr>
        <w:t>. Clinical Psychology: Science and Practice</w:t>
      </w:r>
      <w:r w:rsidRPr="00B31A23">
        <w:rPr>
          <w:rFonts w:ascii="Times New Roman" w:hAnsi="Times New Roman" w:cs="Times New Roman"/>
          <w:sz w:val="24"/>
          <w:szCs w:val="24"/>
          <w:lang w:val="en-US"/>
        </w:rPr>
        <w:t>, 9, 85.</w:t>
      </w:r>
    </w:p>
    <w:p w14:paraId="53306BDB" w14:textId="282AE639" w:rsidR="00094336" w:rsidRPr="00B31A23" w:rsidRDefault="0073720E" w:rsidP="000A31E6">
      <w:pPr>
        <w:pStyle w:val="Corpo"/>
        <w:spacing w:line="480" w:lineRule="auto"/>
        <w:ind w:left="720" w:hanging="720"/>
        <w:jc w:val="both"/>
        <w:rPr>
          <w:rFonts w:ascii="Times New Roman" w:hAnsi="Times New Roman" w:cs="Times New Roman"/>
          <w:sz w:val="24"/>
          <w:szCs w:val="24"/>
          <w:lang w:val="en-GB"/>
        </w:rPr>
      </w:pPr>
      <w:r w:rsidRPr="00B31A23">
        <w:rPr>
          <w:rFonts w:ascii="Times New Roman" w:hAnsi="Times New Roman" w:cs="Times New Roman"/>
          <w:sz w:val="24"/>
          <w:szCs w:val="24"/>
          <w:lang w:val="en-GB"/>
        </w:rPr>
        <w:lastRenderedPageBreak/>
        <w:t>Doherty‐</w:t>
      </w:r>
      <w:r w:rsidRPr="00B31A23">
        <w:rPr>
          <w:rFonts w:ascii="Times New Roman" w:hAnsi="Times New Roman" w:cs="Times New Roman"/>
          <w:sz w:val="24"/>
          <w:szCs w:val="24"/>
          <w:lang w:val="en-US"/>
        </w:rPr>
        <w:t xml:space="preserve">Torstrick, E. R., Walton, K. E., &amp; Fallon, B. A. (2016). Cyberchondria: Parsing health anxiety from online behavior. </w:t>
      </w:r>
      <w:r w:rsidRPr="00B31A23">
        <w:rPr>
          <w:rFonts w:ascii="Times New Roman" w:hAnsi="Times New Roman" w:cs="Times New Roman"/>
          <w:i/>
          <w:iCs/>
          <w:sz w:val="24"/>
          <w:szCs w:val="24"/>
          <w:lang w:val="en-US"/>
        </w:rPr>
        <w:t>Psychosomatics</w:t>
      </w:r>
      <w:r w:rsidRPr="00B31A23">
        <w:rPr>
          <w:rFonts w:ascii="Times New Roman" w:hAnsi="Times New Roman" w:cs="Times New Roman"/>
          <w:sz w:val="24"/>
          <w:szCs w:val="24"/>
          <w:lang w:val="en-GB"/>
        </w:rPr>
        <w:t>, 57, 390</w:t>
      </w:r>
      <w:r w:rsidR="00F4362C" w:rsidRPr="00B31A23">
        <w:rPr>
          <w:rFonts w:ascii="Times New Roman" w:hAnsi="Times New Roman" w:cs="Times New Roman"/>
          <w:sz w:val="24"/>
          <w:szCs w:val="24"/>
          <w:lang w:val="en-GB"/>
        </w:rPr>
        <w:t>-</w:t>
      </w:r>
      <w:r w:rsidRPr="00B31A23">
        <w:rPr>
          <w:rFonts w:ascii="Times New Roman" w:hAnsi="Times New Roman" w:cs="Times New Roman"/>
          <w:sz w:val="24"/>
          <w:szCs w:val="24"/>
          <w:lang w:val="en-GB"/>
        </w:rPr>
        <w:t>400</w:t>
      </w:r>
      <w:r w:rsidR="00F4362C" w:rsidRPr="00B31A23">
        <w:rPr>
          <w:rFonts w:ascii="Times New Roman" w:hAnsi="Times New Roman" w:cs="Times New Roman"/>
          <w:sz w:val="24"/>
          <w:szCs w:val="24"/>
          <w:lang w:val="en-US"/>
        </w:rPr>
        <w:t>.</w:t>
      </w:r>
      <w:r w:rsidRPr="00B31A23">
        <w:rPr>
          <w:rFonts w:ascii="Times New Roman" w:hAnsi="Times New Roman" w:cs="Times New Roman"/>
          <w:sz w:val="24"/>
          <w:szCs w:val="24"/>
          <w:lang w:val="en-GB"/>
        </w:rPr>
        <w:t xml:space="preserve"> </w:t>
      </w:r>
    </w:p>
    <w:p w14:paraId="10CED600" w14:textId="67212BA9" w:rsidR="009A3F54" w:rsidRPr="00B31A23" w:rsidRDefault="009A3F54" w:rsidP="000A31E6">
      <w:pPr>
        <w:pStyle w:val="Corpo"/>
        <w:spacing w:line="480" w:lineRule="auto"/>
        <w:ind w:left="720" w:hanging="720"/>
        <w:jc w:val="both"/>
        <w:rPr>
          <w:rFonts w:ascii="Times New Roman" w:hAnsi="Times New Roman" w:cs="Times New Roman"/>
          <w:sz w:val="24"/>
          <w:szCs w:val="24"/>
          <w:lang w:val="en-GB"/>
        </w:rPr>
      </w:pPr>
      <w:r w:rsidRPr="00B31A23">
        <w:rPr>
          <w:rFonts w:ascii="Times New Roman" w:hAnsi="Times New Roman" w:cs="Times New Roman"/>
          <w:sz w:val="24"/>
          <w:szCs w:val="24"/>
          <w:lang w:val="en-GB"/>
        </w:rPr>
        <w:t xml:space="preserve">European Commission. (2014). Eurobarometer 404: European citizens’ digital health literacy, September-November 2014 [Survey report]. Retrieved from </w:t>
      </w:r>
      <w:hyperlink r:id="rId8" w:history="1">
        <w:r w:rsidR="00490778" w:rsidRPr="00B31A23">
          <w:rPr>
            <w:rStyle w:val="Hyperlink"/>
            <w:rFonts w:ascii="Times New Roman" w:hAnsi="Times New Roman" w:cs="Times New Roman"/>
            <w:sz w:val="24"/>
            <w:szCs w:val="24"/>
            <w:lang w:val="en-GB"/>
          </w:rPr>
          <w:t>https://ec.europa.eu/commfrontoffice/publicopinion/flash/fl_404_en.pdf</w:t>
        </w:r>
      </w:hyperlink>
      <w:r w:rsidR="00490778" w:rsidRPr="00B31A23">
        <w:rPr>
          <w:rFonts w:ascii="Times New Roman" w:hAnsi="Times New Roman" w:cs="Times New Roman"/>
          <w:sz w:val="24"/>
          <w:szCs w:val="24"/>
          <w:lang w:val="en-GB"/>
        </w:rPr>
        <w:t xml:space="preserve">. </w:t>
      </w:r>
    </w:p>
    <w:p w14:paraId="4BE5450B" w14:textId="102A7232" w:rsidR="000949A1" w:rsidRPr="00B31A23" w:rsidRDefault="0073720E" w:rsidP="000A31E6">
      <w:pPr>
        <w:pStyle w:val="Corpo"/>
        <w:spacing w:line="480" w:lineRule="auto"/>
        <w:ind w:left="720" w:hanging="720"/>
        <w:jc w:val="both"/>
        <w:rPr>
          <w:rFonts w:ascii="Times New Roman" w:hAnsi="Times New Roman" w:cs="Times New Roman"/>
          <w:sz w:val="24"/>
          <w:szCs w:val="24"/>
          <w:lang w:val="en-GB"/>
        </w:rPr>
      </w:pPr>
      <w:r w:rsidRPr="00B31A23">
        <w:rPr>
          <w:rFonts w:ascii="Times New Roman" w:hAnsi="Times New Roman" w:cs="Times New Roman"/>
          <w:sz w:val="24"/>
          <w:szCs w:val="24"/>
          <w:lang w:val="en-US"/>
        </w:rPr>
        <w:t xml:space="preserve">Fergus, T. A. (2013). Cyberchondria and intolerance of uncertainty: Examining when individuals experience health anxiety in response to Internet searches for medical information. </w:t>
      </w:r>
      <w:r w:rsidRPr="00B31A23">
        <w:rPr>
          <w:rFonts w:ascii="Times New Roman" w:hAnsi="Times New Roman" w:cs="Times New Roman"/>
          <w:i/>
          <w:iCs/>
          <w:sz w:val="24"/>
          <w:szCs w:val="24"/>
          <w:lang w:val="en-US"/>
        </w:rPr>
        <w:t>Cyberpsychology, Behavior, and Social Networking</w:t>
      </w:r>
      <w:r w:rsidRPr="00B31A23">
        <w:rPr>
          <w:rFonts w:ascii="Times New Roman" w:hAnsi="Times New Roman" w:cs="Times New Roman"/>
          <w:sz w:val="24"/>
          <w:szCs w:val="24"/>
          <w:lang w:val="en-GB"/>
        </w:rPr>
        <w:t xml:space="preserve">, 16, 735-739. </w:t>
      </w:r>
    </w:p>
    <w:p w14:paraId="4C06E8FF" w14:textId="51E3919F" w:rsidR="00094336" w:rsidRPr="00B31A23" w:rsidRDefault="0073720E" w:rsidP="000A31E6">
      <w:pPr>
        <w:pStyle w:val="Corpo"/>
        <w:spacing w:line="480" w:lineRule="auto"/>
        <w:ind w:left="720" w:hanging="720"/>
        <w:jc w:val="both"/>
        <w:rPr>
          <w:rFonts w:ascii="Times New Roman" w:eastAsia="Times New Roman" w:hAnsi="Times New Roman" w:cs="Times New Roman"/>
          <w:sz w:val="24"/>
          <w:szCs w:val="24"/>
          <w:lang w:val="en-GB"/>
        </w:rPr>
      </w:pPr>
      <w:r w:rsidRPr="00B31A23">
        <w:rPr>
          <w:rFonts w:ascii="Times New Roman" w:hAnsi="Times New Roman" w:cs="Times New Roman"/>
          <w:sz w:val="24"/>
          <w:szCs w:val="24"/>
          <w:lang w:val="en-US"/>
        </w:rPr>
        <w:t xml:space="preserve">Fergus, T. A. (2014). The Cyberchondria Severity Scale (CSS): An examination of structure and relations with health anxiety in a community sample. </w:t>
      </w:r>
      <w:r w:rsidRPr="00B31A23">
        <w:rPr>
          <w:rFonts w:ascii="Times New Roman" w:hAnsi="Times New Roman" w:cs="Times New Roman"/>
          <w:i/>
          <w:iCs/>
          <w:sz w:val="24"/>
          <w:szCs w:val="24"/>
          <w:lang w:val="en-US"/>
        </w:rPr>
        <w:t>Journal of Anxiety Disorders</w:t>
      </w:r>
      <w:r w:rsidRPr="00B31A23">
        <w:rPr>
          <w:rFonts w:ascii="Times New Roman" w:hAnsi="Times New Roman" w:cs="Times New Roman"/>
          <w:sz w:val="24"/>
          <w:szCs w:val="24"/>
          <w:lang w:val="en-GB"/>
        </w:rPr>
        <w:t>, 28, 504-510.</w:t>
      </w:r>
    </w:p>
    <w:p w14:paraId="747529D7" w14:textId="06A62F99" w:rsidR="00094336" w:rsidRPr="00B31A23" w:rsidRDefault="0073720E" w:rsidP="000A31E6">
      <w:pPr>
        <w:pStyle w:val="Corpo"/>
        <w:spacing w:line="480" w:lineRule="auto"/>
        <w:ind w:left="720" w:hanging="720"/>
        <w:jc w:val="both"/>
        <w:rPr>
          <w:rFonts w:ascii="Times New Roman" w:eastAsia="Times New Roman" w:hAnsi="Times New Roman" w:cs="Times New Roman"/>
          <w:sz w:val="24"/>
          <w:szCs w:val="24"/>
          <w:lang w:val="en-GB"/>
        </w:rPr>
      </w:pPr>
      <w:r w:rsidRPr="00B31A23">
        <w:rPr>
          <w:rFonts w:ascii="Times New Roman" w:hAnsi="Times New Roman" w:cs="Times New Roman"/>
          <w:sz w:val="24"/>
          <w:szCs w:val="24"/>
          <w:lang w:val="en-US"/>
        </w:rPr>
        <w:t xml:space="preserve">Fergus, T. A., &amp; Dolan, S. L. (2014). Problematic Internet use and Internet searches for medical information: The role of health anxiety. </w:t>
      </w:r>
      <w:r w:rsidRPr="00B31A23">
        <w:rPr>
          <w:rFonts w:ascii="Times New Roman" w:hAnsi="Times New Roman" w:cs="Times New Roman"/>
          <w:i/>
          <w:iCs/>
          <w:sz w:val="24"/>
          <w:szCs w:val="24"/>
          <w:lang w:val="en-US"/>
        </w:rPr>
        <w:t>Cyberpsychology, Behavior, and Social Networking</w:t>
      </w:r>
      <w:r w:rsidRPr="00B31A23">
        <w:rPr>
          <w:rFonts w:ascii="Times New Roman" w:hAnsi="Times New Roman" w:cs="Times New Roman"/>
          <w:sz w:val="24"/>
          <w:szCs w:val="24"/>
          <w:lang w:val="en-GB"/>
        </w:rPr>
        <w:t xml:space="preserve">, 17, 761-765. </w:t>
      </w:r>
    </w:p>
    <w:p w14:paraId="6329A391" w14:textId="4FEBA4DF" w:rsidR="00094336" w:rsidRPr="00B31A23" w:rsidRDefault="0073720E" w:rsidP="000A31E6">
      <w:pPr>
        <w:pStyle w:val="Corpo"/>
        <w:spacing w:line="480" w:lineRule="auto"/>
        <w:ind w:left="720" w:hanging="720"/>
        <w:jc w:val="both"/>
        <w:rPr>
          <w:rFonts w:ascii="Times New Roman" w:eastAsia="Times New Roman" w:hAnsi="Times New Roman" w:cs="Times New Roman"/>
          <w:sz w:val="24"/>
          <w:szCs w:val="24"/>
          <w:lang w:val="en-GB"/>
        </w:rPr>
      </w:pPr>
      <w:r w:rsidRPr="00B31A23">
        <w:rPr>
          <w:rFonts w:ascii="Times New Roman" w:hAnsi="Times New Roman" w:cs="Times New Roman"/>
          <w:sz w:val="24"/>
          <w:szCs w:val="24"/>
          <w:lang w:val="en-GB"/>
        </w:rPr>
        <w:t>Fergus, T. A., &amp; Spada, M. M. (2017).</w:t>
      </w:r>
      <w:r w:rsidRPr="00B31A23">
        <w:rPr>
          <w:rFonts w:ascii="Times New Roman" w:hAnsi="Times New Roman" w:cs="Times New Roman"/>
          <w:sz w:val="24"/>
          <w:szCs w:val="24"/>
          <w:lang w:val="en-US"/>
        </w:rPr>
        <w:t xml:space="preserve"> Cyberchondria: Examining relations with problematic Internet use and metacognitive beliefs. </w:t>
      </w:r>
      <w:r w:rsidRPr="00B31A23">
        <w:rPr>
          <w:rFonts w:ascii="Times New Roman" w:hAnsi="Times New Roman" w:cs="Times New Roman"/>
          <w:i/>
          <w:iCs/>
          <w:sz w:val="24"/>
          <w:szCs w:val="24"/>
          <w:lang w:val="en-GB"/>
        </w:rPr>
        <w:t>Clinical Psychology &amp;</w:t>
      </w:r>
      <w:r w:rsidRPr="00B31A23">
        <w:rPr>
          <w:rFonts w:ascii="Times New Roman" w:hAnsi="Times New Roman" w:cs="Times New Roman"/>
          <w:i/>
          <w:iCs/>
          <w:sz w:val="24"/>
          <w:szCs w:val="24"/>
          <w:lang w:val="en-US"/>
        </w:rPr>
        <w:t xml:space="preserve"> Psychother</w:t>
      </w:r>
      <w:r w:rsidRPr="00B31A23">
        <w:rPr>
          <w:rFonts w:ascii="Times New Roman" w:hAnsi="Times New Roman" w:cs="Times New Roman"/>
          <w:i/>
          <w:iCs/>
          <w:sz w:val="24"/>
          <w:szCs w:val="24"/>
          <w:lang w:val="en-GB"/>
        </w:rPr>
        <w:t>apy</w:t>
      </w:r>
      <w:r w:rsidRPr="00B31A23">
        <w:rPr>
          <w:rFonts w:ascii="Times New Roman" w:hAnsi="Times New Roman" w:cs="Times New Roman"/>
          <w:sz w:val="24"/>
          <w:szCs w:val="24"/>
          <w:lang w:val="en-GB"/>
        </w:rPr>
        <w:t>, 17, 1-9.</w:t>
      </w:r>
    </w:p>
    <w:p w14:paraId="626429DF" w14:textId="1E20E478" w:rsidR="00B8455D" w:rsidRPr="00B31A23" w:rsidRDefault="0073720E" w:rsidP="000A31E6">
      <w:pPr>
        <w:pStyle w:val="Corpo"/>
        <w:spacing w:line="480" w:lineRule="auto"/>
        <w:ind w:left="720" w:hanging="720"/>
        <w:jc w:val="both"/>
        <w:rPr>
          <w:rFonts w:ascii="Times New Roman" w:hAnsi="Times New Roman" w:cs="Times New Roman"/>
          <w:sz w:val="24"/>
          <w:szCs w:val="24"/>
          <w:lang w:val="en-GB"/>
        </w:rPr>
      </w:pPr>
      <w:r w:rsidRPr="00B31A23">
        <w:rPr>
          <w:rFonts w:ascii="Times New Roman" w:hAnsi="Times New Roman" w:cs="Times New Roman"/>
          <w:sz w:val="24"/>
          <w:szCs w:val="24"/>
          <w:lang w:val="en-GB"/>
        </w:rPr>
        <w:t xml:space="preserve">Fergus, T. A., &amp; Spada, M. M. (2018). </w:t>
      </w:r>
      <w:r w:rsidRPr="00B31A23">
        <w:rPr>
          <w:rFonts w:ascii="Times New Roman" w:hAnsi="Times New Roman" w:cs="Times New Roman"/>
          <w:sz w:val="24"/>
          <w:szCs w:val="24"/>
          <w:lang w:val="en-US"/>
        </w:rPr>
        <w:t>Moving toward a metacognitive conceptualization of cyberchondria: Examining the contribution of metacognitive beliefs, beliefs about rituals, and stop signals</w:t>
      </w:r>
      <w:r w:rsidRPr="00B31A23">
        <w:rPr>
          <w:rFonts w:ascii="Times New Roman" w:hAnsi="Times New Roman" w:cs="Times New Roman"/>
          <w:sz w:val="24"/>
          <w:szCs w:val="24"/>
          <w:lang w:val="en-GB"/>
        </w:rPr>
        <w:t xml:space="preserve">. </w:t>
      </w:r>
      <w:r w:rsidRPr="00B31A23">
        <w:rPr>
          <w:rFonts w:ascii="Times New Roman" w:hAnsi="Times New Roman" w:cs="Times New Roman"/>
          <w:i/>
          <w:iCs/>
          <w:sz w:val="24"/>
          <w:szCs w:val="24"/>
          <w:lang w:val="en-GB"/>
        </w:rPr>
        <w:t>J</w:t>
      </w:r>
      <w:r w:rsidRPr="00B31A23">
        <w:rPr>
          <w:rFonts w:ascii="Times New Roman" w:hAnsi="Times New Roman" w:cs="Times New Roman"/>
          <w:i/>
          <w:iCs/>
          <w:sz w:val="24"/>
          <w:szCs w:val="24"/>
          <w:lang w:val="en-US"/>
        </w:rPr>
        <w:t>ournal of Anxiety Disorders</w:t>
      </w:r>
      <w:r w:rsidRPr="00B31A23">
        <w:rPr>
          <w:rFonts w:ascii="Times New Roman" w:hAnsi="Times New Roman" w:cs="Times New Roman"/>
          <w:sz w:val="24"/>
          <w:szCs w:val="24"/>
          <w:lang w:val="en-GB"/>
        </w:rPr>
        <w:t xml:space="preserve">, 60, 11-19. </w:t>
      </w:r>
    </w:p>
    <w:p w14:paraId="0FE93C5D" w14:textId="4DC9F910" w:rsidR="00263D74" w:rsidRPr="00B31A23" w:rsidRDefault="00263D74"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Hadjistavropoulos, H. D., Craig, K. D., &amp; Hadjistavropoulos, T. (1998). Cognitive and behavioural responses to illness information: The role of health anxiety. </w:t>
      </w:r>
      <w:r w:rsidRPr="00B31A23">
        <w:rPr>
          <w:rFonts w:ascii="Times New Roman" w:hAnsi="Times New Roman" w:cs="Times New Roman"/>
          <w:i/>
          <w:iCs/>
          <w:sz w:val="24"/>
          <w:szCs w:val="24"/>
          <w:lang w:val="en-US"/>
        </w:rPr>
        <w:t>Behaviour Research and Therapy</w:t>
      </w:r>
      <w:r w:rsidRPr="00B31A23">
        <w:rPr>
          <w:rFonts w:ascii="Times New Roman" w:hAnsi="Times New Roman" w:cs="Times New Roman"/>
          <w:sz w:val="24"/>
          <w:szCs w:val="24"/>
          <w:lang w:val="en-US"/>
        </w:rPr>
        <w:t>, 36, 149-164.</w:t>
      </w:r>
    </w:p>
    <w:p w14:paraId="3044CDF9" w14:textId="30CA2971" w:rsidR="00094336" w:rsidRPr="00B31A23" w:rsidRDefault="0073720E" w:rsidP="000A31E6">
      <w:pPr>
        <w:pStyle w:val="Corpo"/>
        <w:spacing w:line="480" w:lineRule="auto"/>
        <w:ind w:left="720" w:hanging="720"/>
        <w:jc w:val="both"/>
        <w:rPr>
          <w:rFonts w:ascii="Times New Roman" w:eastAsia="Times New Roman" w:hAnsi="Times New Roman" w:cs="Times New Roman"/>
          <w:sz w:val="24"/>
          <w:szCs w:val="24"/>
          <w:lang w:val="en-GB"/>
        </w:rPr>
      </w:pPr>
      <w:r w:rsidRPr="00B31A23">
        <w:rPr>
          <w:rFonts w:ascii="Times New Roman" w:hAnsi="Times New Roman" w:cs="Times New Roman"/>
          <w:sz w:val="24"/>
          <w:szCs w:val="24"/>
          <w:lang w:val="en-GB"/>
        </w:rPr>
        <w:t>Hadjistavropoulos, H. D.</w:t>
      </w:r>
      <w:r w:rsidRPr="00B31A23">
        <w:rPr>
          <w:rFonts w:ascii="Times New Roman" w:hAnsi="Times New Roman" w:cs="Times New Roman"/>
          <w:sz w:val="24"/>
          <w:szCs w:val="24"/>
          <w:lang w:val="de-DE"/>
        </w:rPr>
        <w:t>, Janzen</w:t>
      </w:r>
      <w:r w:rsidRPr="00B31A23">
        <w:rPr>
          <w:rFonts w:ascii="Times New Roman" w:hAnsi="Times New Roman" w:cs="Times New Roman"/>
          <w:sz w:val="24"/>
          <w:szCs w:val="24"/>
          <w:lang w:val="en-GB"/>
        </w:rPr>
        <w:t>, J. A., Kehler, M. D., Leclerc, J. A., Sharpe, D., &amp;</w:t>
      </w:r>
      <w:r w:rsidRPr="00B31A23">
        <w:rPr>
          <w:rFonts w:ascii="Times New Roman" w:hAnsi="Times New Roman" w:cs="Times New Roman"/>
          <w:sz w:val="24"/>
          <w:szCs w:val="24"/>
          <w:lang w:val="fr-FR"/>
        </w:rPr>
        <w:t xml:space="preserve"> Bourgault-Fagnou</w:t>
      </w:r>
      <w:r w:rsidRPr="00B31A23">
        <w:rPr>
          <w:rFonts w:ascii="Times New Roman" w:hAnsi="Times New Roman" w:cs="Times New Roman"/>
          <w:sz w:val="24"/>
          <w:szCs w:val="24"/>
          <w:lang w:val="en-GB"/>
        </w:rPr>
        <w:t>, M. D. (2012).</w:t>
      </w:r>
      <w:r w:rsidRPr="00B31A23">
        <w:rPr>
          <w:rFonts w:ascii="Times New Roman" w:hAnsi="Times New Roman" w:cs="Times New Roman"/>
          <w:sz w:val="24"/>
          <w:szCs w:val="24"/>
          <w:lang w:val="en-US"/>
        </w:rPr>
        <w:t xml:space="preserve"> Core cognitions related to health anxiety in self-reported medical and non-medical samples. </w:t>
      </w:r>
      <w:r w:rsidRPr="00B31A23">
        <w:rPr>
          <w:rFonts w:ascii="Times New Roman" w:hAnsi="Times New Roman" w:cs="Times New Roman"/>
          <w:i/>
          <w:iCs/>
          <w:sz w:val="24"/>
          <w:szCs w:val="24"/>
          <w:lang w:val="en-GB"/>
        </w:rPr>
        <w:t>Journal of Behavioural Medicine</w:t>
      </w:r>
      <w:r w:rsidRPr="00B31A23">
        <w:rPr>
          <w:rFonts w:ascii="Times New Roman" w:hAnsi="Times New Roman" w:cs="Times New Roman"/>
          <w:sz w:val="24"/>
          <w:szCs w:val="24"/>
          <w:lang w:val="en-GB"/>
        </w:rPr>
        <w:t>, 35, 167-178.</w:t>
      </w:r>
    </w:p>
    <w:p w14:paraId="111138A0" w14:textId="091E574A" w:rsidR="00094336" w:rsidRPr="00B31A23" w:rsidRDefault="0073720E" w:rsidP="000A31E6">
      <w:pPr>
        <w:pStyle w:val="Corpo"/>
        <w:spacing w:line="480" w:lineRule="auto"/>
        <w:ind w:left="720" w:hanging="720"/>
        <w:jc w:val="both"/>
        <w:rPr>
          <w:rFonts w:ascii="Times New Roman" w:eastAsia="Times New Roman" w:hAnsi="Times New Roman" w:cs="Times New Roman"/>
          <w:sz w:val="24"/>
          <w:szCs w:val="24"/>
          <w:lang w:val="en-GB"/>
        </w:rPr>
      </w:pPr>
      <w:r w:rsidRPr="00B31A23">
        <w:rPr>
          <w:rFonts w:ascii="Times New Roman" w:hAnsi="Times New Roman" w:cs="Times New Roman"/>
          <w:sz w:val="24"/>
          <w:szCs w:val="24"/>
          <w:lang w:val="de-DE"/>
        </w:rPr>
        <w:lastRenderedPageBreak/>
        <w:t>Harding</w:t>
      </w:r>
      <w:r w:rsidRPr="00B31A23">
        <w:rPr>
          <w:rFonts w:ascii="Times New Roman" w:hAnsi="Times New Roman" w:cs="Times New Roman"/>
          <w:sz w:val="24"/>
          <w:szCs w:val="24"/>
          <w:lang w:val="en-GB"/>
        </w:rPr>
        <w:t xml:space="preserve">, K. J., Skritskaya, N., Doherty, E. &amp; Fallon, B. </w:t>
      </w:r>
      <w:r w:rsidRPr="00B31A23">
        <w:rPr>
          <w:rFonts w:ascii="Times New Roman" w:hAnsi="Times New Roman" w:cs="Times New Roman"/>
          <w:sz w:val="24"/>
          <w:szCs w:val="24"/>
          <w:lang w:val="en-US"/>
        </w:rPr>
        <w:t>A. (2008). Advances in understanding illness anxiety.</w:t>
      </w:r>
      <w:r w:rsidRPr="00B31A23">
        <w:rPr>
          <w:rFonts w:ascii="Times New Roman" w:hAnsi="Times New Roman" w:cs="Times New Roman"/>
          <w:i/>
          <w:iCs/>
          <w:sz w:val="24"/>
          <w:szCs w:val="24"/>
          <w:lang w:val="en-GB"/>
        </w:rPr>
        <w:t xml:space="preserve"> Current Psychiatry Reports</w:t>
      </w:r>
      <w:r w:rsidRPr="00B31A23">
        <w:rPr>
          <w:rFonts w:ascii="Times New Roman" w:hAnsi="Times New Roman" w:cs="Times New Roman"/>
          <w:sz w:val="24"/>
          <w:szCs w:val="24"/>
          <w:lang w:val="en-GB"/>
        </w:rPr>
        <w:t>, 10, 311-317.</w:t>
      </w:r>
    </w:p>
    <w:p w14:paraId="00274B80" w14:textId="622ED5C6" w:rsidR="00794E88" w:rsidRPr="00B31A23" w:rsidRDefault="0073720E" w:rsidP="000A31E6">
      <w:pPr>
        <w:pStyle w:val="Corpo"/>
        <w:spacing w:line="480" w:lineRule="auto"/>
        <w:ind w:left="720" w:hanging="720"/>
        <w:jc w:val="both"/>
        <w:rPr>
          <w:rFonts w:ascii="Times New Roman" w:hAnsi="Times New Roman" w:cs="Times New Roman"/>
          <w:sz w:val="24"/>
          <w:szCs w:val="24"/>
          <w:lang w:val="en-GB"/>
        </w:rPr>
      </w:pPr>
      <w:r w:rsidRPr="00B31A23">
        <w:rPr>
          <w:rFonts w:ascii="Times New Roman" w:hAnsi="Times New Roman" w:cs="Times New Roman"/>
          <w:sz w:val="24"/>
          <w:szCs w:val="24"/>
          <w:lang w:val="en-GB"/>
        </w:rPr>
        <w:t xml:space="preserve">Hone, T., Palladino, R., &amp; Filippidis, F. T. (2016). </w:t>
      </w:r>
      <w:r w:rsidRPr="00B31A23">
        <w:rPr>
          <w:rFonts w:ascii="Times New Roman" w:hAnsi="Times New Roman" w:cs="Times New Roman"/>
          <w:sz w:val="24"/>
          <w:szCs w:val="24"/>
          <w:lang w:val="en-US"/>
        </w:rPr>
        <w:t>Association of searching for health-related information online with self-rated health in the European Union</w:t>
      </w:r>
      <w:r w:rsidRPr="00B31A23">
        <w:rPr>
          <w:rFonts w:ascii="Times New Roman" w:hAnsi="Times New Roman" w:cs="Times New Roman"/>
          <w:sz w:val="24"/>
          <w:szCs w:val="24"/>
          <w:lang w:val="en-GB"/>
        </w:rPr>
        <w:t xml:space="preserve">. </w:t>
      </w:r>
      <w:r w:rsidRPr="00B31A23">
        <w:rPr>
          <w:rFonts w:ascii="Times New Roman" w:hAnsi="Times New Roman" w:cs="Times New Roman"/>
          <w:i/>
          <w:iCs/>
          <w:sz w:val="24"/>
          <w:szCs w:val="24"/>
          <w:lang w:val="en-US"/>
        </w:rPr>
        <w:t>European Journal of Public Health</w:t>
      </w:r>
      <w:r w:rsidRPr="00B31A23">
        <w:rPr>
          <w:rFonts w:ascii="Times New Roman" w:hAnsi="Times New Roman" w:cs="Times New Roman"/>
          <w:i/>
          <w:iCs/>
          <w:sz w:val="24"/>
          <w:szCs w:val="24"/>
          <w:lang w:val="en-GB"/>
        </w:rPr>
        <w:t>,</w:t>
      </w:r>
      <w:r w:rsidRPr="00B31A23">
        <w:rPr>
          <w:rFonts w:ascii="Times New Roman" w:hAnsi="Times New Roman" w:cs="Times New Roman"/>
          <w:sz w:val="24"/>
          <w:szCs w:val="24"/>
          <w:lang w:val="en-GB"/>
        </w:rPr>
        <w:t xml:space="preserve"> 26, 748-753. </w:t>
      </w:r>
    </w:p>
    <w:p w14:paraId="486D50CB" w14:textId="2E028554" w:rsidR="00382ACB" w:rsidRPr="00B31A23" w:rsidRDefault="00382ACB" w:rsidP="00382ACB">
      <w:pPr>
        <w:pStyle w:val="Bibliography"/>
        <w:ind w:left="720" w:hanging="720"/>
        <w:rPr>
          <w:rFonts w:ascii="Times New Roman" w:hAnsi="Times New Roman" w:cs="Times New Roman"/>
          <w:noProof/>
        </w:rPr>
      </w:pPr>
      <w:r w:rsidRPr="00B31A23">
        <w:rPr>
          <w:rFonts w:ascii="Times New Roman" w:hAnsi="Times New Roman" w:cs="Times New Roman"/>
          <w:noProof/>
        </w:rPr>
        <w:t xml:space="preserve">IBM Corp. (2019). </w:t>
      </w:r>
      <w:r w:rsidRPr="00B31A23">
        <w:rPr>
          <w:rFonts w:ascii="Times New Roman" w:hAnsi="Times New Roman" w:cs="Times New Roman"/>
          <w:i/>
          <w:iCs/>
          <w:noProof/>
        </w:rPr>
        <w:t>IBM SPSS Statistics for Windows, Version 26.</w:t>
      </w:r>
      <w:r w:rsidRPr="00B31A23">
        <w:rPr>
          <w:rFonts w:ascii="Times New Roman" w:hAnsi="Times New Roman" w:cs="Times New Roman"/>
          <w:noProof/>
        </w:rPr>
        <w:t xml:space="preserve"> Armonk, NY: IBM Corp.</w:t>
      </w:r>
    </w:p>
    <w:p w14:paraId="39CBF90D" w14:textId="443BE281" w:rsidR="00C57AEC" w:rsidRPr="00B31A23" w:rsidRDefault="00C57AEC"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Kobori, O., &amp; Salkovskis, P. M. (2012). Patterns of reassurance seeking and reassurance-related behaviours in OCD and anxiety disorders. </w:t>
      </w:r>
      <w:r w:rsidRPr="00B31A23">
        <w:rPr>
          <w:rFonts w:ascii="Times New Roman" w:hAnsi="Times New Roman" w:cs="Times New Roman"/>
          <w:i/>
          <w:iCs/>
          <w:sz w:val="24"/>
          <w:szCs w:val="24"/>
          <w:lang w:val="en-US"/>
        </w:rPr>
        <w:t>Behavioural and Cognitive Psychotherapy</w:t>
      </w:r>
      <w:r w:rsidRPr="00B31A23">
        <w:rPr>
          <w:rFonts w:ascii="Times New Roman" w:hAnsi="Times New Roman" w:cs="Times New Roman"/>
          <w:sz w:val="24"/>
          <w:szCs w:val="24"/>
          <w:lang w:val="en-US"/>
        </w:rPr>
        <w:t>, 41, 1-23.</w:t>
      </w:r>
    </w:p>
    <w:p w14:paraId="3A310F51" w14:textId="1E44A451" w:rsidR="00611DB9" w:rsidRPr="00B31A23" w:rsidRDefault="00611DB9"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Marcus, D. K. (1999). The cognitive-behavioral model of hypochondriasis: Misinformation and triggers. </w:t>
      </w:r>
      <w:r w:rsidRPr="00B31A23">
        <w:rPr>
          <w:rFonts w:ascii="Times New Roman" w:hAnsi="Times New Roman" w:cs="Times New Roman"/>
          <w:i/>
          <w:iCs/>
          <w:sz w:val="24"/>
          <w:szCs w:val="24"/>
          <w:lang w:val="en-US"/>
        </w:rPr>
        <w:t>Journal of Psychosomatic Research</w:t>
      </w:r>
      <w:r w:rsidRPr="00B31A23">
        <w:rPr>
          <w:rFonts w:ascii="Times New Roman" w:hAnsi="Times New Roman" w:cs="Times New Roman"/>
          <w:sz w:val="24"/>
          <w:szCs w:val="24"/>
          <w:lang w:val="en-US"/>
        </w:rPr>
        <w:t>, 47, 79-91.</w:t>
      </w:r>
    </w:p>
    <w:p w14:paraId="6A6B80E9" w14:textId="0EE56C88" w:rsidR="00611DB9" w:rsidRPr="00B31A23" w:rsidRDefault="00611DB9"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Marcus, D. K., &amp; Church, S. E. (2003). Are dysfunctional beliefs about illness unique to hypochondriasis? </w:t>
      </w:r>
      <w:r w:rsidRPr="00B31A23">
        <w:rPr>
          <w:rFonts w:ascii="Times New Roman" w:hAnsi="Times New Roman" w:cs="Times New Roman"/>
          <w:i/>
          <w:iCs/>
          <w:sz w:val="24"/>
          <w:szCs w:val="24"/>
          <w:lang w:val="en-US"/>
        </w:rPr>
        <w:t>Journal of Psychosomatic Research</w:t>
      </w:r>
      <w:r w:rsidRPr="00B31A23">
        <w:rPr>
          <w:rFonts w:ascii="Times New Roman" w:hAnsi="Times New Roman" w:cs="Times New Roman"/>
          <w:sz w:val="24"/>
          <w:szCs w:val="24"/>
          <w:lang w:val="en-US"/>
        </w:rPr>
        <w:t>, 54, 543-547.</w:t>
      </w:r>
    </w:p>
    <w:p w14:paraId="482001BF" w14:textId="6986CF4F" w:rsidR="00094336" w:rsidRPr="00B31A23" w:rsidRDefault="0073720E" w:rsidP="000A31E6">
      <w:pPr>
        <w:pStyle w:val="Corpo"/>
        <w:spacing w:line="480" w:lineRule="auto"/>
        <w:ind w:left="720" w:hanging="720"/>
        <w:jc w:val="both"/>
        <w:rPr>
          <w:rFonts w:ascii="Times New Roman" w:eastAsia="Times New Roman" w:hAnsi="Times New Roman" w:cs="Times New Roman"/>
          <w:sz w:val="24"/>
          <w:szCs w:val="24"/>
          <w:lang w:val="en-GB"/>
        </w:rPr>
      </w:pPr>
      <w:r w:rsidRPr="00B31A23">
        <w:rPr>
          <w:rFonts w:ascii="Times New Roman" w:hAnsi="Times New Roman" w:cs="Times New Roman"/>
          <w:sz w:val="24"/>
          <w:szCs w:val="24"/>
          <w:lang w:val="en-GB"/>
        </w:rPr>
        <w:t>Marino, C., Fergus, T. A., Vieno, A., Bottesi, G., Ghisi, M., &amp; Spada, M. M. (2020)</w:t>
      </w:r>
      <w:r w:rsidRPr="00B31A23">
        <w:rPr>
          <w:rFonts w:ascii="Times New Roman" w:hAnsi="Times New Roman" w:cs="Times New Roman"/>
          <w:sz w:val="24"/>
          <w:szCs w:val="24"/>
          <w:lang w:val="en-US"/>
        </w:rPr>
        <w:t xml:space="preserve"> Testing the Italian version of</w:t>
      </w:r>
      <w:r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lang w:val="en-US"/>
        </w:rPr>
        <w:t>the Cyberchondria Severity Scale and a metacognitive model</w:t>
      </w:r>
      <w:r w:rsidRPr="00B31A23">
        <w:rPr>
          <w:rFonts w:ascii="Times New Roman" w:hAnsi="Times New Roman" w:cs="Times New Roman"/>
          <w:sz w:val="24"/>
          <w:szCs w:val="24"/>
          <w:lang w:val="en-GB"/>
        </w:rPr>
        <w:t xml:space="preserve"> </w:t>
      </w:r>
      <w:r w:rsidRPr="00B31A23">
        <w:rPr>
          <w:rFonts w:ascii="Times New Roman" w:hAnsi="Times New Roman" w:cs="Times New Roman"/>
          <w:sz w:val="24"/>
          <w:szCs w:val="24"/>
          <w:lang w:val="en-US"/>
        </w:rPr>
        <w:t>of cyberchondria.</w:t>
      </w:r>
      <w:r w:rsidRPr="00B31A23">
        <w:rPr>
          <w:rFonts w:ascii="Times New Roman" w:hAnsi="Times New Roman" w:cs="Times New Roman"/>
          <w:i/>
          <w:iCs/>
          <w:sz w:val="24"/>
          <w:szCs w:val="24"/>
          <w:lang w:val="en-GB"/>
        </w:rPr>
        <w:t xml:space="preserve"> Clinical Psychology &amp;</w:t>
      </w:r>
      <w:r w:rsidRPr="00B31A23">
        <w:rPr>
          <w:rFonts w:ascii="Times New Roman" w:hAnsi="Times New Roman" w:cs="Times New Roman"/>
          <w:i/>
          <w:iCs/>
          <w:sz w:val="24"/>
          <w:szCs w:val="24"/>
          <w:lang w:val="en-US"/>
        </w:rPr>
        <w:t xml:space="preserve"> Psychother</w:t>
      </w:r>
      <w:r w:rsidRPr="00B31A23">
        <w:rPr>
          <w:rFonts w:ascii="Times New Roman" w:hAnsi="Times New Roman" w:cs="Times New Roman"/>
          <w:i/>
          <w:iCs/>
          <w:sz w:val="24"/>
          <w:szCs w:val="24"/>
          <w:lang w:val="en-GB"/>
        </w:rPr>
        <w:t>apy</w:t>
      </w:r>
      <w:r w:rsidRPr="00B31A23">
        <w:rPr>
          <w:rFonts w:ascii="Times New Roman" w:hAnsi="Times New Roman" w:cs="Times New Roman"/>
          <w:sz w:val="24"/>
          <w:szCs w:val="24"/>
          <w:lang w:val="en-GB"/>
        </w:rPr>
        <w:t>, 1-16.</w:t>
      </w:r>
    </w:p>
    <w:p w14:paraId="074D9695" w14:textId="72BC3615" w:rsidR="00132FA7" w:rsidRPr="00B31A23" w:rsidRDefault="0073720E" w:rsidP="000A31E6">
      <w:pPr>
        <w:pStyle w:val="Corpo"/>
        <w:spacing w:line="480" w:lineRule="auto"/>
        <w:ind w:left="720" w:hanging="720"/>
        <w:jc w:val="both"/>
        <w:rPr>
          <w:rFonts w:ascii="Times New Roman" w:hAnsi="Times New Roman" w:cs="Times New Roman"/>
          <w:sz w:val="24"/>
          <w:szCs w:val="24"/>
          <w:lang w:val="en-GB"/>
        </w:rPr>
      </w:pPr>
      <w:r w:rsidRPr="00B31A23">
        <w:rPr>
          <w:rFonts w:ascii="Times New Roman" w:hAnsi="Times New Roman" w:cs="Times New Roman"/>
          <w:sz w:val="24"/>
          <w:szCs w:val="24"/>
          <w:lang w:val="fr-FR"/>
        </w:rPr>
        <w:t>McElroy</w:t>
      </w:r>
      <w:r w:rsidRPr="00B31A23">
        <w:rPr>
          <w:rFonts w:ascii="Times New Roman" w:hAnsi="Times New Roman" w:cs="Times New Roman"/>
          <w:sz w:val="24"/>
          <w:szCs w:val="24"/>
          <w:lang w:val="en-GB"/>
        </w:rPr>
        <w:t>, E., &amp; Shevlin,</w:t>
      </w:r>
      <w:r w:rsidRPr="00B31A23">
        <w:rPr>
          <w:rFonts w:ascii="Times New Roman" w:hAnsi="Times New Roman" w:cs="Times New Roman"/>
          <w:sz w:val="24"/>
          <w:szCs w:val="24"/>
          <w:lang w:val="en-US"/>
        </w:rPr>
        <w:t xml:space="preserve"> M. (2014). The development and initial validation of the cyberchondria severity scale (CSS). </w:t>
      </w:r>
      <w:r w:rsidRPr="00B31A23">
        <w:rPr>
          <w:rFonts w:ascii="Times New Roman" w:hAnsi="Times New Roman" w:cs="Times New Roman"/>
          <w:i/>
          <w:iCs/>
          <w:sz w:val="24"/>
          <w:szCs w:val="24"/>
          <w:lang w:val="en-GB"/>
        </w:rPr>
        <w:t>Journal of</w:t>
      </w:r>
      <w:r w:rsidRPr="00B31A23">
        <w:rPr>
          <w:rFonts w:ascii="Times New Roman" w:hAnsi="Times New Roman" w:cs="Times New Roman"/>
          <w:i/>
          <w:iCs/>
          <w:sz w:val="24"/>
          <w:szCs w:val="24"/>
          <w:lang w:val="en-US"/>
        </w:rPr>
        <w:t xml:space="preserve"> Anxiety Disord</w:t>
      </w:r>
      <w:r w:rsidRPr="00B31A23">
        <w:rPr>
          <w:rFonts w:ascii="Times New Roman" w:hAnsi="Times New Roman" w:cs="Times New Roman"/>
          <w:i/>
          <w:iCs/>
          <w:sz w:val="24"/>
          <w:szCs w:val="24"/>
          <w:lang w:val="en-GB"/>
        </w:rPr>
        <w:t>ers</w:t>
      </w:r>
      <w:r w:rsidRPr="00B31A23">
        <w:rPr>
          <w:rFonts w:ascii="Times New Roman" w:hAnsi="Times New Roman" w:cs="Times New Roman"/>
          <w:sz w:val="24"/>
          <w:szCs w:val="24"/>
          <w:lang w:val="en-GB"/>
        </w:rPr>
        <w:t xml:space="preserve">, 28, 259-65. </w:t>
      </w:r>
    </w:p>
    <w:p w14:paraId="6EEF64DE" w14:textId="26E9548A" w:rsidR="00094336" w:rsidRPr="00B31A23" w:rsidRDefault="00132FA7"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rPr>
        <w:t>McMullan, R. D., Berle, D., Arn</w:t>
      </w:r>
      <w:r w:rsidR="000563BC" w:rsidRPr="00B31A23">
        <w:rPr>
          <w:rFonts w:ascii="Times New Roman" w:hAnsi="Times New Roman" w:cs="Times New Roman"/>
          <w:sz w:val="24"/>
          <w:szCs w:val="24"/>
        </w:rPr>
        <w:t>a</w:t>
      </w:r>
      <w:r w:rsidRPr="00B31A23">
        <w:rPr>
          <w:rFonts w:ascii="Times New Roman" w:hAnsi="Times New Roman" w:cs="Times New Roman"/>
          <w:sz w:val="24"/>
          <w:szCs w:val="24"/>
        </w:rPr>
        <w:t xml:space="preserve">ez, S., Starcevic, V. (2019). </w:t>
      </w:r>
      <w:r w:rsidRPr="00B31A23">
        <w:rPr>
          <w:rFonts w:ascii="Times New Roman" w:hAnsi="Times New Roman" w:cs="Times New Roman"/>
          <w:sz w:val="24"/>
          <w:szCs w:val="24"/>
          <w:lang w:val="en-US"/>
        </w:rPr>
        <w:t xml:space="preserve">The relationships between health anxiety, online health information seeking, and cyberchondria: Systematic review and meta-analysis. </w:t>
      </w:r>
      <w:r w:rsidRPr="00B31A23">
        <w:rPr>
          <w:rFonts w:ascii="Times New Roman" w:hAnsi="Times New Roman" w:cs="Times New Roman"/>
          <w:i/>
          <w:iCs/>
          <w:sz w:val="24"/>
          <w:szCs w:val="24"/>
          <w:lang w:val="en-US"/>
        </w:rPr>
        <w:t>Journal of Affective Disorders, </w:t>
      </w:r>
      <w:r w:rsidRPr="00B31A23">
        <w:rPr>
          <w:rFonts w:ascii="Times New Roman" w:hAnsi="Times New Roman" w:cs="Times New Roman"/>
          <w:sz w:val="24"/>
          <w:szCs w:val="24"/>
          <w:lang w:val="en-US"/>
        </w:rPr>
        <w:t>245, 270-278.</w:t>
      </w:r>
    </w:p>
    <w:p w14:paraId="6DA1C067" w14:textId="294B0418" w:rsidR="00FF6511" w:rsidRPr="00B31A23" w:rsidRDefault="00FF6511" w:rsidP="00FF6511">
      <w:pPr>
        <w:pStyle w:val="Corpo"/>
        <w:spacing w:line="480" w:lineRule="auto"/>
        <w:ind w:left="720" w:hanging="720"/>
        <w:jc w:val="both"/>
        <w:rPr>
          <w:rFonts w:ascii="Times New Roman" w:hAnsi="Times New Roman" w:cs="Times New Roman"/>
          <w:sz w:val="24"/>
          <w:szCs w:val="24"/>
          <w:lang w:val="en-GB"/>
        </w:rPr>
      </w:pPr>
      <w:r w:rsidRPr="00B31A23">
        <w:rPr>
          <w:rFonts w:ascii="Times New Roman" w:hAnsi="Times New Roman" w:cs="Times New Roman"/>
          <w:sz w:val="24"/>
          <w:szCs w:val="24"/>
          <w:lang w:val="en-GB"/>
        </w:rPr>
        <w:t xml:space="preserve">Melli, G., Carraresi, C., Poli, A., &amp; Bailey, R. (2016). The role of metacognitive beliefs in health anxiety. </w:t>
      </w:r>
      <w:r w:rsidRPr="00B31A23">
        <w:rPr>
          <w:rFonts w:ascii="Times New Roman" w:hAnsi="Times New Roman" w:cs="Times New Roman"/>
          <w:i/>
          <w:iCs/>
          <w:sz w:val="24"/>
          <w:szCs w:val="24"/>
          <w:lang w:val="en-GB"/>
        </w:rPr>
        <w:t>Personality and Individual Differences</w:t>
      </w:r>
      <w:r w:rsidRPr="00B31A23">
        <w:rPr>
          <w:rFonts w:ascii="Times New Roman" w:hAnsi="Times New Roman" w:cs="Times New Roman"/>
          <w:sz w:val="24"/>
          <w:szCs w:val="24"/>
          <w:lang w:val="en-GB"/>
        </w:rPr>
        <w:t xml:space="preserve">, 89, 80-85. </w:t>
      </w:r>
    </w:p>
    <w:p w14:paraId="3DE8E4FC" w14:textId="5FEF923D" w:rsidR="00FF6511" w:rsidRPr="00B31A23" w:rsidRDefault="00FF6511" w:rsidP="00FF6511">
      <w:pPr>
        <w:pStyle w:val="Corpo"/>
        <w:spacing w:line="480" w:lineRule="auto"/>
        <w:ind w:left="720" w:hanging="720"/>
        <w:jc w:val="both"/>
        <w:rPr>
          <w:rFonts w:ascii="Times New Roman" w:hAnsi="Times New Roman" w:cs="Times New Roman"/>
          <w:sz w:val="24"/>
          <w:szCs w:val="24"/>
          <w:lang w:val="en-GB"/>
        </w:rPr>
      </w:pPr>
      <w:r w:rsidRPr="00B31A23">
        <w:rPr>
          <w:rFonts w:ascii="Times New Roman" w:hAnsi="Times New Roman" w:cs="Times New Roman"/>
          <w:sz w:val="24"/>
          <w:szCs w:val="24"/>
          <w:lang w:val="en-GB"/>
        </w:rPr>
        <w:lastRenderedPageBreak/>
        <w:t>Melli, G., Bailey, R., Carraresi, C., &amp; Poli, A. (2018). Metacognitive beliefs as a predictor of health anxiety in a self-reporting Italian clinical sample. </w:t>
      </w:r>
      <w:r w:rsidRPr="00B31A23">
        <w:rPr>
          <w:rFonts w:ascii="Times New Roman" w:hAnsi="Times New Roman" w:cs="Times New Roman"/>
          <w:i/>
          <w:iCs/>
          <w:sz w:val="24"/>
          <w:szCs w:val="24"/>
          <w:lang w:val="en-GB"/>
        </w:rPr>
        <w:t>Clinical psychology &amp; psychotherapy</w:t>
      </w:r>
      <w:r w:rsidRPr="00B31A23">
        <w:rPr>
          <w:rFonts w:ascii="Times New Roman" w:hAnsi="Times New Roman" w:cs="Times New Roman"/>
          <w:sz w:val="24"/>
          <w:szCs w:val="24"/>
          <w:lang w:val="en-GB"/>
        </w:rPr>
        <w:t>, 25, 263-271.</w:t>
      </w:r>
    </w:p>
    <w:p w14:paraId="73C40DEE" w14:textId="1A4669AC" w:rsidR="00B73A0B" w:rsidRPr="00B31A23" w:rsidRDefault="00B73A0B"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Normann, N., &amp; Morina, N. (2018). The Efficacy of Metacognitive Therapy: A Systematic Review and Meta-Analysis. </w:t>
      </w:r>
      <w:r w:rsidRPr="00B31A23">
        <w:rPr>
          <w:rFonts w:ascii="Times New Roman" w:hAnsi="Times New Roman" w:cs="Times New Roman"/>
          <w:i/>
          <w:iCs/>
          <w:sz w:val="24"/>
          <w:szCs w:val="24"/>
          <w:lang w:val="en-US"/>
        </w:rPr>
        <w:t>Frontiers in Psychology</w:t>
      </w:r>
      <w:r w:rsidRPr="00B31A23">
        <w:rPr>
          <w:rFonts w:ascii="Times New Roman" w:hAnsi="Times New Roman" w:cs="Times New Roman"/>
          <w:sz w:val="24"/>
          <w:szCs w:val="24"/>
          <w:lang w:val="en-US"/>
        </w:rPr>
        <w:t>, 9, 2211-2236.</w:t>
      </w:r>
    </w:p>
    <w:p w14:paraId="47FD34B5" w14:textId="21666D8D" w:rsidR="00D432BC" w:rsidRPr="00B31A23" w:rsidRDefault="0073720E"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Norr, A. M., Allan, N. P., Boffa, J. W., Raines, A. M., &amp; Schmidt, N. B. (2015). Validation of the Cyberchondria Severity Scale (CSS): Replication and extension with bifactor modeling. </w:t>
      </w:r>
      <w:r w:rsidRPr="00B31A23">
        <w:rPr>
          <w:rFonts w:ascii="Times New Roman" w:hAnsi="Times New Roman" w:cs="Times New Roman"/>
          <w:i/>
          <w:iCs/>
          <w:sz w:val="24"/>
          <w:szCs w:val="24"/>
          <w:lang w:val="en-US"/>
        </w:rPr>
        <w:t>Journal of Anxiety Disorders</w:t>
      </w:r>
      <w:r w:rsidRPr="00B31A23">
        <w:rPr>
          <w:rFonts w:ascii="Times New Roman" w:hAnsi="Times New Roman" w:cs="Times New Roman"/>
          <w:sz w:val="24"/>
          <w:szCs w:val="24"/>
          <w:lang w:val="en-US"/>
        </w:rPr>
        <w:t xml:space="preserve">, 31, 58–64. </w:t>
      </w:r>
    </w:p>
    <w:p w14:paraId="36995BBF" w14:textId="6EB24495" w:rsidR="00B73A0B" w:rsidRPr="00B31A23" w:rsidRDefault="00D432BC" w:rsidP="00B73A0B">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Norr, A. M., Oglesby, M. E., Raines, A. M., Macatee, R. J., Allan, N. P., &amp; Schmidt, N. B. (2015). Relationships between cyberchondria and obsessive–compulsive symptoms. </w:t>
      </w:r>
      <w:r w:rsidRPr="00B31A23">
        <w:rPr>
          <w:rFonts w:ascii="Times New Roman" w:hAnsi="Times New Roman" w:cs="Times New Roman"/>
          <w:i/>
          <w:iCs/>
          <w:sz w:val="24"/>
          <w:szCs w:val="24"/>
          <w:lang w:val="en-US"/>
        </w:rPr>
        <w:t>Psychiatry Research</w:t>
      </w:r>
      <w:r w:rsidRPr="00B31A23">
        <w:rPr>
          <w:rFonts w:ascii="Times New Roman" w:hAnsi="Times New Roman" w:cs="Times New Roman"/>
          <w:sz w:val="24"/>
          <w:szCs w:val="24"/>
          <w:lang w:val="en-US"/>
        </w:rPr>
        <w:t xml:space="preserve">, 230, 441-446. </w:t>
      </w:r>
    </w:p>
    <w:p w14:paraId="2BD02A47" w14:textId="3CC13AC9" w:rsidR="00BD1F19" w:rsidRPr="00B31A23" w:rsidRDefault="00BD1F19"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Rief, W., Hiller, W., &amp; Margraf, J. (1998). Cognitive aspects of hypochondriasis and the somatization syndrome. </w:t>
      </w:r>
      <w:r w:rsidRPr="00B31A23">
        <w:rPr>
          <w:rFonts w:ascii="Times New Roman" w:hAnsi="Times New Roman" w:cs="Times New Roman"/>
          <w:i/>
          <w:iCs/>
          <w:sz w:val="24"/>
          <w:szCs w:val="24"/>
          <w:lang w:val="en-US"/>
        </w:rPr>
        <w:t>Journal of Abnormal Psychology</w:t>
      </w:r>
      <w:r w:rsidRPr="00B31A23">
        <w:rPr>
          <w:rFonts w:ascii="Times New Roman" w:hAnsi="Times New Roman" w:cs="Times New Roman"/>
          <w:sz w:val="24"/>
          <w:szCs w:val="24"/>
          <w:lang w:val="en-US"/>
        </w:rPr>
        <w:t>, 107, 587-595.</w:t>
      </w:r>
    </w:p>
    <w:p w14:paraId="24E08536" w14:textId="5814B3C8" w:rsidR="00094336" w:rsidRPr="00B31A23" w:rsidRDefault="0073720E"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Ryan, A., &amp; Wilson, S. (2008). Internet healthcare: do self-diagnosis sites do more harm than good?. </w:t>
      </w:r>
      <w:r w:rsidRPr="00B31A23">
        <w:rPr>
          <w:rFonts w:ascii="Times New Roman" w:hAnsi="Times New Roman" w:cs="Times New Roman"/>
          <w:i/>
          <w:iCs/>
          <w:sz w:val="24"/>
          <w:szCs w:val="24"/>
          <w:lang w:val="en-US"/>
        </w:rPr>
        <w:t>Expert Opinion on Drug Safety</w:t>
      </w:r>
      <w:r w:rsidRPr="00B31A23">
        <w:rPr>
          <w:rFonts w:ascii="Times New Roman" w:hAnsi="Times New Roman" w:cs="Times New Roman"/>
          <w:sz w:val="24"/>
          <w:szCs w:val="24"/>
          <w:lang w:val="en-US"/>
        </w:rPr>
        <w:t>, 7, 227-229.</w:t>
      </w:r>
    </w:p>
    <w:p w14:paraId="611673A1" w14:textId="61BAF57A" w:rsidR="00263D74" w:rsidRPr="00B31A23" w:rsidRDefault="0073720E"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Spada, M. M. (2014). An overview of problematic internet use. </w:t>
      </w:r>
      <w:r w:rsidRPr="00B31A23">
        <w:rPr>
          <w:rFonts w:ascii="Times New Roman" w:hAnsi="Times New Roman" w:cs="Times New Roman"/>
          <w:i/>
          <w:iCs/>
          <w:sz w:val="24"/>
          <w:szCs w:val="24"/>
          <w:lang w:val="en-US"/>
        </w:rPr>
        <w:t>Addictive Behaviors</w:t>
      </w:r>
      <w:r w:rsidRPr="00B31A23">
        <w:rPr>
          <w:rFonts w:ascii="Times New Roman" w:hAnsi="Times New Roman" w:cs="Times New Roman"/>
          <w:sz w:val="24"/>
          <w:szCs w:val="24"/>
          <w:lang w:val="en-US"/>
        </w:rPr>
        <w:t xml:space="preserve">, 39, 3-6. </w:t>
      </w:r>
    </w:p>
    <w:p w14:paraId="16952307" w14:textId="09FAE555" w:rsidR="00794E88" w:rsidRPr="00B31A23" w:rsidRDefault="0073720E"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Salkovskis, P., Rimes, K., Warwick, H., &amp; Clark, D., (2002). The Health Anxiety Inventory: development and validation of scales for the measurement of health anxiety and hypochondriasis. </w:t>
      </w:r>
      <w:r w:rsidRPr="00B31A23">
        <w:rPr>
          <w:rFonts w:ascii="Times New Roman" w:hAnsi="Times New Roman" w:cs="Times New Roman"/>
          <w:i/>
          <w:iCs/>
          <w:sz w:val="24"/>
          <w:szCs w:val="24"/>
          <w:lang w:val="en-US"/>
        </w:rPr>
        <w:t>Psychological Medicine</w:t>
      </w:r>
      <w:r w:rsidRPr="00B31A23">
        <w:rPr>
          <w:rFonts w:ascii="Times New Roman" w:hAnsi="Times New Roman" w:cs="Times New Roman"/>
          <w:sz w:val="24"/>
          <w:szCs w:val="24"/>
          <w:lang w:val="en-US"/>
        </w:rPr>
        <w:t>, 32, 843-853.</w:t>
      </w:r>
    </w:p>
    <w:p w14:paraId="793CA34D" w14:textId="4BB111BF" w:rsidR="00263D74" w:rsidRPr="00B31A23" w:rsidRDefault="00263D74"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Singh, K., Fox, J., &amp; Brown, R. (2016). Health anxiety and Internet use: A thematic analysis. </w:t>
      </w:r>
      <w:r w:rsidRPr="00B31A23">
        <w:rPr>
          <w:rFonts w:ascii="Times New Roman" w:hAnsi="Times New Roman" w:cs="Times New Roman"/>
          <w:i/>
          <w:iCs/>
          <w:sz w:val="24"/>
          <w:szCs w:val="24"/>
          <w:lang w:val="en-US"/>
        </w:rPr>
        <w:t>Cyberpsychology: Journal of Psychosocial Research on Cyberspace</w:t>
      </w:r>
      <w:r w:rsidRPr="00B31A23">
        <w:rPr>
          <w:rFonts w:ascii="Times New Roman" w:hAnsi="Times New Roman" w:cs="Times New Roman"/>
          <w:sz w:val="24"/>
          <w:szCs w:val="24"/>
          <w:lang w:val="en-US"/>
        </w:rPr>
        <w:t>, 10, article 4.</w:t>
      </w:r>
    </w:p>
    <w:p w14:paraId="75F3FE1F" w14:textId="46A6565A" w:rsidR="00094336" w:rsidRPr="00B31A23" w:rsidRDefault="0073720E"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Starcevic, V., &amp; Berle, D. (2013). Cyberchondria: Towards a better under- standing of excessive health-related Internet use. </w:t>
      </w:r>
      <w:r w:rsidRPr="00B31A23">
        <w:rPr>
          <w:rFonts w:ascii="Times New Roman" w:hAnsi="Times New Roman" w:cs="Times New Roman"/>
          <w:i/>
          <w:iCs/>
          <w:sz w:val="24"/>
          <w:szCs w:val="24"/>
          <w:lang w:val="en-US"/>
        </w:rPr>
        <w:t>Expert Reviews of Neurotherapeutics</w:t>
      </w:r>
      <w:r w:rsidRPr="00B31A23">
        <w:rPr>
          <w:rFonts w:ascii="Times New Roman" w:hAnsi="Times New Roman" w:cs="Times New Roman"/>
          <w:sz w:val="24"/>
          <w:szCs w:val="24"/>
          <w:lang w:val="en-US"/>
        </w:rPr>
        <w:t xml:space="preserve">, 13, 205-213.  </w:t>
      </w:r>
    </w:p>
    <w:p w14:paraId="50B65F0C" w14:textId="51DBA828" w:rsidR="00094336" w:rsidRPr="00B31A23" w:rsidRDefault="0073720E"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lastRenderedPageBreak/>
        <w:t xml:space="preserve">Starcevic, V., &amp; Berle, D. (2015). Cyberchondria: An old phenomenon in a new guise? In E. Aboujaoude, &amp; V. Starcevic (Eds.), </w:t>
      </w:r>
      <w:r w:rsidRPr="00B31A23">
        <w:rPr>
          <w:rFonts w:ascii="Times New Roman" w:hAnsi="Times New Roman" w:cs="Times New Roman"/>
          <w:i/>
          <w:iCs/>
          <w:sz w:val="24"/>
          <w:szCs w:val="24"/>
          <w:lang w:val="en-US"/>
        </w:rPr>
        <w:t>Mental health in the digital age: Grave dangers, great promise</w:t>
      </w:r>
      <w:r w:rsidRPr="00B31A23">
        <w:rPr>
          <w:rFonts w:ascii="Times New Roman" w:hAnsi="Times New Roman" w:cs="Times New Roman"/>
          <w:sz w:val="24"/>
          <w:szCs w:val="24"/>
          <w:lang w:val="en-US"/>
        </w:rPr>
        <w:t xml:space="preserve"> (pp. 106–117). New York, NY: Oxford University Press. </w:t>
      </w:r>
    </w:p>
    <w:p w14:paraId="021067AD" w14:textId="72CEF6D9" w:rsidR="00094336" w:rsidRPr="00B31A23" w:rsidRDefault="0073720E"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Starcevic, V. (2017). Cyberchondria: Challenges of problematic online searches for health-related information. </w:t>
      </w:r>
      <w:r w:rsidRPr="00B31A23">
        <w:rPr>
          <w:rFonts w:ascii="Times New Roman" w:hAnsi="Times New Roman" w:cs="Times New Roman"/>
          <w:i/>
          <w:iCs/>
          <w:sz w:val="24"/>
          <w:szCs w:val="24"/>
          <w:lang w:val="en-US"/>
        </w:rPr>
        <w:t>Psychotherapy and Psychosomatics</w:t>
      </w:r>
      <w:r w:rsidRPr="00B31A23">
        <w:rPr>
          <w:rFonts w:ascii="Times New Roman" w:hAnsi="Times New Roman" w:cs="Times New Roman"/>
          <w:sz w:val="24"/>
          <w:szCs w:val="24"/>
          <w:lang w:val="en-US"/>
        </w:rPr>
        <w:t xml:space="preserve">, 86, 129-133. </w:t>
      </w:r>
    </w:p>
    <w:p w14:paraId="467A1016" w14:textId="08E0C764" w:rsidR="00094336" w:rsidRPr="00B31A23" w:rsidRDefault="0073720E"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GB"/>
        </w:rPr>
        <w:t xml:space="preserve">Sullivan, M. J. L., Bishop, S., &amp; Pivik, J. (1995). </w:t>
      </w:r>
      <w:r w:rsidRPr="00B31A23">
        <w:rPr>
          <w:rFonts w:ascii="Times New Roman" w:hAnsi="Times New Roman" w:cs="Times New Roman"/>
          <w:sz w:val="24"/>
          <w:szCs w:val="24"/>
          <w:lang w:val="en-US"/>
        </w:rPr>
        <w:t xml:space="preserve">The Pain Catastrophizing Scale: Development and validation. </w:t>
      </w:r>
      <w:r w:rsidRPr="00B31A23">
        <w:rPr>
          <w:rFonts w:ascii="Times New Roman" w:hAnsi="Times New Roman" w:cs="Times New Roman"/>
          <w:i/>
          <w:iCs/>
          <w:sz w:val="24"/>
          <w:szCs w:val="24"/>
          <w:lang w:val="en-US"/>
        </w:rPr>
        <w:t>Psychological Assessment</w:t>
      </w:r>
      <w:r w:rsidRPr="00B31A23">
        <w:rPr>
          <w:rFonts w:ascii="Times New Roman" w:hAnsi="Times New Roman" w:cs="Times New Roman"/>
          <w:sz w:val="24"/>
          <w:szCs w:val="24"/>
          <w:lang w:val="en-US"/>
        </w:rPr>
        <w:t>, 7, 524-532.</w:t>
      </w:r>
    </w:p>
    <w:p w14:paraId="62DBBE37" w14:textId="324DF1D0" w:rsidR="00C7700C" w:rsidRPr="00B31A23" w:rsidRDefault="0073720E"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Taylor, S., &amp; Asmundson, G. J. G. (2004). </w:t>
      </w:r>
      <w:r w:rsidRPr="00B31A23">
        <w:rPr>
          <w:rFonts w:ascii="Times New Roman" w:hAnsi="Times New Roman" w:cs="Times New Roman"/>
          <w:i/>
          <w:iCs/>
          <w:sz w:val="24"/>
          <w:szCs w:val="24"/>
          <w:lang w:val="en-US"/>
        </w:rPr>
        <w:t>Treating health anxiety: A cognitive–behavioral approach</w:t>
      </w:r>
      <w:r w:rsidRPr="00B31A23">
        <w:rPr>
          <w:rFonts w:ascii="Times New Roman" w:hAnsi="Times New Roman" w:cs="Times New Roman"/>
          <w:sz w:val="24"/>
          <w:szCs w:val="24"/>
          <w:lang w:val="en-US"/>
        </w:rPr>
        <w:t xml:space="preserve">. New York, NY: Guilford. </w:t>
      </w:r>
    </w:p>
    <w:p w14:paraId="08F0BC23" w14:textId="5BE8EBBC" w:rsidR="00094336" w:rsidRPr="00B31A23" w:rsidRDefault="0073720E"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Warwick, H. C. &amp; Salkovskis, P. M. (1990). Hypochondriasis. </w:t>
      </w:r>
      <w:r w:rsidRPr="00B31A23">
        <w:rPr>
          <w:rFonts w:ascii="Times New Roman" w:hAnsi="Times New Roman" w:cs="Times New Roman"/>
          <w:i/>
          <w:iCs/>
          <w:sz w:val="24"/>
          <w:szCs w:val="24"/>
          <w:lang w:val="en-US"/>
        </w:rPr>
        <w:t>Behaviour Research and Therapy</w:t>
      </w:r>
      <w:r w:rsidRPr="00B31A23">
        <w:rPr>
          <w:rFonts w:ascii="Times New Roman" w:hAnsi="Times New Roman" w:cs="Times New Roman"/>
          <w:sz w:val="24"/>
          <w:szCs w:val="24"/>
          <w:lang w:val="en-US"/>
        </w:rPr>
        <w:t xml:space="preserve">, 28, 105-117. </w:t>
      </w:r>
    </w:p>
    <w:p w14:paraId="0E4493B4" w14:textId="0744DE79" w:rsidR="00094336" w:rsidRPr="00B31A23" w:rsidRDefault="0073720E"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Wells, A., &amp; Hackmann, A. (1993). Imagery and Core Beliefs in Health Anxiety: Content and Origins. </w:t>
      </w:r>
      <w:r w:rsidRPr="00B31A23">
        <w:rPr>
          <w:rFonts w:ascii="Times New Roman" w:hAnsi="Times New Roman" w:cs="Times New Roman"/>
          <w:i/>
          <w:iCs/>
          <w:sz w:val="24"/>
          <w:szCs w:val="24"/>
          <w:lang w:val="en-US"/>
        </w:rPr>
        <w:t>Behavioural and Cognitive Psychotherapy</w:t>
      </w:r>
      <w:r w:rsidRPr="00B31A23">
        <w:rPr>
          <w:rFonts w:ascii="Times New Roman" w:hAnsi="Times New Roman" w:cs="Times New Roman"/>
          <w:sz w:val="24"/>
          <w:szCs w:val="24"/>
          <w:lang w:val="en-US"/>
        </w:rPr>
        <w:t xml:space="preserve">, 21, 265-273. </w:t>
      </w:r>
    </w:p>
    <w:p w14:paraId="5EEDECC4" w14:textId="4BD4CE0E" w:rsidR="00094336" w:rsidRPr="00B31A23" w:rsidRDefault="0073720E" w:rsidP="000A31E6">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Wells, A. (2000). </w:t>
      </w:r>
      <w:r w:rsidRPr="00B31A23">
        <w:rPr>
          <w:rFonts w:ascii="Times New Roman" w:hAnsi="Times New Roman" w:cs="Times New Roman"/>
          <w:i/>
          <w:iCs/>
          <w:sz w:val="24"/>
          <w:szCs w:val="24"/>
          <w:lang w:val="en-US"/>
        </w:rPr>
        <w:t>Emotional disorders and metacognition: Innovative cognitive therapy</w:t>
      </w:r>
      <w:r w:rsidRPr="00B31A23">
        <w:rPr>
          <w:rFonts w:ascii="Times New Roman" w:hAnsi="Times New Roman" w:cs="Times New Roman"/>
          <w:sz w:val="24"/>
          <w:szCs w:val="24"/>
          <w:lang w:val="en-US"/>
        </w:rPr>
        <w:t xml:space="preserve">. New York, NY: Wiley. </w:t>
      </w:r>
    </w:p>
    <w:p w14:paraId="35CA75F6" w14:textId="5A03ACD5" w:rsidR="00094336" w:rsidRPr="00B31A23" w:rsidRDefault="0073720E" w:rsidP="001722DD">
      <w:pPr>
        <w:pStyle w:val="Corpo"/>
        <w:spacing w:line="480" w:lineRule="auto"/>
        <w:ind w:left="720" w:hanging="720"/>
        <w:jc w:val="both"/>
        <w:rPr>
          <w:rFonts w:ascii="Times New Roman" w:hAnsi="Times New Roman" w:cs="Times New Roman"/>
          <w:sz w:val="24"/>
          <w:szCs w:val="24"/>
          <w:lang w:val="en-US"/>
        </w:rPr>
      </w:pPr>
      <w:r w:rsidRPr="00B31A23">
        <w:rPr>
          <w:rFonts w:ascii="Times New Roman" w:hAnsi="Times New Roman" w:cs="Times New Roman"/>
          <w:sz w:val="24"/>
          <w:szCs w:val="24"/>
          <w:lang w:val="en-US"/>
        </w:rPr>
        <w:t xml:space="preserve">Wells, A. (2009). </w:t>
      </w:r>
      <w:r w:rsidRPr="00B31A23">
        <w:rPr>
          <w:rFonts w:ascii="Times New Roman" w:hAnsi="Times New Roman" w:cs="Times New Roman"/>
          <w:i/>
          <w:iCs/>
          <w:sz w:val="24"/>
          <w:szCs w:val="24"/>
          <w:lang w:val="en-US"/>
        </w:rPr>
        <w:t>Metacognitive therapy for anxiety and depression</w:t>
      </w:r>
      <w:r w:rsidRPr="00B31A23">
        <w:rPr>
          <w:rFonts w:ascii="Times New Roman" w:hAnsi="Times New Roman" w:cs="Times New Roman"/>
          <w:sz w:val="24"/>
          <w:szCs w:val="24"/>
          <w:lang w:val="en-US"/>
        </w:rPr>
        <w:t>. New York, NY: Guilford.</w:t>
      </w:r>
    </w:p>
    <w:p w14:paraId="1E01CB11" w14:textId="43502402" w:rsidR="00EE02F4" w:rsidRPr="00B31A23" w:rsidRDefault="0073720E" w:rsidP="00757319">
      <w:pPr>
        <w:pStyle w:val="Corpo"/>
        <w:spacing w:line="480" w:lineRule="auto"/>
        <w:ind w:left="720" w:hanging="720"/>
        <w:jc w:val="both"/>
        <w:rPr>
          <w:rFonts w:ascii="Times New Roman" w:hAnsi="Times New Roman" w:cs="Times New Roman"/>
          <w:sz w:val="24"/>
          <w:szCs w:val="24"/>
          <w:lang w:val="en-US"/>
        </w:rPr>
        <w:sectPr w:rsidR="00EE02F4" w:rsidRPr="00B31A23" w:rsidSect="00887CBB">
          <w:headerReference w:type="even" r:id="rId9"/>
          <w:headerReference w:type="default" r:id="rId10"/>
          <w:footerReference w:type="default" r:id="rId11"/>
          <w:pgSz w:w="11906" w:h="16838"/>
          <w:pgMar w:top="1440" w:right="1440" w:bottom="1440" w:left="1440" w:header="709" w:footer="851" w:gutter="0"/>
          <w:cols w:space="720"/>
          <w:titlePg/>
          <w:docGrid w:linePitch="326"/>
        </w:sectPr>
      </w:pPr>
      <w:r w:rsidRPr="00B31A23">
        <w:rPr>
          <w:rFonts w:ascii="Times New Roman" w:hAnsi="Times New Roman" w:cs="Times New Roman"/>
          <w:sz w:val="24"/>
          <w:szCs w:val="24"/>
          <w:lang w:val="en-US"/>
        </w:rPr>
        <w:t xml:space="preserve">White, R., &amp; Horvitz, E. (2009). Cyberchondria: Studies of the escalation of medical concerns in Web search. </w:t>
      </w:r>
      <w:r w:rsidRPr="00B31A23">
        <w:rPr>
          <w:rFonts w:ascii="Times New Roman" w:hAnsi="Times New Roman" w:cs="Times New Roman"/>
          <w:i/>
          <w:iCs/>
          <w:sz w:val="24"/>
          <w:szCs w:val="24"/>
          <w:lang w:val="en-US"/>
        </w:rPr>
        <w:t>ACM Transactions on Information Systems,</w:t>
      </w:r>
      <w:r w:rsidRPr="00B31A23">
        <w:rPr>
          <w:rFonts w:ascii="Times New Roman" w:hAnsi="Times New Roman" w:cs="Times New Roman"/>
          <w:sz w:val="24"/>
          <w:szCs w:val="24"/>
          <w:lang w:val="en-US"/>
        </w:rPr>
        <w:t xml:space="preserve"> 27, 1-2. </w:t>
      </w:r>
    </w:p>
    <w:tbl>
      <w:tblPr>
        <w:tblpPr w:leftFromText="180" w:rightFromText="180" w:vertAnchor="text" w:horzAnchor="margin" w:tblpXSpec="center" w:tblpY="654"/>
        <w:tblW w:w="4674" w:type="pct"/>
        <w:tblLayout w:type="fixed"/>
        <w:tblLook w:val="04A0" w:firstRow="1" w:lastRow="0" w:firstColumn="1" w:lastColumn="0" w:noHBand="0" w:noVBand="1"/>
      </w:tblPr>
      <w:tblGrid>
        <w:gridCol w:w="4954"/>
        <w:gridCol w:w="2699"/>
        <w:gridCol w:w="2699"/>
        <w:gridCol w:w="2696"/>
      </w:tblGrid>
      <w:tr w:rsidR="00AB016D" w:rsidRPr="00B31A23" w14:paraId="0FE03722" w14:textId="77777777" w:rsidTr="006B6960">
        <w:trPr>
          <w:trHeight w:val="580"/>
        </w:trPr>
        <w:tc>
          <w:tcPr>
            <w:tcW w:w="1898" w:type="pct"/>
            <w:tcBorders>
              <w:top w:val="single" w:sz="4" w:space="0" w:color="auto"/>
              <w:bottom w:val="single" w:sz="4" w:space="0" w:color="auto"/>
            </w:tcBorders>
            <w:shd w:val="clear" w:color="auto" w:fill="auto"/>
            <w:vAlign w:val="bottom"/>
            <w:hideMark/>
          </w:tcPr>
          <w:p w14:paraId="7F30C9BE" w14:textId="77777777" w:rsidR="00AB016D" w:rsidRPr="00B31A23" w:rsidRDefault="00AB016D" w:rsidP="006B6960">
            <w:pPr>
              <w:jc w:val="center"/>
            </w:pPr>
            <w:r w:rsidRPr="00B31A23">
              <w:lastRenderedPageBreak/>
              <w:t> </w:t>
            </w:r>
          </w:p>
        </w:tc>
        <w:tc>
          <w:tcPr>
            <w:tcW w:w="1034" w:type="pct"/>
            <w:tcBorders>
              <w:top w:val="single" w:sz="4" w:space="0" w:color="auto"/>
              <w:bottom w:val="single" w:sz="4" w:space="0" w:color="auto"/>
            </w:tcBorders>
          </w:tcPr>
          <w:p w14:paraId="0DB87649" w14:textId="77777777" w:rsidR="00AB016D" w:rsidRPr="00B31A23" w:rsidRDefault="00AB016D" w:rsidP="006B6960">
            <w:pPr>
              <w:jc w:val="center"/>
            </w:pPr>
            <w:r w:rsidRPr="00B31A23">
              <w:t>Mean</w:t>
            </w:r>
          </w:p>
        </w:tc>
        <w:tc>
          <w:tcPr>
            <w:tcW w:w="1034" w:type="pct"/>
            <w:tcBorders>
              <w:top w:val="single" w:sz="4" w:space="0" w:color="auto"/>
              <w:bottom w:val="single" w:sz="4" w:space="0" w:color="auto"/>
            </w:tcBorders>
          </w:tcPr>
          <w:p w14:paraId="789E9686" w14:textId="77777777" w:rsidR="00AB016D" w:rsidRPr="00B31A23" w:rsidRDefault="00AB016D" w:rsidP="006B6960">
            <w:pPr>
              <w:jc w:val="center"/>
            </w:pPr>
            <w:r w:rsidRPr="00B31A23">
              <w:t>S.D.</w:t>
            </w:r>
          </w:p>
        </w:tc>
        <w:tc>
          <w:tcPr>
            <w:tcW w:w="1033" w:type="pct"/>
            <w:tcBorders>
              <w:top w:val="single" w:sz="4" w:space="0" w:color="auto"/>
              <w:bottom w:val="single" w:sz="4" w:space="0" w:color="auto"/>
            </w:tcBorders>
          </w:tcPr>
          <w:p w14:paraId="770181DF" w14:textId="77777777" w:rsidR="00AB016D" w:rsidRPr="00B31A23" w:rsidRDefault="00AB016D" w:rsidP="006B6960">
            <w:pPr>
              <w:jc w:val="center"/>
            </w:pPr>
            <w:r w:rsidRPr="00B31A23">
              <w:t>Range</w:t>
            </w:r>
          </w:p>
        </w:tc>
      </w:tr>
      <w:tr w:rsidR="00AB016D" w:rsidRPr="00B31A23" w14:paraId="5CF6749F" w14:textId="77777777" w:rsidTr="006B6960">
        <w:trPr>
          <w:trHeight w:val="258"/>
        </w:trPr>
        <w:tc>
          <w:tcPr>
            <w:tcW w:w="1898" w:type="pct"/>
            <w:shd w:val="clear" w:color="auto" w:fill="auto"/>
          </w:tcPr>
          <w:p w14:paraId="27AFD537" w14:textId="3DB6085D" w:rsidR="00AB016D" w:rsidRPr="00B31A23" w:rsidRDefault="002539D1" w:rsidP="00AB016D">
            <w:pPr>
              <w:pStyle w:val="ListParagraph"/>
              <w:numPr>
                <w:ilvl w:val="0"/>
                <w:numId w:val="10"/>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Hours spen</w:t>
            </w:r>
            <w:r w:rsidR="00C56739" w:rsidRPr="00B31A23">
              <w:rPr>
                <w:rFonts w:ascii="Times New Roman" w:eastAsia="Times New Roman" w:hAnsi="Times New Roman" w:cs="Times New Roman"/>
              </w:rPr>
              <w:t>t</w:t>
            </w:r>
            <w:r w:rsidRPr="00B31A23">
              <w:rPr>
                <w:rFonts w:ascii="Times New Roman" w:eastAsia="Times New Roman" w:hAnsi="Times New Roman" w:cs="Times New Roman"/>
              </w:rPr>
              <w:t xml:space="preserve"> online per day</w:t>
            </w:r>
            <w:r w:rsidR="00764E0A" w:rsidRPr="00B31A23">
              <w:rPr>
                <w:rFonts w:ascii="Times New Roman" w:eastAsia="Times New Roman" w:hAnsi="Times New Roman" w:cs="Times New Roman"/>
              </w:rPr>
              <w:t xml:space="preserve"> </w:t>
            </w:r>
          </w:p>
        </w:tc>
        <w:tc>
          <w:tcPr>
            <w:tcW w:w="1034" w:type="pct"/>
          </w:tcPr>
          <w:p w14:paraId="1F936BDC" w14:textId="77777777" w:rsidR="00AB016D" w:rsidRPr="00B31A23" w:rsidRDefault="00AB016D" w:rsidP="006B6960">
            <w:pPr>
              <w:jc w:val="center"/>
            </w:pPr>
            <w:r w:rsidRPr="00B31A23">
              <w:t>2.03</w:t>
            </w:r>
          </w:p>
        </w:tc>
        <w:tc>
          <w:tcPr>
            <w:tcW w:w="1034" w:type="pct"/>
          </w:tcPr>
          <w:p w14:paraId="759D9855" w14:textId="77777777" w:rsidR="00AB016D" w:rsidRPr="00B31A23" w:rsidRDefault="00AB016D" w:rsidP="006B6960">
            <w:pPr>
              <w:jc w:val="center"/>
            </w:pPr>
            <w:r w:rsidRPr="00B31A23">
              <w:t>.91</w:t>
            </w:r>
          </w:p>
        </w:tc>
        <w:tc>
          <w:tcPr>
            <w:tcW w:w="1033" w:type="pct"/>
          </w:tcPr>
          <w:p w14:paraId="39E9E4AC" w14:textId="77777777" w:rsidR="00AB016D" w:rsidRPr="00B31A23" w:rsidRDefault="00AB016D" w:rsidP="006B6960">
            <w:pPr>
              <w:jc w:val="center"/>
            </w:pPr>
            <w:r w:rsidRPr="00B31A23">
              <w:t>1 to 4</w:t>
            </w:r>
          </w:p>
        </w:tc>
      </w:tr>
      <w:tr w:rsidR="00AB016D" w:rsidRPr="00B31A23" w14:paraId="1E3C0F5D" w14:textId="77777777" w:rsidTr="006B6960">
        <w:trPr>
          <w:trHeight w:val="55"/>
        </w:trPr>
        <w:tc>
          <w:tcPr>
            <w:tcW w:w="1898" w:type="pct"/>
            <w:shd w:val="clear" w:color="auto" w:fill="auto"/>
          </w:tcPr>
          <w:p w14:paraId="75E4E54E" w14:textId="77777777" w:rsidR="00AB016D" w:rsidRPr="00B31A23" w:rsidRDefault="00AB016D" w:rsidP="00AB016D">
            <w:pPr>
              <w:pStyle w:val="ListParagraph"/>
              <w:numPr>
                <w:ilvl w:val="0"/>
                <w:numId w:val="10"/>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HAI</w:t>
            </w:r>
          </w:p>
        </w:tc>
        <w:tc>
          <w:tcPr>
            <w:tcW w:w="1034" w:type="pct"/>
          </w:tcPr>
          <w:p w14:paraId="693DD09A" w14:textId="77777777" w:rsidR="00AB016D" w:rsidRPr="00B31A23" w:rsidRDefault="00AB016D" w:rsidP="006B6960">
            <w:pPr>
              <w:jc w:val="center"/>
            </w:pPr>
            <w:r w:rsidRPr="00B31A23">
              <w:t>25.69</w:t>
            </w:r>
          </w:p>
        </w:tc>
        <w:tc>
          <w:tcPr>
            <w:tcW w:w="1034" w:type="pct"/>
          </w:tcPr>
          <w:p w14:paraId="03789A1C" w14:textId="77777777" w:rsidR="00AB016D" w:rsidRPr="00B31A23" w:rsidRDefault="00AB016D" w:rsidP="006B6960">
            <w:pPr>
              <w:jc w:val="center"/>
            </w:pPr>
            <w:r w:rsidRPr="00B31A23">
              <w:t>6.08</w:t>
            </w:r>
          </w:p>
        </w:tc>
        <w:tc>
          <w:tcPr>
            <w:tcW w:w="1033" w:type="pct"/>
          </w:tcPr>
          <w:p w14:paraId="44BCE8CE" w14:textId="77777777" w:rsidR="00AB016D" w:rsidRPr="00B31A23" w:rsidRDefault="00AB016D" w:rsidP="006B6960">
            <w:pPr>
              <w:jc w:val="center"/>
            </w:pPr>
            <w:r w:rsidRPr="00B31A23">
              <w:t>16 to 47</w:t>
            </w:r>
          </w:p>
        </w:tc>
      </w:tr>
      <w:tr w:rsidR="00AB016D" w:rsidRPr="00B31A23" w14:paraId="3E021717" w14:textId="77777777" w:rsidTr="006B6960">
        <w:trPr>
          <w:trHeight w:val="55"/>
        </w:trPr>
        <w:tc>
          <w:tcPr>
            <w:tcW w:w="1898" w:type="pct"/>
            <w:shd w:val="clear" w:color="auto" w:fill="auto"/>
          </w:tcPr>
          <w:p w14:paraId="0126252D" w14:textId="48B96B87" w:rsidR="00AB016D" w:rsidRPr="00B31A23" w:rsidRDefault="00AB016D" w:rsidP="00AB016D">
            <w:pPr>
              <w:pStyle w:val="ListParagraph"/>
              <w:numPr>
                <w:ilvl w:val="0"/>
                <w:numId w:val="10"/>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HCQ Factor</w:t>
            </w:r>
            <w:r w:rsidR="00942FA3" w:rsidRPr="00B31A23">
              <w:rPr>
                <w:rFonts w:ascii="Times New Roman" w:eastAsia="Times New Roman" w:hAnsi="Times New Roman" w:cs="Times New Roman"/>
              </w:rPr>
              <w:t xml:space="preserve"> </w:t>
            </w:r>
            <w:r w:rsidRPr="00B31A23">
              <w:rPr>
                <w:rFonts w:ascii="Times New Roman" w:eastAsia="Times New Roman" w:hAnsi="Times New Roman" w:cs="Times New Roman"/>
              </w:rPr>
              <w:t>1</w:t>
            </w:r>
          </w:p>
        </w:tc>
        <w:tc>
          <w:tcPr>
            <w:tcW w:w="1034" w:type="pct"/>
          </w:tcPr>
          <w:p w14:paraId="2F6CE047" w14:textId="77777777" w:rsidR="00AB016D" w:rsidRPr="00B31A23" w:rsidRDefault="00AB016D" w:rsidP="006B6960">
            <w:pPr>
              <w:jc w:val="center"/>
            </w:pPr>
            <w:r w:rsidRPr="00B31A23">
              <w:t>24.26</w:t>
            </w:r>
          </w:p>
        </w:tc>
        <w:tc>
          <w:tcPr>
            <w:tcW w:w="1034" w:type="pct"/>
          </w:tcPr>
          <w:p w14:paraId="7EE4CEB8" w14:textId="77777777" w:rsidR="00AB016D" w:rsidRPr="00B31A23" w:rsidRDefault="00AB016D" w:rsidP="006B6960">
            <w:pPr>
              <w:jc w:val="center"/>
            </w:pPr>
            <w:r w:rsidRPr="00B31A23">
              <w:t>4.04</w:t>
            </w:r>
          </w:p>
        </w:tc>
        <w:tc>
          <w:tcPr>
            <w:tcW w:w="1033" w:type="pct"/>
          </w:tcPr>
          <w:p w14:paraId="2ADB66C3" w14:textId="77777777" w:rsidR="00AB016D" w:rsidRPr="00B31A23" w:rsidRDefault="00AB016D" w:rsidP="006B6960">
            <w:pPr>
              <w:jc w:val="center"/>
            </w:pPr>
            <w:r w:rsidRPr="00B31A23">
              <w:t>9 to 33</w:t>
            </w:r>
          </w:p>
        </w:tc>
      </w:tr>
      <w:tr w:rsidR="00AB016D" w:rsidRPr="00B31A23" w14:paraId="74BCF3F4" w14:textId="77777777" w:rsidTr="006B6960">
        <w:trPr>
          <w:trHeight w:val="55"/>
        </w:trPr>
        <w:tc>
          <w:tcPr>
            <w:tcW w:w="1898" w:type="pct"/>
            <w:shd w:val="clear" w:color="auto" w:fill="auto"/>
          </w:tcPr>
          <w:p w14:paraId="713C956F" w14:textId="0C5F03D8" w:rsidR="00AB016D" w:rsidRPr="00B31A23" w:rsidRDefault="00AB016D" w:rsidP="00AB016D">
            <w:pPr>
              <w:pStyle w:val="ListParagraph"/>
              <w:numPr>
                <w:ilvl w:val="0"/>
                <w:numId w:val="10"/>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HCQ Factor</w:t>
            </w:r>
            <w:r w:rsidR="00942FA3" w:rsidRPr="00B31A23">
              <w:rPr>
                <w:rFonts w:ascii="Times New Roman" w:eastAsia="Times New Roman" w:hAnsi="Times New Roman" w:cs="Times New Roman"/>
              </w:rPr>
              <w:t xml:space="preserve"> </w:t>
            </w:r>
            <w:r w:rsidRPr="00B31A23">
              <w:rPr>
                <w:rFonts w:ascii="Times New Roman" w:eastAsia="Times New Roman" w:hAnsi="Times New Roman" w:cs="Times New Roman"/>
              </w:rPr>
              <w:t>2</w:t>
            </w:r>
          </w:p>
        </w:tc>
        <w:tc>
          <w:tcPr>
            <w:tcW w:w="1034" w:type="pct"/>
          </w:tcPr>
          <w:p w14:paraId="3C3DB97D" w14:textId="77777777" w:rsidR="00AB016D" w:rsidRPr="00B31A23" w:rsidRDefault="00AB016D" w:rsidP="006B6960">
            <w:pPr>
              <w:jc w:val="center"/>
            </w:pPr>
            <w:r w:rsidRPr="00B31A23">
              <w:t>10.87</w:t>
            </w:r>
          </w:p>
        </w:tc>
        <w:tc>
          <w:tcPr>
            <w:tcW w:w="1034" w:type="pct"/>
          </w:tcPr>
          <w:p w14:paraId="2701B51F" w14:textId="77777777" w:rsidR="00AB016D" w:rsidRPr="00B31A23" w:rsidRDefault="00AB016D" w:rsidP="006B6960">
            <w:pPr>
              <w:jc w:val="center"/>
            </w:pPr>
            <w:r w:rsidRPr="00B31A23">
              <w:t>2.23</w:t>
            </w:r>
          </w:p>
        </w:tc>
        <w:tc>
          <w:tcPr>
            <w:tcW w:w="1033" w:type="pct"/>
          </w:tcPr>
          <w:p w14:paraId="078E2F65" w14:textId="77777777" w:rsidR="00AB016D" w:rsidRPr="00B31A23" w:rsidRDefault="00AB016D" w:rsidP="006B6960">
            <w:pPr>
              <w:jc w:val="center"/>
            </w:pPr>
            <w:r w:rsidRPr="00B31A23">
              <w:t>4 to 16</w:t>
            </w:r>
          </w:p>
        </w:tc>
      </w:tr>
      <w:tr w:rsidR="00AB016D" w:rsidRPr="00B31A23" w14:paraId="51D3A8BF" w14:textId="77777777" w:rsidTr="006B6960">
        <w:trPr>
          <w:trHeight w:val="307"/>
        </w:trPr>
        <w:tc>
          <w:tcPr>
            <w:tcW w:w="1898" w:type="pct"/>
            <w:shd w:val="clear" w:color="auto" w:fill="auto"/>
          </w:tcPr>
          <w:p w14:paraId="0FE7D5AC" w14:textId="34233B3A" w:rsidR="00AB016D" w:rsidRPr="00B31A23" w:rsidRDefault="00AB016D" w:rsidP="00AB016D">
            <w:pPr>
              <w:pStyle w:val="ListParagraph"/>
              <w:numPr>
                <w:ilvl w:val="0"/>
                <w:numId w:val="10"/>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HCQ Factor</w:t>
            </w:r>
            <w:r w:rsidR="00942FA3" w:rsidRPr="00B31A23">
              <w:rPr>
                <w:rFonts w:ascii="Times New Roman" w:eastAsia="Times New Roman" w:hAnsi="Times New Roman" w:cs="Times New Roman"/>
              </w:rPr>
              <w:t xml:space="preserve"> </w:t>
            </w:r>
            <w:r w:rsidRPr="00B31A23">
              <w:rPr>
                <w:rFonts w:ascii="Times New Roman" w:eastAsia="Times New Roman" w:hAnsi="Times New Roman" w:cs="Times New Roman"/>
              </w:rPr>
              <w:t>3</w:t>
            </w:r>
          </w:p>
        </w:tc>
        <w:tc>
          <w:tcPr>
            <w:tcW w:w="1034" w:type="pct"/>
          </w:tcPr>
          <w:p w14:paraId="4BFCEF0A" w14:textId="77777777" w:rsidR="00AB016D" w:rsidRPr="00B31A23" w:rsidRDefault="00AB016D" w:rsidP="006B6960">
            <w:pPr>
              <w:jc w:val="center"/>
            </w:pPr>
            <w:r w:rsidRPr="00B31A23">
              <w:t>9.93</w:t>
            </w:r>
          </w:p>
        </w:tc>
        <w:tc>
          <w:tcPr>
            <w:tcW w:w="1034" w:type="pct"/>
          </w:tcPr>
          <w:p w14:paraId="416B3E61" w14:textId="77777777" w:rsidR="00AB016D" w:rsidRPr="00B31A23" w:rsidRDefault="00AB016D" w:rsidP="006B6960">
            <w:pPr>
              <w:jc w:val="center"/>
            </w:pPr>
            <w:r w:rsidRPr="00B31A23">
              <w:t>3.74</w:t>
            </w:r>
          </w:p>
        </w:tc>
        <w:tc>
          <w:tcPr>
            <w:tcW w:w="1033" w:type="pct"/>
          </w:tcPr>
          <w:p w14:paraId="4A44F0B8" w14:textId="77777777" w:rsidR="00AB016D" w:rsidRPr="00B31A23" w:rsidRDefault="00AB016D" w:rsidP="006B6960">
            <w:pPr>
              <w:jc w:val="center"/>
            </w:pPr>
            <w:r w:rsidRPr="00B31A23">
              <w:t>4 to 20</w:t>
            </w:r>
          </w:p>
        </w:tc>
      </w:tr>
      <w:tr w:rsidR="00AB016D" w:rsidRPr="00B31A23" w14:paraId="7B997AD2" w14:textId="77777777" w:rsidTr="006B6960">
        <w:trPr>
          <w:trHeight w:val="80"/>
        </w:trPr>
        <w:tc>
          <w:tcPr>
            <w:tcW w:w="1898" w:type="pct"/>
            <w:shd w:val="clear" w:color="auto" w:fill="auto"/>
          </w:tcPr>
          <w:p w14:paraId="3FFD826D" w14:textId="46A3FE08" w:rsidR="00AB016D" w:rsidRPr="00B31A23" w:rsidRDefault="00AB016D" w:rsidP="00AB016D">
            <w:pPr>
              <w:pStyle w:val="ListParagraph"/>
              <w:numPr>
                <w:ilvl w:val="0"/>
                <w:numId w:val="10"/>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HCQ Factor</w:t>
            </w:r>
            <w:r w:rsidR="00942FA3" w:rsidRPr="00B31A23">
              <w:rPr>
                <w:rFonts w:ascii="Times New Roman" w:eastAsia="Times New Roman" w:hAnsi="Times New Roman" w:cs="Times New Roman"/>
              </w:rPr>
              <w:t xml:space="preserve"> </w:t>
            </w:r>
            <w:r w:rsidRPr="00B31A23">
              <w:rPr>
                <w:rFonts w:ascii="Times New Roman" w:eastAsia="Times New Roman" w:hAnsi="Times New Roman" w:cs="Times New Roman"/>
              </w:rPr>
              <w:t>4</w:t>
            </w:r>
          </w:p>
        </w:tc>
        <w:tc>
          <w:tcPr>
            <w:tcW w:w="1034" w:type="pct"/>
          </w:tcPr>
          <w:p w14:paraId="7B815DAB" w14:textId="77777777" w:rsidR="00AB016D" w:rsidRPr="00B31A23" w:rsidRDefault="00AB016D" w:rsidP="006B6960">
            <w:pPr>
              <w:jc w:val="center"/>
            </w:pPr>
            <w:r w:rsidRPr="00B31A23">
              <w:t>13.25</w:t>
            </w:r>
          </w:p>
        </w:tc>
        <w:tc>
          <w:tcPr>
            <w:tcW w:w="1034" w:type="pct"/>
          </w:tcPr>
          <w:p w14:paraId="2CF373AA" w14:textId="77777777" w:rsidR="00AB016D" w:rsidRPr="00B31A23" w:rsidRDefault="00AB016D" w:rsidP="006B6960">
            <w:pPr>
              <w:jc w:val="center"/>
            </w:pPr>
            <w:r w:rsidRPr="00B31A23">
              <w:t>2.71</w:t>
            </w:r>
          </w:p>
        </w:tc>
        <w:tc>
          <w:tcPr>
            <w:tcW w:w="1033" w:type="pct"/>
          </w:tcPr>
          <w:p w14:paraId="12A9150E" w14:textId="77777777" w:rsidR="00AB016D" w:rsidRPr="00B31A23" w:rsidRDefault="00AB016D" w:rsidP="006B6960">
            <w:pPr>
              <w:jc w:val="center"/>
            </w:pPr>
            <w:r w:rsidRPr="00B31A23">
              <w:t>5 to 18</w:t>
            </w:r>
          </w:p>
        </w:tc>
      </w:tr>
      <w:tr w:rsidR="00AB016D" w:rsidRPr="00B31A23" w14:paraId="10C275C8" w14:textId="77777777" w:rsidTr="006B6960">
        <w:trPr>
          <w:trHeight w:val="55"/>
        </w:trPr>
        <w:tc>
          <w:tcPr>
            <w:tcW w:w="1898" w:type="pct"/>
            <w:shd w:val="clear" w:color="auto" w:fill="auto"/>
          </w:tcPr>
          <w:p w14:paraId="4A09C818" w14:textId="77777777" w:rsidR="00AB016D" w:rsidRPr="00B31A23" w:rsidRDefault="00AB016D" w:rsidP="00AB016D">
            <w:pPr>
              <w:pStyle w:val="ListParagraph"/>
              <w:numPr>
                <w:ilvl w:val="0"/>
                <w:numId w:val="10"/>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MCQ-HA Factor 1</w:t>
            </w:r>
          </w:p>
        </w:tc>
        <w:tc>
          <w:tcPr>
            <w:tcW w:w="1034" w:type="pct"/>
          </w:tcPr>
          <w:p w14:paraId="744E19A8" w14:textId="77777777" w:rsidR="00AB016D" w:rsidRPr="00B31A23" w:rsidRDefault="00AB016D" w:rsidP="006B6960">
            <w:pPr>
              <w:jc w:val="center"/>
            </w:pPr>
            <w:r w:rsidRPr="00B31A23">
              <w:t>10.70</w:t>
            </w:r>
          </w:p>
        </w:tc>
        <w:tc>
          <w:tcPr>
            <w:tcW w:w="1034" w:type="pct"/>
          </w:tcPr>
          <w:p w14:paraId="733B332C" w14:textId="77777777" w:rsidR="00AB016D" w:rsidRPr="00B31A23" w:rsidRDefault="00AB016D" w:rsidP="006B6960">
            <w:pPr>
              <w:jc w:val="center"/>
            </w:pPr>
            <w:r w:rsidRPr="00B31A23">
              <w:t>4.00</w:t>
            </w:r>
          </w:p>
        </w:tc>
        <w:tc>
          <w:tcPr>
            <w:tcW w:w="1033" w:type="pct"/>
          </w:tcPr>
          <w:p w14:paraId="4127039D" w14:textId="77777777" w:rsidR="00AB016D" w:rsidRPr="00B31A23" w:rsidRDefault="00AB016D" w:rsidP="006B6960">
            <w:pPr>
              <w:jc w:val="center"/>
            </w:pPr>
            <w:r w:rsidRPr="00B31A23">
              <w:t>5 to 20</w:t>
            </w:r>
          </w:p>
        </w:tc>
      </w:tr>
      <w:tr w:rsidR="00AB016D" w:rsidRPr="00B31A23" w14:paraId="56D57FBD" w14:textId="77777777" w:rsidTr="006B6960">
        <w:trPr>
          <w:trHeight w:val="55"/>
        </w:trPr>
        <w:tc>
          <w:tcPr>
            <w:tcW w:w="1898" w:type="pct"/>
            <w:shd w:val="clear" w:color="auto" w:fill="auto"/>
          </w:tcPr>
          <w:p w14:paraId="0F2D21AC" w14:textId="1C554A35" w:rsidR="00AB016D" w:rsidRPr="00B31A23" w:rsidRDefault="00AB016D" w:rsidP="00AB016D">
            <w:pPr>
              <w:pStyle w:val="ListParagraph"/>
              <w:numPr>
                <w:ilvl w:val="0"/>
                <w:numId w:val="10"/>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MCQ-HA Factor</w:t>
            </w:r>
            <w:r w:rsidR="00942FA3" w:rsidRPr="00B31A23">
              <w:rPr>
                <w:rFonts w:ascii="Times New Roman" w:eastAsia="Times New Roman" w:hAnsi="Times New Roman" w:cs="Times New Roman"/>
              </w:rPr>
              <w:t xml:space="preserve"> </w:t>
            </w:r>
            <w:r w:rsidRPr="00B31A23">
              <w:rPr>
                <w:rFonts w:ascii="Times New Roman" w:eastAsia="Times New Roman" w:hAnsi="Times New Roman" w:cs="Times New Roman"/>
              </w:rPr>
              <w:t>2</w:t>
            </w:r>
          </w:p>
          <w:p w14:paraId="517176CF" w14:textId="0F0C89CE" w:rsidR="00AB016D" w:rsidRPr="00B31A23" w:rsidRDefault="00AB016D" w:rsidP="00AB016D">
            <w:pPr>
              <w:pStyle w:val="ListParagraph"/>
              <w:numPr>
                <w:ilvl w:val="0"/>
                <w:numId w:val="10"/>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MCQ-HA Factor</w:t>
            </w:r>
            <w:r w:rsidR="00942FA3" w:rsidRPr="00B31A23">
              <w:rPr>
                <w:rFonts w:ascii="Times New Roman" w:eastAsia="Times New Roman" w:hAnsi="Times New Roman" w:cs="Times New Roman"/>
              </w:rPr>
              <w:t xml:space="preserve"> </w:t>
            </w:r>
            <w:r w:rsidRPr="00B31A23">
              <w:rPr>
                <w:rFonts w:ascii="Times New Roman" w:eastAsia="Times New Roman" w:hAnsi="Times New Roman" w:cs="Times New Roman"/>
              </w:rPr>
              <w:t>3</w:t>
            </w:r>
          </w:p>
        </w:tc>
        <w:tc>
          <w:tcPr>
            <w:tcW w:w="1034" w:type="pct"/>
          </w:tcPr>
          <w:p w14:paraId="08E7CD4D" w14:textId="77777777" w:rsidR="00AB016D" w:rsidRPr="00B31A23" w:rsidRDefault="00AB016D" w:rsidP="006B6960">
            <w:pPr>
              <w:jc w:val="center"/>
            </w:pPr>
            <w:r w:rsidRPr="00B31A23">
              <w:t>7.63</w:t>
            </w:r>
          </w:p>
          <w:p w14:paraId="3FBBBE3E" w14:textId="77777777" w:rsidR="00AB016D" w:rsidRPr="00B31A23" w:rsidRDefault="00AB016D" w:rsidP="006B6960">
            <w:pPr>
              <w:jc w:val="center"/>
            </w:pPr>
            <w:r w:rsidRPr="00B31A23">
              <w:t>7.33</w:t>
            </w:r>
          </w:p>
        </w:tc>
        <w:tc>
          <w:tcPr>
            <w:tcW w:w="1034" w:type="pct"/>
          </w:tcPr>
          <w:p w14:paraId="207E1E00" w14:textId="77777777" w:rsidR="00AB016D" w:rsidRPr="00B31A23" w:rsidRDefault="00AB016D" w:rsidP="006B6960">
            <w:pPr>
              <w:jc w:val="center"/>
            </w:pPr>
            <w:r w:rsidRPr="00B31A23">
              <w:t>2.25</w:t>
            </w:r>
          </w:p>
          <w:p w14:paraId="2151B8CC" w14:textId="77777777" w:rsidR="00AB016D" w:rsidRPr="00B31A23" w:rsidRDefault="00AB016D" w:rsidP="006B6960">
            <w:pPr>
              <w:jc w:val="center"/>
            </w:pPr>
            <w:r w:rsidRPr="00B31A23">
              <w:t>2.51</w:t>
            </w:r>
          </w:p>
        </w:tc>
        <w:tc>
          <w:tcPr>
            <w:tcW w:w="1033" w:type="pct"/>
          </w:tcPr>
          <w:p w14:paraId="572B38EF" w14:textId="77777777" w:rsidR="00AB016D" w:rsidRPr="00B31A23" w:rsidRDefault="00AB016D" w:rsidP="006B6960">
            <w:pPr>
              <w:jc w:val="center"/>
            </w:pPr>
            <w:r w:rsidRPr="00B31A23">
              <w:t>5 to 16</w:t>
            </w:r>
          </w:p>
          <w:p w14:paraId="303405F6" w14:textId="77777777" w:rsidR="00AB016D" w:rsidRPr="00B31A23" w:rsidRDefault="00AB016D" w:rsidP="006B6960">
            <w:pPr>
              <w:jc w:val="center"/>
            </w:pPr>
            <w:r w:rsidRPr="00B31A23">
              <w:t>4 to 16</w:t>
            </w:r>
          </w:p>
        </w:tc>
      </w:tr>
      <w:tr w:rsidR="00AB016D" w:rsidRPr="00B31A23" w14:paraId="4A820109" w14:textId="77777777" w:rsidTr="006B6960">
        <w:trPr>
          <w:trHeight w:val="151"/>
        </w:trPr>
        <w:tc>
          <w:tcPr>
            <w:tcW w:w="1898" w:type="pct"/>
            <w:tcBorders>
              <w:bottom w:val="single" w:sz="4" w:space="0" w:color="auto"/>
            </w:tcBorders>
            <w:shd w:val="clear" w:color="auto" w:fill="auto"/>
          </w:tcPr>
          <w:p w14:paraId="61FCFD28" w14:textId="01ED8F13" w:rsidR="00AB016D" w:rsidRPr="00B31A23" w:rsidRDefault="00AB016D" w:rsidP="00AB016D">
            <w:pPr>
              <w:pStyle w:val="ListParagraph"/>
              <w:numPr>
                <w:ilvl w:val="0"/>
                <w:numId w:val="10"/>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CSS</w:t>
            </w:r>
          </w:p>
        </w:tc>
        <w:tc>
          <w:tcPr>
            <w:tcW w:w="1034" w:type="pct"/>
            <w:tcBorders>
              <w:bottom w:val="single" w:sz="4" w:space="0" w:color="auto"/>
            </w:tcBorders>
          </w:tcPr>
          <w:p w14:paraId="4188E15D" w14:textId="77777777" w:rsidR="00AB016D" w:rsidRPr="00B31A23" w:rsidRDefault="00AB016D" w:rsidP="006B6960">
            <w:pPr>
              <w:jc w:val="center"/>
            </w:pPr>
            <w:r w:rsidRPr="00B31A23">
              <w:t>49.14</w:t>
            </w:r>
          </w:p>
        </w:tc>
        <w:tc>
          <w:tcPr>
            <w:tcW w:w="1034" w:type="pct"/>
            <w:tcBorders>
              <w:bottom w:val="single" w:sz="4" w:space="0" w:color="auto"/>
            </w:tcBorders>
          </w:tcPr>
          <w:p w14:paraId="3B3A93F6" w14:textId="77777777" w:rsidR="00AB016D" w:rsidRPr="00B31A23" w:rsidRDefault="00AB016D" w:rsidP="006B6960">
            <w:pPr>
              <w:jc w:val="center"/>
            </w:pPr>
            <w:r w:rsidRPr="00B31A23">
              <w:t>11.55</w:t>
            </w:r>
          </w:p>
        </w:tc>
        <w:tc>
          <w:tcPr>
            <w:tcW w:w="1033" w:type="pct"/>
            <w:tcBorders>
              <w:bottom w:val="single" w:sz="4" w:space="0" w:color="auto"/>
            </w:tcBorders>
          </w:tcPr>
          <w:p w14:paraId="514B22C7" w14:textId="77777777" w:rsidR="00AB016D" w:rsidRPr="00B31A23" w:rsidRDefault="00AB016D" w:rsidP="006B6960">
            <w:pPr>
              <w:jc w:val="center"/>
            </w:pPr>
            <w:r w:rsidRPr="00B31A23">
              <w:t>29 to 96</w:t>
            </w:r>
          </w:p>
        </w:tc>
      </w:tr>
    </w:tbl>
    <w:p w14:paraId="077CA93D" w14:textId="3255B233" w:rsidR="00AB016D" w:rsidRPr="00B31A23" w:rsidRDefault="00AB016D" w:rsidP="00AB016D">
      <w:pPr>
        <w:pStyle w:val="NoSpacing"/>
      </w:pPr>
      <w:r w:rsidRPr="00B31A23">
        <w:t xml:space="preserve">Table 1: Means, standard deviations and range of </w:t>
      </w:r>
      <w:r w:rsidR="00942FA3" w:rsidRPr="00B31A23">
        <w:t xml:space="preserve">study </w:t>
      </w:r>
      <w:r w:rsidRPr="00B31A23">
        <w:t>variables.</w:t>
      </w:r>
    </w:p>
    <w:p w14:paraId="60B67FDC" w14:textId="5453FC54" w:rsidR="00132F55" w:rsidRPr="00B31A23" w:rsidRDefault="00132F55" w:rsidP="00BF0850">
      <w:pPr>
        <w:jc w:val="both"/>
        <w:rPr>
          <w:b/>
          <w:bCs/>
          <w:sz w:val="20"/>
          <w:szCs w:val="20"/>
          <w:lang w:val="en-US"/>
        </w:rPr>
      </w:pPr>
    </w:p>
    <w:p w14:paraId="2FF614CB" w14:textId="77777777" w:rsidR="00AB016D" w:rsidRPr="00B31A23" w:rsidRDefault="00AB016D" w:rsidP="00AB016D">
      <w:pPr>
        <w:jc w:val="both"/>
        <w:rPr>
          <w:sz w:val="20"/>
          <w:szCs w:val="20"/>
          <w:lang w:val="en-GB"/>
        </w:rPr>
      </w:pPr>
    </w:p>
    <w:p w14:paraId="39BF6D46" w14:textId="0F3DEC8C" w:rsidR="00935169" w:rsidRPr="00B31A23" w:rsidRDefault="00AB016D" w:rsidP="00935169">
      <w:pPr>
        <w:jc w:val="both"/>
        <w:rPr>
          <w:sz w:val="20"/>
          <w:szCs w:val="20"/>
          <w:lang w:val="en-US"/>
        </w:rPr>
      </w:pPr>
      <w:r w:rsidRPr="00B31A23">
        <w:rPr>
          <w:sz w:val="20"/>
          <w:szCs w:val="20"/>
          <w:lang w:val="en-US"/>
        </w:rPr>
        <w:t xml:space="preserve">Note: N = 125; </w:t>
      </w:r>
      <w:r w:rsidR="00935169" w:rsidRPr="00B31A23">
        <w:rPr>
          <w:sz w:val="20"/>
          <w:szCs w:val="20"/>
          <w:lang w:val="en-US"/>
        </w:rPr>
        <w:t xml:space="preserve">HAI = Health Anxiety Inventory; HCQ Factor </w:t>
      </w:r>
      <w:r w:rsidR="009960FB" w:rsidRPr="00B31A23">
        <w:rPr>
          <w:sz w:val="20"/>
          <w:szCs w:val="20"/>
          <w:lang w:val="en-US"/>
        </w:rPr>
        <w:t>1</w:t>
      </w:r>
      <w:r w:rsidR="00935169" w:rsidRPr="00B31A23">
        <w:rPr>
          <w:sz w:val="20"/>
          <w:szCs w:val="20"/>
          <w:lang w:val="en-US"/>
        </w:rPr>
        <w:t xml:space="preserve"> = Health Cognitions Questionnaire: Difficulty in coping;  </w:t>
      </w:r>
      <w:r w:rsidR="00A80DCF" w:rsidRPr="00B31A23">
        <w:rPr>
          <w:sz w:val="20"/>
          <w:szCs w:val="20"/>
          <w:lang w:val="en-US"/>
        </w:rPr>
        <w:t xml:space="preserve">HCQ Factor </w:t>
      </w:r>
      <w:r w:rsidR="009960FB" w:rsidRPr="00B31A23">
        <w:rPr>
          <w:sz w:val="20"/>
          <w:szCs w:val="20"/>
          <w:lang w:val="en-US"/>
        </w:rPr>
        <w:t>2</w:t>
      </w:r>
      <w:r w:rsidR="00A80DCF" w:rsidRPr="00B31A23">
        <w:rPr>
          <w:sz w:val="20"/>
          <w:szCs w:val="20"/>
          <w:lang w:val="en-US"/>
        </w:rPr>
        <w:t xml:space="preserve"> = Health Cognitions Questionnaire: Likelihood of illness; HCQ Factor </w:t>
      </w:r>
      <w:r w:rsidR="009960FB" w:rsidRPr="00B31A23">
        <w:rPr>
          <w:sz w:val="20"/>
          <w:szCs w:val="20"/>
          <w:lang w:val="en-US"/>
        </w:rPr>
        <w:t>3</w:t>
      </w:r>
      <w:r w:rsidR="00A80DCF" w:rsidRPr="00B31A23">
        <w:rPr>
          <w:sz w:val="20"/>
          <w:szCs w:val="20"/>
          <w:lang w:val="en-US"/>
        </w:rPr>
        <w:t xml:space="preserve"> = Health Cognitions Questionnaire: Awfulness of illness; </w:t>
      </w:r>
      <w:r w:rsidR="00935169" w:rsidRPr="00B31A23">
        <w:rPr>
          <w:sz w:val="20"/>
          <w:szCs w:val="20"/>
          <w:lang w:val="en-US"/>
        </w:rPr>
        <w:t xml:space="preserve">HCQ Factor </w:t>
      </w:r>
      <w:r w:rsidR="009960FB" w:rsidRPr="00B31A23">
        <w:rPr>
          <w:sz w:val="20"/>
          <w:szCs w:val="20"/>
          <w:lang w:val="en-US"/>
        </w:rPr>
        <w:t>4</w:t>
      </w:r>
      <w:r w:rsidR="00935169" w:rsidRPr="00B31A23">
        <w:rPr>
          <w:sz w:val="20"/>
          <w:szCs w:val="20"/>
          <w:lang w:val="en-US"/>
        </w:rPr>
        <w:t xml:space="preserve"> = Health Cognitions Questionnaire: Medical service inadequacy; MCQ-HA Factor 1 = </w:t>
      </w:r>
      <w:r w:rsidR="009960FB" w:rsidRPr="00B31A23">
        <w:rPr>
          <w:sz w:val="20"/>
          <w:szCs w:val="20"/>
          <w:lang w:val="en-US"/>
        </w:rPr>
        <w:t>Metacognitions Questionnaire-Health Anxiety</w:t>
      </w:r>
      <w:r w:rsidR="00935169" w:rsidRPr="00B31A23">
        <w:rPr>
          <w:sz w:val="20"/>
          <w:szCs w:val="20"/>
          <w:lang w:val="en-US"/>
        </w:rPr>
        <w:t xml:space="preserve">: Metacognitions about biased thinking; MCQ-HA Factor 2 = </w:t>
      </w:r>
      <w:r w:rsidR="009960FB" w:rsidRPr="00B31A23">
        <w:rPr>
          <w:sz w:val="20"/>
          <w:szCs w:val="20"/>
          <w:lang w:val="en-US"/>
        </w:rPr>
        <w:t>Metacognitions Questionnaire-Health Anxiety</w:t>
      </w:r>
      <w:r w:rsidR="00935169" w:rsidRPr="00B31A23">
        <w:rPr>
          <w:sz w:val="20"/>
          <w:szCs w:val="20"/>
          <w:lang w:val="en-US"/>
        </w:rPr>
        <w:t xml:space="preserve">: Metacognitions about thought illness fusion; MCQ-HA Factor 3 = </w:t>
      </w:r>
      <w:r w:rsidR="009960FB" w:rsidRPr="00B31A23">
        <w:rPr>
          <w:sz w:val="20"/>
          <w:szCs w:val="20"/>
          <w:lang w:val="en-US"/>
        </w:rPr>
        <w:t>Metacognitions Questionnaire-Health Anxiety</w:t>
      </w:r>
      <w:r w:rsidR="00935169" w:rsidRPr="00B31A23">
        <w:rPr>
          <w:sz w:val="20"/>
          <w:szCs w:val="20"/>
          <w:lang w:val="en-US"/>
        </w:rPr>
        <w:t>: Metacognitions about the uncontrollability of thoughts; CSS = Cyberchondria Severity Scale; ** p &lt; .01</w:t>
      </w:r>
      <w:r w:rsidR="00935169" w:rsidRPr="00B31A23">
        <w:rPr>
          <w:rFonts w:eastAsia="PMingLiU"/>
          <w:iCs/>
          <w:sz w:val="20"/>
          <w:szCs w:val="20"/>
          <w:lang w:val="en-GB" w:eastAsia="zh-TW"/>
        </w:rPr>
        <w:t>.</w:t>
      </w:r>
    </w:p>
    <w:p w14:paraId="0E888877" w14:textId="7FCFFAFB" w:rsidR="0049795D" w:rsidRPr="00B31A23" w:rsidRDefault="0049795D" w:rsidP="00AB016D">
      <w:pPr>
        <w:jc w:val="both"/>
        <w:rPr>
          <w:sz w:val="20"/>
          <w:szCs w:val="20"/>
          <w:lang w:val="en-US"/>
        </w:rPr>
      </w:pPr>
    </w:p>
    <w:p w14:paraId="6DDEB554" w14:textId="77777777" w:rsidR="0049795D" w:rsidRPr="00B31A23" w:rsidRDefault="0049795D">
      <w:pPr>
        <w:pBdr>
          <w:top w:val="nil"/>
          <w:left w:val="nil"/>
          <w:bottom w:val="nil"/>
          <w:right w:val="nil"/>
          <w:between w:val="nil"/>
          <w:bar w:val="nil"/>
        </w:pBdr>
        <w:rPr>
          <w:sz w:val="20"/>
          <w:szCs w:val="20"/>
          <w:lang w:val="en-US"/>
        </w:rPr>
      </w:pPr>
      <w:r w:rsidRPr="00B31A23">
        <w:rPr>
          <w:sz w:val="20"/>
          <w:szCs w:val="20"/>
          <w:lang w:val="en-US"/>
        </w:rPr>
        <w:br w:type="page"/>
      </w:r>
    </w:p>
    <w:p w14:paraId="47438089" w14:textId="7A29F8DB" w:rsidR="00421C16" w:rsidRPr="00B31A23" w:rsidRDefault="00421C16" w:rsidP="00421C16">
      <w:pPr>
        <w:pStyle w:val="NoSpacing"/>
      </w:pPr>
      <w:r w:rsidRPr="00B31A23">
        <w:lastRenderedPageBreak/>
        <w:t xml:space="preserve">Table 2: </w:t>
      </w:r>
      <w:r w:rsidR="00A80DCF" w:rsidRPr="00B31A23">
        <w:t>Bivariate</w:t>
      </w:r>
      <w:r w:rsidRPr="00B31A23">
        <w:t xml:space="preserve"> </w:t>
      </w:r>
      <w:r w:rsidR="00942FA3" w:rsidRPr="00B31A23">
        <w:t>c</w:t>
      </w:r>
      <w:r w:rsidRPr="00B31A23">
        <w:t xml:space="preserve">orrelations of </w:t>
      </w:r>
      <w:r w:rsidR="00942FA3" w:rsidRPr="00B31A23">
        <w:t>s</w:t>
      </w:r>
      <w:r w:rsidRPr="00B31A23">
        <w:t xml:space="preserve">tudy </w:t>
      </w:r>
      <w:r w:rsidR="00942FA3" w:rsidRPr="00B31A23">
        <w:t>v</w:t>
      </w:r>
      <w:r w:rsidRPr="00B31A23">
        <w:t>ariables.</w:t>
      </w:r>
    </w:p>
    <w:p w14:paraId="7300DC13" w14:textId="0307ADBB" w:rsidR="00421C16" w:rsidRPr="00B31A23" w:rsidRDefault="00421C16" w:rsidP="00421C16">
      <w:pPr>
        <w:pStyle w:val="NoSpacing"/>
      </w:pPr>
    </w:p>
    <w:p w14:paraId="58A096E7" w14:textId="77777777" w:rsidR="00421C16" w:rsidRPr="00B31A23" w:rsidRDefault="00421C16" w:rsidP="00421C16">
      <w:pPr>
        <w:pStyle w:val="NoSpacing"/>
      </w:pPr>
    </w:p>
    <w:tbl>
      <w:tblPr>
        <w:tblpPr w:leftFromText="180" w:rightFromText="180" w:vertAnchor="text" w:horzAnchor="margin" w:tblpXSpec="center" w:tblpY="-80"/>
        <w:tblW w:w="4966" w:type="pct"/>
        <w:tblLayout w:type="fixed"/>
        <w:tblLook w:val="04A0" w:firstRow="1" w:lastRow="0" w:firstColumn="1" w:lastColumn="0" w:noHBand="0" w:noVBand="1"/>
      </w:tblPr>
      <w:tblGrid>
        <w:gridCol w:w="4656"/>
        <w:gridCol w:w="841"/>
        <w:gridCol w:w="838"/>
        <w:gridCol w:w="846"/>
        <w:gridCol w:w="837"/>
        <w:gridCol w:w="837"/>
        <w:gridCol w:w="837"/>
        <w:gridCol w:w="837"/>
        <w:gridCol w:w="837"/>
        <w:gridCol w:w="837"/>
        <w:gridCol w:w="837"/>
        <w:gridCol w:w="823"/>
      </w:tblGrid>
      <w:tr w:rsidR="0047470E" w:rsidRPr="00B31A23" w14:paraId="184945A8" w14:textId="77777777" w:rsidTr="00274F81">
        <w:trPr>
          <w:trHeight w:val="580"/>
        </w:trPr>
        <w:tc>
          <w:tcPr>
            <w:tcW w:w="1679" w:type="pct"/>
            <w:tcBorders>
              <w:top w:val="single" w:sz="4" w:space="0" w:color="auto"/>
              <w:bottom w:val="single" w:sz="4" w:space="0" w:color="auto"/>
            </w:tcBorders>
            <w:shd w:val="clear" w:color="auto" w:fill="auto"/>
            <w:vAlign w:val="bottom"/>
            <w:hideMark/>
          </w:tcPr>
          <w:p w14:paraId="7A4A2257" w14:textId="77777777" w:rsidR="0047470E" w:rsidRPr="00B31A23" w:rsidRDefault="0047470E" w:rsidP="00421C16">
            <w:pPr>
              <w:jc w:val="center"/>
              <w:rPr>
                <w:lang w:val="en-GB"/>
              </w:rPr>
            </w:pPr>
            <w:r w:rsidRPr="00B31A23">
              <w:rPr>
                <w:lang w:val="en-GB"/>
              </w:rPr>
              <w:t> </w:t>
            </w:r>
          </w:p>
        </w:tc>
        <w:tc>
          <w:tcPr>
            <w:tcW w:w="303" w:type="pct"/>
            <w:tcBorders>
              <w:top w:val="single" w:sz="4" w:space="0" w:color="auto"/>
              <w:bottom w:val="single" w:sz="4" w:space="0" w:color="auto"/>
            </w:tcBorders>
          </w:tcPr>
          <w:p w14:paraId="09144E88" w14:textId="77777777" w:rsidR="0047470E" w:rsidRPr="00B31A23" w:rsidRDefault="0047470E" w:rsidP="00421C16">
            <w:pPr>
              <w:jc w:val="center"/>
            </w:pPr>
            <w:r w:rsidRPr="00B31A23">
              <w:t>1</w:t>
            </w:r>
          </w:p>
        </w:tc>
        <w:tc>
          <w:tcPr>
            <w:tcW w:w="302" w:type="pct"/>
            <w:tcBorders>
              <w:top w:val="single" w:sz="4" w:space="0" w:color="auto"/>
              <w:bottom w:val="single" w:sz="4" w:space="0" w:color="auto"/>
            </w:tcBorders>
          </w:tcPr>
          <w:p w14:paraId="6B1572AC" w14:textId="77777777" w:rsidR="0047470E" w:rsidRPr="00B31A23" w:rsidRDefault="0047470E" w:rsidP="00421C16">
            <w:pPr>
              <w:jc w:val="center"/>
            </w:pPr>
            <w:r w:rsidRPr="00B31A23">
              <w:t>2</w:t>
            </w:r>
          </w:p>
        </w:tc>
        <w:tc>
          <w:tcPr>
            <w:tcW w:w="305" w:type="pct"/>
            <w:tcBorders>
              <w:top w:val="single" w:sz="4" w:space="0" w:color="auto"/>
              <w:bottom w:val="single" w:sz="4" w:space="0" w:color="auto"/>
            </w:tcBorders>
          </w:tcPr>
          <w:p w14:paraId="30DD2453" w14:textId="77777777" w:rsidR="0047470E" w:rsidRPr="00B31A23" w:rsidRDefault="0047470E" w:rsidP="00421C16">
            <w:pPr>
              <w:jc w:val="center"/>
            </w:pPr>
            <w:r w:rsidRPr="00B31A23">
              <w:t>3</w:t>
            </w:r>
          </w:p>
        </w:tc>
        <w:tc>
          <w:tcPr>
            <w:tcW w:w="302" w:type="pct"/>
            <w:tcBorders>
              <w:top w:val="single" w:sz="4" w:space="0" w:color="auto"/>
              <w:bottom w:val="single" w:sz="4" w:space="0" w:color="auto"/>
            </w:tcBorders>
          </w:tcPr>
          <w:p w14:paraId="2EC75719" w14:textId="77777777" w:rsidR="0047470E" w:rsidRPr="00B31A23" w:rsidRDefault="0047470E" w:rsidP="00421C16">
            <w:pPr>
              <w:jc w:val="center"/>
            </w:pPr>
            <w:r w:rsidRPr="00B31A23">
              <w:t>4</w:t>
            </w:r>
          </w:p>
        </w:tc>
        <w:tc>
          <w:tcPr>
            <w:tcW w:w="302" w:type="pct"/>
            <w:tcBorders>
              <w:top w:val="single" w:sz="4" w:space="0" w:color="auto"/>
              <w:bottom w:val="single" w:sz="4" w:space="0" w:color="auto"/>
            </w:tcBorders>
          </w:tcPr>
          <w:p w14:paraId="306536D8" w14:textId="77777777" w:rsidR="0047470E" w:rsidRPr="00B31A23" w:rsidRDefault="0047470E" w:rsidP="00421C16">
            <w:pPr>
              <w:jc w:val="center"/>
            </w:pPr>
            <w:r w:rsidRPr="00B31A23">
              <w:t>5</w:t>
            </w:r>
          </w:p>
        </w:tc>
        <w:tc>
          <w:tcPr>
            <w:tcW w:w="302" w:type="pct"/>
            <w:tcBorders>
              <w:top w:val="single" w:sz="4" w:space="0" w:color="auto"/>
              <w:bottom w:val="single" w:sz="4" w:space="0" w:color="auto"/>
            </w:tcBorders>
          </w:tcPr>
          <w:p w14:paraId="35F5D15D" w14:textId="77777777" w:rsidR="0047470E" w:rsidRPr="00B31A23" w:rsidRDefault="0047470E" w:rsidP="00421C16">
            <w:pPr>
              <w:jc w:val="center"/>
            </w:pPr>
            <w:r w:rsidRPr="00B31A23">
              <w:t>6</w:t>
            </w:r>
          </w:p>
        </w:tc>
        <w:tc>
          <w:tcPr>
            <w:tcW w:w="302" w:type="pct"/>
            <w:tcBorders>
              <w:top w:val="single" w:sz="4" w:space="0" w:color="auto"/>
              <w:bottom w:val="single" w:sz="4" w:space="0" w:color="auto"/>
            </w:tcBorders>
          </w:tcPr>
          <w:p w14:paraId="326DAEE8" w14:textId="77777777" w:rsidR="0047470E" w:rsidRPr="00B31A23" w:rsidRDefault="0047470E" w:rsidP="00421C16">
            <w:pPr>
              <w:jc w:val="center"/>
            </w:pPr>
            <w:r w:rsidRPr="00B31A23">
              <w:t>7</w:t>
            </w:r>
          </w:p>
        </w:tc>
        <w:tc>
          <w:tcPr>
            <w:tcW w:w="302" w:type="pct"/>
            <w:tcBorders>
              <w:top w:val="single" w:sz="4" w:space="0" w:color="auto"/>
              <w:bottom w:val="single" w:sz="4" w:space="0" w:color="auto"/>
            </w:tcBorders>
          </w:tcPr>
          <w:p w14:paraId="34DBD71E" w14:textId="77777777" w:rsidR="0047470E" w:rsidRPr="00B31A23" w:rsidRDefault="0047470E" w:rsidP="00421C16">
            <w:pPr>
              <w:jc w:val="center"/>
            </w:pPr>
            <w:r w:rsidRPr="00B31A23">
              <w:t>8</w:t>
            </w:r>
          </w:p>
        </w:tc>
        <w:tc>
          <w:tcPr>
            <w:tcW w:w="302" w:type="pct"/>
            <w:tcBorders>
              <w:top w:val="single" w:sz="4" w:space="0" w:color="auto"/>
              <w:bottom w:val="single" w:sz="4" w:space="0" w:color="auto"/>
            </w:tcBorders>
          </w:tcPr>
          <w:p w14:paraId="70D875C2" w14:textId="77777777" w:rsidR="0047470E" w:rsidRPr="00B31A23" w:rsidRDefault="0047470E" w:rsidP="00421C16">
            <w:pPr>
              <w:jc w:val="center"/>
            </w:pPr>
            <w:r w:rsidRPr="00B31A23">
              <w:t>9</w:t>
            </w:r>
          </w:p>
        </w:tc>
        <w:tc>
          <w:tcPr>
            <w:tcW w:w="302" w:type="pct"/>
            <w:tcBorders>
              <w:top w:val="single" w:sz="4" w:space="0" w:color="auto"/>
              <w:bottom w:val="single" w:sz="4" w:space="0" w:color="auto"/>
            </w:tcBorders>
          </w:tcPr>
          <w:p w14:paraId="3B2A87D7" w14:textId="77777777" w:rsidR="0047470E" w:rsidRPr="00B31A23" w:rsidRDefault="0047470E" w:rsidP="00421C16">
            <w:pPr>
              <w:jc w:val="center"/>
            </w:pPr>
            <w:r w:rsidRPr="00B31A23">
              <w:t>10</w:t>
            </w:r>
          </w:p>
        </w:tc>
        <w:tc>
          <w:tcPr>
            <w:tcW w:w="301" w:type="pct"/>
            <w:tcBorders>
              <w:top w:val="single" w:sz="4" w:space="0" w:color="auto"/>
              <w:bottom w:val="single" w:sz="4" w:space="0" w:color="auto"/>
            </w:tcBorders>
          </w:tcPr>
          <w:p w14:paraId="69AA2064" w14:textId="77777777" w:rsidR="0047470E" w:rsidRPr="00B31A23" w:rsidRDefault="0047470E" w:rsidP="00421C16">
            <w:pPr>
              <w:jc w:val="center"/>
            </w:pPr>
            <w:r w:rsidRPr="00B31A23">
              <w:t>11</w:t>
            </w:r>
          </w:p>
        </w:tc>
      </w:tr>
      <w:tr w:rsidR="0047470E" w:rsidRPr="00B31A23" w14:paraId="3CD7A6A3" w14:textId="77777777" w:rsidTr="00274F81">
        <w:trPr>
          <w:trHeight w:val="258"/>
        </w:trPr>
        <w:tc>
          <w:tcPr>
            <w:tcW w:w="1679" w:type="pct"/>
            <w:tcBorders>
              <w:top w:val="single" w:sz="4" w:space="0" w:color="auto"/>
            </w:tcBorders>
            <w:shd w:val="clear" w:color="auto" w:fill="auto"/>
          </w:tcPr>
          <w:p w14:paraId="4E02013E" w14:textId="77777777" w:rsidR="0047470E" w:rsidRPr="00B31A23" w:rsidRDefault="0047470E" w:rsidP="00421C16">
            <w:pPr>
              <w:pStyle w:val="ListParagraph"/>
              <w:numPr>
                <w:ilvl w:val="0"/>
                <w:numId w:val="11"/>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Gender</w:t>
            </w:r>
          </w:p>
        </w:tc>
        <w:tc>
          <w:tcPr>
            <w:tcW w:w="303" w:type="pct"/>
            <w:tcBorders>
              <w:top w:val="single" w:sz="4" w:space="0" w:color="auto"/>
            </w:tcBorders>
          </w:tcPr>
          <w:p w14:paraId="3DF67EBE" w14:textId="77777777" w:rsidR="0047470E" w:rsidRPr="00B31A23" w:rsidRDefault="0047470E" w:rsidP="00421C16">
            <w:pPr>
              <w:jc w:val="center"/>
            </w:pPr>
          </w:p>
        </w:tc>
        <w:tc>
          <w:tcPr>
            <w:tcW w:w="302" w:type="pct"/>
            <w:tcBorders>
              <w:top w:val="single" w:sz="4" w:space="0" w:color="auto"/>
            </w:tcBorders>
          </w:tcPr>
          <w:p w14:paraId="346902FC" w14:textId="77777777" w:rsidR="0047470E" w:rsidRPr="00B31A23" w:rsidRDefault="0047470E" w:rsidP="00421C16">
            <w:pPr>
              <w:jc w:val="center"/>
            </w:pPr>
          </w:p>
        </w:tc>
        <w:tc>
          <w:tcPr>
            <w:tcW w:w="305" w:type="pct"/>
            <w:tcBorders>
              <w:top w:val="single" w:sz="4" w:space="0" w:color="auto"/>
            </w:tcBorders>
          </w:tcPr>
          <w:p w14:paraId="3BA44DB9" w14:textId="77777777" w:rsidR="0047470E" w:rsidRPr="00B31A23" w:rsidRDefault="0047470E" w:rsidP="00421C16">
            <w:pPr>
              <w:jc w:val="center"/>
            </w:pPr>
          </w:p>
        </w:tc>
        <w:tc>
          <w:tcPr>
            <w:tcW w:w="302" w:type="pct"/>
            <w:tcBorders>
              <w:top w:val="single" w:sz="4" w:space="0" w:color="auto"/>
            </w:tcBorders>
          </w:tcPr>
          <w:p w14:paraId="29467352" w14:textId="77777777" w:rsidR="0047470E" w:rsidRPr="00B31A23" w:rsidRDefault="0047470E" w:rsidP="00421C16">
            <w:pPr>
              <w:jc w:val="center"/>
            </w:pPr>
          </w:p>
        </w:tc>
        <w:tc>
          <w:tcPr>
            <w:tcW w:w="302" w:type="pct"/>
            <w:tcBorders>
              <w:top w:val="single" w:sz="4" w:space="0" w:color="auto"/>
            </w:tcBorders>
          </w:tcPr>
          <w:p w14:paraId="0EC2E4B6" w14:textId="77777777" w:rsidR="0047470E" w:rsidRPr="00B31A23" w:rsidRDefault="0047470E" w:rsidP="00421C16">
            <w:pPr>
              <w:jc w:val="center"/>
            </w:pPr>
          </w:p>
        </w:tc>
        <w:tc>
          <w:tcPr>
            <w:tcW w:w="302" w:type="pct"/>
            <w:tcBorders>
              <w:top w:val="single" w:sz="4" w:space="0" w:color="auto"/>
            </w:tcBorders>
          </w:tcPr>
          <w:p w14:paraId="65CCDE60" w14:textId="77777777" w:rsidR="0047470E" w:rsidRPr="00B31A23" w:rsidRDefault="0047470E" w:rsidP="00421C16">
            <w:pPr>
              <w:jc w:val="center"/>
            </w:pPr>
          </w:p>
        </w:tc>
        <w:tc>
          <w:tcPr>
            <w:tcW w:w="302" w:type="pct"/>
            <w:tcBorders>
              <w:top w:val="single" w:sz="4" w:space="0" w:color="auto"/>
            </w:tcBorders>
          </w:tcPr>
          <w:p w14:paraId="7F7BF4EB" w14:textId="77777777" w:rsidR="0047470E" w:rsidRPr="00B31A23" w:rsidRDefault="0047470E" w:rsidP="00421C16">
            <w:pPr>
              <w:jc w:val="center"/>
            </w:pPr>
          </w:p>
        </w:tc>
        <w:tc>
          <w:tcPr>
            <w:tcW w:w="302" w:type="pct"/>
            <w:tcBorders>
              <w:top w:val="single" w:sz="4" w:space="0" w:color="auto"/>
            </w:tcBorders>
          </w:tcPr>
          <w:p w14:paraId="516FD8BA" w14:textId="77777777" w:rsidR="0047470E" w:rsidRPr="00B31A23" w:rsidRDefault="0047470E" w:rsidP="00421C16">
            <w:pPr>
              <w:jc w:val="center"/>
            </w:pPr>
          </w:p>
        </w:tc>
        <w:tc>
          <w:tcPr>
            <w:tcW w:w="302" w:type="pct"/>
            <w:tcBorders>
              <w:top w:val="single" w:sz="4" w:space="0" w:color="auto"/>
            </w:tcBorders>
          </w:tcPr>
          <w:p w14:paraId="4ADA2D10" w14:textId="77777777" w:rsidR="0047470E" w:rsidRPr="00B31A23" w:rsidRDefault="0047470E" w:rsidP="00421C16">
            <w:pPr>
              <w:jc w:val="center"/>
            </w:pPr>
          </w:p>
        </w:tc>
        <w:tc>
          <w:tcPr>
            <w:tcW w:w="302" w:type="pct"/>
            <w:tcBorders>
              <w:top w:val="single" w:sz="4" w:space="0" w:color="auto"/>
            </w:tcBorders>
          </w:tcPr>
          <w:p w14:paraId="2EFFA252" w14:textId="77777777" w:rsidR="0047470E" w:rsidRPr="00B31A23" w:rsidRDefault="0047470E" w:rsidP="00421C16">
            <w:pPr>
              <w:jc w:val="center"/>
            </w:pPr>
          </w:p>
        </w:tc>
        <w:tc>
          <w:tcPr>
            <w:tcW w:w="301" w:type="pct"/>
            <w:tcBorders>
              <w:top w:val="single" w:sz="4" w:space="0" w:color="auto"/>
            </w:tcBorders>
          </w:tcPr>
          <w:p w14:paraId="2002DFA9" w14:textId="77777777" w:rsidR="0047470E" w:rsidRPr="00B31A23" w:rsidRDefault="0047470E" w:rsidP="00421C16">
            <w:pPr>
              <w:jc w:val="center"/>
            </w:pPr>
          </w:p>
        </w:tc>
      </w:tr>
      <w:tr w:rsidR="0047470E" w:rsidRPr="00B31A23" w14:paraId="695434CC" w14:textId="77777777" w:rsidTr="00274F81">
        <w:trPr>
          <w:trHeight w:val="258"/>
        </w:trPr>
        <w:tc>
          <w:tcPr>
            <w:tcW w:w="1679" w:type="pct"/>
            <w:shd w:val="clear" w:color="auto" w:fill="auto"/>
          </w:tcPr>
          <w:p w14:paraId="3820A28B" w14:textId="77777777" w:rsidR="0047470E" w:rsidRPr="00B31A23" w:rsidRDefault="0047470E" w:rsidP="00421C16">
            <w:pPr>
              <w:pStyle w:val="ListParagraph"/>
              <w:numPr>
                <w:ilvl w:val="0"/>
                <w:numId w:val="11"/>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Age</w:t>
            </w:r>
          </w:p>
        </w:tc>
        <w:tc>
          <w:tcPr>
            <w:tcW w:w="303" w:type="pct"/>
          </w:tcPr>
          <w:p w14:paraId="5708747A" w14:textId="77777777" w:rsidR="0047470E" w:rsidRPr="00B31A23" w:rsidRDefault="0047470E" w:rsidP="00421C16">
            <w:pPr>
              <w:jc w:val="center"/>
            </w:pPr>
            <w:r w:rsidRPr="00B31A23">
              <w:t>-.02</w:t>
            </w:r>
          </w:p>
        </w:tc>
        <w:tc>
          <w:tcPr>
            <w:tcW w:w="302" w:type="pct"/>
          </w:tcPr>
          <w:p w14:paraId="7A695F2F" w14:textId="77777777" w:rsidR="0047470E" w:rsidRPr="00B31A23" w:rsidRDefault="0047470E" w:rsidP="00421C16">
            <w:pPr>
              <w:jc w:val="center"/>
            </w:pPr>
          </w:p>
        </w:tc>
        <w:tc>
          <w:tcPr>
            <w:tcW w:w="305" w:type="pct"/>
          </w:tcPr>
          <w:p w14:paraId="3775795F" w14:textId="77777777" w:rsidR="0047470E" w:rsidRPr="00B31A23" w:rsidRDefault="0047470E" w:rsidP="00421C16">
            <w:pPr>
              <w:jc w:val="center"/>
            </w:pPr>
          </w:p>
        </w:tc>
        <w:tc>
          <w:tcPr>
            <w:tcW w:w="302" w:type="pct"/>
          </w:tcPr>
          <w:p w14:paraId="30BE0F8C" w14:textId="77777777" w:rsidR="0047470E" w:rsidRPr="00B31A23" w:rsidRDefault="0047470E" w:rsidP="00421C16">
            <w:pPr>
              <w:jc w:val="center"/>
            </w:pPr>
          </w:p>
        </w:tc>
        <w:tc>
          <w:tcPr>
            <w:tcW w:w="302" w:type="pct"/>
          </w:tcPr>
          <w:p w14:paraId="06674621" w14:textId="77777777" w:rsidR="0047470E" w:rsidRPr="00B31A23" w:rsidRDefault="0047470E" w:rsidP="00421C16">
            <w:pPr>
              <w:jc w:val="center"/>
            </w:pPr>
          </w:p>
        </w:tc>
        <w:tc>
          <w:tcPr>
            <w:tcW w:w="302" w:type="pct"/>
          </w:tcPr>
          <w:p w14:paraId="42FA126A" w14:textId="77777777" w:rsidR="0047470E" w:rsidRPr="00B31A23" w:rsidRDefault="0047470E" w:rsidP="00421C16">
            <w:pPr>
              <w:jc w:val="center"/>
            </w:pPr>
          </w:p>
        </w:tc>
        <w:tc>
          <w:tcPr>
            <w:tcW w:w="302" w:type="pct"/>
          </w:tcPr>
          <w:p w14:paraId="0EA14FB7" w14:textId="77777777" w:rsidR="0047470E" w:rsidRPr="00B31A23" w:rsidRDefault="0047470E" w:rsidP="00421C16">
            <w:pPr>
              <w:jc w:val="center"/>
            </w:pPr>
          </w:p>
        </w:tc>
        <w:tc>
          <w:tcPr>
            <w:tcW w:w="302" w:type="pct"/>
          </w:tcPr>
          <w:p w14:paraId="5D7BE5D6" w14:textId="77777777" w:rsidR="0047470E" w:rsidRPr="00B31A23" w:rsidRDefault="0047470E" w:rsidP="00421C16">
            <w:pPr>
              <w:jc w:val="center"/>
            </w:pPr>
          </w:p>
        </w:tc>
        <w:tc>
          <w:tcPr>
            <w:tcW w:w="302" w:type="pct"/>
          </w:tcPr>
          <w:p w14:paraId="752D3215" w14:textId="77777777" w:rsidR="0047470E" w:rsidRPr="00B31A23" w:rsidRDefault="0047470E" w:rsidP="00421C16">
            <w:pPr>
              <w:jc w:val="center"/>
            </w:pPr>
          </w:p>
        </w:tc>
        <w:tc>
          <w:tcPr>
            <w:tcW w:w="302" w:type="pct"/>
          </w:tcPr>
          <w:p w14:paraId="61E74CAF" w14:textId="77777777" w:rsidR="0047470E" w:rsidRPr="00B31A23" w:rsidRDefault="0047470E" w:rsidP="00421C16">
            <w:pPr>
              <w:jc w:val="center"/>
            </w:pPr>
          </w:p>
        </w:tc>
        <w:tc>
          <w:tcPr>
            <w:tcW w:w="301" w:type="pct"/>
          </w:tcPr>
          <w:p w14:paraId="0175B590" w14:textId="77777777" w:rsidR="0047470E" w:rsidRPr="00B31A23" w:rsidRDefault="0047470E" w:rsidP="00421C16">
            <w:pPr>
              <w:jc w:val="center"/>
            </w:pPr>
          </w:p>
        </w:tc>
      </w:tr>
      <w:tr w:rsidR="0047470E" w:rsidRPr="00B31A23" w14:paraId="2BDFA4BA" w14:textId="77777777" w:rsidTr="00274F81">
        <w:trPr>
          <w:trHeight w:val="258"/>
        </w:trPr>
        <w:tc>
          <w:tcPr>
            <w:tcW w:w="1679" w:type="pct"/>
            <w:shd w:val="clear" w:color="auto" w:fill="auto"/>
          </w:tcPr>
          <w:p w14:paraId="5E7A62A4" w14:textId="3C50C6E5" w:rsidR="0047470E" w:rsidRPr="00B31A23" w:rsidRDefault="002539D1" w:rsidP="00421C16">
            <w:pPr>
              <w:pStyle w:val="ListParagraph"/>
              <w:numPr>
                <w:ilvl w:val="0"/>
                <w:numId w:val="11"/>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Hours spen</w:t>
            </w:r>
            <w:r w:rsidR="00C56739" w:rsidRPr="00B31A23">
              <w:rPr>
                <w:rFonts w:ascii="Times New Roman" w:eastAsia="Times New Roman" w:hAnsi="Times New Roman" w:cs="Times New Roman"/>
              </w:rPr>
              <w:t>t</w:t>
            </w:r>
            <w:r w:rsidRPr="00B31A23">
              <w:rPr>
                <w:rFonts w:ascii="Times New Roman" w:eastAsia="Times New Roman" w:hAnsi="Times New Roman" w:cs="Times New Roman"/>
              </w:rPr>
              <w:t xml:space="preserve"> online per day</w:t>
            </w:r>
          </w:p>
          <w:p w14:paraId="18271EB9" w14:textId="77777777" w:rsidR="0047470E" w:rsidRPr="00B31A23" w:rsidRDefault="0047470E" w:rsidP="00421C16">
            <w:pPr>
              <w:pStyle w:val="ListParagraph"/>
              <w:numPr>
                <w:ilvl w:val="0"/>
                <w:numId w:val="11"/>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HAI</w:t>
            </w:r>
          </w:p>
        </w:tc>
        <w:tc>
          <w:tcPr>
            <w:tcW w:w="303" w:type="pct"/>
          </w:tcPr>
          <w:p w14:paraId="2FD25D53" w14:textId="77777777" w:rsidR="0047470E" w:rsidRPr="00B31A23" w:rsidRDefault="0047470E" w:rsidP="00421C16">
            <w:pPr>
              <w:jc w:val="center"/>
            </w:pPr>
            <w:r w:rsidRPr="00B31A23">
              <w:t>-.16</w:t>
            </w:r>
          </w:p>
          <w:p w14:paraId="345302E2" w14:textId="77777777" w:rsidR="0047470E" w:rsidRPr="00B31A23" w:rsidRDefault="0047470E" w:rsidP="00421C16">
            <w:pPr>
              <w:jc w:val="center"/>
            </w:pPr>
            <w:r w:rsidRPr="00B31A23">
              <w:t>.04</w:t>
            </w:r>
          </w:p>
        </w:tc>
        <w:tc>
          <w:tcPr>
            <w:tcW w:w="302" w:type="pct"/>
          </w:tcPr>
          <w:p w14:paraId="6FA267BF" w14:textId="77777777" w:rsidR="0047470E" w:rsidRPr="00B31A23" w:rsidRDefault="0047470E" w:rsidP="00421C16">
            <w:pPr>
              <w:jc w:val="center"/>
            </w:pPr>
            <w:r w:rsidRPr="00B31A23">
              <w:t>-.51**</w:t>
            </w:r>
          </w:p>
          <w:p w14:paraId="44730DD0" w14:textId="77777777" w:rsidR="0047470E" w:rsidRPr="00B31A23" w:rsidRDefault="0047470E" w:rsidP="00421C16">
            <w:pPr>
              <w:jc w:val="center"/>
            </w:pPr>
            <w:r w:rsidRPr="00B31A23">
              <w:t>-.02</w:t>
            </w:r>
          </w:p>
        </w:tc>
        <w:tc>
          <w:tcPr>
            <w:tcW w:w="305" w:type="pct"/>
          </w:tcPr>
          <w:p w14:paraId="0CE5AF1F" w14:textId="77777777" w:rsidR="0047470E" w:rsidRPr="00B31A23" w:rsidRDefault="0047470E" w:rsidP="00421C16">
            <w:pPr>
              <w:jc w:val="center"/>
            </w:pPr>
          </w:p>
          <w:p w14:paraId="627BE178" w14:textId="77777777" w:rsidR="0047470E" w:rsidRPr="00B31A23" w:rsidRDefault="0047470E" w:rsidP="00421C16">
            <w:pPr>
              <w:jc w:val="center"/>
            </w:pPr>
            <w:r w:rsidRPr="00B31A23">
              <w:t>.14</w:t>
            </w:r>
          </w:p>
        </w:tc>
        <w:tc>
          <w:tcPr>
            <w:tcW w:w="302" w:type="pct"/>
          </w:tcPr>
          <w:p w14:paraId="4585B50D" w14:textId="77777777" w:rsidR="0047470E" w:rsidRPr="00B31A23" w:rsidRDefault="0047470E" w:rsidP="00421C16">
            <w:pPr>
              <w:jc w:val="center"/>
            </w:pPr>
          </w:p>
        </w:tc>
        <w:tc>
          <w:tcPr>
            <w:tcW w:w="302" w:type="pct"/>
          </w:tcPr>
          <w:p w14:paraId="357F8240" w14:textId="77777777" w:rsidR="0047470E" w:rsidRPr="00B31A23" w:rsidRDefault="0047470E" w:rsidP="00421C16">
            <w:pPr>
              <w:jc w:val="center"/>
            </w:pPr>
          </w:p>
        </w:tc>
        <w:tc>
          <w:tcPr>
            <w:tcW w:w="302" w:type="pct"/>
          </w:tcPr>
          <w:p w14:paraId="77B49282" w14:textId="77777777" w:rsidR="0047470E" w:rsidRPr="00B31A23" w:rsidRDefault="0047470E" w:rsidP="00421C16">
            <w:pPr>
              <w:jc w:val="center"/>
            </w:pPr>
          </w:p>
        </w:tc>
        <w:tc>
          <w:tcPr>
            <w:tcW w:w="302" w:type="pct"/>
          </w:tcPr>
          <w:p w14:paraId="65658D72" w14:textId="77777777" w:rsidR="0047470E" w:rsidRPr="00B31A23" w:rsidRDefault="0047470E" w:rsidP="00421C16">
            <w:pPr>
              <w:jc w:val="center"/>
            </w:pPr>
          </w:p>
        </w:tc>
        <w:tc>
          <w:tcPr>
            <w:tcW w:w="302" w:type="pct"/>
          </w:tcPr>
          <w:p w14:paraId="03F030F3" w14:textId="77777777" w:rsidR="0047470E" w:rsidRPr="00B31A23" w:rsidRDefault="0047470E" w:rsidP="00421C16">
            <w:pPr>
              <w:jc w:val="center"/>
            </w:pPr>
          </w:p>
        </w:tc>
        <w:tc>
          <w:tcPr>
            <w:tcW w:w="302" w:type="pct"/>
          </w:tcPr>
          <w:p w14:paraId="30928849" w14:textId="77777777" w:rsidR="0047470E" w:rsidRPr="00B31A23" w:rsidRDefault="0047470E" w:rsidP="00421C16">
            <w:pPr>
              <w:jc w:val="center"/>
            </w:pPr>
          </w:p>
        </w:tc>
        <w:tc>
          <w:tcPr>
            <w:tcW w:w="302" w:type="pct"/>
          </w:tcPr>
          <w:p w14:paraId="0083203B" w14:textId="77777777" w:rsidR="0047470E" w:rsidRPr="00B31A23" w:rsidRDefault="0047470E" w:rsidP="00421C16">
            <w:pPr>
              <w:jc w:val="center"/>
            </w:pPr>
          </w:p>
        </w:tc>
        <w:tc>
          <w:tcPr>
            <w:tcW w:w="301" w:type="pct"/>
          </w:tcPr>
          <w:p w14:paraId="41782464" w14:textId="77777777" w:rsidR="0047470E" w:rsidRPr="00B31A23" w:rsidRDefault="0047470E" w:rsidP="00421C16">
            <w:pPr>
              <w:jc w:val="center"/>
            </w:pPr>
          </w:p>
        </w:tc>
      </w:tr>
      <w:tr w:rsidR="0047470E" w:rsidRPr="00B31A23" w14:paraId="238B7022" w14:textId="77777777" w:rsidTr="00274F81">
        <w:trPr>
          <w:trHeight w:val="55"/>
        </w:trPr>
        <w:tc>
          <w:tcPr>
            <w:tcW w:w="1679" w:type="pct"/>
            <w:shd w:val="clear" w:color="auto" w:fill="auto"/>
          </w:tcPr>
          <w:p w14:paraId="3DBF2E17" w14:textId="192B06FB" w:rsidR="0047470E" w:rsidRPr="00B31A23" w:rsidRDefault="0047470E" w:rsidP="00421C16">
            <w:pPr>
              <w:pStyle w:val="ListParagraph"/>
              <w:numPr>
                <w:ilvl w:val="0"/>
                <w:numId w:val="11"/>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HCQ Factor</w:t>
            </w:r>
            <w:r w:rsidR="00942FA3" w:rsidRPr="00B31A23">
              <w:rPr>
                <w:rFonts w:ascii="Times New Roman" w:eastAsia="Times New Roman" w:hAnsi="Times New Roman" w:cs="Times New Roman"/>
              </w:rPr>
              <w:t xml:space="preserve"> </w:t>
            </w:r>
            <w:r w:rsidRPr="00B31A23">
              <w:rPr>
                <w:rFonts w:ascii="Times New Roman" w:eastAsia="Times New Roman" w:hAnsi="Times New Roman" w:cs="Times New Roman"/>
              </w:rPr>
              <w:t>1</w:t>
            </w:r>
          </w:p>
        </w:tc>
        <w:tc>
          <w:tcPr>
            <w:tcW w:w="303" w:type="pct"/>
          </w:tcPr>
          <w:p w14:paraId="6A57FCDF" w14:textId="77777777" w:rsidR="0047470E" w:rsidRPr="00B31A23" w:rsidRDefault="0047470E" w:rsidP="00421C16">
            <w:pPr>
              <w:jc w:val="center"/>
            </w:pPr>
            <w:r w:rsidRPr="00B31A23">
              <w:t>.15</w:t>
            </w:r>
          </w:p>
        </w:tc>
        <w:tc>
          <w:tcPr>
            <w:tcW w:w="302" w:type="pct"/>
          </w:tcPr>
          <w:p w14:paraId="4C8CF305" w14:textId="77777777" w:rsidR="0047470E" w:rsidRPr="00B31A23" w:rsidRDefault="0047470E" w:rsidP="00421C16">
            <w:pPr>
              <w:jc w:val="center"/>
            </w:pPr>
            <w:r w:rsidRPr="00B31A23">
              <w:t>.13</w:t>
            </w:r>
          </w:p>
        </w:tc>
        <w:tc>
          <w:tcPr>
            <w:tcW w:w="305" w:type="pct"/>
          </w:tcPr>
          <w:p w14:paraId="5653D1E5" w14:textId="77777777" w:rsidR="0047470E" w:rsidRPr="00B31A23" w:rsidRDefault="0047470E" w:rsidP="00421C16">
            <w:pPr>
              <w:jc w:val="center"/>
            </w:pPr>
            <w:r w:rsidRPr="00B31A23">
              <w:t>-.22*</w:t>
            </w:r>
          </w:p>
        </w:tc>
        <w:tc>
          <w:tcPr>
            <w:tcW w:w="302" w:type="pct"/>
          </w:tcPr>
          <w:p w14:paraId="68A8182E" w14:textId="77777777" w:rsidR="0047470E" w:rsidRPr="00B31A23" w:rsidRDefault="0047470E" w:rsidP="00421C16">
            <w:pPr>
              <w:jc w:val="center"/>
            </w:pPr>
            <w:r w:rsidRPr="00B31A23">
              <w:t>-.22*</w:t>
            </w:r>
          </w:p>
        </w:tc>
        <w:tc>
          <w:tcPr>
            <w:tcW w:w="302" w:type="pct"/>
          </w:tcPr>
          <w:p w14:paraId="13B47C53" w14:textId="77777777" w:rsidR="0047470E" w:rsidRPr="00B31A23" w:rsidRDefault="0047470E" w:rsidP="00421C16">
            <w:pPr>
              <w:jc w:val="center"/>
            </w:pPr>
          </w:p>
        </w:tc>
        <w:tc>
          <w:tcPr>
            <w:tcW w:w="302" w:type="pct"/>
          </w:tcPr>
          <w:p w14:paraId="0E1226F1" w14:textId="77777777" w:rsidR="0047470E" w:rsidRPr="00B31A23" w:rsidRDefault="0047470E" w:rsidP="00421C16">
            <w:pPr>
              <w:jc w:val="center"/>
            </w:pPr>
          </w:p>
        </w:tc>
        <w:tc>
          <w:tcPr>
            <w:tcW w:w="302" w:type="pct"/>
          </w:tcPr>
          <w:p w14:paraId="696C9429" w14:textId="77777777" w:rsidR="0047470E" w:rsidRPr="00B31A23" w:rsidRDefault="0047470E" w:rsidP="00421C16">
            <w:pPr>
              <w:jc w:val="center"/>
            </w:pPr>
          </w:p>
        </w:tc>
        <w:tc>
          <w:tcPr>
            <w:tcW w:w="302" w:type="pct"/>
          </w:tcPr>
          <w:p w14:paraId="057CD3F9" w14:textId="77777777" w:rsidR="0047470E" w:rsidRPr="00B31A23" w:rsidRDefault="0047470E" w:rsidP="00421C16">
            <w:pPr>
              <w:jc w:val="center"/>
            </w:pPr>
          </w:p>
        </w:tc>
        <w:tc>
          <w:tcPr>
            <w:tcW w:w="302" w:type="pct"/>
          </w:tcPr>
          <w:p w14:paraId="20DC9A3A" w14:textId="77777777" w:rsidR="0047470E" w:rsidRPr="00B31A23" w:rsidRDefault="0047470E" w:rsidP="00421C16">
            <w:pPr>
              <w:jc w:val="center"/>
            </w:pPr>
          </w:p>
        </w:tc>
        <w:tc>
          <w:tcPr>
            <w:tcW w:w="302" w:type="pct"/>
          </w:tcPr>
          <w:p w14:paraId="4A156156" w14:textId="77777777" w:rsidR="0047470E" w:rsidRPr="00B31A23" w:rsidRDefault="0047470E" w:rsidP="00421C16">
            <w:pPr>
              <w:jc w:val="center"/>
            </w:pPr>
          </w:p>
        </w:tc>
        <w:tc>
          <w:tcPr>
            <w:tcW w:w="301" w:type="pct"/>
          </w:tcPr>
          <w:p w14:paraId="3143F7E9" w14:textId="77777777" w:rsidR="0047470E" w:rsidRPr="00B31A23" w:rsidRDefault="0047470E" w:rsidP="00421C16">
            <w:pPr>
              <w:jc w:val="center"/>
            </w:pPr>
          </w:p>
        </w:tc>
      </w:tr>
      <w:tr w:rsidR="0047470E" w:rsidRPr="00B31A23" w14:paraId="3F1B19DC" w14:textId="77777777" w:rsidTr="00274F81">
        <w:trPr>
          <w:trHeight w:val="55"/>
        </w:trPr>
        <w:tc>
          <w:tcPr>
            <w:tcW w:w="1679" w:type="pct"/>
            <w:shd w:val="clear" w:color="auto" w:fill="auto"/>
          </w:tcPr>
          <w:p w14:paraId="37598724" w14:textId="22B79733" w:rsidR="0047470E" w:rsidRPr="00B31A23" w:rsidRDefault="0047470E" w:rsidP="00421C16">
            <w:pPr>
              <w:pStyle w:val="ListParagraph"/>
              <w:numPr>
                <w:ilvl w:val="0"/>
                <w:numId w:val="11"/>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HCQ Factor</w:t>
            </w:r>
            <w:r w:rsidR="00942FA3" w:rsidRPr="00B31A23">
              <w:rPr>
                <w:rFonts w:ascii="Times New Roman" w:eastAsia="Times New Roman" w:hAnsi="Times New Roman" w:cs="Times New Roman"/>
              </w:rPr>
              <w:t xml:space="preserve"> </w:t>
            </w:r>
            <w:r w:rsidRPr="00B31A23">
              <w:rPr>
                <w:rFonts w:ascii="Times New Roman" w:eastAsia="Times New Roman" w:hAnsi="Times New Roman" w:cs="Times New Roman"/>
              </w:rPr>
              <w:t>2</w:t>
            </w:r>
          </w:p>
        </w:tc>
        <w:tc>
          <w:tcPr>
            <w:tcW w:w="303" w:type="pct"/>
          </w:tcPr>
          <w:p w14:paraId="00A2522A" w14:textId="77777777" w:rsidR="0047470E" w:rsidRPr="00B31A23" w:rsidRDefault="0047470E" w:rsidP="00421C16">
            <w:pPr>
              <w:jc w:val="center"/>
            </w:pPr>
            <w:r w:rsidRPr="00B31A23">
              <w:t>.13</w:t>
            </w:r>
          </w:p>
        </w:tc>
        <w:tc>
          <w:tcPr>
            <w:tcW w:w="302" w:type="pct"/>
          </w:tcPr>
          <w:p w14:paraId="6E36BFD1" w14:textId="77777777" w:rsidR="0047470E" w:rsidRPr="00B31A23" w:rsidRDefault="0047470E" w:rsidP="00421C16">
            <w:pPr>
              <w:jc w:val="center"/>
            </w:pPr>
            <w:r w:rsidRPr="00B31A23">
              <w:t>.11</w:t>
            </w:r>
          </w:p>
        </w:tc>
        <w:tc>
          <w:tcPr>
            <w:tcW w:w="305" w:type="pct"/>
          </w:tcPr>
          <w:p w14:paraId="4569955C" w14:textId="77777777" w:rsidR="0047470E" w:rsidRPr="00B31A23" w:rsidRDefault="0047470E" w:rsidP="00421C16">
            <w:pPr>
              <w:jc w:val="center"/>
            </w:pPr>
            <w:r w:rsidRPr="00B31A23">
              <w:t>-.02</w:t>
            </w:r>
          </w:p>
        </w:tc>
        <w:tc>
          <w:tcPr>
            <w:tcW w:w="302" w:type="pct"/>
          </w:tcPr>
          <w:p w14:paraId="7E93C71B" w14:textId="77777777" w:rsidR="0047470E" w:rsidRPr="00B31A23" w:rsidRDefault="0047470E" w:rsidP="00421C16">
            <w:pPr>
              <w:jc w:val="center"/>
            </w:pPr>
            <w:r w:rsidRPr="00B31A23">
              <w:t>-.03</w:t>
            </w:r>
          </w:p>
        </w:tc>
        <w:tc>
          <w:tcPr>
            <w:tcW w:w="302" w:type="pct"/>
          </w:tcPr>
          <w:p w14:paraId="064A4B1A" w14:textId="77777777" w:rsidR="0047470E" w:rsidRPr="00B31A23" w:rsidRDefault="0047470E" w:rsidP="00421C16">
            <w:pPr>
              <w:jc w:val="center"/>
            </w:pPr>
            <w:r w:rsidRPr="00B31A23">
              <w:t>.32**</w:t>
            </w:r>
          </w:p>
        </w:tc>
        <w:tc>
          <w:tcPr>
            <w:tcW w:w="302" w:type="pct"/>
          </w:tcPr>
          <w:p w14:paraId="6B2FD452" w14:textId="77777777" w:rsidR="0047470E" w:rsidRPr="00B31A23" w:rsidRDefault="0047470E" w:rsidP="00421C16">
            <w:pPr>
              <w:jc w:val="center"/>
            </w:pPr>
          </w:p>
        </w:tc>
        <w:tc>
          <w:tcPr>
            <w:tcW w:w="302" w:type="pct"/>
          </w:tcPr>
          <w:p w14:paraId="24F1509E" w14:textId="77777777" w:rsidR="0047470E" w:rsidRPr="00B31A23" w:rsidRDefault="0047470E" w:rsidP="00421C16">
            <w:pPr>
              <w:jc w:val="center"/>
            </w:pPr>
          </w:p>
        </w:tc>
        <w:tc>
          <w:tcPr>
            <w:tcW w:w="302" w:type="pct"/>
          </w:tcPr>
          <w:p w14:paraId="58AE7691" w14:textId="77777777" w:rsidR="0047470E" w:rsidRPr="00B31A23" w:rsidRDefault="0047470E" w:rsidP="00421C16">
            <w:pPr>
              <w:jc w:val="center"/>
            </w:pPr>
          </w:p>
        </w:tc>
        <w:tc>
          <w:tcPr>
            <w:tcW w:w="302" w:type="pct"/>
          </w:tcPr>
          <w:p w14:paraId="38078938" w14:textId="77777777" w:rsidR="0047470E" w:rsidRPr="00B31A23" w:rsidRDefault="0047470E" w:rsidP="00421C16">
            <w:pPr>
              <w:jc w:val="center"/>
            </w:pPr>
          </w:p>
        </w:tc>
        <w:tc>
          <w:tcPr>
            <w:tcW w:w="302" w:type="pct"/>
          </w:tcPr>
          <w:p w14:paraId="1427FC71" w14:textId="77777777" w:rsidR="0047470E" w:rsidRPr="00B31A23" w:rsidRDefault="0047470E" w:rsidP="00421C16">
            <w:pPr>
              <w:jc w:val="center"/>
            </w:pPr>
          </w:p>
        </w:tc>
        <w:tc>
          <w:tcPr>
            <w:tcW w:w="301" w:type="pct"/>
          </w:tcPr>
          <w:p w14:paraId="5D0C3F62" w14:textId="77777777" w:rsidR="0047470E" w:rsidRPr="00B31A23" w:rsidRDefault="0047470E" w:rsidP="00421C16">
            <w:pPr>
              <w:jc w:val="center"/>
            </w:pPr>
          </w:p>
        </w:tc>
      </w:tr>
      <w:tr w:rsidR="0047470E" w:rsidRPr="00B31A23" w14:paraId="1F16328D" w14:textId="77777777" w:rsidTr="00274F81">
        <w:trPr>
          <w:trHeight w:val="55"/>
        </w:trPr>
        <w:tc>
          <w:tcPr>
            <w:tcW w:w="1679" w:type="pct"/>
            <w:shd w:val="clear" w:color="auto" w:fill="auto"/>
          </w:tcPr>
          <w:p w14:paraId="0DBBE5F1" w14:textId="783050B6" w:rsidR="0047470E" w:rsidRPr="00B31A23" w:rsidRDefault="0047470E" w:rsidP="00421C16">
            <w:pPr>
              <w:pStyle w:val="ListParagraph"/>
              <w:numPr>
                <w:ilvl w:val="0"/>
                <w:numId w:val="11"/>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HCQ Factor</w:t>
            </w:r>
            <w:r w:rsidR="00942FA3" w:rsidRPr="00B31A23">
              <w:rPr>
                <w:rFonts w:ascii="Times New Roman" w:eastAsia="Times New Roman" w:hAnsi="Times New Roman" w:cs="Times New Roman"/>
              </w:rPr>
              <w:t xml:space="preserve"> </w:t>
            </w:r>
            <w:r w:rsidRPr="00B31A23">
              <w:rPr>
                <w:rFonts w:ascii="Times New Roman" w:eastAsia="Times New Roman" w:hAnsi="Times New Roman" w:cs="Times New Roman"/>
              </w:rPr>
              <w:t>3</w:t>
            </w:r>
          </w:p>
        </w:tc>
        <w:tc>
          <w:tcPr>
            <w:tcW w:w="303" w:type="pct"/>
          </w:tcPr>
          <w:p w14:paraId="7C70F9EE" w14:textId="77777777" w:rsidR="0047470E" w:rsidRPr="00B31A23" w:rsidRDefault="0047470E" w:rsidP="00421C16">
            <w:pPr>
              <w:jc w:val="center"/>
            </w:pPr>
            <w:r w:rsidRPr="00B31A23">
              <w:t>-.03</w:t>
            </w:r>
          </w:p>
        </w:tc>
        <w:tc>
          <w:tcPr>
            <w:tcW w:w="302" w:type="pct"/>
          </w:tcPr>
          <w:p w14:paraId="1531262F" w14:textId="77777777" w:rsidR="0047470E" w:rsidRPr="00B31A23" w:rsidRDefault="0047470E" w:rsidP="00421C16">
            <w:pPr>
              <w:jc w:val="center"/>
            </w:pPr>
            <w:r w:rsidRPr="00B31A23">
              <w:t>.01</w:t>
            </w:r>
          </w:p>
        </w:tc>
        <w:tc>
          <w:tcPr>
            <w:tcW w:w="305" w:type="pct"/>
          </w:tcPr>
          <w:p w14:paraId="1992A355" w14:textId="77777777" w:rsidR="0047470E" w:rsidRPr="00B31A23" w:rsidRDefault="0047470E" w:rsidP="00421C16">
            <w:pPr>
              <w:jc w:val="center"/>
            </w:pPr>
            <w:r w:rsidRPr="00B31A23">
              <w:t>.09</w:t>
            </w:r>
          </w:p>
        </w:tc>
        <w:tc>
          <w:tcPr>
            <w:tcW w:w="302" w:type="pct"/>
          </w:tcPr>
          <w:p w14:paraId="2990A795" w14:textId="77777777" w:rsidR="0047470E" w:rsidRPr="00B31A23" w:rsidRDefault="0047470E" w:rsidP="00421C16">
            <w:pPr>
              <w:jc w:val="center"/>
            </w:pPr>
            <w:r w:rsidRPr="00B31A23">
              <w:t>.49**</w:t>
            </w:r>
          </w:p>
        </w:tc>
        <w:tc>
          <w:tcPr>
            <w:tcW w:w="302" w:type="pct"/>
          </w:tcPr>
          <w:p w14:paraId="2D79BF58" w14:textId="77777777" w:rsidR="0047470E" w:rsidRPr="00B31A23" w:rsidRDefault="0047470E" w:rsidP="00421C16">
            <w:pPr>
              <w:jc w:val="center"/>
            </w:pPr>
            <w:r w:rsidRPr="00B31A23">
              <w:t>.10</w:t>
            </w:r>
          </w:p>
        </w:tc>
        <w:tc>
          <w:tcPr>
            <w:tcW w:w="302" w:type="pct"/>
          </w:tcPr>
          <w:p w14:paraId="32AE5FFF" w14:textId="77777777" w:rsidR="0047470E" w:rsidRPr="00B31A23" w:rsidRDefault="0047470E" w:rsidP="00421C16">
            <w:pPr>
              <w:jc w:val="center"/>
            </w:pPr>
            <w:r w:rsidRPr="00B31A23">
              <w:t>.12</w:t>
            </w:r>
          </w:p>
        </w:tc>
        <w:tc>
          <w:tcPr>
            <w:tcW w:w="302" w:type="pct"/>
          </w:tcPr>
          <w:p w14:paraId="66A588FC" w14:textId="77777777" w:rsidR="0047470E" w:rsidRPr="00B31A23" w:rsidRDefault="0047470E" w:rsidP="00421C16">
            <w:pPr>
              <w:jc w:val="center"/>
            </w:pPr>
          </w:p>
        </w:tc>
        <w:tc>
          <w:tcPr>
            <w:tcW w:w="302" w:type="pct"/>
          </w:tcPr>
          <w:p w14:paraId="77851318" w14:textId="77777777" w:rsidR="0047470E" w:rsidRPr="00B31A23" w:rsidRDefault="0047470E" w:rsidP="00421C16">
            <w:pPr>
              <w:jc w:val="center"/>
            </w:pPr>
          </w:p>
        </w:tc>
        <w:tc>
          <w:tcPr>
            <w:tcW w:w="302" w:type="pct"/>
          </w:tcPr>
          <w:p w14:paraId="473A80F8" w14:textId="77777777" w:rsidR="0047470E" w:rsidRPr="00B31A23" w:rsidRDefault="0047470E" w:rsidP="00421C16">
            <w:pPr>
              <w:jc w:val="center"/>
            </w:pPr>
          </w:p>
        </w:tc>
        <w:tc>
          <w:tcPr>
            <w:tcW w:w="302" w:type="pct"/>
          </w:tcPr>
          <w:p w14:paraId="2A7290AC" w14:textId="77777777" w:rsidR="0047470E" w:rsidRPr="00B31A23" w:rsidRDefault="0047470E" w:rsidP="00421C16">
            <w:pPr>
              <w:jc w:val="center"/>
            </w:pPr>
          </w:p>
        </w:tc>
        <w:tc>
          <w:tcPr>
            <w:tcW w:w="301" w:type="pct"/>
          </w:tcPr>
          <w:p w14:paraId="0824E384" w14:textId="77777777" w:rsidR="0047470E" w:rsidRPr="00B31A23" w:rsidRDefault="0047470E" w:rsidP="00421C16">
            <w:pPr>
              <w:jc w:val="center"/>
            </w:pPr>
          </w:p>
        </w:tc>
      </w:tr>
      <w:tr w:rsidR="0047470E" w:rsidRPr="00B31A23" w14:paraId="5128EDD6" w14:textId="77777777" w:rsidTr="00274F81">
        <w:trPr>
          <w:trHeight w:val="307"/>
        </w:trPr>
        <w:tc>
          <w:tcPr>
            <w:tcW w:w="1679" w:type="pct"/>
            <w:shd w:val="clear" w:color="auto" w:fill="auto"/>
          </w:tcPr>
          <w:p w14:paraId="319E0B5D" w14:textId="70953BC1" w:rsidR="0047470E" w:rsidRPr="00B31A23" w:rsidRDefault="0047470E" w:rsidP="00421C16">
            <w:pPr>
              <w:pStyle w:val="ListParagraph"/>
              <w:numPr>
                <w:ilvl w:val="0"/>
                <w:numId w:val="11"/>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HCQ Factor</w:t>
            </w:r>
            <w:r w:rsidR="00942FA3" w:rsidRPr="00B31A23">
              <w:rPr>
                <w:rFonts w:ascii="Times New Roman" w:eastAsia="Times New Roman" w:hAnsi="Times New Roman" w:cs="Times New Roman"/>
              </w:rPr>
              <w:t xml:space="preserve"> </w:t>
            </w:r>
            <w:r w:rsidRPr="00B31A23">
              <w:rPr>
                <w:rFonts w:ascii="Times New Roman" w:eastAsia="Times New Roman" w:hAnsi="Times New Roman" w:cs="Times New Roman"/>
              </w:rPr>
              <w:t>4</w:t>
            </w:r>
          </w:p>
        </w:tc>
        <w:tc>
          <w:tcPr>
            <w:tcW w:w="303" w:type="pct"/>
          </w:tcPr>
          <w:p w14:paraId="1726B4D9" w14:textId="77777777" w:rsidR="0047470E" w:rsidRPr="00B31A23" w:rsidRDefault="0047470E" w:rsidP="00421C16">
            <w:pPr>
              <w:jc w:val="center"/>
            </w:pPr>
            <w:r w:rsidRPr="00B31A23">
              <w:t>.18</w:t>
            </w:r>
          </w:p>
        </w:tc>
        <w:tc>
          <w:tcPr>
            <w:tcW w:w="302" w:type="pct"/>
          </w:tcPr>
          <w:p w14:paraId="42F495F0" w14:textId="77777777" w:rsidR="0047470E" w:rsidRPr="00B31A23" w:rsidRDefault="0047470E" w:rsidP="00421C16">
            <w:pPr>
              <w:jc w:val="center"/>
            </w:pPr>
            <w:r w:rsidRPr="00B31A23">
              <w:t>-.23*</w:t>
            </w:r>
          </w:p>
        </w:tc>
        <w:tc>
          <w:tcPr>
            <w:tcW w:w="305" w:type="pct"/>
          </w:tcPr>
          <w:p w14:paraId="3C28FF5D" w14:textId="77777777" w:rsidR="0047470E" w:rsidRPr="00B31A23" w:rsidRDefault="0047470E" w:rsidP="00421C16">
            <w:pPr>
              <w:jc w:val="center"/>
            </w:pPr>
            <w:r w:rsidRPr="00B31A23">
              <w:t>.22*</w:t>
            </w:r>
          </w:p>
        </w:tc>
        <w:tc>
          <w:tcPr>
            <w:tcW w:w="302" w:type="pct"/>
          </w:tcPr>
          <w:p w14:paraId="0BD97133" w14:textId="77777777" w:rsidR="0047470E" w:rsidRPr="00B31A23" w:rsidRDefault="0047470E" w:rsidP="00421C16">
            <w:pPr>
              <w:jc w:val="center"/>
            </w:pPr>
            <w:r w:rsidRPr="00B31A23">
              <w:t>.33**</w:t>
            </w:r>
          </w:p>
        </w:tc>
        <w:tc>
          <w:tcPr>
            <w:tcW w:w="302" w:type="pct"/>
          </w:tcPr>
          <w:p w14:paraId="2FD85FE9" w14:textId="77777777" w:rsidR="0047470E" w:rsidRPr="00B31A23" w:rsidRDefault="0047470E" w:rsidP="00421C16">
            <w:pPr>
              <w:jc w:val="center"/>
            </w:pPr>
            <w:r w:rsidRPr="00B31A23">
              <w:t>.20*</w:t>
            </w:r>
          </w:p>
        </w:tc>
        <w:tc>
          <w:tcPr>
            <w:tcW w:w="302" w:type="pct"/>
          </w:tcPr>
          <w:p w14:paraId="1AE431D5" w14:textId="77777777" w:rsidR="0047470E" w:rsidRPr="00B31A23" w:rsidRDefault="0047470E" w:rsidP="00421C16">
            <w:pPr>
              <w:jc w:val="center"/>
            </w:pPr>
            <w:r w:rsidRPr="00B31A23">
              <w:t>.23**</w:t>
            </w:r>
          </w:p>
        </w:tc>
        <w:tc>
          <w:tcPr>
            <w:tcW w:w="302" w:type="pct"/>
          </w:tcPr>
          <w:p w14:paraId="3F587718" w14:textId="77777777" w:rsidR="0047470E" w:rsidRPr="00B31A23" w:rsidRDefault="0047470E" w:rsidP="00421C16">
            <w:pPr>
              <w:jc w:val="center"/>
            </w:pPr>
            <w:r w:rsidRPr="00B31A23">
              <w:t>.35**</w:t>
            </w:r>
          </w:p>
        </w:tc>
        <w:tc>
          <w:tcPr>
            <w:tcW w:w="302" w:type="pct"/>
          </w:tcPr>
          <w:p w14:paraId="3FDDAED5" w14:textId="77777777" w:rsidR="0047470E" w:rsidRPr="00B31A23" w:rsidRDefault="0047470E" w:rsidP="00421C16">
            <w:pPr>
              <w:jc w:val="center"/>
            </w:pPr>
          </w:p>
        </w:tc>
        <w:tc>
          <w:tcPr>
            <w:tcW w:w="302" w:type="pct"/>
          </w:tcPr>
          <w:p w14:paraId="3688F66C" w14:textId="77777777" w:rsidR="0047470E" w:rsidRPr="00B31A23" w:rsidRDefault="0047470E" w:rsidP="00421C16">
            <w:pPr>
              <w:jc w:val="center"/>
            </w:pPr>
          </w:p>
        </w:tc>
        <w:tc>
          <w:tcPr>
            <w:tcW w:w="302" w:type="pct"/>
          </w:tcPr>
          <w:p w14:paraId="3F626D4B" w14:textId="77777777" w:rsidR="0047470E" w:rsidRPr="00B31A23" w:rsidRDefault="0047470E" w:rsidP="00421C16">
            <w:pPr>
              <w:jc w:val="center"/>
            </w:pPr>
          </w:p>
        </w:tc>
        <w:tc>
          <w:tcPr>
            <w:tcW w:w="301" w:type="pct"/>
          </w:tcPr>
          <w:p w14:paraId="3E07AAD7" w14:textId="77777777" w:rsidR="0047470E" w:rsidRPr="00B31A23" w:rsidRDefault="0047470E" w:rsidP="00421C16">
            <w:pPr>
              <w:jc w:val="center"/>
            </w:pPr>
          </w:p>
        </w:tc>
      </w:tr>
      <w:tr w:rsidR="0047470E" w:rsidRPr="00B31A23" w14:paraId="61F9A89B" w14:textId="77777777" w:rsidTr="00274F81">
        <w:trPr>
          <w:trHeight w:val="80"/>
        </w:trPr>
        <w:tc>
          <w:tcPr>
            <w:tcW w:w="1679" w:type="pct"/>
            <w:shd w:val="clear" w:color="auto" w:fill="auto"/>
          </w:tcPr>
          <w:p w14:paraId="2A3906D5" w14:textId="2822576C" w:rsidR="0047470E" w:rsidRPr="00B31A23" w:rsidRDefault="0047470E" w:rsidP="00421C16">
            <w:pPr>
              <w:pStyle w:val="ListParagraph"/>
              <w:numPr>
                <w:ilvl w:val="0"/>
                <w:numId w:val="11"/>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MCQ-HA Factor</w:t>
            </w:r>
            <w:r w:rsidR="00942FA3" w:rsidRPr="00B31A23">
              <w:rPr>
                <w:rFonts w:ascii="Times New Roman" w:eastAsia="Times New Roman" w:hAnsi="Times New Roman" w:cs="Times New Roman"/>
              </w:rPr>
              <w:t xml:space="preserve"> </w:t>
            </w:r>
            <w:r w:rsidRPr="00B31A23">
              <w:rPr>
                <w:rFonts w:ascii="Times New Roman" w:eastAsia="Times New Roman" w:hAnsi="Times New Roman" w:cs="Times New Roman"/>
              </w:rPr>
              <w:t>1</w:t>
            </w:r>
          </w:p>
        </w:tc>
        <w:tc>
          <w:tcPr>
            <w:tcW w:w="303" w:type="pct"/>
          </w:tcPr>
          <w:p w14:paraId="68C7D5EB" w14:textId="77777777" w:rsidR="0047470E" w:rsidRPr="00B31A23" w:rsidRDefault="0047470E" w:rsidP="00421C16">
            <w:pPr>
              <w:jc w:val="center"/>
            </w:pPr>
            <w:r w:rsidRPr="00B31A23">
              <w:t>-.03</w:t>
            </w:r>
          </w:p>
        </w:tc>
        <w:tc>
          <w:tcPr>
            <w:tcW w:w="302" w:type="pct"/>
          </w:tcPr>
          <w:p w14:paraId="55668F95" w14:textId="77777777" w:rsidR="0047470E" w:rsidRPr="00B31A23" w:rsidRDefault="0047470E" w:rsidP="00421C16">
            <w:pPr>
              <w:jc w:val="center"/>
            </w:pPr>
            <w:r w:rsidRPr="00B31A23">
              <w:t>.04</w:t>
            </w:r>
          </w:p>
        </w:tc>
        <w:tc>
          <w:tcPr>
            <w:tcW w:w="305" w:type="pct"/>
          </w:tcPr>
          <w:p w14:paraId="5A9F2098" w14:textId="77777777" w:rsidR="0047470E" w:rsidRPr="00B31A23" w:rsidRDefault="0047470E" w:rsidP="00421C16">
            <w:pPr>
              <w:jc w:val="center"/>
            </w:pPr>
            <w:r w:rsidRPr="00B31A23">
              <w:t>-.00</w:t>
            </w:r>
          </w:p>
        </w:tc>
        <w:tc>
          <w:tcPr>
            <w:tcW w:w="302" w:type="pct"/>
          </w:tcPr>
          <w:p w14:paraId="25B23C6A" w14:textId="77777777" w:rsidR="0047470E" w:rsidRPr="00B31A23" w:rsidRDefault="0047470E" w:rsidP="00421C16">
            <w:pPr>
              <w:jc w:val="center"/>
            </w:pPr>
            <w:r w:rsidRPr="00B31A23">
              <w:t>.14</w:t>
            </w:r>
          </w:p>
        </w:tc>
        <w:tc>
          <w:tcPr>
            <w:tcW w:w="302" w:type="pct"/>
          </w:tcPr>
          <w:p w14:paraId="41C47624" w14:textId="77777777" w:rsidR="0047470E" w:rsidRPr="00B31A23" w:rsidRDefault="0047470E" w:rsidP="00421C16">
            <w:pPr>
              <w:jc w:val="center"/>
            </w:pPr>
            <w:r w:rsidRPr="00B31A23">
              <w:t>.04</w:t>
            </w:r>
          </w:p>
        </w:tc>
        <w:tc>
          <w:tcPr>
            <w:tcW w:w="302" w:type="pct"/>
          </w:tcPr>
          <w:p w14:paraId="28F50F6F" w14:textId="77777777" w:rsidR="0047470E" w:rsidRPr="00B31A23" w:rsidRDefault="0047470E" w:rsidP="00421C16">
            <w:pPr>
              <w:jc w:val="center"/>
            </w:pPr>
            <w:r w:rsidRPr="00B31A23">
              <w:t>.11</w:t>
            </w:r>
          </w:p>
        </w:tc>
        <w:tc>
          <w:tcPr>
            <w:tcW w:w="302" w:type="pct"/>
          </w:tcPr>
          <w:p w14:paraId="5C5DCC52" w14:textId="77777777" w:rsidR="0047470E" w:rsidRPr="00B31A23" w:rsidRDefault="0047470E" w:rsidP="00421C16">
            <w:pPr>
              <w:jc w:val="center"/>
            </w:pPr>
            <w:r w:rsidRPr="00B31A23">
              <w:t>.18*</w:t>
            </w:r>
          </w:p>
        </w:tc>
        <w:tc>
          <w:tcPr>
            <w:tcW w:w="302" w:type="pct"/>
          </w:tcPr>
          <w:p w14:paraId="15744C12" w14:textId="77777777" w:rsidR="0047470E" w:rsidRPr="00B31A23" w:rsidRDefault="0047470E" w:rsidP="00421C16">
            <w:pPr>
              <w:jc w:val="center"/>
            </w:pPr>
            <w:r w:rsidRPr="00B31A23">
              <w:t>.03</w:t>
            </w:r>
          </w:p>
        </w:tc>
        <w:tc>
          <w:tcPr>
            <w:tcW w:w="302" w:type="pct"/>
          </w:tcPr>
          <w:p w14:paraId="2996FFB2" w14:textId="77777777" w:rsidR="0047470E" w:rsidRPr="00B31A23" w:rsidRDefault="0047470E" w:rsidP="00421C16">
            <w:pPr>
              <w:jc w:val="center"/>
            </w:pPr>
          </w:p>
        </w:tc>
        <w:tc>
          <w:tcPr>
            <w:tcW w:w="302" w:type="pct"/>
          </w:tcPr>
          <w:p w14:paraId="20DC0923" w14:textId="77777777" w:rsidR="0047470E" w:rsidRPr="00B31A23" w:rsidRDefault="0047470E" w:rsidP="00421C16">
            <w:pPr>
              <w:jc w:val="center"/>
            </w:pPr>
          </w:p>
        </w:tc>
        <w:tc>
          <w:tcPr>
            <w:tcW w:w="301" w:type="pct"/>
          </w:tcPr>
          <w:p w14:paraId="34574368" w14:textId="77777777" w:rsidR="0047470E" w:rsidRPr="00B31A23" w:rsidRDefault="0047470E" w:rsidP="00421C16">
            <w:pPr>
              <w:jc w:val="center"/>
            </w:pPr>
          </w:p>
        </w:tc>
      </w:tr>
      <w:tr w:rsidR="0047470E" w:rsidRPr="00B31A23" w14:paraId="31BC91C0" w14:textId="77777777" w:rsidTr="00274F81">
        <w:trPr>
          <w:trHeight w:val="55"/>
        </w:trPr>
        <w:tc>
          <w:tcPr>
            <w:tcW w:w="1679" w:type="pct"/>
            <w:shd w:val="clear" w:color="auto" w:fill="auto"/>
          </w:tcPr>
          <w:p w14:paraId="41C635D9" w14:textId="48808AE6" w:rsidR="0047470E" w:rsidRPr="00B31A23" w:rsidRDefault="0047470E" w:rsidP="00421C16">
            <w:pPr>
              <w:pStyle w:val="ListParagraph"/>
              <w:numPr>
                <w:ilvl w:val="0"/>
                <w:numId w:val="11"/>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MCQ-HA Factor</w:t>
            </w:r>
            <w:r w:rsidR="00942FA3" w:rsidRPr="00B31A23">
              <w:rPr>
                <w:rFonts w:ascii="Times New Roman" w:eastAsia="Times New Roman" w:hAnsi="Times New Roman" w:cs="Times New Roman"/>
              </w:rPr>
              <w:t xml:space="preserve"> </w:t>
            </w:r>
            <w:r w:rsidRPr="00B31A23">
              <w:rPr>
                <w:rFonts w:ascii="Times New Roman" w:eastAsia="Times New Roman" w:hAnsi="Times New Roman" w:cs="Times New Roman"/>
              </w:rPr>
              <w:t>2</w:t>
            </w:r>
          </w:p>
        </w:tc>
        <w:tc>
          <w:tcPr>
            <w:tcW w:w="303" w:type="pct"/>
          </w:tcPr>
          <w:p w14:paraId="6C0CA31E" w14:textId="77777777" w:rsidR="0047470E" w:rsidRPr="00B31A23" w:rsidRDefault="0047470E" w:rsidP="00421C16">
            <w:pPr>
              <w:jc w:val="center"/>
            </w:pPr>
            <w:r w:rsidRPr="00B31A23">
              <w:t>-.20*</w:t>
            </w:r>
          </w:p>
        </w:tc>
        <w:tc>
          <w:tcPr>
            <w:tcW w:w="302" w:type="pct"/>
          </w:tcPr>
          <w:p w14:paraId="3BDA9535" w14:textId="77777777" w:rsidR="0047470E" w:rsidRPr="00B31A23" w:rsidRDefault="0047470E" w:rsidP="00421C16">
            <w:pPr>
              <w:jc w:val="center"/>
            </w:pPr>
            <w:r w:rsidRPr="00B31A23">
              <w:t>.08</w:t>
            </w:r>
          </w:p>
        </w:tc>
        <w:tc>
          <w:tcPr>
            <w:tcW w:w="305" w:type="pct"/>
          </w:tcPr>
          <w:p w14:paraId="4B9AEDE4" w14:textId="77777777" w:rsidR="0047470E" w:rsidRPr="00B31A23" w:rsidRDefault="0047470E" w:rsidP="00421C16">
            <w:pPr>
              <w:jc w:val="center"/>
            </w:pPr>
            <w:r w:rsidRPr="00B31A23">
              <w:t>-.00</w:t>
            </w:r>
          </w:p>
        </w:tc>
        <w:tc>
          <w:tcPr>
            <w:tcW w:w="302" w:type="pct"/>
          </w:tcPr>
          <w:p w14:paraId="11A5234A" w14:textId="77777777" w:rsidR="0047470E" w:rsidRPr="00B31A23" w:rsidRDefault="0047470E" w:rsidP="00421C16">
            <w:pPr>
              <w:jc w:val="center"/>
            </w:pPr>
            <w:r w:rsidRPr="00B31A23">
              <w:t>.39**</w:t>
            </w:r>
          </w:p>
        </w:tc>
        <w:tc>
          <w:tcPr>
            <w:tcW w:w="302" w:type="pct"/>
          </w:tcPr>
          <w:p w14:paraId="07479119" w14:textId="77777777" w:rsidR="0047470E" w:rsidRPr="00B31A23" w:rsidRDefault="0047470E" w:rsidP="00421C16">
            <w:pPr>
              <w:jc w:val="center"/>
            </w:pPr>
            <w:r w:rsidRPr="00B31A23">
              <w:t>.05</w:t>
            </w:r>
          </w:p>
        </w:tc>
        <w:tc>
          <w:tcPr>
            <w:tcW w:w="302" w:type="pct"/>
          </w:tcPr>
          <w:p w14:paraId="5F961CEF" w14:textId="77777777" w:rsidR="0047470E" w:rsidRPr="00B31A23" w:rsidRDefault="0047470E" w:rsidP="00421C16">
            <w:pPr>
              <w:jc w:val="center"/>
            </w:pPr>
            <w:r w:rsidRPr="00B31A23">
              <w:t>.03</w:t>
            </w:r>
          </w:p>
        </w:tc>
        <w:tc>
          <w:tcPr>
            <w:tcW w:w="302" w:type="pct"/>
          </w:tcPr>
          <w:p w14:paraId="1CE0E726" w14:textId="77777777" w:rsidR="0047470E" w:rsidRPr="00B31A23" w:rsidRDefault="0047470E" w:rsidP="00421C16">
            <w:pPr>
              <w:jc w:val="center"/>
            </w:pPr>
            <w:r w:rsidRPr="00B31A23">
              <w:t>.30**</w:t>
            </w:r>
          </w:p>
        </w:tc>
        <w:tc>
          <w:tcPr>
            <w:tcW w:w="302" w:type="pct"/>
          </w:tcPr>
          <w:p w14:paraId="7B106CFA" w14:textId="77777777" w:rsidR="0047470E" w:rsidRPr="00B31A23" w:rsidRDefault="0047470E" w:rsidP="00421C16">
            <w:pPr>
              <w:jc w:val="center"/>
            </w:pPr>
            <w:r w:rsidRPr="00B31A23">
              <w:t>.20*</w:t>
            </w:r>
          </w:p>
        </w:tc>
        <w:tc>
          <w:tcPr>
            <w:tcW w:w="302" w:type="pct"/>
          </w:tcPr>
          <w:p w14:paraId="40319A4C" w14:textId="77777777" w:rsidR="0047470E" w:rsidRPr="00B31A23" w:rsidRDefault="0047470E" w:rsidP="00421C16">
            <w:pPr>
              <w:jc w:val="center"/>
            </w:pPr>
            <w:r w:rsidRPr="00B31A23">
              <w:t>.19*</w:t>
            </w:r>
          </w:p>
        </w:tc>
        <w:tc>
          <w:tcPr>
            <w:tcW w:w="302" w:type="pct"/>
          </w:tcPr>
          <w:p w14:paraId="49F9299B" w14:textId="77777777" w:rsidR="0047470E" w:rsidRPr="00B31A23" w:rsidRDefault="0047470E" w:rsidP="00421C16">
            <w:pPr>
              <w:jc w:val="center"/>
            </w:pPr>
          </w:p>
        </w:tc>
        <w:tc>
          <w:tcPr>
            <w:tcW w:w="301" w:type="pct"/>
          </w:tcPr>
          <w:p w14:paraId="76BDEA89" w14:textId="77777777" w:rsidR="0047470E" w:rsidRPr="00B31A23" w:rsidRDefault="0047470E" w:rsidP="00421C16">
            <w:pPr>
              <w:jc w:val="center"/>
            </w:pPr>
          </w:p>
        </w:tc>
      </w:tr>
      <w:tr w:rsidR="0047470E" w:rsidRPr="00B31A23" w14:paraId="584EC3DA" w14:textId="77777777" w:rsidTr="00274F81">
        <w:trPr>
          <w:trHeight w:val="55"/>
        </w:trPr>
        <w:tc>
          <w:tcPr>
            <w:tcW w:w="1679" w:type="pct"/>
            <w:shd w:val="clear" w:color="auto" w:fill="auto"/>
          </w:tcPr>
          <w:p w14:paraId="2A303D9B" w14:textId="065D6A08" w:rsidR="0047470E" w:rsidRPr="00B31A23" w:rsidRDefault="0047470E" w:rsidP="00421C16">
            <w:pPr>
              <w:pStyle w:val="ListParagraph"/>
              <w:numPr>
                <w:ilvl w:val="0"/>
                <w:numId w:val="11"/>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MCQ-HA Factor</w:t>
            </w:r>
            <w:r w:rsidR="00942FA3" w:rsidRPr="00B31A23">
              <w:rPr>
                <w:rFonts w:ascii="Times New Roman" w:eastAsia="Times New Roman" w:hAnsi="Times New Roman" w:cs="Times New Roman"/>
              </w:rPr>
              <w:t xml:space="preserve"> </w:t>
            </w:r>
            <w:r w:rsidRPr="00B31A23">
              <w:rPr>
                <w:rFonts w:ascii="Times New Roman" w:eastAsia="Times New Roman" w:hAnsi="Times New Roman" w:cs="Times New Roman"/>
              </w:rPr>
              <w:t>3</w:t>
            </w:r>
          </w:p>
        </w:tc>
        <w:tc>
          <w:tcPr>
            <w:tcW w:w="303" w:type="pct"/>
          </w:tcPr>
          <w:p w14:paraId="17B82865" w14:textId="77777777" w:rsidR="0047470E" w:rsidRPr="00B31A23" w:rsidRDefault="0047470E" w:rsidP="00421C16">
            <w:pPr>
              <w:jc w:val="center"/>
            </w:pPr>
            <w:r w:rsidRPr="00B31A23">
              <w:t>.04</w:t>
            </w:r>
          </w:p>
        </w:tc>
        <w:tc>
          <w:tcPr>
            <w:tcW w:w="302" w:type="pct"/>
          </w:tcPr>
          <w:p w14:paraId="0EF2704E" w14:textId="77777777" w:rsidR="0047470E" w:rsidRPr="00B31A23" w:rsidRDefault="0047470E" w:rsidP="00421C16">
            <w:pPr>
              <w:jc w:val="center"/>
            </w:pPr>
            <w:r w:rsidRPr="00B31A23">
              <w:t>.24*</w:t>
            </w:r>
          </w:p>
        </w:tc>
        <w:tc>
          <w:tcPr>
            <w:tcW w:w="305" w:type="pct"/>
          </w:tcPr>
          <w:p w14:paraId="05CB0A00" w14:textId="77777777" w:rsidR="0047470E" w:rsidRPr="00B31A23" w:rsidRDefault="0047470E" w:rsidP="00421C16">
            <w:pPr>
              <w:jc w:val="center"/>
            </w:pPr>
            <w:r w:rsidRPr="00B31A23">
              <w:t>-.12</w:t>
            </w:r>
          </w:p>
        </w:tc>
        <w:tc>
          <w:tcPr>
            <w:tcW w:w="302" w:type="pct"/>
          </w:tcPr>
          <w:p w14:paraId="594B552D" w14:textId="77777777" w:rsidR="0047470E" w:rsidRPr="00B31A23" w:rsidRDefault="0047470E" w:rsidP="00421C16">
            <w:pPr>
              <w:jc w:val="center"/>
            </w:pPr>
            <w:r w:rsidRPr="00B31A23">
              <w:t>.48**</w:t>
            </w:r>
          </w:p>
        </w:tc>
        <w:tc>
          <w:tcPr>
            <w:tcW w:w="302" w:type="pct"/>
          </w:tcPr>
          <w:p w14:paraId="3A0F7B83" w14:textId="77777777" w:rsidR="0047470E" w:rsidRPr="00B31A23" w:rsidRDefault="0047470E" w:rsidP="00421C16">
            <w:pPr>
              <w:jc w:val="center"/>
            </w:pPr>
            <w:r w:rsidRPr="00B31A23">
              <w:t>-.01</w:t>
            </w:r>
          </w:p>
        </w:tc>
        <w:tc>
          <w:tcPr>
            <w:tcW w:w="302" w:type="pct"/>
          </w:tcPr>
          <w:p w14:paraId="7F021419" w14:textId="77777777" w:rsidR="0047470E" w:rsidRPr="00B31A23" w:rsidRDefault="0047470E" w:rsidP="00421C16">
            <w:pPr>
              <w:jc w:val="center"/>
            </w:pPr>
            <w:r w:rsidRPr="00B31A23">
              <w:t>.15</w:t>
            </w:r>
          </w:p>
        </w:tc>
        <w:tc>
          <w:tcPr>
            <w:tcW w:w="302" w:type="pct"/>
          </w:tcPr>
          <w:p w14:paraId="0DC9F62D" w14:textId="77777777" w:rsidR="0047470E" w:rsidRPr="00B31A23" w:rsidRDefault="0047470E" w:rsidP="00421C16">
            <w:pPr>
              <w:jc w:val="center"/>
            </w:pPr>
            <w:r w:rsidRPr="00B31A23">
              <w:t>.41**</w:t>
            </w:r>
          </w:p>
        </w:tc>
        <w:tc>
          <w:tcPr>
            <w:tcW w:w="302" w:type="pct"/>
          </w:tcPr>
          <w:p w14:paraId="17F5CFD3" w14:textId="77777777" w:rsidR="0047470E" w:rsidRPr="00B31A23" w:rsidRDefault="0047470E" w:rsidP="00421C16">
            <w:pPr>
              <w:jc w:val="center"/>
            </w:pPr>
            <w:r w:rsidRPr="00B31A23">
              <w:t>.12</w:t>
            </w:r>
          </w:p>
        </w:tc>
        <w:tc>
          <w:tcPr>
            <w:tcW w:w="302" w:type="pct"/>
          </w:tcPr>
          <w:p w14:paraId="4C32A353" w14:textId="77777777" w:rsidR="0047470E" w:rsidRPr="00B31A23" w:rsidRDefault="0047470E" w:rsidP="00421C16">
            <w:pPr>
              <w:jc w:val="center"/>
            </w:pPr>
            <w:r w:rsidRPr="00B31A23">
              <w:t>.21*</w:t>
            </w:r>
          </w:p>
        </w:tc>
        <w:tc>
          <w:tcPr>
            <w:tcW w:w="302" w:type="pct"/>
          </w:tcPr>
          <w:p w14:paraId="4DB0808B" w14:textId="77777777" w:rsidR="0047470E" w:rsidRPr="00B31A23" w:rsidRDefault="0047470E" w:rsidP="00421C16">
            <w:pPr>
              <w:jc w:val="center"/>
            </w:pPr>
            <w:r w:rsidRPr="00B31A23">
              <w:t>.52**</w:t>
            </w:r>
          </w:p>
        </w:tc>
        <w:tc>
          <w:tcPr>
            <w:tcW w:w="301" w:type="pct"/>
          </w:tcPr>
          <w:p w14:paraId="074022BA" w14:textId="77777777" w:rsidR="0047470E" w:rsidRPr="00B31A23" w:rsidRDefault="0047470E" w:rsidP="00421C16">
            <w:pPr>
              <w:jc w:val="center"/>
            </w:pPr>
          </w:p>
        </w:tc>
      </w:tr>
      <w:tr w:rsidR="0047470E" w:rsidRPr="00B31A23" w14:paraId="55C25F08" w14:textId="77777777" w:rsidTr="00274F81">
        <w:trPr>
          <w:trHeight w:val="151"/>
        </w:trPr>
        <w:tc>
          <w:tcPr>
            <w:tcW w:w="1679" w:type="pct"/>
            <w:tcBorders>
              <w:bottom w:val="single" w:sz="4" w:space="0" w:color="auto"/>
            </w:tcBorders>
            <w:shd w:val="clear" w:color="auto" w:fill="auto"/>
          </w:tcPr>
          <w:p w14:paraId="196DB84E" w14:textId="48392020" w:rsidR="0047470E" w:rsidRPr="00B31A23" w:rsidRDefault="0047470E" w:rsidP="00421C16">
            <w:pPr>
              <w:pStyle w:val="ListParagraph"/>
              <w:numPr>
                <w:ilvl w:val="0"/>
                <w:numId w:val="11"/>
              </w:numPr>
              <w:spacing w:line="240" w:lineRule="auto"/>
              <w:contextualSpacing/>
              <w:rPr>
                <w:rFonts w:ascii="Times New Roman" w:eastAsia="Times New Roman" w:hAnsi="Times New Roman" w:cs="Times New Roman"/>
              </w:rPr>
            </w:pPr>
            <w:r w:rsidRPr="00B31A23">
              <w:rPr>
                <w:rFonts w:ascii="Times New Roman" w:eastAsia="Times New Roman" w:hAnsi="Times New Roman" w:cs="Times New Roman"/>
              </w:rPr>
              <w:t>CSS</w:t>
            </w:r>
            <w:r w:rsidR="009960FB" w:rsidRPr="00B31A23">
              <w:rPr>
                <w:rFonts w:ascii="Times New Roman" w:eastAsia="Times New Roman" w:hAnsi="Times New Roman" w:cs="Times New Roman"/>
              </w:rPr>
              <w:t xml:space="preserve"> (T1)</w:t>
            </w:r>
          </w:p>
        </w:tc>
        <w:tc>
          <w:tcPr>
            <w:tcW w:w="303" w:type="pct"/>
            <w:tcBorders>
              <w:bottom w:val="single" w:sz="4" w:space="0" w:color="auto"/>
            </w:tcBorders>
          </w:tcPr>
          <w:p w14:paraId="214444F5" w14:textId="77777777" w:rsidR="0047470E" w:rsidRPr="00B31A23" w:rsidRDefault="0047470E" w:rsidP="00421C16">
            <w:pPr>
              <w:jc w:val="center"/>
            </w:pPr>
            <w:r w:rsidRPr="00B31A23">
              <w:t>.12</w:t>
            </w:r>
          </w:p>
        </w:tc>
        <w:tc>
          <w:tcPr>
            <w:tcW w:w="302" w:type="pct"/>
            <w:tcBorders>
              <w:bottom w:val="single" w:sz="4" w:space="0" w:color="auto"/>
            </w:tcBorders>
          </w:tcPr>
          <w:p w14:paraId="53161C75" w14:textId="77777777" w:rsidR="0047470E" w:rsidRPr="00B31A23" w:rsidRDefault="0047470E" w:rsidP="00421C16">
            <w:pPr>
              <w:jc w:val="center"/>
            </w:pPr>
            <w:r w:rsidRPr="00B31A23">
              <w:t>.09</w:t>
            </w:r>
          </w:p>
        </w:tc>
        <w:tc>
          <w:tcPr>
            <w:tcW w:w="305" w:type="pct"/>
            <w:tcBorders>
              <w:bottom w:val="single" w:sz="4" w:space="0" w:color="auto"/>
            </w:tcBorders>
          </w:tcPr>
          <w:p w14:paraId="124E89DA" w14:textId="77777777" w:rsidR="0047470E" w:rsidRPr="00B31A23" w:rsidRDefault="0047470E" w:rsidP="00421C16">
            <w:pPr>
              <w:jc w:val="center"/>
            </w:pPr>
            <w:r w:rsidRPr="00B31A23">
              <w:t>.03</w:t>
            </w:r>
          </w:p>
        </w:tc>
        <w:tc>
          <w:tcPr>
            <w:tcW w:w="302" w:type="pct"/>
            <w:tcBorders>
              <w:bottom w:val="single" w:sz="4" w:space="0" w:color="auto"/>
            </w:tcBorders>
          </w:tcPr>
          <w:p w14:paraId="6A0B1F66" w14:textId="77777777" w:rsidR="0047470E" w:rsidRPr="00B31A23" w:rsidRDefault="0047470E" w:rsidP="00421C16">
            <w:pPr>
              <w:jc w:val="center"/>
            </w:pPr>
            <w:r w:rsidRPr="00B31A23">
              <w:t>.34**</w:t>
            </w:r>
          </w:p>
        </w:tc>
        <w:tc>
          <w:tcPr>
            <w:tcW w:w="302" w:type="pct"/>
            <w:tcBorders>
              <w:bottom w:val="single" w:sz="4" w:space="0" w:color="auto"/>
            </w:tcBorders>
          </w:tcPr>
          <w:p w14:paraId="47C07687" w14:textId="77777777" w:rsidR="0047470E" w:rsidRPr="00B31A23" w:rsidRDefault="0047470E" w:rsidP="00421C16">
            <w:pPr>
              <w:jc w:val="center"/>
            </w:pPr>
            <w:r w:rsidRPr="00B31A23">
              <w:t>-.08</w:t>
            </w:r>
          </w:p>
        </w:tc>
        <w:tc>
          <w:tcPr>
            <w:tcW w:w="302" w:type="pct"/>
            <w:tcBorders>
              <w:bottom w:val="single" w:sz="4" w:space="0" w:color="auto"/>
            </w:tcBorders>
          </w:tcPr>
          <w:p w14:paraId="3D8FF727" w14:textId="77777777" w:rsidR="0047470E" w:rsidRPr="00B31A23" w:rsidRDefault="0047470E" w:rsidP="00421C16">
            <w:pPr>
              <w:jc w:val="center"/>
            </w:pPr>
            <w:r w:rsidRPr="00B31A23">
              <w:t>.15</w:t>
            </w:r>
          </w:p>
        </w:tc>
        <w:tc>
          <w:tcPr>
            <w:tcW w:w="302" w:type="pct"/>
            <w:tcBorders>
              <w:bottom w:val="single" w:sz="4" w:space="0" w:color="auto"/>
            </w:tcBorders>
          </w:tcPr>
          <w:p w14:paraId="57097267" w14:textId="77777777" w:rsidR="0047470E" w:rsidRPr="00B31A23" w:rsidRDefault="0047470E" w:rsidP="00421C16">
            <w:pPr>
              <w:jc w:val="center"/>
            </w:pPr>
            <w:r w:rsidRPr="00B31A23">
              <w:t>.22*</w:t>
            </w:r>
          </w:p>
        </w:tc>
        <w:tc>
          <w:tcPr>
            <w:tcW w:w="302" w:type="pct"/>
            <w:tcBorders>
              <w:bottom w:val="single" w:sz="4" w:space="0" w:color="auto"/>
            </w:tcBorders>
          </w:tcPr>
          <w:p w14:paraId="2076AE17" w14:textId="77777777" w:rsidR="0047470E" w:rsidRPr="00B31A23" w:rsidRDefault="0047470E" w:rsidP="00421C16">
            <w:pPr>
              <w:jc w:val="center"/>
            </w:pPr>
            <w:r w:rsidRPr="00B31A23">
              <w:t>.19*</w:t>
            </w:r>
          </w:p>
        </w:tc>
        <w:tc>
          <w:tcPr>
            <w:tcW w:w="302" w:type="pct"/>
            <w:tcBorders>
              <w:bottom w:val="single" w:sz="4" w:space="0" w:color="auto"/>
            </w:tcBorders>
          </w:tcPr>
          <w:p w14:paraId="04016593" w14:textId="77777777" w:rsidR="0047470E" w:rsidRPr="00B31A23" w:rsidRDefault="0047470E" w:rsidP="00421C16">
            <w:pPr>
              <w:jc w:val="center"/>
            </w:pPr>
            <w:r w:rsidRPr="00B31A23">
              <w:t>.23*</w:t>
            </w:r>
          </w:p>
        </w:tc>
        <w:tc>
          <w:tcPr>
            <w:tcW w:w="302" w:type="pct"/>
            <w:tcBorders>
              <w:bottom w:val="single" w:sz="4" w:space="0" w:color="auto"/>
            </w:tcBorders>
          </w:tcPr>
          <w:p w14:paraId="44A27B3D" w14:textId="77777777" w:rsidR="0047470E" w:rsidRPr="00B31A23" w:rsidRDefault="0047470E" w:rsidP="00421C16">
            <w:pPr>
              <w:jc w:val="center"/>
            </w:pPr>
            <w:r w:rsidRPr="00B31A23">
              <w:t>.18*</w:t>
            </w:r>
          </w:p>
        </w:tc>
        <w:tc>
          <w:tcPr>
            <w:tcW w:w="301" w:type="pct"/>
            <w:tcBorders>
              <w:bottom w:val="single" w:sz="4" w:space="0" w:color="auto"/>
            </w:tcBorders>
          </w:tcPr>
          <w:p w14:paraId="285EADE6" w14:textId="77777777" w:rsidR="0047470E" w:rsidRPr="00B31A23" w:rsidRDefault="0047470E" w:rsidP="00421C16">
            <w:pPr>
              <w:jc w:val="center"/>
            </w:pPr>
            <w:r w:rsidRPr="00B31A23">
              <w:t>.49**</w:t>
            </w:r>
          </w:p>
        </w:tc>
      </w:tr>
    </w:tbl>
    <w:p w14:paraId="65D3797B" w14:textId="680A5B0B" w:rsidR="0049795D" w:rsidRPr="00B31A23" w:rsidRDefault="00421C16" w:rsidP="00935169">
      <w:pPr>
        <w:jc w:val="both"/>
        <w:rPr>
          <w:rFonts w:eastAsia="PMingLiU"/>
          <w:iCs/>
          <w:sz w:val="20"/>
          <w:szCs w:val="20"/>
          <w:lang w:val="en-GB" w:eastAsia="zh-TW"/>
        </w:rPr>
      </w:pPr>
      <w:r w:rsidRPr="00B31A23">
        <w:rPr>
          <w:sz w:val="20"/>
          <w:szCs w:val="20"/>
          <w:lang w:val="en-US"/>
        </w:rPr>
        <w:t xml:space="preserve">Note: N = 125; </w:t>
      </w:r>
      <w:r w:rsidRPr="00B31A23">
        <w:rPr>
          <w:sz w:val="20"/>
          <w:szCs w:val="20"/>
          <w:lang w:val="en-GB"/>
        </w:rPr>
        <w:t>Gender: Gender of participant; Age: Age in years</w:t>
      </w:r>
      <w:r w:rsidR="00647D03" w:rsidRPr="00B31A23">
        <w:rPr>
          <w:sz w:val="20"/>
          <w:szCs w:val="20"/>
          <w:lang w:val="en-US"/>
        </w:rPr>
        <w:t xml:space="preserve">; </w:t>
      </w:r>
      <w:r w:rsidR="009960FB" w:rsidRPr="00B31A23">
        <w:rPr>
          <w:sz w:val="20"/>
          <w:szCs w:val="20"/>
          <w:lang w:val="en-US"/>
        </w:rPr>
        <w:t>HAI = Health Anxiety Inventory; HCQ Factor 1 = Health Cognitions Questionnaire: Difficulty in coping;  HCQ Factor 2 = Health Cognitions Questionnaire: Likelihood of illness; HCQ Factor 3 = Health Cognitions Questionnaire: Awfulness of illness; HCQ Factor 4 = Health Cognitions Questionnaire: Medical service inadequacy; MCQ-HA Factor 1 = Metacognitions Questionnaire-Health Anxiety: Metacognitions about biased thinking; MCQ-HA Factor 2 = Metacognitions Questionnaire-Health Anxiety: Metacognitions about thought illness fusion; MCQ-HA Factor 3 = Metacognitions Questionnaire-Health Anxiety: Metacognitions about the uncontrollability of thoughts;</w:t>
      </w:r>
      <w:r w:rsidR="00647D03" w:rsidRPr="00B31A23">
        <w:rPr>
          <w:sz w:val="20"/>
          <w:szCs w:val="20"/>
          <w:lang w:val="en-US"/>
        </w:rPr>
        <w:t xml:space="preserve"> CSS (T1) = Cyberchondria Severity Scale</w:t>
      </w:r>
      <w:r w:rsidR="009960FB" w:rsidRPr="00B31A23">
        <w:rPr>
          <w:sz w:val="20"/>
          <w:szCs w:val="20"/>
          <w:lang w:val="en-US"/>
        </w:rPr>
        <w:t xml:space="preserve"> Time 1</w:t>
      </w:r>
      <w:r w:rsidR="00647D03" w:rsidRPr="00B31A23">
        <w:rPr>
          <w:sz w:val="20"/>
          <w:szCs w:val="20"/>
          <w:lang w:val="en-US"/>
        </w:rPr>
        <w:t>;</w:t>
      </w:r>
      <w:r w:rsidRPr="00B31A23">
        <w:rPr>
          <w:sz w:val="20"/>
          <w:szCs w:val="20"/>
          <w:lang w:val="en-US"/>
        </w:rPr>
        <w:t xml:space="preserve"> </w:t>
      </w:r>
      <w:r w:rsidRPr="00B31A23">
        <w:rPr>
          <w:rFonts w:eastAsia="PMingLiU"/>
          <w:iCs/>
          <w:sz w:val="20"/>
          <w:szCs w:val="20"/>
          <w:lang w:val="en-GB" w:eastAsia="zh-TW"/>
        </w:rPr>
        <w:t>*</w:t>
      </w:r>
      <w:r w:rsidRPr="00B31A23">
        <w:rPr>
          <w:rFonts w:eastAsia="PMingLiU"/>
          <w:i/>
          <w:sz w:val="20"/>
          <w:szCs w:val="20"/>
          <w:lang w:val="en-GB" w:eastAsia="zh-TW"/>
        </w:rPr>
        <w:t>p</w:t>
      </w:r>
      <w:r w:rsidRPr="00B31A23">
        <w:rPr>
          <w:rFonts w:eastAsia="PMingLiU"/>
          <w:iCs/>
          <w:sz w:val="20"/>
          <w:szCs w:val="20"/>
          <w:lang w:val="en-GB" w:eastAsia="zh-TW"/>
        </w:rPr>
        <w:t xml:space="preserve"> &lt; .05; **</w:t>
      </w:r>
      <w:r w:rsidRPr="00B31A23">
        <w:rPr>
          <w:rFonts w:eastAsia="PMingLiU"/>
          <w:i/>
          <w:sz w:val="20"/>
          <w:szCs w:val="20"/>
          <w:lang w:val="en-GB" w:eastAsia="zh-TW"/>
        </w:rPr>
        <w:t>p</w:t>
      </w:r>
      <w:r w:rsidRPr="00B31A23">
        <w:rPr>
          <w:rFonts w:eastAsia="PMingLiU"/>
          <w:iCs/>
          <w:sz w:val="20"/>
          <w:szCs w:val="20"/>
          <w:lang w:val="en-GB" w:eastAsia="zh-TW"/>
        </w:rPr>
        <w:t xml:space="preserve"> &lt; .</w:t>
      </w:r>
      <w:r w:rsidR="0049795D" w:rsidRPr="00B31A23">
        <w:rPr>
          <w:rFonts w:eastAsia="PMingLiU"/>
          <w:iCs/>
          <w:sz w:val="20"/>
          <w:szCs w:val="20"/>
          <w:lang w:val="en-GB" w:eastAsia="zh-TW"/>
        </w:rPr>
        <w:t>01</w:t>
      </w:r>
      <w:r w:rsidR="009960FB" w:rsidRPr="00B31A23">
        <w:rPr>
          <w:rFonts w:eastAsia="PMingLiU"/>
          <w:iCs/>
          <w:sz w:val="20"/>
          <w:szCs w:val="20"/>
          <w:lang w:val="en-GB" w:eastAsia="zh-TW"/>
        </w:rPr>
        <w:t>.</w:t>
      </w:r>
    </w:p>
    <w:p w14:paraId="433B7C85" w14:textId="77777777" w:rsidR="0049795D" w:rsidRPr="00B31A23" w:rsidRDefault="0049795D">
      <w:pPr>
        <w:pBdr>
          <w:top w:val="nil"/>
          <w:left w:val="nil"/>
          <w:bottom w:val="nil"/>
          <w:right w:val="nil"/>
          <w:between w:val="nil"/>
          <w:bar w:val="nil"/>
        </w:pBdr>
        <w:rPr>
          <w:rFonts w:eastAsia="PMingLiU"/>
          <w:iCs/>
          <w:sz w:val="20"/>
          <w:szCs w:val="20"/>
          <w:lang w:val="en-GB" w:eastAsia="zh-TW"/>
        </w:rPr>
      </w:pPr>
      <w:r w:rsidRPr="00B31A23">
        <w:rPr>
          <w:rFonts w:eastAsia="PMingLiU"/>
          <w:iCs/>
          <w:sz w:val="20"/>
          <w:szCs w:val="20"/>
          <w:lang w:val="en-GB" w:eastAsia="zh-TW"/>
        </w:rPr>
        <w:br w:type="page"/>
      </w:r>
    </w:p>
    <w:p w14:paraId="2AAC77EF" w14:textId="666A58EB" w:rsidR="00132F55" w:rsidRPr="00B31A23" w:rsidRDefault="000F7CAB" w:rsidP="000F7CAB">
      <w:pPr>
        <w:pStyle w:val="NoSpacing"/>
      </w:pPr>
      <w:r w:rsidRPr="00B31A23">
        <w:lastRenderedPageBreak/>
        <w:t xml:space="preserve">Table 3: Hierarchical </w:t>
      </w:r>
      <w:r w:rsidR="00942FA3" w:rsidRPr="00B31A23">
        <w:t>l</w:t>
      </w:r>
      <w:r w:rsidRPr="00B31A23">
        <w:t xml:space="preserve">ogistic </w:t>
      </w:r>
      <w:r w:rsidR="00942FA3" w:rsidRPr="00B31A23">
        <w:t>r</w:t>
      </w:r>
      <w:r w:rsidRPr="00B31A23">
        <w:t xml:space="preserve">egression </w:t>
      </w:r>
      <w:r w:rsidR="00942FA3" w:rsidRPr="00B31A23">
        <w:t>s</w:t>
      </w:r>
      <w:r w:rsidRPr="00B31A23">
        <w:t xml:space="preserve">tatistics with </w:t>
      </w:r>
      <w:r w:rsidR="00942FA3" w:rsidRPr="00B31A23">
        <w:t>C</w:t>
      </w:r>
      <w:r w:rsidRPr="00B31A23">
        <w:t xml:space="preserve">yberchondria </w:t>
      </w:r>
      <w:r w:rsidR="009960FB" w:rsidRPr="00B31A23">
        <w:t xml:space="preserve">at Time 1 </w:t>
      </w:r>
      <w:r w:rsidRPr="00B31A23">
        <w:t xml:space="preserve">as the </w:t>
      </w:r>
      <w:r w:rsidR="00942FA3" w:rsidRPr="00B31A23">
        <w:t>o</w:t>
      </w:r>
      <w:r w:rsidRPr="00B31A23">
        <w:t xml:space="preserve">utcome </w:t>
      </w:r>
      <w:r w:rsidR="00942FA3" w:rsidRPr="00B31A23">
        <w:t>v</w:t>
      </w:r>
      <w:r w:rsidRPr="00B31A23">
        <w:t>ariable</w:t>
      </w:r>
      <w:r w:rsidR="00A80DCF" w:rsidRPr="00B31A23">
        <w:t>.</w:t>
      </w:r>
    </w:p>
    <w:p w14:paraId="44B432D0" w14:textId="500E3FF6" w:rsidR="00132F55" w:rsidRPr="00B31A23" w:rsidRDefault="00132F55" w:rsidP="00BF0850">
      <w:pPr>
        <w:jc w:val="both"/>
        <w:rPr>
          <w:b/>
          <w:bCs/>
          <w:sz w:val="20"/>
          <w:szCs w:val="20"/>
          <w:lang w:val="en-US"/>
        </w:rPr>
      </w:pPr>
    </w:p>
    <w:tbl>
      <w:tblPr>
        <w:tblW w:w="0" w:type="auto"/>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559"/>
        <w:gridCol w:w="1276"/>
        <w:gridCol w:w="1276"/>
        <w:gridCol w:w="142"/>
        <w:gridCol w:w="1701"/>
        <w:gridCol w:w="851"/>
        <w:gridCol w:w="992"/>
        <w:gridCol w:w="1417"/>
        <w:gridCol w:w="851"/>
        <w:gridCol w:w="709"/>
        <w:gridCol w:w="1049"/>
        <w:gridCol w:w="1077"/>
      </w:tblGrid>
      <w:tr w:rsidR="000F7CAB" w:rsidRPr="00B31A23" w14:paraId="4A8929C0" w14:textId="77777777" w:rsidTr="00943118">
        <w:trPr>
          <w:cantSplit/>
        </w:trPr>
        <w:tc>
          <w:tcPr>
            <w:tcW w:w="1843" w:type="dxa"/>
            <w:gridSpan w:val="2"/>
            <w:tcBorders>
              <w:top w:val="nil"/>
              <w:bottom w:val="single" w:sz="4" w:space="0" w:color="auto"/>
              <w:right w:val="nil"/>
            </w:tcBorders>
            <w:shd w:val="clear" w:color="auto" w:fill="FFFFFF"/>
          </w:tcPr>
          <w:p w14:paraId="4A8120EF" w14:textId="77777777" w:rsidR="000F7CAB" w:rsidRPr="00B31A23" w:rsidRDefault="000F7CAB" w:rsidP="006B6960">
            <w:pPr>
              <w:autoSpaceDE w:val="0"/>
              <w:autoSpaceDN w:val="0"/>
              <w:adjustRightInd w:val="0"/>
              <w:spacing w:line="320" w:lineRule="atLeast"/>
              <w:ind w:left="60" w:right="60"/>
              <w:jc w:val="center"/>
              <w:rPr>
                <w:rFonts w:eastAsiaTheme="minorHAnsi"/>
                <w:b/>
                <w:bCs/>
                <w:color w:val="000000"/>
                <w:lang w:val="en-GB"/>
              </w:rPr>
            </w:pPr>
          </w:p>
        </w:tc>
        <w:tc>
          <w:tcPr>
            <w:tcW w:w="2694" w:type="dxa"/>
            <w:gridSpan w:val="3"/>
            <w:tcBorders>
              <w:top w:val="nil"/>
              <w:left w:val="nil"/>
              <w:bottom w:val="single" w:sz="4" w:space="0" w:color="auto"/>
              <w:right w:val="nil"/>
            </w:tcBorders>
            <w:shd w:val="clear" w:color="auto" w:fill="FFFFFF"/>
          </w:tcPr>
          <w:p w14:paraId="56D93AA1" w14:textId="77777777" w:rsidR="000F7CAB" w:rsidRPr="00B31A23" w:rsidRDefault="000F7CAB" w:rsidP="006B6960">
            <w:pPr>
              <w:autoSpaceDE w:val="0"/>
              <w:autoSpaceDN w:val="0"/>
              <w:adjustRightInd w:val="0"/>
              <w:spacing w:line="320" w:lineRule="atLeast"/>
              <w:ind w:left="60" w:right="60"/>
              <w:jc w:val="center"/>
              <w:rPr>
                <w:rFonts w:eastAsiaTheme="minorHAnsi"/>
                <w:b/>
                <w:bCs/>
                <w:color w:val="000000"/>
                <w:lang w:val="en-GB"/>
              </w:rPr>
            </w:pPr>
          </w:p>
        </w:tc>
        <w:tc>
          <w:tcPr>
            <w:tcW w:w="8647" w:type="dxa"/>
            <w:gridSpan w:val="8"/>
            <w:tcBorders>
              <w:top w:val="nil"/>
              <w:left w:val="nil"/>
              <w:bottom w:val="single" w:sz="4" w:space="0" w:color="auto"/>
            </w:tcBorders>
            <w:shd w:val="clear" w:color="auto" w:fill="FFFFFF"/>
            <w:vAlign w:val="center"/>
          </w:tcPr>
          <w:p w14:paraId="66AB091A" w14:textId="77777777" w:rsidR="000F7CAB" w:rsidRPr="00B31A23" w:rsidRDefault="000F7CAB" w:rsidP="006B6960">
            <w:pPr>
              <w:tabs>
                <w:tab w:val="left" w:pos="1558"/>
              </w:tabs>
              <w:autoSpaceDE w:val="0"/>
              <w:autoSpaceDN w:val="0"/>
              <w:adjustRightInd w:val="0"/>
              <w:spacing w:line="320" w:lineRule="atLeast"/>
              <w:ind w:left="60" w:right="60"/>
              <w:rPr>
                <w:rFonts w:eastAsiaTheme="minorHAnsi"/>
                <w:color w:val="000000"/>
                <w:lang w:val="en-GB"/>
              </w:rPr>
            </w:pPr>
            <w:r w:rsidRPr="00B31A23">
              <w:rPr>
                <w:rFonts w:eastAsiaTheme="minorHAnsi"/>
                <w:b/>
                <w:bCs/>
                <w:color w:val="000000"/>
                <w:lang w:val="en-GB"/>
              </w:rPr>
              <w:tab/>
              <w:t>Coefficients</w:t>
            </w:r>
            <w:r w:rsidRPr="00B31A23">
              <w:rPr>
                <w:rFonts w:eastAsiaTheme="minorHAnsi"/>
                <w:b/>
                <w:bCs/>
                <w:color w:val="000000"/>
                <w:vertAlign w:val="superscript"/>
                <w:lang w:val="en-GB"/>
              </w:rPr>
              <w:t>a</w:t>
            </w:r>
          </w:p>
        </w:tc>
      </w:tr>
      <w:tr w:rsidR="000F7CAB" w:rsidRPr="00B31A23" w14:paraId="1DBF2207" w14:textId="77777777" w:rsidTr="00943118">
        <w:trPr>
          <w:cantSplit/>
        </w:trPr>
        <w:tc>
          <w:tcPr>
            <w:tcW w:w="3119" w:type="dxa"/>
            <w:gridSpan w:val="3"/>
            <w:vMerge w:val="restart"/>
            <w:tcBorders>
              <w:top w:val="single" w:sz="4" w:space="0" w:color="auto"/>
              <w:bottom w:val="nil"/>
              <w:right w:val="nil"/>
            </w:tcBorders>
            <w:shd w:val="clear" w:color="auto" w:fill="FFFFFF"/>
            <w:vAlign w:val="bottom"/>
          </w:tcPr>
          <w:p w14:paraId="0B137588" w14:textId="77777777" w:rsidR="000F7CAB" w:rsidRPr="00B31A23" w:rsidRDefault="000F7CAB" w:rsidP="006B6960">
            <w:pPr>
              <w:autoSpaceDE w:val="0"/>
              <w:autoSpaceDN w:val="0"/>
              <w:adjustRightInd w:val="0"/>
              <w:spacing w:line="320" w:lineRule="atLeast"/>
              <w:ind w:left="60" w:right="60"/>
              <w:rPr>
                <w:rFonts w:eastAsiaTheme="minorHAnsi"/>
                <w:color w:val="000000"/>
                <w:lang w:val="en-GB"/>
              </w:rPr>
            </w:pPr>
            <w:r w:rsidRPr="00B31A23">
              <w:rPr>
                <w:rFonts w:eastAsiaTheme="minorHAnsi"/>
                <w:color w:val="000000"/>
                <w:lang w:val="en-GB"/>
              </w:rPr>
              <w:t>Model</w:t>
            </w:r>
          </w:p>
        </w:tc>
        <w:tc>
          <w:tcPr>
            <w:tcW w:w="1276" w:type="dxa"/>
            <w:tcBorders>
              <w:top w:val="single" w:sz="4" w:space="0" w:color="auto"/>
              <w:left w:val="nil"/>
              <w:bottom w:val="nil"/>
              <w:right w:val="nil"/>
            </w:tcBorders>
            <w:shd w:val="clear" w:color="auto" w:fill="FFFFFF"/>
          </w:tcPr>
          <w:p w14:paraId="0490A087"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vertAlign w:val="superscript"/>
                <w:lang w:val="en-GB"/>
              </w:rPr>
            </w:pPr>
            <w:r w:rsidRPr="00B31A23">
              <w:rPr>
                <w:rFonts w:eastAsiaTheme="minorHAnsi"/>
                <w:color w:val="000000"/>
                <w:lang w:val="en-GB"/>
              </w:rPr>
              <w:t>R</w:t>
            </w:r>
            <w:r w:rsidRPr="00B31A23">
              <w:rPr>
                <w:rFonts w:eastAsiaTheme="minorHAnsi"/>
                <w:color w:val="000000"/>
                <w:vertAlign w:val="superscript"/>
                <w:lang w:val="en-GB"/>
              </w:rPr>
              <w:t>2</w:t>
            </w:r>
          </w:p>
        </w:tc>
        <w:tc>
          <w:tcPr>
            <w:tcW w:w="1843" w:type="dxa"/>
            <w:gridSpan w:val="2"/>
            <w:tcBorders>
              <w:top w:val="single" w:sz="4" w:space="0" w:color="auto"/>
              <w:left w:val="nil"/>
              <w:bottom w:val="nil"/>
              <w:right w:val="nil"/>
            </w:tcBorders>
            <w:shd w:val="clear" w:color="auto" w:fill="FFFFFF"/>
          </w:tcPr>
          <w:p w14:paraId="3B6AFE69"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Change in R</w:t>
            </w:r>
            <w:r w:rsidRPr="00B31A23">
              <w:rPr>
                <w:rFonts w:eastAsiaTheme="minorHAnsi"/>
                <w:color w:val="000000"/>
                <w:vertAlign w:val="superscript"/>
                <w:lang w:val="en-GB"/>
              </w:rPr>
              <w:t>2</w:t>
            </w:r>
          </w:p>
        </w:tc>
        <w:tc>
          <w:tcPr>
            <w:tcW w:w="1843" w:type="dxa"/>
            <w:gridSpan w:val="2"/>
            <w:tcBorders>
              <w:top w:val="single" w:sz="4" w:space="0" w:color="auto"/>
              <w:left w:val="nil"/>
              <w:bottom w:val="single" w:sz="4" w:space="0" w:color="auto"/>
              <w:right w:val="nil"/>
            </w:tcBorders>
            <w:shd w:val="clear" w:color="auto" w:fill="FFFFFF"/>
            <w:vAlign w:val="bottom"/>
          </w:tcPr>
          <w:p w14:paraId="12AED1CC"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Unstandardized Coefficients</w:t>
            </w:r>
          </w:p>
        </w:tc>
        <w:tc>
          <w:tcPr>
            <w:tcW w:w="1417" w:type="dxa"/>
            <w:tcBorders>
              <w:top w:val="single" w:sz="4" w:space="0" w:color="auto"/>
              <w:left w:val="nil"/>
              <w:bottom w:val="single" w:sz="4" w:space="0" w:color="auto"/>
              <w:right w:val="nil"/>
            </w:tcBorders>
            <w:shd w:val="clear" w:color="auto" w:fill="FFFFFF"/>
            <w:vAlign w:val="bottom"/>
          </w:tcPr>
          <w:p w14:paraId="57B335CE"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Standardized Coefficients</w:t>
            </w:r>
          </w:p>
        </w:tc>
        <w:tc>
          <w:tcPr>
            <w:tcW w:w="851" w:type="dxa"/>
            <w:vMerge w:val="restart"/>
            <w:tcBorders>
              <w:top w:val="single" w:sz="4" w:space="0" w:color="auto"/>
              <w:left w:val="nil"/>
              <w:bottom w:val="single" w:sz="4" w:space="0" w:color="auto"/>
              <w:right w:val="nil"/>
            </w:tcBorders>
            <w:shd w:val="clear" w:color="auto" w:fill="FFFFFF"/>
            <w:vAlign w:val="bottom"/>
          </w:tcPr>
          <w:p w14:paraId="1124109B"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t</w:t>
            </w:r>
          </w:p>
        </w:tc>
        <w:tc>
          <w:tcPr>
            <w:tcW w:w="709" w:type="dxa"/>
            <w:vMerge w:val="restart"/>
            <w:tcBorders>
              <w:top w:val="single" w:sz="4" w:space="0" w:color="auto"/>
              <w:left w:val="nil"/>
              <w:bottom w:val="single" w:sz="4" w:space="0" w:color="auto"/>
              <w:right w:val="nil"/>
            </w:tcBorders>
            <w:shd w:val="clear" w:color="auto" w:fill="FFFFFF"/>
            <w:vAlign w:val="bottom"/>
          </w:tcPr>
          <w:p w14:paraId="2F9DCBF2"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Sig.</w:t>
            </w:r>
          </w:p>
        </w:tc>
        <w:tc>
          <w:tcPr>
            <w:tcW w:w="2126" w:type="dxa"/>
            <w:gridSpan w:val="2"/>
            <w:tcBorders>
              <w:top w:val="single" w:sz="4" w:space="0" w:color="auto"/>
              <w:left w:val="nil"/>
              <w:bottom w:val="single" w:sz="4" w:space="0" w:color="auto"/>
            </w:tcBorders>
            <w:shd w:val="clear" w:color="auto" w:fill="FFFFFF"/>
            <w:vAlign w:val="bottom"/>
          </w:tcPr>
          <w:p w14:paraId="53A5E13F"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95.0% Confidence Interval for B</w:t>
            </w:r>
          </w:p>
        </w:tc>
      </w:tr>
      <w:tr w:rsidR="000F7CAB" w:rsidRPr="00B31A23" w14:paraId="72F5DD29" w14:textId="77777777" w:rsidTr="00943118">
        <w:trPr>
          <w:cantSplit/>
        </w:trPr>
        <w:tc>
          <w:tcPr>
            <w:tcW w:w="3119" w:type="dxa"/>
            <w:gridSpan w:val="3"/>
            <w:vMerge/>
            <w:tcBorders>
              <w:top w:val="nil"/>
              <w:bottom w:val="nil"/>
              <w:right w:val="nil"/>
            </w:tcBorders>
            <w:shd w:val="clear" w:color="auto" w:fill="FFFFFF"/>
            <w:vAlign w:val="bottom"/>
          </w:tcPr>
          <w:p w14:paraId="48892ED9" w14:textId="77777777" w:rsidR="000F7CAB" w:rsidRPr="00B31A23" w:rsidRDefault="000F7CAB" w:rsidP="006B6960">
            <w:pPr>
              <w:autoSpaceDE w:val="0"/>
              <w:autoSpaceDN w:val="0"/>
              <w:adjustRightInd w:val="0"/>
              <w:rPr>
                <w:rFonts w:eastAsiaTheme="minorHAnsi"/>
                <w:color w:val="000000"/>
                <w:lang w:val="en-GB"/>
              </w:rPr>
            </w:pPr>
          </w:p>
        </w:tc>
        <w:tc>
          <w:tcPr>
            <w:tcW w:w="1276" w:type="dxa"/>
            <w:tcBorders>
              <w:top w:val="nil"/>
              <w:left w:val="nil"/>
              <w:bottom w:val="nil"/>
              <w:right w:val="nil"/>
            </w:tcBorders>
            <w:shd w:val="clear" w:color="auto" w:fill="FFFFFF"/>
          </w:tcPr>
          <w:p w14:paraId="51D71F89"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p>
          <w:p w14:paraId="44E1A967"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p>
        </w:tc>
        <w:tc>
          <w:tcPr>
            <w:tcW w:w="1843" w:type="dxa"/>
            <w:gridSpan w:val="2"/>
            <w:tcBorders>
              <w:top w:val="nil"/>
              <w:left w:val="nil"/>
              <w:bottom w:val="nil"/>
              <w:right w:val="nil"/>
            </w:tcBorders>
            <w:shd w:val="clear" w:color="auto" w:fill="FFFFFF"/>
          </w:tcPr>
          <w:p w14:paraId="202CBE12"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p>
        </w:tc>
        <w:tc>
          <w:tcPr>
            <w:tcW w:w="851" w:type="dxa"/>
            <w:tcBorders>
              <w:top w:val="single" w:sz="4" w:space="0" w:color="auto"/>
              <w:left w:val="nil"/>
              <w:bottom w:val="nil"/>
              <w:right w:val="nil"/>
            </w:tcBorders>
            <w:shd w:val="clear" w:color="auto" w:fill="FFFFFF"/>
            <w:vAlign w:val="bottom"/>
          </w:tcPr>
          <w:p w14:paraId="6F84705C"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B</w:t>
            </w:r>
          </w:p>
        </w:tc>
        <w:tc>
          <w:tcPr>
            <w:tcW w:w="992" w:type="dxa"/>
            <w:tcBorders>
              <w:top w:val="single" w:sz="4" w:space="0" w:color="auto"/>
              <w:left w:val="nil"/>
              <w:bottom w:val="nil"/>
              <w:right w:val="nil"/>
            </w:tcBorders>
            <w:shd w:val="clear" w:color="auto" w:fill="FFFFFF"/>
            <w:vAlign w:val="bottom"/>
          </w:tcPr>
          <w:p w14:paraId="46D75FA0"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Std. Error</w:t>
            </w:r>
          </w:p>
        </w:tc>
        <w:tc>
          <w:tcPr>
            <w:tcW w:w="1417" w:type="dxa"/>
            <w:tcBorders>
              <w:top w:val="single" w:sz="4" w:space="0" w:color="auto"/>
              <w:left w:val="nil"/>
              <w:bottom w:val="nil"/>
              <w:right w:val="nil"/>
            </w:tcBorders>
            <w:shd w:val="clear" w:color="auto" w:fill="FFFFFF"/>
            <w:vAlign w:val="bottom"/>
          </w:tcPr>
          <w:p w14:paraId="4F7C4DAC"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β</w:t>
            </w:r>
          </w:p>
        </w:tc>
        <w:tc>
          <w:tcPr>
            <w:tcW w:w="851" w:type="dxa"/>
            <w:vMerge/>
            <w:tcBorders>
              <w:top w:val="single" w:sz="4" w:space="0" w:color="auto"/>
              <w:left w:val="nil"/>
              <w:bottom w:val="nil"/>
              <w:right w:val="nil"/>
            </w:tcBorders>
            <w:shd w:val="clear" w:color="auto" w:fill="FFFFFF"/>
            <w:vAlign w:val="bottom"/>
          </w:tcPr>
          <w:p w14:paraId="6EBCA370" w14:textId="77777777" w:rsidR="000F7CAB" w:rsidRPr="00B31A23" w:rsidRDefault="000F7CAB" w:rsidP="006B6960">
            <w:pPr>
              <w:autoSpaceDE w:val="0"/>
              <w:autoSpaceDN w:val="0"/>
              <w:adjustRightInd w:val="0"/>
              <w:rPr>
                <w:rFonts w:eastAsiaTheme="minorHAnsi"/>
                <w:color w:val="000000"/>
                <w:lang w:val="en-GB"/>
              </w:rPr>
            </w:pPr>
          </w:p>
        </w:tc>
        <w:tc>
          <w:tcPr>
            <w:tcW w:w="709" w:type="dxa"/>
            <w:vMerge/>
            <w:tcBorders>
              <w:top w:val="single" w:sz="4" w:space="0" w:color="auto"/>
              <w:left w:val="nil"/>
              <w:bottom w:val="nil"/>
              <w:right w:val="nil"/>
            </w:tcBorders>
            <w:shd w:val="clear" w:color="auto" w:fill="FFFFFF"/>
            <w:vAlign w:val="bottom"/>
          </w:tcPr>
          <w:p w14:paraId="55D6E55D" w14:textId="77777777" w:rsidR="000F7CAB" w:rsidRPr="00B31A23" w:rsidRDefault="000F7CAB" w:rsidP="006B6960">
            <w:pPr>
              <w:autoSpaceDE w:val="0"/>
              <w:autoSpaceDN w:val="0"/>
              <w:adjustRightInd w:val="0"/>
              <w:rPr>
                <w:rFonts w:eastAsiaTheme="minorHAnsi"/>
                <w:color w:val="000000"/>
                <w:lang w:val="en-GB"/>
              </w:rPr>
            </w:pPr>
          </w:p>
        </w:tc>
        <w:tc>
          <w:tcPr>
            <w:tcW w:w="1049" w:type="dxa"/>
            <w:tcBorders>
              <w:top w:val="single" w:sz="4" w:space="0" w:color="auto"/>
              <w:left w:val="nil"/>
              <w:bottom w:val="nil"/>
              <w:right w:val="nil"/>
            </w:tcBorders>
            <w:shd w:val="clear" w:color="auto" w:fill="FFFFFF"/>
            <w:vAlign w:val="bottom"/>
          </w:tcPr>
          <w:p w14:paraId="302A0D5C"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Lower Bound</w:t>
            </w:r>
          </w:p>
        </w:tc>
        <w:tc>
          <w:tcPr>
            <w:tcW w:w="1077" w:type="dxa"/>
            <w:tcBorders>
              <w:top w:val="single" w:sz="4" w:space="0" w:color="auto"/>
              <w:left w:val="nil"/>
              <w:bottom w:val="nil"/>
            </w:tcBorders>
            <w:shd w:val="clear" w:color="auto" w:fill="FFFFFF"/>
            <w:vAlign w:val="bottom"/>
          </w:tcPr>
          <w:p w14:paraId="584F3D77"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Upper Bound</w:t>
            </w:r>
          </w:p>
        </w:tc>
      </w:tr>
      <w:tr w:rsidR="000F7CAB" w:rsidRPr="00B31A23" w14:paraId="0C5AE9EA" w14:textId="77777777" w:rsidTr="00943118">
        <w:trPr>
          <w:cantSplit/>
        </w:trPr>
        <w:tc>
          <w:tcPr>
            <w:tcW w:w="284" w:type="dxa"/>
            <w:tcBorders>
              <w:top w:val="nil"/>
              <w:bottom w:val="nil"/>
              <w:right w:val="nil"/>
            </w:tcBorders>
            <w:shd w:val="clear" w:color="auto" w:fill="FFFFFF"/>
          </w:tcPr>
          <w:p w14:paraId="5D32736A" w14:textId="77777777" w:rsidR="000F7CAB" w:rsidRPr="00B31A23" w:rsidRDefault="000F7CAB" w:rsidP="006B6960">
            <w:pPr>
              <w:autoSpaceDE w:val="0"/>
              <w:autoSpaceDN w:val="0"/>
              <w:adjustRightInd w:val="0"/>
              <w:spacing w:line="320" w:lineRule="atLeast"/>
              <w:ind w:left="60" w:right="60"/>
              <w:rPr>
                <w:rFonts w:eastAsiaTheme="minorHAnsi"/>
                <w:color w:val="000000"/>
                <w:lang w:val="en-GB"/>
              </w:rPr>
            </w:pPr>
            <w:r w:rsidRPr="00B31A23">
              <w:rPr>
                <w:rFonts w:eastAsiaTheme="minorHAnsi"/>
                <w:color w:val="000000"/>
                <w:lang w:val="en-GB"/>
              </w:rPr>
              <w:t>1</w:t>
            </w:r>
          </w:p>
        </w:tc>
        <w:tc>
          <w:tcPr>
            <w:tcW w:w="2835" w:type="dxa"/>
            <w:gridSpan w:val="2"/>
            <w:tcBorders>
              <w:top w:val="nil"/>
              <w:left w:val="nil"/>
              <w:bottom w:val="nil"/>
              <w:right w:val="nil"/>
            </w:tcBorders>
            <w:shd w:val="clear" w:color="auto" w:fill="FFFFFF"/>
          </w:tcPr>
          <w:p w14:paraId="73829DB8" w14:textId="77777777" w:rsidR="000F7CAB" w:rsidRPr="00B31A23" w:rsidRDefault="000F7CAB" w:rsidP="00F16B80">
            <w:pPr>
              <w:autoSpaceDE w:val="0"/>
              <w:autoSpaceDN w:val="0"/>
              <w:adjustRightInd w:val="0"/>
              <w:spacing w:line="320" w:lineRule="atLeast"/>
              <w:ind w:right="60"/>
              <w:rPr>
                <w:rFonts w:eastAsiaTheme="minorHAnsi"/>
                <w:color w:val="000000"/>
                <w:lang w:val="en-GB"/>
              </w:rPr>
            </w:pPr>
            <w:r w:rsidRPr="00B31A23">
              <w:rPr>
                <w:rFonts w:eastAsiaTheme="minorHAnsi"/>
                <w:color w:val="000000"/>
                <w:lang w:val="en-GB"/>
              </w:rPr>
              <w:t>(Constant)</w:t>
            </w:r>
          </w:p>
        </w:tc>
        <w:tc>
          <w:tcPr>
            <w:tcW w:w="1276" w:type="dxa"/>
            <w:tcBorders>
              <w:top w:val="nil"/>
              <w:left w:val="nil"/>
              <w:bottom w:val="nil"/>
              <w:right w:val="nil"/>
            </w:tcBorders>
            <w:shd w:val="clear" w:color="auto" w:fill="FFFFFF"/>
          </w:tcPr>
          <w:p w14:paraId="74E9917A" w14:textId="788B0E5C"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.1</w:t>
            </w:r>
            <w:r w:rsidR="006B6960" w:rsidRPr="00B31A23">
              <w:rPr>
                <w:rFonts w:eastAsiaTheme="minorHAnsi"/>
                <w:color w:val="000000"/>
                <w:lang w:val="en-GB"/>
              </w:rPr>
              <w:t>18</w:t>
            </w:r>
          </w:p>
        </w:tc>
        <w:tc>
          <w:tcPr>
            <w:tcW w:w="1843" w:type="dxa"/>
            <w:gridSpan w:val="2"/>
            <w:tcBorders>
              <w:top w:val="nil"/>
              <w:left w:val="nil"/>
              <w:bottom w:val="nil"/>
              <w:right w:val="nil"/>
            </w:tcBorders>
            <w:shd w:val="clear" w:color="auto" w:fill="FFFFFF"/>
          </w:tcPr>
          <w:p w14:paraId="3F7EFC6B" w14:textId="0176D895"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.1</w:t>
            </w:r>
            <w:r w:rsidR="006B6960" w:rsidRPr="00B31A23">
              <w:rPr>
                <w:rFonts w:eastAsiaTheme="minorHAnsi"/>
                <w:color w:val="000000"/>
                <w:lang w:val="en-GB"/>
              </w:rPr>
              <w:t>11</w:t>
            </w:r>
            <w:r w:rsidR="005D374B" w:rsidRPr="00B31A23">
              <w:rPr>
                <w:rFonts w:eastAsiaTheme="minorHAnsi"/>
                <w:color w:val="000000"/>
                <w:lang w:val="en-GB"/>
              </w:rPr>
              <w:t>**</w:t>
            </w:r>
          </w:p>
        </w:tc>
        <w:tc>
          <w:tcPr>
            <w:tcW w:w="851" w:type="dxa"/>
            <w:tcBorders>
              <w:top w:val="nil"/>
              <w:left w:val="nil"/>
              <w:bottom w:val="nil"/>
              <w:right w:val="nil"/>
            </w:tcBorders>
            <w:shd w:val="clear" w:color="auto" w:fill="FFFFFF"/>
            <w:vAlign w:val="center"/>
          </w:tcPr>
          <w:p w14:paraId="05A65B88" w14:textId="404AE604" w:rsidR="000F7CAB" w:rsidRPr="00B31A23" w:rsidRDefault="00E66929"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32.360</w:t>
            </w:r>
          </w:p>
        </w:tc>
        <w:tc>
          <w:tcPr>
            <w:tcW w:w="992" w:type="dxa"/>
            <w:tcBorders>
              <w:top w:val="nil"/>
              <w:left w:val="nil"/>
              <w:bottom w:val="nil"/>
              <w:right w:val="nil"/>
            </w:tcBorders>
            <w:shd w:val="clear" w:color="auto" w:fill="FFFFFF"/>
            <w:vAlign w:val="center"/>
          </w:tcPr>
          <w:p w14:paraId="5A122EE5" w14:textId="0B2DEF16" w:rsidR="000F7CAB" w:rsidRPr="00B31A23" w:rsidRDefault="00E66929"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4.243</w:t>
            </w:r>
          </w:p>
        </w:tc>
        <w:tc>
          <w:tcPr>
            <w:tcW w:w="1417" w:type="dxa"/>
            <w:tcBorders>
              <w:top w:val="nil"/>
              <w:left w:val="nil"/>
              <w:bottom w:val="nil"/>
              <w:right w:val="nil"/>
            </w:tcBorders>
            <w:shd w:val="clear" w:color="auto" w:fill="FFFFFF"/>
          </w:tcPr>
          <w:p w14:paraId="069DF3C4" w14:textId="77777777" w:rsidR="000F7CAB" w:rsidRPr="00B31A23" w:rsidRDefault="000F7CAB" w:rsidP="006B6960">
            <w:pPr>
              <w:autoSpaceDE w:val="0"/>
              <w:autoSpaceDN w:val="0"/>
              <w:adjustRightInd w:val="0"/>
              <w:jc w:val="center"/>
              <w:rPr>
                <w:rFonts w:eastAsiaTheme="minorHAnsi"/>
                <w:lang w:val="en-GB"/>
              </w:rPr>
            </w:pPr>
          </w:p>
        </w:tc>
        <w:tc>
          <w:tcPr>
            <w:tcW w:w="851" w:type="dxa"/>
            <w:tcBorders>
              <w:top w:val="nil"/>
              <w:left w:val="nil"/>
              <w:bottom w:val="nil"/>
              <w:right w:val="nil"/>
            </w:tcBorders>
            <w:shd w:val="clear" w:color="auto" w:fill="FFFFFF"/>
            <w:vAlign w:val="center"/>
          </w:tcPr>
          <w:p w14:paraId="749D613E" w14:textId="08C16BA3" w:rsidR="000F7CAB" w:rsidRPr="00B31A23" w:rsidRDefault="00E66929"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7</w:t>
            </w:r>
            <w:r w:rsidR="000F7CAB" w:rsidRPr="00B31A23">
              <w:rPr>
                <w:rFonts w:eastAsiaTheme="minorHAnsi"/>
                <w:lang w:val="en-GB"/>
              </w:rPr>
              <w:t>.</w:t>
            </w:r>
            <w:r w:rsidRPr="00B31A23">
              <w:rPr>
                <w:rFonts w:eastAsiaTheme="minorHAnsi"/>
                <w:lang w:val="en-GB"/>
              </w:rPr>
              <w:t>627</w:t>
            </w:r>
          </w:p>
        </w:tc>
        <w:tc>
          <w:tcPr>
            <w:tcW w:w="709" w:type="dxa"/>
            <w:tcBorders>
              <w:top w:val="nil"/>
              <w:left w:val="nil"/>
              <w:bottom w:val="nil"/>
              <w:right w:val="nil"/>
            </w:tcBorders>
            <w:shd w:val="clear" w:color="auto" w:fill="FFFFFF"/>
            <w:vAlign w:val="center"/>
          </w:tcPr>
          <w:p w14:paraId="54A88CD2" w14:textId="540EB0C9" w:rsidR="000F7CAB" w:rsidRPr="00B31A23" w:rsidRDefault="000F7CAB"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.000</w:t>
            </w:r>
          </w:p>
        </w:tc>
        <w:tc>
          <w:tcPr>
            <w:tcW w:w="1049" w:type="dxa"/>
            <w:tcBorders>
              <w:top w:val="nil"/>
              <w:left w:val="nil"/>
              <w:bottom w:val="nil"/>
              <w:right w:val="nil"/>
            </w:tcBorders>
            <w:shd w:val="clear" w:color="auto" w:fill="FFFFFF"/>
            <w:vAlign w:val="center"/>
          </w:tcPr>
          <w:p w14:paraId="612F3385" w14:textId="30BCDB8E" w:rsidR="000F7CAB" w:rsidRPr="00B31A23" w:rsidRDefault="00884E9D" w:rsidP="00884E9D">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23.962</w:t>
            </w:r>
          </w:p>
        </w:tc>
        <w:tc>
          <w:tcPr>
            <w:tcW w:w="1077" w:type="dxa"/>
            <w:tcBorders>
              <w:top w:val="nil"/>
              <w:left w:val="nil"/>
              <w:bottom w:val="nil"/>
            </w:tcBorders>
            <w:shd w:val="clear" w:color="auto" w:fill="FFFFFF"/>
            <w:vAlign w:val="center"/>
          </w:tcPr>
          <w:p w14:paraId="6AD87059" w14:textId="6DF7350F" w:rsidR="000F7CAB" w:rsidRPr="00B31A23" w:rsidRDefault="00884E9D"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40.758</w:t>
            </w:r>
          </w:p>
        </w:tc>
      </w:tr>
      <w:tr w:rsidR="000F7CAB" w:rsidRPr="00B31A23" w14:paraId="44AAC4EB" w14:textId="77777777" w:rsidTr="00943118">
        <w:trPr>
          <w:cantSplit/>
        </w:trPr>
        <w:tc>
          <w:tcPr>
            <w:tcW w:w="284" w:type="dxa"/>
            <w:tcBorders>
              <w:top w:val="nil"/>
              <w:bottom w:val="nil"/>
              <w:right w:val="nil"/>
            </w:tcBorders>
            <w:shd w:val="clear" w:color="auto" w:fill="FFFFFF"/>
          </w:tcPr>
          <w:p w14:paraId="16CC78EC" w14:textId="77777777" w:rsidR="000F7CAB" w:rsidRPr="00B31A23" w:rsidRDefault="000F7CAB" w:rsidP="006B6960">
            <w:pPr>
              <w:autoSpaceDE w:val="0"/>
              <w:autoSpaceDN w:val="0"/>
              <w:adjustRightInd w:val="0"/>
              <w:spacing w:line="320" w:lineRule="atLeast"/>
              <w:ind w:left="60" w:right="60"/>
              <w:rPr>
                <w:rFonts w:eastAsiaTheme="minorHAnsi"/>
                <w:color w:val="000000"/>
                <w:lang w:val="en-GB"/>
              </w:rPr>
            </w:pPr>
          </w:p>
        </w:tc>
        <w:tc>
          <w:tcPr>
            <w:tcW w:w="2835" w:type="dxa"/>
            <w:gridSpan w:val="2"/>
            <w:tcBorders>
              <w:top w:val="nil"/>
              <w:left w:val="nil"/>
              <w:bottom w:val="nil"/>
              <w:right w:val="nil"/>
            </w:tcBorders>
            <w:shd w:val="clear" w:color="auto" w:fill="FFFFFF"/>
          </w:tcPr>
          <w:p w14:paraId="3D47B114" w14:textId="77777777" w:rsidR="000F7CAB" w:rsidRPr="00B31A23" w:rsidRDefault="000F7CAB" w:rsidP="006B6960">
            <w:pPr>
              <w:autoSpaceDE w:val="0"/>
              <w:autoSpaceDN w:val="0"/>
              <w:adjustRightInd w:val="0"/>
              <w:spacing w:line="320" w:lineRule="atLeast"/>
              <w:ind w:left="60" w:right="60"/>
              <w:rPr>
                <w:rFonts w:eastAsiaTheme="minorHAnsi"/>
                <w:color w:val="000000"/>
                <w:lang w:val="en-GB"/>
              </w:rPr>
            </w:pPr>
            <w:r w:rsidRPr="00B31A23">
              <w:rPr>
                <w:rFonts w:eastAsiaTheme="minorHAnsi"/>
                <w:color w:val="000000"/>
                <w:lang w:val="en-GB"/>
              </w:rPr>
              <w:t>HAI</w:t>
            </w:r>
          </w:p>
        </w:tc>
        <w:tc>
          <w:tcPr>
            <w:tcW w:w="1276" w:type="dxa"/>
            <w:tcBorders>
              <w:top w:val="nil"/>
              <w:left w:val="nil"/>
              <w:bottom w:val="nil"/>
              <w:right w:val="nil"/>
            </w:tcBorders>
            <w:shd w:val="clear" w:color="auto" w:fill="FFFFFF"/>
          </w:tcPr>
          <w:p w14:paraId="026120B7"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p>
        </w:tc>
        <w:tc>
          <w:tcPr>
            <w:tcW w:w="1843" w:type="dxa"/>
            <w:gridSpan w:val="2"/>
            <w:tcBorders>
              <w:top w:val="nil"/>
              <w:left w:val="nil"/>
              <w:bottom w:val="nil"/>
              <w:right w:val="nil"/>
            </w:tcBorders>
            <w:shd w:val="clear" w:color="auto" w:fill="FFFFFF"/>
          </w:tcPr>
          <w:p w14:paraId="6330B4CA" w14:textId="77777777" w:rsidR="000F7CAB" w:rsidRPr="00B31A23" w:rsidRDefault="000F7CAB" w:rsidP="006B6960">
            <w:pPr>
              <w:autoSpaceDE w:val="0"/>
              <w:autoSpaceDN w:val="0"/>
              <w:adjustRightInd w:val="0"/>
              <w:spacing w:line="320" w:lineRule="atLeast"/>
              <w:ind w:left="60" w:right="60"/>
              <w:jc w:val="center"/>
              <w:rPr>
                <w:rFonts w:eastAsiaTheme="minorHAnsi"/>
                <w:color w:val="000000"/>
                <w:lang w:val="en-GB"/>
              </w:rPr>
            </w:pPr>
          </w:p>
        </w:tc>
        <w:tc>
          <w:tcPr>
            <w:tcW w:w="851" w:type="dxa"/>
            <w:tcBorders>
              <w:top w:val="nil"/>
              <w:left w:val="nil"/>
              <w:bottom w:val="nil"/>
              <w:right w:val="nil"/>
            </w:tcBorders>
            <w:shd w:val="clear" w:color="auto" w:fill="FFFFFF"/>
            <w:vAlign w:val="center"/>
          </w:tcPr>
          <w:p w14:paraId="5E949EF2" w14:textId="4E02C24A" w:rsidR="000F7CAB" w:rsidRPr="00B31A23" w:rsidRDefault="000F7CAB"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w:t>
            </w:r>
            <w:r w:rsidR="00E66929" w:rsidRPr="00B31A23">
              <w:rPr>
                <w:rFonts w:eastAsiaTheme="minorHAnsi"/>
                <w:lang w:val="en-GB"/>
              </w:rPr>
              <w:t>653</w:t>
            </w:r>
          </w:p>
        </w:tc>
        <w:tc>
          <w:tcPr>
            <w:tcW w:w="992" w:type="dxa"/>
            <w:tcBorders>
              <w:top w:val="nil"/>
              <w:left w:val="nil"/>
              <w:bottom w:val="nil"/>
              <w:right w:val="nil"/>
            </w:tcBorders>
            <w:shd w:val="clear" w:color="auto" w:fill="FFFFFF"/>
            <w:vAlign w:val="center"/>
          </w:tcPr>
          <w:p w14:paraId="06A29A89" w14:textId="3B000C23" w:rsidR="000F7CAB" w:rsidRPr="00B31A23" w:rsidRDefault="000F7CAB"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w:t>
            </w:r>
            <w:r w:rsidR="00E66929" w:rsidRPr="00B31A23">
              <w:rPr>
                <w:rFonts w:eastAsiaTheme="minorHAnsi"/>
                <w:lang w:val="en-GB"/>
              </w:rPr>
              <w:t>161</w:t>
            </w:r>
          </w:p>
        </w:tc>
        <w:tc>
          <w:tcPr>
            <w:tcW w:w="1417" w:type="dxa"/>
            <w:tcBorders>
              <w:top w:val="nil"/>
              <w:left w:val="nil"/>
              <w:bottom w:val="nil"/>
              <w:right w:val="nil"/>
            </w:tcBorders>
            <w:shd w:val="clear" w:color="auto" w:fill="FFFFFF"/>
          </w:tcPr>
          <w:p w14:paraId="270F2D79" w14:textId="3FF348D6" w:rsidR="000F7CAB" w:rsidRPr="00B31A23" w:rsidRDefault="000F7CAB" w:rsidP="006B6960">
            <w:pPr>
              <w:autoSpaceDE w:val="0"/>
              <w:autoSpaceDN w:val="0"/>
              <w:adjustRightInd w:val="0"/>
              <w:jc w:val="center"/>
              <w:rPr>
                <w:rFonts w:eastAsiaTheme="minorHAnsi"/>
                <w:lang w:val="en-GB"/>
              </w:rPr>
            </w:pPr>
            <w:r w:rsidRPr="00B31A23">
              <w:rPr>
                <w:rFonts w:eastAsiaTheme="minorHAnsi"/>
                <w:lang w:val="en-GB"/>
              </w:rPr>
              <w:t>.</w:t>
            </w:r>
            <w:r w:rsidR="00E66929" w:rsidRPr="00B31A23">
              <w:rPr>
                <w:rFonts w:eastAsiaTheme="minorHAnsi"/>
                <w:lang w:val="en-GB"/>
              </w:rPr>
              <w:t>344</w:t>
            </w:r>
          </w:p>
        </w:tc>
        <w:tc>
          <w:tcPr>
            <w:tcW w:w="851" w:type="dxa"/>
            <w:tcBorders>
              <w:top w:val="nil"/>
              <w:left w:val="nil"/>
              <w:bottom w:val="nil"/>
              <w:right w:val="nil"/>
            </w:tcBorders>
            <w:shd w:val="clear" w:color="auto" w:fill="FFFFFF"/>
            <w:vAlign w:val="center"/>
          </w:tcPr>
          <w:p w14:paraId="0C503B2D" w14:textId="6B74F857" w:rsidR="000F7CAB" w:rsidRPr="00B31A23" w:rsidRDefault="000F7CAB"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4.</w:t>
            </w:r>
            <w:r w:rsidR="00E66929" w:rsidRPr="00B31A23">
              <w:rPr>
                <w:rFonts w:eastAsiaTheme="minorHAnsi"/>
                <w:lang w:val="en-GB"/>
              </w:rPr>
              <w:t>064</w:t>
            </w:r>
          </w:p>
        </w:tc>
        <w:tc>
          <w:tcPr>
            <w:tcW w:w="709" w:type="dxa"/>
            <w:tcBorders>
              <w:top w:val="nil"/>
              <w:left w:val="nil"/>
              <w:bottom w:val="nil"/>
              <w:right w:val="nil"/>
            </w:tcBorders>
            <w:shd w:val="clear" w:color="auto" w:fill="FFFFFF"/>
            <w:vAlign w:val="center"/>
          </w:tcPr>
          <w:p w14:paraId="7CFAD402" w14:textId="77777777" w:rsidR="000F7CAB" w:rsidRPr="00B31A23" w:rsidRDefault="000F7CAB"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.000</w:t>
            </w:r>
          </w:p>
        </w:tc>
        <w:tc>
          <w:tcPr>
            <w:tcW w:w="1049" w:type="dxa"/>
            <w:tcBorders>
              <w:top w:val="nil"/>
              <w:left w:val="nil"/>
              <w:bottom w:val="nil"/>
              <w:right w:val="nil"/>
            </w:tcBorders>
            <w:shd w:val="clear" w:color="auto" w:fill="FFFFFF"/>
            <w:vAlign w:val="center"/>
          </w:tcPr>
          <w:p w14:paraId="3DA44670" w14:textId="5263C2A0" w:rsidR="000F7CAB" w:rsidRPr="00B31A23" w:rsidRDefault="00884E9D"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.335</w:t>
            </w:r>
          </w:p>
        </w:tc>
        <w:tc>
          <w:tcPr>
            <w:tcW w:w="1077" w:type="dxa"/>
            <w:tcBorders>
              <w:top w:val="nil"/>
              <w:left w:val="nil"/>
              <w:bottom w:val="nil"/>
            </w:tcBorders>
            <w:shd w:val="clear" w:color="auto" w:fill="FFFFFF"/>
            <w:vAlign w:val="center"/>
          </w:tcPr>
          <w:p w14:paraId="622F1E50" w14:textId="21C644A4" w:rsidR="000F7CAB" w:rsidRPr="00B31A23" w:rsidRDefault="00884E9D"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.972</w:t>
            </w:r>
          </w:p>
        </w:tc>
      </w:tr>
      <w:tr w:rsidR="00F16B80" w:rsidRPr="00B31A23" w14:paraId="5B4DD92C" w14:textId="77777777" w:rsidTr="00943118">
        <w:trPr>
          <w:cantSplit/>
        </w:trPr>
        <w:tc>
          <w:tcPr>
            <w:tcW w:w="284" w:type="dxa"/>
            <w:tcBorders>
              <w:top w:val="nil"/>
              <w:bottom w:val="nil"/>
              <w:right w:val="nil"/>
            </w:tcBorders>
            <w:shd w:val="clear" w:color="auto" w:fill="FFFFFF"/>
          </w:tcPr>
          <w:p w14:paraId="7E223B93" w14:textId="77777777" w:rsidR="00F16B80" w:rsidRPr="00B31A23" w:rsidRDefault="00F16B80" w:rsidP="006B6960">
            <w:pPr>
              <w:autoSpaceDE w:val="0"/>
              <w:autoSpaceDN w:val="0"/>
              <w:adjustRightInd w:val="0"/>
              <w:spacing w:line="320" w:lineRule="atLeast"/>
              <w:ind w:left="60" w:right="60"/>
              <w:rPr>
                <w:rFonts w:eastAsiaTheme="minorHAnsi"/>
                <w:color w:val="000000"/>
                <w:lang w:val="en-GB"/>
              </w:rPr>
            </w:pPr>
          </w:p>
        </w:tc>
        <w:tc>
          <w:tcPr>
            <w:tcW w:w="2835" w:type="dxa"/>
            <w:gridSpan w:val="2"/>
            <w:tcBorders>
              <w:top w:val="nil"/>
              <w:left w:val="nil"/>
              <w:bottom w:val="nil"/>
              <w:right w:val="nil"/>
            </w:tcBorders>
            <w:shd w:val="clear" w:color="auto" w:fill="FFFFFF"/>
          </w:tcPr>
          <w:p w14:paraId="02548273" w14:textId="650ED60C" w:rsidR="00F16B80" w:rsidRPr="00B31A23" w:rsidRDefault="00F16B80" w:rsidP="006B6960">
            <w:pPr>
              <w:autoSpaceDE w:val="0"/>
              <w:autoSpaceDN w:val="0"/>
              <w:adjustRightInd w:val="0"/>
              <w:spacing w:line="320" w:lineRule="atLeast"/>
              <w:ind w:left="60" w:right="60"/>
              <w:rPr>
                <w:rFonts w:eastAsiaTheme="minorHAnsi"/>
                <w:color w:val="000000"/>
                <w:lang w:val="en-GB"/>
              </w:rPr>
            </w:pPr>
          </w:p>
        </w:tc>
        <w:tc>
          <w:tcPr>
            <w:tcW w:w="1276" w:type="dxa"/>
            <w:tcBorders>
              <w:top w:val="nil"/>
              <w:left w:val="nil"/>
              <w:bottom w:val="nil"/>
              <w:right w:val="nil"/>
            </w:tcBorders>
            <w:shd w:val="clear" w:color="auto" w:fill="FFFFFF"/>
          </w:tcPr>
          <w:p w14:paraId="7F1D159E"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1843" w:type="dxa"/>
            <w:gridSpan w:val="2"/>
            <w:tcBorders>
              <w:top w:val="nil"/>
              <w:left w:val="nil"/>
              <w:bottom w:val="nil"/>
              <w:right w:val="nil"/>
            </w:tcBorders>
            <w:shd w:val="clear" w:color="auto" w:fill="FFFFFF"/>
          </w:tcPr>
          <w:p w14:paraId="19D3562C"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851" w:type="dxa"/>
            <w:tcBorders>
              <w:top w:val="nil"/>
              <w:left w:val="nil"/>
              <w:bottom w:val="nil"/>
              <w:right w:val="nil"/>
            </w:tcBorders>
            <w:shd w:val="clear" w:color="auto" w:fill="FFFFFF"/>
            <w:vAlign w:val="center"/>
          </w:tcPr>
          <w:p w14:paraId="5B9DA5A2" w14:textId="77777777" w:rsidR="00F16B80" w:rsidRPr="00B31A23" w:rsidRDefault="00F16B80" w:rsidP="006B6960">
            <w:pPr>
              <w:autoSpaceDE w:val="0"/>
              <w:autoSpaceDN w:val="0"/>
              <w:adjustRightInd w:val="0"/>
              <w:spacing w:line="320" w:lineRule="atLeast"/>
              <w:ind w:left="60" w:right="60"/>
              <w:jc w:val="center"/>
              <w:rPr>
                <w:rFonts w:eastAsiaTheme="minorHAnsi"/>
                <w:lang w:val="en-GB"/>
              </w:rPr>
            </w:pPr>
          </w:p>
        </w:tc>
        <w:tc>
          <w:tcPr>
            <w:tcW w:w="992" w:type="dxa"/>
            <w:tcBorders>
              <w:top w:val="nil"/>
              <w:left w:val="nil"/>
              <w:bottom w:val="nil"/>
              <w:right w:val="nil"/>
            </w:tcBorders>
            <w:shd w:val="clear" w:color="auto" w:fill="FFFFFF"/>
            <w:vAlign w:val="center"/>
          </w:tcPr>
          <w:p w14:paraId="49E814EA" w14:textId="77777777" w:rsidR="00F16B80" w:rsidRPr="00B31A23" w:rsidRDefault="00F16B80" w:rsidP="006B6960">
            <w:pPr>
              <w:autoSpaceDE w:val="0"/>
              <w:autoSpaceDN w:val="0"/>
              <w:adjustRightInd w:val="0"/>
              <w:spacing w:line="320" w:lineRule="atLeast"/>
              <w:ind w:left="60" w:right="60"/>
              <w:jc w:val="center"/>
              <w:rPr>
                <w:rFonts w:eastAsiaTheme="minorHAnsi"/>
                <w:lang w:val="en-GB"/>
              </w:rPr>
            </w:pPr>
          </w:p>
        </w:tc>
        <w:tc>
          <w:tcPr>
            <w:tcW w:w="1417" w:type="dxa"/>
            <w:tcBorders>
              <w:top w:val="nil"/>
              <w:left w:val="nil"/>
              <w:bottom w:val="nil"/>
              <w:right w:val="nil"/>
            </w:tcBorders>
            <w:shd w:val="clear" w:color="auto" w:fill="FFFFFF"/>
          </w:tcPr>
          <w:p w14:paraId="67771F69" w14:textId="77777777" w:rsidR="00F16B80" w:rsidRPr="00B31A23" w:rsidRDefault="00F16B80" w:rsidP="006B6960">
            <w:pPr>
              <w:autoSpaceDE w:val="0"/>
              <w:autoSpaceDN w:val="0"/>
              <w:adjustRightInd w:val="0"/>
              <w:jc w:val="center"/>
              <w:rPr>
                <w:rFonts w:eastAsiaTheme="minorHAnsi"/>
                <w:lang w:val="en-GB"/>
              </w:rPr>
            </w:pPr>
          </w:p>
        </w:tc>
        <w:tc>
          <w:tcPr>
            <w:tcW w:w="851" w:type="dxa"/>
            <w:tcBorders>
              <w:top w:val="nil"/>
              <w:left w:val="nil"/>
              <w:bottom w:val="nil"/>
              <w:right w:val="nil"/>
            </w:tcBorders>
            <w:shd w:val="clear" w:color="auto" w:fill="FFFFFF"/>
            <w:vAlign w:val="center"/>
          </w:tcPr>
          <w:p w14:paraId="5FFCE725" w14:textId="77777777" w:rsidR="00F16B80" w:rsidRPr="00B31A23" w:rsidRDefault="00F16B80" w:rsidP="006B6960">
            <w:pPr>
              <w:autoSpaceDE w:val="0"/>
              <w:autoSpaceDN w:val="0"/>
              <w:adjustRightInd w:val="0"/>
              <w:spacing w:line="320" w:lineRule="atLeast"/>
              <w:ind w:left="60" w:right="60"/>
              <w:jc w:val="center"/>
              <w:rPr>
                <w:rFonts w:eastAsiaTheme="minorHAnsi"/>
                <w:lang w:val="en-GB"/>
              </w:rPr>
            </w:pPr>
          </w:p>
        </w:tc>
        <w:tc>
          <w:tcPr>
            <w:tcW w:w="709" w:type="dxa"/>
            <w:tcBorders>
              <w:top w:val="nil"/>
              <w:left w:val="nil"/>
              <w:bottom w:val="nil"/>
              <w:right w:val="nil"/>
            </w:tcBorders>
            <w:shd w:val="clear" w:color="auto" w:fill="FFFFFF"/>
            <w:vAlign w:val="center"/>
          </w:tcPr>
          <w:p w14:paraId="043C54C8" w14:textId="77777777" w:rsidR="00F16B80" w:rsidRPr="00B31A23" w:rsidRDefault="00F16B80" w:rsidP="006B6960">
            <w:pPr>
              <w:autoSpaceDE w:val="0"/>
              <w:autoSpaceDN w:val="0"/>
              <w:adjustRightInd w:val="0"/>
              <w:spacing w:line="320" w:lineRule="atLeast"/>
              <w:ind w:left="60" w:right="60"/>
              <w:jc w:val="center"/>
              <w:rPr>
                <w:rFonts w:eastAsiaTheme="minorHAnsi"/>
                <w:lang w:val="en-GB"/>
              </w:rPr>
            </w:pPr>
          </w:p>
        </w:tc>
        <w:tc>
          <w:tcPr>
            <w:tcW w:w="1049" w:type="dxa"/>
            <w:tcBorders>
              <w:top w:val="nil"/>
              <w:left w:val="nil"/>
              <w:bottom w:val="nil"/>
              <w:right w:val="nil"/>
            </w:tcBorders>
            <w:shd w:val="clear" w:color="auto" w:fill="FFFFFF"/>
            <w:vAlign w:val="center"/>
          </w:tcPr>
          <w:p w14:paraId="198D2412" w14:textId="77777777" w:rsidR="00F16B80" w:rsidRPr="00B31A23" w:rsidRDefault="00F16B80" w:rsidP="006B6960">
            <w:pPr>
              <w:autoSpaceDE w:val="0"/>
              <w:autoSpaceDN w:val="0"/>
              <w:adjustRightInd w:val="0"/>
              <w:spacing w:line="320" w:lineRule="atLeast"/>
              <w:ind w:left="60" w:right="60"/>
              <w:jc w:val="center"/>
              <w:rPr>
                <w:rFonts w:eastAsiaTheme="minorHAnsi"/>
                <w:lang w:val="en-GB"/>
              </w:rPr>
            </w:pPr>
          </w:p>
        </w:tc>
        <w:tc>
          <w:tcPr>
            <w:tcW w:w="1077" w:type="dxa"/>
            <w:tcBorders>
              <w:top w:val="nil"/>
              <w:left w:val="nil"/>
              <w:bottom w:val="nil"/>
            </w:tcBorders>
            <w:shd w:val="clear" w:color="auto" w:fill="FFFFFF"/>
            <w:vAlign w:val="center"/>
          </w:tcPr>
          <w:p w14:paraId="56AD8ED8" w14:textId="77777777" w:rsidR="00F16B80" w:rsidRPr="00B31A23" w:rsidRDefault="00F16B80" w:rsidP="006B6960">
            <w:pPr>
              <w:autoSpaceDE w:val="0"/>
              <w:autoSpaceDN w:val="0"/>
              <w:adjustRightInd w:val="0"/>
              <w:spacing w:line="320" w:lineRule="atLeast"/>
              <w:ind w:left="60" w:right="60"/>
              <w:jc w:val="center"/>
              <w:rPr>
                <w:rFonts w:eastAsiaTheme="minorHAnsi"/>
                <w:lang w:val="en-GB"/>
              </w:rPr>
            </w:pPr>
          </w:p>
        </w:tc>
      </w:tr>
      <w:tr w:rsidR="00F16B80" w:rsidRPr="00B31A23" w14:paraId="6CA4F71B" w14:textId="77777777" w:rsidTr="00943118">
        <w:trPr>
          <w:cantSplit/>
        </w:trPr>
        <w:tc>
          <w:tcPr>
            <w:tcW w:w="284" w:type="dxa"/>
            <w:tcBorders>
              <w:top w:val="nil"/>
              <w:bottom w:val="nil"/>
              <w:right w:val="nil"/>
            </w:tcBorders>
            <w:shd w:val="clear" w:color="auto" w:fill="FFFFFF"/>
          </w:tcPr>
          <w:p w14:paraId="71C5749A" w14:textId="2236DF43" w:rsidR="00F16B80" w:rsidRPr="00B31A23" w:rsidRDefault="00F16B80" w:rsidP="006B6960">
            <w:pPr>
              <w:autoSpaceDE w:val="0"/>
              <w:autoSpaceDN w:val="0"/>
              <w:adjustRightInd w:val="0"/>
              <w:spacing w:line="320" w:lineRule="atLeast"/>
              <w:ind w:left="60" w:right="60"/>
              <w:rPr>
                <w:rFonts w:eastAsiaTheme="minorHAnsi"/>
                <w:color w:val="000000"/>
                <w:lang w:val="en-GB"/>
              </w:rPr>
            </w:pPr>
            <w:r w:rsidRPr="00B31A23">
              <w:rPr>
                <w:rFonts w:eastAsiaTheme="minorHAnsi"/>
                <w:color w:val="000000"/>
                <w:lang w:val="en-GB"/>
              </w:rPr>
              <w:t xml:space="preserve">2 </w:t>
            </w:r>
          </w:p>
        </w:tc>
        <w:tc>
          <w:tcPr>
            <w:tcW w:w="2835" w:type="dxa"/>
            <w:gridSpan w:val="2"/>
            <w:tcBorders>
              <w:top w:val="nil"/>
              <w:left w:val="nil"/>
              <w:bottom w:val="nil"/>
              <w:right w:val="nil"/>
            </w:tcBorders>
            <w:shd w:val="clear" w:color="auto" w:fill="FFFFFF"/>
          </w:tcPr>
          <w:p w14:paraId="3F1727BD" w14:textId="003897EB" w:rsidR="00F16B80" w:rsidRPr="00B31A23" w:rsidRDefault="00F16B80" w:rsidP="00F16B80">
            <w:pPr>
              <w:autoSpaceDE w:val="0"/>
              <w:autoSpaceDN w:val="0"/>
              <w:adjustRightInd w:val="0"/>
              <w:spacing w:line="320" w:lineRule="atLeast"/>
              <w:ind w:right="60"/>
              <w:rPr>
                <w:rFonts w:eastAsiaTheme="minorHAnsi"/>
                <w:color w:val="000000"/>
                <w:lang w:val="en-GB"/>
              </w:rPr>
            </w:pPr>
            <w:r w:rsidRPr="00B31A23">
              <w:rPr>
                <w:rFonts w:eastAsiaTheme="minorHAnsi"/>
                <w:color w:val="000000"/>
                <w:lang w:val="en-GB"/>
              </w:rPr>
              <w:t>(Constant)</w:t>
            </w:r>
          </w:p>
        </w:tc>
        <w:tc>
          <w:tcPr>
            <w:tcW w:w="1276" w:type="dxa"/>
            <w:tcBorders>
              <w:top w:val="nil"/>
              <w:left w:val="nil"/>
              <w:bottom w:val="nil"/>
              <w:right w:val="nil"/>
            </w:tcBorders>
            <w:shd w:val="clear" w:color="auto" w:fill="FFFFFF"/>
          </w:tcPr>
          <w:p w14:paraId="765C57CC" w14:textId="6502C7F1" w:rsidR="00F16B80" w:rsidRPr="00B31A23" w:rsidRDefault="005D374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.127</w:t>
            </w:r>
          </w:p>
        </w:tc>
        <w:tc>
          <w:tcPr>
            <w:tcW w:w="1843" w:type="dxa"/>
            <w:gridSpan w:val="2"/>
            <w:tcBorders>
              <w:top w:val="nil"/>
              <w:left w:val="nil"/>
              <w:bottom w:val="nil"/>
              <w:right w:val="nil"/>
            </w:tcBorders>
            <w:shd w:val="clear" w:color="auto" w:fill="FFFFFF"/>
          </w:tcPr>
          <w:p w14:paraId="4FA11AA7" w14:textId="2A10C140" w:rsidR="00F16B80" w:rsidRPr="00B31A23" w:rsidRDefault="005D374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.106**</w:t>
            </w:r>
          </w:p>
        </w:tc>
        <w:tc>
          <w:tcPr>
            <w:tcW w:w="851" w:type="dxa"/>
            <w:tcBorders>
              <w:top w:val="nil"/>
              <w:left w:val="nil"/>
              <w:bottom w:val="nil"/>
              <w:right w:val="nil"/>
            </w:tcBorders>
            <w:shd w:val="clear" w:color="auto" w:fill="FFFFFF"/>
            <w:vAlign w:val="center"/>
          </w:tcPr>
          <w:p w14:paraId="72886815" w14:textId="0704EF82"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28.774</w:t>
            </w:r>
          </w:p>
        </w:tc>
        <w:tc>
          <w:tcPr>
            <w:tcW w:w="992" w:type="dxa"/>
            <w:tcBorders>
              <w:top w:val="nil"/>
              <w:left w:val="nil"/>
              <w:bottom w:val="nil"/>
              <w:right w:val="nil"/>
            </w:tcBorders>
            <w:shd w:val="clear" w:color="auto" w:fill="FFFFFF"/>
            <w:vAlign w:val="center"/>
          </w:tcPr>
          <w:p w14:paraId="760DF1A6" w14:textId="57386A6B"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5.612</w:t>
            </w:r>
          </w:p>
        </w:tc>
        <w:tc>
          <w:tcPr>
            <w:tcW w:w="1417" w:type="dxa"/>
            <w:tcBorders>
              <w:top w:val="nil"/>
              <w:left w:val="nil"/>
              <w:bottom w:val="nil"/>
              <w:right w:val="nil"/>
            </w:tcBorders>
            <w:shd w:val="clear" w:color="auto" w:fill="FFFFFF"/>
          </w:tcPr>
          <w:p w14:paraId="0FFC6F9C" w14:textId="77777777" w:rsidR="00F16B80" w:rsidRPr="00B31A23" w:rsidRDefault="00F16B80" w:rsidP="006B6960">
            <w:pPr>
              <w:autoSpaceDE w:val="0"/>
              <w:autoSpaceDN w:val="0"/>
              <w:adjustRightInd w:val="0"/>
              <w:jc w:val="center"/>
              <w:rPr>
                <w:rFonts w:eastAsiaTheme="minorHAnsi"/>
                <w:lang w:val="en-GB"/>
              </w:rPr>
            </w:pPr>
          </w:p>
        </w:tc>
        <w:tc>
          <w:tcPr>
            <w:tcW w:w="851" w:type="dxa"/>
            <w:tcBorders>
              <w:top w:val="nil"/>
              <w:left w:val="nil"/>
              <w:bottom w:val="nil"/>
              <w:right w:val="nil"/>
            </w:tcBorders>
            <w:shd w:val="clear" w:color="auto" w:fill="FFFFFF"/>
            <w:vAlign w:val="center"/>
          </w:tcPr>
          <w:p w14:paraId="6252625A" w14:textId="04AC770C" w:rsidR="00F16B80" w:rsidRPr="00B31A23" w:rsidRDefault="00690DAA"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5.127</w:t>
            </w:r>
          </w:p>
        </w:tc>
        <w:tc>
          <w:tcPr>
            <w:tcW w:w="709" w:type="dxa"/>
            <w:tcBorders>
              <w:top w:val="nil"/>
              <w:left w:val="nil"/>
              <w:bottom w:val="nil"/>
              <w:right w:val="nil"/>
            </w:tcBorders>
            <w:shd w:val="clear" w:color="auto" w:fill="FFFFFF"/>
            <w:vAlign w:val="center"/>
          </w:tcPr>
          <w:p w14:paraId="0D93F6C2" w14:textId="2A7B66EE"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.000</w:t>
            </w:r>
          </w:p>
        </w:tc>
        <w:tc>
          <w:tcPr>
            <w:tcW w:w="1049" w:type="dxa"/>
            <w:tcBorders>
              <w:top w:val="nil"/>
              <w:left w:val="nil"/>
              <w:bottom w:val="nil"/>
              <w:right w:val="nil"/>
            </w:tcBorders>
            <w:shd w:val="clear" w:color="auto" w:fill="FFFFFF"/>
            <w:vAlign w:val="center"/>
          </w:tcPr>
          <w:p w14:paraId="006E1EB6" w14:textId="309ACD47" w:rsidR="00F16B80" w:rsidRPr="00B31A23" w:rsidRDefault="00884E9D"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17.664</w:t>
            </w:r>
          </w:p>
        </w:tc>
        <w:tc>
          <w:tcPr>
            <w:tcW w:w="1077" w:type="dxa"/>
            <w:tcBorders>
              <w:top w:val="nil"/>
              <w:left w:val="nil"/>
              <w:bottom w:val="nil"/>
            </w:tcBorders>
            <w:shd w:val="clear" w:color="auto" w:fill="FFFFFF"/>
            <w:vAlign w:val="center"/>
          </w:tcPr>
          <w:p w14:paraId="1B9CE25E" w14:textId="72CB1EEC" w:rsidR="00F16B80" w:rsidRPr="00B31A23" w:rsidRDefault="00884E9D"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39.884</w:t>
            </w:r>
          </w:p>
        </w:tc>
      </w:tr>
      <w:tr w:rsidR="00F16B80" w:rsidRPr="00B31A23" w14:paraId="5B487A2C" w14:textId="77777777" w:rsidTr="00943118">
        <w:trPr>
          <w:cantSplit/>
        </w:trPr>
        <w:tc>
          <w:tcPr>
            <w:tcW w:w="284" w:type="dxa"/>
            <w:tcBorders>
              <w:top w:val="nil"/>
              <w:bottom w:val="nil"/>
              <w:right w:val="nil"/>
            </w:tcBorders>
            <w:shd w:val="clear" w:color="auto" w:fill="FFFFFF"/>
          </w:tcPr>
          <w:p w14:paraId="4FE0AC10" w14:textId="77777777" w:rsidR="00F16B80" w:rsidRPr="00B31A23" w:rsidRDefault="00F16B80" w:rsidP="006B6960">
            <w:pPr>
              <w:autoSpaceDE w:val="0"/>
              <w:autoSpaceDN w:val="0"/>
              <w:adjustRightInd w:val="0"/>
              <w:spacing w:line="320" w:lineRule="atLeast"/>
              <w:ind w:left="60" w:right="60"/>
              <w:rPr>
                <w:rFonts w:eastAsiaTheme="minorHAnsi"/>
                <w:color w:val="000000"/>
                <w:lang w:val="en-GB"/>
              </w:rPr>
            </w:pPr>
          </w:p>
        </w:tc>
        <w:tc>
          <w:tcPr>
            <w:tcW w:w="2835" w:type="dxa"/>
            <w:gridSpan w:val="2"/>
            <w:tcBorders>
              <w:top w:val="nil"/>
              <w:left w:val="nil"/>
              <w:bottom w:val="nil"/>
              <w:right w:val="nil"/>
            </w:tcBorders>
            <w:shd w:val="clear" w:color="auto" w:fill="FFFFFF"/>
          </w:tcPr>
          <w:p w14:paraId="7935AF0F" w14:textId="0A29E126" w:rsidR="00F16B80" w:rsidRPr="00B31A23" w:rsidRDefault="00F16B80" w:rsidP="00F16B80">
            <w:pPr>
              <w:autoSpaceDE w:val="0"/>
              <w:autoSpaceDN w:val="0"/>
              <w:adjustRightInd w:val="0"/>
              <w:spacing w:line="320" w:lineRule="atLeast"/>
              <w:ind w:left="60" w:right="60"/>
              <w:rPr>
                <w:rFonts w:eastAsiaTheme="minorHAnsi"/>
                <w:color w:val="000000"/>
                <w:lang w:val="en-GB"/>
              </w:rPr>
            </w:pPr>
            <w:r w:rsidRPr="00B31A23">
              <w:rPr>
                <w:rFonts w:eastAsiaTheme="minorHAnsi"/>
                <w:color w:val="000000"/>
                <w:lang w:val="en-GB"/>
              </w:rPr>
              <w:t>HAI</w:t>
            </w:r>
          </w:p>
        </w:tc>
        <w:tc>
          <w:tcPr>
            <w:tcW w:w="1276" w:type="dxa"/>
            <w:tcBorders>
              <w:top w:val="nil"/>
              <w:left w:val="nil"/>
              <w:bottom w:val="nil"/>
              <w:right w:val="nil"/>
            </w:tcBorders>
            <w:shd w:val="clear" w:color="auto" w:fill="FFFFFF"/>
          </w:tcPr>
          <w:p w14:paraId="1B89DD12"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1843" w:type="dxa"/>
            <w:gridSpan w:val="2"/>
            <w:tcBorders>
              <w:top w:val="nil"/>
              <w:left w:val="nil"/>
              <w:bottom w:val="nil"/>
              <w:right w:val="nil"/>
            </w:tcBorders>
            <w:shd w:val="clear" w:color="auto" w:fill="FFFFFF"/>
          </w:tcPr>
          <w:p w14:paraId="12F2B084"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851" w:type="dxa"/>
            <w:tcBorders>
              <w:top w:val="nil"/>
              <w:left w:val="nil"/>
              <w:bottom w:val="nil"/>
              <w:right w:val="nil"/>
            </w:tcBorders>
            <w:shd w:val="clear" w:color="auto" w:fill="FFFFFF"/>
            <w:vAlign w:val="center"/>
          </w:tcPr>
          <w:p w14:paraId="036A7B8B" w14:textId="1146D57C"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.561</w:t>
            </w:r>
          </w:p>
        </w:tc>
        <w:tc>
          <w:tcPr>
            <w:tcW w:w="992" w:type="dxa"/>
            <w:tcBorders>
              <w:top w:val="nil"/>
              <w:left w:val="nil"/>
              <w:bottom w:val="nil"/>
              <w:right w:val="nil"/>
            </w:tcBorders>
            <w:shd w:val="clear" w:color="auto" w:fill="FFFFFF"/>
            <w:vAlign w:val="center"/>
          </w:tcPr>
          <w:p w14:paraId="271230D4" w14:textId="65C8C40A"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.188</w:t>
            </w:r>
          </w:p>
        </w:tc>
        <w:tc>
          <w:tcPr>
            <w:tcW w:w="1417" w:type="dxa"/>
            <w:tcBorders>
              <w:top w:val="nil"/>
              <w:left w:val="nil"/>
              <w:bottom w:val="nil"/>
              <w:right w:val="nil"/>
            </w:tcBorders>
            <w:shd w:val="clear" w:color="auto" w:fill="FFFFFF"/>
          </w:tcPr>
          <w:p w14:paraId="7FE80ABB" w14:textId="1686D37F" w:rsidR="00F16B80" w:rsidRPr="00B31A23" w:rsidRDefault="00690DAA" w:rsidP="006B6960">
            <w:pPr>
              <w:autoSpaceDE w:val="0"/>
              <w:autoSpaceDN w:val="0"/>
              <w:adjustRightInd w:val="0"/>
              <w:jc w:val="center"/>
              <w:rPr>
                <w:rFonts w:eastAsiaTheme="minorHAnsi"/>
                <w:lang w:val="en-GB"/>
              </w:rPr>
            </w:pPr>
            <w:r w:rsidRPr="00B31A23">
              <w:rPr>
                <w:rFonts w:eastAsiaTheme="minorHAnsi"/>
                <w:lang w:val="en-GB"/>
              </w:rPr>
              <w:t>.295</w:t>
            </w:r>
          </w:p>
        </w:tc>
        <w:tc>
          <w:tcPr>
            <w:tcW w:w="851" w:type="dxa"/>
            <w:tcBorders>
              <w:top w:val="nil"/>
              <w:left w:val="nil"/>
              <w:bottom w:val="nil"/>
              <w:right w:val="nil"/>
            </w:tcBorders>
            <w:shd w:val="clear" w:color="auto" w:fill="FFFFFF"/>
            <w:vAlign w:val="center"/>
          </w:tcPr>
          <w:p w14:paraId="03F0A059" w14:textId="68D66E8C" w:rsidR="00F16B80" w:rsidRPr="00B31A23" w:rsidRDefault="00690DAA"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2.987</w:t>
            </w:r>
          </w:p>
        </w:tc>
        <w:tc>
          <w:tcPr>
            <w:tcW w:w="709" w:type="dxa"/>
            <w:tcBorders>
              <w:top w:val="nil"/>
              <w:left w:val="nil"/>
              <w:bottom w:val="nil"/>
              <w:right w:val="nil"/>
            </w:tcBorders>
            <w:shd w:val="clear" w:color="auto" w:fill="FFFFFF"/>
            <w:vAlign w:val="center"/>
          </w:tcPr>
          <w:p w14:paraId="414425E9" w14:textId="2ED26ACB"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.003</w:t>
            </w:r>
          </w:p>
        </w:tc>
        <w:tc>
          <w:tcPr>
            <w:tcW w:w="1049" w:type="dxa"/>
            <w:tcBorders>
              <w:top w:val="nil"/>
              <w:left w:val="nil"/>
              <w:bottom w:val="nil"/>
              <w:right w:val="nil"/>
            </w:tcBorders>
            <w:shd w:val="clear" w:color="auto" w:fill="FFFFFF"/>
            <w:vAlign w:val="center"/>
          </w:tcPr>
          <w:p w14:paraId="6E6F4298" w14:textId="1E3B5CD6"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w:t>
            </w:r>
            <w:r w:rsidR="00884E9D" w:rsidRPr="00B31A23">
              <w:rPr>
                <w:rFonts w:eastAsiaTheme="minorHAnsi"/>
                <w:lang w:val="en-GB"/>
              </w:rPr>
              <w:t>89</w:t>
            </w:r>
          </w:p>
        </w:tc>
        <w:tc>
          <w:tcPr>
            <w:tcW w:w="1077" w:type="dxa"/>
            <w:tcBorders>
              <w:top w:val="nil"/>
              <w:left w:val="nil"/>
              <w:bottom w:val="nil"/>
            </w:tcBorders>
            <w:shd w:val="clear" w:color="auto" w:fill="FFFFFF"/>
            <w:vAlign w:val="center"/>
          </w:tcPr>
          <w:p w14:paraId="3D5AB116" w14:textId="4DA3847F"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w:t>
            </w:r>
            <w:r w:rsidR="00884E9D" w:rsidRPr="00B31A23">
              <w:rPr>
                <w:rFonts w:eastAsiaTheme="minorHAnsi"/>
                <w:lang w:val="en-GB"/>
              </w:rPr>
              <w:t>993</w:t>
            </w:r>
          </w:p>
        </w:tc>
      </w:tr>
      <w:tr w:rsidR="00F16B80" w:rsidRPr="00B31A23" w14:paraId="113E5828" w14:textId="77777777" w:rsidTr="00943118">
        <w:trPr>
          <w:cantSplit/>
        </w:trPr>
        <w:tc>
          <w:tcPr>
            <w:tcW w:w="284" w:type="dxa"/>
            <w:tcBorders>
              <w:top w:val="nil"/>
              <w:bottom w:val="nil"/>
              <w:right w:val="nil"/>
            </w:tcBorders>
            <w:shd w:val="clear" w:color="auto" w:fill="FFFFFF"/>
          </w:tcPr>
          <w:p w14:paraId="3CD1591F" w14:textId="77777777" w:rsidR="00F16B80" w:rsidRPr="00B31A23" w:rsidRDefault="00F16B80" w:rsidP="006B6960">
            <w:pPr>
              <w:autoSpaceDE w:val="0"/>
              <w:autoSpaceDN w:val="0"/>
              <w:adjustRightInd w:val="0"/>
              <w:spacing w:line="320" w:lineRule="atLeast"/>
              <w:ind w:left="60" w:right="60"/>
              <w:rPr>
                <w:rFonts w:eastAsiaTheme="minorHAnsi"/>
                <w:color w:val="000000"/>
                <w:lang w:val="en-GB"/>
              </w:rPr>
            </w:pPr>
          </w:p>
        </w:tc>
        <w:tc>
          <w:tcPr>
            <w:tcW w:w="2835" w:type="dxa"/>
            <w:gridSpan w:val="2"/>
            <w:tcBorders>
              <w:top w:val="nil"/>
              <w:left w:val="nil"/>
              <w:bottom w:val="nil"/>
              <w:right w:val="nil"/>
            </w:tcBorders>
            <w:shd w:val="clear" w:color="auto" w:fill="FFFFFF"/>
          </w:tcPr>
          <w:p w14:paraId="4654C68A" w14:textId="65A8B735" w:rsidR="00F16B80" w:rsidRPr="00B31A23" w:rsidRDefault="00F16B80" w:rsidP="00F16B80">
            <w:pPr>
              <w:autoSpaceDE w:val="0"/>
              <w:autoSpaceDN w:val="0"/>
              <w:adjustRightInd w:val="0"/>
              <w:spacing w:line="320" w:lineRule="atLeast"/>
              <w:ind w:left="60" w:right="60"/>
              <w:rPr>
                <w:rFonts w:eastAsiaTheme="minorHAnsi"/>
                <w:color w:val="000000"/>
                <w:lang w:val="en-GB"/>
              </w:rPr>
            </w:pPr>
            <w:r w:rsidRPr="00B31A23">
              <w:rPr>
                <w:rFonts w:eastAsiaTheme="minorHAnsi"/>
                <w:color w:val="000000"/>
                <w:lang w:val="en-GB"/>
              </w:rPr>
              <w:t>HCQ Factor</w:t>
            </w:r>
            <w:r w:rsidR="00942FA3" w:rsidRPr="00B31A23">
              <w:rPr>
                <w:rFonts w:eastAsiaTheme="minorHAnsi"/>
                <w:color w:val="000000"/>
                <w:lang w:val="en-GB"/>
              </w:rPr>
              <w:t xml:space="preserve"> </w:t>
            </w:r>
            <w:r w:rsidRPr="00B31A23">
              <w:rPr>
                <w:rFonts w:eastAsiaTheme="minorHAnsi"/>
                <w:color w:val="000000"/>
                <w:lang w:val="en-GB"/>
              </w:rPr>
              <w:t>3</w:t>
            </w:r>
          </w:p>
        </w:tc>
        <w:tc>
          <w:tcPr>
            <w:tcW w:w="1276" w:type="dxa"/>
            <w:tcBorders>
              <w:top w:val="nil"/>
              <w:left w:val="nil"/>
              <w:bottom w:val="nil"/>
              <w:right w:val="nil"/>
            </w:tcBorders>
            <w:shd w:val="clear" w:color="auto" w:fill="FFFFFF"/>
          </w:tcPr>
          <w:p w14:paraId="3D517287"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1843" w:type="dxa"/>
            <w:gridSpan w:val="2"/>
            <w:tcBorders>
              <w:top w:val="nil"/>
              <w:left w:val="nil"/>
              <w:bottom w:val="nil"/>
              <w:right w:val="nil"/>
            </w:tcBorders>
            <w:shd w:val="clear" w:color="auto" w:fill="FFFFFF"/>
          </w:tcPr>
          <w:p w14:paraId="78A36913"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851" w:type="dxa"/>
            <w:tcBorders>
              <w:top w:val="nil"/>
              <w:left w:val="nil"/>
              <w:bottom w:val="nil"/>
              <w:right w:val="nil"/>
            </w:tcBorders>
            <w:shd w:val="clear" w:color="auto" w:fill="FFFFFF"/>
            <w:vAlign w:val="center"/>
          </w:tcPr>
          <w:p w14:paraId="3002FB69" w14:textId="6AAA80DB"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.144</w:t>
            </w:r>
          </w:p>
        </w:tc>
        <w:tc>
          <w:tcPr>
            <w:tcW w:w="992" w:type="dxa"/>
            <w:tcBorders>
              <w:top w:val="nil"/>
              <w:left w:val="nil"/>
              <w:bottom w:val="nil"/>
              <w:right w:val="nil"/>
            </w:tcBorders>
            <w:shd w:val="clear" w:color="auto" w:fill="FFFFFF"/>
            <w:vAlign w:val="center"/>
          </w:tcPr>
          <w:p w14:paraId="7D73A835" w14:textId="0F28017F"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.308</w:t>
            </w:r>
          </w:p>
        </w:tc>
        <w:tc>
          <w:tcPr>
            <w:tcW w:w="1417" w:type="dxa"/>
            <w:tcBorders>
              <w:top w:val="nil"/>
              <w:left w:val="nil"/>
              <w:bottom w:val="nil"/>
              <w:right w:val="nil"/>
            </w:tcBorders>
            <w:shd w:val="clear" w:color="auto" w:fill="FFFFFF"/>
          </w:tcPr>
          <w:p w14:paraId="5908FAE1" w14:textId="3B7AD17F" w:rsidR="00F16B80" w:rsidRPr="00B31A23" w:rsidRDefault="00690DAA" w:rsidP="006B6960">
            <w:pPr>
              <w:autoSpaceDE w:val="0"/>
              <w:autoSpaceDN w:val="0"/>
              <w:adjustRightInd w:val="0"/>
              <w:jc w:val="center"/>
              <w:rPr>
                <w:rFonts w:eastAsiaTheme="minorHAnsi"/>
                <w:lang w:val="en-GB"/>
              </w:rPr>
            </w:pPr>
            <w:r w:rsidRPr="00B31A23">
              <w:rPr>
                <w:rFonts w:eastAsiaTheme="minorHAnsi"/>
                <w:lang w:val="en-GB"/>
              </w:rPr>
              <w:t>.047</w:t>
            </w:r>
          </w:p>
        </w:tc>
        <w:tc>
          <w:tcPr>
            <w:tcW w:w="851" w:type="dxa"/>
            <w:tcBorders>
              <w:top w:val="nil"/>
              <w:left w:val="nil"/>
              <w:bottom w:val="nil"/>
              <w:right w:val="nil"/>
            </w:tcBorders>
            <w:shd w:val="clear" w:color="auto" w:fill="FFFFFF"/>
            <w:vAlign w:val="center"/>
          </w:tcPr>
          <w:p w14:paraId="488D6CDE" w14:textId="00B86DAC" w:rsidR="00F16B80" w:rsidRPr="00B31A23" w:rsidRDefault="00690DAA"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.467</w:t>
            </w:r>
          </w:p>
        </w:tc>
        <w:tc>
          <w:tcPr>
            <w:tcW w:w="709" w:type="dxa"/>
            <w:tcBorders>
              <w:top w:val="nil"/>
              <w:left w:val="nil"/>
              <w:bottom w:val="nil"/>
              <w:right w:val="nil"/>
            </w:tcBorders>
            <w:shd w:val="clear" w:color="auto" w:fill="FFFFFF"/>
            <w:vAlign w:val="center"/>
          </w:tcPr>
          <w:p w14:paraId="74966666" w14:textId="2F1DAA90"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.641</w:t>
            </w:r>
          </w:p>
        </w:tc>
        <w:tc>
          <w:tcPr>
            <w:tcW w:w="1049" w:type="dxa"/>
            <w:tcBorders>
              <w:top w:val="nil"/>
              <w:left w:val="nil"/>
              <w:bottom w:val="nil"/>
              <w:right w:val="nil"/>
            </w:tcBorders>
            <w:shd w:val="clear" w:color="auto" w:fill="FFFFFF"/>
            <w:vAlign w:val="center"/>
          </w:tcPr>
          <w:p w14:paraId="48E34A85" w14:textId="2F00DBE2" w:rsidR="00F16B80" w:rsidRPr="00B31A23" w:rsidRDefault="00884E9D"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w:t>
            </w:r>
            <w:r w:rsidR="00AC6331" w:rsidRPr="00B31A23">
              <w:rPr>
                <w:rFonts w:eastAsiaTheme="minorHAnsi"/>
                <w:lang w:val="en-GB"/>
              </w:rPr>
              <w:t>.</w:t>
            </w:r>
            <w:r w:rsidRPr="00B31A23">
              <w:rPr>
                <w:rFonts w:eastAsiaTheme="minorHAnsi"/>
                <w:lang w:val="en-GB"/>
              </w:rPr>
              <w:t>466</w:t>
            </w:r>
          </w:p>
        </w:tc>
        <w:tc>
          <w:tcPr>
            <w:tcW w:w="1077" w:type="dxa"/>
            <w:tcBorders>
              <w:top w:val="nil"/>
              <w:left w:val="nil"/>
              <w:bottom w:val="nil"/>
            </w:tcBorders>
            <w:shd w:val="clear" w:color="auto" w:fill="FFFFFF"/>
            <w:vAlign w:val="center"/>
          </w:tcPr>
          <w:p w14:paraId="52AEA6B5" w14:textId="2CFA7AFE" w:rsidR="00F16B80" w:rsidRPr="00B31A23" w:rsidRDefault="00884E9D"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.754</w:t>
            </w:r>
          </w:p>
        </w:tc>
      </w:tr>
      <w:tr w:rsidR="00F16B80" w:rsidRPr="00B31A23" w14:paraId="59AEC59E" w14:textId="77777777" w:rsidTr="00943118">
        <w:trPr>
          <w:cantSplit/>
        </w:trPr>
        <w:tc>
          <w:tcPr>
            <w:tcW w:w="284" w:type="dxa"/>
            <w:tcBorders>
              <w:top w:val="nil"/>
              <w:bottom w:val="nil"/>
              <w:right w:val="nil"/>
            </w:tcBorders>
            <w:shd w:val="clear" w:color="auto" w:fill="FFFFFF"/>
          </w:tcPr>
          <w:p w14:paraId="0CA5A0B4" w14:textId="77777777" w:rsidR="00F16B80" w:rsidRPr="00B31A23" w:rsidRDefault="00F16B80" w:rsidP="006B6960">
            <w:pPr>
              <w:autoSpaceDE w:val="0"/>
              <w:autoSpaceDN w:val="0"/>
              <w:adjustRightInd w:val="0"/>
              <w:spacing w:line="320" w:lineRule="atLeast"/>
              <w:ind w:left="60" w:right="60"/>
              <w:rPr>
                <w:rFonts w:eastAsiaTheme="minorHAnsi"/>
                <w:color w:val="000000"/>
                <w:lang w:val="en-GB"/>
              </w:rPr>
            </w:pPr>
          </w:p>
        </w:tc>
        <w:tc>
          <w:tcPr>
            <w:tcW w:w="2835" w:type="dxa"/>
            <w:gridSpan w:val="2"/>
            <w:tcBorders>
              <w:top w:val="nil"/>
              <w:left w:val="nil"/>
              <w:bottom w:val="nil"/>
              <w:right w:val="nil"/>
            </w:tcBorders>
            <w:shd w:val="clear" w:color="auto" w:fill="FFFFFF"/>
          </w:tcPr>
          <w:p w14:paraId="4912C12D" w14:textId="32D7AD05" w:rsidR="00F16B80" w:rsidRPr="00B31A23" w:rsidRDefault="00F16B80" w:rsidP="00F16B80">
            <w:pPr>
              <w:autoSpaceDE w:val="0"/>
              <w:autoSpaceDN w:val="0"/>
              <w:adjustRightInd w:val="0"/>
              <w:spacing w:line="320" w:lineRule="atLeast"/>
              <w:ind w:left="60" w:right="60"/>
              <w:rPr>
                <w:rFonts w:eastAsiaTheme="minorHAnsi"/>
                <w:color w:val="000000"/>
                <w:lang w:val="en-GB"/>
              </w:rPr>
            </w:pPr>
            <w:r w:rsidRPr="00B31A23">
              <w:rPr>
                <w:rFonts w:eastAsiaTheme="minorHAnsi"/>
                <w:color w:val="000000"/>
                <w:lang w:val="en-GB"/>
              </w:rPr>
              <w:t>HCQ Factor</w:t>
            </w:r>
            <w:r w:rsidR="00942FA3" w:rsidRPr="00B31A23">
              <w:rPr>
                <w:rFonts w:eastAsiaTheme="minorHAnsi"/>
                <w:color w:val="000000"/>
                <w:lang w:val="en-GB"/>
              </w:rPr>
              <w:t xml:space="preserve"> </w:t>
            </w:r>
            <w:r w:rsidRPr="00B31A23">
              <w:rPr>
                <w:rFonts w:eastAsiaTheme="minorHAnsi"/>
                <w:color w:val="000000"/>
                <w:lang w:val="en-GB"/>
              </w:rPr>
              <w:t>4</w:t>
            </w:r>
          </w:p>
        </w:tc>
        <w:tc>
          <w:tcPr>
            <w:tcW w:w="1276" w:type="dxa"/>
            <w:tcBorders>
              <w:top w:val="nil"/>
              <w:left w:val="nil"/>
              <w:bottom w:val="nil"/>
              <w:right w:val="nil"/>
            </w:tcBorders>
            <w:shd w:val="clear" w:color="auto" w:fill="FFFFFF"/>
          </w:tcPr>
          <w:p w14:paraId="6F89C67E"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1843" w:type="dxa"/>
            <w:gridSpan w:val="2"/>
            <w:tcBorders>
              <w:top w:val="nil"/>
              <w:left w:val="nil"/>
              <w:bottom w:val="nil"/>
              <w:right w:val="nil"/>
            </w:tcBorders>
            <w:shd w:val="clear" w:color="auto" w:fill="FFFFFF"/>
          </w:tcPr>
          <w:p w14:paraId="1390C63D"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851" w:type="dxa"/>
            <w:tcBorders>
              <w:top w:val="nil"/>
              <w:left w:val="nil"/>
              <w:bottom w:val="nil"/>
              <w:right w:val="nil"/>
            </w:tcBorders>
            <w:shd w:val="clear" w:color="auto" w:fill="FFFFFF"/>
            <w:vAlign w:val="center"/>
          </w:tcPr>
          <w:p w14:paraId="3411CC61" w14:textId="04309F66"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.342</w:t>
            </w:r>
          </w:p>
        </w:tc>
        <w:tc>
          <w:tcPr>
            <w:tcW w:w="992" w:type="dxa"/>
            <w:tcBorders>
              <w:top w:val="nil"/>
              <w:left w:val="nil"/>
              <w:bottom w:val="nil"/>
              <w:right w:val="nil"/>
            </w:tcBorders>
            <w:shd w:val="clear" w:color="auto" w:fill="FFFFFF"/>
            <w:vAlign w:val="center"/>
          </w:tcPr>
          <w:p w14:paraId="29DA8440" w14:textId="7EEAFAFF"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.394</w:t>
            </w:r>
          </w:p>
        </w:tc>
        <w:tc>
          <w:tcPr>
            <w:tcW w:w="1417" w:type="dxa"/>
            <w:tcBorders>
              <w:top w:val="nil"/>
              <w:left w:val="nil"/>
              <w:bottom w:val="nil"/>
              <w:right w:val="nil"/>
            </w:tcBorders>
            <w:shd w:val="clear" w:color="auto" w:fill="FFFFFF"/>
          </w:tcPr>
          <w:p w14:paraId="3F104B04" w14:textId="6FDAA7D8" w:rsidR="00F16B80" w:rsidRPr="00B31A23" w:rsidRDefault="00690DAA" w:rsidP="006B6960">
            <w:pPr>
              <w:autoSpaceDE w:val="0"/>
              <w:autoSpaceDN w:val="0"/>
              <w:adjustRightInd w:val="0"/>
              <w:jc w:val="center"/>
              <w:rPr>
                <w:rFonts w:eastAsiaTheme="minorHAnsi"/>
                <w:lang w:val="en-GB"/>
              </w:rPr>
            </w:pPr>
            <w:r w:rsidRPr="00B31A23">
              <w:rPr>
                <w:rFonts w:eastAsiaTheme="minorHAnsi"/>
                <w:lang w:val="en-GB"/>
              </w:rPr>
              <w:t>.080</w:t>
            </w:r>
          </w:p>
        </w:tc>
        <w:tc>
          <w:tcPr>
            <w:tcW w:w="851" w:type="dxa"/>
            <w:tcBorders>
              <w:top w:val="nil"/>
              <w:left w:val="nil"/>
              <w:bottom w:val="nil"/>
              <w:right w:val="nil"/>
            </w:tcBorders>
            <w:shd w:val="clear" w:color="auto" w:fill="FFFFFF"/>
            <w:vAlign w:val="center"/>
          </w:tcPr>
          <w:p w14:paraId="6F1AA208" w14:textId="129BE12A" w:rsidR="00F16B80" w:rsidRPr="00B31A23" w:rsidRDefault="00690DAA"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.868</w:t>
            </w:r>
          </w:p>
        </w:tc>
        <w:tc>
          <w:tcPr>
            <w:tcW w:w="709" w:type="dxa"/>
            <w:tcBorders>
              <w:top w:val="nil"/>
              <w:left w:val="nil"/>
              <w:bottom w:val="nil"/>
              <w:right w:val="nil"/>
            </w:tcBorders>
            <w:shd w:val="clear" w:color="auto" w:fill="FFFFFF"/>
            <w:vAlign w:val="center"/>
          </w:tcPr>
          <w:p w14:paraId="6BC6F4FB" w14:textId="764C6B9F"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.387</w:t>
            </w:r>
          </w:p>
        </w:tc>
        <w:tc>
          <w:tcPr>
            <w:tcW w:w="1049" w:type="dxa"/>
            <w:tcBorders>
              <w:top w:val="nil"/>
              <w:left w:val="nil"/>
              <w:bottom w:val="nil"/>
              <w:right w:val="nil"/>
            </w:tcBorders>
            <w:shd w:val="clear" w:color="auto" w:fill="FFFFFF"/>
            <w:vAlign w:val="center"/>
          </w:tcPr>
          <w:p w14:paraId="4AB12690" w14:textId="21416051" w:rsidR="00F16B80" w:rsidRPr="00B31A23" w:rsidRDefault="00884E9D"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-.438</w:t>
            </w:r>
          </w:p>
        </w:tc>
        <w:tc>
          <w:tcPr>
            <w:tcW w:w="1077" w:type="dxa"/>
            <w:tcBorders>
              <w:top w:val="nil"/>
              <w:left w:val="nil"/>
              <w:bottom w:val="nil"/>
            </w:tcBorders>
            <w:shd w:val="clear" w:color="auto" w:fill="FFFFFF"/>
            <w:vAlign w:val="center"/>
          </w:tcPr>
          <w:p w14:paraId="09213304" w14:textId="09E3EA9D" w:rsidR="00F16B80" w:rsidRPr="00B31A23" w:rsidRDefault="00884E9D" w:rsidP="00884E9D">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1.122</w:t>
            </w:r>
          </w:p>
        </w:tc>
      </w:tr>
      <w:tr w:rsidR="00F16B80" w:rsidRPr="00B31A23" w14:paraId="1D8E59D2" w14:textId="77777777" w:rsidTr="00943118">
        <w:trPr>
          <w:cantSplit/>
        </w:trPr>
        <w:tc>
          <w:tcPr>
            <w:tcW w:w="284" w:type="dxa"/>
            <w:tcBorders>
              <w:top w:val="nil"/>
              <w:bottom w:val="nil"/>
              <w:right w:val="nil"/>
            </w:tcBorders>
            <w:shd w:val="clear" w:color="auto" w:fill="FFFFFF"/>
          </w:tcPr>
          <w:p w14:paraId="44BE86AC" w14:textId="77777777" w:rsidR="00F16B80" w:rsidRPr="00B31A23" w:rsidRDefault="00F16B80" w:rsidP="006B6960">
            <w:pPr>
              <w:autoSpaceDE w:val="0"/>
              <w:autoSpaceDN w:val="0"/>
              <w:adjustRightInd w:val="0"/>
              <w:spacing w:line="320" w:lineRule="atLeast"/>
              <w:ind w:left="60" w:right="60"/>
              <w:rPr>
                <w:rFonts w:eastAsiaTheme="minorHAnsi"/>
                <w:color w:val="000000"/>
                <w:lang w:val="en-GB"/>
              </w:rPr>
            </w:pPr>
          </w:p>
        </w:tc>
        <w:tc>
          <w:tcPr>
            <w:tcW w:w="2835" w:type="dxa"/>
            <w:gridSpan w:val="2"/>
            <w:tcBorders>
              <w:top w:val="nil"/>
              <w:left w:val="nil"/>
              <w:bottom w:val="nil"/>
              <w:right w:val="nil"/>
            </w:tcBorders>
            <w:shd w:val="clear" w:color="auto" w:fill="FFFFFF"/>
          </w:tcPr>
          <w:p w14:paraId="5C415C09" w14:textId="77777777" w:rsidR="00F16B80" w:rsidRPr="00B31A23" w:rsidRDefault="00F16B80" w:rsidP="00F16B80">
            <w:pPr>
              <w:autoSpaceDE w:val="0"/>
              <w:autoSpaceDN w:val="0"/>
              <w:adjustRightInd w:val="0"/>
              <w:spacing w:line="320" w:lineRule="atLeast"/>
              <w:ind w:left="60" w:right="60"/>
              <w:rPr>
                <w:rFonts w:eastAsiaTheme="minorHAnsi"/>
                <w:color w:val="000000"/>
                <w:lang w:val="en-GB"/>
              </w:rPr>
            </w:pPr>
          </w:p>
        </w:tc>
        <w:tc>
          <w:tcPr>
            <w:tcW w:w="1276" w:type="dxa"/>
            <w:tcBorders>
              <w:top w:val="nil"/>
              <w:left w:val="nil"/>
              <w:bottom w:val="nil"/>
              <w:right w:val="nil"/>
            </w:tcBorders>
            <w:shd w:val="clear" w:color="auto" w:fill="FFFFFF"/>
          </w:tcPr>
          <w:p w14:paraId="5274A028"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1843" w:type="dxa"/>
            <w:gridSpan w:val="2"/>
            <w:tcBorders>
              <w:top w:val="nil"/>
              <w:left w:val="nil"/>
              <w:bottom w:val="nil"/>
              <w:right w:val="nil"/>
            </w:tcBorders>
            <w:shd w:val="clear" w:color="auto" w:fill="FFFFFF"/>
          </w:tcPr>
          <w:p w14:paraId="5F310508"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851" w:type="dxa"/>
            <w:tcBorders>
              <w:top w:val="nil"/>
              <w:left w:val="nil"/>
              <w:bottom w:val="nil"/>
              <w:right w:val="nil"/>
            </w:tcBorders>
            <w:shd w:val="clear" w:color="auto" w:fill="FFFFFF"/>
            <w:vAlign w:val="center"/>
          </w:tcPr>
          <w:p w14:paraId="769AF053" w14:textId="77777777" w:rsidR="00F16B80" w:rsidRPr="00B31A23" w:rsidRDefault="00F16B80" w:rsidP="006B6960">
            <w:pPr>
              <w:autoSpaceDE w:val="0"/>
              <w:autoSpaceDN w:val="0"/>
              <w:adjustRightInd w:val="0"/>
              <w:spacing w:line="320" w:lineRule="atLeast"/>
              <w:ind w:left="60" w:right="60"/>
              <w:jc w:val="center"/>
              <w:rPr>
                <w:rFonts w:eastAsiaTheme="minorHAnsi"/>
                <w:lang w:val="en-GB"/>
              </w:rPr>
            </w:pPr>
          </w:p>
        </w:tc>
        <w:tc>
          <w:tcPr>
            <w:tcW w:w="992" w:type="dxa"/>
            <w:tcBorders>
              <w:top w:val="nil"/>
              <w:left w:val="nil"/>
              <w:bottom w:val="nil"/>
              <w:right w:val="nil"/>
            </w:tcBorders>
            <w:shd w:val="clear" w:color="auto" w:fill="FFFFFF"/>
            <w:vAlign w:val="center"/>
          </w:tcPr>
          <w:p w14:paraId="310299FD" w14:textId="77777777" w:rsidR="00F16B80" w:rsidRPr="00B31A23" w:rsidRDefault="00F16B80" w:rsidP="006B6960">
            <w:pPr>
              <w:autoSpaceDE w:val="0"/>
              <w:autoSpaceDN w:val="0"/>
              <w:adjustRightInd w:val="0"/>
              <w:spacing w:line="320" w:lineRule="atLeast"/>
              <w:ind w:left="60" w:right="60"/>
              <w:jc w:val="center"/>
              <w:rPr>
                <w:rFonts w:eastAsiaTheme="minorHAnsi"/>
                <w:lang w:val="en-GB"/>
              </w:rPr>
            </w:pPr>
          </w:p>
        </w:tc>
        <w:tc>
          <w:tcPr>
            <w:tcW w:w="1417" w:type="dxa"/>
            <w:tcBorders>
              <w:top w:val="nil"/>
              <w:left w:val="nil"/>
              <w:bottom w:val="nil"/>
              <w:right w:val="nil"/>
            </w:tcBorders>
            <w:shd w:val="clear" w:color="auto" w:fill="FFFFFF"/>
          </w:tcPr>
          <w:p w14:paraId="4BDA3FDF" w14:textId="77777777" w:rsidR="00F16B80" w:rsidRPr="00B31A23" w:rsidRDefault="00F16B80" w:rsidP="006B6960">
            <w:pPr>
              <w:autoSpaceDE w:val="0"/>
              <w:autoSpaceDN w:val="0"/>
              <w:adjustRightInd w:val="0"/>
              <w:jc w:val="center"/>
              <w:rPr>
                <w:rFonts w:eastAsiaTheme="minorHAnsi"/>
                <w:lang w:val="en-GB"/>
              </w:rPr>
            </w:pPr>
          </w:p>
        </w:tc>
        <w:tc>
          <w:tcPr>
            <w:tcW w:w="851" w:type="dxa"/>
            <w:tcBorders>
              <w:top w:val="nil"/>
              <w:left w:val="nil"/>
              <w:bottom w:val="nil"/>
              <w:right w:val="nil"/>
            </w:tcBorders>
            <w:shd w:val="clear" w:color="auto" w:fill="FFFFFF"/>
            <w:vAlign w:val="center"/>
          </w:tcPr>
          <w:p w14:paraId="0ED13A5D" w14:textId="2DF1CA58" w:rsidR="00F16B80" w:rsidRPr="00B31A23" w:rsidRDefault="00F16B80" w:rsidP="006B6960">
            <w:pPr>
              <w:autoSpaceDE w:val="0"/>
              <w:autoSpaceDN w:val="0"/>
              <w:adjustRightInd w:val="0"/>
              <w:spacing w:line="320" w:lineRule="atLeast"/>
              <w:ind w:left="60" w:right="60"/>
              <w:jc w:val="center"/>
              <w:rPr>
                <w:rFonts w:eastAsiaTheme="minorHAnsi"/>
                <w:lang w:val="en-GB"/>
              </w:rPr>
            </w:pPr>
          </w:p>
        </w:tc>
        <w:tc>
          <w:tcPr>
            <w:tcW w:w="709" w:type="dxa"/>
            <w:tcBorders>
              <w:top w:val="nil"/>
              <w:left w:val="nil"/>
              <w:bottom w:val="nil"/>
              <w:right w:val="nil"/>
            </w:tcBorders>
            <w:shd w:val="clear" w:color="auto" w:fill="FFFFFF"/>
            <w:vAlign w:val="center"/>
          </w:tcPr>
          <w:p w14:paraId="0BB8A7ED" w14:textId="77777777" w:rsidR="00F16B80" w:rsidRPr="00B31A23" w:rsidRDefault="00F16B80" w:rsidP="006B6960">
            <w:pPr>
              <w:autoSpaceDE w:val="0"/>
              <w:autoSpaceDN w:val="0"/>
              <w:adjustRightInd w:val="0"/>
              <w:spacing w:line="320" w:lineRule="atLeast"/>
              <w:ind w:left="60" w:right="60"/>
              <w:jc w:val="center"/>
              <w:rPr>
                <w:rFonts w:eastAsiaTheme="minorHAnsi"/>
                <w:lang w:val="en-GB"/>
              </w:rPr>
            </w:pPr>
          </w:p>
        </w:tc>
        <w:tc>
          <w:tcPr>
            <w:tcW w:w="1049" w:type="dxa"/>
            <w:tcBorders>
              <w:top w:val="nil"/>
              <w:left w:val="nil"/>
              <w:bottom w:val="nil"/>
              <w:right w:val="nil"/>
            </w:tcBorders>
            <w:shd w:val="clear" w:color="auto" w:fill="FFFFFF"/>
            <w:vAlign w:val="center"/>
          </w:tcPr>
          <w:p w14:paraId="460EF408" w14:textId="77777777" w:rsidR="00F16B80" w:rsidRPr="00B31A23" w:rsidRDefault="00F16B80" w:rsidP="006B6960">
            <w:pPr>
              <w:autoSpaceDE w:val="0"/>
              <w:autoSpaceDN w:val="0"/>
              <w:adjustRightInd w:val="0"/>
              <w:spacing w:line="320" w:lineRule="atLeast"/>
              <w:ind w:left="60" w:right="60"/>
              <w:jc w:val="center"/>
              <w:rPr>
                <w:rFonts w:eastAsiaTheme="minorHAnsi"/>
                <w:lang w:val="en-GB"/>
              </w:rPr>
            </w:pPr>
          </w:p>
        </w:tc>
        <w:tc>
          <w:tcPr>
            <w:tcW w:w="1077" w:type="dxa"/>
            <w:tcBorders>
              <w:top w:val="nil"/>
              <w:left w:val="nil"/>
              <w:bottom w:val="nil"/>
            </w:tcBorders>
            <w:shd w:val="clear" w:color="auto" w:fill="FFFFFF"/>
            <w:vAlign w:val="center"/>
          </w:tcPr>
          <w:p w14:paraId="46B4B4F1" w14:textId="77777777" w:rsidR="00F16B80" w:rsidRPr="00B31A23" w:rsidRDefault="00F16B80" w:rsidP="006B6960">
            <w:pPr>
              <w:autoSpaceDE w:val="0"/>
              <w:autoSpaceDN w:val="0"/>
              <w:adjustRightInd w:val="0"/>
              <w:spacing w:line="320" w:lineRule="atLeast"/>
              <w:ind w:left="60" w:right="60"/>
              <w:jc w:val="center"/>
              <w:rPr>
                <w:rFonts w:eastAsiaTheme="minorHAnsi"/>
                <w:lang w:val="en-GB"/>
              </w:rPr>
            </w:pPr>
          </w:p>
        </w:tc>
      </w:tr>
      <w:tr w:rsidR="00F16B80" w:rsidRPr="00B31A23" w14:paraId="1A9CB50E" w14:textId="77777777" w:rsidTr="00943118">
        <w:trPr>
          <w:cantSplit/>
        </w:trPr>
        <w:tc>
          <w:tcPr>
            <w:tcW w:w="284" w:type="dxa"/>
            <w:tcBorders>
              <w:top w:val="nil"/>
              <w:bottom w:val="nil"/>
              <w:right w:val="nil"/>
            </w:tcBorders>
            <w:shd w:val="clear" w:color="auto" w:fill="FFFFFF"/>
          </w:tcPr>
          <w:p w14:paraId="2D563D0C" w14:textId="33EBEC7B" w:rsidR="00F16B80" w:rsidRPr="00B31A23" w:rsidRDefault="00F16B80" w:rsidP="006B6960">
            <w:pPr>
              <w:autoSpaceDE w:val="0"/>
              <w:autoSpaceDN w:val="0"/>
              <w:adjustRightInd w:val="0"/>
              <w:spacing w:line="320" w:lineRule="atLeast"/>
              <w:ind w:left="60" w:right="60"/>
              <w:rPr>
                <w:rFonts w:eastAsiaTheme="minorHAnsi"/>
                <w:color w:val="000000"/>
                <w:lang w:val="en-GB"/>
              </w:rPr>
            </w:pPr>
            <w:r w:rsidRPr="00B31A23">
              <w:rPr>
                <w:rFonts w:eastAsiaTheme="minorHAnsi"/>
                <w:color w:val="000000"/>
                <w:lang w:val="en-GB"/>
              </w:rPr>
              <w:t>3</w:t>
            </w:r>
          </w:p>
        </w:tc>
        <w:tc>
          <w:tcPr>
            <w:tcW w:w="2835" w:type="dxa"/>
            <w:gridSpan w:val="2"/>
            <w:tcBorders>
              <w:top w:val="nil"/>
              <w:left w:val="nil"/>
              <w:bottom w:val="nil"/>
              <w:right w:val="nil"/>
            </w:tcBorders>
            <w:shd w:val="clear" w:color="auto" w:fill="FFFFFF"/>
          </w:tcPr>
          <w:p w14:paraId="6070AE3A" w14:textId="200AF5D4" w:rsidR="00F16B80" w:rsidRPr="00B31A23" w:rsidRDefault="00F16B80" w:rsidP="00F16B80">
            <w:pPr>
              <w:autoSpaceDE w:val="0"/>
              <w:autoSpaceDN w:val="0"/>
              <w:adjustRightInd w:val="0"/>
              <w:spacing w:line="320" w:lineRule="atLeast"/>
              <w:ind w:right="60"/>
              <w:rPr>
                <w:rFonts w:eastAsiaTheme="minorHAnsi"/>
                <w:color w:val="000000"/>
                <w:lang w:val="en-GB"/>
              </w:rPr>
            </w:pPr>
            <w:r w:rsidRPr="00B31A23">
              <w:rPr>
                <w:rFonts w:eastAsiaTheme="minorHAnsi"/>
                <w:color w:val="000000"/>
                <w:lang w:val="en-GB"/>
              </w:rPr>
              <w:t>(Constant)</w:t>
            </w:r>
          </w:p>
        </w:tc>
        <w:tc>
          <w:tcPr>
            <w:tcW w:w="1276" w:type="dxa"/>
            <w:tcBorders>
              <w:top w:val="nil"/>
              <w:left w:val="nil"/>
              <w:bottom w:val="nil"/>
              <w:right w:val="nil"/>
            </w:tcBorders>
            <w:shd w:val="clear" w:color="auto" w:fill="FFFFFF"/>
          </w:tcPr>
          <w:p w14:paraId="5DD8E21A" w14:textId="2D2FA69B" w:rsidR="00F16B80" w:rsidRPr="00B31A23" w:rsidRDefault="005D374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.300</w:t>
            </w:r>
          </w:p>
        </w:tc>
        <w:tc>
          <w:tcPr>
            <w:tcW w:w="1843" w:type="dxa"/>
            <w:gridSpan w:val="2"/>
            <w:tcBorders>
              <w:top w:val="nil"/>
              <w:left w:val="nil"/>
              <w:bottom w:val="nil"/>
              <w:right w:val="nil"/>
            </w:tcBorders>
            <w:shd w:val="clear" w:color="auto" w:fill="FFFFFF"/>
          </w:tcPr>
          <w:p w14:paraId="6466E306" w14:textId="65EFC9F9" w:rsidR="00F16B80" w:rsidRPr="00B31A23" w:rsidRDefault="005D374B" w:rsidP="006B6960">
            <w:pPr>
              <w:autoSpaceDE w:val="0"/>
              <w:autoSpaceDN w:val="0"/>
              <w:adjustRightInd w:val="0"/>
              <w:spacing w:line="320" w:lineRule="atLeast"/>
              <w:ind w:left="60" w:right="60"/>
              <w:jc w:val="center"/>
              <w:rPr>
                <w:rFonts w:eastAsiaTheme="minorHAnsi"/>
                <w:color w:val="000000"/>
                <w:lang w:val="en-GB"/>
              </w:rPr>
            </w:pPr>
            <w:r w:rsidRPr="00B31A23">
              <w:rPr>
                <w:rFonts w:eastAsiaTheme="minorHAnsi"/>
                <w:color w:val="000000"/>
                <w:lang w:val="en-GB"/>
              </w:rPr>
              <w:t>.264**</w:t>
            </w:r>
          </w:p>
        </w:tc>
        <w:tc>
          <w:tcPr>
            <w:tcW w:w="851" w:type="dxa"/>
            <w:tcBorders>
              <w:top w:val="nil"/>
              <w:left w:val="nil"/>
              <w:bottom w:val="nil"/>
              <w:right w:val="nil"/>
            </w:tcBorders>
            <w:shd w:val="clear" w:color="auto" w:fill="FFFFFF"/>
            <w:vAlign w:val="center"/>
          </w:tcPr>
          <w:p w14:paraId="5A204661" w14:textId="6690A70D"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21.792</w:t>
            </w:r>
          </w:p>
        </w:tc>
        <w:tc>
          <w:tcPr>
            <w:tcW w:w="992" w:type="dxa"/>
            <w:tcBorders>
              <w:top w:val="nil"/>
              <w:left w:val="nil"/>
              <w:bottom w:val="nil"/>
              <w:right w:val="nil"/>
            </w:tcBorders>
            <w:shd w:val="clear" w:color="auto" w:fill="FFFFFF"/>
            <w:vAlign w:val="center"/>
          </w:tcPr>
          <w:p w14:paraId="2338D1FB" w14:textId="3D67452E"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5.601</w:t>
            </w:r>
          </w:p>
        </w:tc>
        <w:tc>
          <w:tcPr>
            <w:tcW w:w="1417" w:type="dxa"/>
            <w:tcBorders>
              <w:top w:val="nil"/>
              <w:left w:val="nil"/>
              <w:bottom w:val="nil"/>
              <w:right w:val="nil"/>
            </w:tcBorders>
            <w:shd w:val="clear" w:color="auto" w:fill="FFFFFF"/>
          </w:tcPr>
          <w:p w14:paraId="55DC3C62" w14:textId="77777777" w:rsidR="00F16B80" w:rsidRPr="00B31A23" w:rsidRDefault="00F16B80" w:rsidP="006B6960">
            <w:pPr>
              <w:autoSpaceDE w:val="0"/>
              <w:autoSpaceDN w:val="0"/>
              <w:adjustRightInd w:val="0"/>
              <w:jc w:val="center"/>
              <w:rPr>
                <w:rFonts w:eastAsiaTheme="minorHAnsi"/>
                <w:lang w:val="en-GB"/>
              </w:rPr>
            </w:pPr>
          </w:p>
        </w:tc>
        <w:tc>
          <w:tcPr>
            <w:tcW w:w="851" w:type="dxa"/>
            <w:tcBorders>
              <w:top w:val="nil"/>
              <w:left w:val="nil"/>
              <w:bottom w:val="nil"/>
              <w:right w:val="nil"/>
            </w:tcBorders>
            <w:shd w:val="clear" w:color="auto" w:fill="FFFFFF"/>
            <w:vAlign w:val="center"/>
          </w:tcPr>
          <w:p w14:paraId="7D057043" w14:textId="2B289FAF" w:rsidR="00F16B80" w:rsidRPr="00B31A23" w:rsidRDefault="00690DAA"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3.890</w:t>
            </w:r>
          </w:p>
        </w:tc>
        <w:tc>
          <w:tcPr>
            <w:tcW w:w="709" w:type="dxa"/>
            <w:tcBorders>
              <w:top w:val="nil"/>
              <w:left w:val="nil"/>
              <w:bottom w:val="nil"/>
              <w:right w:val="nil"/>
            </w:tcBorders>
            <w:shd w:val="clear" w:color="auto" w:fill="FFFFFF"/>
            <w:vAlign w:val="center"/>
          </w:tcPr>
          <w:p w14:paraId="54B0B36C" w14:textId="722A0ABF"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.000</w:t>
            </w:r>
          </w:p>
        </w:tc>
        <w:tc>
          <w:tcPr>
            <w:tcW w:w="1049" w:type="dxa"/>
            <w:tcBorders>
              <w:top w:val="nil"/>
              <w:left w:val="nil"/>
              <w:bottom w:val="nil"/>
              <w:right w:val="nil"/>
            </w:tcBorders>
            <w:shd w:val="clear" w:color="auto" w:fill="FFFFFF"/>
            <w:vAlign w:val="center"/>
          </w:tcPr>
          <w:p w14:paraId="19E02475" w14:textId="4E6C0DA6" w:rsidR="00F16B80" w:rsidRPr="00B31A23" w:rsidRDefault="00884E9D"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10.699</w:t>
            </w:r>
          </w:p>
        </w:tc>
        <w:tc>
          <w:tcPr>
            <w:tcW w:w="1077" w:type="dxa"/>
            <w:tcBorders>
              <w:top w:val="nil"/>
              <w:left w:val="nil"/>
              <w:bottom w:val="nil"/>
            </w:tcBorders>
            <w:shd w:val="clear" w:color="auto" w:fill="FFFFFF"/>
            <w:vAlign w:val="center"/>
          </w:tcPr>
          <w:p w14:paraId="46E35766" w14:textId="007128DD" w:rsidR="00F16B80" w:rsidRPr="00B31A23" w:rsidRDefault="00884E9D" w:rsidP="00884E9D">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32.884</w:t>
            </w:r>
          </w:p>
        </w:tc>
      </w:tr>
      <w:tr w:rsidR="00F16B80" w:rsidRPr="00B31A23" w14:paraId="24FE09B7" w14:textId="77777777" w:rsidTr="00943118">
        <w:trPr>
          <w:cantSplit/>
        </w:trPr>
        <w:tc>
          <w:tcPr>
            <w:tcW w:w="284" w:type="dxa"/>
            <w:tcBorders>
              <w:top w:val="nil"/>
              <w:bottom w:val="nil"/>
              <w:right w:val="nil"/>
            </w:tcBorders>
            <w:shd w:val="clear" w:color="auto" w:fill="FFFFFF"/>
          </w:tcPr>
          <w:p w14:paraId="59EED813" w14:textId="77777777" w:rsidR="00F16B80" w:rsidRPr="00B31A23" w:rsidRDefault="00F16B80" w:rsidP="006B6960">
            <w:pPr>
              <w:autoSpaceDE w:val="0"/>
              <w:autoSpaceDN w:val="0"/>
              <w:adjustRightInd w:val="0"/>
              <w:spacing w:line="320" w:lineRule="atLeast"/>
              <w:ind w:left="60" w:right="60"/>
              <w:rPr>
                <w:rFonts w:eastAsiaTheme="minorHAnsi"/>
                <w:color w:val="000000"/>
                <w:lang w:val="en-GB"/>
              </w:rPr>
            </w:pPr>
          </w:p>
        </w:tc>
        <w:tc>
          <w:tcPr>
            <w:tcW w:w="2835" w:type="dxa"/>
            <w:gridSpan w:val="2"/>
            <w:tcBorders>
              <w:top w:val="nil"/>
              <w:left w:val="nil"/>
              <w:bottom w:val="nil"/>
              <w:right w:val="nil"/>
            </w:tcBorders>
            <w:shd w:val="clear" w:color="auto" w:fill="FFFFFF"/>
          </w:tcPr>
          <w:p w14:paraId="3AE42AAB" w14:textId="46EA89B0" w:rsidR="00F16B80" w:rsidRPr="00B31A23" w:rsidRDefault="004D33E1" w:rsidP="00F16B80">
            <w:pPr>
              <w:autoSpaceDE w:val="0"/>
              <w:autoSpaceDN w:val="0"/>
              <w:adjustRightInd w:val="0"/>
              <w:spacing w:line="320" w:lineRule="atLeast"/>
              <w:ind w:right="60"/>
              <w:rPr>
                <w:rFonts w:eastAsiaTheme="minorHAnsi"/>
                <w:color w:val="000000"/>
                <w:lang w:val="en-GB"/>
              </w:rPr>
            </w:pPr>
            <w:r w:rsidRPr="00B31A23">
              <w:rPr>
                <w:rFonts w:eastAsiaTheme="minorHAnsi"/>
                <w:color w:val="000000"/>
                <w:lang w:val="en-GB"/>
              </w:rPr>
              <w:t>HAI</w:t>
            </w:r>
          </w:p>
        </w:tc>
        <w:tc>
          <w:tcPr>
            <w:tcW w:w="1276" w:type="dxa"/>
            <w:tcBorders>
              <w:top w:val="nil"/>
              <w:left w:val="nil"/>
              <w:bottom w:val="nil"/>
              <w:right w:val="nil"/>
            </w:tcBorders>
            <w:shd w:val="clear" w:color="auto" w:fill="FFFFFF"/>
          </w:tcPr>
          <w:p w14:paraId="5E45C3D3"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1843" w:type="dxa"/>
            <w:gridSpan w:val="2"/>
            <w:tcBorders>
              <w:top w:val="nil"/>
              <w:left w:val="nil"/>
              <w:bottom w:val="nil"/>
              <w:right w:val="nil"/>
            </w:tcBorders>
            <w:shd w:val="clear" w:color="auto" w:fill="FFFFFF"/>
          </w:tcPr>
          <w:p w14:paraId="35767076"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851" w:type="dxa"/>
            <w:tcBorders>
              <w:top w:val="nil"/>
              <w:left w:val="nil"/>
              <w:bottom w:val="nil"/>
              <w:right w:val="nil"/>
            </w:tcBorders>
            <w:shd w:val="clear" w:color="auto" w:fill="FFFFFF"/>
            <w:vAlign w:val="center"/>
          </w:tcPr>
          <w:p w14:paraId="1BC52D8B" w14:textId="74AF0E3D"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.271</w:t>
            </w:r>
          </w:p>
        </w:tc>
        <w:tc>
          <w:tcPr>
            <w:tcW w:w="992" w:type="dxa"/>
            <w:tcBorders>
              <w:top w:val="nil"/>
              <w:left w:val="nil"/>
              <w:bottom w:val="nil"/>
              <w:right w:val="nil"/>
            </w:tcBorders>
            <w:shd w:val="clear" w:color="auto" w:fill="FFFFFF"/>
            <w:vAlign w:val="center"/>
          </w:tcPr>
          <w:p w14:paraId="7670FCB1" w14:textId="1C8F5767"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.185</w:t>
            </w:r>
          </w:p>
        </w:tc>
        <w:tc>
          <w:tcPr>
            <w:tcW w:w="1417" w:type="dxa"/>
            <w:tcBorders>
              <w:top w:val="nil"/>
              <w:left w:val="nil"/>
              <w:bottom w:val="nil"/>
              <w:right w:val="nil"/>
            </w:tcBorders>
            <w:shd w:val="clear" w:color="auto" w:fill="FFFFFF"/>
          </w:tcPr>
          <w:p w14:paraId="679B1247" w14:textId="7F5422A6" w:rsidR="00F16B80" w:rsidRPr="00B31A23" w:rsidRDefault="00690DAA" w:rsidP="006B6960">
            <w:pPr>
              <w:autoSpaceDE w:val="0"/>
              <w:autoSpaceDN w:val="0"/>
              <w:adjustRightInd w:val="0"/>
              <w:jc w:val="center"/>
              <w:rPr>
                <w:rFonts w:eastAsiaTheme="minorHAnsi"/>
                <w:lang w:val="en-GB"/>
              </w:rPr>
            </w:pPr>
            <w:r w:rsidRPr="00B31A23">
              <w:rPr>
                <w:rFonts w:eastAsiaTheme="minorHAnsi"/>
                <w:lang w:val="en-GB"/>
              </w:rPr>
              <w:t>.143</w:t>
            </w:r>
          </w:p>
        </w:tc>
        <w:tc>
          <w:tcPr>
            <w:tcW w:w="851" w:type="dxa"/>
            <w:tcBorders>
              <w:top w:val="nil"/>
              <w:left w:val="nil"/>
              <w:bottom w:val="nil"/>
              <w:right w:val="nil"/>
            </w:tcBorders>
            <w:shd w:val="clear" w:color="auto" w:fill="FFFFFF"/>
            <w:vAlign w:val="center"/>
          </w:tcPr>
          <w:p w14:paraId="431910EC" w14:textId="5F66B3B7" w:rsidR="00F16B80" w:rsidRPr="00B31A23" w:rsidRDefault="00690DAA"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1.469</w:t>
            </w:r>
          </w:p>
        </w:tc>
        <w:tc>
          <w:tcPr>
            <w:tcW w:w="709" w:type="dxa"/>
            <w:tcBorders>
              <w:top w:val="nil"/>
              <w:left w:val="nil"/>
              <w:bottom w:val="nil"/>
              <w:right w:val="nil"/>
            </w:tcBorders>
            <w:shd w:val="clear" w:color="auto" w:fill="FFFFFF"/>
            <w:vAlign w:val="center"/>
          </w:tcPr>
          <w:p w14:paraId="33AB137D" w14:textId="09B36A3C"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.144</w:t>
            </w:r>
          </w:p>
        </w:tc>
        <w:tc>
          <w:tcPr>
            <w:tcW w:w="1049" w:type="dxa"/>
            <w:tcBorders>
              <w:top w:val="nil"/>
              <w:left w:val="nil"/>
              <w:bottom w:val="nil"/>
              <w:right w:val="nil"/>
            </w:tcBorders>
            <w:shd w:val="clear" w:color="auto" w:fill="FFFFFF"/>
            <w:vAlign w:val="center"/>
          </w:tcPr>
          <w:p w14:paraId="45176F83" w14:textId="30ECA6C5"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w:t>
            </w:r>
            <w:r w:rsidR="00884E9D" w:rsidRPr="00B31A23">
              <w:rPr>
                <w:rFonts w:eastAsiaTheme="minorHAnsi"/>
                <w:lang w:val="en-GB"/>
              </w:rPr>
              <w:t>094</w:t>
            </w:r>
          </w:p>
        </w:tc>
        <w:tc>
          <w:tcPr>
            <w:tcW w:w="1077" w:type="dxa"/>
            <w:tcBorders>
              <w:top w:val="nil"/>
              <w:left w:val="nil"/>
              <w:bottom w:val="nil"/>
            </w:tcBorders>
            <w:shd w:val="clear" w:color="auto" w:fill="FFFFFF"/>
            <w:vAlign w:val="center"/>
          </w:tcPr>
          <w:p w14:paraId="2F1DCAE9" w14:textId="30A23D87"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w:t>
            </w:r>
            <w:r w:rsidR="00884E9D" w:rsidRPr="00B31A23">
              <w:rPr>
                <w:rFonts w:eastAsiaTheme="minorHAnsi"/>
                <w:lang w:val="en-GB"/>
              </w:rPr>
              <w:t>637</w:t>
            </w:r>
          </w:p>
        </w:tc>
      </w:tr>
      <w:tr w:rsidR="00F16B80" w:rsidRPr="00B31A23" w14:paraId="685694A8" w14:textId="77777777" w:rsidTr="00943118">
        <w:trPr>
          <w:cantSplit/>
        </w:trPr>
        <w:tc>
          <w:tcPr>
            <w:tcW w:w="284" w:type="dxa"/>
            <w:tcBorders>
              <w:top w:val="nil"/>
              <w:bottom w:val="nil"/>
              <w:right w:val="nil"/>
            </w:tcBorders>
            <w:shd w:val="clear" w:color="auto" w:fill="FFFFFF"/>
          </w:tcPr>
          <w:p w14:paraId="43D6C684" w14:textId="77777777" w:rsidR="00F16B80" w:rsidRPr="00B31A23" w:rsidRDefault="00F16B80" w:rsidP="006B6960">
            <w:pPr>
              <w:autoSpaceDE w:val="0"/>
              <w:autoSpaceDN w:val="0"/>
              <w:adjustRightInd w:val="0"/>
              <w:spacing w:line="320" w:lineRule="atLeast"/>
              <w:ind w:left="60" w:right="60"/>
              <w:rPr>
                <w:rFonts w:eastAsiaTheme="minorHAnsi"/>
                <w:color w:val="000000"/>
                <w:lang w:val="en-GB"/>
              </w:rPr>
            </w:pPr>
          </w:p>
        </w:tc>
        <w:tc>
          <w:tcPr>
            <w:tcW w:w="2835" w:type="dxa"/>
            <w:gridSpan w:val="2"/>
            <w:tcBorders>
              <w:top w:val="nil"/>
              <w:left w:val="nil"/>
              <w:bottom w:val="nil"/>
              <w:right w:val="nil"/>
            </w:tcBorders>
            <w:shd w:val="clear" w:color="auto" w:fill="FFFFFF"/>
          </w:tcPr>
          <w:p w14:paraId="218A921E" w14:textId="17155BE1" w:rsidR="00F16B80" w:rsidRPr="00B31A23" w:rsidRDefault="004D33E1" w:rsidP="00F16B80">
            <w:pPr>
              <w:autoSpaceDE w:val="0"/>
              <w:autoSpaceDN w:val="0"/>
              <w:adjustRightInd w:val="0"/>
              <w:spacing w:line="320" w:lineRule="atLeast"/>
              <w:ind w:right="60"/>
              <w:rPr>
                <w:rFonts w:eastAsiaTheme="minorHAnsi"/>
                <w:color w:val="000000"/>
                <w:lang w:val="en-GB"/>
              </w:rPr>
            </w:pPr>
            <w:r w:rsidRPr="00B31A23">
              <w:rPr>
                <w:rFonts w:eastAsiaTheme="minorHAnsi"/>
                <w:color w:val="000000"/>
                <w:lang w:val="en-GB"/>
              </w:rPr>
              <w:t>HCQ Factor</w:t>
            </w:r>
            <w:r w:rsidR="00942FA3" w:rsidRPr="00B31A23">
              <w:rPr>
                <w:rFonts w:eastAsiaTheme="minorHAnsi"/>
                <w:color w:val="000000"/>
                <w:lang w:val="en-GB"/>
              </w:rPr>
              <w:t xml:space="preserve"> </w:t>
            </w:r>
            <w:r w:rsidRPr="00B31A23">
              <w:rPr>
                <w:rFonts w:eastAsiaTheme="minorHAnsi"/>
                <w:color w:val="000000"/>
                <w:lang w:val="en-GB"/>
              </w:rPr>
              <w:t>3</w:t>
            </w:r>
          </w:p>
        </w:tc>
        <w:tc>
          <w:tcPr>
            <w:tcW w:w="1276" w:type="dxa"/>
            <w:tcBorders>
              <w:top w:val="nil"/>
              <w:left w:val="nil"/>
              <w:bottom w:val="nil"/>
              <w:right w:val="nil"/>
            </w:tcBorders>
            <w:shd w:val="clear" w:color="auto" w:fill="FFFFFF"/>
          </w:tcPr>
          <w:p w14:paraId="5C144C68"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1843" w:type="dxa"/>
            <w:gridSpan w:val="2"/>
            <w:tcBorders>
              <w:top w:val="nil"/>
              <w:left w:val="nil"/>
              <w:bottom w:val="nil"/>
              <w:right w:val="nil"/>
            </w:tcBorders>
            <w:shd w:val="clear" w:color="auto" w:fill="FFFFFF"/>
          </w:tcPr>
          <w:p w14:paraId="11C424E0"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851" w:type="dxa"/>
            <w:tcBorders>
              <w:top w:val="nil"/>
              <w:left w:val="nil"/>
              <w:bottom w:val="nil"/>
              <w:right w:val="nil"/>
            </w:tcBorders>
            <w:shd w:val="clear" w:color="auto" w:fill="FFFFFF"/>
            <w:vAlign w:val="center"/>
          </w:tcPr>
          <w:p w14:paraId="2CC758DA" w14:textId="603C7B6D"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-.242</w:t>
            </w:r>
          </w:p>
        </w:tc>
        <w:tc>
          <w:tcPr>
            <w:tcW w:w="992" w:type="dxa"/>
            <w:tcBorders>
              <w:top w:val="nil"/>
              <w:left w:val="nil"/>
              <w:bottom w:val="nil"/>
              <w:right w:val="nil"/>
            </w:tcBorders>
            <w:shd w:val="clear" w:color="auto" w:fill="FFFFFF"/>
            <w:vAlign w:val="center"/>
          </w:tcPr>
          <w:p w14:paraId="76A874DD" w14:textId="3B3040D1"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.290</w:t>
            </w:r>
          </w:p>
        </w:tc>
        <w:tc>
          <w:tcPr>
            <w:tcW w:w="1417" w:type="dxa"/>
            <w:tcBorders>
              <w:top w:val="nil"/>
              <w:left w:val="nil"/>
              <w:bottom w:val="nil"/>
              <w:right w:val="nil"/>
            </w:tcBorders>
            <w:shd w:val="clear" w:color="auto" w:fill="FFFFFF"/>
          </w:tcPr>
          <w:p w14:paraId="3798420A" w14:textId="0D259901" w:rsidR="00F16B80" w:rsidRPr="00B31A23" w:rsidRDefault="00690DAA" w:rsidP="006B6960">
            <w:pPr>
              <w:autoSpaceDE w:val="0"/>
              <w:autoSpaceDN w:val="0"/>
              <w:adjustRightInd w:val="0"/>
              <w:jc w:val="center"/>
              <w:rPr>
                <w:rFonts w:eastAsiaTheme="minorHAnsi"/>
                <w:lang w:val="en-GB"/>
              </w:rPr>
            </w:pPr>
            <w:r w:rsidRPr="00B31A23">
              <w:rPr>
                <w:rFonts w:eastAsiaTheme="minorHAnsi"/>
                <w:lang w:val="en-GB"/>
              </w:rPr>
              <w:t>-.078</w:t>
            </w:r>
          </w:p>
        </w:tc>
        <w:tc>
          <w:tcPr>
            <w:tcW w:w="851" w:type="dxa"/>
            <w:tcBorders>
              <w:top w:val="nil"/>
              <w:left w:val="nil"/>
              <w:bottom w:val="nil"/>
              <w:right w:val="nil"/>
            </w:tcBorders>
            <w:shd w:val="clear" w:color="auto" w:fill="FFFFFF"/>
            <w:vAlign w:val="center"/>
          </w:tcPr>
          <w:p w14:paraId="672A47EE" w14:textId="1C2088B3" w:rsidR="00F16B80" w:rsidRPr="00B31A23" w:rsidRDefault="00690DAA"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-.834</w:t>
            </w:r>
          </w:p>
        </w:tc>
        <w:tc>
          <w:tcPr>
            <w:tcW w:w="709" w:type="dxa"/>
            <w:tcBorders>
              <w:top w:val="nil"/>
              <w:left w:val="nil"/>
              <w:bottom w:val="nil"/>
              <w:right w:val="nil"/>
            </w:tcBorders>
            <w:shd w:val="clear" w:color="auto" w:fill="FFFFFF"/>
            <w:vAlign w:val="center"/>
          </w:tcPr>
          <w:p w14:paraId="5C166E8B" w14:textId="0679FA9C"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.406</w:t>
            </w:r>
          </w:p>
        </w:tc>
        <w:tc>
          <w:tcPr>
            <w:tcW w:w="1049" w:type="dxa"/>
            <w:tcBorders>
              <w:top w:val="nil"/>
              <w:left w:val="nil"/>
              <w:bottom w:val="nil"/>
              <w:right w:val="nil"/>
            </w:tcBorders>
            <w:shd w:val="clear" w:color="auto" w:fill="FFFFFF"/>
            <w:vAlign w:val="center"/>
          </w:tcPr>
          <w:p w14:paraId="639BB8B7" w14:textId="78C15C06" w:rsidR="00F16B80" w:rsidRPr="00B31A23" w:rsidRDefault="00884E9D"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w:t>
            </w:r>
            <w:r w:rsidR="00AC6331" w:rsidRPr="00B31A23">
              <w:rPr>
                <w:rFonts w:eastAsiaTheme="minorHAnsi"/>
                <w:lang w:val="en-GB"/>
              </w:rPr>
              <w:t>.</w:t>
            </w:r>
            <w:r w:rsidRPr="00B31A23">
              <w:rPr>
                <w:rFonts w:eastAsiaTheme="minorHAnsi"/>
                <w:lang w:val="en-GB"/>
              </w:rPr>
              <w:t>815</w:t>
            </w:r>
          </w:p>
        </w:tc>
        <w:tc>
          <w:tcPr>
            <w:tcW w:w="1077" w:type="dxa"/>
            <w:tcBorders>
              <w:top w:val="nil"/>
              <w:left w:val="nil"/>
              <w:bottom w:val="nil"/>
            </w:tcBorders>
            <w:shd w:val="clear" w:color="auto" w:fill="FFFFFF"/>
            <w:vAlign w:val="center"/>
          </w:tcPr>
          <w:p w14:paraId="680A25BC" w14:textId="21FA9593" w:rsidR="00F16B80" w:rsidRPr="00B31A23" w:rsidRDefault="00884E9D"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.332</w:t>
            </w:r>
          </w:p>
        </w:tc>
      </w:tr>
      <w:tr w:rsidR="00F16B80" w:rsidRPr="00B31A23" w14:paraId="71C16F4C" w14:textId="77777777" w:rsidTr="00943118">
        <w:trPr>
          <w:cantSplit/>
        </w:trPr>
        <w:tc>
          <w:tcPr>
            <w:tcW w:w="284" w:type="dxa"/>
            <w:tcBorders>
              <w:top w:val="nil"/>
              <w:bottom w:val="nil"/>
              <w:right w:val="nil"/>
            </w:tcBorders>
            <w:shd w:val="clear" w:color="auto" w:fill="FFFFFF"/>
          </w:tcPr>
          <w:p w14:paraId="27A660E1" w14:textId="77777777" w:rsidR="00F16B80" w:rsidRPr="00B31A23" w:rsidRDefault="00F16B80" w:rsidP="006B6960">
            <w:pPr>
              <w:autoSpaceDE w:val="0"/>
              <w:autoSpaceDN w:val="0"/>
              <w:adjustRightInd w:val="0"/>
              <w:spacing w:line="320" w:lineRule="atLeast"/>
              <w:ind w:left="60" w:right="60"/>
              <w:rPr>
                <w:rFonts w:eastAsiaTheme="minorHAnsi"/>
                <w:color w:val="000000"/>
                <w:lang w:val="en-GB"/>
              </w:rPr>
            </w:pPr>
          </w:p>
        </w:tc>
        <w:tc>
          <w:tcPr>
            <w:tcW w:w="2835" w:type="dxa"/>
            <w:gridSpan w:val="2"/>
            <w:tcBorders>
              <w:top w:val="nil"/>
              <w:left w:val="nil"/>
              <w:bottom w:val="nil"/>
              <w:right w:val="nil"/>
            </w:tcBorders>
            <w:shd w:val="clear" w:color="auto" w:fill="FFFFFF"/>
          </w:tcPr>
          <w:p w14:paraId="34DF62BE" w14:textId="29729005" w:rsidR="00F16B80" w:rsidRPr="00B31A23" w:rsidRDefault="004D33E1" w:rsidP="00F16B80">
            <w:pPr>
              <w:autoSpaceDE w:val="0"/>
              <w:autoSpaceDN w:val="0"/>
              <w:adjustRightInd w:val="0"/>
              <w:spacing w:line="320" w:lineRule="atLeast"/>
              <w:ind w:right="60"/>
              <w:rPr>
                <w:rFonts w:eastAsiaTheme="minorHAnsi"/>
                <w:color w:val="000000"/>
                <w:lang w:val="en-GB"/>
              </w:rPr>
            </w:pPr>
            <w:r w:rsidRPr="00B31A23">
              <w:rPr>
                <w:rFonts w:eastAsiaTheme="minorHAnsi"/>
                <w:color w:val="000000"/>
                <w:lang w:val="en-GB"/>
              </w:rPr>
              <w:t>HCQ Factor</w:t>
            </w:r>
            <w:r w:rsidR="00942FA3" w:rsidRPr="00B31A23">
              <w:rPr>
                <w:rFonts w:eastAsiaTheme="minorHAnsi"/>
                <w:color w:val="000000"/>
                <w:lang w:val="en-GB"/>
              </w:rPr>
              <w:t xml:space="preserve"> </w:t>
            </w:r>
            <w:r w:rsidRPr="00B31A23">
              <w:rPr>
                <w:rFonts w:eastAsiaTheme="minorHAnsi"/>
                <w:color w:val="000000"/>
                <w:lang w:val="en-GB"/>
              </w:rPr>
              <w:t>4</w:t>
            </w:r>
          </w:p>
        </w:tc>
        <w:tc>
          <w:tcPr>
            <w:tcW w:w="1276" w:type="dxa"/>
            <w:tcBorders>
              <w:top w:val="nil"/>
              <w:left w:val="nil"/>
              <w:bottom w:val="nil"/>
              <w:right w:val="nil"/>
            </w:tcBorders>
            <w:shd w:val="clear" w:color="auto" w:fill="FFFFFF"/>
          </w:tcPr>
          <w:p w14:paraId="78DBE60A"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1843" w:type="dxa"/>
            <w:gridSpan w:val="2"/>
            <w:tcBorders>
              <w:top w:val="nil"/>
              <w:left w:val="nil"/>
              <w:bottom w:val="nil"/>
              <w:right w:val="nil"/>
            </w:tcBorders>
            <w:shd w:val="clear" w:color="auto" w:fill="FFFFFF"/>
          </w:tcPr>
          <w:p w14:paraId="271517BA"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851" w:type="dxa"/>
            <w:tcBorders>
              <w:top w:val="nil"/>
              <w:left w:val="nil"/>
              <w:bottom w:val="nil"/>
              <w:right w:val="nil"/>
            </w:tcBorders>
            <w:shd w:val="clear" w:color="auto" w:fill="FFFFFF"/>
            <w:vAlign w:val="center"/>
          </w:tcPr>
          <w:p w14:paraId="6F3C0B6A" w14:textId="6BA0C47D"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.608</w:t>
            </w:r>
          </w:p>
        </w:tc>
        <w:tc>
          <w:tcPr>
            <w:tcW w:w="992" w:type="dxa"/>
            <w:tcBorders>
              <w:top w:val="nil"/>
              <w:left w:val="nil"/>
              <w:bottom w:val="nil"/>
              <w:right w:val="nil"/>
            </w:tcBorders>
            <w:shd w:val="clear" w:color="auto" w:fill="FFFFFF"/>
            <w:vAlign w:val="center"/>
          </w:tcPr>
          <w:p w14:paraId="6D8EE155" w14:textId="0011D120"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.362</w:t>
            </w:r>
          </w:p>
        </w:tc>
        <w:tc>
          <w:tcPr>
            <w:tcW w:w="1417" w:type="dxa"/>
            <w:tcBorders>
              <w:top w:val="nil"/>
              <w:left w:val="nil"/>
              <w:bottom w:val="nil"/>
              <w:right w:val="nil"/>
            </w:tcBorders>
            <w:shd w:val="clear" w:color="auto" w:fill="FFFFFF"/>
          </w:tcPr>
          <w:p w14:paraId="1D677597" w14:textId="0CBABE77" w:rsidR="00F16B80" w:rsidRPr="00B31A23" w:rsidRDefault="00690DAA" w:rsidP="006B6960">
            <w:pPr>
              <w:autoSpaceDE w:val="0"/>
              <w:autoSpaceDN w:val="0"/>
              <w:adjustRightInd w:val="0"/>
              <w:jc w:val="center"/>
              <w:rPr>
                <w:rFonts w:eastAsiaTheme="minorHAnsi"/>
                <w:lang w:val="en-GB"/>
              </w:rPr>
            </w:pPr>
            <w:r w:rsidRPr="00B31A23">
              <w:rPr>
                <w:rFonts w:eastAsiaTheme="minorHAnsi"/>
                <w:lang w:val="en-GB"/>
              </w:rPr>
              <w:t>.142</w:t>
            </w:r>
          </w:p>
        </w:tc>
        <w:tc>
          <w:tcPr>
            <w:tcW w:w="851" w:type="dxa"/>
            <w:tcBorders>
              <w:top w:val="nil"/>
              <w:left w:val="nil"/>
              <w:bottom w:val="nil"/>
              <w:right w:val="nil"/>
            </w:tcBorders>
            <w:shd w:val="clear" w:color="auto" w:fill="FFFFFF"/>
            <w:vAlign w:val="center"/>
          </w:tcPr>
          <w:p w14:paraId="2516D123" w14:textId="6E855CBA" w:rsidR="00F16B80" w:rsidRPr="00B31A23" w:rsidRDefault="00690DAA"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1.681</w:t>
            </w:r>
          </w:p>
        </w:tc>
        <w:tc>
          <w:tcPr>
            <w:tcW w:w="709" w:type="dxa"/>
            <w:tcBorders>
              <w:top w:val="nil"/>
              <w:left w:val="nil"/>
              <w:bottom w:val="nil"/>
              <w:right w:val="nil"/>
            </w:tcBorders>
            <w:shd w:val="clear" w:color="auto" w:fill="FFFFFF"/>
            <w:vAlign w:val="center"/>
          </w:tcPr>
          <w:p w14:paraId="7761F6CA" w14:textId="62C75889"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.095</w:t>
            </w:r>
          </w:p>
        </w:tc>
        <w:tc>
          <w:tcPr>
            <w:tcW w:w="1049" w:type="dxa"/>
            <w:tcBorders>
              <w:top w:val="nil"/>
              <w:left w:val="nil"/>
              <w:bottom w:val="nil"/>
              <w:right w:val="nil"/>
            </w:tcBorders>
            <w:shd w:val="clear" w:color="auto" w:fill="FFFFFF"/>
            <w:vAlign w:val="center"/>
          </w:tcPr>
          <w:p w14:paraId="0445A3BD" w14:textId="644B4679" w:rsidR="00F16B80" w:rsidRPr="00B31A23" w:rsidRDefault="003B3A82"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-.108</w:t>
            </w:r>
          </w:p>
        </w:tc>
        <w:tc>
          <w:tcPr>
            <w:tcW w:w="1077" w:type="dxa"/>
            <w:tcBorders>
              <w:top w:val="nil"/>
              <w:left w:val="nil"/>
              <w:bottom w:val="nil"/>
            </w:tcBorders>
            <w:shd w:val="clear" w:color="auto" w:fill="FFFFFF"/>
            <w:vAlign w:val="center"/>
          </w:tcPr>
          <w:p w14:paraId="7EA742FA" w14:textId="48EA4A34"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w:t>
            </w:r>
            <w:r w:rsidR="003B3A82" w:rsidRPr="00B31A23">
              <w:rPr>
                <w:rFonts w:eastAsiaTheme="minorHAnsi"/>
                <w:lang w:val="en-GB"/>
              </w:rPr>
              <w:t>324</w:t>
            </w:r>
          </w:p>
        </w:tc>
      </w:tr>
      <w:tr w:rsidR="00F16B80" w:rsidRPr="00B31A23" w14:paraId="458E65ED" w14:textId="77777777" w:rsidTr="00943118">
        <w:trPr>
          <w:cantSplit/>
        </w:trPr>
        <w:tc>
          <w:tcPr>
            <w:tcW w:w="284" w:type="dxa"/>
            <w:tcBorders>
              <w:top w:val="nil"/>
              <w:bottom w:val="nil"/>
              <w:right w:val="nil"/>
            </w:tcBorders>
            <w:shd w:val="clear" w:color="auto" w:fill="FFFFFF"/>
          </w:tcPr>
          <w:p w14:paraId="2616B4B9" w14:textId="77777777" w:rsidR="00F16B80" w:rsidRPr="00B31A23" w:rsidRDefault="00F16B80" w:rsidP="006B6960">
            <w:pPr>
              <w:autoSpaceDE w:val="0"/>
              <w:autoSpaceDN w:val="0"/>
              <w:adjustRightInd w:val="0"/>
              <w:spacing w:line="320" w:lineRule="atLeast"/>
              <w:ind w:left="60" w:right="60"/>
              <w:rPr>
                <w:rFonts w:eastAsiaTheme="minorHAnsi"/>
                <w:color w:val="000000"/>
                <w:lang w:val="en-GB"/>
              </w:rPr>
            </w:pPr>
          </w:p>
        </w:tc>
        <w:tc>
          <w:tcPr>
            <w:tcW w:w="2835" w:type="dxa"/>
            <w:gridSpan w:val="2"/>
            <w:tcBorders>
              <w:top w:val="nil"/>
              <w:left w:val="nil"/>
              <w:bottom w:val="nil"/>
              <w:right w:val="nil"/>
            </w:tcBorders>
            <w:shd w:val="clear" w:color="auto" w:fill="FFFFFF"/>
          </w:tcPr>
          <w:p w14:paraId="501FE4D6" w14:textId="2B0BDC05" w:rsidR="00F16B80" w:rsidRPr="00B31A23" w:rsidRDefault="004D33E1" w:rsidP="00F16B80">
            <w:pPr>
              <w:autoSpaceDE w:val="0"/>
              <w:autoSpaceDN w:val="0"/>
              <w:adjustRightInd w:val="0"/>
              <w:spacing w:line="320" w:lineRule="atLeast"/>
              <w:ind w:right="60"/>
              <w:rPr>
                <w:rFonts w:eastAsiaTheme="minorHAnsi"/>
                <w:color w:val="000000"/>
                <w:lang w:val="en-GB"/>
              </w:rPr>
            </w:pPr>
            <w:r w:rsidRPr="00B31A23">
              <w:rPr>
                <w:rFonts w:eastAsiaTheme="minorHAnsi"/>
                <w:color w:val="000000"/>
                <w:lang w:val="en-GB"/>
              </w:rPr>
              <w:t>MCQ-HA Factor</w:t>
            </w:r>
            <w:r w:rsidR="00942FA3" w:rsidRPr="00B31A23">
              <w:rPr>
                <w:rFonts w:eastAsiaTheme="minorHAnsi"/>
                <w:color w:val="000000"/>
                <w:lang w:val="en-GB"/>
              </w:rPr>
              <w:t xml:space="preserve"> </w:t>
            </w:r>
            <w:r w:rsidRPr="00B31A23">
              <w:rPr>
                <w:rFonts w:eastAsiaTheme="minorHAnsi"/>
                <w:color w:val="000000"/>
                <w:lang w:val="en-GB"/>
              </w:rPr>
              <w:t>1</w:t>
            </w:r>
          </w:p>
        </w:tc>
        <w:tc>
          <w:tcPr>
            <w:tcW w:w="1276" w:type="dxa"/>
            <w:tcBorders>
              <w:top w:val="nil"/>
              <w:left w:val="nil"/>
              <w:bottom w:val="nil"/>
              <w:right w:val="nil"/>
            </w:tcBorders>
            <w:shd w:val="clear" w:color="auto" w:fill="FFFFFF"/>
          </w:tcPr>
          <w:p w14:paraId="729AD874"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1843" w:type="dxa"/>
            <w:gridSpan w:val="2"/>
            <w:tcBorders>
              <w:top w:val="nil"/>
              <w:left w:val="nil"/>
              <w:bottom w:val="nil"/>
              <w:right w:val="nil"/>
            </w:tcBorders>
            <w:shd w:val="clear" w:color="auto" w:fill="FFFFFF"/>
          </w:tcPr>
          <w:p w14:paraId="396EDDDE"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851" w:type="dxa"/>
            <w:tcBorders>
              <w:top w:val="nil"/>
              <w:left w:val="nil"/>
              <w:bottom w:val="nil"/>
              <w:right w:val="nil"/>
            </w:tcBorders>
            <w:shd w:val="clear" w:color="auto" w:fill="FFFFFF"/>
            <w:vAlign w:val="center"/>
          </w:tcPr>
          <w:p w14:paraId="6D424DB6" w14:textId="2E6F3DE1"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.432</w:t>
            </w:r>
          </w:p>
        </w:tc>
        <w:tc>
          <w:tcPr>
            <w:tcW w:w="992" w:type="dxa"/>
            <w:tcBorders>
              <w:top w:val="nil"/>
              <w:left w:val="nil"/>
              <w:bottom w:val="nil"/>
              <w:right w:val="nil"/>
            </w:tcBorders>
            <w:shd w:val="clear" w:color="auto" w:fill="FFFFFF"/>
            <w:vAlign w:val="center"/>
          </w:tcPr>
          <w:p w14:paraId="23AC2492" w14:textId="2AEE208D"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.230</w:t>
            </w:r>
          </w:p>
        </w:tc>
        <w:tc>
          <w:tcPr>
            <w:tcW w:w="1417" w:type="dxa"/>
            <w:tcBorders>
              <w:top w:val="nil"/>
              <w:left w:val="nil"/>
              <w:bottom w:val="nil"/>
              <w:right w:val="nil"/>
            </w:tcBorders>
            <w:shd w:val="clear" w:color="auto" w:fill="FFFFFF"/>
          </w:tcPr>
          <w:p w14:paraId="1E03CCC8" w14:textId="578AE0EC" w:rsidR="00F16B80" w:rsidRPr="00B31A23" w:rsidRDefault="00690DAA" w:rsidP="006B6960">
            <w:pPr>
              <w:autoSpaceDE w:val="0"/>
              <w:autoSpaceDN w:val="0"/>
              <w:adjustRightInd w:val="0"/>
              <w:jc w:val="center"/>
              <w:rPr>
                <w:rFonts w:eastAsiaTheme="minorHAnsi"/>
                <w:lang w:val="en-GB"/>
              </w:rPr>
            </w:pPr>
            <w:r w:rsidRPr="00B31A23">
              <w:rPr>
                <w:rFonts w:eastAsiaTheme="minorHAnsi"/>
                <w:lang w:val="en-GB"/>
              </w:rPr>
              <w:t>.150</w:t>
            </w:r>
          </w:p>
        </w:tc>
        <w:tc>
          <w:tcPr>
            <w:tcW w:w="851" w:type="dxa"/>
            <w:tcBorders>
              <w:top w:val="nil"/>
              <w:left w:val="nil"/>
              <w:bottom w:val="nil"/>
              <w:right w:val="nil"/>
            </w:tcBorders>
            <w:shd w:val="clear" w:color="auto" w:fill="FFFFFF"/>
            <w:vAlign w:val="center"/>
          </w:tcPr>
          <w:p w14:paraId="12D3E309" w14:textId="54A464E1" w:rsidR="00F16B80" w:rsidRPr="00B31A23" w:rsidRDefault="00690DAA"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1.882</w:t>
            </w:r>
          </w:p>
        </w:tc>
        <w:tc>
          <w:tcPr>
            <w:tcW w:w="709" w:type="dxa"/>
            <w:tcBorders>
              <w:top w:val="nil"/>
              <w:left w:val="nil"/>
              <w:bottom w:val="nil"/>
              <w:right w:val="nil"/>
            </w:tcBorders>
            <w:shd w:val="clear" w:color="auto" w:fill="FFFFFF"/>
            <w:vAlign w:val="center"/>
          </w:tcPr>
          <w:p w14:paraId="65B98398" w14:textId="2C5474CF"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.062</w:t>
            </w:r>
          </w:p>
        </w:tc>
        <w:tc>
          <w:tcPr>
            <w:tcW w:w="1049" w:type="dxa"/>
            <w:tcBorders>
              <w:top w:val="nil"/>
              <w:left w:val="nil"/>
              <w:bottom w:val="nil"/>
              <w:right w:val="nil"/>
            </w:tcBorders>
            <w:shd w:val="clear" w:color="auto" w:fill="FFFFFF"/>
            <w:vAlign w:val="center"/>
          </w:tcPr>
          <w:p w14:paraId="18FA4852" w14:textId="47D256D2"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w:t>
            </w:r>
            <w:r w:rsidR="003B3A82" w:rsidRPr="00B31A23">
              <w:rPr>
                <w:rFonts w:eastAsiaTheme="minorHAnsi"/>
                <w:lang w:val="en-GB"/>
              </w:rPr>
              <w:t>023</w:t>
            </w:r>
          </w:p>
        </w:tc>
        <w:tc>
          <w:tcPr>
            <w:tcW w:w="1077" w:type="dxa"/>
            <w:tcBorders>
              <w:top w:val="nil"/>
              <w:left w:val="nil"/>
              <w:bottom w:val="nil"/>
            </w:tcBorders>
            <w:shd w:val="clear" w:color="auto" w:fill="FFFFFF"/>
            <w:vAlign w:val="center"/>
          </w:tcPr>
          <w:p w14:paraId="54B52D0E" w14:textId="2287F4AE"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w:t>
            </w:r>
            <w:r w:rsidR="003B3A82" w:rsidRPr="00B31A23">
              <w:rPr>
                <w:rFonts w:eastAsiaTheme="minorHAnsi"/>
                <w:lang w:val="en-GB"/>
              </w:rPr>
              <w:t>887</w:t>
            </w:r>
          </w:p>
        </w:tc>
      </w:tr>
      <w:tr w:rsidR="00F16B80" w:rsidRPr="00B31A23" w14:paraId="4C6C92EC" w14:textId="77777777" w:rsidTr="003B3A82">
        <w:trPr>
          <w:cantSplit/>
        </w:trPr>
        <w:tc>
          <w:tcPr>
            <w:tcW w:w="284" w:type="dxa"/>
            <w:tcBorders>
              <w:top w:val="nil"/>
              <w:bottom w:val="nil"/>
              <w:right w:val="nil"/>
            </w:tcBorders>
            <w:shd w:val="clear" w:color="auto" w:fill="FFFFFF"/>
          </w:tcPr>
          <w:p w14:paraId="5484B2E3" w14:textId="77777777" w:rsidR="00F16B80" w:rsidRPr="00B31A23" w:rsidRDefault="00F16B80" w:rsidP="006B6960">
            <w:pPr>
              <w:autoSpaceDE w:val="0"/>
              <w:autoSpaceDN w:val="0"/>
              <w:adjustRightInd w:val="0"/>
              <w:spacing w:line="320" w:lineRule="atLeast"/>
              <w:ind w:left="60" w:right="60"/>
              <w:rPr>
                <w:rFonts w:eastAsiaTheme="minorHAnsi"/>
                <w:color w:val="000000"/>
                <w:lang w:val="en-GB"/>
              </w:rPr>
            </w:pPr>
          </w:p>
        </w:tc>
        <w:tc>
          <w:tcPr>
            <w:tcW w:w="2835" w:type="dxa"/>
            <w:gridSpan w:val="2"/>
            <w:tcBorders>
              <w:top w:val="nil"/>
              <w:left w:val="nil"/>
              <w:bottom w:val="nil"/>
              <w:right w:val="nil"/>
            </w:tcBorders>
            <w:shd w:val="clear" w:color="auto" w:fill="FFFFFF"/>
          </w:tcPr>
          <w:p w14:paraId="01CF84A3" w14:textId="01047B3F" w:rsidR="00F16B80" w:rsidRPr="00B31A23" w:rsidRDefault="004D33E1" w:rsidP="00F16B80">
            <w:pPr>
              <w:autoSpaceDE w:val="0"/>
              <w:autoSpaceDN w:val="0"/>
              <w:adjustRightInd w:val="0"/>
              <w:spacing w:line="320" w:lineRule="atLeast"/>
              <w:ind w:right="60"/>
              <w:rPr>
                <w:rFonts w:eastAsiaTheme="minorHAnsi"/>
                <w:color w:val="000000"/>
                <w:lang w:val="en-GB"/>
              </w:rPr>
            </w:pPr>
            <w:r w:rsidRPr="00B31A23">
              <w:rPr>
                <w:rFonts w:eastAsiaTheme="minorHAnsi"/>
                <w:color w:val="000000"/>
                <w:lang w:val="en-GB"/>
              </w:rPr>
              <w:t>MCQ-HA Factor</w:t>
            </w:r>
            <w:r w:rsidR="00942FA3" w:rsidRPr="00B31A23">
              <w:rPr>
                <w:rFonts w:eastAsiaTheme="minorHAnsi"/>
                <w:color w:val="000000"/>
                <w:lang w:val="en-GB"/>
              </w:rPr>
              <w:t xml:space="preserve"> </w:t>
            </w:r>
            <w:r w:rsidRPr="00B31A23">
              <w:rPr>
                <w:rFonts w:eastAsiaTheme="minorHAnsi"/>
                <w:color w:val="000000"/>
                <w:lang w:val="en-GB"/>
              </w:rPr>
              <w:t>2</w:t>
            </w:r>
          </w:p>
        </w:tc>
        <w:tc>
          <w:tcPr>
            <w:tcW w:w="1276" w:type="dxa"/>
            <w:tcBorders>
              <w:top w:val="nil"/>
              <w:left w:val="nil"/>
              <w:bottom w:val="nil"/>
              <w:right w:val="nil"/>
            </w:tcBorders>
            <w:shd w:val="clear" w:color="auto" w:fill="FFFFFF"/>
          </w:tcPr>
          <w:p w14:paraId="11201059"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1843" w:type="dxa"/>
            <w:gridSpan w:val="2"/>
            <w:tcBorders>
              <w:top w:val="nil"/>
              <w:left w:val="nil"/>
              <w:bottom w:val="nil"/>
              <w:right w:val="nil"/>
            </w:tcBorders>
            <w:shd w:val="clear" w:color="auto" w:fill="FFFFFF"/>
          </w:tcPr>
          <w:p w14:paraId="161FE37B" w14:textId="77777777" w:rsidR="00F16B80" w:rsidRPr="00B31A23" w:rsidRDefault="00F16B80" w:rsidP="006B6960">
            <w:pPr>
              <w:autoSpaceDE w:val="0"/>
              <w:autoSpaceDN w:val="0"/>
              <w:adjustRightInd w:val="0"/>
              <w:spacing w:line="320" w:lineRule="atLeast"/>
              <w:ind w:left="60" w:right="60"/>
              <w:jc w:val="center"/>
              <w:rPr>
                <w:rFonts w:eastAsiaTheme="minorHAnsi"/>
                <w:color w:val="000000"/>
                <w:lang w:val="en-GB"/>
              </w:rPr>
            </w:pPr>
          </w:p>
        </w:tc>
        <w:tc>
          <w:tcPr>
            <w:tcW w:w="851" w:type="dxa"/>
            <w:tcBorders>
              <w:top w:val="nil"/>
              <w:left w:val="nil"/>
              <w:bottom w:val="nil"/>
              <w:right w:val="nil"/>
            </w:tcBorders>
            <w:shd w:val="clear" w:color="auto" w:fill="FFFFFF"/>
            <w:vAlign w:val="center"/>
          </w:tcPr>
          <w:p w14:paraId="60669230" w14:textId="2F732E40"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-.813</w:t>
            </w:r>
          </w:p>
        </w:tc>
        <w:tc>
          <w:tcPr>
            <w:tcW w:w="992" w:type="dxa"/>
            <w:tcBorders>
              <w:top w:val="nil"/>
              <w:left w:val="nil"/>
              <w:bottom w:val="nil"/>
              <w:right w:val="nil"/>
            </w:tcBorders>
            <w:shd w:val="clear" w:color="auto" w:fill="FFFFFF"/>
            <w:vAlign w:val="center"/>
          </w:tcPr>
          <w:p w14:paraId="5A033798" w14:textId="2C7BBF99" w:rsidR="00F16B80"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.477</w:t>
            </w:r>
          </w:p>
        </w:tc>
        <w:tc>
          <w:tcPr>
            <w:tcW w:w="1417" w:type="dxa"/>
            <w:tcBorders>
              <w:top w:val="nil"/>
              <w:left w:val="nil"/>
              <w:bottom w:val="nil"/>
              <w:right w:val="nil"/>
            </w:tcBorders>
            <w:shd w:val="clear" w:color="auto" w:fill="FFFFFF"/>
          </w:tcPr>
          <w:p w14:paraId="48789B3C" w14:textId="51BBA55D" w:rsidR="00F16B80" w:rsidRPr="00B31A23" w:rsidRDefault="00690DAA" w:rsidP="006B6960">
            <w:pPr>
              <w:autoSpaceDE w:val="0"/>
              <w:autoSpaceDN w:val="0"/>
              <w:adjustRightInd w:val="0"/>
              <w:jc w:val="center"/>
              <w:rPr>
                <w:rFonts w:eastAsiaTheme="minorHAnsi"/>
                <w:lang w:val="en-GB"/>
              </w:rPr>
            </w:pPr>
            <w:r w:rsidRPr="00B31A23">
              <w:rPr>
                <w:rFonts w:eastAsiaTheme="minorHAnsi"/>
                <w:lang w:val="en-GB"/>
              </w:rPr>
              <w:t>-.158</w:t>
            </w:r>
          </w:p>
        </w:tc>
        <w:tc>
          <w:tcPr>
            <w:tcW w:w="851" w:type="dxa"/>
            <w:tcBorders>
              <w:top w:val="nil"/>
              <w:left w:val="nil"/>
              <w:bottom w:val="nil"/>
              <w:right w:val="nil"/>
            </w:tcBorders>
            <w:shd w:val="clear" w:color="auto" w:fill="FFFFFF"/>
            <w:vAlign w:val="center"/>
          </w:tcPr>
          <w:p w14:paraId="55E81E8B" w14:textId="01569CE3" w:rsidR="00F16B80" w:rsidRPr="00B31A23" w:rsidRDefault="00690DAA"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-1.704</w:t>
            </w:r>
          </w:p>
        </w:tc>
        <w:tc>
          <w:tcPr>
            <w:tcW w:w="709" w:type="dxa"/>
            <w:tcBorders>
              <w:top w:val="nil"/>
              <w:left w:val="nil"/>
              <w:bottom w:val="nil"/>
              <w:right w:val="nil"/>
            </w:tcBorders>
            <w:shd w:val="clear" w:color="auto" w:fill="FFFFFF"/>
            <w:vAlign w:val="center"/>
          </w:tcPr>
          <w:p w14:paraId="44E89ADB" w14:textId="19D8CA98" w:rsidR="00F16B80"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.091</w:t>
            </w:r>
          </w:p>
        </w:tc>
        <w:tc>
          <w:tcPr>
            <w:tcW w:w="1049" w:type="dxa"/>
            <w:tcBorders>
              <w:top w:val="nil"/>
              <w:left w:val="nil"/>
              <w:bottom w:val="nil"/>
              <w:right w:val="nil"/>
            </w:tcBorders>
            <w:shd w:val="clear" w:color="auto" w:fill="FFFFFF"/>
            <w:vAlign w:val="center"/>
          </w:tcPr>
          <w:p w14:paraId="2A898DAA" w14:textId="30E31954" w:rsidR="00F16B80" w:rsidRPr="00B31A23" w:rsidRDefault="003B3A82" w:rsidP="003B3A82">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-1.757</w:t>
            </w:r>
          </w:p>
        </w:tc>
        <w:tc>
          <w:tcPr>
            <w:tcW w:w="1077" w:type="dxa"/>
            <w:tcBorders>
              <w:top w:val="nil"/>
              <w:left w:val="nil"/>
              <w:bottom w:val="nil"/>
            </w:tcBorders>
            <w:shd w:val="clear" w:color="auto" w:fill="FFFFFF"/>
            <w:vAlign w:val="center"/>
          </w:tcPr>
          <w:p w14:paraId="7A0C7EE2" w14:textId="64EDB92F" w:rsidR="00F16B80" w:rsidRPr="00B31A23" w:rsidRDefault="003B3A82" w:rsidP="003B3A82">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.132</w:t>
            </w:r>
          </w:p>
        </w:tc>
      </w:tr>
      <w:tr w:rsidR="004D33E1" w:rsidRPr="00B31A23" w14:paraId="7ECBCAF0" w14:textId="77777777" w:rsidTr="003B3A82">
        <w:trPr>
          <w:cantSplit/>
        </w:trPr>
        <w:tc>
          <w:tcPr>
            <w:tcW w:w="284" w:type="dxa"/>
            <w:tcBorders>
              <w:top w:val="nil"/>
              <w:bottom w:val="single" w:sz="4" w:space="0" w:color="auto"/>
              <w:right w:val="nil"/>
            </w:tcBorders>
            <w:shd w:val="clear" w:color="auto" w:fill="FFFFFF"/>
          </w:tcPr>
          <w:p w14:paraId="5610009A" w14:textId="77777777" w:rsidR="004D33E1" w:rsidRPr="00B31A23" w:rsidRDefault="004D33E1" w:rsidP="006B6960">
            <w:pPr>
              <w:autoSpaceDE w:val="0"/>
              <w:autoSpaceDN w:val="0"/>
              <w:adjustRightInd w:val="0"/>
              <w:spacing w:line="320" w:lineRule="atLeast"/>
              <w:ind w:left="60" w:right="60"/>
              <w:rPr>
                <w:rFonts w:eastAsiaTheme="minorHAnsi"/>
                <w:color w:val="000000"/>
                <w:lang w:val="en-GB"/>
              </w:rPr>
            </w:pPr>
          </w:p>
        </w:tc>
        <w:tc>
          <w:tcPr>
            <w:tcW w:w="2835" w:type="dxa"/>
            <w:gridSpan w:val="2"/>
            <w:tcBorders>
              <w:top w:val="nil"/>
              <w:left w:val="nil"/>
              <w:bottom w:val="single" w:sz="4" w:space="0" w:color="auto"/>
              <w:right w:val="nil"/>
            </w:tcBorders>
            <w:shd w:val="clear" w:color="auto" w:fill="FFFFFF"/>
          </w:tcPr>
          <w:p w14:paraId="3EF3FC19" w14:textId="23F8C1AE" w:rsidR="004D33E1" w:rsidRPr="00B31A23" w:rsidRDefault="004D33E1" w:rsidP="00F16B80">
            <w:pPr>
              <w:autoSpaceDE w:val="0"/>
              <w:autoSpaceDN w:val="0"/>
              <w:adjustRightInd w:val="0"/>
              <w:spacing w:line="320" w:lineRule="atLeast"/>
              <w:ind w:right="60"/>
              <w:rPr>
                <w:rFonts w:eastAsiaTheme="minorHAnsi"/>
                <w:color w:val="000000"/>
                <w:lang w:val="en-GB"/>
              </w:rPr>
            </w:pPr>
            <w:r w:rsidRPr="00B31A23">
              <w:rPr>
                <w:rFonts w:eastAsiaTheme="minorHAnsi"/>
                <w:color w:val="000000"/>
                <w:lang w:val="en-GB"/>
              </w:rPr>
              <w:t>MCQ-HA Factor</w:t>
            </w:r>
            <w:r w:rsidR="00942FA3" w:rsidRPr="00B31A23">
              <w:rPr>
                <w:rFonts w:eastAsiaTheme="minorHAnsi"/>
                <w:color w:val="000000"/>
                <w:lang w:val="en-GB"/>
              </w:rPr>
              <w:t xml:space="preserve"> </w:t>
            </w:r>
            <w:r w:rsidRPr="00B31A23">
              <w:rPr>
                <w:rFonts w:eastAsiaTheme="minorHAnsi"/>
                <w:color w:val="000000"/>
                <w:lang w:val="en-GB"/>
              </w:rPr>
              <w:t>3</w:t>
            </w:r>
          </w:p>
        </w:tc>
        <w:tc>
          <w:tcPr>
            <w:tcW w:w="1276" w:type="dxa"/>
            <w:tcBorders>
              <w:top w:val="nil"/>
              <w:left w:val="nil"/>
              <w:bottom w:val="single" w:sz="4" w:space="0" w:color="auto"/>
              <w:right w:val="nil"/>
            </w:tcBorders>
            <w:shd w:val="clear" w:color="auto" w:fill="FFFFFF"/>
          </w:tcPr>
          <w:p w14:paraId="311B10FE" w14:textId="77777777" w:rsidR="004D33E1" w:rsidRPr="00B31A23" w:rsidRDefault="004D33E1" w:rsidP="006B6960">
            <w:pPr>
              <w:autoSpaceDE w:val="0"/>
              <w:autoSpaceDN w:val="0"/>
              <w:adjustRightInd w:val="0"/>
              <w:spacing w:line="320" w:lineRule="atLeast"/>
              <w:ind w:left="60" w:right="60"/>
              <w:jc w:val="center"/>
              <w:rPr>
                <w:rFonts w:eastAsiaTheme="minorHAnsi"/>
                <w:color w:val="000000"/>
                <w:lang w:val="en-GB"/>
              </w:rPr>
            </w:pPr>
          </w:p>
        </w:tc>
        <w:tc>
          <w:tcPr>
            <w:tcW w:w="1843" w:type="dxa"/>
            <w:gridSpan w:val="2"/>
            <w:tcBorders>
              <w:top w:val="nil"/>
              <w:left w:val="nil"/>
              <w:bottom w:val="single" w:sz="4" w:space="0" w:color="auto"/>
              <w:right w:val="nil"/>
            </w:tcBorders>
            <w:shd w:val="clear" w:color="auto" w:fill="FFFFFF"/>
          </w:tcPr>
          <w:p w14:paraId="7667A5CE" w14:textId="77777777" w:rsidR="004D33E1" w:rsidRPr="00B31A23" w:rsidRDefault="004D33E1" w:rsidP="006B6960">
            <w:pPr>
              <w:autoSpaceDE w:val="0"/>
              <w:autoSpaceDN w:val="0"/>
              <w:adjustRightInd w:val="0"/>
              <w:spacing w:line="320" w:lineRule="atLeast"/>
              <w:ind w:left="60" w:right="60"/>
              <w:jc w:val="center"/>
              <w:rPr>
                <w:rFonts w:eastAsiaTheme="minorHAnsi"/>
                <w:color w:val="000000"/>
                <w:lang w:val="en-GB"/>
              </w:rPr>
            </w:pPr>
          </w:p>
        </w:tc>
        <w:tc>
          <w:tcPr>
            <w:tcW w:w="851" w:type="dxa"/>
            <w:tcBorders>
              <w:top w:val="nil"/>
              <w:left w:val="nil"/>
              <w:bottom w:val="single" w:sz="4" w:space="0" w:color="auto"/>
              <w:right w:val="nil"/>
            </w:tcBorders>
            <w:shd w:val="clear" w:color="auto" w:fill="FFFFFF"/>
            <w:vAlign w:val="center"/>
          </w:tcPr>
          <w:p w14:paraId="0150BF42" w14:textId="440E20C9" w:rsidR="004D33E1"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2.226</w:t>
            </w:r>
          </w:p>
        </w:tc>
        <w:tc>
          <w:tcPr>
            <w:tcW w:w="992" w:type="dxa"/>
            <w:tcBorders>
              <w:top w:val="nil"/>
              <w:left w:val="nil"/>
              <w:bottom w:val="single" w:sz="4" w:space="0" w:color="auto"/>
              <w:right w:val="nil"/>
            </w:tcBorders>
            <w:shd w:val="clear" w:color="auto" w:fill="FFFFFF"/>
            <w:vAlign w:val="center"/>
          </w:tcPr>
          <w:p w14:paraId="11C5FE5A" w14:textId="63755DA6" w:rsidR="004D33E1" w:rsidRPr="00B31A23" w:rsidRDefault="00A5164F"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.458</w:t>
            </w:r>
          </w:p>
        </w:tc>
        <w:tc>
          <w:tcPr>
            <w:tcW w:w="1417" w:type="dxa"/>
            <w:tcBorders>
              <w:top w:val="nil"/>
              <w:left w:val="nil"/>
              <w:bottom w:val="single" w:sz="4" w:space="0" w:color="auto"/>
              <w:right w:val="nil"/>
            </w:tcBorders>
            <w:shd w:val="clear" w:color="auto" w:fill="FFFFFF"/>
          </w:tcPr>
          <w:p w14:paraId="73BB7F16" w14:textId="7DC182C9" w:rsidR="004D33E1" w:rsidRPr="00B31A23" w:rsidRDefault="00690DAA" w:rsidP="006B6960">
            <w:pPr>
              <w:autoSpaceDE w:val="0"/>
              <w:autoSpaceDN w:val="0"/>
              <w:adjustRightInd w:val="0"/>
              <w:jc w:val="center"/>
              <w:rPr>
                <w:rFonts w:eastAsiaTheme="minorHAnsi"/>
                <w:lang w:val="en-GB"/>
              </w:rPr>
            </w:pPr>
            <w:r w:rsidRPr="00B31A23">
              <w:rPr>
                <w:rFonts w:eastAsiaTheme="minorHAnsi"/>
                <w:lang w:val="en-GB"/>
              </w:rPr>
              <w:t>.484</w:t>
            </w:r>
          </w:p>
        </w:tc>
        <w:tc>
          <w:tcPr>
            <w:tcW w:w="851" w:type="dxa"/>
            <w:tcBorders>
              <w:top w:val="nil"/>
              <w:left w:val="nil"/>
              <w:bottom w:val="single" w:sz="4" w:space="0" w:color="auto"/>
              <w:right w:val="nil"/>
            </w:tcBorders>
            <w:shd w:val="clear" w:color="auto" w:fill="FFFFFF"/>
            <w:vAlign w:val="center"/>
          </w:tcPr>
          <w:p w14:paraId="7B0763C4" w14:textId="7BD65748" w:rsidR="004D33E1" w:rsidRPr="00B31A23" w:rsidRDefault="00690DAA"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4.855</w:t>
            </w:r>
          </w:p>
        </w:tc>
        <w:tc>
          <w:tcPr>
            <w:tcW w:w="709" w:type="dxa"/>
            <w:tcBorders>
              <w:top w:val="nil"/>
              <w:left w:val="nil"/>
              <w:bottom w:val="single" w:sz="4" w:space="0" w:color="auto"/>
              <w:right w:val="nil"/>
            </w:tcBorders>
            <w:shd w:val="clear" w:color="auto" w:fill="FFFFFF"/>
            <w:vAlign w:val="center"/>
          </w:tcPr>
          <w:p w14:paraId="658B46AB" w14:textId="694AD64D" w:rsidR="004D33E1" w:rsidRPr="00B31A23" w:rsidRDefault="00AC6331"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.000</w:t>
            </w:r>
          </w:p>
        </w:tc>
        <w:tc>
          <w:tcPr>
            <w:tcW w:w="1049" w:type="dxa"/>
            <w:tcBorders>
              <w:top w:val="nil"/>
              <w:left w:val="nil"/>
              <w:bottom w:val="single" w:sz="4" w:space="0" w:color="auto"/>
              <w:right w:val="nil"/>
            </w:tcBorders>
            <w:shd w:val="clear" w:color="auto" w:fill="FFFFFF"/>
            <w:vAlign w:val="center"/>
          </w:tcPr>
          <w:p w14:paraId="2B2300B0" w14:textId="50AF4911" w:rsidR="004D33E1" w:rsidRPr="00B31A23" w:rsidRDefault="003B3A82" w:rsidP="006B6960">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1.318</w:t>
            </w:r>
          </w:p>
        </w:tc>
        <w:tc>
          <w:tcPr>
            <w:tcW w:w="1077" w:type="dxa"/>
            <w:tcBorders>
              <w:top w:val="nil"/>
              <w:left w:val="nil"/>
              <w:bottom w:val="single" w:sz="4" w:space="0" w:color="auto"/>
            </w:tcBorders>
            <w:shd w:val="clear" w:color="auto" w:fill="FFFFFF"/>
            <w:vAlign w:val="center"/>
          </w:tcPr>
          <w:p w14:paraId="78DE2F5C" w14:textId="6A4192A7" w:rsidR="004D33E1" w:rsidRPr="00B31A23" w:rsidRDefault="003B3A82" w:rsidP="003B3A82">
            <w:pPr>
              <w:autoSpaceDE w:val="0"/>
              <w:autoSpaceDN w:val="0"/>
              <w:adjustRightInd w:val="0"/>
              <w:spacing w:line="320" w:lineRule="atLeast"/>
              <w:ind w:left="60" w:right="60"/>
              <w:jc w:val="center"/>
              <w:rPr>
                <w:rFonts w:eastAsiaTheme="minorHAnsi"/>
                <w:lang w:val="en-GB"/>
              </w:rPr>
            </w:pPr>
            <w:r w:rsidRPr="00B31A23">
              <w:rPr>
                <w:rFonts w:eastAsiaTheme="minorHAnsi"/>
                <w:lang w:val="en-GB"/>
              </w:rPr>
              <w:t>3.134</w:t>
            </w:r>
          </w:p>
        </w:tc>
      </w:tr>
      <w:tr w:rsidR="008B2E01" w:rsidRPr="00B31A23" w14:paraId="3F60F355" w14:textId="77777777" w:rsidTr="00490778">
        <w:trPr>
          <w:cantSplit/>
          <w:trHeight w:val="88"/>
        </w:trPr>
        <w:tc>
          <w:tcPr>
            <w:tcW w:w="284" w:type="dxa"/>
            <w:tcBorders>
              <w:top w:val="single" w:sz="4" w:space="0" w:color="auto"/>
              <w:bottom w:val="nil"/>
              <w:right w:val="nil"/>
            </w:tcBorders>
            <w:shd w:val="clear" w:color="auto" w:fill="FFFFFF"/>
          </w:tcPr>
          <w:p w14:paraId="7E924164" w14:textId="60B54FE5" w:rsidR="008B2E01" w:rsidRPr="00B31A23" w:rsidRDefault="008B2E01" w:rsidP="006B6960">
            <w:pPr>
              <w:autoSpaceDE w:val="0"/>
              <w:autoSpaceDN w:val="0"/>
              <w:adjustRightInd w:val="0"/>
              <w:spacing w:line="320" w:lineRule="atLeast"/>
              <w:ind w:left="60" w:right="60"/>
              <w:rPr>
                <w:rFonts w:eastAsiaTheme="minorHAnsi"/>
                <w:color w:val="000000"/>
                <w:lang w:val="en-GB"/>
              </w:rPr>
            </w:pPr>
          </w:p>
        </w:tc>
        <w:tc>
          <w:tcPr>
            <w:tcW w:w="4111" w:type="dxa"/>
            <w:gridSpan w:val="3"/>
            <w:tcBorders>
              <w:top w:val="single" w:sz="4" w:space="0" w:color="auto"/>
              <w:left w:val="nil"/>
              <w:bottom w:val="nil"/>
              <w:right w:val="nil"/>
            </w:tcBorders>
            <w:shd w:val="clear" w:color="auto" w:fill="FFFFFF"/>
          </w:tcPr>
          <w:p w14:paraId="26C007A7" w14:textId="7EBF9C39" w:rsidR="008B2E01" w:rsidRPr="00B31A23" w:rsidRDefault="008B2E01" w:rsidP="009960FB">
            <w:pPr>
              <w:autoSpaceDE w:val="0"/>
              <w:autoSpaceDN w:val="0"/>
              <w:adjustRightInd w:val="0"/>
              <w:spacing w:line="320" w:lineRule="atLeast"/>
              <w:ind w:left="60" w:right="60"/>
              <w:rPr>
                <w:rFonts w:eastAsiaTheme="minorHAnsi"/>
                <w:color w:val="000000"/>
                <w:lang w:val="en-GB"/>
              </w:rPr>
            </w:pPr>
          </w:p>
          <w:p w14:paraId="7277EB54" w14:textId="3DCAC3A3" w:rsidR="008B2E01" w:rsidRPr="00B31A23" w:rsidRDefault="008B2E01" w:rsidP="006B6960">
            <w:pPr>
              <w:autoSpaceDE w:val="0"/>
              <w:autoSpaceDN w:val="0"/>
              <w:adjustRightInd w:val="0"/>
              <w:spacing w:line="320" w:lineRule="atLeast"/>
              <w:ind w:left="60" w:right="60"/>
              <w:jc w:val="center"/>
              <w:rPr>
                <w:rFonts w:eastAsiaTheme="minorHAnsi"/>
                <w:color w:val="000000"/>
                <w:lang w:val="en-GB"/>
              </w:rPr>
            </w:pPr>
          </w:p>
        </w:tc>
        <w:tc>
          <w:tcPr>
            <w:tcW w:w="1843" w:type="dxa"/>
            <w:gridSpan w:val="2"/>
            <w:tcBorders>
              <w:top w:val="single" w:sz="4" w:space="0" w:color="auto"/>
              <w:left w:val="nil"/>
              <w:bottom w:val="nil"/>
              <w:right w:val="nil"/>
            </w:tcBorders>
            <w:shd w:val="clear" w:color="auto" w:fill="FFFFFF"/>
          </w:tcPr>
          <w:p w14:paraId="7D8BDE43" w14:textId="77777777" w:rsidR="008B2E01" w:rsidRPr="00B31A23" w:rsidRDefault="008B2E01" w:rsidP="006B6960">
            <w:pPr>
              <w:autoSpaceDE w:val="0"/>
              <w:autoSpaceDN w:val="0"/>
              <w:adjustRightInd w:val="0"/>
              <w:spacing w:line="320" w:lineRule="atLeast"/>
              <w:ind w:left="60" w:right="60"/>
              <w:jc w:val="center"/>
              <w:rPr>
                <w:rFonts w:eastAsiaTheme="minorHAnsi"/>
                <w:color w:val="000000"/>
                <w:lang w:val="en-GB"/>
              </w:rPr>
            </w:pPr>
          </w:p>
        </w:tc>
        <w:tc>
          <w:tcPr>
            <w:tcW w:w="851" w:type="dxa"/>
            <w:tcBorders>
              <w:top w:val="single" w:sz="4" w:space="0" w:color="auto"/>
              <w:left w:val="nil"/>
              <w:bottom w:val="nil"/>
              <w:right w:val="nil"/>
            </w:tcBorders>
            <w:shd w:val="clear" w:color="auto" w:fill="FFFFFF"/>
            <w:vAlign w:val="center"/>
          </w:tcPr>
          <w:p w14:paraId="79DAAE24" w14:textId="77777777" w:rsidR="008B2E01" w:rsidRPr="00B31A23" w:rsidRDefault="008B2E01" w:rsidP="006B6960">
            <w:pPr>
              <w:autoSpaceDE w:val="0"/>
              <w:autoSpaceDN w:val="0"/>
              <w:adjustRightInd w:val="0"/>
              <w:spacing w:line="320" w:lineRule="atLeast"/>
              <w:ind w:left="60" w:right="60"/>
              <w:jc w:val="center"/>
              <w:rPr>
                <w:rFonts w:eastAsiaTheme="minorHAnsi"/>
                <w:lang w:val="en-GB"/>
              </w:rPr>
            </w:pPr>
          </w:p>
        </w:tc>
        <w:tc>
          <w:tcPr>
            <w:tcW w:w="992" w:type="dxa"/>
            <w:tcBorders>
              <w:top w:val="single" w:sz="4" w:space="0" w:color="auto"/>
              <w:left w:val="nil"/>
              <w:bottom w:val="nil"/>
              <w:right w:val="nil"/>
            </w:tcBorders>
            <w:shd w:val="clear" w:color="auto" w:fill="FFFFFF"/>
            <w:vAlign w:val="center"/>
          </w:tcPr>
          <w:p w14:paraId="55579A61" w14:textId="77777777" w:rsidR="008B2E01" w:rsidRPr="00B31A23" w:rsidRDefault="008B2E01" w:rsidP="006B6960">
            <w:pPr>
              <w:autoSpaceDE w:val="0"/>
              <w:autoSpaceDN w:val="0"/>
              <w:adjustRightInd w:val="0"/>
              <w:spacing w:line="320" w:lineRule="atLeast"/>
              <w:ind w:left="60" w:right="60"/>
              <w:jc w:val="center"/>
              <w:rPr>
                <w:rFonts w:eastAsiaTheme="minorHAnsi"/>
                <w:lang w:val="en-GB"/>
              </w:rPr>
            </w:pPr>
          </w:p>
        </w:tc>
        <w:tc>
          <w:tcPr>
            <w:tcW w:w="1417" w:type="dxa"/>
            <w:tcBorders>
              <w:top w:val="single" w:sz="4" w:space="0" w:color="auto"/>
              <w:left w:val="nil"/>
              <w:bottom w:val="nil"/>
              <w:right w:val="nil"/>
            </w:tcBorders>
            <w:shd w:val="clear" w:color="auto" w:fill="FFFFFF"/>
          </w:tcPr>
          <w:p w14:paraId="1CCA6C75" w14:textId="77777777" w:rsidR="008B2E01" w:rsidRPr="00B31A23" w:rsidRDefault="008B2E01" w:rsidP="006B6960">
            <w:pPr>
              <w:autoSpaceDE w:val="0"/>
              <w:autoSpaceDN w:val="0"/>
              <w:adjustRightInd w:val="0"/>
              <w:jc w:val="center"/>
              <w:rPr>
                <w:rFonts w:eastAsiaTheme="minorHAnsi"/>
                <w:lang w:val="en-GB"/>
              </w:rPr>
            </w:pPr>
          </w:p>
        </w:tc>
        <w:tc>
          <w:tcPr>
            <w:tcW w:w="851" w:type="dxa"/>
            <w:tcBorders>
              <w:top w:val="single" w:sz="4" w:space="0" w:color="auto"/>
              <w:left w:val="nil"/>
              <w:bottom w:val="nil"/>
              <w:right w:val="nil"/>
            </w:tcBorders>
            <w:shd w:val="clear" w:color="auto" w:fill="FFFFFF"/>
            <w:vAlign w:val="center"/>
          </w:tcPr>
          <w:p w14:paraId="1CAF8997" w14:textId="77777777" w:rsidR="008B2E01" w:rsidRPr="00B31A23" w:rsidRDefault="008B2E01" w:rsidP="006B6960">
            <w:pPr>
              <w:autoSpaceDE w:val="0"/>
              <w:autoSpaceDN w:val="0"/>
              <w:adjustRightInd w:val="0"/>
              <w:spacing w:line="320" w:lineRule="atLeast"/>
              <w:ind w:left="60" w:right="60"/>
              <w:jc w:val="center"/>
              <w:rPr>
                <w:rFonts w:eastAsiaTheme="minorHAnsi"/>
                <w:lang w:val="en-GB"/>
              </w:rPr>
            </w:pPr>
          </w:p>
        </w:tc>
        <w:tc>
          <w:tcPr>
            <w:tcW w:w="709" w:type="dxa"/>
            <w:tcBorders>
              <w:top w:val="single" w:sz="4" w:space="0" w:color="auto"/>
              <w:left w:val="nil"/>
              <w:bottom w:val="nil"/>
              <w:right w:val="nil"/>
            </w:tcBorders>
            <w:shd w:val="clear" w:color="auto" w:fill="FFFFFF"/>
            <w:vAlign w:val="center"/>
          </w:tcPr>
          <w:p w14:paraId="153E2B77" w14:textId="2AC9F416" w:rsidR="008B2E01" w:rsidRPr="00B31A23" w:rsidRDefault="008B2E01" w:rsidP="006B6960">
            <w:pPr>
              <w:autoSpaceDE w:val="0"/>
              <w:autoSpaceDN w:val="0"/>
              <w:adjustRightInd w:val="0"/>
              <w:spacing w:line="320" w:lineRule="atLeast"/>
              <w:ind w:left="60" w:right="60"/>
              <w:jc w:val="center"/>
              <w:rPr>
                <w:rFonts w:eastAsiaTheme="minorHAnsi"/>
                <w:lang w:val="en-GB"/>
              </w:rPr>
            </w:pPr>
          </w:p>
        </w:tc>
        <w:tc>
          <w:tcPr>
            <w:tcW w:w="1049" w:type="dxa"/>
            <w:tcBorders>
              <w:top w:val="single" w:sz="4" w:space="0" w:color="auto"/>
              <w:left w:val="nil"/>
              <w:bottom w:val="nil"/>
              <w:right w:val="nil"/>
            </w:tcBorders>
            <w:shd w:val="clear" w:color="auto" w:fill="FFFFFF"/>
            <w:vAlign w:val="center"/>
          </w:tcPr>
          <w:p w14:paraId="0D164442" w14:textId="77777777" w:rsidR="008B2E01" w:rsidRPr="00B31A23" w:rsidRDefault="008B2E01" w:rsidP="006B6960">
            <w:pPr>
              <w:autoSpaceDE w:val="0"/>
              <w:autoSpaceDN w:val="0"/>
              <w:adjustRightInd w:val="0"/>
              <w:spacing w:line="320" w:lineRule="atLeast"/>
              <w:ind w:left="60" w:right="60"/>
              <w:jc w:val="center"/>
              <w:rPr>
                <w:rFonts w:eastAsiaTheme="minorHAnsi"/>
                <w:lang w:val="en-GB"/>
              </w:rPr>
            </w:pPr>
          </w:p>
        </w:tc>
        <w:tc>
          <w:tcPr>
            <w:tcW w:w="1077" w:type="dxa"/>
            <w:tcBorders>
              <w:top w:val="single" w:sz="4" w:space="0" w:color="auto"/>
              <w:left w:val="nil"/>
              <w:bottom w:val="nil"/>
            </w:tcBorders>
            <w:shd w:val="clear" w:color="auto" w:fill="FFFFFF"/>
            <w:vAlign w:val="center"/>
          </w:tcPr>
          <w:p w14:paraId="2A454B27" w14:textId="77777777" w:rsidR="008B2E01" w:rsidRPr="00B31A23" w:rsidRDefault="008B2E01" w:rsidP="006B6960">
            <w:pPr>
              <w:autoSpaceDE w:val="0"/>
              <w:autoSpaceDN w:val="0"/>
              <w:adjustRightInd w:val="0"/>
              <w:spacing w:line="320" w:lineRule="atLeast"/>
              <w:ind w:left="60" w:right="60"/>
              <w:jc w:val="center"/>
              <w:rPr>
                <w:rFonts w:eastAsiaTheme="minorHAnsi"/>
                <w:lang w:val="en-GB"/>
              </w:rPr>
            </w:pPr>
          </w:p>
        </w:tc>
      </w:tr>
    </w:tbl>
    <w:p w14:paraId="4745D280" w14:textId="67BA1025" w:rsidR="00BF0850" w:rsidRPr="00CB4F5A" w:rsidRDefault="00132F55" w:rsidP="000A31E6">
      <w:pPr>
        <w:jc w:val="both"/>
        <w:rPr>
          <w:sz w:val="20"/>
          <w:szCs w:val="20"/>
          <w:lang w:val="en-US"/>
        </w:rPr>
      </w:pPr>
      <w:r w:rsidRPr="00B31A23">
        <w:rPr>
          <w:sz w:val="20"/>
          <w:szCs w:val="20"/>
          <w:lang w:val="en-US"/>
        </w:rPr>
        <w:t xml:space="preserve">Note: </w:t>
      </w:r>
      <w:r w:rsidR="005B67C6" w:rsidRPr="00B31A23">
        <w:rPr>
          <w:sz w:val="20"/>
          <w:szCs w:val="20"/>
          <w:lang w:val="en-US"/>
        </w:rPr>
        <w:t>N</w:t>
      </w:r>
      <w:r w:rsidRPr="00B31A23">
        <w:rPr>
          <w:sz w:val="20"/>
          <w:szCs w:val="20"/>
          <w:lang w:val="en-US"/>
        </w:rPr>
        <w:t xml:space="preserve"> = 125; </w:t>
      </w:r>
      <w:r w:rsidR="009960FB" w:rsidRPr="00B31A23">
        <w:rPr>
          <w:sz w:val="20"/>
          <w:szCs w:val="20"/>
          <w:lang w:val="en-US"/>
        </w:rPr>
        <w:t>HAI = Health Anxiety Inventory; HCQ Factor 3 = Health Cognitions Questionnaire: Awfulness of illness; HCQ Factor 4 = Health Cognitions Questionnaire: Medical service inadequacy; MCQ-HA Factor 1 = Metacognitions Questionnaire-Health Anxiety: Metacognitions about biased thinking; MCQ-HA Factor 2 = Metacognitions Questionnaire-Health Anxiety: Metacognitions about thought illness fusion; MCQ-HA Factor 3 = Metacognitions Questionnaire-Health Anxiety: Metacognitions about the uncontrollability of thoughts.</w:t>
      </w:r>
    </w:p>
    <w:sectPr w:rsidR="00BF0850" w:rsidRPr="00CB4F5A" w:rsidSect="00887CBB">
      <w:pgSz w:w="16838" w:h="11906" w:orient="landscape"/>
      <w:pgMar w:top="1440" w:right="1440" w:bottom="1440" w:left="1440"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9761" w14:textId="77777777" w:rsidR="0001566D" w:rsidRDefault="0001566D">
      <w:r>
        <w:separator/>
      </w:r>
    </w:p>
  </w:endnote>
  <w:endnote w:type="continuationSeparator" w:id="0">
    <w:p w14:paraId="0C56071B" w14:textId="77777777" w:rsidR="0001566D" w:rsidRDefault="000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C5AF" w14:textId="5148CE79" w:rsidR="00490778" w:rsidRPr="007166A0" w:rsidRDefault="00490778" w:rsidP="007166A0">
    <w:pPr>
      <w:pStyle w:val="Intestazioneepidipagina"/>
      <w:tabs>
        <w:tab w:val="clear" w:pos="9020"/>
        <w:tab w:val="center" w:pos="4110"/>
        <w:tab w:val="right" w:pos="8221"/>
      </w:tabs>
      <w:jc w:val="right"/>
      <w:rPr>
        <w:rFonts w:ascii="Times New Roman" w:hAnsi="Times New Roman" w:cs="Times New Roman"/>
        <w:sz w:val="20"/>
        <w:szCs w:val="20"/>
      </w:rPr>
    </w:pPr>
    <w:r>
      <w:tab/>
    </w:r>
    <w:r>
      <w:tab/>
    </w:r>
    <w:r w:rsidRPr="007166A0">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5AD1" w14:textId="77777777" w:rsidR="0001566D" w:rsidRDefault="0001566D">
      <w:r>
        <w:separator/>
      </w:r>
    </w:p>
  </w:footnote>
  <w:footnote w:type="continuationSeparator" w:id="0">
    <w:p w14:paraId="77AB76D3" w14:textId="77777777" w:rsidR="0001566D" w:rsidRDefault="000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5456722"/>
      <w:docPartObj>
        <w:docPartGallery w:val="Page Numbers (Top of Page)"/>
        <w:docPartUnique/>
      </w:docPartObj>
    </w:sdtPr>
    <w:sdtEndPr>
      <w:rPr>
        <w:rStyle w:val="PageNumber"/>
      </w:rPr>
    </w:sdtEndPr>
    <w:sdtContent>
      <w:p w14:paraId="2F5ABE11" w14:textId="2469087E" w:rsidR="00490778" w:rsidRDefault="00490778" w:rsidP="00F1458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03B3D5" w14:textId="77777777" w:rsidR="00490778" w:rsidRDefault="00490778" w:rsidP="006744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2143606013"/>
      <w:docPartObj>
        <w:docPartGallery w:val="Page Numbers (Top of Page)"/>
        <w:docPartUnique/>
      </w:docPartObj>
    </w:sdtPr>
    <w:sdtEndPr>
      <w:rPr>
        <w:rStyle w:val="PageNumber"/>
      </w:rPr>
    </w:sdtEndPr>
    <w:sdtContent>
      <w:p w14:paraId="7CE30CE9" w14:textId="082CDFF1" w:rsidR="00490778" w:rsidRPr="00125466" w:rsidRDefault="00490778" w:rsidP="00F1458E">
        <w:pPr>
          <w:pStyle w:val="Header"/>
          <w:framePr w:wrap="none" w:vAnchor="text" w:hAnchor="margin" w:xAlign="right" w:y="1"/>
          <w:rPr>
            <w:rStyle w:val="PageNumber"/>
            <w:sz w:val="20"/>
            <w:szCs w:val="20"/>
            <w:lang w:val="en-GB"/>
          </w:rPr>
        </w:pPr>
        <w:r w:rsidRPr="00125466">
          <w:rPr>
            <w:rStyle w:val="PageNumber"/>
            <w:sz w:val="20"/>
            <w:szCs w:val="20"/>
          </w:rPr>
          <w:fldChar w:fldCharType="begin"/>
        </w:r>
        <w:r w:rsidRPr="00125466">
          <w:rPr>
            <w:rStyle w:val="PageNumber"/>
            <w:sz w:val="20"/>
            <w:szCs w:val="20"/>
            <w:lang w:val="en-GB"/>
          </w:rPr>
          <w:instrText xml:space="preserve"> PAGE </w:instrText>
        </w:r>
        <w:r w:rsidRPr="00125466">
          <w:rPr>
            <w:rStyle w:val="PageNumber"/>
            <w:sz w:val="20"/>
            <w:szCs w:val="20"/>
          </w:rPr>
          <w:fldChar w:fldCharType="separate"/>
        </w:r>
        <w:r w:rsidRPr="00125466">
          <w:rPr>
            <w:rStyle w:val="PageNumber"/>
            <w:noProof/>
            <w:sz w:val="20"/>
            <w:szCs w:val="20"/>
            <w:lang w:val="en-GB"/>
          </w:rPr>
          <w:t>3</w:t>
        </w:r>
        <w:r w:rsidRPr="00125466">
          <w:rPr>
            <w:rStyle w:val="PageNumber"/>
            <w:sz w:val="20"/>
            <w:szCs w:val="20"/>
          </w:rPr>
          <w:fldChar w:fldCharType="end"/>
        </w:r>
      </w:p>
    </w:sdtContent>
  </w:sdt>
  <w:p w14:paraId="58B58211" w14:textId="0D7B4855" w:rsidR="00490778" w:rsidRPr="00125466" w:rsidRDefault="00490778" w:rsidP="00674432">
    <w:pPr>
      <w:pStyle w:val="Header"/>
      <w:tabs>
        <w:tab w:val="clear" w:pos="4513"/>
        <w:tab w:val="clear" w:pos="9026"/>
        <w:tab w:val="left" w:pos="1203"/>
      </w:tabs>
      <w:ind w:right="360"/>
      <w:rPr>
        <w:sz w:val="20"/>
        <w:szCs w:val="20"/>
        <w:lang w:val="en-GB"/>
      </w:rPr>
    </w:pPr>
    <w:r>
      <w:rPr>
        <w:sz w:val="20"/>
        <w:szCs w:val="20"/>
        <w:lang w:val="en-GB"/>
      </w:rPr>
      <w:t>Cognitions and metacognitions as predictors of Cyberchondria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689"/>
    <w:multiLevelType w:val="hybridMultilevel"/>
    <w:tmpl w:val="49940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EA0BF6"/>
    <w:multiLevelType w:val="multilevel"/>
    <w:tmpl w:val="0409001D"/>
    <w:numStyleLink w:val="Singlepunch"/>
  </w:abstractNum>
  <w:abstractNum w:abstractNumId="2" w15:restartNumberingAfterBreak="0">
    <w:nsid w:val="17A418E0"/>
    <w:multiLevelType w:val="multilevel"/>
    <w:tmpl w:val="013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07E50"/>
    <w:multiLevelType w:val="hybridMultilevel"/>
    <w:tmpl w:val="0D364E46"/>
    <w:lvl w:ilvl="0" w:tplc="0A3CECAC">
      <w:start w:val="10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8E1CE2"/>
    <w:multiLevelType w:val="multilevel"/>
    <w:tmpl w:val="0409001D"/>
    <w:numStyleLink w:val="Multipunch"/>
  </w:abstractNum>
  <w:abstractNum w:abstractNumId="5" w15:restartNumberingAfterBreak="0">
    <w:nsid w:val="295C791C"/>
    <w:multiLevelType w:val="hybridMultilevel"/>
    <w:tmpl w:val="417A6F4E"/>
    <w:lvl w:ilvl="0" w:tplc="6B2005D0">
      <w:start w:val="1"/>
      <w:numFmt w:val="decimal"/>
      <w:lvlText w:val="%1."/>
      <w:lvlJc w:val="left"/>
      <w:pPr>
        <w:ind w:left="785" w:hanging="360"/>
      </w:pPr>
      <w:rPr>
        <w:rFonts w:eastAsia="Arial Unicode M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103258"/>
    <w:multiLevelType w:val="hybridMultilevel"/>
    <w:tmpl w:val="67988BF2"/>
    <w:lvl w:ilvl="0" w:tplc="1EA03C2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594183"/>
    <w:multiLevelType w:val="hybridMultilevel"/>
    <w:tmpl w:val="BC98B26A"/>
    <w:lvl w:ilvl="0" w:tplc="1848EDFE">
      <w:start w:val="1"/>
      <w:numFmt w:val="decimal"/>
      <w:lvlText w:val="%1."/>
      <w:lvlJc w:val="left"/>
      <w:pPr>
        <w:ind w:left="720" w:hanging="360"/>
      </w:pPr>
      <w:rPr>
        <w:rFonts w:eastAsia="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4C9464C"/>
    <w:multiLevelType w:val="hybridMultilevel"/>
    <w:tmpl w:val="49940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C84EE8"/>
    <w:multiLevelType w:val="hybridMultilevel"/>
    <w:tmpl w:val="EB8CD888"/>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4"/>
  </w:num>
  <w:num w:numId="5">
    <w:abstractNumId w:val="9"/>
  </w:num>
  <w:num w:numId="6">
    <w:abstractNumId w:val="1"/>
  </w:num>
  <w:num w:numId="7">
    <w:abstractNumId w:val="8"/>
  </w:num>
  <w:num w:numId="8">
    <w:abstractNumId w:val="3"/>
  </w:num>
  <w:num w:numId="9">
    <w:abstractNumId w:val="5"/>
  </w:num>
  <w:num w:numId="10">
    <w:abstractNumId w:val="10"/>
  </w:num>
  <w:num w:numId="11">
    <w:abstractNumId w:val="0"/>
  </w:num>
  <w:num w:numId="12">
    <w:abstractNumId w:val="7"/>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36"/>
    <w:rsid w:val="00001D28"/>
    <w:rsid w:val="00003ED6"/>
    <w:rsid w:val="0001566D"/>
    <w:rsid w:val="000166B8"/>
    <w:rsid w:val="00017E27"/>
    <w:rsid w:val="00023692"/>
    <w:rsid w:val="000242C1"/>
    <w:rsid w:val="00024EEA"/>
    <w:rsid w:val="00032D33"/>
    <w:rsid w:val="00041E3A"/>
    <w:rsid w:val="00051725"/>
    <w:rsid w:val="00052CAE"/>
    <w:rsid w:val="000563BC"/>
    <w:rsid w:val="000564EF"/>
    <w:rsid w:val="000642B5"/>
    <w:rsid w:val="00067C2C"/>
    <w:rsid w:val="00072815"/>
    <w:rsid w:val="00073FD4"/>
    <w:rsid w:val="0008090E"/>
    <w:rsid w:val="0008205E"/>
    <w:rsid w:val="00090FE8"/>
    <w:rsid w:val="000916ED"/>
    <w:rsid w:val="00091748"/>
    <w:rsid w:val="00094336"/>
    <w:rsid w:val="000949A1"/>
    <w:rsid w:val="000964A0"/>
    <w:rsid w:val="000A068C"/>
    <w:rsid w:val="000A31E6"/>
    <w:rsid w:val="000A7773"/>
    <w:rsid w:val="000B03BA"/>
    <w:rsid w:val="000B043A"/>
    <w:rsid w:val="000C084A"/>
    <w:rsid w:val="000C4C2D"/>
    <w:rsid w:val="000C5792"/>
    <w:rsid w:val="000C6058"/>
    <w:rsid w:val="000D19A4"/>
    <w:rsid w:val="000D38A8"/>
    <w:rsid w:val="000E4D16"/>
    <w:rsid w:val="000E5148"/>
    <w:rsid w:val="000E6257"/>
    <w:rsid w:val="000E7123"/>
    <w:rsid w:val="000E7E7C"/>
    <w:rsid w:val="000F3A4C"/>
    <w:rsid w:val="000F62B3"/>
    <w:rsid w:val="000F7CAB"/>
    <w:rsid w:val="00105545"/>
    <w:rsid w:val="00110A16"/>
    <w:rsid w:val="001118FA"/>
    <w:rsid w:val="00124F8B"/>
    <w:rsid w:val="00125466"/>
    <w:rsid w:val="001259BD"/>
    <w:rsid w:val="001329BD"/>
    <w:rsid w:val="00132F55"/>
    <w:rsid w:val="00132FA7"/>
    <w:rsid w:val="00142B1C"/>
    <w:rsid w:val="001438AF"/>
    <w:rsid w:val="00157199"/>
    <w:rsid w:val="00160996"/>
    <w:rsid w:val="001722DD"/>
    <w:rsid w:val="00176353"/>
    <w:rsid w:val="00176871"/>
    <w:rsid w:val="00181B08"/>
    <w:rsid w:val="0019416A"/>
    <w:rsid w:val="001953FB"/>
    <w:rsid w:val="001960C8"/>
    <w:rsid w:val="001A5D68"/>
    <w:rsid w:val="001A6B3F"/>
    <w:rsid w:val="001A7FC6"/>
    <w:rsid w:val="001B0A9E"/>
    <w:rsid w:val="001B5C83"/>
    <w:rsid w:val="001C0FBB"/>
    <w:rsid w:val="001D0D15"/>
    <w:rsid w:val="001D5F06"/>
    <w:rsid w:val="001D61BF"/>
    <w:rsid w:val="001E10D1"/>
    <w:rsid w:val="001E1F1A"/>
    <w:rsid w:val="001E60F3"/>
    <w:rsid w:val="001E6D34"/>
    <w:rsid w:val="001E72B8"/>
    <w:rsid w:val="001F3BD7"/>
    <w:rsid w:val="001F69AC"/>
    <w:rsid w:val="00204944"/>
    <w:rsid w:val="00204C9A"/>
    <w:rsid w:val="002059A7"/>
    <w:rsid w:val="002119D1"/>
    <w:rsid w:val="0021522E"/>
    <w:rsid w:val="00216F62"/>
    <w:rsid w:val="0022102D"/>
    <w:rsid w:val="00224DCF"/>
    <w:rsid w:val="00226645"/>
    <w:rsid w:val="00227B0B"/>
    <w:rsid w:val="0023152A"/>
    <w:rsid w:val="0024524D"/>
    <w:rsid w:val="00252DA0"/>
    <w:rsid w:val="00252EC2"/>
    <w:rsid w:val="002539D1"/>
    <w:rsid w:val="0025580C"/>
    <w:rsid w:val="002559C3"/>
    <w:rsid w:val="00255FE7"/>
    <w:rsid w:val="00261961"/>
    <w:rsid w:val="002626E8"/>
    <w:rsid w:val="002630D3"/>
    <w:rsid w:val="00263D74"/>
    <w:rsid w:val="00267949"/>
    <w:rsid w:val="00274F81"/>
    <w:rsid w:val="00280B25"/>
    <w:rsid w:val="00280DA3"/>
    <w:rsid w:val="00281BE1"/>
    <w:rsid w:val="00281FB3"/>
    <w:rsid w:val="00290B8E"/>
    <w:rsid w:val="00290CF8"/>
    <w:rsid w:val="00291434"/>
    <w:rsid w:val="002931DA"/>
    <w:rsid w:val="00293B28"/>
    <w:rsid w:val="002A3633"/>
    <w:rsid w:val="002A7D03"/>
    <w:rsid w:val="002B0880"/>
    <w:rsid w:val="002B47A8"/>
    <w:rsid w:val="002B5378"/>
    <w:rsid w:val="002B60DE"/>
    <w:rsid w:val="002D0F64"/>
    <w:rsid w:val="002D2B96"/>
    <w:rsid w:val="002D764C"/>
    <w:rsid w:val="002E41EB"/>
    <w:rsid w:val="002E4552"/>
    <w:rsid w:val="002F12D6"/>
    <w:rsid w:val="002F3AF9"/>
    <w:rsid w:val="002F4182"/>
    <w:rsid w:val="002F76B7"/>
    <w:rsid w:val="00302A11"/>
    <w:rsid w:val="0030566C"/>
    <w:rsid w:val="0030639D"/>
    <w:rsid w:val="00312F23"/>
    <w:rsid w:val="00315089"/>
    <w:rsid w:val="00323648"/>
    <w:rsid w:val="00324FC6"/>
    <w:rsid w:val="00333FE3"/>
    <w:rsid w:val="00337091"/>
    <w:rsid w:val="0034028A"/>
    <w:rsid w:val="00344092"/>
    <w:rsid w:val="0034744D"/>
    <w:rsid w:val="0035053E"/>
    <w:rsid w:val="00350FF0"/>
    <w:rsid w:val="00355827"/>
    <w:rsid w:val="00355C22"/>
    <w:rsid w:val="00365712"/>
    <w:rsid w:val="00366FD4"/>
    <w:rsid w:val="00374657"/>
    <w:rsid w:val="00374EAB"/>
    <w:rsid w:val="00375148"/>
    <w:rsid w:val="0037562C"/>
    <w:rsid w:val="00381906"/>
    <w:rsid w:val="00382ACB"/>
    <w:rsid w:val="00384640"/>
    <w:rsid w:val="00391968"/>
    <w:rsid w:val="003A05CA"/>
    <w:rsid w:val="003A07F0"/>
    <w:rsid w:val="003A4CA8"/>
    <w:rsid w:val="003A5037"/>
    <w:rsid w:val="003A5C4B"/>
    <w:rsid w:val="003B0E8C"/>
    <w:rsid w:val="003B3A82"/>
    <w:rsid w:val="003B4668"/>
    <w:rsid w:val="003B50C5"/>
    <w:rsid w:val="003C0754"/>
    <w:rsid w:val="003D29DD"/>
    <w:rsid w:val="003E39F1"/>
    <w:rsid w:val="003E3F39"/>
    <w:rsid w:val="003F0DDB"/>
    <w:rsid w:val="003F122A"/>
    <w:rsid w:val="003F14CD"/>
    <w:rsid w:val="003F3392"/>
    <w:rsid w:val="003F3C05"/>
    <w:rsid w:val="003F52C8"/>
    <w:rsid w:val="004020C1"/>
    <w:rsid w:val="00402CB8"/>
    <w:rsid w:val="004063F8"/>
    <w:rsid w:val="00410938"/>
    <w:rsid w:val="00410E99"/>
    <w:rsid w:val="00412946"/>
    <w:rsid w:val="004130F1"/>
    <w:rsid w:val="00421A1F"/>
    <w:rsid w:val="00421C16"/>
    <w:rsid w:val="00422A98"/>
    <w:rsid w:val="004231BF"/>
    <w:rsid w:val="0042556F"/>
    <w:rsid w:val="0043634C"/>
    <w:rsid w:val="004413CC"/>
    <w:rsid w:val="00451A40"/>
    <w:rsid w:val="004538CB"/>
    <w:rsid w:val="00456B1E"/>
    <w:rsid w:val="00456BF5"/>
    <w:rsid w:val="00466F56"/>
    <w:rsid w:val="004727F8"/>
    <w:rsid w:val="00472DC3"/>
    <w:rsid w:val="004735E5"/>
    <w:rsid w:val="0047470E"/>
    <w:rsid w:val="00483052"/>
    <w:rsid w:val="00483643"/>
    <w:rsid w:val="00490069"/>
    <w:rsid w:val="00490591"/>
    <w:rsid w:val="00490778"/>
    <w:rsid w:val="00496577"/>
    <w:rsid w:val="0049795D"/>
    <w:rsid w:val="00497E90"/>
    <w:rsid w:val="004A21BE"/>
    <w:rsid w:val="004A3D28"/>
    <w:rsid w:val="004A3D54"/>
    <w:rsid w:val="004A55CA"/>
    <w:rsid w:val="004A7473"/>
    <w:rsid w:val="004A77B5"/>
    <w:rsid w:val="004B29C0"/>
    <w:rsid w:val="004B3A96"/>
    <w:rsid w:val="004B72C5"/>
    <w:rsid w:val="004C5955"/>
    <w:rsid w:val="004C602F"/>
    <w:rsid w:val="004D33E1"/>
    <w:rsid w:val="004D4456"/>
    <w:rsid w:val="004D58BB"/>
    <w:rsid w:val="004D7998"/>
    <w:rsid w:val="004E1890"/>
    <w:rsid w:val="004E3489"/>
    <w:rsid w:val="004E50BE"/>
    <w:rsid w:val="004E5192"/>
    <w:rsid w:val="0050171D"/>
    <w:rsid w:val="005030AC"/>
    <w:rsid w:val="0050351F"/>
    <w:rsid w:val="0050466F"/>
    <w:rsid w:val="00507A05"/>
    <w:rsid w:val="005122EE"/>
    <w:rsid w:val="0051243D"/>
    <w:rsid w:val="00516B9E"/>
    <w:rsid w:val="00525B64"/>
    <w:rsid w:val="00525FEF"/>
    <w:rsid w:val="00537356"/>
    <w:rsid w:val="0053751A"/>
    <w:rsid w:val="0054247D"/>
    <w:rsid w:val="005430E8"/>
    <w:rsid w:val="00545C13"/>
    <w:rsid w:val="005509BD"/>
    <w:rsid w:val="00550B0B"/>
    <w:rsid w:val="00551447"/>
    <w:rsid w:val="00552B71"/>
    <w:rsid w:val="00565097"/>
    <w:rsid w:val="00565920"/>
    <w:rsid w:val="005670F5"/>
    <w:rsid w:val="00572976"/>
    <w:rsid w:val="00573E85"/>
    <w:rsid w:val="00585D1E"/>
    <w:rsid w:val="00587A60"/>
    <w:rsid w:val="005911A4"/>
    <w:rsid w:val="00591EC3"/>
    <w:rsid w:val="0059597B"/>
    <w:rsid w:val="005967B6"/>
    <w:rsid w:val="005A0FF1"/>
    <w:rsid w:val="005B03A6"/>
    <w:rsid w:val="005B295B"/>
    <w:rsid w:val="005B52A4"/>
    <w:rsid w:val="005B5CEC"/>
    <w:rsid w:val="005B67C6"/>
    <w:rsid w:val="005C05F1"/>
    <w:rsid w:val="005C5416"/>
    <w:rsid w:val="005D084B"/>
    <w:rsid w:val="005D374B"/>
    <w:rsid w:val="005E27F5"/>
    <w:rsid w:val="005E2E89"/>
    <w:rsid w:val="005E41F0"/>
    <w:rsid w:val="005E74CB"/>
    <w:rsid w:val="005F2F68"/>
    <w:rsid w:val="006009ED"/>
    <w:rsid w:val="00600B66"/>
    <w:rsid w:val="00604415"/>
    <w:rsid w:val="00604D86"/>
    <w:rsid w:val="00611DB9"/>
    <w:rsid w:val="00612E55"/>
    <w:rsid w:val="00616595"/>
    <w:rsid w:val="00616AC3"/>
    <w:rsid w:val="006221AF"/>
    <w:rsid w:val="0062288A"/>
    <w:rsid w:val="00623083"/>
    <w:rsid w:val="00626520"/>
    <w:rsid w:val="00632833"/>
    <w:rsid w:val="00632E15"/>
    <w:rsid w:val="00637919"/>
    <w:rsid w:val="00647D03"/>
    <w:rsid w:val="00650DA6"/>
    <w:rsid w:val="006524FC"/>
    <w:rsid w:val="006527BB"/>
    <w:rsid w:val="00653E59"/>
    <w:rsid w:val="006577DF"/>
    <w:rsid w:val="006606B8"/>
    <w:rsid w:val="006632D7"/>
    <w:rsid w:val="006645B8"/>
    <w:rsid w:val="00665B11"/>
    <w:rsid w:val="00666E3E"/>
    <w:rsid w:val="00674432"/>
    <w:rsid w:val="00674E64"/>
    <w:rsid w:val="006844D3"/>
    <w:rsid w:val="00686051"/>
    <w:rsid w:val="00686AFB"/>
    <w:rsid w:val="0068706F"/>
    <w:rsid w:val="0068760D"/>
    <w:rsid w:val="00690DAA"/>
    <w:rsid w:val="00692E38"/>
    <w:rsid w:val="006A38F6"/>
    <w:rsid w:val="006B2C95"/>
    <w:rsid w:val="006B4973"/>
    <w:rsid w:val="006B499C"/>
    <w:rsid w:val="006B51C9"/>
    <w:rsid w:val="006B6960"/>
    <w:rsid w:val="006D0689"/>
    <w:rsid w:val="006D4051"/>
    <w:rsid w:val="006E188E"/>
    <w:rsid w:val="006E4419"/>
    <w:rsid w:val="006E4B53"/>
    <w:rsid w:val="006E7904"/>
    <w:rsid w:val="006F047B"/>
    <w:rsid w:val="006F5BEE"/>
    <w:rsid w:val="006F6081"/>
    <w:rsid w:val="00710D68"/>
    <w:rsid w:val="007166A0"/>
    <w:rsid w:val="00726942"/>
    <w:rsid w:val="00730DB1"/>
    <w:rsid w:val="0073355D"/>
    <w:rsid w:val="0073720E"/>
    <w:rsid w:val="007434E6"/>
    <w:rsid w:val="00746684"/>
    <w:rsid w:val="00747734"/>
    <w:rsid w:val="00751E61"/>
    <w:rsid w:val="007549CC"/>
    <w:rsid w:val="00757319"/>
    <w:rsid w:val="00764E0A"/>
    <w:rsid w:val="00767858"/>
    <w:rsid w:val="0077285F"/>
    <w:rsid w:val="0078093E"/>
    <w:rsid w:val="0078095A"/>
    <w:rsid w:val="00781893"/>
    <w:rsid w:val="00784322"/>
    <w:rsid w:val="007877CA"/>
    <w:rsid w:val="00792F0E"/>
    <w:rsid w:val="0079412B"/>
    <w:rsid w:val="00794B30"/>
    <w:rsid w:val="00794E88"/>
    <w:rsid w:val="00795227"/>
    <w:rsid w:val="007A4591"/>
    <w:rsid w:val="007A63B8"/>
    <w:rsid w:val="007A7E40"/>
    <w:rsid w:val="007B1F51"/>
    <w:rsid w:val="007B360E"/>
    <w:rsid w:val="007B6675"/>
    <w:rsid w:val="007C605B"/>
    <w:rsid w:val="007D1AA0"/>
    <w:rsid w:val="007E2434"/>
    <w:rsid w:val="007E2800"/>
    <w:rsid w:val="007E2D38"/>
    <w:rsid w:val="007E431F"/>
    <w:rsid w:val="007E4BFF"/>
    <w:rsid w:val="007F0042"/>
    <w:rsid w:val="007F0B0A"/>
    <w:rsid w:val="007F1677"/>
    <w:rsid w:val="007F3CEB"/>
    <w:rsid w:val="007F6494"/>
    <w:rsid w:val="007F67BC"/>
    <w:rsid w:val="007F7696"/>
    <w:rsid w:val="00812D18"/>
    <w:rsid w:val="00816687"/>
    <w:rsid w:val="00820262"/>
    <w:rsid w:val="00820BD9"/>
    <w:rsid w:val="00822480"/>
    <w:rsid w:val="00826955"/>
    <w:rsid w:val="00827ED9"/>
    <w:rsid w:val="00831BE9"/>
    <w:rsid w:val="008337EA"/>
    <w:rsid w:val="0084125B"/>
    <w:rsid w:val="008529A5"/>
    <w:rsid w:val="00853648"/>
    <w:rsid w:val="00853E55"/>
    <w:rsid w:val="00853FE6"/>
    <w:rsid w:val="00854CBB"/>
    <w:rsid w:val="008669F1"/>
    <w:rsid w:val="00877846"/>
    <w:rsid w:val="00877B8F"/>
    <w:rsid w:val="00884E9D"/>
    <w:rsid w:val="00887CBB"/>
    <w:rsid w:val="00887D2B"/>
    <w:rsid w:val="00894B3E"/>
    <w:rsid w:val="00896553"/>
    <w:rsid w:val="008968CC"/>
    <w:rsid w:val="008A188D"/>
    <w:rsid w:val="008A5E55"/>
    <w:rsid w:val="008A7AEE"/>
    <w:rsid w:val="008B13F2"/>
    <w:rsid w:val="008B2E01"/>
    <w:rsid w:val="008B737C"/>
    <w:rsid w:val="008C0CC5"/>
    <w:rsid w:val="008C47C4"/>
    <w:rsid w:val="008C4FD8"/>
    <w:rsid w:val="008C74F1"/>
    <w:rsid w:val="008D2FC9"/>
    <w:rsid w:val="008E0516"/>
    <w:rsid w:val="008E3B04"/>
    <w:rsid w:val="008E4519"/>
    <w:rsid w:val="008E7734"/>
    <w:rsid w:val="008F15C3"/>
    <w:rsid w:val="008F184E"/>
    <w:rsid w:val="008F72E0"/>
    <w:rsid w:val="008F7514"/>
    <w:rsid w:val="00904470"/>
    <w:rsid w:val="009054B1"/>
    <w:rsid w:val="00905DC5"/>
    <w:rsid w:val="00912289"/>
    <w:rsid w:val="00912E45"/>
    <w:rsid w:val="00914021"/>
    <w:rsid w:val="00914F29"/>
    <w:rsid w:val="0091770F"/>
    <w:rsid w:val="00924341"/>
    <w:rsid w:val="00930247"/>
    <w:rsid w:val="00933CED"/>
    <w:rsid w:val="00935169"/>
    <w:rsid w:val="00935AA9"/>
    <w:rsid w:val="0093683F"/>
    <w:rsid w:val="00942FA3"/>
    <w:rsid w:val="00943118"/>
    <w:rsid w:val="009526F6"/>
    <w:rsid w:val="009565E8"/>
    <w:rsid w:val="009605B5"/>
    <w:rsid w:val="00967785"/>
    <w:rsid w:val="00982E2C"/>
    <w:rsid w:val="00990522"/>
    <w:rsid w:val="009960FB"/>
    <w:rsid w:val="009A3F54"/>
    <w:rsid w:val="009A427F"/>
    <w:rsid w:val="009B0667"/>
    <w:rsid w:val="009B0E8A"/>
    <w:rsid w:val="009B2ED2"/>
    <w:rsid w:val="009B3797"/>
    <w:rsid w:val="009C1752"/>
    <w:rsid w:val="009C6C44"/>
    <w:rsid w:val="009E78AA"/>
    <w:rsid w:val="009E78BC"/>
    <w:rsid w:val="009F2ED4"/>
    <w:rsid w:val="009F3CDC"/>
    <w:rsid w:val="009F4161"/>
    <w:rsid w:val="009F5B71"/>
    <w:rsid w:val="00A06FD7"/>
    <w:rsid w:val="00A15C7D"/>
    <w:rsid w:val="00A201C7"/>
    <w:rsid w:val="00A22727"/>
    <w:rsid w:val="00A277B0"/>
    <w:rsid w:val="00A301D7"/>
    <w:rsid w:val="00A30558"/>
    <w:rsid w:val="00A32F33"/>
    <w:rsid w:val="00A34805"/>
    <w:rsid w:val="00A46090"/>
    <w:rsid w:val="00A5164F"/>
    <w:rsid w:val="00A516FE"/>
    <w:rsid w:val="00A61D14"/>
    <w:rsid w:val="00A6224A"/>
    <w:rsid w:val="00A65709"/>
    <w:rsid w:val="00A674BB"/>
    <w:rsid w:val="00A80DCF"/>
    <w:rsid w:val="00A80F7C"/>
    <w:rsid w:val="00A818EC"/>
    <w:rsid w:val="00A85936"/>
    <w:rsid w:val="00A937C7"/>
    <w:rsid w:val="00AA1606"/>
    <w:rsid w:val="00AA4EBA"/>
    <w:rsid w:val="00AB016D"/>
    <w:rsid w:val="00AB1273"/>
    <w:rsid w:val="00AB1CD2"/>
    <w:rsid w:val="00AB53BA"/>
    <w:rsid w:val="00AB54B5"/>
    <w:rsid w:val="00AC1EF2"/>
    <w:rsid w:val="00AC4F87"/>
    <w:rsid w:val="00AC6331"/>
    <w:rsid w:val="00AE1B6B"/>
    <w:rsid w:val="00AE4824"/>
    <w:rsid w:val="00AE7A18"/>
    <w:rsid w:val="00AF0EE6"/>
    <w:rsid w:val="00AF2191"/>
    <w:rsid w:val="00AF5C32"/>
    <w:rsid w:val="00B00615"/>
    <w:rsid w:val="00B015E7"/>
    <w:rsid w:val="00B03961"/>
    <w:rsid w:val="00B05F31"/>
    <w:rsid w:val="00B11773"/>
    <w:rsid w:val="00B14262"/>
    <w:rsid w:val="00B20122"/>
    <w:rsid w:val="00B210BE"/>
    <w:rsid w:val="00B22986"/>
    <w:rsid w:val="00B23EC9"/>
    <w:rsid w:val="00B27932"/>
    <w:rsid w:val="00B31A23"/>
    <w:rsid w:val="00B354E7"/>
    <w:rsid w:val="00B41FE6"/>
    <w:rsid w:val="00B428E7"/>
    <w:rsid w:val="00B434D5"/>
    <w:rsid w:val="00B43F3A"/>
    <w:rsid w:val="00B452B7"/>
    <w:rsid w:val="00B46B92"/>
    <w:rsid w:val="00B51072"/>
    <w:rsid w:val="00B5468D"/>
    <w:rsid w:val="00B5565D"/>
    <w:rsid w:val="00B5777A"/>
    <w:rsid w:val="00B61FCB"/>
    <w:rsid w:val="00B63125"/>
    <w:rsid w:val="00B64209"/>
    <w:rsid w:val="00B66501"/>
    <w:rsid w:val="00B6657C"/>
    <w:rsid w:val="00B66840"/>
    <w:rsid w:val="00B707EF"/>
    <w:rsid w:val="00B73A0B"/>
    <w:rsid w:val="00B75500"/>
    <w:rsid w:val="00B7708B"/>
    <w:rsid w:val="00B8108A"/>
    <w:rsid w:val="00B8455D"/>
    <w:rsid w:val="00B85496"/>
    <w:rsid w:val="00B86B3C"/>
    <w:rsid w:val="00B92FEC"/>
    <w:rsid w:val="00B960A3"/>
    <w:rsid w:val="00BA16CA"/>
    <w:rsid w:val="00BA1B77"/>
    <w:rsid w:val="00BA2B8C"/>
    <w:rsid w:val="00BA6D82"/>
    <w:rsid w:val="00BB0AD6"/>
    <w:rsid w:val="00BB1A2C"/>
    <w:rsid w:val="00BB641E"/>
    <w:rsid w:val="00BC2B08"/>
    <w:rsid w:val="00BC4D9E"/>
    <w:rsid w:val="00BC7AC9"/>
    <w:rsid w:val="00BD1F19"/>
    <w:rsid w:val="00BD3227"/>
    <w:rsid w:val="00BD338F"/>
    <w:rsid w:val="00BD4CAE"/>
    <w:rsid w:val="00BE0045"/>
    <w:rsid w:val="00BE12AA"/>
    <w:rsid w:val="00BE347A"/>
    <w:rsid w:val="00BF0850"/>
    <w:rsid w:val="00BF7818"/>
    <w:rsid w:val="00C0200A"/>
    <w:rsid w:val="00C04F1B"/>
    <w:rsid w:val="00C06692"/>
    <w:rsid w:val="00C14839"/>
    <w:rsid w:val="00C230F8"/>
    <w:rsid w:val="00C2523B"/>
    <w:rsid w:val="00C2554A"/>
    <w:rsid w:val="00C32B8A"/>
    <w:rsid w:val="00C36E1A"/>
    <w:rsid w:val="00C44E6A"/>
    <w:rsid w:val="00C46378"/>
    <w:rsid w:val="00C46535"/>
    <w:rsid w:val="00C4709B"/>
    <w:rsid w:val="00C52CFC"/>
    <w:rsid w:val="00C5653B"/>
    <w:rsid w:val="00C56739"/>
    <w:rsid w:val="00C56973"/>
    <w:rsid w:val="00C57AEC"/>
    <w:rsid w:val="00C60531"/>
    <w:rsid w:val="00C6268A"/>
    <w:rsid w:val="00C63747"/>
    <w:rsid w:val="00C65A22"/>
    <w:rsid w:val="00C70827"/>
    <w:rsid w:val="00C72830"/>
    <w:rsid w:val="00C74935"/>
    <w:rsid w:val="00C74F06"/>
    <w:rsid w:val="00C7700C"/>
    <w:rsid w:val="00C84FB5"/>
    <w:rsid w:val="00C93076"/>
    <w:rsid w:val="00C9317F"/>
    <w:rsid w:val="00C94A79"/>
    <w:rsid w:val="00C95B47"/>
    <w:rsid w:val="00CA0038"/>
    <w:rsid w:val="00CB25DD"/>
    <w:rsid w:val="00CB3A3A"/>
    <w:rsid w:val="00CB4F5A"/>
    <w:rsid w:val="00CB7231"/>
    <w:rsid w:val="00CC2B97"/>
    <w:rsid w:val="00CD3C4B"/>
    <w:rsid w:val="00CE1F8C"/>
    <w:rsid w:val="00CE4ED3"/>
    <w:rsid w:val="00D015C1"/>
    <w:rsid w:val="00D01F4D"/>
    <w:rsid w:val="00D050F6"/>
    <w:rsid w:val="00D063DD"/>
    <w:rsid w:val="00D10DEA"/>
    <w:rsid w:val="00D12F3A"/>
    <w:rsid w:val="00D16F5B"/>
    <w:rsid w:val="00D17E90"/>
    <w:rsid w:val="00D25CC3"/>
    <w:rsid w:val="00D26401"/>
    <w:rsid w:val="00D272BA"/>
    <w:rsid w:val="00D32C5F"/>
    <w:rsid w:val="00D33E69"/>
    <w:rsid w:val="00D35762"/>
    <w:rsid w:val="00D409BF"/>
    <w:rsid w:val="00D41346"/>
    <w:rsid w:val="00D42077"/>
    <w:rsid w:val="00D432BC"/>
    <w:rsid w:val="00D46EB4"/>
    <w:rsid w:val="00D60918"/>
    <w:rsid w:val="00D63295"/>
    <w:rsid w:val="00D674D0"/>
    <w:rsid w:val="00D73763"/>
    <w:rsid w:val="00D73A66"/>
    <w:rsid w:val="00D76A12"/>
    <w:rsid w:val="00D82A0B"/>
    <w:rsid w:val="00D90C9A"/>
    <w:rsid w:val="00DA0070"/>
    <w:rsid w:val="00DA1DB4"/>
    <w:rsid w:val="00DA7082"/>
    <w:rsid w:val="00DB1EBF"/>
    <w:rsid w:val="00DC2F84"/>
    <w:rsid w:val="00DC65E0"/>
    <w:rsid w:val="00DD02A8"/>
    <w:rsid w:val="00DD3902"/>
    <w:rsid w:val="00DE092E"/>
    <w:rsid w:val="00DE0E56"/>
    <w:rsid w:val="00DE1D07"/>
    <w:rsid w:val="00DE3424"/>
    <w:rsid w:val="00DF2FF5"/>
    <w:rsid w:val="00DF327C"/>
    <w:rsid w:val="00DF3B90"/>
    <w:rsid w:val="00DF5845"/>
    <w:rsid w:val="00E01DA3"/>
    <w:rsid w:val="00E04F06"/>
    <w:rsid w:val="00E0707A"/>
    <w:rsid w:val="00E111A8"/>
    <w:rsid w:val="00E1723A"/>
    <w:rsid w:val="00E21C53"/>
    <w:rsid w:val="00E42ED7"/>
    <w:rsid w:val="00E45F86"/>
    <w:rsid w:val="00E46BF9"/>
    <w:rsid w:val="00E46EF0"/>
    <w:rsid w:val="00E477ED"/>
    <w:rsid w:val="00E57878"/>
    <w:rsid w:val="00E62AC6"/>
    <w:rsid w:val="00E66929"/>
    <w:rsid w:val="00E67213"/>
    <w:rsid w:val="00E729E7"/>
    <w:rsid w:val="00E77011"/>
    <w:rsid w:val="00E771DB"/>
    <w:rsid w:val="00E81457"/>
    <w:rsid w:val="00E860AD"/>
    <w:rsid w:val="00E91A3A"/>
    <w:rsid w:val="00E91FAB"/>
    <w:rsid w:val="00E947A2"/>
    <w:rsid w:val="00E97EEF"/>
    <w:rsid w:val="00EB1CAD"/>
    <w:rsid w:val="00EB226D"/>
    <w:rsid w:val="00EB2810"/>
    <w:rsid w:val="00EC0E41"/>
    <w:rsid w:val="00EC3B30"/>
    <w:rsid w:val="00EC7EBC"/>
    <w:rsid w:val="00ED08A3"/>
    <w:rsid w:val="00ED225C"/>
    <w:rsid w:val="00ED432A"/>
    <w:rsid w:val="00ED6D9B"/>
    <w:rsid w:val="00ED7806"/>
    <w:rsid w:val="00EE02F4"/>
    <w:rsid w:val="00EE34C2"/>
    <w:rsid w:val="00EF1AC0"/>
    <w:rsid w:val="00F00C8F"/>
    <w:rsid w:val="00F0255F"/>
    <w:rsid w:val="00F10F35"/>
    <w:rsid w:val="00F1458E"/>
    <w:rsid w:val="00F14AD0"/>
    <w:rsid w:val="00F15C2F"/>
    <w:rsid w:val="00F16589"/>
    <w:rsid w:val="00F16B80"/>
    <w:rsid w:val="00F21FCD"/>
    <w:rsid w:val="00F23F89"/>
    <w:rsid w:val="00F327F1"/>
    <w:rsid w:val="00F33FAD"/>
    <w:rsid w:val="00F364D1"/>
    <w:rsid w:val="00F3797B"/>
    <w:rsid w:val="00F37F39"/>
    <w:rsid w:val="00F406E9"/>
    <w:rsid w:val="00F412E2"/>
    <w:rsid w:val="00F41B38"/>
    <w:rsid w:val="00F4362C"/>
    <w:rsid w:val="00F520E4"/>
    <w:rsid w:val="00F5435D"/>
    <w:rsid w:val="00F56E32"/>
    <w:rsid w:val="00F63EE9"/>
    <w:rsid w:val="00F728E0"/>
    <w:rsid w:val="00F74373"/>
    <w:rsid w:val="00F77304"/>
    <w:rsid w:val="00F776FE"/>
    <w:rsid w:val="00F80076"/>
    <w:rsid w:val="00F813F0"/>
    <w:rsid w:val="00F818D4"/>
    <w:rsid w:val="00F835C8"/>
    <w:rsid w:val="00F838A8"/>
    <w:rsid w:val="00F90AC0"/>
    <w:rsid w:val="00F94C07"/>
    <w:rsid w:val="00F95B6C"/>
    <w:rsid w:val="00FA0F70"/>
    <w:rsid w:val="00FA343A"/>
    <w:rsid w:val="00FA4FC6"/>
    <w:rsid w:val="00FA5B71"/>
    <w:rsid w:val="00FA7522"/>
    <w:rsid w:val="00FB1791"/>
    <w:rsid w:val="00FB1C46"/>
    <w:rsid w:val="00FB543F"/>
    <w:rsid w:val="00FB69AC"/>
    <w:rsid w:val="00FB7BE5"/>
    <w:rsid w:val="00FB7E06"/>
    <w:rsid w:val="00FC04B0"/>
    <w:rsid w:val="00FC31A4"/>
    <w:rsid w:val="00FD1CA8"/>
    <w:rsid w:val="00FE021A"/>
    <w:rsid w:val="00FE4298"/>
    <w:rsid w:val="00FE4D7C"/>
    <w:rsid w:val="00FE7314"/>
    <w:rsid w:val="00FF1D40"/>
    <w:rsid w:val="00FF3135"/>
    <w:rsid w:val="00FF62FB"/>
    <w:rsid w:val="00FF65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48EB"/>
  <w15:docId w15:val="{03CFD0BC-17BC-4F49-9290-6F7F5797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16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link w:val="Heading1Char"/>
    <w:uiPriority w:val="9"/>
    <w:qFormat/>
    <w:rsid w:val="009B0E8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9B0E8A"/>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customStyle="1" w:styleId="Corpo">
    <w:name w:val="Corpo"/>
    <w:rPr>
      <w:rFonts w:ascii="Helvetica" w:hAnsi="Arial Unicode MS" w:cs="Arial Unicode MS"/>
      <w:color w:val="000000"/>
      <w:sz w:val="22"/>
      <w:szCs w:val="22"/>
    </w:rPr>
  </w:style>
  <w:style w:type="paragraph" w:customStyle="1" w:styleId="Didefault">
    <w:name w:val="Di default"/>
    <w:rPr>
      <w:rFonts w:ascii="Helvetica" w:eastAsia="Helvetica" w:hAnsi="Helvetica" w:cs="Helvetica"/>
      <w:color w:val="000000"/>
      <w:sz w:val="22"/>
      <w:szCs w:val="22"/>
    </w:rPr>
  </w:style>
  <w:style w:type="character" w:customStyle="1" w:styleId="a">
    <w:name w:val="_"/>
    <w:basedOn w:val="DefaultParagraphFont"/>
    <w:rsid w:val="0054247D"/>
  </w:style>
  <w:style w:type="character" w:customStyle="1" w:styleId="ls2">
    <w:name w:val="ls2"/>
    <w:basedOn w:val="DefaultParagraphFont"/>
    <w:rsid w:val="0054247D"/>
  </w:style>
  <w:style w:type="character" w:customStyle="1" w:styleId="ws1e0">
    <w:name w:val="ws1e0"/>
    <w:basedOn w:val="DefaultParagraphFont"/>
    <w:rsid w:val="0054247D"/>
  </w:style>
  <w:style w:type="character" w:customStyle="1" w:styleId="ff5">
    <w:name w:val="ff5"/>
    <w:basedOn w:val="DefaultParagraphFont"/>
    <w:rsid w:val="0054247D"/>
  </w:style>
  <w:style w:type="character" w:customStyle="1" w:styleId="ls54">
    <w:name w:val="ls54"/>
    <w:basedOn w:val="DefaultParagraphFont"/>
    <w:rsid w:val="0054247D"/>
  </w:style>
  <w:style w:type="character" w:customStyle="1" w:styleId="ls4">
    <w:name w:val="ls4"/>
    <w:basedOn w:val="DefaultParagraphFont"/>
    <w:rsid w:val="0054247D"/>
  </w:style>
  <w:style w:type="character" w:customStyle="1" w:styleId="ls4c">
    <w:name w:val="ls4c"/>
    <w:basedOn w:val="DefaultParagraphFont"/>
    <w:rsid w:val="0054247D"/>
  </w:style>
  <w:style w:type="character" w:customStyle="1" w:styleId="ls6">
    <w:name w:val="ls6"/>
    <w:basedOn w:val="DefaultParagraphFont"/>
    <w:rsid w:val="0054247D"/>
  </w:style>
  <w:style w:type="character" w:customStyle="1" w:styleId="ls3">
    <w:name w:val="ls3"/>
    <w:basedOn w:val="DefaultParagraphFont"/>
    <w:rsid w:val="0054247D"/>
  </w:style>
  <w:style w:type="character" w:customStyle="1" w:styleId="ls3a">
    <w:name w:val="ls3a"/>
    <w:basedOn w:val="DefaultParagraphFont"/>
    <w:rsid w:val="001E60F3"/>
  </w:style>
  <w:style w:type="character" w:customStyle="1" w:styleId="ws159">
    <w:name w:val="ws159"/>
    <w:basedOn w:val="DefaultParagraphFont"/>
    <w:rsid w:val="001E60F3"/>
  </w:style>
  <w:style w:type="character" w:customStyle="1" w:styleId="ws14c">
    <w:name w:val="ws14c"/>
    <w:basedOn w:val="DefaultParagraphFont"/>
    <w:rsid w:val="001E60F3"/>
  </w:style>
  <w:style w:type="character" w:customStyle="1" w:styleId="ws15a">
    <w:name w:val="ws15a"/>
    <w:basedOn w:val="DefaultParagraphFont"/>
    <w:rsid w:val="001E60F3"/>
  </w:style>
  <w:style w:type="character" w:customStyle="1" w:styleId="ls10">
    <w:name w:val="ls10"/>
    <w:basedOn w:val="DefaultParagraphFont"/>
    <w:rsid w:val="001E60F3"/>
  </w:style>
  <w:style w:type="character" w:customStyle="1" w:styleId="ws15d">
    <w:name w:val="ws15d"/>
    <w:basedOn w:val="DefaultParagraphFont"/>
    <w:rsid w:val="001E60F3"/>
  </w:style>
  <w:style w:type="character" w:customStyle="1" w:styleId="ls11">
    <w:name w:val="ls11"/>
    <w:basedOn w:val="DefaultParagraphFont"/>
    <w:rsid w:val="001E60F3"/>
  </w:style>
  <w:style w:type="character" w:customStyle="1" w:styleId="ws10b">
    <w:name w:val="ws10b"/>
    <w:basedOn w:val="DefaultParagraphFont"/>
    <w:rsid w:val="001E60F3"/>
  </w:style>
  <w:style w:type="character" w:customStyle="1" w:styleId="ws15e">
    <w:name w:val="ws15e"/>
    <w:basedOn w:val="DefaultParagraphFont"/>
    <w:rsid w:val="001E60F3"/>
  </w:style>
  <w:style w:type="character" w:customStyle="1" w:styleId="lsd">
    <w:name w:val="lsd"/>
    <w:basedOn w:val="DefaultParagraphFont"/>
    <w:rsid w:val="001E60F3"/>
  </w:style>
  <w:style w:type="character" w:customStyle="1" w:styleId="ws111">
    <w:name w:val="ws111"/>
    <w:basedOn w:val="DefaultParagraphFont"/>
    <w:rsid w:val="001E60F3"/>
  </w:style>
  <w:style w:type="character" w:styleId="Emphasis">
    <w:name w:val="Emphasis"/>
    <w:basedOn w:val="DefaultParagraphFont"/>
    <w:uiPriority w:val="20"/>
    <w:qFormat/>
    <w:rsid w:val="003A05CA"/>
    <w:rPr>
      <w:i/>
      <w:iCs/>
    </w:rPr>
  </w:style>
  <w:style w:type="paragraph" w:customStyle="1" w:styleId="Stiletabella2">
    <w:name w:val="Stile tabella 2"/>
    <w:rsid w:val="00B75500"/>
    <w:rPr>
      <w:rFonts w:ascii="Helvetica" w:hAnsi="Arial Unicode MS" w:cs="Arial Unicode MS"/>
      <w:color w:val="000000"/>
    </w:rPr>
  </w:style>
  <w:style w:type="character" w:styleId="CommentReference">
    <w:name w:val="annotation reference"/>
    <w:basedOn w:val="DefaultParagraphFont"/>
    <w:uiPriority w:val="99"/>
    <w:semiHidden/>
    <w:unhideWhenUsed/>
    <w:rsid w:val="008A188D"/>
    <w:rPr>
      <w:sz w:val="16"/>
      <w:szCs w:val="16"/>
    </w:rPr>
  </w:style>
  <w:style w:type="paragraph" w:styleId="CommentText">
    <w:name w:val="annotation text"/>
    <w:basedOn w:val="Normal"/>
    <w:link w:val="CommentTextChar"/>
    <w:uiPriority w:val="99"/>
    <w:unhideWhenUsed/>
    <w:rsid w:val="008A188D"/>
    <w:rPr>
      <w:sz w:val="20"/>
      <w:szCs w:val="20"/>
    </w:rPr>
  </w:style>
  <w:style w:type="character" w:customStyle="1" w:styleId="CommentTextChar">
    <w:name w:val="Comment Text Char"/>
    <w:basedOn w:val="DefaultParagraphFont"/>
    <w:link w:val="CommentText"/>
    <w:uiPriority w:val="99"/>
    <w:rsid w:val="008A188D"/>
    <w:rPr>
      <w:rFonts w:eastAsia="Times New Roman"/>
      <w:bdr w:val="none" w:sz="0" w:space="0" w:color="auto"/>
    </w:rPr>
  </w:style>
  <w:style w:type="paragraph" w:styleId="CommentSubject">
    <w:name w:val="annotation subject"/>
    <w:basedOn w:val="CommentText"/>
    <w:next w:val="CommentText"/>
    <w:link w:val="CommentSubjectChar"/>
    <w:uiPriority w:val="99"/>
    <w:semiHidden/>
    <w:unhideWhenUsed/>
    <w:rsid w:val="008A188D"/>
    <w:rPr>
      <w:b/>
      <w:bCs/>
    </w:rPr>
  </w:style>
  <w:style w:type="character" w:customStyle="1" w:styleId="CommentSubjectChar">
    <w:name w:val="Comment Subject Char"/>
    <w:basedOn w:val="CommentTextChar"/>
    <w:link w:val="CommentSubject"/>
    <w:uiPriority w:val="99"/>
    <w:semiHidden/>
    <w:rsid w:val="008A188D"/>
    <w:rPr>
      <w:rFonts w:eastAsia="Times New Roman"/>
      <w:b/>
      <w:bCs/>
      <w:bdr w:val="none" w:sz="0" w:space="0" w:color="auto"/>
    </w:rPr>
  </w:style>
  <w:style w:type="paragraph" w:styleId="BalloonText">
    <w:name w:val="Balloon Text"/>
    <w:basedOn w:val="Normal"/>
    <w:link w:val="BalloonTextChar"/>
    <w:uiPriority w:val="99"/>
    <w:semiHidden/>
    <w:unhideWhenUsed/>
    <w:rsid w:val="008A18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88D"/>
    <w:rPr>
      <w:rFonts w:ascii="Segoe UI" w:eastAsia="Times New Roman" w:hAnsi="Segoe UI" w:cs="Segoe UI"/>
      <w:sz w:val="18"/>
      <w:szCs w:val="18"/>
      <w:bdr w:val="none" w:sz="0" w:space="0" w:color="auto"/>
    </w:rPr>
  </w:style>
  <w:style w:type="paragraph" w:styleId="Revision">
    <w:name w:val="Revision"/>
    <w:hidden/>
    <w:uiPriority w:val="99"/>
    <w:semiHidden/>
    <w:rsid w:val="00B5777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table" w:styleId="TableGrid">
    <w:name w:val="Table Grid"/>
    <w:basedOn w:val="TableNormal"/>
    <w:uiPriority w:val="39"/>
    <w:rsid w:val="006E4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66A0"/>
    <w:pPr>
      <w:tabs>
        <w:tab w:val="center" w:pos="4513"/>
        <w:tab w:val="right" w:pos="9026"/>
      </w:tabs>
    </w:pPr>
  </w:style>
  <w:style w:type="character" w:customStyle="1" w:styleId="HeaderChar">
    <w:name w:val="Header Char"/>
    <w:basedOn w:val="DefaultParagraphFont"/>
    <w:link w:val="Header"/>
    <w:uiPriority w:val="99"/>
    <w:rsid w:val="007166A0"/>
    <w:rPr>
      <w:rFonts w:eastAsia="Times New Roman"/>
      <w:sz w:val="24"/>
      <w:szCs w:val="24"/>
      <w:bdr w:val="none" w:sz="0" w:space="0" w:color="auto"/>
    </w:rPr>
  </w:style>
  <w:style w:type="paragraph" w:styleId="Footer">
    <w:name w:val="footer"/>
    <w:basedOn w:val="Normal"/>
    <w:link w:val="FooterChar"/>
    <w:uiPriority w:val="99"/>
    <w:unhideWhenUsed/>
    <w:rsid w:val="007166A0"/>
    <w:pPr>
      <w:tabs>
        <w:tab w:val="center" w:pos="4513"/>
        <w:tab w:val="right" w:pos="9026"/>
      </w:tabs>
    </w:pPr>
  </w:style>
  <w:style w:type="character" w:customStyle="1" w:styleId="FooterChar">
    <w:name w:val="Footer Char"/>
    <w:basedOn w:val="DefaultParagraphFont"/>
    <w:link w:val="Footer"/>
    <w:uiPriority w:val="99"/>
    <w:rsid w:val="007166A0"/>
    <w:rPr>
      <w:rFonts w:eastAsia="Times New Roman"/>
      <w:sz w:val="24"/>
      <w:szCs w:val="24"/>
      <w:bdr w:val="none" w:sz="0" w:space="0" w:color="auto"/>
    </w:rPr>
  </w:style>
  <w:style w:type="paragraph" w:styleId="NormalWeb">
    <w:name w:val="Normal (Web)"/>
    <w:basedOn w:val="Normal"/>
    <w:uiPriority w:val="99"/>
    <w:unhideWhenUsed/>
    <w:rsid w:val="00041E3A"/>
    <w:pPr>
      <w:spacing w:before="100" w:beforeAutospacing="1" w:after="100" w:afterAutospacing="1"/>
    </w:pPr>
  </w:style>
  <w:style w:type="character" w:customStyle="1" w:styleId="Heading1Char">
    <w:name w:val="Heading 1 Char"/>
    <w:basedOn w:val="DefaultParagraphFont"/>
    <w:link w:val="Heading1"/>
    <w:uiPriority w:val="9"/>
    <w:rsid w:val="009B0E8A"/>
    <w:rPr>
      <w:rFonts w:eastAsia="Times New Roman"/>
      <w:b/>
      <w:bCs/>
      <w:kern w:val="36"/>
      <w:sz w:val="48"/>
      <w:szCs w:val="48"/>
      <w:bdr w:val="none" w:sz="0" w:space="0" w:color="auto"/>
    </w:rPr>
  </w:style>
  <w:style w:type="character" w:customStyle="1" w:styleId="title-text">
    <w:name w:val="title-text"/>
    <w:basedOn w:val="DefaultParagraphFont"/>
    <w:rsid w:val="009B0E8A"/>
  </w:style>
  <w:style w:type="character" w:customStyle="1" w:styleId="Heading2Char">
    <w:name w:val="Heading 2 Char"/>
    <w:basedOn w:val="DefaultParagraphFont"/>
    <w:link w:val="Heading2"/>
    <w:uiPriority w:val="9"/>
    <w:rsid w:val="009B0E8A"/>
    <w:rPr>
      <w:rFonts w:asciiTheme="majorHAnsi" w:eastAsiaTheme="majorEastAsia" w:hAnsiTheme="majorHAnsi" w:cstheme="majorBidi"/>
      <w:color w:val="2F759E" w:themeColor="accent1" w:themeShade="BF"/>
      <w:sz w:val="26"/>
      <w:szCs w:val="26"/>
      <w:bdr w:val="none" w:sz="0" w:space="0" w:color="auto"/>
    </w:rPr>
  </w:style>
  <w:style w:type="character" w:styleId="Strong">
    <w:name w:val="Strong"/>
    <w:basedOn w:val="DefaultParagraphFont"/>
    <w:uiPriority w:val="22"/>
    <w:qFormat/>
    <w:rsid w:val="00BB1A2C"/>
    <w:rPr>
      <w:b/>
      <w:bCs/>
    </w:rPr>
  </w:style>
  <w:style w:type="character" w:customStyle="1" w:styleId="Hyperlink0">
    <w:name w:val="Hyperlink.0"/>
    <w:basedOn w:val="Hyperlink"/>
    <w:rsid w:val="0084125B"/>
    <w:rPr>
      <w:u w:val="single"/>
    </w:rPr>
  </w:style>
  <w:style w:type="table" w:customStyle="1" w:styleId="QTable">
    <w:name w:val="QTable"/>
    <w:uiPriority w:val="99"/>
    <w:qFormat/>
    <w:rsid w:val="003F339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F339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heme="minorHAnsi" w:eastAsiaTheme="minorEastAsia" w:hAnsiTheme="minorHAnsi" w:cstheme="minorBidi"/>
      <w:sz w:val="22"/>
      <w:szCs w:val="22"/>
      <w:bdr w:val="none" w:sz="0" w:space="0" w:color="auto"/>
      <w:lang w:val="en-US" w:eastAsia="en-US"/>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F339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heme="minorHAnsi" w:eastAsiaTheme="minorEastAsia" w:hAnsiTheme="minorHAnsi" w:cstheme="minorBidi"/>
      <w:sz w:val="22"/>
      <w:szCs w:val="22"/>
      <w:bdr w:val="none" w:sz="0" w:space="0" w:color="auto"/>
      <w:lang w:val="en-US" w:eastAsia="en-US"/>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F339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heme="minorHAnsi" w:eastAsiaTheme="minorEastAsia" w:hAnsiTheme="minorHAnsi" w:cstheme="minorBidi"/>
      <w:sz w:val="22"/>
      <w:szCs w:val="22"/>
      <w:bdr w:val="none" w:sz="0" w:space="0" w:color="auto"/>
      <w:lang w:val="en-US" w:eastAsia="en-US"/>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F339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F3392"/>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pPr>
    <w:rPr>
      <w:rFonts w:asciiTheme="minorHAnsi" w:eastAsiaTheme="minorEastAsia" w:hAnsiTheme="minorHAnsi" w:cstheme="minorBidi"/>
      <w:sz w:val="22"/>
      <w:szCs w:val="22"/>
      <w:bdr w:val="none" w:sz="0" w:space="0" w:color="auto"/>
      <w:lang w:val="en-US" w:eastAsia="en-US"/>
    </w:rPr>
    <w:tblPr>
      <w:tblCellMar>
        <w:top w:w="40" w:type="dxa"/>
        <w:left w:w="40" w:type="dxa"/>
        <w:bottom w:w="40" w:type="dxa"/>
        <w:right w:w="40" w:type="dxa"/>
      </w:tblCellMar>
    </w:tblPr>
  </w:style>
  <w:style w:type="table" w:customStyle="1" w:styleId="QStarSliderTable">
    <w:name w:val="QStarSliderTable"/>
    <w:uiPriority w:val="99"/>
    <w:qFormat/>
    <w:rsid w:val="003F3392"/>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pPr>
    <w:rPr>
      <w:rFonts w:asciiTheme="minorHAnsi" w:eastAsiaTheme="minorEastAsia" w:hAnsiTheme="minorHAnsi" w:cstheme="minorBidi"/>
      <w:sz w:val="22"/>
      <w:szCs w:val="22"/>
      <w:bdr w:val="none" w:sz="0" w:space="0" w:color="auto"/>
      <w:lang w:val="en-US" w:eastAsia="en-US"/>
    </w:rPr>
    <w:tblPr>
      <w:tblCellMar>
        <w:top w:w="0" w:type="dxa"/>
        <w:left w:w="20" w:type="dxa"/>
        <w:bottom w:w="0" w:type="dxa"/>
        <w:right w:w="20" w:type="dxa"/>
      </w:tblCellMar>
    </w:tblPr>
  </w:style>
  <w:style w:type="table" w:customStyle="1" w:styleId="QStandardSliderTable">
    <w:name w:val="QStandardSliderTable"/>
    <w:uiPriority w:val="99"/>
    <w:qFormat/>
    <w:rsid w:val="003F339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heme="minorHAnsi" w:eastAsiaTheme="minorEastAsia" w:hAnsiTheme="minorHAnsi" w:cstheme="minorBidi"/>
      <w:sz w:val="22"/>
      <w:szCs w:val="22"/>
      <w:bdr w:val="none" w:sz="0" w:space="0" w:color="auto"/>
      <w:lang w:val="en-US" w:eastAsia="en-US"/>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F339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heme="minorHAnsi" w:eastAsiaTheme="minorEastAsia" w:hAnsiTheme="minorHAnsi" w:cstheme="minorBidi"/>
      <w:sz w:val="22"/>
      <w:szCs w:val="22"/>
      <w:bdr w:val="none" w:sz="0" w:space="0" w:color="auto"/>
      <w:lang w:val="en-US" w:eastAsia="en-US"/>
    </w:rPr>
    <w:tblPr>
      <w:tblCellMar>
        <w:top w:w="0" w:type="dxa"/>
        <w:left w:w="0" w:type="dxa"/>
        <w:bottom w:w="0" w:type="dxa"/>
        <w:right w:w="0" w:type="dxa"/>
      </w:tblCellMar>
    </w:tblPr>
  </w:style>
  <w:style w:type="paragraph" w:customStyle="1" w:styleId="BarSlider">
    <w:name w:val="BarSlider"/>
    <w:basedOn w:val="Normal"/>
    <w:qFormat/>
    <w:rsid w:val="003F3392"/>
    <w:pPr>
      <w:pBdr>
        <w:top w:val="single" w:sz="160" w:space="0" w:color="499FD1"/>
      </w:pBdr>
      <w:spacing w:before="80"/>
    </w:pPr>
    <w:rPr>
      <w:rFonts w:asciiTheme="minorHAnsi" w:eastAsiaTheme="minorEastAsia" w:hAnsiTheme="minorHAnsi" w:cstheme="minorBidi"/>
      <w:sz w:val="22"/>
      <w:szCs w:val="22"/>
      <w:lang w:val="en-US" w:eastAsia="en-US"/>
    </w:rPr>
  </w:style>
  <w:style w:type="paragraph" w:customStyle="1" w:styleId="QSummary">
    <w:name w:val="QSummary"/>
    <w:basedOn w:val="Normal"/>
    <w:qFormat/>
    <w:rsid w:val="003F3392"/>
    <w:pPr>
      <w:spacing w:line="276" w:lineRule="auto"/>
    </w:pPr>
    <w:rPr>
      <w:rFonts w:asciiTheme="minorHAnsi" w:eastAsiaTheme="minorEastAsia" w:hAnsiTheme="minorHAnsi" w:cstheme="minorBidi"/>
      <w:b/>
      <w:sz w:val="22"/>
      <w:szCs w:val="22"/>
      <w:lang w:val="en-US" w:eastAsia="en-US"/>
    </w:rPr>
  </w:style>
  <w:style w:type="table" w:customStyle="1" w:styleId="QQuestionIconTable">
    <w:name w:val="QQuestionIconTable"/>
    <w:uiPriority w:val="99"/>
    <w:qFormat/>
    <w:rsid w:val="003F339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heme="minorHAnsi" w:eastAsiaTheme="minorEastAsia" w:hAnsiTheme="minorHAnsi" w:cstheme="minorBidi"/>
      <w:sz w:val="22"/>
      <w:szCs w:val="22"/>
      <w:bdr w:val="none" w:sz="0" w:space="0" w:color="auto"/>
      <w:lang w:val="en-US" w:eastAsia="en-US"/>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3F3392"/>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lang w:val="en-US" w:eastAsia="en-US"/>
    </w:rPr>
  </w:style>
  <w:style w:type="table" w:customStyle="1" w:styleId="QBar">
    <w:name w:val="QBar"/>
    <w:uiPriority w:val="99"/>
    <w:qFormat/>
    <w:rsid w:val="003F339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18"/>
      <w:bdr w:val="none" w:sz="0" w:space="0" w:color="auto"/>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3F339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color w:val="FFFFFF" w:themeColor="background1"/>
      <w:bdr w:val="none" w:sz="0" w:space="0" w:color="auto"/>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3F339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FFFFFF" w:themeColor="background1"/>
      <w:sz w:val="22"/>
      <w:szCs w:val="22"/>
      <w:bdr w:val="none" w:sz="0" w:space="0" w:color="auto"/>
      <w:lang w:val="en-US" w:eastAsia="en-US"/>
    </w:rPr>
  </w:style>
  <w:style w:type="paragraph" w:customStyle="1" w:styleId="WhiteCompositeLabel">
    <w:name w:val="WhiteCompositeLabel"/>
    <w:next w:val="Normal"/>
    <w:rsid w:val="003F3392"/>
    <w:pPr>
      <w:pBdr>
        <w:top w:val="none" w:sz="0" w:space="0" w:color="auto"/>
        <w:left w:val="none" w:sz="0" w:space="0" w:color="auto"/>
        <w:bottom w:val="none" w:sz="0" w:space="0" w:color="auto"/>
        <w:right w:val="none" w:sz="0" w:space="0" w:color="auto"/>
        <w:between w:val="none" w:sz="0" w:space="0" w:color="auto"/>
        <w:bar w:val="none" w:sz="0" w:color="auto"/>
      </w:pBdr>
      <w:spacing w:before="43" w:after="43"/>
      <w:jc w:val="center"/>
    </w:pPr>
    <w:rPr>
      <w:rFonts w:ascii="Calibri" w:eastAsia="Times New Roman" w:hAnsi="Calibri"/>
      <w:b/>
      <w:color w:val="FFFFFF"/>
      <w:sz w:val="22"/>
      <w:szCs w:val="22"/>
      <w:bdr w:val="none" w:sz="0" w:space="0" w:color="auto"/>
      <w:lang w:val="en-US" w:eastAsia="en-US"/>
    </w:rPr>
  </w:style>
  <w:style w:type="paragraph" w:customStyle="1" w:styleId="CompositeLabel">
    <w:name w:val="CompositeLabel"/>
    <w:next w:val="Normal"/>
    <w:rsid w:val="003F3392"/>
    <w:pPr>
      <w:pBdr>
        <w:top w:val="none" w:sz="0" w:space="0" w:color="auto"/>
        <w:left w:val="none" w:sz="0" w:space="0" w:color="auto"/>
        <w:bottom w:val="none" w:sz="0" w:space="0" w:color="auto"/>
        <w:right w:val="none" w:sz="0" w:space="0" w:color="auto"/>
        <w:between w:val="none" w:sz="0" w:space="0" w:color="auto"/>
        <w:bar w:val="none" w:sz="0" w:color="auto"/>
      </w:pBdr>
      <w:spacing w:before="43" w:after="43"/>
      <w:jc w:val="center"/>
    </w:pPr>
    <w:rPr>
      <w:rFonts w:ascii="Calibri" w:eastAsia="Times New Roman" w:hAnsi="Calibri"/>
      <w:b/>
      <w:sz w:val="22"/>
      <w:szCs w:val="22"/>
      <w:bdr w:val="none" w:sz="0" w:space="0" w:color="auto"/>
      <w:lang w:val="en-US" w:eastAsia="en-US"/>
    </w:rPr>
  </w:style>
  <w:style w:type="numbering" w:customStyle="1" w:styleId="Multipunch">
    <w:name w:val="Multi punch"/>
    <w:rsid w:val="003F3392"/>
    <w:pPr>
      <w:numPr>
        <w:numId w:val="3"/>
      </w:numPr>
    </w:pPr>
  </w:style>
  <w:style w:type="paragraph" w:styleId="ListParagraph">
    <w:name w:val="List Paragraph"/>
    <w:basedOn w:val="Normal"/>
    <w:uiPriority w:val="34"/>
    <w:qFormat/>
    <w:rsid w:val="003F3392"/>
    <w:pPr>
      <w:spacing w:line="276" w:lineRule="auto"/>
      <w:ind w:left="720"/>
    </w:pPr>
    <w:rPr>
      <w:rFonts w:asciiTheme="minorHAnsi" w:eastAsiaTheme="minorEastAsia" w:hAnsiTheme="minorHAnsi" w:cstheme="minorBidi"/>
      <w:sz w:val="22"/>
      <w:szCs w:val="22"/>
      <w:lang w:val="en-US" w:eastAsia="en-US"/>
    </w:rPr>
  </w:style>
  <w:style w:type="numbering" w:customStyle="1" w:styleId="Singlepunch">
    <w:name w:val="Single punch"/>
    <w:rsid w:val="003F3392"/>
    <w:pPr>
      <w:numPr>
        <w:numId w:val="5"/>
      </w:numPr>
    </w:pPr>
  </w:style>
  <w:style w:type="paragraph" w:customStyle="1" w:styleId="QDisplayLogic">
    <w:name w:val="QDisplayLogic"/>
    <w:basedOn w:val="Normal"/>
    <w:qFormat/>
    <w:rsid w:val="003F3392"/>
    <w:pPr>
      <w:shd w:val="clear" w:color="auto" w:fill="6898BB"/>
      <w:spacing w:before="120" w:after="120"/>
    </w:pPr>
    <w:rPr>
      <w:rFonts w:asciiTheme="minorHAnsi" w:eastAsiaTheme="minorEastAsia" w:hAnsiTheme="minorHAnsi" w:cstheme="minorBidi"/>
      <w:i/>
      <w:color w:val="FFFFFF"/>
      <w:sz w:val="20"/>
      <w:szCs w:val="22"/>
      <w:lang w:val="en-US" w:eastAsia="en-US"/>
    </w:rPr>
  </w:style>
  <w:style w:type="paragraph" w:customStyle="1" w:styleId="QSkipLogic">
    <w:name w:val="QSkipLogic"/>
    <w:basedOn w:val="Normal"/>
    <w:qFormat/>
    <w:rsid w:val="003F3392"/>
    <w:pPr>
      <w:shd w:val="clear" w:color="auto" w:fill="8D8D8D"/>
      <w:spacing w:before="120" w:after="120"/>
    </w:pPr>
    <w:rPr>
      <w:rFonts w:asciiTheme="minorHAnsi" w:eastAsiaTheme="minorEastAsia" w:hAnsiTheme="minorHAnsi" w:cstheme="minorBidi"/>
      <w:i/>
      <w:color w:val="FFFFFF"/>
      <w:sz w:val="20"/>
      <w:szCs w:val="22"/>
      <w:lang w:val="en-US" w:eastAsia="en-US"/>
    </w:rPr>
  </w:style>
  <w:style w:type="paragraph" w:customStyle="1" w:styleId="SingleLineText">
    <w:name w:val="SingleLineText"/>
    <w:next w:val="Normal"/>
    <w:rsid w:val="003F339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style>
  <w:style w:type="paragraph" w:customStyle="1" w:styleId="QDynamicChoices">
    <w:name w:val="QDynamicChoices"/>
    <w:basedOn w:val="Normal"/>
    <w:qFormat/>
    <w:rsid w:val="003F3392"/>
    <w:pPr>
      <w:shd w:val="clear" w:color="auto" w:fill="6FAC3D"/>
      <w:spacing w:before="120" w:after="120"/>
    </w:pPr>
    <w:rPr>
      <w:rFonts w:asciiTheme="minorHAnsi" w:eastAsiaTheme="minorEastAsia" w:hAnsiTheme="minorHAnsi" w:cstheme="minorBidi"/>
      <w:i/>
      <w:color w:val="FFFFFF"/>
      <w:sz w:val="20"/>
      <w:szCs w:val="22"/>
      <w:lang w:val="en-US" w:eastAsia="en-US"/>
    </w:rPr>
  </w:style>
  <w:style w:type="paragraph" w:customStyle="1" w:styleId="QReusableChoices">
    <w:name w:val="QReusableChoices"/>
    <w:basedOn w:val="Normal"/>
    <w:qFormat/>
    <w:rsid w:val="003F3392"/>
    <w:pPr>
      <w:shd w:val="clear" w:color="auto" w:fill="3EA18E"/>
      <w:spacing w:before="120" w:after="120"/>
    </w:pPr>
    <w:rPr>
      <w:rFonts w:asciiTheme="minorHAnsi" w:eastAsiaTheme="minorEastAsia" w:hAnsiTheme="minorHAnsi" w:cstheme="minorBidi"/>
      <w:i/>
      <w:color w:val="FFFFFF"/>
      <w:sz w:val="20"/>
      <w:szCs w:val="22"/>
      <w:lang w:val="en-US" w:eastAsia="en-US"/>
    </w:rPr>
  </w:style>
  <w:style w:type="paragraph" w:customStyle="1" w:styleId="H1">
    <w:name w:val="H1"/>
    <w:next w:val="Normal"/>
    <w:rsid w:val="003F3392"/>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asciiTheme="minorHAnsi" w:eastAsiaTheme="minorEastAsia" w:hAnsiTheme="minorHAnsi" w:cstheme="minorBidi"/>
      <w:b/>
      <w:color w:val="000000"/>
      <w:sz w:val="64"/>
      <w:szCs w:val="64"/>
      <w:bdr w:val="none" w:sz="0" w:space="0" w:color="auto"/>
      <w:lang w:val="en-US" w:eastAsia="en-US"/>
    </w:rPr>
  </w:style>
  <w:style w:type="paragraph" w:customStyle="1" w:styleId="H2">
    <w:name w:val="H2"/>
    <w:next w:val="Normal"/>
    <w:rsid w:val="003F3392"/>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asciiTheme="minorHAnsi" w:eastAsiaTheme="minorEastAsia" w:hAnsiTheme="minorHAnsi" w:cstheme="minorBidi"/>
      <w:b/>
      <w:color w:val="000000"/>
      <w:sz w:val="48"/>
      <w:szCs w:val="48"/>
      <w:bdr w:val="none" w:sz="0" w:space="0" w:color="auto"/>
      <w:lang w:val="en-US" w:eastAsia="en-US"/>
    </w:rPr>
  </w:style>
  <w:style w:type="paragraph" w:customStyle="1" w:styleId="H3">
    <w:name w:val="H3"/>
    <w:next w:val="Normal"/>
    <w:rsid w:val="003F3392"/>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heme="minorHAnsi" w:eastAsiaTheme="minorEastAsia" w:hAnsiTheme="minorHAnsi" w:cstheme="minorBidi"/>
      <w:b/>
      <w:color w:val="000000"/>
      <w:sz w:val="36"/>
      <w:szCs w:val="36"/>
      <w:bdr w:val="none" w:sz="0" w:space="0" w:color="auto"/>
      <w:lang w:val="en-US" w:eastAsia="en-US"/>
    </w:rPr>
  </w:style>
  <w:style w:type="paragraph" w:customStyle="1" w:styleId="BlockStartLabel">
    <w:name w:val="BlockStartLabel"/>
    <w:basedOn w:val="Normal"/>
    <w:qFormat/>
    <w:rsid w:val="003F3392"/>
    <w:pPr>
      <w:spacing w:before="120" w:after="120"/>
    </w:pPr>
    <w:rPr>
      <w:rFonts w:asciiTheme="minorHAnsi" w:eastAsiaTheme="minorEastAsia" w:hAnsiTheme="minorHAnsi" w:cstheme="minorBidi"/>
      <w:b/>
      <w:color w:val="CCCCCC"/>
      <w:sz w:val="22"/>
      <w:szCs w:val="22"/>
      <w:lang w:val="en-US" w:eastAsia="en-US"/>
    </w:rPr>
  </w:style>
  <w:style w:type="paragraph" w:customStyle="1" w:styleId="BlockEndLabel">
    <w:name w:val="BlockEndLabel"/>
    <w:basedOn w:val="Normal"/>
    <w:qFormat/>
    <w:rsid w:val="003F3392"/>
    <w:pPr>
      <w:spacing w:before="120"/>
    </w:pPr>
    <w:rPr>
      <w:rFonts w:asciiTheme="minorHAnsi" w:eastAsiaTheme="minorEastAsia" w:hAnsiTheme="minorHAnsi" w:cstheme="minorBidi"/>
      <w:b/>
      <w:color w:val="CCCCCC"/>
      <w:sz w:val="22"/>
      <w:szCs w:val="22"/>
      <w:lang w:val="en-US" w:eastAsia="en-US"/>
    </w:rPr>
  </w:style>
  <w:style w:type="paragraph" w:customStyle="1" w:styleId="BlockSeparator">
    <w:name w:val="BlockSeparator"/>
    <w:basedOn w:val="Normal"/>
    <w:qFormat/>
    <w:rsid w:val="003F3392"/>
    <w:pPr>
      <w:pBdr>
        <w:bottom w:val="single" w:sz="8" w:space="0" w:color="CCCCCC"/>
      </w:pBdr>
      <w:spacing w:line="120" w:lineRule="auto"/>
      <w:jc w:val="center"/>
    </w:pPr>
    <w:rPr>
      <w:rFonts w:asciiTheme="minorHAnsi" w:eastAsiaTheme="minorEastAsia" w:hAnsiTheme="minorHAnsi" w:cstheme="minorBidi"/>
      <w:b/>
      <w:color w:val="CCCCCC"/>
      <w:sz w:val="22"/>
      <w:szCs w:val="22"/>
      <w:lang w:val="en-US" w:eastAsia="en-US"/>
    </w:rPr>
  </w:style>
  <w:style w:type="paragraph" w:customStyle="1" w:styleId="QuestionSeparator">
    <w:name w:val="QuestionSeparator"/>
    <w:basedOn w:val="Normal"/>
    <w:qFormat/>
    <w:rsid w:val="003F3392"/>
    <w:pPr>
      <w:pBdr>
        <w:top w:val="dashed" w:sz="8" w:space="0" w:color="CCCCCC"/>
      </w:pBdr>
      <w:spacing w:before="120" w:after="120" w:line="120" w:lineRule="auto"/>
    </w:pPr>
    <w:rPr>
      <w:rFonts w:asciiTheme="minorHAnsi" w:eastAsiaTheme="minorEastAsia" w:hAnsiTheme="minorHAnsi" w:cstheme="minorBidi"/>
      <w:sz w:val="22"/>
      <w:szCs w:val="22"/>
      <w:lang w:val="en-US" w:eastAsia="en-US"/>
    </w:rPr>
  </w:style>
  <w:style w:type="paragraph" w:customStyle="1" w:styleId="Dropdown">
    <w:name w:val="Dropdown"/>
    <w:basedOn w:val="Normal"/>
    <w:qFormat/>
    <w:rsid w:val="003F3392"/>
    <w:pPr>
      <w:pBdr>
        <w:top w:val="single" w:sz="4" w:space="4" w:color="CCCCCC"/>
        <w:left w:val="single" w:sz="4" w:space="4" w:color="CCCCCC"/>
        <w:bottom w:val="single" w:sz="4" w:space="4" w:color="CCCCCC"/>
        <w:right w:val="single" w:sz="4" w:space="4" w:color="CCCCCC"/>
      </w:pBdr>
      <w:spacing w:before="120" w:after="120"/>
    </w:pPr>
    <w:rPr>
      <w:rFonts w:asciiTheme="minorHAnsi" w:eastAsiaTheme="minorEastAsia" w:hAnsiTheme="minorHAnsi" w:cstheme="minorBidi"/>
      <w:sz w:val="22"/>
      <w:szCs w:val="22"/>
      <w:lang w:val="en-US" w:eastAsia="en-US"/>
    </w:rPr>
  </w:style>
  <w:style w:type="paragraph" w:customStyle="1" w:styleId="TextEntryLine">
    <w:name w:val="TextEntryLine"/>
    <w:basedOn w:val="Normal"/>
    <w:qFormat/>
    <w:rsid w:val="003F3392"/>
    <w:pPr>
      <w:spacing w:before="240"/>
    </w:pPr>
    <w:rPr>
      <w:rFonts w:asciiTheme="minorHAnsi" w:eastAsiaTheme="minorEastAsia" w:hAnsiTheme="minorHAnsi" w:cstheme="minorBidi"/>
      <w:sz w:val="22"/>
      <w:szCs w:val="22"/>
      <w:lang w:val="en-US" w:eastAsia="en-US"/>
    </w:rPr>
  </w:style>
  <w:style w:type="character" w:styleId="PageNumber">
    <w:name w:val="page number"/>
    <w:basedOn w:val="DefaultParagraphFont"/>
    <w:uiPriority w:val="99"/>
    <w:semiHidden/>
    <w:unhideWhenUsed/>
    <w:rsid w:val="003F3392"/>
  </w:style>
  <w:style w:type="paragraph" w:customStyle="1" w:styleId="SFGreen">
    <w:name w:val="SFGreen"/>
    <w:basedOn w:val="Normal"/>
    <w:qFormat/>
    <w:rsid w:val="003F3392"/>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lang w:val="en-US" w:eastAsia="en-US"/>
    </w:rPr>
  </w:style>
  <w:style w:type="paragraph" w:customStyle="1" w:styleId="SFBlue">
    <w:name w:val="SFBlue"/>
    <w:basedOn w:val="Normal"/>
    <w:qFormat/>
    <w:rsid w:val="003F3392"/>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lang w:val="en-US" w:eastAsia="en-US"/>
    </w:rPr>
  </w:style>
  <w:style w:type="paragraph" w:customStyle="1" w:styleId="SFPurple">
    <w:name w:val="SFPurple"/>
    <w:basedOn w:val="Normal"/>
    <w:qFormat/>
    <w:rsid w:val="003F3392"/>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lang w:val="en-US" w:eastAsia="en-US"/>
    </w:rPr>
  </w:style>
  <w:style w:type="paragraph" w:customStyle="1" w:styleId="SFGray">
    <w:name w:val="SFGray"/>
    <w:basedOn w:val="Normal"/>
    <w:qFormat/>
    <w:rsid w:val="003F3392"/>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lang w:val="en-US" w:eastAsia="en-US"/>
    </w:rPr>
  </w:style>
  <w:style w:type="paragraph" w:customStyle="1" w:styleId="SFRed">
    <w:name w:val="SFRed"/>
    <w:basedOn w:val="Normal"/>
    <w:qFormat/>
    <w:rsid w:val="003F3392"/>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lang w:val="en-US" w:eastAsia="en-US"/>
    </w:rPr>
  </w:style>
  <w:style w:type="paragraph" w:customStyle="1" w:styleId="QPlaceholderAlert">
    <w:name w:val="QPlaceholderAlert"/>
    <w:basedOn w:val="Normal"/>
    <w:qFormat/>
    <w:rsid w:val="003F3392"/>
    <w:pPr>
      <w:spacing w:line="276" w:lineRule="auto"/>
    </w:pPr>
    <w:rPr>
      <w:rFonts w:asciiTheme="minorHAnsi" w:eastAsiaTheme="minorEastAsia" w:hAnsiTheme="minorHAnsi" w:cstheme="minorBidi"/>
      <w:color w:val="FF0000"/>
      <w:sz w:val="22"/>
      <w:szCs w:val="22"/>
      <w:lang w:val="en-US" w:eastAsia="en-US"/>
    </w:rPr>
  </w:style>
  <w:style w:type="character" w:customStyle="1" w:styleId="apple-converted-space">
    <w:name w:val="apple-converted-space"/>
    <w:basedOn w:val="DefaultParagraphFont"/>
    <w:rsid w:val="00391968"/>
  </w:style>
  <w:style w:type="paragraph" w:styleId="NoSpacing">
    <w:name w:val="No Spacing"/>
    <w:uiPriority w:val="1"/>
    <w:qFormat/>
    <w:rsid w:val="00AB016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sz w:val="24"/>
      <w:szCs w:val="24"/>
      <w:bdr w:val="none" w:sz="0" w:space="0" w:color="auto"/>
      <w:lang w:val="en-GB" w:eastAsia="en-US"/>
    </w:rPr>
  </w:style>
  <w:style w:type="paragraph" w:customStyle="1" w:styleId="Default">
    <w:name w:val="Default"/>
    <w:rsid w:val="00125466"/>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Arial Unicode MS" w:cs="Helvetica"/>
      <w:color w:val="000000"/>
      <w:sz w:val="22"/>
      <w:szCs w:val="22"/>
      <w:bdr w:val="none" w:sz="0" w:space="0" w:color="auto"/>
      <w:lang w:val="en-US" w:eastAsia="en-US"/>
    </w:rPr>
  </w:style>
  <w:style w:type="paragraph" w:styleId="Bibliography">
    <w:name w:val="Bibliography"/>
    <w:basedOn w:val="Normal"/>
    <w:next w:val="Normal"/>
    <w:uiPriority w:val="37"/>
    <w:unhideWhenUsed/>
    <w:rsid w:val="00382ACB"/>
    <w:pPr>
      <w:spacing w:line="480" w:lineRule="auto"/>
    </w:pPr>
    <w:rPr>
      <w:rFonts w:asciiTheme="majorBidi" w:eastAsiaTheme="minorHAnsi" w:hAnsiTheme="majorBidi" w:cstheme="minorBidi"/>
      <w:color w:val="000000" w:themeColor="text1"/>
      <w:lang w:val="en-US" w:eastAsia="en-US"/>
    </w:rPr>
  </w:style>
  <w:style w:type="character" w:styleId="UnresolvedMention">
    <w:name w:val="Unresolved Mention"/>
    <w:basedOn w:val="DefaultParagraphFont"/>
    <w:uiPriority w:val="99"/>
    <w:semiHidden/>
    <w:unhideWhenUsed/>
    <w:rsid w:val="00490778"/>
    <w:rPr>
      <w:color w:val="605E5C"/>
      <w:shd w:val="clear" w:color="auto" w:fill="E1DFDD"/>
    </w:rPr>
  </w:style>
  <w:style w:type="character" w:styleId="FollowedHyperlink">
    <w:name w:val="FollowedHyperlink"/>
    <w:basedOn w:val="DefaultParagraphFont"/>
    <w:uiPriority w:val="99"/>
    <w:semiHidden/>
    <w:unhideWhenUsed/>
    <w:rsid w:val="000E7E7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949">
      <w:bodyDiv w:val="1"/>
      <w:marLeft w:val="0"/>
      <w:marRight w:val="0"/>
      <w:marTop w:val="0"/>
      <w:marBottom w:val="0"/>
      <w:divBdr>
        <w:top w:val="none" w:sz="0" w:space="0" w:color="auto"/>
        <w:left w:val="none" w:sz="0" w:space="0" w:color="auto"/>
        <w:bottom w:val="none" w:sz="0" w:space="0" w:color="auto"/>
        <w:right w:val="none" w:sz="0" w:space="0" w:color="auto"/>
      </w:divBdr>
    </w:div>
    <w:div w:id="108208578">
      <w:bodyDiv w:val="1"/>
      <w:marLeft w:val="0"/>
      <w:marRight w:val="0"/>
      <w:marTop w:val="0"/>
      <w:marBottom w:val="0"/>
      <w:divBdr>
        <w:top w:val="none" w:sz="0" w:space="0" w:color="auto"/>
        <w:left w:val="none" w:sz="0" w:space="0" w:color="auto"/>
        <w:bottom w:val="none" w:sz="0" w:space="0" w:color="auto"/>
        <w:right w:val="none" w:sz="0" w:space="0" w:color="auto"/>
      </w:divBdr>
    </w:div>
    <w:div w:id="166790403">
      <w:bodyDiv w:val="1"/>
      <w:marLeft w:val="0"/>
      <w:marRight w:val="0"/>
      <w:marTop w:val="0"/>
      <w:marBottom w:val="0"/>
      <w:divBdr>
        <w:top w:val="none" w:sz="0" w:space="0" w:color="auto"/>
        <w:left w:val="none" w:sz="0" w:space="0" w:color="auto"/>
        <w:bottom w:val="none" w:sz="0" w:space="0" w:color="auto"/>
        <w:right w:val="none" w:sz="0" w:space="0" w:color="auto"/>
      </w:divBdr>
    </w:div>
    <w:div w:id="217136708">
      <w:bodyDiv w:val="1"/>
      <w:marLeft w:val="0"/>
      <w:marRight w:val="0"/>
      <w:marTop w:val="0"/>
      <w:marBottom w:val="0"/>
      <w:divBdr>
        <w:top w:val="none" w:sz="0" w:space="0" w:color="auto"/>
        <w:left w:val="none" w:sz="0" w:space="0" w:color="auto"/>
        <w:bottom w:val="none" w:sz="0" w:space="0" w:color="auto"/>
        <w:right w:val="none" w:sz="0" w:space="0" w:color="auto"/>
      </w:divBdr>
    </w:div>
    <w:div w:id="244191571">
      <w:bodyDiv w:val="1"/>
      <w:marLeft w:val="0"/>
      <w:marRight w:val="0"/>
      <w:marTop w:val="0"/>
      <w:marBottom w:val="0"/>
      <w:divBdr>
        <w:top w:val="none" w:sz="0" w:space="0" w:color="auto"/>
        <w:left w:val="none" w:sz="0" w:space="0" w:color="auto"/>
        <w:bottom w:val="none" w:sz="0" w:space="0" w:color="auto"/>
        <w:right w:val="none" w:sz="0" w:space="0" w:color="auto"/>
      </w:divBdr>
    </w:div>
    <w:div w:id="247422426">
      <w:bodyDiv w:val="1"/>
      <w:marLeft w:val="0"/>
      <w:marRight w:val="0"/>
      <w:marTop w:val="0"/>
      <w:marBottom w:val="0"/>
      <w:divBdr>
        <w:top w:val="none" w:sz="0" w:space="0" w:color="auto"/>
        <w:left w:val="none" w:sz="0" w:space="0" w:color="auto"/>
        <w:bottom w:val="none" w:sz="0" w:space="0" w:color="auto"/>
        <w:right w:val="none" w:sz="0" w:space="0" w:color="auto"/>
      </w:divBdr>
    </w:div>
    <w:div w:id="301618317">
      <w:bodyDiv w:val="1"/>
      <w:marLeft w:val="0"/>
      <w:marRight w:val="0"/>
      <w:marTop w:val="0"/>
      <w:marBottom w:val="0"/>
      <w:divBdr>
        <w:top w:val="none" w:sz="0" w:space="0" w:color="auto"/>
        <w:left w:val="none" w:sz="0" w:space="0" w:color="auto"/>
        <w:bottom w:val="none" w:sz="0" w:space="0" w:color="auto"/>
        <w:right w:val="none" w:sz="0" w:space="0" w:color="auto"/>
      </w:divBdr>
    </w:div>
    <w:div w:id="307561472">
      <w:bodyDiv w:val="1"/>
      <w:marLeft w:val="0"/>
      <w:marRight w:val="0"/>
      <w:marTop w:val="0"/>
      <w:marBottom w:val="0"/>
      <w:divBdr>
        <w:top w:val="none" w:sz="0" w:space="0" w:color="auto"/>
        <w:left w:val="none" w:sz="0" w:space="0" w:color="auto"/>
        <w:bottom w:val="none" w:sz="0" w:space="0" w:color="auto"/>
        <w:right w:val="none" w:sz="0" w:space="0" w:color="auto"/>
      </w:divBdr>
    </w:div>
    <w:div w:id="314535461">
      <w:bodyDiv w:val="1"/>
      <w:marLeft w:val="0"/>
      <w:marRight w:val="0"/>
      <w:marTop w:val="0"/>
      <w:marBottom w:val="0"/>
      <w:divBdr>
        <w:top w:val="none" w:sz="0" w:space="0" w:color="auto"/>
        <w:left w:val="none" w:sz="0" w:space="0" w:color="auto"/>
        <w:bottom w:val="none" w:sz="0" w:space="0" w:color="auto"/>
        <w:right w:val="none" w:sz="0" w:space="0" w:color="auto"/>
      </w:divBdr>
    </w:div>
    <w:div w:id="425661663">
      <w:bodyDiv w:val="1"/>
      <w:marLeft w:val="0"/>
      <w:marRight w:val="0"/>
      <w:marTop w:val="0"/>
      <w:marBottom w:val="0"/>
      <w:divBdr>
        <w:top w:val="none" w:sz="0" w:space="0" w:color="auto"/>
        <w:left w:val="none" w:sz="0" w:space="0" w:color="auto"/>
        <w:bottom w:val="none" w:sz="0" w:space="0" w:color="auto"/>
        <w:right w:val="none" w:sz="0" w:space="0" w:color="auto"/>
      </w:divBdr>
    </w:div>
    <w:div w:id="432673504">
      <w:bodyDiv w:val="1"/>
      <w:marLeft w:val="0"/>
      <w:marRight w:val="0"/>
      <w:marTop w:val="0"/>
      <w:marBottom w:val="0"/>
      <w:divBdr>
        <w:top w:val="none" w:sz="0" w:space="0" w:color="auto"/>
        <w:left w:val="none" w:sz="0" w:space="0" w:color="auto"/>
        <w:bottom w:val="none" w:sz="0" w:space="0" w:color="auto"/>
        <w:right w:val="none" w:sz="0" w:space="0" w:color="auto"/>
      </w:divBdr>
    </w:div>
    <w:div w:id="472064043">
      <w:bodyDiv w:val="1"/>
      <w:marLeft w:val="0"/>
      <w:marRight w:val="0"/>
      <w:marTop w:val="0"/>
      <w:marBottom w:val="0"/>
      <w:divBdr>
        <w:top w:val="none" w:sz="0" w:space="0" w:color="auto"/>
        <w:left w:val="none" w:sz="0" w:space="0" w:color="auto"/>
        <w:bottom w:val="none" w:sz="0" w:space="0" w:color="auto"/>
        <w:right w:val="none" w:sz="0" w:space="0" w:color="auto"/>
      </w:divBdr>
    </w:div>
    <w:div w:id="473838741">
      <w:bodyDiv w:val="1"/>
      <w:marLeft w:val="0"/>
      <w:marRight w:val="0"/>
      <w:marTop w:val="0"/>
      <w:marBottom w:val="0"/>
      <w:divBdr>
        <w:top w:val="none" w:sz="0" w:space="0" w:color="auto"/>
        <w:left w:val="none" w:sz="0" w:space="0" w:color="auto"/>
        <w:bottom w:val="none" w:sz="0" w:space="0" w:color="auto"/>
        <w:right w:val="none" w:sz="0" w:space="0" w:color="auto"/>
      </w:divBdr>
    </w:div>
    <w:div w:id="481695883">
      <w:bodyDiv w:val="1"/>
      <w:marLeft w:val="0"/>
      <w:marRight w:val="0"/>
      <w:marTop w:val="0"/>
      <w:marBottom w:val="0"/>
      <w:divBdr>
        <w:top w:val="none" w:sz="0" w:space="0" w:color="auto"/>
        <w:left w:val="none" w:sz="0" w:space="0" w:color="auto"/>
        <w:bottom w:val="none" w:sz="0" w:space="0" w:color="auto"/>
        <w:right w:val="none" w:sz="0" w:space="0" w:color="auto"/>
      </w:divBdr>
      <w:divsChild>
        <w:div w:id="393433701">
          <w:marLeft w:val="0"/>
          <w:marRight w:val="0"/>
          <w:marTop w:val="0"/>
          <w:marBottom w:val="0"/>
          <w:divBdr>
            <w:top w:val="none" w:sz="0" w:space="0" w:color="auto"/>
            <w:left w:val="none" w:sz="0" w:space="0" w:color="auto"/>
            <w:bottom w:val="none" w:sz="0" w:space="0" w:color="auto"/>
            <w:right w:val="none" w:sz="0" w:space="0" w:color="auto"/>
          </w:divBdr>
          <w:divsChild>
            <w:div w:id="1361472046">
              <w:marLeft w:val="0"/>
              <w:marRight w:val="0"/>
              <w:marTop w:val="0"/>
              <w:marBottom w:val="0"/>
              <w:divBdr>
                <w:top w:val="none" w:sz="0" w:space="0" w:color="auto"/>
                <w:left w:val="none" w:sz="0" w:space="0" w:color="auto"/>
                <w:bottom w:val="none" w:sz="0" w:space="0" w:color="auto"/>
                <w:right w:val="none" w:sz="0" w:space="0" w:color="auto"/>
              </w:divBdr>
              <w:divsChild>
                <w:div w:id="4383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76097">
      <w:bodyDiv w:val="1"/>
      <w:marLeft w:val="0"/>
      <w:marRight w:val="0"/>
      <w:marTop w:val="0"/>
      <w:marBottom w:val="0"/>
      <w:divBdr>
        <w:top w:val="none" w:sz="0" w:space="0" w:color="auto"/>
        <w:left w:val="none" w:sz="0" w:space="0" w:color="auto"/>
        <w:bottom w:val="none" w:sz="0" w:space="0" w:color="auto"/>
        <w:right w:val="none" w:sz="0" w:space="0" w:color="auto"/>
      </w:divBdr>
    </w:div>
    <w:div w:id="489059378">
      <w:bodyDiv w:val="1"/>
      <w:marLeft w:val="0"/>
      <w:marRight w:val="0"/>
      <w:marTop w:val="0"/>
      <w:marBottom w:val="0"/>
      <w:divBdr>
        <w:top w:val="none" w:sz="0" w:space="0" w:color="auto"/>
        <w:left w:val="none" w:sz="0" w:space="0" w:color="auto"/>
        <w:bottom w:val="none" w:sz="0" w:space="0" w:color="auto"/>
        <w:right w:val="none" w:sz="0" w:space="0" w:color="auto"/>
      </w:divBdr>
      <w:divsChild>
        <w:div w:id="2063021743">
          <w:marLeft w:val="0"/>
          <w:marRight w:val="0"/>
          <w:marTop w:val="0"/>
          <w:marBottom w:val="0"/>
          <w:divBdr>
            <w:top w:val="none" w:sz="0" w:space="0" w:color="auto"/>
            <w:left w:val="none" w:sz="0" w:space="0" w:color="auto"/>
            <w:bottom w:val="none" w:sz="0" w:space="0" w:color="auto"/>
            <w:right w:val="none" w:sz="0" w:space="0" w:color="auto"/>
          </w:divBdr>
        </w:div>
        <w:div w:id="12270226">
          <w:marLeft w:val="0"/>
          <w:marRight w:val="0"/>
          <w:marTop w:val="0"/>
          <w:marBottom w:val="0"/>
          <w:divBdr>
            <w:top w:val="none" w:sz="0" w:space="0" w:color="auto"/>
            <w:left w:val="none" w:sz="0" w:space="0" w:color="auto"/>
            <w:bottom w:val="none" w:sz="0" w:space="0" w:color="auto"/>
            <w:right w:val="none" w:sz="0" w:space="0" w:color="auto"/>
          </w:divBdr>
        </w:div>
      </w:divsChild>
    </w:div>
    <w:div w:id="501089918">
      <w:bodyDiv w:val="1"/>
      <w:marLeft w:val="0"/>
      <w:marRight w:val="0"/>
      <w:marTop w:val="0"/>
      <w:marBottom w:val="0"/>
      <w:divBdr>
        <w:top w:val="none" w:sz="0" w:space="0" w:color="auto"/>
        <w:left w:val="none" w:sz="0" w:space="0" w:color="auto"/>
        <w:bottom w:val="none" w:sz="0" w:space="0" w:color="auto"/>
        <w:right w:val="none" w:sz="0" w:space="0" w:color="auto"/>
      </w:divBdr>
      <w:divsChild>
        <w:div w:id="119688675">
          <w:marLeft w:val="0"/>
          <w:marRight w:val="0"/>
          <w:marTop w:val="0"/>
          <w:marBottom w:val="0"/>
          <w:divBdr>
            <w:top w:val="none" w:sz="0" w:space="0" w:color="auto"/>
            <w:left w:val="none" w:sz="0" w:space="0" w:color="auto"/>
            <w:bottom w:val="none" w:sz="0" w:space="0" w:color="auto"/>
            <w:right w:val="none" w:sz="0" w:space="0" w:color="auto"/>
          </w:divBdr>
          <w:divsChild>
            <w:div w:id="988092097">
              <w:marLeft w:val="0"/>
              <w:marRight w:val="0"/>
              <w:marTop w:val="0"/>
              <w:marBottom w:val="0"/>
              <w:divBdr>
                <w:top w:val="none" w:sz="0" w:space="0" w:color="auto"/>
                <w:left w:val="none" w:sz="0" w:space="0" w:color="auto"/>
                <w:bottom w:val="none" w:sz="0" w:space="0" w:color="auto"/>
                <w:right w:val="none" w:sz="0" w:space="0" w:color="auto"/>
              </w:divBdr>
              <w:divsChild>
                <w:div w:id="6023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3639">
      <w:bodyDiv w:val="1"/>
      <w:marLeft w:val="0"/>
      <w:marRight w:val="0"/>
      <w:marTop w:val="0"/>
      <w:marBottom w:val="0"/>
      <w:divBdr>
        <w:top w:val="none" w:sz="0" w:space="0" w:color="auto"/>
        <w:left w:val="none" w:sz="0" w:space="0" w:color="auto"/>
        <w:bottom w:val="none" w:sz="0" w:space="0" w:color="auto"/>
        <w:right w:val="none" w:sz="0" w:space="0" w:color="auto"/>
      </w:divBdr>
    </w:div>
    <w:div w:id="577400535">
      <w:bodyDiv w:val="1"/>
      <w:marLeft w:val="0"/>
      <w:marRight w:val="0"/>
      <w:marTop w:val="0"/>
      <w:marBottom w:val="0"/>
      <w:divBdr>
        <w:top w:val="none" w:sz="0" w:space="0" w:color="auto"/>
        <w:left w:val="none" w:sz="0" w:space="0" w:color="auto"/>
        <w:bottom w:val="none" w:sz="0" w:space="0" w:color="auto"/>
        <w:right w:val="none" w:sz="0" w:space="0" w:color="auto"/>
      </w:divBdr>
    </w:div>
    <w:div w:id="578516693">
      <w:bodyDiv w:val="1"/>
      <w:marLeft w:val="0"/>
      <w:marRight w:val="0"/>
      <w:marTop w:val="0"/>
      <w:marBottom w:val="0"/>
      <w:divBdr>
        <w:top w:val="none" w:sz="0" w:space="0" w:color="auto"/>
        <w:left w:val="none" w:sz="0" w:space="0" w:color="auto"/>
        <w:bottom w:val="none" w:sz="0" w:space="0" w:color="auto"/>
        <w:right w:val="none" w:sz="0" w:space="0" w:color="auto"/>
      </w:divBdr>
      <w:divsChild>
        <w:div w:id="820929927">
          <w:marLeft w:val="0"/>
          <w:marRight w:val="0"/>
          <w:marTop w:val="0"/>
          <w:marBottom w:val="0"/>
          <w:divBdr>
            <w:top w:val="none" w:sz="0" w:space="0" w:color="auto"/>
            <w:left w:val="none" w:sz="0" w:space="0" w:color="auto"/>
            <w:bottom w:val="none" w:sz="0" w:space="0" w:color="auto"/>
            <w:right w:val="none" w:sz="0" w:space="0" w:color="auto"/>
          </w:divBdr>
        </w:div>
        <w:div w:id="390467162">
          <w:marLeft w:val="0"/>
          <w:marRight w:val="0"/>
          <w:marTop w:val="0"/>
          <w:marBottom w:val="0"/>
          <w:divBdr>
            <w:top w:val="none" w:sz="0" w:space="0" w:color="auto"/>
            <w:left w:val="none" w:sz="0" w:space="0" w:color="auto"/>
            <w:bottom w:val="none" w:sz="0" w:space="0" w:color="auto"/>
            <w:right w:val="none" w:sz="0" w:space="0" w:color="auto"/>
          </w:divBdr>
        </w:div>
      </w:divsChild>
    </w:div>
    <w:div w:id="609240128">
      <w:bodyDiv w:val="1"/>
      <w:marLeft w:val="0"/>
      <w:marRight w:val="0"/>
      <w:marTop w:val="0"/>
      <w:marBottom w:val="0"/>
      <w:divBdr>
        <w:top w:val="none" w:sz="0" w:space="0" w:color="auto"/>
        <w:left w:val="none" w:sz="0" w:space="0" w:color="auto"/>
        <w:bottom w:val="none" w:sz="0" w:space="0" w:color="auto"/>
        <w:right w:val="none" w:sz="0" w:space="0" w:color="auto"/>
      </w:divBdr>
    </w:div>
    <w:div w:id="716051466">
      <w:bodyDiv w:val="1"/>
      <w:marLeft w:val="0"/>
      <w:marRight w:val="0"/>
      <w:marTop w:val="0"/>
      <w:marBottom w:val="0"/>
      <w:divBdr>
        <w:top w:val="none" w:sz="0" w:space="0" w:color="auto"/>
        <w:left w:val="none" w:sz="0" w:space="0" w:color="auto"/>
        <w:bottom w:val="none" w:sz="0" w:space="0" w:color="auto"/>
        <w:right w:val="none" w:sz="0" w:space="0" w:color="auto"/>
      </w:divBdr>
    </w:div>
    <w:div w:id="728187082">
      <w:bodyDiv w:val="1"/>
      <w:marLeft w:val="0"/>
      <w:marRight w:val="0"/>
      <w:marTop w:val="0"/>
      <w:marBottom w:val="0"/>
      <w:divBdr>
        <w:top w:val="none" w:sz="0" w:space="0" w:color="auto"/>
        <w:left w:val="none" w:sz="0" w:space="0" w:color="auto"/>
        <w:bottom w:val="none" w:sz="0" w:space="0" w:color="auto"/>
        <w:right w:val="none" w:sz="0" w:space="0" w:color="auto"/>
      </w:divBdr>
      <w:divsChild>
        <w:div w:id="1421564769">
          <w:marLeft w:val="0"/>
          <w:marRight w:val="0"/>
          <w:marTop w:val="0"/>
          <w:marBottom w:val="0"/>
          <w:divBdr>
            <w:top w:val="none" w:sz="0" w:space="0" w:color="auto"/>
            <w:left w:val="none" w:sz="0" w:space="0" w:color="auto"/>
            <w:bottom w:val="none" w:sz="0" w:space="0" w:color="auto"/>
            <w:right w:val="none" w:sz="0" w:space="0" w:color="auto"/>
          </w:divBdr>
          <w:divsChild>
            <w:div w:id="126440459">
              <w:marLeft w:val="0"/>
              <w:marRight w:val="0"/>
              <w:marTop w:val="0"/>
              <w:marBottom w:val="0"/>
              <w:divBdr>
                <w:top w:val="none" w:sz="0" w:space="0" w:color="auto"/>
                <w:left w:val="none" w:sz="0" w:space="0" w:color="auto"/>
                <w:bottom w:val="none" w:sz="0" w:space="0" w:color="auto"/>
                <w:right w:val="none" w:sz="0" w:space="0" w:color="auto"/>
              </w:divBdr>
              <w:divsChild>
                <w:div w:id="16253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3323">
      <w:bodyDiv w:val="1"/>
      <w:marLeft w:val="0"/>
      <w:marRight w:val="0"/>
      <w:marTop w:val="0"/>
      <w:marBottom w:val="0"/>
      <w:divBdr>
        <w:top w:val="none" w:sz="0" w:space="0" w:color="auto"/>
        <w:left w:val="none" w:sz="0" w:space="0" w:color="auto"/>
        <w:bottom w:val="none" w:sz="0" w:space="0" w:color="auto"/>
        <w:right w:val="none" w:sz="0" w:space="0" w:color="auto"/>
      </w:divBdr>
    </w:div>
    <w:div w:id="895896826">
      <w:bodyDiv w:val="1"/>
      <w:marLeft w:val="0"/>
      <w:marRight w:val="0"/>
      <w:marTop w:val="0"/>
      <w:marBottom w:val="0"/>
      <w:divBdr>
        <w:top w:val="none" w:sz="0" w:space="0" w:color="auto"/>
        <w:left w:val="none" w:sz="0" w:space="0" w:color="auto"/>
        <w:bottom w:val="none" w:sz="0" w:space="0" w:color="auto"/>
        <w:right w:val="none" w:sz="0" w:space="0" w:color="auto"/>
      </w:divBdr>
      <w:divsChild>
        <w:div w:id="108355479">
          <w:marLeft w:val="0"/>
          <w:marRight w:val="0"/>
          <w:marTop w:val="0"/>
          <w:marBottom w:val="0"/>
          <w:divBdr>
            <w:top w:val="none" w:sz="0" w:space="0" w:color="auto"/>
            <w:left w:val="none" w:sz="0" w:space="0" w:color="auto"/>
            <w:bottom w:val="none" w:sz="0" w:space="0" w:color="auto"/>
            <w:right w:val="none" w:sz="0" w:space="0" w:color="auto"/>
          </w:divBdr>
          <w:divsChild>
            <w:div w:id="626619080">
              <w:marLeft w:val="0"/>
              <w:marRight w:val="0"/>
              <w:marTop w:val="0"/>
              <w:marBottom w:val="0"/>
              <w:divBdr>
                <w:top w:val="none" w:sz="0" w:space="0" w:color="auto"/>
                <w:left w:val="none" w:sz="0" w:space="0" w:color="auto"/>
                <w:bottom w:val="none" w:sz="0" w:space="0" w:color="auto"/>
                <w:right w:val="none" w:sz="0" w:space="0" w:color="auto"/>
              </w:divBdr>
              <w:divsChild>
                <w:div w:id="7027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09024">
      <w:bodyDiv w:val="1"/>
      <w:marLeft w:val="0"/>
      <w:marRight w:val="0"/>
      <w:marTop w:val="0"/>
      <w:marBottom w:val="0"/>
      <w:divBdr>
        <w:top w:val="none" w:sz="0" w:space="0" w:color="auto"/>
        <w:left w:val="none" w:sz="0" w:space="0" w:color="auto"/>
        <w:bottom w:val="none" w:sz="0" w:space="0" w:color="auto"/>
        <w:right w:val="none" w:sz="0" w:space="0" w:color="auto"/>
      </w:divBdr>
    </w:div>
    <w:div w:id="1000816469">
      <w:bodyDiv w:val="1"/>
      <w:marLeft w:val="0"/>
      <w:marRight w:val="0"/>
      <w:marTop w:val="0"/>
      <w:marBottom w:val="0"/>
      <w:divBdr>
        <w:top w:val="none" w:sz="0" w:space="0" w:color="auto"/>
        <w:left w:val="none" w:sz="0" w:space="0" w:color="auto"/>
        <w:bottom w:val="none" w:sz="0" w:space="0" w:color="auto"/>
        <w:right w:val="none" w:sz="0" w:space="0" w:color="auto"/>
      </w:divBdr>
      <w:divsChild>
        <w:div w:id="1132790355">
          <w:marLeft w:val="0"/>
          <w:marRight w:val="0"/>
          <w:marTop w:val="0"/>
          <w:marBottom w:val="0"/>
          <w:divBdr>
            <w:top w:val="none" w:sz="0" w:space="0" w:color="auto"/>
            <w:left w:val="none" w:sz="0" w:space="0" w:color="auto"/>
            <w:bottom w:val="none" w:sz="0" w:space="0" w:color="auto"/>
            <w:right w:val="none" w:sz="0" w:space="0" w:color="auto"/>
          </w:divBdr>
          <w:divsChild>
            <w:div w:id="1738698798">
              <w:marLeft w:val="0"/>
              <w:marRight w:val="0"/>
              <w:marTop w:val="0"/>
              <w:marBottom w:val="0"/>
              <w:divBdr>
                <w:top w:val="none" w:sz="0" w:space="0" w:color="auto"/>
                <w:left w:val="none" w:sz="0" w:space="0" w:color="auto"/>
                <w:bottom w:val="none" w:sz="0" w:space="0" w:color="auto"/>
                <w:right w:val="none" w:sz="0" w:space="0" w:color="auto"/>
              </w:divBdr>
              <w:divsChild>
                <w:div w:id="8802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0938">
      <w:bodyDiv w:val="1"/>
      <w:marLeft w:val="0"/>
      <w:marRight w:val="0"/>
      <w:marTop w:val="0"/>
      <w:marBottom w:val="0"/>
      <w:divBdr>
        <w:top w:val="none" w:sz="0" w:space="0" w:color="auto"/>
        <w:left w:val="none" w:sz="0" w:space="0" w:color="auto"/>
        <w:bottom w:val="none" w:sz="0" w:space="0" w:color="auto"/>
        <w:right w:val="none" w:sz="0" w:space="0" w:color="auto"/>
      </w:divBdr>
      <w:divsChild>
        <w:div w:id="1863125431">
          <w:marLeft w:val="0"/>
          <w:marRight w:val="0"/>
          <w:marTop w:val="0"/>
          <w:marBottom w:val="0"/>
          <w:divBdr>
            <w:top w:val="none" w:sz="0" w:space="0" w:color="auto"/>
            <w:left w:val="none" w:sz="0" w:space="0" w:color="auto"/>
            <w:bottom w:val="none" w:sz="0" w:space="0" w:color="auto"/>
            <w:right w:val="none" w:sz="0" w:space="0" w:color="auto"/>
          </w:divBdr>
          <w:divsChild>
            <w:div w:id="1515342549">
              <w:marLeft w:val="0"/>
              <w:marRight w:val="0"/>
              <w:marTop w:val="0"/>
              <w:marBottom w:val="0"/>
              <w:divBdr>
                <w:top w:val="none" w:sz="0" w:space="0" w:color="auto"/>
                <w:left w:val="none" w:sz="0" w:space="0" w:color="auto"/>
                <w:bottom w:val="none" w:sz="0" w:space="0" w:color="auto"/>
                <w:right w:val="none" w:sz="0" w:space="0" w:color="auto"/>
              </w:divBdr>
              <w:divsChild>
                <w:div w:id="7632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0785">
      <w:bodyDiv w:val="1"/>
      <w:marLeft w:val="0"/>
      <w:marRight w:val="0"/>
      <w:marTop w:val="0"/>
      <w:marBottom w:val="0"/>
      <w:divBdr>
        <w:top w:val="none" w:sz="0" w:space="0" w:color="auto"/>
        <w:left w:val="none" w:sz="0" w:space="0" w:color="auto"/>
        <w:bottom w:val="none" w:sz="0" w:space="0" w:color="auto"/>
        <w:right w:val="none" w:sz="0" w:space="0" w:color="auto"/>
      </w:divBdr>
    </w:div>
    <w:div w:id="1034035980">
      <w:bodyDiv w:val="1"/>
      <w:marLeft w:val="0"/>
      <w:marRight w:val="0"/>
      <w:marTop w:val="0"/>
      <w:marBottom w:val="0"/>
      <w:divBdr>
        <w:top w:val="none" w:sz="0" w:space="0" w:color="auto"/>
        <w:left w:val="none" w:sz="0" w:space="0" w:color="auto"/>
        <w:bottom w:val="none" w:sz="0" w:space="0" w:color="auto"/>
        <w:right w:val="none" w:sz="0" w:space="0" w:color="auto"/>
      </w:divBdr>
    </w:div>
    <w:div w:id="1066608493">
      <w:bodyDiv w:val="1"/>
      <w:marLeft w:val="0"/>
      <w:marRight w:val="0"/>
      <w:marTop w:val="0"/>
      <w:marBottom w:val="0"/>
      <w:divBdr>
        <w:top w:val="none" w:sz="0" w:space="0" w:color="auto"/>
        <w:left w:val="none" w:sz="0" w:space="0" w:color="auto"/>
        <w:bottom w:val="none" w:sz="0" w:space="0" w:color="auto"/>
        <w:right w:val="none" w:sz="0" w:space="0" w:color="auto"/>
      </w:divBdr>
    </w:div>
    <w:div w:id="1082726809">
      <w:bodyDiv w:val="1"/>
      <w:marLeft w:val="0"/>
      <w:marRight w:val="0"/>
      <w:marTop w:val="0"/>
      <w:marBottom w:val="0"/>
      <w:divBdr>
        <w:top w:val="none" w:sz="0" w:space="0" w:color="auto"/>
        <w:left w:val="none" w:sz="0" w:space="0" w:color="auto"/>
        <w:bottom w:val="none" w:sz="0" w:space="0" w:color="auto"/>
        <w:right w:val="none" w:sz="0" w:space="0" w:color="auto"/>
      </w:divBdr>
    </w:div>
    <w:div w:id="1129010394">
      <w:bodyDiv w:val="1"/>
      <w:marLeft w:val="0"/>
      <w:marRight w:val="0"/>
      <w:marTop w:val="0"/>
      <w:marBottom w:val="0"/>
      <w:divBdr>
        <w:top w:val="none" w:sz="0" w:space="0" w:color="auto"/>
        <w:left w:val="none" w:sz="0" w:space="0" w:color="auto"/>
        <w:bottom w:val="none" w:sz="0" w:space="0" w:color="auto"/>
        <w:right w:val="none" w:sz="0" w:space="0" w:color="auto"/>
      </w:divBdr>
    </w:div>
    <w:div w:id="1133015480">
      <w:bodyDiv w:val="1"/>
      <w:marLeft w:val="0"/>
      <w:marRight w:val="0"/>
      <w:marTop w:val="0"/>
      <w:marBottom w:val="0"/>
      <w:divBdr>
        <w:top w:val="none" w:sz="0" w:space="0" w:color="auto"/>
        <w:left w:val="none" w:sz="0" w:space="0" w:color="auto"/>
        <w:bottom w:val="none" w:sz="0" w:space="0" w:color="auto"/>
        <w:right w:val="none" w:sz="0" w:space="0" w:color="auto"/>
      </w:divBdr>
    </w:div>
    <w:div w:id="1190530553">
      <w:bodyDiv w:val="1"/>
      <w:marLeft w:val="0"/>
      <w:marRight w:val="0"/>
      <w:marTop w:val="0"/>
      <w:marBottom w:val="0"/>
      <w:divBdr>
        <w:top w:val="none" w:sz="0" w:space="0" w:color="auto"/>
        <w:left w:val="none" w:sz="0" w:space="0" w:color="auto"/>
        <w:bottom w:val="none" w:sz="0" w:space="0" w:color="auto"/>
        <w:right w:val="none" w:sz="0" w:space="0" w:color="auto"/>
      </w:divBdr>
    </w:div>
    <w:div w:id="1208297441">
      <w:bodyDiv w:val="1"/>
      <w:marLeft w:val="0"/>
      <w:marRight w:val="0"/>
      <w:marTop w:val="0"/>
      <w:marBottom w:val="0"/>
      <w:divBdr>
        <w:top w:val="none" w:sz="0" w:space="0" w:color="auto"/>
        <w:left w:val="none" w:sz="0" w:space="0" w:color="auto"/>
        <w:bottom w:val="none" w:sz="0" w:space="0" w:color="auto"/>
        <w:right w:val="none" w:sz="0" w:space="0" w:color="auto"/>
      </w:divBdr>
    </w:div>
    <w:div w:id="1230073536">
      <w:bodyDiv w:val="1"/>
      <w:marLeft w:val="0"/>
      <w:marRight w:val="0"/>
      <w:marTop w:val="0"/>
      <w:marBottom w:val="0"/>
      <w:divBdr>
        <w:top w:val="none" w:sz="0" w:space="0" w:color="auto"/>
        <w:left w:val="none" w:sz="0" w:space="0" w:color="auto"/>
        <w:bottom w:val="none" w:sz="0" w:space="0" w:color="auto"/>
        <w:right w:val="none" w:sz="0" w:space="0" w:color="auto"/>
      </w:divBdr>
    </w:div>
    <w:div w:id="1252007186">
      <w:bodyDiv w:val="1"/>
      <w:marLeft w:val="0"/>
      <w:marRight w:val="0"/>
      <w:marTop w:val="0"/>
      <w:marBottom w:val="0"/>
      <w:divBdr>
        <w:top w:val="none" w:sz="0" w:space="0" w:color="auto"/>
        <w:left w:val="none" w:sz="0" w:space="0" w:color="auto"/>
        <w:bottom w:val="none" w:sz="0" w:space="0" w:color="auto"/>
        <w:right w:val="none" w:sz="0" w:space="0" w:color="auto"/>
      </w:divBdr>
    </w:div>
    <w:div w:id="1272471611">
      <w:bodyDiv w:val="1"/>
      <w:marLeft w:val="0"/>
      <w:marRight w:val="0"/>
      <w:marTop w:val="0"/>
      <w:marBottom w:val="0"/>
      <w:divBdr>
        <w:top w:val="none" w:sz="0" w:space="0" w:color="auto"/>
        <w:left w:val="none" w:sz="0" w:space="0" w:color="auto"/>
        <w:bottom w:val="none" w:sz="0" w:space="0" w:color="auto"/>
        <w:right w:val="none" w:sz="0" w:space="0" w:color="auto"/>
      </w:divBdr>
    </w:div>
    <w:div w:id="1288782025">
      <w:bodyDiv w:val="1"/>
      <w:marLeft w:val="0"/>
      <w:marRight w:val="0"/>
      <w:marTop w:val="0"/>
      <w:marBottom w:val="0"/>
      <w:divBdr>
        <w:top w:val="none" w:sz="0" w:space="0" w:color="auto"/>
        <w:left w:val="none" w:sz="0" w:space="0" w:color="auto"/>
        <w:bottom w:val="none" w:sz="0" w:space="0" w:color="auto"/>
        <w:right w:val="none" w:sz="0" w:space="0" w:color="auto"/>
      </w:divBdr>
    </w:div>
    <w:div w:id="1305282853">
      <w:bodyDiv w:val="1"/>
      <w:marLeft w:val="0"/>
      <w:marRight w:val="0"/>
      <w:marTop w:val="0"/>
      <w:marBottom w:val="0"/>
      <w:divBdr>
        <w:top w:val="none" w:sz="0" w:space="0" w:color="auto"/>
        <w:left w:val="none" w:sz="0" w:space="0" w:color="auto"/>
        <w:bottom w:val="none" w:sz="0" w:space="0" w:color="auto"/>
        <w:right w:val="none" w:sz="0" w:space="0" w:color="auto"/>
      </w:divBdr>
      <w:divsChild>
        <w:div w:id="552079086">
          <w:marLeft w:val="0"/>
          <w:marRight w:val="0"/>
          <w:marTop w:val="0"/>
          <w:marBottom w:val="0"/>
          <w:divBdr>
            <w:top w:val="none" w:sz="0" w:space="0" w:color="auto"/>
            <w:left w:val="none" w:sz="0" w:space="0" w:color="auto"/>
            <w:bottom w:val="none" w:sz="0" w:space="0" w:color="auto"/>
            <w:right w:val="none" w:sz="0" w:space="0" w:color="auto"/>
          </w:divBdr>
          <w:divsChild>
            <w:div w:id="535312876">
              <w:marLeft w:val="0"/>
              <w:marRight w:val="0"/>
              <w:marTop w:val="0"/>
              <w:marBottom w:val="0"/>
              <w:divBdr>
                <w:top w:val="none" w:sz="0" w:space="0" w:color="auto"/>
                <w:left w:val="none" w:sz="0" w:space="0" w:color="auto"/>
                <w:bottom w:val="none" w:sz="0" w:space="0" w:color="auto"/>
                <w:right w:val="none" w:sz="0" w:space="0" w:color="auto"/>
              </w:divBdr>
              <w:divsChild>
                <w:div w:id="2259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68488">
      <w:bodyDiv w:val="1"/>
      <w:marLeft w:val="0"/>
      <w:marRight w:val="0"/>
      <w:marTop w:val="0"/>
      <w:marBottom w:val="0"/>
      <w:divBdr>
        <w:top w:val="none" w:sz="0" w:space="0" w:color="auto"/>
        <w:left w:val="none" w:sz="0" w:space="0" w:color="auto"/>
        <w:bottom w:val="none" w:sz="0" w:space="0" w:color="auto"/>
        <w:right w:val="none" w:sz="0" w:space="0" w:color="auto"/>
      </w:divBdr>
    </w:div>
    <w:div w:id="1314136973">
      <w:bodyDiv w:val="1"/>
      <w:marLeft w:val="0"/>
      <w:marRight w:val="0"/>
      <w:marTop w:val="0"/>
      <w:marBottom w:val="0"/>
      <w:divBdr>
        <w:top w:val="none" w:sz="0" w:space="0" w:color="auto"/>
        <w:left w:val="none" w:sz="0" w:space="0" w:color="auto"/>
        <w:bottom w:val="none" w:sz="0" w:space="0" w:color="auto"/>
        <w:right w:val="none" w:sz="0" w:space="0" w:color="auto"/>
      </w:divBdr>
      <w:divsChild>
        <w:div w:id="1913195870">
          <w:marLeft w:val="0"/>
          <w:marRight w:val="0"/>
          <w:marTop w:val="0"/>
          <w:marBottom w:val="0"/>
          <w:divBdr>
            <w:top w:val="none" w:sz="0" w:space="0" w:color="auto"/>
            <w:left w:val="none" w:sz="0" w:space="0" w:color="auto"/>
            <w:bottom w:val="none" w:sz="0" w:space="0" w:color="auto"/>
            <w:right w:val="none" w:sz="0" w:space="0" w:color="auto"/>
          </w:divBdr>
          <w:divsChild>
            <w:div w:id="1018509405">
              <w:marLeft w:val="0"/>
              <w:marRight w:val="0"/>
              <w:marTop w:val="0"/>
              <w:marBottom w:val="0"/>
              <w:divBdr>
                <w:top w:val="none" w:sz="0" w:space="0" w:color="auto"/>
                <w:left w:val="none" w:sz="0" w:space="0" w:color="auto"/>
                <w:bottom w:val="none" w:sz="0" w:space="0" w:color="auto"/>
                <w:right w:val="none" w:sz="0" w:space="0" w:color="auto"/>
              </w:divBdr>
              <w:divsChild>
                <w:div w:id="6399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94071">
      <w:bodyDiv w:val="1"/>
      <w:marLeft w:val="0"/>
      <w:marRight w:val="0"/>
      <w:marTop w:val="0"/>
      <w:marBottom w:val="0"/>
      <w:divBdr>
        <w:top w:val="none" w:sz="0" w:space="0" w:color="auto"/>
        <w:left w:val="none" w:sz="0" w:space="0" w:color="auto"/>
        <w:bottom w:val="none" w:sz="0" w:space="0" w:color="auto"/>
        <w:right w:val="none" w:sz="0" w:space="0" w:color="auto"/>
      </w:divBdr>
    </w:div>
    <w:div w:id="1407872618">
      <w:bodyDiv w:val="1"/>
      <w:marLeft w:val="0"/>
      <w:marRight w:val="0"/>
      <w:marTop w:val="0"/>
      <w:marBottom w:val="0"/>
      <w:divBdr>
        <w:top w:val="none" w:sz="0" w:space="0" w:color="auto"/>
        <w:left w:val="none" w:sz="0" w:space="0" w:color="auto"/>
        <w:bottom w:val="none" w:sz="0" w:space="0" w:color="auto"/>
        <w:right w:val="none" w:sz="0" w:space="0" w:color="auto"/>
      </w:divBdr>
    </w:div>
    <w:div w:id="1420908901">
      <w:bodyDiv w:val="1"/>
      <w:marLeft w:val="0"/>
      <w:marRight w:val="0"/>
      <w:marTop w:val="0"/>
      <w:marBottom w:val="0"/>
      <w:divBdr>
        <w:top w:val="none" w:sz="0" w:space="0" w:color="auto"/>
        <w:left w:val="none" w:sz="0" w:space="0" w:color="auto"/>
        <w:bottom w:val="none" w:sz="0" w:space="0" w:color="auto"/>
        <w:right w:val="none" w:sz="0" w:space="0" w:color="auto"/>
      </w:divBdr>
    </w:div>
    <w:div w:id="1526552617">
      <w:bodyDiv w:val="1"/>
      <w:marLeft w:val="0"/>
      <w:marRight w:val="0"/>
      <w:marTop w:val="0"/>
      <w:marBottom w:val="0"/>
      <w:divBdr>
        <w:top w:val="none" w:sz="0" w:space="0" w:color="auto"/>
        <w:left w:val="none" w:sz="0" w:space="0" w:color="auto"/>
        <w:bottom w:val="none" w:sz="0" w:space="0" w:color="auto"/>
        <w:right w:val="none" w:sz="0" w:space="0" w:color="auto"/>
      </w:divBdr>
    </w:div>
    <w:div w:id="1616138365">
      <w:bodyDiv w:val="1"/>
      <w:marLeft w:val="0"/>
      <w:marRight w:val="0"/>
      <w:marTop w:val="0"/>
      <w:marBottom w:val="0"/>
      <w:divBdr>
        <w:top w:val="none" w:sz="0" w:space="0" w:color="auto"/>
        <w:left w:val="none" w:sz="0" w:space="0" w:color="auto"/>
        <w:bottom w:val="none" w:sz="0" w:space="0" w:color="auto"/>
        <w:right w:val="none" w:sz="0" w:space="0" w:color="auto"/>
      </w:divBdr>
    </w:div>
    <w:div w:id="1636519431">
      <w:bodyDiv w:val="1"/>
      <w:marLeft w:val="0"/>
      <w:marRight w:val="0"/>
      <w:marTop w:val="0"/>
      <w:marBottom w:val="0"/>
      <w:divBdr>
        <w:top w:val="none" w:sz="0" w:space="0" w:color="auto"/>
        <w:left w:val="none" w:sz="0" w:space="0" w:color="auto"/>
        <w:bottom w:val="none" w:sz="0" w:space="0" w:color="auto"/>
        <w:right w:val="none" w:sz="0" w:space="0" w:color="auto"/>
      </w:divBdr>
    </w:div>
    <w:div w:id="1683435990">
      <w:bodyDiv w:val="1"/>
      <w:marLeft w:val="0"/>
      <w:marRight w:val="0"/>
      <w:marTop w:val="0"/>
      <w:marBottom w:val="0"/>
      <w:divBdr>
        <w:top w:val="none" w:sz="0" w:space="0" w:color="auto"/>
        <w:left w:val="none" w:sz="0" w:space="0" w:color="auto"/>
        <w:bottom w:val="none" w:sz="0" w:space="0" w:color="auto"/>
        <w:right w:val="none" w:sz="0" w:space="0" w:color="auto"/>
      </w:divBdr>
    </w:div>
    <w:div w:id="1701592815">
      <w:bodyDiv w:val="1"/>
      <w:marLeft w:val="0"/>
      <w:marRight w:val="0"/>
      <w:marTop w:val="0"/>
      <w:marBottom w:val="0"/>
      <w:divBdr>
        <w:top w:val="none" w:sz="0" w:space="0" w:color="auto"/>
        <w:left w:val="none" w:sz="0" w:space="0" w:color="auto"/>
        <w:bottom w:val="none" w:sz="0" w:space="0" w:color="auto"/>
        <w:right w:val="none" w:sz="0" w:space="0" w:color="auto"/>
      </w:divBdr>
    </w:div>
    <w:div w:id="1710567964">
      <w:bodyDiv w:val="1"/>
      <w:marLeft w:val="0"/>
      <w:marRight w:val="0"/>
      <w:marTop w:val="0"/>
      <w:marBottom w:val="0"/>
      <w:divBdr>
        <w:top w:val="none" w:sz="0" w:space="0" w:color="auto"/>
        <w:left w:val="none" w:sz="0" w:space="0" w:color="auto"/>
        <w:bottom w:val="none" w:sz="0" w:space="0" w:color="auto"/>
        <w:right w:val="none" w:sz="0" w:space="0" w:color="auto"/>
      </w:divBdr>
    </w:div>
    <w:div w:id="1711874827">
      <w:bodyDiv w:val="1"/>
      <w:marLeft w:val="0"/>
      <w:marRight w:val="0"/>
      <w:marTop w:val="0"/>
      <w:marBottom w:val="0"/>
      <w:divBdr>
        <w:top w:val="none" w:sz="0" w:space="0" w:color="auto"/>
        <w:left w:val="none" w:sz="0" w:space="0" w:color="auto"/>
        <w:bottom w:val="none" w:sz="0" w:space="0" w:color="auto"/>
        <w:right w:val="none" w:sz="0" w:space="0" w:color="auto"/>
      </w:divBdr>
    </w:div>
    <w:div w:id="1749226414">
      <w:bodyDiv w:val="1"/>
      <w:marLeft w:val="0"/>
      <w:marRight w:val="0"/>
      <w:marTop w:val="0"/>
      <w:marBottom w:val="0"/>
      <w:divBdr>
        <w:top w:val="none" w:sz="0" w:space="0" w:color="auto"/>
        <w:left w:val="none" w:sz="0" w:space="0" w:color="auto"/>
        <w:bottom w:val="none" w:sz="0" w:space="0" w:color="auto"/>
        <w:right w:val="none" w:sz="0" w:space="0" w:color="auto"/>
      </w:divBdr>
    </w:div>
    <w:div w:id="1856841593">
      <w:bodyDiv w:val="1"/>
      <w:marLeft w:val="0"/>
      <w:marRight w:val="0"/>
      <w:marTop w:val="0"/>
      <w:marBottom w:val="0"/>
      <w:divBdr>
        <w:top w:val="none" w:sz="0" w:space="0" w:color="auto"/>
        <w:left w:val="none" w:sz="0" w:space="0" w:color="auto"/>
        <w:bottom w:val="none" w:sz="0" w:space="0" w:color="auto"/>
        <w:right w:val="none" w:sz="0" w:space="0" w:color="auto"/>
      </w:divBdr>
    </w:div>
    <w:div w:id="1860117340">
      <w:bodyDiv w:val="1"/>
      <w:marLeft w:val="0"/>
      <w:marRight w:val="0"/>
      <w:marTop w:val="0"/>
      <w:marBottom w:val="0"/>
      <w:divBdr>
        <w:top w:val="none" w:sz="0" w:space="0" w:color="auto"/>
        <w:left w:val="none" w:sz="0" w:space="0" w:color="auto"/>
        <w:bottom w:val="none" w:sz="0" w:space="0" w:color="auto"/>
        <w:right w:val="none" w:sz="0" w:space="0" w:color="auto"/>
      </w:divBdr>
    </w:div>
    <w:div w:id="1869487019">
      <w:bodyDiv w:val="1"/>
      <w:marLeft w:val="0"/>
      <w:marRight w:val="0"/>
      <w:marTop w:val="0"/>
      <w:marBottom w:val="0"/>
      <w:divBdr>
        <w:top w:val="none" w:sz="0" w:space="0" w:color="auto"/>
        <w:left w:val="none" w:sz="0" w:space="0" w:color="auto"/>
        <w:bottom w:val="none" w:sz="0" w:space="0" w:color="auto"/>
        <w:right w:val="none" w:sz="0" w:space="0" w:color="auto"/>
      </w:divBdr>
    </w:div>
    <w:div w:id="1874808479">
      <w:bodyDiv w:val="1"/>
      <w:marLeft w:val="0"/>
      <w:marRight w:val="0"/>
      <w:marTop w:val="0"/>
      <w:marBottom w:val="0"/>
      <w:divBdr>
        <w:top w:val="none" w:sz="0" w:space="0" w:color="auto"/>
        <w:left w:val="none" w:sz="0" w:space="0" w:color="auto"/>
        <w:bottom w:val="none" w:sz="0" w:space="0" w:color="auto"/>
        <w:right w:val="none" w:sz="0" w:space="0" w:color="auto"/>
      </w:divBdr>
    </w:div>
    <w:div w:id="1910069196">
      <w:bodyDiv w:val="1"/>
      <w:marLeft w:val="0"/>
      <w:marRight w:val="0"/>
      <w:marTop w:val="0"/>
      <w:marBottom w:val="0"/>
      <w:divBdr>
        <w:top w:val="none" w:sz="0" w:space="0" w:color="auto"/>
        <w:left w:val="none" w:sz="0" w:space="0" w:color="auto"/>
        <w:bottom w:val="none" w:sz="0" w:space="0" w:color="auto"/>
        <w:right w:val="none" w:sz="0" w:space="0" w:color="auto"/>
      </w:divBdr>
    </w:div>
    <w:div w:id="1910462489">
      <w:bodyDiv w:val="1"/>
      <w:marLeft w:val="0"/>
      <w:marRight w:val="0"/>
      <w:marTop w:val="0"/>
      <w:marBottom w:val="0"/>
      <w:divBdr>
        <w:top w:val="none" w:sz="0" w:space="0" w:color="auto"/>
        <w:left w:val="none" w:sz="0" w:space="0" w:color="auto"/>
        <w:bottom w:val="none" w:sz="0" w:space="0" w:color="auto"/>
        <w:right w:val="none" w:sz="0" w:space="0" w:color="auto"/>
      </w:divBdr>
      <w:divsChild>
        <w:div w:id="1495562535">
          <w:marLeft w:val="0"/>
          <w:marRight w:val="0"/>
          <w:marTop w:val="0"/>
          <w:marBottom w:val="0"/>
          <w:divBdr>
            <w:top w:val="none" w:sz="0" w:space="0" w:color="auto"/>
            <w:left w:val="none" w:sz="0" w:space="0" w:color="auto"/>
            <w:bottom w:val="none" w:sz="0" w:space="0" w:color="auto"/>
            <w:right w:val="none" w:sz="0" w:space="0" w:color="auto"/>
          </w:divBdr>
          <w:divsChild>
            <w:div w:id="781415578">
              <w:marLeft w:val="0"/>
              <w:marRight w:val="0"/>
              <w:marTop w:val="0"/>
              <w:marBottom w:val="0"/>
              <w:divBdr>
                <w:top w:val="none" w:sz="0" w:space="0" w:color="auto"/>
                <w:left w:val="none" w:sz="0" w:space="0" w:color="auto"/>
                <w:bottom w:val="none" w:sz="0" w:space="0" w:color="auto"/>
                <w:right w:val="none" w:sz="0" w:space="0" w:color="auto"/>
              </w:divBdr>
              <w:divsChild>
                <w:div w:id="8735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5940">
      <w:bodyDiv w:val="1"/>
      <w:marLeft w:val="0"/>
      <w:marRight w:val="0"/>
      <w:marTop w:val="0"/>
      <w:marBottom w:val="0"/>
      <w:divBdr>
        <w:top w:val="none" w:sz="0" w:space="0" w:color="auto"/>
        <w:left w:val="none" w:sz="0" w:space="0" w:color="auto"/>
        <w:bottom w:val="none" w:sz="0" w:space="0" w:color="auto"/>
        <w:right w:val="none" w:sz="0" w:space="0" w:color="auto"/>
      </w:divBdr>
      <w:divsChild>
        <w:div w:id="1666201096">
          <w:marLeft w:val="0"/>
          <w:marRight w:val="0"/>
          <w:marTop w:val="0"/>
          <w:marBottom w:val="0"/>
          <w:divBdr>
            <w:top w:val="none" w:sz="0" w:space="0" w:color="auto"/>
            <w:left w:val="none" w:sz="0" w:space="0" w:color="auto"/>
            <w:bottom w:val="none" w:sz="0" w:space="0" w:color="auto"/>
            <w:right w:val="none" w:sz="0" w:space="0" w:color="auto"/>
          </w:divBdr>
          <w:divsChild>
            <w:div w:id="1284384777">
              <w:marLeft w:val="0"/>
              <w:marRight w:val="0"/>
              <w:marTop w:val="0"/>
              <w:marBottom w:val="0"/>
              <w:divBdr>
                <w:top w:val="none" w:sz="0" w:space="0" w:color="auto"/>
                <w:left w:val="none" w:sz="0" w:space="0" w:color="auto"/>
                <w:bottom w:val="none" w:sz="0" w:space="0" w:color="auto"/>
                <w:right w:val="none" w:sz="0" w:space="0" w:color="auto"/>
              </w:divBdr>
              <w:divsChild>
                <w:div w:id="13729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53058">
      <w:bodyDiv w:val="1"/>
      <w:marLeft w:val="0"/>
      <w:marRight w:val="0"/>
      <w:marTop w:val="0"/>
      <w:marBottom w:val="0"/>
      <w:divBdr>
        <w:top w:val="none" w:sz="0" w:space="0" w:color="auto"/>
        <w:left w:val="none" w:sz="0" w:space="0" w:color="auto"/>
        <w:bottom w:val="none" w:sz="0" w:space="0" w:color="auto"/>
        <w:right w:val="none" w:sz="0" w:space="0" w:color="auto"/>
      </w:divBdr>
    </w:div>
    <w:div w:id="1987204714">
      <w:bodyDiv w:val="1"/>
      <w:marLeft w:val="0"/>
      <w:marRight w:val="0"/>
      <w:marTop w:val="0"/>
      <w:marBottom w:val="0"/>
      <w:divBdr>
        <w:top w:val="none" w:sz="0" w:space="0" w:color="auto"/>
        <w:left w:val="none" w:sz="0" w:space="0" w:color="auto"/>
        <w:bottom w:val="none" w:sz="0" w:space="0" w:color="auto"/>
        <w:right w:val="none" w:sz="0" w:space="0" w:color="auto"/>
      </w:divBdr>
    </w:div>
    <w:div w:id="1988240770">
      <w:bodyDiv w:val="1"/>
      <w:marLeft w:val="0"/>
      <w:marRight w:val="0"/>
      <w:marTop w:val="0"/>
      <w:marBottom w:val="0"/>
      <w:divBdr>
        <w:top w:val="none" w:sz="0" w:space="0" w:color="auto"/>
        <w:left w:val="none" w:sz="0" w:space="0" w:color="auto"/>
        <w:bottom w:val="none" w:sz="0" w:space="0" w:color="auto"/>
        <w:right w:val="none" w:sz="0" w:space="0" w:color="auto"/>
      </w:divBdr>
    </w:div>
    <w:div w:id="1997563815">
      <w:bodyDiv w:val="1"/>
      <w:marLeft w:val="0"/>
      <w:marRight w:val="0"/>
      <w:marTop w:val="0"/>
      <w:marBottom w:val="0"/>
      <w:divBdr>
        <w:top w:val="none" w:sz="0" w:space="0" w:color="auto"/>
        <w:left w:val="none" w:sz="0" w:space="0" w:color="auto"/>
        <w:bottom w:val="none" w:sz="0" w:space="0" w:color="auto"/>
        <w:right w:val="none" w:sz="0" w:space="0" w:color="auto"/>
      </w:divBdr>
    </w:div>
    <w:div w:id="2022974267">
      <w:bodyDiv w:val="1"/>
      <w:marLeft w:val="0"/>
      <w:marRight w:val="0"/>
      <w:marTop w:val="0"/>
      <w:marBottom w:val="0"/>
      <w:divBdr>
        <w:top w:val="none" w:sz="0" w:space="0" w:color="auto"/>
        <w:left w:val="none" w:sz="0" w:space="0" w:color="auto"/>
        <w:bottom w:val="none" w:sz="0" w:space="0" w:color="auto"/>
        <w:right w:val="none" w:sz="0" w:space="0" w:color="auto"/>
      </w:divBdr>
    </w:div>
    <w:div w:id="2072539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mfrontoffice/publicopinion/flash/fl_404_e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adam@lsbu.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22</Pages>
  <Words>5743</Words>
  <Characters>32741</Characters>
  <Application>Microsoft Office Word</Application>
  <DocSecurity>0</DocSecurity>
  <Lines>272</Lines>
  <Paragraphs>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Airoldi, S. et al. The relative contribution of health cognitions and metacognitions about health anxiety to Cyberchondria</vt:lpstr>
      <vt:lpstr>Airoldi, S. et al. The relative contribution of health cognitions and metacognitions about health anxiety to Cyberchondria</vt:lpstr>
    </vt:vector>
  </TitlesOfParts>
  <Company/>
  <LinksUpToDate>false</LinksUpToDate>
  <CharactersWithSpaces>38408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Airoldi, S. et al. The relative contribution of health cognitions and metacognitions about health anxiety to Cyberchondria</dc:title>
  <dc:creator>M Spada</dc:creator>
  <cp:lastModifiedBy>Spada, Marcantonio</cp:lastModifiedBy>
  <cp:revision>10</cp:revision>
  <dcterms:created xsi:type="dcterms:W3CDTF">2021-08-30T16:05:00Z</dcterms:created>
  <dcterms:modified xsi:type="dcterms:W3CDTF">2021-08-30T17:07:00Z</dcterms:modified>
</cp:coreProperties>
</file>