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CA0A" w14:textId="6DB5BC77" w:rsidR="00DD51EF" w:rsidRDefault="00124046" w:rsidP="00F27620">
      <w:pPr>
        <w:spacing w:line="480" w:lineRule="auto"/>
        <w:rPr>
          <w:rFonts w:ascii="Garamond" w:hAnsi="Garamond"/>
          <w:b/>
          <w:u w:val="single"/>
        </w:rPr>
      </w:pPr>
      <w:r w:rsidRPr="009B7A4A">
        <w:rPr>
          <w:rFonts w:ascii="Garamond" w:hAnsi="Garamond"/>
          <w:b/>
          <w:u w:val="single"/>
        </w:rPr>
        <w:t xml:space="preserve">Playing cards against the state: </w:t>
      </w:r>
      <w:r w:rsidR="00462BCB" w:rsidRPr="009B7A4A">
        <w:rPr>
          <w:rFonts w:ascii="Garamond" w:hAnsi="Garamond"/>
          <w:b/>
          <w:u w:val="single"/>
        </w:rPr>
        <w:t>precarious lives</w:t>
      </w:r>
      <w:r w:rsidR="002A577A">
        <w:rPr>
          <w:rFonts w:ascii="Garamond" w:hAnsi="Garamond"/>
          <w:b/>
          <w:u w:val="single"/>
        </w:rPr>
        <w:t>, conspiracy theories,</w:t>
      </w:r>
      <w:r w:rsidR="00462BCB" w:rsidRPr="009B7A4A">
        <w:rPr>
          <w:rFonts w:ascii="Garamond" w:hAnsi="Garamond"/>
          <w:b/>
          <w:u w:val="single"/>
        </w:rPr>
        <w:t xml:space="preserve"> and the </w:t>
      </w:r>
      <w:r w:rsidRPr="009B7A4A">
        <w:rPr>
          <w:rFonts w:ascii="Garamond" w:hAnsi="Garamond"/>
          <w:b/>
          <w:u w:val="single"/>
        </w:rPr>
        <w:t>produc</w:t>
      </w:r>
      <w:r w:rsidR="00462BCB" w:rsidRPr="009B7A4A">
        <w:rPr>
          <w:rFonts w:ascii="Garamond" w:hAnsi="Garamond"/>
          <w:b/>
          <w:u w:val="single"/>
        </w:rPr>
        <w:t>tion</w:t>
      </w:r>
      <w:r w:rsidRPr="009B7A4A">
        <w:rPr>
          <w:rFonts w:ascii="Garamond" w:hAnsi="Garamond"/>
          <w:b/>
          <w:u w:val="single"/>
        </w:rPr>
        <w:t xml:space="preserve"> </w:t>
      </w:r>
      <w:r w:rsidR="009106B8" w:rsidRPr="009B7A4A">
        <w:rPr>
          <w:rFonts w:ascii="Garamond" w:hAnsi="Garamond"/>
          <w:b/>
          <w:u w:val="single"/>
        </w:rPr>
        <w:t xml:space="preserve">of </w:t>
      </w:r>
      <w:r w:rsidRPr="009B7A4A">
        <w:rPr>
          <w:rFonts w:ascii="Garamond" w:hAnsi="Garamond"/>
          <w:b/>
          <w:u w:val="single"/>
        </w:rPr>
        <w:t xml:space="preserve">‘irrational’ subjects </w:t>
      </w:r>
    </w:p>
    <w:p w14:paraId="19A7C205" w14:textId="08F40BBC" w:rsidR="00026648" w:rsidRDefault="000B6A07" w:rsidP="00026648">
      <w:pPr>
        <w:spacing w:line="480" w:lineRule="auto"/>
        <w:rPr>
          <w:rFonts w:ascii="Garamond" w:hAnsi="Garamond"/>
        </w:rPr>
      </w:pPr>
      <w:r w:rsidRPr="009B7A4A">
        <w:rPr>
          <w:rFonts w:ascii="Garamond" w:hAnsi="Garamond"/>
          <w:b/>
          <w:noProof/>
          <w:lang w:eastAsia="en-GB"/>
        </w:rPr>
        <mc:AlternateContent>
          <mc:Choice Requires="wps">
            <w:drawing>
              <wp:anchor distT="45720" distB="45720" distL="114300" distR="114300" simplePos="0" relativeHeight="251659264" behindDoc="0" locked="0" layoutInCell="1" allowOverlap="1" wp14:anchorId="4495492D" wp14:editId="1A16EAA4">
                <wp:simplePos x="0" y="0"/>
                <wp:positionH relativeFrom="margin">
                  <wp:posOffset>0</wp:posOffset>
                </wp:positionH>
                <wp:positionV relativeFrom="paragraph">
                  <wp:posOffset>389255</wp:posOffset>
                </wp:positionV>
                <wp:extent cx="5924550" cy="61296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129655"/>
                        </a:xfrm>
                        <a:prstGeom prst="rect">
                          <a:avLst/>
                        </a:prstGeom>
                        <a:solidFill>
                          <a:srgbClr val="FFFFFF"/>
                        </a:solidFill>
                        <a:ln w="9525">
                          <a:solidFill>
                            <a:srgbClr val="000000"/>
                          </a:solidFill>
                          <a:miter lim="800000"/>
                          <a:headEnd/>
                          <a:tailEnd/>
                        </a:ln>
                      </wps:spPr>
                      <wps:txbx>
                        <w:txbxContent>
                          <w:p w14:paraId="054A9EAA" w14:textId="3618C7D5" w:rsidR="000C7280" w:rsidRPr="00FD41EE" w:rsidRDefault="000C7280" w:rsidP="00ED499A">
                            <w:pPr>
                              <w:spacing w:line="480" w:lineRule="auto"/>
                              <w:rPr>
                                <w:rFonts w:ascii="Garamond" w:hAnsi="Garamond"/>
                                <w:b/>
                                <w:lang w:val="en-US"/>
                              </w:rPr>
                            </w:pPr>
                            <w:r w:rsidRPr="00AC141C">
                              <w:rPr>
                                <w:rFonts w:ascii="Garamond" w:hAnsi="Garamond"/>
                                <w:b/>
                                <w:lang w:val="en-US"/>
                              </w:rPr>
                              <w:t>Abstract</w:t>
                            </w:r>
                          </w:p>
                          <w:p w14:paraId="7F0B755B" w14:textId="7BDE72F6" w:rsidR="009B73DF" w:rsidRDefault="003D6376" w:rsidP="00ED499A">
                            <w:pPr>
                              <w:spacing w:line="480" w:lineRule="auto"/>
                              <w:rPr>
                                <w:rFonts w:ascii="Garamond" w:hAnsi="Garamond"/>
                                <w:lang w:val="en-US"/>
                              </w:rPr>
                            </w:pPr>
                            <w:r w:rsidRPr="004010CE">
                              <w:rPr>
                                <w:rFonts w:ascii="Garamond" w:hAnsi="Garamond"/>
                                <w:lang w:val="en-US"/>
                              </w:rPr>
                              <w:t xml:space="preserve">This paper </w:t>
                            </w:r>
                            <w:r w:rsidR="000B6A07" w:rsidRPr="004010CE">
                              <w:rPr>
                                <w:rFonts w:ascii="Garamond" w:hAnsi="Garamond"/>
                                <w:lang w:val="en-US"/>
                              </w:rPr>
                              <w:t>discusses</w:t>
                            </w:r>
                            <w:r w:rsidR="00D447D4" w:rsidRPr="004010CE">
                              <w:rPr>
                                <w:rFonts w:ascii="Garamond" w:hAnsi="Garamond"/>
                                <w:lang w:val="en-US"/>
                              </w:rPr>
                              <w:t xml:space="preserve"> the role of conspiracy theory in political speech amongst service users at a soup kitchen</w:t>
                            </w:r>
                            <w:r w:rsidR="000B6A07" w:rsidRPr="004010CE">
                              <w:rPr>
                                <w:rFonts w:ascii="Garamond" w:hAnsi="Garamond"/>
                                <w:lang w:val="en-US"/>
                              </w:rPr>
                              <w:t xml:space="preserve"> in Brixton, south London</w:t>
                            </w:r>
                            <w:r w:rsidR="00A822F8" w:rsidRPr="004010CE">
                              <w:rPr>
                                <w:rFonts w:ascii="Garamond" w:hAnsi="Garamond"/>
                                <w:lang w:val="en-US"/>
                              </w:rPr>
                              <w:t>.</w:t>
                            </w:r>
                            <w:r w:rsidR="00D447D4" w:rsidRPr="004010CE">
                              <w:rPr>
                                <w:rFonts w:ascii="Garamond" w:hAnsi="Garamond"/>
                                <w:lang w:val="en-US"/>
                              </w:rPr>
                              <w:t xml:space="preserve"> Rather than categorizing </w:t>
                            </w:r>
                            <w:r w:rsidR="004010CE" w:rsidRPr="004010CE">
                              <w:rPr>
                                <w:rFonts w:ascii="Garamond" w:hAnsi="Garamond"/>
                                <w:lang w:val="en-US"/>
                              </w:rPr>
                              <w:t>conspiracy theories</w:t>
                            </w:r>
                            <w:r w:rsidR="00D447D4" w:rsidRPr="004010CE">
                              <w:rPr>
                                <w:rFonts w:ascii="Garamond" w:hAnsi="Garamond"/>
                                <w:lang w:val="en-US"/>
                              </w:rPr>
                              <w:t xml:space="preserve"> as ‘irrational’ it argues that this speech must be read in the context of precarity and an oppositional relationship with the state. </w:t>
                            </w:r>
                            <w:r w:rsidR="00A822F8" w:rsidRPr="004010CE">
                              <w:rPr>
                                <w:rFonts w:ascii="Garamond" w:hAnsi="Garamond"/>
                                <w:lang w:val="en-US"/>
                              </w:rPr>
                              <w:t xml:space="preserve"> </w:t>
                            </w:r>
                            <w:r w:rsidR="00D447D4" w:rsidRPr="004010CE">
                              <w:rPr>
                                <w:rFonts w:ascii="Garamond" w:hAnsi="Garamond"/>
                                <w:lang w:val="en-US"/>
                              </w:rPr>
                              <w:t xml:space="preserve">In particular the paper argues that </w:t>
                            </w:r>
                            <w:r w:rsidR="000B6A07" w:rsidRPr="004010CE">
                              <w:rPr>
                                <w:rFonts w:ascii="Garamond" w:hAnsi="Garamond"/>
                                <w:lang w:val="en-US"/>
                              </w:rPr>
                              <w:t>‘</w:t>
                            </w:r>
                            <w:r w:rsidR="00D447D4" w:rsidRPr="004010CE">
                              <w:rPr>
                                <w:rFonts w:ascii="Garamond" w:hAnsi="Garamond"/>
                                <w:lang w:val="en-US"/>
                              </w:rPr>
                              <w:t>behavior change theory</w:t>
                            </w:r>
                            <w:r w:rsidR="000B6A07" w:rsidRPr="004010CE">
                              <w:rPr>
                                <w:rFonts w:ascii="Garamond" w:hAnsi="Garamond"/>
                                <w:lang w:val="en-US"/>
                              </w:rPr>
                              <w:t>’</w:t>
                            </w:r>
                            <w:r w:rsidR="00D447D4" w:rsidRPr="004010CE">
                              <w:rPr>
                                <w:rFonts w:ascii="Garamond" w:hAnsi="Garamond"/>
                                <w:lang w:val="en-US"/>
                              </w:rPr>
                              <w:t xml:space="preserve">, which has become a key influence in British social policy, works on the basis that those at the margins of society are not fully capable of making the right decisions for themselves. Behaviour change theory, which has become influential around the world, excludes the most marginal aspects of society from political discourse by assuming they are ‘irrational’. </w:t>
                            </w:r>
                            <w:r w:rsidR="00A822F8" w:rsidRPr="004010CE">
                              <w:rPr>
                                <w:rFonts w:ascii="Garamond" w:hAnsi="Garamond"/>
                                <w:lang w:val="en-US"/>
                              </w:rPr>
                              <w:t xml:space="preserve">In this way the </w:t>
                            </w:r>
                            <w:r w:rsidR="009B73DF" w:rsidRPr="004010CE">
                              <w:rPr>
                                <w:rFonts w:ascii="Garamond" w:hAnsi="Garamond"/>
                                <w:lang w:val="en-US"/>
                              </w:rPr>
                              <w:t>very</w:t>
                            </w:r>
                            <w:r w:rsidR="00A822F8" w:rsidRPr="004010CE">
                              <w:rPr>
                                <w:rFonts w:ascii="Garamond" w:hAnsi="Garamond"/>
                                <w:lang w:val="en-US"/>
                              </w:rPr>
                              <w:t xml:space="preserve"> ontological security (Giddens 1991, Laing 2010, Philo 2014) </w:t>
                            </w:r>
                            <w:r w:rsidR="009B73DF" w:rsidRPr="004010CE">
                              <w:rPr>
                                <w:rFonts w:ascii="Garamond" w:hAnsi="Garamond"/>
                                <w:lang w:val="en-US"/>
                              </w:rPr>
                              <w:t xml:space="preserve">of individuals on the margins of society </w:t>
                            </w:r>
                            <w:r w:rsidR="00A822F8" w:rsidRPr="004010CE">
                              <w:rPr>
                                <w:rFonts w:ascii="Garamond" w:hAnsi="Garamond"/>
                                <w:lang w:val="en-US"/>
                              </w:rPr>
                              <w:t>is threatened by polic</w:t>
                            </w:r>
                            <w:r w:rsidR="00D447D4" w:rsidRPr="004010CE">
                              <w:rPr>
                                <w:rFonts w:ascii="Garamond" w:hAnsi="Garamond"/>
                                <w:lang w:val="en-US"/>
                              </w:rPr>
                              <w:t>ies</w:t>
                            </w:r>
                            <w:r w:rsidR="00A822F8" w:rsidRPr="004010CE">
                              <w:rPr>
                                <w:rFonts w:ascii="Garamond" w:hAnsi="Garamond"/>
                                <w:lang w:val="en-US"/>
                              </w:rPr>
                              <w:t xml:space="preserve"> which </w:t>
                            </w:r>
                            <w:r w:rsidR="006D5C2A" w:rsidRPr="004010CE">
                              <w:rPr>
                                <w:rFonts w:ascii="Garamond" w:hAnsi="Garamond"/>
                                <w:lang w:val="en-US"/>
                              </w:rPr>
                              <w:t>aims to govern behavior and</w:t>
                            </w:r>
                            <w:r w:rsidR="0040690D" w:rsidRPr="004010CE">
                              <w:rPr>
                                <w:rFonts w:ascii="Garamond" w:hAnsi="Garamond"/>
                                <w:lang w:val="en-US"/>
                              </w:rPr>
                              <w:t xml:space="preserve"> territorialize</w:t>
                            </w:r>
                            <w:r w:rsidR="006D5C2A" w:rsidRPr="004010CE">
                              <w:rPr>
                                <w:rFonts w:ascii="Garamond" w:hAnsi="Garamond"/>
                                <w:lang w:val="en-US"/>
                              </w:rPr>
                              <w:t xml:space="preserve"> precarious lives</w:t>
                            </w:r>
                            <w:r w:rsidR="00A822F8" w:rsidRPr="004010CE">
                              <w:rPr>
                                <w:rFonts w:ascii="Garamond" w:hAnsi="Garamond"/>
                                <w:lang w:val="en-US"/>
                              </w:rPr>
                              <w:t>. This paper will argue that conspiracy theor</w:t>
                            </w:r>
                            <w:r w:rsidR="004010CE" w:rsidRPr="004010CE">
                              <w:rPr>
                                <w:rFonts w:ascii="Garamond" w:hAnsi="Garamond"/>
                                <w:lang w:val="en-US"/>
                              </w:rPr>
                              <w:t>ies, where deployed by marginalized people,</w:t>
                            </w:r>
                            <w:r w:rsidR="00A822F8" w:rsidRPr="004010CE">
                              <w:rPr>
                                <w:rFonts w:ascii="Garamond" w:hAnsi="Garamond"/>
                                <w:lang w:val="en-US"/>
                              </w:rPr>
                              <w:t xml:space="preserve"> </w:t>
                            </w:r>
                            <w:r w:rsidR="004010CE" w:rsidRPr="004010CE">
                              <w:rPr>
                                <w:rFonts w:ascii="Garamond" w:hAnsi="Garamond"/>
                                <w:lang w:val="en-US"/>
                              </w:rPr>
                              <w:t>are</w:t>
                            </w:r>
                            <w:r w:rsidR="00A822F8" w:rsidRPr="004010CE">
                              <w:rPr>
                                <w:rFonts w:ascii="Garamond" w:hAnsi="Garamond"/>
                                <w:lang w:val="en-US"/>
                              </w:rPr>
                              <w:t xml:space="preserve"> </w:t>
                            </w:r>
                            <w:r w:rsidR="004010CE" w:rsidRPr="004010CE">
                              <w:rPr>
                                <w:rFonts w:ascii="Garamond" w:hAnsi="Garamond"/>
                                <w:lang w:val="en-US"/>
                              </w:rPr>
                              <w:t xml:space="preserve">strategies </w:t>
                            </w:r>
                            <w:r w:rsidR="00A822F8" w:rsidRPr="004010CE">
                              <w:rPr>
                                <w:rFonts w:ascii="Garamond" w:hAnsi="Garamond"/>
                                <w:lang w:val="en-US"/>
                              </w:rPr>
                              <w:t xml:space="preserve">which attempt to </w:t>
                            </w:r>
                            <w:r w:rsidR="00D447D4" w:rsidRPr="004010CE">
                              <w:rPr>
                                <w:rFonts w:ascii="Garamond" w:hAnsi="Garamond"/>
                                <w:lang w:val="en-US"/>
                              </w:rPr>
                              <w:t>act across multiple political scales. From the socially marginal space of the soup kitchen</w:t>
                            </w:r>
                            <w:r w:rsidR="000B6A07" w:rsidRPr="004010CE">
                              <w:rPr>
                                <w:rFonts w:ascii="Garamond" w:hAnsi="Garamond"/>
                                <w:lang w:val="en-US"/>
                              </w:rPr>
                              <w:t>,</w:t>
                            </w:r>
                            <w:r w:rsidR="00D447D4" w:rsidRPr="004010CE">
                              <w:rPr>
                                <w:rFonts w:ascii="Garamond" w:hAnsi="Garamond"/>
                                <w:lang w:val="en-US"/>
                              </w:rPr>
                              <w:t xml:space="preserve"> conspiracy theories claim</w:t>
                            </w:r>
                            <w:r w:rsidR="00A822F8" w:rsidRPr="004010CE">
                              <w:rPr>
                                <w:rFonts w:ascii="Garamond" w:hAnsi="Garamond"/>
                                <w:lang w:val="en-US"/>
                              </w:rPr>
                              <w:t xml:space="preserve"> knowledge </w:t>
                            </w:r>
                            <w:r w:rsidR="006D5C2A" w:rsidRPr="004010CE">
                              <w:rPr>
                                <w:rFonts w:ascii="Garamond" w:hAnsi="Garamond"/>
                                <w:lang w:val="en-US"/>
                              </w:rPr>
                              <w:t xml:space="preserve">of </w:t>
                            </w:r>
                            <w:r w:rsidR="00A822F8" w:rsidRPr="004010CE">
                              <w:rPr>
                                <w:rFonts w:ascii="Garamond" w:hAnsi="Garamond"/>
                                <w:lang w:val="en-US"/>
                              </w:rPr>
                              <w:t xml:space="preserve">larger scale </w:t>
                            </w:r>
                            <w:r w:rsidR="0040690D" w:rsidRPr="004010CE">
                              <w:rPr>
                                <w:rFonts w:ascii="Garamond" w:hAnsi="Garamond"/>
                                <w:lang w:val="en-US"/>
                              </w:rPr>
                              <w:t>political geographies</w:t>
                            </w:r>
                            <w:r w:rsidR="00A822F8" w:rsidRPr="004010CE">
                              <w:rPr>
                                <w:rFonts w:ascii="Garamond" w:hAnsi="Garamond"/>
                                <w:lang w:val="en-US"/>
                              </w:rPr>
                              <w:t>.</w:t>
                            </w:r>
                            <w:r w:rsidR="009B73DF" w:rsidRPr="004010CE">
                              <w:rPr>
                                <w:rFonts w:ascii="Garamond" w:hAnsi="Garamond"/>
                                <w:lang w:val="en-US"/>
                              </w:rPr>
                              <w:t xml:space="preserve"> </w:t>
                            </w:r>
                            <w:r w:rsidR="004010CE">
                              <w:rPr>
                                <w:rFonts w:ascii="Garamond" w:hAnsi="Garamond"/>
                                <w:lang w:val="en-US"/>
                              </w:rPr>
                              <w:t>This</w:t>
                            </w:r>
                            <w:r w:rsidR="009B73DF" w:rsidRPr="004010CE">
                              <w:rPr>
                                <w:rFonts w:ascii="Garamond" w:hAnsi="Garamond"/>
                                <w:lang w:val="en-US"/>
                              </w:rPr>
                              <w:t xml:space="preserve"> paper demonstrates</w:t>
                            </w:r>
                            <w:r w:rsidR="000B6A07" w:rsidRPr="004010CE">
                              <w:rPr>
                                <w:rFonts w:ascii="Garamond" w:hAnsi="Garamond"/>
                                <w:lang w:val="en-US"/>
                              </w:rPr>
                              <w:t xml:space="preserve"> </w:t>
                            </w:r>
                            <w:r w:rsidR="009B73DF" w:rsidRPr="004010CE">
                              <w:rPr>
                                <w:rFonts w:ascii="Garamond" w:hAnsi="Garamond"/>
                                <w:lang w:val="en-US"/>
                              </w:rPr>
                              <w:t xml:space="preserve">that an ethnographic </w:t>
                            </w:r>
                            <w:r w:rsidR="00D447D4" w:rsidRPr="004010CE">
                              <w:rPr>
                                <w:rFonts w:ascii="Garamond" w:hAnsi="Garamond"/>
                                <w:lang w:val="en-US"/>
                              </w:rPr>
                              <w:t xml:space="preserve">method is </w:t>
                            </w:r>
                            <w:r w:rsidR="004010CE">
                              <w:rPr>
                                <w:rFonts w:ascii="Garamond" w:hAnsi="Garamond"/>
                                <w:lang w:val="en-US"/>
                              </w:rPr>
                              <w:t>instrumental</w:t>
                            </w:r>
                            <w:r w:rsidR="00D447D4" w:rsidRPr="004010CE">
                              <w:rPr>
                                <w:rFonts w:ascii="Garamond" w:hAnsi="Garamond"/>
                                <w:lang w:val="en-US"/>
                              </w:rPr>
                              <w:t xml:space="preserve"> in exploring this</w:t>
                            </w:r>
                            <w:r w:rsidR="009B73DF" w:rsidRPr="004010CE">
                              <w:rPr>
                                <w:rFonts w:ascii="Garamond" w:hAnsi="Garamond"/>
                                <w:lang w:val="en-US"/>
                              </w:rPr>
                              <w:t xml:space="preserve"> multi-scalar complexity.</w:t>
                            </w:r>
                            <w:r w:rsidR="009B73DF">
                              <w:rPr>
                                <w:rFonts w:ascii="Garamond" w:hAnsi="Garamond"/>
                                <w:lang w:val="en-US"/>
                              </w:rPr>
                              <w:t xml:space="preserve"> </w:t>
                            </w:r>
                          </w:p>
                          <w:p w14:paraId="37E4EE71" w14:textId="7FF3E3FF" w:rsidR="000C7280" w:rsidRDefault="000C7280" w:rsidP="00ED499A">
                            <w:pPr>
                              <w:spacing w:line="480" w:lineRule="auto"/>
                              <w:rPr>
                                <w:rFonts w:ascii="Garamond" w:hAnsi="Garamond"/>
                                <w:lang w:val="en-US"/>
                              </w:rPr>
                            </w:pPr>
                            <w:r>
                              <w:rPr>
                                <w:rFonts w:ascii="Garamond" w:hAnsi="Garamond"/>
                                <w:lang w:val="en-US"/>
                              </w:rPr>
                              <w:t xml:space="preserve">Keywords: Conspiracy Theory, Precarity, </w:t>
                            </w:r>
                            <w:r w:rsidR="00026648">
                              <w:rPr>
                                <w:rFonts w:ascii="Garamond" w:hAnsi="Garamond"/>
                                <w:lang w:val="en-US"/>
                              </w:rPr>
                              <w:t xml:space="preserve">Behaviour Change, </w:t>
                            </w:r>
                            <w:r>
                              <w:rPr>
                                <w:rFonts w:ascii="Garamond" w:hAnsi="Garamond"/>
                                <w:lang w:val="en-US"/>
                              </w:rPr>
                              <w:t>Ethnography, Poverty, Welfare, Austerity</w:t>
                            </w:r>
                          </w:p>
                          <w:p w14:paraId="1DB01B32" w14:textId="186F5E24" w:rsidR="000C7280" w:rsidRDefault="000C72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5492D" id="_x0000_t202" coordsize="21600,21600" o:spt="202" path="m,l,21600r21600,l21600,xe">
                <v:stroke joinstyle="miter"/>
                <v:path gradientshapeok="t" o:connecttype="rect"/>
              </v:shapetype>
              <v:shape id="Text Box 2" o:spid="_x0000_s1026" type="#_x0000_t202" style="position:absolute;margin-left:0;margin-top:30.65pt;width:466.5pt;height:48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">
                <v:textbox>
                  <w:txbxContent>
                    <w:p w14:paraId="054A9EAA" w14:textId="3618C7D5" w:rsidR="000C7280" w:rsidRPr="00FD41EE" w:rsidRDefault="000C7280" w:rsidP="00ED499A">
                      <w:pPr>
                        <w:spacing w:line="480" w:lineRule="auto"/>
                        <w:rPr>
                          <w:rFonts w:ascii="Garamond" w:hAnsi="Garamond"/>
                          <w:b/>
                          <w:lang w:val="en-US"/>
                        </w:rPr>
                      </w:pPr>
                      <w:r w:rsidRPr="00AC141C">
                        <w:rPr>
                          <w:rFonts w:ascii="Garamond" w:hAnsi="Garamond"/>
                          <w:b/>
                          <w:lang w:val="en-US"/>
                        </w:rPr>
                        <w:t>Abstract</w:t>
                      </w:r>
                    </w:p>
                    <w:p w14:paraId="7F0B755B" w14:textId="7BDE72F6" w:rsidR="009B73DF" w:rsidRDefault="003D6376" w:rsidP="00ED499A">
                      <w:pPr>
                        <w:spacing w:line="480" w:lineRule="auto"/>
                        <w:rPr>
                          <w:rFonts w:ascii="Garamond" w:hAnsi="Garamond"/>
                          <w:lang w:val="en-US"/>
                        </w:rPr>
                      </w:pPr>
                      <w:r w:rsidRPr="004010CE">
                        <w:rPr>
                          <w:rFonts w:ascii="Garamond" w:hAnsi="Garamond"/>
                          <w:lang w:val="en-US"/>
                        </w:rPr>
                        <w:t xml:space="preserve">This paper </w:t>
                      </w:r>
                      <w:r w:rsidR="000B6A07" w:rsidRPr="004010CE">
                        <w:rPr>
                          <w:rFonts w:ascii="Garamond" w:hAnsi="Garamond"/>
                          <w:lang w:val="en-US"/>
                        </w:rPr>
                        <w:t>discusses</w:t>
                      </w:r>
                      <w:r w:rsidR="00D447D4" w:rsidRPr="004010CE">
                        <w:rPr>
                          <w:rFonts w:ascii="Garamond" w:hAnsi="Garamond"/>
                          <w:lang w:val="en-US"/>
                        </w:rPr>
                        <w:t xml:space="preserve"> the role of conspiracy theory in political speech amongst service users at a soup kitchen</w:t>
                      </w:r>
                      <w:r w:rsidR="000B6A07" w:rsidRPr="004010CE">
                        <w:rPr>
                          <w:rFonts w:ascii="Garamond" w:hAnsi="Garamond"/>
                          <w:lang w:val="en-US"/>
                        </w:rPr>
                        <w:t xml:space="preserve"> in Brixton, south London</w:t>
                      </w:r>
                      <w:r w:rsidR="00A822F8" w:rsidRPr="004010CE">
                        <w:rPr>
                          <w:rFonts w:ascii="Garamond" w:hAnsi="Garamond"/>
                          <w:lang w:val="en-US"/>
                        </w:rPr>
                        <w:t>.</w:t>
                      </w:r>
                      <w:r w:rsidR="00D447D4" w:rsidRPr="004010CE">
                        <w:rPr>
                          <w:rFonts w:ascii="Garamond" w:hAnsi="Garamond"/>
                          <w:lang w:val="en-US"/>
                        </w:rPr>
                        <w:t xml:space="preserve"> Rather than categorizing </w:t>
                      </w:r>
                      <w:r w:rsidR="004010CE" w:rsidRPr="004010CE">
                        <w:rPr>
                          <w:rFonts w:ascii="Garamond" w:hAnsi="Garamond"/>
                          <w:lang w:val="en-US"/>
                        </w:rPr>
                        <w:t>conspiracy theories</w:t>
                      </w:r>
                      <w:r w:rsidR="00D447D4" w:rsidRPr="004010CE">
                        <w:rPr>
                          <w:rFonts w:ascii="Garamond" w:hAnsi="Garamond"/>
                          <w:lang w:val="en-US"/>
                        </w:rPr>
                        <w:t xml:space="preserve"> as ‘irrational’ it argues that this speech must be read in the context of precarity and an oppositional relationship with the state. </w:t>
                      </w:r>
                      <w:r w:rsidR="00A822F8" w:rsidRPr="004010CE">
                        <w:rPr>
                          <w:rFonts w:ascii="Garamond" w:hAnsi="Garamond"/>
                          <w:lang w:val="en-US"/>
                        </w:rPr>
                        <w:t xml:space="preserve"> </w:t>
                      </w:r>
                      <w:r w:rsidR="00D447D4" w:rsidRPr="004010CE">
                        <w:rPr>
                          <w:rFonts w:ascii="Garamond" w:hAnsi="Garamond"/>
                          <w:lang w:val="en-US"/>
                        </w:rPr>
                        <w:t xml:space="preserve">In particular the paper argues that </w:t>
                      </w:r>
                      <w:r w:rsidR="000B6A07" w:rsidRPr="004010CE">
                        <w:rPr>
                          <w:rFonts w:ascii="Garamond" w:hAnsi="Garamond"/>
                          <w:lang w:val="en-US"/>
                        </w:rPr>
                        <w:t>‘</w:t>
                      </w:r>
                      <w:r w:rsidR="00D447D4" w:rsidRPr="004010CE">
                        <w:rPr>
                          <w:rFonts w:ascii="Garamond" w:hAnsi="Garamond"/>
                          <w:lang w:val="en-US"/>
                        </w:rPr>
                        <w:t>behavior change theory</w:t>
                      </w:r>
                      <w:r w:rsidR="000B6A07" w:rsidRPr="004010CE">
                        <w:rPr>
                          <w:rFonts w:ascii="Garamond" w:hAnsi="Garamond"/>
                          <w:lang w:val="en-US"/>
                        </w:rPr>
                        <w:t>’</w:t>
                      </w:r>
                      <w:r w:rsidR="00D447D4" w:rsidRPr="004010CE">
                        <w:rPr>
                          <w:rFonts w:ascii="Garamond" w:hAnsi="Garamond"/>
                          <w:lang w:val="en-US"/>
                        </w:rPr>
                        <w:t xml:space="preserve">, which has become a key influence in British social policy, works on the basis that those at the margins of society are not fully capable of making the right decisions for themselves. Behaviour change theory, which has become influential around the world, excludes the most marginal aspects of society from political discourse by assuming they are ‘irrational’. </w:t>
                      </w:r>
                      <w:r w:rsidR="00A822F8" w:rsidRPr="004010CE">
                        <w:rPr>
                          <w:rFonts w:ascii="Garamond" w:hAnsi="Garamond"/>
                          <w:lang w:val="en-US"/>
                        </w:rPr>
                        <w:t xml:space="preserve">In this way the </w:t>
                      </w:r>
                      <w:r w:rsidR="009B73DF" w:rsidRPr="004010CE">
                        <w:rPr>
                          <w:rFonts w:ascii="Garamond" w:hAnsi="Garamond"/>
                          <w:lang w:val="en-US"/>
                        </w:rPr>
                        <w:t>very</w:t>
                      </w:r>
                      <w:r w:rsidR="00A822F8" w:rsidRPr="004010CE">
                        <w:rPr>
                          <w:rFonts w:ascii="Garamond" w:hAnsi="Garamond"/>
                          <w:lang w:val="en-US"/>
                        </w:rPr>
                        <w:t xml:space="preserve"> ontological security (Giddens 1991, Laing 2010, Philo 2014) </w:t>
                      </w:r>
                      <w:r w:rsidR="009B73DF" w:rsidRPr="004010CE">
                        <w:rPr>
                          <w:rFonts w:ascii="Garamond" w:hAnsi="Garamond"/>
                          <w:lang w:val="en-US"/>
                        </w:rPr>
                        <w:t xml:space="preserve">of individuals on the margins of society </w:t>
                      </w:r>
                      <w:r w:rsidR="00A822F8" w:rsidRPr="004010CE">
                        <w:rPr>
                          <w:rFonts w:ascii="Garamond" w:hAnsi="Garamond"/>
                          <w:lang w:val="en-US"/>
                        </w:rPr>
                        <w:t>is threatened by polic</w:t>
                      </w:r>
                      <w:r w:rsidR="00D447D4" w:rsidRPr="004010CE">
                        <w:rPr>
                          <w:rFonts w:ascii="Garamond" w:hAnsi="Garamond"/>
                          <w:lang w:val="en-US"/>
                        </w:rPr>
                        <w:t>ies</w:t>
                      </w:r>
                      <w:r w:rsidR="00A822F8" w:rsidRPr="004010CE">
                        <w:rPr>
                          <w:rFonts w:ascii="Garamond" w:hAnsi="Garamond"/>
                          <w:lang w:val="en-US"/>
                        </w:rPr>
                        <w:t xml:space="preserve"> which </w:t>
                      </w:r>
                      <w:r w:rsidR="006D5C2A" w:rsidRPr="004010CE">
                        <w:rPr>
                          <w:rFonts w:ascii="Garamond" w:hAnsi="Garamond"/>
                          <w:lang w:val="en-US"/>
                        </w:rPr>
                        <w:t>aims to govern behavior and</w:t>
                      </w:r>
                      <w:r w:rsidR="0040690D" w:rsidRPr="004010CE">
                        <w:rPr>
                          <w:rFonts w:ascii="Garamond" w:hAnsi="Garamond"/>
                          <w:lang w:val="en-US"/>
                        </w:rPr>
                        <w:t xml:space="preserve"> territorialize</w:t>
                      </w:r>
                      <w:r w:rsidR="006D5C2A" w:rsidRPr="004010CE">
                        <w:rPr>
                          <w:rFonts w:ascii="Garamond" w:hAnsi="Garamond"/>
                          <w:lang w:val="en-US"/>
                        </w:rPr>
                        <w:t xml:space="preserve"> precarious lives</w:t>
                      </w:r>
                      <w:r w:rsidR="00A822F8" w:rsidRPr="004010CE">
                        <w:rPr>
                          <w:rFonts w:ascii="Garamond" w:hAnsi="Garamond"/>
                          <w:lang w:val="en-US"/>
                        </w:rPr>
                        <w:t>. This paper will argue that conspiracy theor</w:t>
                      </w:r>
                      <w:r w:rsidR="004010CE" w:rsidRPr="004010CE">
                        <w:rPr>
                          <w:rFonts w:ascii="Garamond" w:hAnsi="Garamond"/>
                          <w:lang w:val="en-US"/>
                        </w:rPr>
                        <w:t>ies, where deployed by marginalized people,</w:t>
                      </w:r>
                      <w:r w:rsidR="00A822F8" w:rsidRPr="004010CE">
                        <w:rPr>
                          <w:rFonts w:ascii="Garamond" w:hAnsi="Garamond"/>
                          <w:lang w:val="en-US"/>
                        </w:rPr>
                        <w:t xml:space="preserve"> </w:t>
                      </w:r>
                      <w:r w:rsidR="004010CE" w:rsidRPr="004010CE">
                        <w:rPr>
                          <w:rFonts w:ascii="Garamond" w:hAnsi="Garamond"/>
                          <w:lang w:val="en-US"/>
                        </w:rPr>
                        <w:t>are</w:t>
                      </w:r>
                      <w:r w:rsidR="00A822F8" w:rsidRPr="004010CE">
                        <w:rPr>
                          <w:rFonts w:ascii="Garamond" w:hAnsi="Garamond"/>
                          <w:lang w:val="en-US"/>
                        </w:rPr>
                        <w:t xml:space="preserve"> </w:t>
                      </w:r>
                      <w:r w:rsidR="004010CE" w:rsidRPr="004010CE">
                        <w:rPr>
                          <w:rFonts w:ascii="Garamond" w:hAnsi="Garamond"/>
                          <w:lang w:val="en-US"/>
                        </w:rPr>
                        <w:t xml:space="preserve">strategies </w:t>
                      </w:r>
                      <w:r w:rsidR="00A822F8" w:rsidRPr="004010CE">
                        <w:rPr>
                          <w:rFonts w:ascii="Garamond" w:hAnsi="Garamond"/>
                          <w:lang w:val="en-US"/>
                        </w:rPr>
                        <w:t xml:space="preserve">which attempt to </w:t>
                      </w:r>
                      <w:r w:rsidR="00D447D4" w:rsidRPr="004010CE">
                        <w:rPr>
                          <w:rFonts w:ascii="Garamond" w:hAnsi="Garamond"/>
                          <w:lang w:val="en-US"/>
                        </w:rPr>
                        <w:t>act across multiple political scales. From the socially marginal space of the soup kitchen</w:t>
                      </w:r>
                      <w:r w:rsidR="000B6A07" w:rsidRPr="004010CE">
                        <w:rPr>
                          <w:rFonts w:ascii="Garamond" w:hAnsi="Garamond"/>
                          <w:lang w:val="en-US"/>
                        </w:rPr>
                        <w:t>,</w:t>
                      </w:r>
                      <w:r w:rsidR="00D447D4" w:rsidRPr="004010CE">
                        <w:rPr>
                          <w:rFonts w:ascii="Garamond" w:hAnsi="Garamond"/>
                          <w:lang w:val="en-US"/>
                        </w:rPr>
                        <w:t xml:space="preserve"> conspiracy theories claim</w:t>
                      </w:r>
                      <w:r w:rsidR="00A822F8" w:rsidRPr="004010CE">
                        <w:rPr>
                          <w:rFonts w:ascii="Garamond" w:hAnsi="Garamond"/>
                          <w:lang w:val="en-US"/>
                        </w:rPr>
                        <w:t xml:space="preserve"> knowledge </w:t>
                      </w:r>
                      <w:r w:rsidR="006D5C2A" w:rsidRPr="004010CE">
                        <w:rPr>
                          <w:rFonts w:ascii="Garamond" w:hAnsi="Garamond"/>
                          <w:lang w:val="en-US"/>
                        </w:rPr>
                        <w:t xml:space="preserve">of </w:t>
                      </w:r>
                      <w:r w:rsidR="00A822F8" w:rsidRPr="004010CE">
                        <w:rPr>
                          <w:rFonts w:ascii="Garamond" w:hAnsi="Garamond"/>
                          <w:lang w:val="en-US"/>
                        </w:rPr>
                        <w:t xml:space="preserve">larger scale </w:t>
                      </w:r>
                      <w:r w:rsidR="0040690D" w:rsidRPr="004010CE">
                        <w:rPr>
                          <w:rFonts w:ascii="Garamond" w:hAnsi="Garamond"/>
                          <w:lang w:val="en-US"/>
                        </w:rPr>
                        <w:t>political geographies</w:t>
                      </w:r>
                      <w:r w:rsidR="00A822F8" w:rsidRPr="004010CE">
                        <w:rPr>
                          <w:rFonts w:ascii="Garamond" w:hAnsi="Garamond"/>
                          <w:lang w:val="en-US"/>
                        </w:rPr>
                        <w:t>.</w:t>
                      </w:r>
                      <w:r w:rsidR="009B73DF" w:rsidRPr="004010CE">
                        <w:rPr>
                          <w:rFonts w:ascii="Garamond" w:hAnsi="Garamond"/>
                          <w:lang w:val="en-US"/>
                        </w:rPr>
                        <w:t xml:space="preserve"> </w:t>
                      </w:r>
                      <w:r w:rsidR="004010CE">
                        <w:rPr>
                          <w:rFonts w:ascii="Garamond" w:hAnsi="Garamond"/>
                          <w:lang w:val="en-US"/>
                        </w:rPr>
                        <w:t>This</w:t>
                      </w:r>
                      <w:r w:rsidR="009B73DF" w:rsidRPr="004010CE">
                        <w:rPr>
                          <w:rFonts w:ascii="Garamond" w:hAnsi="Garamond"/>
                          <w:lang w:val="en-US"/>
                        </w:rPr>
                        <w:t xml:space="preserve"> paper demonstrates</w:t>
                      </w:r>
                      <w:r w:rsidR="000B6A07" w:rsidRPr="004010CE">
                        <w:rPr>
                          <w:rFonts w:ascii="Garamond" w:hAnsi="Garamond"/>
                          <w:lang w:val="en-US"/>
                        </w:rPr>
                        <w:t xml:space="preserve"> </w:t>
                      </w:r>
                      <w:r w:rsidR="009B73DF" w:rsidRPr="004010CE">
                        <w:rPr>
                          <w:rFonts w:ascii="Garamond" w:hAnsi="Garamond"/>
                          <w:lang w:val="en-US"/>
                        </w:rPr>
                        <w:t xml:space="preserve">that an ethnographic </w:t>
                      </w:r>
                      <w:r w:rsidR="00D447D4" w:rsidRPr="004010CE">
                        <w:rPr>
                          <w:rFonts w:ascii="Garamond" w:hAnsi="Garamond"/>
                          <w:lang w:val="en-US"/>
                        </w:rPr>
                        <w:t xml:space="preserve">method is </w:t>
                      </w:r>
                      <w:r w:rsidR="004010CE">
                        <w:rPr>
                          <w:rFonts w:ascii="Garamond" w:hAnsi="Garamond"/>
                          <w:lang w:val="en-US"/>
                        </w:rPr>
                        <w:t>instrumental</w:t>
                      </w:r>
                      <w:r w:rsidR="00D447D4" w:rsidRPr="004010CE">
                        <w:rPr>
                          <w:rFonts w:ascii="Garamond" w:hAnsi="Garamond"/>
                          <w:lang w:val="en-US"/>
                        </w:rPr>
                        <w:t xml:space="preserve"> in exploring this</w:t>
                      </w:r>
                      <w:r w:rsidR="009B73DF" w:rsidRPr="004010CE">
                        <w:rPr>
                          <w:rFonts w:ascii="Garamond" w:hAnsi="Garamond"/>
                          <w:lang w:val="en-US"/>
                        </w:rPr>
                        <w:t xml:space="preserve"> multi-scalar complexity.</w:t>
                      </w:r>
                      <w:r w:rsidR="009B73DF">
                        <w:rPr>
                          <w:rFonts w:ascii="Garamond" w:hAnsi="Garamond"/>
                          <w:lang w:val="en-US"/>
                        </w:rPr>
                        <w:t xml:space="preserve"> </w:t>
                      </w:r>
                    </w:p>
                    <w:p w14:paraId="37E4EE71" w14:textId="7FF3E3FF" w:rsidR="000C7280" w:rsidRDefault="000C7280" w:rsidP="00ED499A">
                      <w:pPr>
                        <w:spacing w:line="480" w:lineRule="auto"/>
                        <w:rPr>
                          <w:rFonts w:ascii="Garamond" w:hAnsi="Garamond"/>
                          <w:lang w:val="en-US"/>
                        </w:rPr>
                      </w:pPr>
                      <w:r>
                        <w:rPr>
                          <w:rFonts w:ascii="Garamond" w:hAnsi="Garamond"/>
                          <w:lang w:val="en-US"/>
                        </w:rPr>
                        <w:t xml:space="preserve">Keywords: Conspiracy Theory, Precarity, </w:t>
                      </w:r>
                      <w:r w:rsidR="00026648">
                        <w:rPr>
                          <w:rFonts w:ascii="Garamond" w:hAnsi="Garamond"/>
                          <w:lang w:val="en-US"/>
                        </w:rPr>
                        <w:t xml:space="preserve">Behaviour Change, </w:t>
                      </w:r>
                      <w:r>
                        <w:rPr>
                          <w:rFonts w:ascii="Garamond" w:hAnsi="Garamond"/>
                          <w:lang w:val="en-US"/>
                        </w:rPr>
                        <w:t>Ethnography, Poverty, Welfare, Austerity</w:t>
                      </w:r>
                    </w:p>
                    <w:p w14:paraId="1DB01B32" w14:textId="186F5E24" w:rsidR="000C7280" w:rsidRDefault="000C7280"/>
                  </w:txbxContent>
                </v:textbox>
                <w10:wrap type="square" anchorx="margin"/>
              </v:shape>
            </w:pict>
          </mc:Fallback>
        </mc:AlternateContent>
      </w:r>
    </w:p>
    <w:p w14:paraId="046C3DE1" w14:textId="398A47DF" w:rsidR="009B73DF" w:rsidRDefault="009B73DF" w:rsidP="00FD41EE">
      <w:pPr>
        <w:tabs>
          <w:tab w:val="left" w:pos="6402"/>
        </w:tabs>
        <w:spacing w:line="480" w:lineRule="auto"/>
        <w:rPr>
          <w:rFonts w:ascii="Garamond" w:hAnsi="Garamond"/>
        </w:rPr>
      </w:pPr>
    </w:p>
    <w:p w14:paraId="1F50690C" w14:textId="28A60721" w:rsidR="0052687B" w:rsidRDefault="00322EA5" w:rsidP="00FD41EE">
      <w:pPr>
        <w:tabs>
          <w:tab w:val="left" w:pos="6402"/>
        </w:tabs>
        <w:spacing w:line="480" w:lineRule="auto"/>
        <w:rPr>
          <w:rFonts w:ascii="Garamond" w:hAnsi="Garamond"/>
        </w:rPr>
      </w:pPr>
      <w:r w:rsidRPr="00D17A63">
        <w:rPr>
          <w:rFonts w:ascii="Garamond" w:hAnsi="Garamond"/>
        </w:rPr>
        <w:t xml:space="preserve">1. </w:t>
      </w:r>
      <w:r w:rsidR="00E936C0" w:rsidRPr="00D17A63">
        <w:rPr>
          <w:rFonts w:ascii="Garamond" w:hAnsi="Garamond"/>
        </w:rPr>
        <w:t>Introduction</w:t>
      </w:r>
      <w:r w:rsidR="00E936C0" w:rsidRPr="00322EA5">
        <w:rPr>
          <w:rFonts w:ascii="Garamond" w:hAnsi="Garamond"/>
        </w:rPr>
        <w:t xml:space="preserve"> </w:t>
      </w:r>
    </w:p>
    <w:p w14:paraId="15F3206A" w14:textId="77777777" w:rsidR="00D447D4" w:rsidRDefault="00D447D4" w:rsidP="00F27620">
      <w:pPr>
        <w:spacing w:line="480" w:lineRule="auto"/>
        <w:rPr>
          <w:rFonts w:ascii="Garamond" w:hAnsi="Garamond"/>
        </w:rPr>
      </w:pPr>
      <w:r>
        <w:rPr>
          <w:rFonts w:ascii="Garamond" w:hAnsi="Garamond"/>
        </w:rPr>
        <w:t>At the margins of society political speech becomes more unusual, where people are excluded from society they are also excluded from making any claim about what society is or should be</w:t>
      </w:r>
      <w:r w:rsidR="0052687B">
        <w:rPr>
          <w:rFonts w:ascii="Garamond" w:hAnsi="Garamond"/>
        </w:rPr>
        <w:t xml:space="preserve">. In the ethnographic account of political speech at a soup kitchen in South London, which makes up </w:t>
      </w:r>
      <w:r w:rsidR="0052687B">
        <w:rPr>
          <w:rFonts w:ascii="Garamond" w:hAnsi="Garamond"/>
        </w:rPr>
        <w:lastRenderedPageBreak/>
        <w:t xml:space="preserve">the empirical aspect of this paper, political speech very often incorporated conspiratorial tropes. How then to engage with this discourse, which it is perhaps too easy to dismiss as irrational? In this paper I make the argument that conspiracy theories, and the apparently ‘irrational’ subjects who shared them in my ethnographic research are a phenomena of the precarious lives of the marginalised. </w:t>
      </w:r>
    </w:p>
    <w:p w14:paraId="4F1E149B" w14:textId="77777777" w:rsidR="00D447D4" w:rsidRDefault="00D447D4" w:rsidP="00F27620">
      <w:pPr>
        <w:spacing w:line="480" w:lineRule="auto"/>
        <w:rPr>
          <w:rFonts w:ascii="Garamond" w:hAnsi="Garamond"/>
        </w:rPr>
      </w:pPr>
    </w:p>
    <w:p w14:paraId="5F8CC4A1" w14:textId="42C7A2F7" w:rsidR="00F27620" w:rsidRDefault="00D447D4" w:rsidP="00F27620">
      <w:pPr>
        <w:spacing w:line="480" w:lineRule="auto"/>
        <w:rPr>
          <w:rFonts w:ascii="Garamond" w:hAnsi="Garamond"/>
        </w:rPr>
      </w:pPr>
      <w:r>
        <w:rPr>
          <w:rFonts w:ascii="Garamond" w:hAnsi="Garamond"/>
        </w:rPr>
        <w:t>B</w:t>
      </w:r>
      <w:r w:rsidR="0052687B">
        <w:rPr>
          <w:rFonts w:ascii="Garamond" w:hAnsi="Garamond"/>
        </w:rPr>
        <w:t xml:space="preserve">ehaviour change theory which underpins contemporary social policy, not just in Britain but elsewhere in the world, undermines the </w:t>
      </w:r>
      <w:r>
        <w:rPr>
          <w:rFonts w:ascii="Garamond" w:hAnsi="Garamond"/>
        </w:rPr>
        <w:t>autonomy</w:t>
      </w:r>
      <w:r w:rsidR="0052687B">
        <w:rPr>
          <w:rFonts w:ascii="Garamond" w:hAnsi="Garamond"/>
        </w:rPr>
        <w:t xml:space="preserve"> of those who exist on the edges of society. By focussing on ‘nudging’</w:t>
      </w:r>
      <w:r w:rsidR="00DE48A3">
        <w:rPr>
          <w:rFonts w:ascii="Garamond" w:hAnsi="Garamond"/>
        </w:rPr>
        <w:t xml:space="preserve"> </w:t>
      </w:r>
      <w:r w:rsidR="00DE48A3" w:rsidRPr="009B7A4A">
        <w:rPr>
          <w:rFonts w:ascii="Garamond" w:hAnsi="Garamond"/>
          <w:kern w:val="1"/>
        </w:rPr>
        <w:t xml:space="preserve">(Thaler &amp; Sunstein 2009) </w:t>
      </w:r>
      <w:r w:rsidR="0052687B">
        <w:rPr>
          <w:rFonts w:ascii="Garamond" w:hAnsi="Garamond"/>
        </w:rPr>
        <w:t xml:space="preserve">behaviour change theory works on the basis that an individual in need cannot be relied upon to make decisions in their own interest, as such they are pushed into an oppositional, manipulative, and game-like relationship with the state. In this context conspiracy theories, whilst at face value ‘irrational’, can be read instead as a strategy to intervene in a narrative which casts the most marginalised members of society as incapable of conceptualising and producing their own lives. </w:t>
      </w:r>
    </w:p>
    <w:p w14:paraId="3DF5A814" w14:textId="77777777" w:rsidR="0052687B" w:rsidRPr="00322EA5" w:rsidRDefault="0052687B" w:rsidP="00F27620">
      <w:pPr>
        <w:spacing w:line="480" w:lineRule="auto"/>
        <w:rPr>
          <w:rFonts w:ascii="Garamond" w:hAnsi="Garamond"/>
        </w:rPr>
      </w:pPr>
    </w:p>
    <w:p w14:paraId="4D6CFCBF" w14:textId="77777777" w:rsidR="00D447D4" w:rsidRDefault="0052687B" w:rsidP="00F27620">
      <w:pPr>
        <w:spacing w:line="480" w:lineRule="auto"/>
        <w:rPr>
          <w:rFonts w:ascii="Garamond" w:hAnsi="Garamond"/>
        </w:rPr>
      </w:pPr>
      <w:r>
        <w:rPr>
          <w:rFonts w:ascii="Garamond" w:hAnsi="Garamond"/>
        </w:rPr>
        <w:t>This paper makes the original claim that c</w:t>
      </w:r>
      <w:r w:rsidR="00406E5F">
        <w:rPr>
          <w:rFonts w:ascii="Garamond" w:hAnsi="Garamond"/>
        </w:rPr>
        <w:t>onspiracy theories</w:t>
      </w:r>
      <w:r>
        <w:rPr>
          <w:rFonts w:ascii="Garamond" w:hAnsi="Garamond"/>
        </w:rPr>
        <w:t>, in the context of the case study,</w:t>
      </w:r>
      <w:r w:rsidR="00406E5F">
        <w:rPr>
          <w:rFonts w:ascii="Garamond" w:hAnsi="Garamond"/>
        </w:rPr>
        <w:t xml:space="preserve"> are</w:t>
      </w:r>
      <w:r w:rsidR="00E936C0" w:rsidRPr="009B7A4A">
        <w:rPr>
          <w:rFonts w:ascii="Garamond" w:hAnsi="Garamond"/>
        </w:rPr>
        <w:t xml:space="preserve"> </w:t>
      </w:r>
      <w:r w:rsidR="002B29AE">
        <w:rPr>
          <w:rFonts w:ascii="Garamond" w:hAnsi="Garamond"/>
        </w:rPr>
        <w:t>spatialised</w:t>
      </w:r>
      <w:r w:rsidR="00E936C0" w:rsidRPr="009B7A4A">
        <w:rPr>
          <w:rFonts w:ascii="Garamond" w:hAnsi="Garamond"/>
        </w:rPr>
        <w:t xml:space="preserve"> discourse</w:t>
      </w:r>
      <w:r w:rsidR="00406E5F">
        <w:rPr>
          <w:rFonts w:ascii="Garamond" w:hAnsi="Garamond"/>
        </w:rPr>
        <w:t>s</w:t>
      </w:r>
      <w:r w:rsidR="00E936C0" w:rsidRPr="009B7A4A">
        <w:rPr>
          <w:rFonts w:ascii="Garamond" w:hAnsi="Garamond"/>
        </w:rPr>
        <w:t xml:space="preserve">, </w:t>
      </w:r>
      <w:r w:rsidR="002B29AE">
        <w:rPr>
          <w:rFonts w:ascii="Garamond" w:hAnsi="Garamond"/>
        </w:rPr>
        <w:t>serving to tie</w:t>
      </w:r>
      <w:r w:rsidR="00E936C0" w:rsidRPr="009B7A4A">
        <w:rPr>
          <w:rFonts w:ascii="Garamond" w:hAnsi="Garamond"/>
        </w:rPr>
        <w:t xml:space="preserve"> the everyday to the geopolitical.</w:t>
      </w:r>
      <w:r>
        <w:rPr>
          <w:rFonts w:ascii="Garamond" w:hAnsi="Garamond"/>
        </w:rPr>
        <w:t xml:space="preserve"> </w:t>
      </w:r>
      <w:r w:rsidRPr="0052687B">
        <w:rPr>
          <w:rFonts w:ascii="Garamond" w:hAnsi="Garamond"/>
        </w:rPr>
        <w:t xml:space="preserve">The logic of behaviour change influenced social policy territorialises the smallest daily geographies of precarious lives.  </w:t>
      </w:r>
      <w:r w:rsidR="00D447D4">
        <w:rPr>
          <w:rFonts w:ascii="Garamond" w:hAnsi="Garamond"/>
        </w:rPr>
        <w:t>The</w:t>
      </w:r>
      <w:r w:rsidRPr="0052687B">
        <w:rPr>
          <w:rFonts w:ascii="Garamond" w:hAnsi="Garamond"/>
        </w:rPr>
        <w:t xml:space="preserve"> margins of society</w:t>
      </w:r>
      <w:r w:rsidR="00D447D4">
        <w:rPr>
          <w:rFonts w:ascii="Garamond" w:hAnsi="Garamond"/>
        </w:rPr>
        <w:t xml:space="preserve"> have</w:t>
      </w:r>
      <w:r w:rsidRPr="0052687B">
        <w:rPr>
          <w:rFonts w:ascii="Garamond" w:hAnsi="Garamond"/>
        </w:rPr>
        <w:t xml:space="preserve"> become a site through which the British state attempts to compensate for the global economic crisis</w:t>
      </w:r>
      <w:r w:rsidR="00D447D4">
        <w:rPr>
          <w:rFonts w:ascii="Garamond" w:hAnsi="Garamond"/>
        </w:rPr>
        <w:t>, this paper sees conspiracy theory as a partial response to this spatial contortion</w:t>
      </w:r>
      <w:r w:rsidRPr="0052687B">
        <w:rPr>
          <w:rFonts w:ascii="Garamond" w:hAnsi="Garamond"/>
        </w:rPr>
        <w:t>. The paper will show the complex multi-scalar nature of life on the margins of society in regards to both policy from above and political speech from below.</w:t>
      </w:r>
    </w:p>
    <w:p w14:paraId="65D9F251" w14:textId="77777777" w:rsidR="00D447D4" w:rsidRDefault="00D447D4" w:rsidP="00F27620">
      <w:pPr>
        <w:spacing w:line="480" w:lineRule="auto"/>
        <w:rPr>
          <w:rFonts w:ascii="Garamond" w:hAnsi="Garamond"/>
        </w:rPr>
      </w:pPr>
    </w:p>
    <w:p w14:paraId="410D8A10" w14:textId="44437B4A" w:rsidR="00E936C0" w:rsidRDefault="0052687B" w:rsidP="00F27620">
      <w:pPr>
        <w:spacing w:line="480" w:lineRule="auto"/>
        <w:rPr>
          <w:rFonts w:ascii="Garamond" w:hAnsi="Garamond"/>
        </w:rPr>
      </w:pPr>
      <w:r>
        <w:rPr>
          <w:rFonts w:ascii="Garamond" w:hAnsi="Garamond"/>
        </w:rPr>
        <w:t xml:space="preserve">With reference to psychoanalysis, and to behavioural psychology, this paper makes a broader intervention into the way that geographers engage with the ‘space’ of politics. This paper uses an in-depth ethnographic method to reveal what Philo has called the </w:t>
      </w:r>
      <w:r w:rsidRPr="009B7A4A">
        <w:rPr>
          <w:rFonts w:ascii="Garamond" w:hAnsi="Garamond"/>
        </w:rPr>
        <w:t xml:space="preserve">“closest in” (2014:288) </w:t>
      </w:r>
      <w:r>
        <w:rPr>
          <w:rFonts w:ascii="Garamond" w:hAnsi="Garamond"/>
        </w:rPr>
        <w:lastRenderedPageBreak/>
        <w:t xml:space="preserve">geographies of human life. By attending to precarious life at this scale it is possible to make an account of the multi scalar and complex forms of discourse which extend from the global to the space of an individual’s everyday life. Significantly this paper offers a rigorous case study into the relationship between the </w:t>
      </w:r>
      <w:r w:rsidR="00D447D4">
        <w:rPr>
          <w:rFonts w:ascii="Garamond" w:hAnsi="Garamond"/>
        </w:rPr>
        <w:t xml:space="preserve">daily </w:t>
      </w:r>
      <w:r>
        <w:rPr>
          <w:rFonts w:ascii="Garamond" w:hAnsi="Garamond"/>
        </w:rPr>
        <w:t>life</w:t>
      </w:r>
      <w:r w:rsidR="00D447D4">
        <w:rPr>
          <w:rFonts w:ascii="Garamond" w:hAnsi="Garamond"/>
        </w:rPr>
        <w:t xml:space="preserve"> and political speech</w:t>
      </w:r>
      <w:r>
        <w:rPr>
          <w:rFonts w:ascii="Garamond" w:hAnsi="Garamond"/>
        </w:rPr>
        <w:t xml:space="preserve"> of those on the margins of society  and the societal structures which </w:t>
      </w:r>
      <w:r w:rsidR="00D447D4">
        <w:rPr>
          <w:rFonts w:ascii="Garamond" w:hAnsi="Garamond"/>
        </w:rPr>
        <w:t>produce</w:t>
      </w:r>
      <w:r>
        <w:rPr>
          <w:rFonts w:ascii="Garamond" w:hAnsi="Garamond"/>
        </w:rPr>
        <w:t xml:space="preserve"> </w:t>
      </w:r>
      <w:r w:rsidR="00D447D4">
        <w:rPr>
          <w:rFonts w:ascii="Garamond" w:hAnsi="Garamond"/>
        </w:rPr>
        <w:t>such precarity</w:t>
      </w:r>
      <w:r>
        <w:rPr>
          <w:rFonts w:ascii="Garamond" w:hAnsi="Garamond"/>
        </w:rPr>
        <w:t xml:space="preserve">. </w:t>
      </w:r>
    </w:p>
    <w:p w14:paraId="2C4654AA" w14:textId="77777777" w:rsidR="0052687B" w:rsidRDefault="0052687B" w:rsidP="00F27620">
      <w:pPr>
        <w:spacing w:line="480" w:lineRule="auto"/>
        <w:rPr>
          <w:rFonts w:ascii="Garamond" w:hAnsi="Garamond"/>
        </w:rPr>
      </w:pPr>
    </w:p>
    <w:p w14:paraId="3B848720" w14:textId="34684EBD" w:rsidR="00E936C0" w:rsidRPr="009B7A4A" w:rsidRDefault="0052687B" w:rsidP="00F27620">
      <w:pPr>
        <w:spacing w:line="480" w:lineRule="auto"/>
        <w:rPr>
          <w:rFonts w:ascii="Garamond" w:hAnsi="Garamond"/>
        </w:rPr>
      </w:pPr>
      <w:r>
        <w:rPr>
          <w:rFonts w:ascii="Garamond" w:hAnsi="Garamond"/>
        </w:rPr>
        <w:t xml:space="preserve">The next section (2) will begin by positioning the paper within geographical approaches to first austerity and behavioural psychology, and then literature on conspiracy theories. This section will argue that these divergent political phenomena share a spatial complexity which oscillates between geographically closest in and furthest out. This sets the context for the following section (3) which will introduce a series of vignettes detailing the game-like and oppositional relationship between service users at the soup kitchen and the austerity state. Influenced by the </w:t>
      </w:r>
      <w:r w:rsidRPr="009B7A4A">
        <w:rPr>
          <w:rFonts w:ascii="Garamond" w:hAnsi="Garamond"/>
        </w:rPr>
        <w:t xml:space="preserve">“behavioural conditionality” (Dwyer and </w:t>
      </w:r>
      <w:r w:rsidR="0040690D">
        <w:rPr>
          <w:rFonts w:ascii="Garamond" w:hAnsi="Garamond"/>
        </w:rPr>
        <w:t>Wr</w:t>
      </w:r>
      <w:r w:rsidRPr="009B7A4A">
        <w:rPr>
          <w:rFonts w:ascii="Garamond" w:hAnsi="Garamond"/>
        </w:rPr>
        <w:t>ight 2014:29)</w:t>
      </w:r>
      <w:r>
        <w:rPr>
          <w:rFonts w:ascii="Garamond" w:hAnsi="Garamond"/>
        </w:rPr>
        <w:t xml:space="preserve"> of British social policy, this relationship undermines </w:t>
      </w:r>
      <w:r w:rsidR="00101A5E">
        <w:rPr>
          <w:rFonts w:ascii="Garamond" w:hAnsi="Garamond"/>
        </w:rPr>
        <w:t>life</w:t>
      </w:r>
      <w:r>
        <w:rPr>
          <w:rFonts w:ascii="Garamond" w:hAnsi="Garamond"/>
        </w:rPr>
        <w:t xml:space="preserve"> on the edges of society at an ontological level. Finally (section 4) I will describe the political speech of the soup kitchen with a set of descriptions of conversations about conspiracy theories, through analysing these ethnographic descriptions</w:t>
      </w:r>
      <w:r w:rsidR="00101A5E">
        <w:rPr>
          <w:rFonts w:ascii="Garamond" w:hAnsi="Garamond"/>
        </w:rPr>
        <w:t>. T</w:t>
      </w:r>
      <w:r>
        <w:rPr>
          <w:rFonts w:ascii="Garamond" w:hAnsi="Garamond"/>
        </w:rPr>
        <w:t xml:space="preserve">hese too easily dismissed forms of political speech deserve particular attention. </w:t>
      </w:r>
      <w:r w:rsidR="00E936C0" w:rsidRPr="009B7A4A">
        <w:rPr>
          <w:rFonts w:ascii="Garamond" w:hAnsi="Garamond"/>
        </w:rPr>
        <w:t xml:space="preserve">I argue that such political speech is exacerbated by a set of social conditions that produce ‘irrationality’ by actively destabilising the ontological security of the marginalised. </w:t>
      </w:r>
    </w:p>
    <w:p w14:paraId="1B0003D7" w14:textId="77777777" w:rsidR="0033793D" w:rsidRPr="009B7A4A" w:rsidRDefault="0033793D" w:rsidP="00F27620">
      <w:pPr>
        <w:spacing w:line="480" w:lineRule="auto"/>
        <w:rPr>
          <w:rFonts w:ascii="Garamond" w:hAnsi="Garamond"/>
        </w:rPr>
      </w:pPr>
    </w:p>
    <w:p w14:paraId="6640A778" w14:textId="03F6E518" w:rsidR="00E936C0" w:rsidRDefault="00E62A2C" w:rsidP="00F27620">
      <w:pPr>
        <w:spacing w:line="480" w:lineRule="auto"/>
        <w:rPr>
          <w:rFonts w:ascii="Garamond" w:hAnsi="Garamond"/>
        </w:rPr>
      </w:pPr>
      <w:r w:rsidRPr="00101A5E">
        <w:rPr>
          <w:rFonts w:ascii="Garamond" w:hAnsi="Garamond"/>
        </w:rPr>
        <w:t>2.1</w:t>
      </w:r>
      <w:r w:rsidR="00322EA5">
        <w:rPr>
          <w:rFonts w:ascii="Garamond" w:hAnsi="Garamond"/>
        </w:rPr>
        <w:t xml:space="preserve"> Spaces of precarity </w:t>
      </w:r>
    </w:p>
    <w:p w14:paraId="31BF6D50" w14:textId="77777777" w:rsidR="00F27620" w:rsidRPr="009B7A4A" w:rsidRDefault="00F27620" w:rsidP="00F27620">
      <w:pPr>
        <w:spacing w:line="480" w:lineRule="auto"/>
        <w:rPr>
          <w:rFonts w:ascii="Garamond" w:hAnsi="Garamond"/>
        </w:rPr>
      </w:pPr>
    </w:p>
    <w:p w14:paraId="5965A66C" w14:textId="2DAB0FE2" w:rsidR="00E936C0" w:rsidRPr="009B7A4A" w:rsidRDefault="00E936C0" w:rsidP="00F27620">
      <w:pPr>
        <w:spacing w:line="480" w:lineRule="auto"/>
        <w:rPr>
          <w:rFonts w:ascii="Garamond" w:hAnsi="Garamond"/>
        </w:rPr>
      </w:pPr>
      <w:r w:rsidRPr="009B7A4A">
        <w:rPr>
          <w:rFonts w:ascii="Garamond" w:hAnsi="Garamond"/>
        </w:rPr>
        <w:t xml:space="preserve">This paper draws upon data gathered during fieldwork in a soup kitchen in Brixton, south London. The soup kitchen in its current form began in 2013 at the height of the ongoing era of austerity in the United Kingdom, whereby following the economic crisis of 2008 onwards the incoming 2010 government enacted a vast </w:t>
      </w:r>
      <w:r w:rsidR="002B29AE">
        <w:rPr>
          <w:rFonts w:ascii="Garamond" w:hAnsi="Garamond"/>
        </w:rPr>
        <w:t>array</w:t>
      </w:r>
      <w:r w:rsidRPr="009B7A4A">
        <w:rPr>
          <w:rFonts w:ascii="Garamond" w:hAnsi="Garamond"/>
        </w:rPr>
        <w:t xml:space="preserve"> of cuts to state expenditure. One of the effects </w:t>
      </w:r>
      <w:r w:rsidRPr="009B7A4A">
        <w:rPr>
          <w:rFonts w:ascii="Garamond" w:hAnsi="Garamond"/>
        </w:rPr>
        <w:lastRenderedPageBreak/>
        <w:t>of the</w:t>
      </w:r>
      <w:r w:rsidR="002B29AE">
        <w:rPr>
          <w:rFonts w:ascii="Garamond" w:hAnsi="Garamond"/>
        </w:rPr>
        <w:t xml:space="preserve"> resulting</w:t>
      </w:r>
      <w:r w:rsidRPr="009B7A4A">
        <w:rPr>
          <w:rFonts w:ascii="Garamond" w:hAnsi="Garamond"/>
        </w:rPr>
        <w:t xml:space="preserve"> structural transformation </w:t>
      </w:r>
      <w:r w:rsidR="002B29AE">
        <w:rPr>
          <w:rFonts w:ascii="Garamond" w:hAnsi="Garamond"/>
        </w:rPr>
        <w:t>in the British economy and</w:t>
      </w:r>
      <w:r w:rsidRPr="009B7A4A">
        <w:rPr>
          <w:rFonts w:ascii="Garamond" w:hAnsi="Garamond"/>
        </w:rPr>
        <w:t xml:space="preserve"> welfare state during this period were, and continue to be, acute levels of food poverty (Loopstra et al. 2015). The soup kitchen in Brixton fulfilled a dual role as drop in centre </w:t>
      </w:r>
      <w:r w:rsidR="002B29AE">
        <w:rPr>
          <w:rFonts w:ascii="Garamond" w:hAnsi="Garamond"/>
        </w:rPr>
        <w:t xml:space="preserve">and informal foodbank for the homeless and otherwise marginalised. </w:t>
      </w:r>
    </w:p>
    <w:p w14:paraId="2BAE526E" w14:textId="77777777" w:rsidR="00E936C0" w:rsidRPr="009B7A4A" w:rsidRDefault="00E936C0" w:rsidP="00F27620">
      <w:pPr>
        <w:spacing w:line="480" w:lineRule="auto"/>
        <w:rPr>
          <w:rFonts w:ascii="Garamond" w:hAnsi="Garamond"/>
        </w:rPr>
      </w:pPr>
    </w:p>
    <w:p w14:paraId="1BCC6FF4" w14:textId="140BFEF5" w:rsidR="0052687B" w:rsidRPr="009B7A4A" w:rsidRDefault="00E936C0" w:rsidP="0052687B">
      <w:pPr>
        <w:spacing w:line="480" w:lineRule="auto"/>
        <w:rPr>
          <w:rFonts w:ascii="Garamond" w:hAnsi="Garamond"/>
        </w:rPr>
      </w:pPr>
      <w:r w:rsidRPr="009B7A4A">
        <w:rPr>
          <w:rFonts w:ascii="Garamond" w:hAnsi="Garamond"/>
        </w:rPr>
        <w:t xml:space="preserve">This paper </w:t>
      </w:r>
      <w:r w:rsidR="00A10376" w:rsidRPr="009B7A4A">
        <w:rPr>
          <w:rFonts w:ascii="Garamond" w:hAnsi="Garamond"/>
        </w:rPr>
        <w:t>contributes to</w:t>
      </w:r>
      <w:r w:rsidR="002B29AE">
        <w:rPr>
          <w:rFonts w:ascii="Garamond" w:hAnsi="Garamond"/>
        </w:rPr>
        <w:t xml:space="preserve"> research in</w:t>
      </w:r>
      <w:r w:rsidR="00A10376" w:rsidRPr="009B7A4A">
        <w:rPr>
          <w:rFonts w:ascii="Garamond" w:hAnsi="Garamond"/>
        </w:rPr>
        <w:t xml:space="preserve"> three interconnected geographies of precarious urban life</w:t>
      </w:r>
      <w:r w:rsidR="002B29AE">
        <w:rPr>
          <w:rFonts w:ascii="Garamond" w:hAnsi="Garamond"/>
        </w:rPr>
        <w:t>:</w:t>
      </w:r>
      <w:r w:rsidRPr="009B7A4A">
        <w:rPr>
          <w:rFonts w:ascii="Garamond" w:hAnsi="Garamond"/>
        </w:rPr>
        <w:t xml:space="preserve"> food banking (Cloke </w:t>
      </w:r>
      <w:r w:rsidR="00966808">
        <w:rPr>
          <w:rFonts w:ascii="Garamond" w:hAnsi="Garamond"/>
        </w:rPr>
        <w:t>et al.</w:t>
      </w:r>
      <w:r w:rsidRPr="009B7A4A">
        <w:rPr>
          <w:rFonts w:ascii="Garamond" w:hAnsi="Garamond"/>
        </w:rPr>
        <w:t xml:space="preserve"> 201</w:t>
      </w:r>
      <w:r w:rsidR="00966808">
        <w:rPr>
          <w:rFonts w:ascii="Garamond" w:hAnsi="Garamond"/>
        </w:rPr>
        <w:t>7</w:t>
      </w:r>
      <w:r w:rsidR="002B29AE">
        <w:rPr>
          <w:rFonts w:ascii="Garamond" w:hAnsi="Garamond"/>
        </w:rPr>
        <w:t>;</w:t>
      </w:r>
      <w:r w:rsidRPr="009B7A4A">
        <w:rPr>
          <w:rFonts w:ascii="Garamond" w:hAnsi="Garamond"/>
        </w:rPr>
        <w:t xml:space="preserve"> </w:t>
      </w:r>
      <w:r w:rsidR="002B29AE" w:rsidRPr="009B7A4A">
        <w:rPr>
          <w:rFonts w:ascii="Garamond" w:hAnsi="Garamond"/>
        </w:rPr>
        <w:t xml:space="preserve">Garthwaite 2016a,b,c; </w:t>
      </w:r>
      <w:r w:rsidRPr="009B7A4A">
        <w:rPr>
          <w:rFonts w:ascii="Garamond" w:hAnsi="Garamond"/>
        </w:rPr>
        <w:t>Williams et al. 2016)</w:t>
      </w:r>
      <w:r w:rsidR="00934D16">
        <w:rPr>
          <w:rFonts w:ascii="Garamond" w:hAnsi="Garamond"/>
        </w:rPr>
        <w:t>;</w:t>
      </w:r>
      <w:r w:rsidRPr="009B7A4A">
        <w:rPr>
          <w:rFonts w:ascii="Garamond" w:hAnsi="Garamond"/>
        </w:rPr>
        <w:t xml:space="preserve"> homelessness (</w:t>
      </w:r>
      <w:r w:rsidR="002B29AE" w:rsidRPr="009B7A4A">
        <w:rPr>
          <w:rFonts w:ascii="Garamond" w:hAnsi="Garamond"/>
        </w:rPr>
        <w:t>Cloke, May and Johnson 201</w:t>
      </w:r>
      <w:r w:rsidR="002B29AE">
        <w:rPr>
          <w:rFonts w:ascii="Garamond" w:hAnsi="Garamond"/>
        </w:rPr>
        <w:t>1; D</w:t>
      </w:r>
      <w:r w:rsidR="002B29AE" w:rsidRPr="009B7A4A">
        <w:rPr>
          <w:rFonts w:ascii="Garamond" w:hAnsi="Garamond"/>
        </w:rPr>
        <w:t>eVerteuil 2006</w:t>
      </w:r>
      <w:r w:rsidR="002B29AE">
        <w:rPr>
          <w:rFonts w:ascii="Garamond" w:hAnsi="Garamond"/>
        </w:rPr>
        <w:t xml:space="preserve">; DeVerteuil et al. 2009; </w:t>
      </w:r>
      <w:r w:rsidRPr="009B7A4A">
        <w:rPr>
          <w:rFonts w:ascii="Garamond" w:hAnsi="Garamond"/>
        </w:rPr>
        <w:t>Lancione 201</w:t>
      </w:r>
      <w:r w:rsidR="00966808">
        <w:rPr>
          <w:rFonts w:ascii="Garamond" w:hAnsi="Garamond"/>
        </w:rPr>
        <w:t>4</w:t>
      </w:r>
      <w:r w:rsidRPr="009B7A4A">
        <w:rPr>
          <w:rFonts w:ascii="Garamond" w:hAnsi="Garamond"/>
        </w:rPr>
        <w:t xml:space="preserve"> a,b,</w:t>
      </w:r>
      <w:r w:rsidR="00966808">
        <w:rPr>
          <w:rFonts w:ascii="Garamond" w:hAnsi="Garamond"/>
        </w:rPr>
        <w:t xml:space="preserve"> 2017</w:t>
      </w:r>
      <w:r w:rsidRPr="009B7A4A">
        <w:rPr>
          <w:rFonts w:ascii="Garamond" w:hAnsi="Garamond"/>
        </w:rPr>
        <w:t>; Smith 200</w:t>
      </w:r>
      <w:r w:rsidR="00966808">
        <w:rPr>
          <w:rFonts w:ascii="Garamond" w:hAnsi="Garamond"/>
        </w:rPr>
        <w:t>5</w:t>
      </w:r>
      <w:r w:rsidRPr="009B7A4A">
        <w:rPr>
          <w:rFonts w:ascii="Garamond" w:hAnsi="Garamond"/>
        </w:rPr>
        <w:t>)</w:t>
      </w:r>
      <w:r w:rsidR="00934D16">
        <w:rPr>
          <w:rFonts w:ascii="Garamond" w:hAnsi="Garamond"/>
        </w:rPr>
        <w:t>;</w:t>
      </w:r>
      <w:r w:rsidRPr="009B7A4A">
        <w:rPr>
          <w:rFonts w:ascii="Garamond" w:hAnsi="Garamond"/>
        </w:rPr>
        <w:t xml:space="preserve"> and non-state spaces of care (Conradson 200</w:t>
      </w:r>
      <w:r w:rsidR="00966808">
        <w:rPr>
          <w:rFonts w:ascii="Garamond" w:hAnsi="Garamond"/>
        </w:rPr>
        <w:t>3a,b;</w:t>
      </w:r>
      <w:r w:rsidRPr="009B7A4A">
        <w:rPr>
          <w:rFonts w:ascii="Garamond" w:hAnsi="Garamond"/>
        </w:rPr>
        <w:t xml:space="preserve"> Parr 2000). Whil</w:t>
      </w:r>
      <w:r w:rsidR="00934D16">
        <w:rPr>
          <w:rFonts w:ascii="Garamond" w:hAnsi="Garamond"/>
        </w:rPr>
        <w:t>e</w:t>
      </w:r>
      <w:r w:rsidRPr="009B7A4A">
        <w:rPr>
          <w:rFonts w:ascii="Garamond" w:hAnsi="Garamond"/>
        </w:rPr>
        <w:t xml:space="preserve"> literature on foodbanks, homelessness, and drop-in-centres has </w:t>
      </w:r>
      <w:r w:rsidR="00934D16">
        <w:rPr>
          <w:rFonts w:ascii="Garamond" w:hAnsi="Garamond"/>
        </w:rPr>
        <w:t>provided</w:t>
      </w:r>
      <w:r w:rsidRPr="009B7A4A">
        <w:rPr>
          <w:rFonts w:ascii="Garamond" w:hAnsi="Garamond"/>
        </w:rPr>
        <w:t xml:space="preserve"> detailed accounts of the effects of economic hardship and precarity on the lives of those who</w:t>
      </w:r>
      <w:r w:rsidR="00934D16">
        <w:rPr>
          <w:rFonts w:ascii="Garamond" w:hAnsi="Garamond"/>
        </w:rPr>
        <w:t xml:space="preserve"> live on the margins of society,</w:t>
      </w:r>
      <w:r w:rsidRPr="009B7A4A">
        <w:rPr>
          <w:rFonts w:ascii="Garamond" w:hAnsi="Garamond"/>
        </w:rPr>
        <w:t xml:space="preserve"> </w:t>
      </w:r>
      <w:r w:rsidR="00A10376" w:rsidRPr="009B7A4A">
        <w:rPr>
          <w:rFonts w:ascii="Garamond" w:hAnsi="Garamond"/>
        </w:rPr>
        <w:t xml:space="preserve">the </w:t>
      </w:r>
      <w:r w:rsidRPr="009B7A4A">
        <w:rPr>
          <w:rFonts w:ascii="Garamond" w:hAnsi="Garamond"/>
        </w:rPr>
        <w:t>sustained</w:t>
      </w:r>
      <w:r w:rsidR="00A31A8A">
        <w:rPr>
          <w:rFonts w:ascii="Garamond" w:hAnsi="Garamond"/>
        </w:rPr>
        <w:t xml:space="preserve"> and intimate</w:t>
      </w:r>
      <w:r w:rsidRPr="009B7A4A">
        <w:rPr>
          <w:rFonts w:ascii="Garamond" w:hAnsi="Garamond"/>
        </w:rPr>
        <w:t xml:space="preserve"> account of the political speech produced in response to </w:t>
      </w:r>
      <w:r w:rsidR="00A10376" w:rsidRPr="009B7A4A">
        <w:rPr>
          <w:rFonts w:ascii="Garamond" w:hAnsi="Garamond"/>
        </w:rPr>
        <w:t xml:space="preserve">this research </w:t>
      </w:r>
      <w:r w:rsidRPr="009B7A4A">
        <w:rPr>
          <w:rFonts w:ascii="Garamond" w:hAnsi="Garamond"/>
        </w:rPr>
        <w:t>is</w:t>
      </w:r>
      <w:r w:rsidR="00A10376" w:rsidRPr="009B7A4A">
        <w:rPr>
          <w:rFonts w:ascii="Garamond" w:hAnsi="Garamond"/>
        </w:rPr>
        <w:t xml:space="preserve"> the</w:t>
      </w:r>
      <w:r w:rsidRPr="009B7A4A">
        <w:rPr>
          <w:rFonts w:ascii="Garamond" w:hAnsi="Garamond"/>
        </w:rPr>
        <w:t xml:space="preserve"> significant contribution of this paper. </w:t>
      </w:r>
      <w:r w:rsidR="0052687B" w:rsidRPr="0052687B">
        <w:rPr>
          <w:rFonts w:ascii="Garamond" w:hAnsi="Garamond"/>
        </w:rPr>
        <w:t xml:space="preserve"> </w:t>
      </w:r>
    </w:p>
    <w:p w14:paraId="599D0D97" w14:textId="5E01587E" w:rsidR="00E936C0" w:rsidRPr="009B7A4A" w:rsidRDefault="00E936C0" w:rsidP="00F27620">
      <w:pPr>
        <w:spacing w:line="480" w:lineRule="auto"/>
        <w:rPr>
          <w:rFonts w:ascii="Garamond" w:hAnsi="Garamond"/>
        </w:rPr>
      </w:pPr>
    </w:p>
    <w:p w14:paraId="791F4C91" w14:textId="77777777" w:rsidR="00E936C0" w:rsidRPr="009B7A4A" w:rsidRDefault="00E936C0" w:rsidP="00F27620">
      <w:pPr>
        <w:spacing w:line="480" w:lineRule="auto"/>
        <w:rPr>
          <w:rFonts w:ascii="Garamond" w:hAnsi="Garamond"/>
        </w:rPr>
      </w:pPr>
    </w:p>
    <w:p w14:paraId="23C31BAC" w14:textId="79C10D3D" w:rsidR="00041614" w:rsidRPr="00AC141C" w:rsidRDefault="00E936C0" w:rsidP="00F27620">
      <w:pPr>
        <w:spacing w:line="480" w:lineRule="auto"/>
        <w:rPr>
          <w:rFonts w:ascii="Garamond" w:hAnsi="Garamond"/>
        </w:rPr>
      </w:pPr>
      <w:r w:rsidRPr="009B7A4A">
        <w:rPr>
          <w:rFonts w:ascii="Garamond" w:hAnsi="Garamond"/>
        </w:rPr>
        <w:t xml:space="preserve">Cloke, May and Williams have </w:t>
      </w:r>
      <w:r w:rsidRPr="006C3BAB">
        <w:rPr>
          <w:rFonts w:ascii="Garamond" w:hAnsi="Garamond"/>
        </w:rPr>
        <w:t>argued</w:t>
      </w:r>
      <w:r w:rsidRPr="009B7A4A">
        <w:rPr>
          <w:rFonts w:ascii="Garamond" w:hAnsi="Garamond"/>
        </w:rPr>
        <w:t xml:space="preserve"> that food banks, as liminal spaces, have the capacity to be “hopeful spaces of political conscientization” (201</w:t>
      </w:r>
      <w:r w:rsidR="00966808">
        <w:rPr>
          <w:rFonts w:ascii="Garamond" w:hAnsi="Garamond"/>
        </w:rPr>
        <w:t>7</w:t>
      </w:r>
      <w:r w:rsidRPr="009B7A4A">
        <w:rPr>
          <w:rFonts w:ascii="Garamond" w:hAnsi="Garamond"/>
        </w:rPr>
        <w:t xml:space="preserve">:72). </w:t>
      </w:r>
      <w:r w:rsidR="009B6741" w:rsidRPr="009B7A4A">
        <w:rPr>
          <w:rFonts w:ascii="Garamond" w:hAnsi="Garamond"/>
        </w:rPr>
        <w:t>On one hand</w:t>
      </w:r>
      <w:r w:rsidR="00A10376" w:rsidRPr="009B7A4A">
        <w:rPr>
          <w:rFonts w:ascii="Garamond" w:hAnsi="Garamond"/>
        </w:rPr>
        <w:t xml:space="preserve"> </w:t>
      </w:r>
      <w:r w:rsidR="006C3BAB">
        <w:rPr>
          <w:rFonts w:ascii="Garamond" w:hAnsi="Garamond"/>
        </w:rPr>
        <w:t>this</w:t>
      </w:r>
      <w:r w:rsidR="00A10376" w:rsidRPr="009B7A4A">
        <w:rPr>
          <w:rFonts w:ascii="Garamond" w:hAnsi="Garamond"/>
        </w:rPr>
        <w:t xml:space="preserve"> paper </w:t>
      </w:r>
      <w:r w:rsidR="006C3BAB">
        <w:rPr>
          <w:rFonts w:ascii="Garamond" w:hAnsi="Garamond"/>
        </w:rPr>
        <w:t>agrees with their analysis in its</w:t>
      </w:r>
      <w:r w:rsidR="00A10376" w:rsidRPr="009B7A4A">
        <w:rPr>
          <w:rFonts w:ascii="Garamond" w:hAnsi="Garamond"/>
        </w:rPr>
        <w:t xml:space="preserve"> account of the soup kitchen’s easy accommodation of diverse political speech</w:t>
      </w:r>
      <w:r w:rsidR="00D71278">
        <w:rPr>
          <w:rFonts w:ascii="Garamond" w:hAnsi="Garamond"/>
        </w:rPr>
        <w:t>. O</w:t>
      </w:r>
      <w:r w:rsidR="009B6741" w:rsidRPr="009B7A4A">
        <w:rPr>
          <w:rFonts w:ascii="Garamond" w:hAnsi="Garamond"/>
        </w:rPr>
        <w:t>n the other</w:t>
      </w:r>
      <w:r w:rsidR="00934D16">
        <w:rPr>
          <w:rFonts w:ascii="Garamond" w:hAnsi="Garamond"/>
        </w:rPr>
        <w:t>,</w:t>
      </w:r>
      <w:r w:rsidR="009B6741" w:rsidRPr="009B7A4A">
        <w:rPr>
          <w:rFonts w:ascii="Garamond" w:hAnsi="Garamond"/>
        </w:rPr>
        <w:t xml:space="preserve"> </w:t>
      </w:r>
      <w:r w:rsidR="009B6741" w:rsidRPr="0052687B">
        <w:rPr>
          <w:rFonts w:ascii="Garamond" w:hAnsi="Garamond"/>
        </w:rPr>
        <w:t>the argument</w:t>
      </w:r>
      <w:r w:rsidR="009B6741" w:rsidRPr="009B7A4A">
        <w:rPr>
          <w:rFonts w:ascii="Garamond" w:hAnsi="Garamond"/>
        </w:rPr>
        <w:t xml:space="preserve"> </w:t>
      </w:r>
      <w:r w:rsidR="006C3BAB">
        <w:rPr>
          <w:rFonts w:ascii="Garamond" w:hAnsi="Garamond"/>
        </w:rPr>
        <w:t>made here</w:t>
      </w:r>
      <w:r w:rsidR="0052687B">
        <w:rPr>
          <w:rFonts w:ascii="Garamond" w:hAnsi="Garamond"/>
        </w:rPr>
        <w:t xml:space="preserve">, </w:t>
      </w:r>
      <w:r w:rsidR="009B6741" w:rsidRPr="009B7A4A">
        <w:rPr>
          <w:rFonts w:ascii="Garamond" w:hAnsi="Garamond"/>
        </w:rPr>
        <w:t xml:space="preserve">that social precarity exacerbated by encounters with ‘the state’ </w:t>
      </w:r>
      <w:r w:rsidR="00101A5E">
        <w:rPr>
          <w:rFonts w:ascii="Garamond" w:hAnsi="Garamond"/>
        </w:rPr>
        <w:t>excludes the marginalised from</w:t>
      </w:r>
      <w:r w:rsidR="009B6741" w:rsidRPr="009B7A4A">
        <w:rPr>
          <w:rFonts w:ascii="Garamond" w:hAnsi="Garamond"/>
        </w:rPr>
        <w:t xml:space="preserve"> mainstream political discourse</w:t>
      </w:r>
      <w:r w:rsidR="00D71278">
        <w:rPr>
          <w:rFonts w:ascii="Garamond" w:hAnsi="Garamond"/>
        </w:rPr>
        <w:t>,</w:t>
      </w:r>
      <w:r w:rsidR="009B6741" w:rsidRPr="009B7A4A">
        <w:rPr>
          <w:rFonts w:ascii="Garamond" w:hAnsi="Garamond"/>
        </w:rPr>
        <w:t xml:space="preserve"> suggests</w:t>
      </w:r>
      <w:r w:rsidR="00934D16">
        <w:rPr>
          <w:rFonts w:ascii="Garamond" w:hAnsi="Garamond"/>
        </w:rPr>
        <w:t xml:space="preserve"> that</w:t>
      </w:r>
      <w:r w:rsidR="009B6741" w:rsidRPr="009B7A4A">
        <w:rPr>
          <w:rFonts w:ascii="Garamond" w:hAnsi="Garamond"/>
        </w:rPr>
        <w:t xml:space="preserve"> Cloke et al. may have been being over optimistic</w:t>
      </w:r>
      <w:r w:rsidRPr="009B7A4A">
        <w:rPr>
          <w:rFonts w:ascii="Garamond" w:hAnsi="Garamond"/>
        </w:rPr>
        <w:t xml:space="preserve">. </w:t>
      </w:r>
      <w:r w:rsidR="00041614">
        <w:rPr>
          <w:rFonts w:ascii="Garamond" w:hAnsi="Garamond"/>
        </w:rPr>
        <w:t>One of the consequences of what deVerteuil has called the</w:t>
      </w:r>
      <w:r w:rsidR="00041614" w:rsidRPr="00AC141C">
        <w:rPr>
          <w:rFonts w:ascii="Garamond" w:hAnsi="Garamond"/>
        </w:rPr>
        <w:t xml:space="preserve"> </w:t>
      </w:r>
      <w:r w:rsidR="00934D16">
        <w:rPr>
          <w:rFonts w:ascii="Garamond" w:hAnsi="Garamond"/>
        </w:rPr>
        <w:t>‘</w:t>
      </w:r>
      <w:r w:rsidR="00041614" w:rsidRPr="00934D16">
        <w:rPr>
          <w:rFonts w:ascii="Garamond" w:hAnsi="Garamond"/>
        </w:rPr>
        <w:t>Post Welfare City</w:t>
      </w:r>
      <w:r w:rsidR="00934D16">
        <w:rPr>
          <w:rFonts w:ascii="Garamond" w:hAnsi="Garamond"/>
        </w:rPr>
        <w:t>’</w:t>
      </w:r>
      <w:r w:rsidR="00041614" w:rsidRPr="00AC141C">
        <w:rPr>
          <w:rFonts w:ascii="Garamond" w:hAnsi="Garamond"/>
        </w:rPr>
        <w:t xml:space="preserve"> (2017)</w:t>
      </w:r>
      <w:r w:rsidR="00041614">
        <w:rPr>
          <w:rFonts w:ascii="Garamond" w:hAnsi="Garamond"/>
        </w:rPr>
        <w:t xml:space="preserve">, where the third sector fills the gaps left by a retreating state, is that spaces such as drop in centres, food banks, and soup kitchens constitute a semi-private space </w:t>
      </w:r>
      <w:r w:rsidR="00934D16">
        <w:rPr>
          <w:rFonts w:ascii="Garamond" w:hAnsi="Garamond"/>
        </w:rPr>
        <w:t>apart</w:t>
      </w:r>
      <w:r w:rsidR="00041614">
        <w:rPr>
          <w:rFonts w:ascii="Garamond" w:hAnsi="Garamond"/>
        </w:rPr>
        <w:t xml:space="preserve"> from the state.</w:t>
      </w:r>
      <w:r w:rsidR="0052687B">
        <w:rPr>
          <w:rFonts w:ascii="Garamond" w:hAnsi="Garamond"/>
        </w:rPr>
        <w:t xml:space="preserve"> DeVerteuil’s (2011) work on the self-organised ‘welfare’ of migrant communities in Los Angeles and London is a valuable comparison point regarding the non-state provision of care.</w:t>
      </w:r>
      <w:r w:rsidR="00041614">
        <w:rPr>
          <w:rFonts w:ascii="Garamond" w:hAnsi="Garamond"/>
        </w:rPr>
        <w:t xml:space="preserve"> In this way spaces such as the soup kitchen described below are good places to </w:t>
      </w:r>
      <w:r w:rsidR="00041614">
        <w:rPr>
          <w:rFonts w:ascii="Garamond" w:hAnsi="Garamond"/>
        </w:rPr>
        <w:lastRenderedPageBreak/>
        <w:t>reflect on the political relations between marginalised people and the state, even if they do not offer opport</w:t>
      </w:r>
      <w:r w:rsidR="00934D16">
        <w:rPr>
          <w:rFonts w:ascii="Garamond" w:hAnsi="Garamond"/>
        </w:rPr>
        <w:t xml:space="preserve">unities for “conscientization” in the manner that Cloke et al. envisaged. </w:t>
      </w:r>
    </w:p>
    <w:p w14:paraId="40C95A66" w14:textId="57EC6A9E" w:rsidR="00E936C0" w:rsidRPr="009B7A4A" w:rsidRDefault="00E936C0" w:rsidP="00F27620">
      <w:pPr>
        <w:spacing w:line="480" w:lineRule="auto"/>
        <w:rPr>
          <w:rFonts w:ascii="Garamond" w:hAnsi="Garamond"/>
        </w:rPr>
      </w:pPr>
    </w:p>
    <w:p w14:paraId="079DE17C" w14:textId="77777777" w:rsidR="00E936C0" w:rsidRPr="009B7A4A" w:rsidRDefault="00E936C0" w:rsidP="00F27620">
      <w:pPr>
        <w:spacing w:line="480" w:lineRule="auto"/>
        <w:rPr>
          <w:rFonts w:ascii="Garamond" w:hAnsi="Garamond"/>
        </w:rPr>
      </w:pPr>
    </w:p>
    <w:p w14:paraId="4EE01123" w14:textId="0AD4F876" w:rsidR="00E936C0" w:rsidRPr="009B7A4A" w:rsidRDefault="00322EA5" w:rsidP="00F27620">
      <w:pPr>
        <w:spacing w:line="480" w:lineRule="auto"/>
        <w:rPr>
          <w:rFonts w:ascii="Garamond" w:hAnsi="Garamond"/>
        </w:rPr>
      </w:pPr>
      <w:r>
        <w:rPr>
          <w:rFonts w:ascii="Garamond" w:hAnsi="Garamond"/>
        </w:rPr>
        <w:t>2</w:t>
      </w:r>
      <w:r w:rsidR="00E936C0" w:rsidRPr="009B7A4A">
        <w:rPr>
          <w:rFonts w:ascii="Garamond" w:hAnsi="Garamond"/>
        </w:rPr>
        <w:t>.2 Behaviour change and the state</w:t>
      </w:r>
    </w:p>
    <w:p w14:paraId="04FE434F" w14:textId="77777777" w:rsidR="00E936C0" w:rsidRPr="009B7A4A" w:rsidRDefault="00E936C0" w:rsidP="00F27620">
      <w:pPr>
        <w:spacing w:line="480" w:lineRule="auto"/>
        <w:rPr>
          <w:rFonts w:ascii="Garamond" w:hAnsi="Garamond"/>
        </w:rPr>
      </w:pPr>
    </w:p>
    <w:p w14:paraId="03CDFC90" w14:textId="59CA0EB1" w:rsidR="00E936C0" w:rsidRPr="009B7A4A" w:rsidRDefault="00E936C0" w:rsidP="00F27620">
      <w:pPr>
        <w:spacing w:line="480" w:lineRule="auto"/>
        <w:rPr>
          <w:rFonts w:ascii="Garamond" w:hAnsi="Garamond"/>
          <w:kern w:val="1"/>
        </w:rPr>
      </w:pPr>
      <w:r w:rsidRPr="009B7A4A">
        <w:rPr>
          <w:rFonts w:ascii="Garamond" w:hAnsi="Garamond"/>
        </w:rPr>
        <w:t>Whil</w:t>
      </w:r>
      <w:r w:rsidR="00934D16">
        <w:rPr>
          <w:rFonts w:ascii="Garamond" w:hAnsi="Garamond"/>
        </w:rPr>
        <w:t>e</w:t>
      </w:r>
      <w:r w:rsidRPr="009B7A4A">
        <w:rPr>
          <w:rFonts w:ascii="Garamond" w:hAnsi="Garamond"/>
        </w:rPr>
        <w:t xml:space="preserve"> the geographical scope of this research is British</w:t>
      </w:r>
      <w:r w:rsidR="00934D16">
        <w:rPr>
          <w:rFonts w:ascii="Garamond" w:hAnsi="Garamond"/>
        </w:rPr>
        <w:t>,</w:t>
      </w:r>
      <w:r w:rsidRPr="009B7A4A">
        <w:rPr>
          <w:rFonts w:ascii="Garamond" w:hAnsi="Garamond"/>
        </w:rPr>
        <w:t xml:space="preserve"> the prevalence of behavioural psychology </w:t>
      </w:r>
      <w:r w:rsidR="00934D16">
        <w:rPr>
          <w:rFonts w:ascii="Garamond" w:hAnsi="Garamond"/>
        </w:rPr>
        <w:t>as an intellectual correlate of</w:t>
      </w:r>
      <w:r w:rsidR="007D43BD">
        <w:rPr>
          <w:rFonts w:ascii="Garamond" w:hAnsi="Garamond"/>
        </w:rPr>
        <w:t>,</w:t>
      </w:r>
      <w:r w:rsidR="00934D16">
        <w:rPr>
          <w:rFonts w:ascii="Garamond" w:hAnsi="Garamond"/>
        </w:rPr>
        <w:t xml:space="preserve"> and support for</w:t>
      </w:r>
      <w:r w:rsidR="007D43BD">
        <w:rPr>
          <w:rFonts w:ascii="Garamond" w:hAnsi="Garamond"/>
        </w:rPr>
        <w:t>,</w:t>
      </w:r>
      <w:r w:rsidR="00934D16">
        <w:rPr>
          <w:rFonts w:ascii="Garamond" w:hAnsi="Garamond"/>
        </w:rPr>
        <w:t xml:space="preserve"> t</w:t>
      </w:r>
      <w:r w:rsidRPr="009B7A4A">
        <w:rPr>
          <w:rFonts w:ascii="Garamond" w:hAnsi="Garamond"/>
        </w:rPr>
        <w:t xml:space="preserve">he British </w:t>
      </w:r>
      <w:r w:rsidR="00112825">
        <w:rPr>
          <w:rFonts w:ascii="Garamond" w:hAnsi="Garamond"/>
        </w:rPr>
        <w:t>a</w:t>
      </w:r>
      <w:r w:rsidRPr="009B7A4A">
        <w:rPr>
          <w:rFonts w:ascii="Garamond" w:hAnsi="Garamond"/>
        </w:rPr>
        <w:t xml:space="preserve">usterity welfare state </w:t>
      </w:r>
      <w:r w:rsidR="0033793D" w:rsidRPr="009B7A4A">
        <w:rPr>
          <w:rFonts w:ascii="Garamond" w:hAnsi="Garamond"/>
        </w:rPr>
        <w:t xml:space="preserve">is part of </w:t>
      </w:r>
      <w:r w:rsidRPr="009B7A4A">
        <w:rPr>
          <w:rFonts w:ascii="Garamond" w:hAnsi="Garamond"/>
        </w:rPr>
        <w:t xml:space="preserve">a policy </w:t>
      </w:r>
      <w:r w:rsidR="00A31A8A" w:rsidRPr="009B7A4A">
        <w:rPr>
          <w:rFonts w:ascii="Garamond" w:hAnsi="Garamond"/>
        </w:rPr>
        <w:t xml:space="preserve">trend </w:t>
      </w:r>
      <w:r w:rsidR="00934D16">
        <w:rPr>
          <w:rFonts w:ascii="Garamond" w:hAnsi="Garamond"/>
        </w:rPr>
        <w:t>with</w:t>
      </w:r>
      <w:r w:rsidR="00A31A8A">
        <w:rPr>
          <w:rFonts w:ascii="Garamond" w:hAnsi="Garamond"/>
        </w:rPr>
        <w:t xml:space="preserve"> global</w:t>
      </w:r>
      <w:r w:rsidRPr="009B7A4A">
        <w:rPr>
          <w:rFonts w:ascii="Garamond" w:hAnsi="Garamond"/>
        </w:rPr>
        <w:t xml:space="preserve"> traction (Whitehead et al. 2014).</w:t>
      </w:r>
      <w:r w:rsidR="005108DE">
        <w:rPr>
          <w:rFonts w:ascii="Garamond" w:hAnsi="Garamond"/>
        </w:rPr>
        <w:t xml:space="preserve"> </w:t>
      </w:r>
      <w:r w:rsidR="0033793D" w:rsidRPr="009B7A4A">
        <w:rPr>
          <w:rFonts w:ascii="Garamond" w:hAnsi="Garamond"/>
        </w:rPr>
        <w:t xml:space="preserve"> </w:t>
      </w:r>
      <w:r w:rsidRPr="009B7A4A">
        <w:rPr>
          <w:rFonts w:ascii="Garamond" w:hAnsi="Garamond"/>
        </w:rPr>
        <w:t>For the service users at the soup kitchen</w:t>
      </w:r>
      <w:r w:rsidR="00934D16">
        <w:rPr>
          <w:rFonts w:ascii="Garamond" w:hAnsi="Garamond"/>
        </w:rPr>
        <w:t>,</w:t>
      </w:r>
      <w:r w:rsidRPr="009B7A4A">
        <w:rPr>
          <w:rFonts w:ascii="Garamond" w:hAnsi="Garamond"/>
        </w:rPr>
        <w:t xml:space="preserve"> much </w:t>
      </w:r>
      <w:r w:rsidR="00934D16">
        <w:rPr>
          <w:rFonts w:ascii="Garamond" w:hAnsi="Garamond"/>
        </w:rPr>
        <w:t>of their interaction</w:t>
      </w:r>
      <w:r w:rsidRPr="009B7A4A">
        <w:rPr>
          <w:rFonts w:ascii="Garamond" w:hAnsi="Garamond"/>
        </w:rPr>
        <w:t xml:space="preserve"> with local or national governm</w:t>
      </w:r>
      <w:r w:rsidR="0033793D" w:rsidRPr="009B7A4A">
        <w:rPr>
          <w:rFonts w:ascii="Garamond" w:hAnsi="Garamond"/>
        </w:rPr>
        <w:t>ent institutions should</w:t>
      </w:r>
      <w:r w:rsidR="00934D16">
        <w:rPr>
          <w:rFonts w:ascii="Garamond" w:hAnsi="Garamond"/>
        </w:rPr>
        <w:t xml:space="preserve"> hence</w:t>
      </w:r>
      <w:r w:rsidR="0033793D" w:rsidRPr="009B7A4A">
        <w:rPr>
          <w:rFonts w:ascii="Garamond" w:hAnsi="Garamond"/>
        </w:rPr>
        <w:t xml:space="preserve"> be seen in the context of </w:t>
      </w:r>
      <w:r w:rsidR="0033793D" w:rsidRPr="009B7A4A">
        <w:rPr>
          <w:rFonts w:ascii="Garamond" w:hAnsi="Garamond"/>
          <w:kern w:val="1"/>
        </w:rPr>
        <w:t xml:space="preserve">what Dwyer and </w:t>
      </w:r>
      <w:r w:rsidR="0040690D">
        <w:rPr>
          <w:rFonts w:ascii="Garamond" w:hAnsi="Garamond"/>
          <w:kern w:val="1"/>
        </w:rPr>
        <w:t>Wr</w:t>
      </w:r>
      <w:r w:rsidR="0033793D" w:rsidRPr="009B7A4A">
        <w:rPr>
          <w:rFonts w:ascii="Garamond" w:hAnsi="Garamond"/>
          <w:kern w:val="1"/>
        </w:rPr>
        <w:t>ight have termed “behavioural conditionality” (2014:29)</w:t>
      </w:r>
      <w:r w:rsidR="00934D16">
        <w:rPr>
          <w:rFonts w:ascii="Garamond" w:hAnsi="Garamond"/>
          <w:kern w:val="1"/>
        </w:rPr>
        <w:t>:</w:t>
      </w:r>
      <w:r w:rsidR="0033793D" w:rsidRPr="009B7A4A">
        <w:rPr>
          <w:rFonts w:ascii="Garamond" w:hAnsi="Garamond"/>
          <w:kern w:val="1"/>
        </w:rPr>
        <w:t xml:space="preserve"> the idea that welfare serves not as a support net, but as a means to change the behaviour of claimants. </w:t>
      </w:r>
    </w:p>
    <w:p w14:paraId="2941897B" w14:textId="77777777" w:rsidR="0033793D" w:rsidRPr="009B7A4A" w:rsidRDefault="0033793D" w:rsidP="00F27620">
      <w:pPr>
        <w:spacing w:line="480" w:lineRule="auto"/>
        <w:rPr>
          <w:rFonts w:ascii="Garamond" w:hAnsi="Garamond"/>
          <w:kern w:val="1"/>
        </w:rPr>
      </w:pPr>
    </w:p>
    <w:p w14:paraId="5243F9AA" w14:textId="645A427D" w:rsidR="0033793D" w:rsidRPr="009B7A4A" w:rsidRDefault="00D235D3" w:rsidP="00F27620">
      <w:pPr>
        <w:spacing w:line="480" w:lineRule="auto"/>
        <w:rPr>
          <w:rFonts w:ascii="Garamond" w:hAnsi="Garamond"/>
          <w:kern w:val="1"/>
        </w:rPr>
      </w:pPr>
      <w:r>
        <w:rPr>
          <w:rFonts w:ascii="Garamond" w:hAnsi="Garamond"/>
          <w:kern w:val="1"/>
        </w:rPr>
        <w:t xml:space="preserve">The behavioural insights team set up in 2010 positioned behavioural psychology at the heart of British </w:t>
      </w:r>
      <w:r w:rsidR="00112825">
        <w:rPr>
          <w:rFonts w:ascii="Garamond" w:hAnsi="Garamond"/>
          <w:kern w:val="1"/>
        </w:rPr>
        <w:t xml:space="preserve">austerity era </w:t>
      </w:r>
      <w:r>
        <w:rPr>
          <w:rFonts w:ascii="Garamond" w:hAnsi="Garamond"/>
          <w:kern w:val="1"/>
        </w:rPr>
        <w:t xml:space="preserve">social policy </w:t>
      </w:r>
      <w:r w:rsidR="0033793D" w:rsidRPr="009B7A4A">
        <w:rPr>
          <w:rFonts w:ascii="Garamond" w:hAnsi="Garamond"/>
          <w:kern w:val="1"/>
        </w:rPr>
        <w:t xml:space="preserve">(Dwyer and </w:t>
      </w:r>
      <w:r w:rsidR="0040690D">
        <w:rPr>
          <w:rFonts w:ascii="Garamond" w:hAnsi="Garamond"/>
          <w:kern w:val="1"/>
        </w:rPr>
        <w:t>Wr</w:t>
      </w:r>
      <w:r w:rsidR="0033793D" w:rsidRPr="009B7A4A">
        <w:rPr>
          <w:rFonts w:ascii="Garamond" w:hAnsi="Garamond"/>
          <w:kern w:val="1"/>
        </w:rPr>
        <w:t>ight 2014:29).</w:t>
      </w:r>
      <w:r w:rsidR="005108DE">
        <w:rPr>
          <w:rFonts w:ascii="Garamond" w:hAnsi="Garamond"/>
          <w:kern w:val="1"/>
        </w:rPr>
        <w:t xml:space="preserve"> </w:t>
      </w:r>
      <w:bookmarkStart w:id="0" w:name="_GoBack"/>
      <w:r w:rsidR="00E47228">
        <w:rPr>
          <w:rFonts w:ascii="Garamond" w:hAnsi="Garamond"/>
          <w:kern w:val="1"/>
        </w:rPr>
        <w:t>British austerity policy’s</w:t>
      </w:r>
      <w:r w:rsidR="005108DE">
        <w:rPr>
          <w:rFonts w:ascii="Garamond" w:hAnsi="Garamond"/>
          <w:kern w:val="1"/>
        </w:rPr>
        <w:t xml:space="preserve"> impetus to cut costs at this time coincided with the logic of behaviour change theory which aimed to shift responsibility away from the state and onto the individual. </w:t>
      </w:r>
      <w:bookmarkEnd w:id="0"/>
      <w:r>
        <w:rPr>
          <w:rFonts w:ascii="Garamond" w:hAnsi="Garamond"/>
          <w:kern w:val="1"/>
        </w:rPr>
        <w:t xml:space="preserve">This paper argues </w:t>
      </w:r>
      <w:r w:rsidR="00CA360C">
        <w:rPr>
          <w:rFonts w:ascii="Garamond" w:hAnsi="Garamond"/>
          <w:kern w:val="1"/>
        </w:rPr>
        <w:t>that the government has drawn citizens in to a ‘game-like’ relationship</w:t>
      </w:r>
      <w:r w:rsidR="0033793D" w:rsidRPr="009B7A4A">
        <w:rPr>
          <w:rFonts w:ascii="Garamond" w:hAnsi="Garamond"/>
          <w:kern w:val="1"/>
        </w:rPr>
        <w:t xml:space="preserve"> </w:t>
      </w:r>
      <w:r w:rsidR="00CA360C">
        <w:rPr>
          <w:rFonts w:ascii="Garamond" w:hAnsi="Garamond"/>
          <w:kern w:val="1"/>
        </w:rPr>
        <w:t>where by the state seeks</w:t>
      </w:r>
      <w:r w:rsidR="0033793D" w:rsidRPr="009B7A4A">
        <w:rPr>
          <w:rFonts w:ascii="Garamond" w:hAnsi="Garamond"/>
          <w:kern w:val="1"/>
        </w:rPr>
        <w:t xml:space="preserve"> “to become the most skilful nudger” (Leggett 2014:14</w:t>
      </w:r>
      <w:r w:rsidR="00934D16">
        <w:rPr>
          <w:rFonts w:ascii="Garamond" w:hAnsi="Garamond"/>
          <w:kern w:val="1"/>
        </w:rPr>
        <w:t xml:space="preserve">). </w:t>
      </w:r>
      <w:r w:rsidR="00CA360C">
        <w:rPr>
          <w:rFonts w:ascii="Garamond" w:hAnsi="Garamond"/>
          <w:kern w:val="1"/>
        </w:rPr>
        <w:t xml:space="preserve">These ‘nudges’ have come under criticism for being manipulative: </w:t>
      </w:r>
      <w:r w:rsidR="00E62A2C" w:rsidRPr="00112825">
        <w:rPr>
          <w:rFonts w:ascii="Garamond" w:hAnsi="Garamond"/>
          <w:i/>
          <w:kern w:val="1"/>
        </w:rPr>
        <w:t>The Guardian</w:t>
      </w:r>
      <w:r w:rsidR="00E62A2C">
        <w:rPr>
          <w:rFonts w:ascii="Garamond" w:hAnsi="Garamond"/>
          <w:kern w:val="1"/>
        </w:rPr>
        <w:t xml:space="preserve"> </w:t>
      </w:r>
      <w:r w:rsidR="00CA360C">
        <w:rPr>
          <w:rFonts w:ascii="Garamond" w:hAnsi="Garamond"/>
          <w:kern w:val="1"/>
        </w:rPr>
        <w:t xml:space="preserve">has reported that one psychometric test reported outcomes which </w:t>
      </w:r>
      <w:r w:rsidR="00E62A2C">
        <w:rPr>
          <w:rFonts w:ascii="Garamond" w:hAnsi="Garamond"/>
          <w:kern w:val="1"/>
        </w:rPr>
        <w:t xml:space="preserve"> did not correspond to the answers </w:t>
      </w:r>
      <w:r w:rsidR="00CA360C">
        <w:rPr>
          <w:rFonts w:ascii="Garamond" w:hAnsi="Garamond"/>
          <w:kern w:val="1"/>
        </w:rPr>
        <w:t>inputted by jobseekers asked to take it</w:t>
      </w:r>
      <w:r w:rsidR="00E62A2C">
        <w:rPr>
          <w:rFonts w:ascii="Garamond" w:hAnsi="Garamond"/>
          <w:kern w:val="1"/>
        </w:rPr>
        <w:t xml:space="preserve"> </w:t>
      </w:r>
      <w:r w:rsidR="00E62A2C" w:rsidRPr="009B7A4A">
        <w:rPr>
          <w:rFonts w:ascii="Garamond" w:hAnsi="Garamond"/>
          <w:kern w:val="1"/>
        </w:rPr>
        <w:t>(Malik 2013</w:t>
      </w:r>
      <w:r w:rsidR="00E62A2C">
        <w:rPr>
          <w:rFonts w:ascii="Garamond" w:hAnsi="Garamond"/>
          <w:kern w:val="1"/>
        </w:rPr>
        <w:t xml:space="preserve">). </w:t>
      </w:r>
    </w:p>
    <w:p w14:paraId="0F076E9A" w14:textId="77777777" w:rsidR="00C377ED" w:rsidRDefault="00C377ED" w:rsidP="00F27620">
      <w:pPr>
        <w:spacing w:line="480" w:lineRule="auto"/>
        <w:rPr>
          <w:rFonts w:ascii="Garamond" w:hAnsi="Garamond"/>
        </w:rPr>
      </w:pPr>
    </w:p>
    <w:p w14:paraId="105ECA47" w14:textId="729678AB" w:rsidR="00E936C0" w:rsidRPr="00854374" w:rsidRDefault="00E936C0" w:rsidP="00F27620">
      <w:pPr>
        <w:spacing w:line="480" w:lineRule="auto"/>
        <w:rPr>
          <w:rFonts w:ascii="Garamond" w:hAnsi="Garamond"/>
          <w:b/>
        </w:rPr>
      </w:pPr>
      <w:r w:rsidRPr="009B7A4A">
        <w:rPr>
          <w:rFonts w:ascii="Garamond" w:hAnsi="Garamond"/>
        </w:rPr>
        <w:t xml:space="preserve">There is a growing geographical literature on the significant role of behavioural psychology on policy in the </w:t>
      </w:r>
      <w:r w:rsidR="0033793D" w:rsidRPr="009B7A4A">
        <w:rPr>
          <w:rFonts w:ascii="Garamond" w:hAnsi="Garamond"/>
        </w:rPr>
        <w:t>U</w:t>
      </w:r>
      <w:r w:rsidRPr="009B7A4A">
        <w:rPr>
          <w:rFonts w:ascii="Garamond" w:hAnsi="Garamond"/>
        </w:rPr>
        <w:t xml:space="preserve">nited </w:t>
      </w:r>
      <w:r w:rsidR="0033793D" w:rsidRPr="009B7A4A">
        <w:rPr>
          <w:rFonts w:ascii="Garamond" w:hAnsi="Garamond"/>
        </w:rPr>
        <w:t>K</w:t>
      </w:r>
      <w:r w:rsidRPr="009B7A4A">
        <w:rPr>
          <w:rFonts w:ascii="Garamond" w:hAnsi="Garamond"/>
        </w:rPr>
        <w:t>ingdom and around the world (Jones et al. 201</w:t>
      </w:r>
      <w:r w:rsidR="00966808">
        <w:rPr>
          <w:rFonts w:ascii="Garamond" w:hAnsi="Garamond"/>
        </w:rPr>
        <w:t>1a</w:t>
      </w:r>
      <w:r w:rsidRPr="009B7A4A">
        <w:rPr>
          <w:rFonts w:ascii="Garamond" w:hAnsi="Garamond"/>
        </w:rPr>
        <w:t xml:space="preserve">, </w:t>
      </w:r>
      <w:r w:rsidR="00966808">
        <w:rPr>
          <w:rFonts w:ascii="Garamond" w:hAnsi="Garamond"/>
        </w:rPr>
        <w:t>b</w:t>
      </w:r>
      <w:r w:rsidRPr="009B7A4A">
        <w:rPr>
          <w:rFonts w:ascii="Garamond" w:hAnsi="Garamond"/>
        </w:rPr>
        <w:t>, 201</w:t>
      </w:r>
      <w:r w:rsidR="00966808">
        <w:rPr>
          <w:rFonts w:ascii="Garamond" w:hAnsi="Garamond"/>
        </w:rPr>
        <w:t>3</w:t>
      </w:r>
      <w:r w:rsidRPr="009B7A4A">
        <w:rPr>
          <w:rFonts w:ascii="Garamond" w:hAnsi="Garamond"/>
        </w:rPr>
        <w:t>; Pykett 2012</w:t>
      </w:r>
      <w:r w:rsidR="00D45B0F">
        <w:rPr>
          <w:rFonts w:ascii="Garamond" w:hAnsi="Garamond"/>
        </w:rPr>
        <w:t>, 2013</w:t>
      </w:r>
      <w:r w:rsidRPr="009B7A4A">
        <w:rPr>
          <w:rFonts w:ascii="Garamond" w:hAnsi="Garamond"/>
        </w:rPr>
        <w:t xml:space="preserve">; Pykett et al. </w:t>
      </w:r>
      <w:r w:rsidR="009B3280">
        <w:rPr>
          <w:rFonts w:ascii="Garamond" w:hAnsi="Garamond"/>
        </w:rPr>
        <w:t>2016</w:t>
      </w:r>
      <w:r w:rsidR="00E62A2C">
        <w:rPr>
          <w:rFonts w:ascii="Garamond" w:hAnsi="Garamond"/>
        </w:rPr>
        <w:t>;</w:t>
      </w:r>
      <w:r w:rsidR="00E62A2C" w:rsidRPr="00E62A2C">
        <w:rPr>
          <w:rFonts w:ascii="Garamond" w:hAnsi="Garamond"/>
        </w:rPr>
        <w:t xml:space="preserve"> </w:t>
      </w:r>
      <w:r w:rsidR="00E62A2C" w:rsidRPr="009B7A4A">
        <w:rPr>
          <w:rFonts w:ascii="Garamond" w:hAnsi="Garamond"/>
        </w:rPr>
        <w:t>Reid &amp; Ellsworth Krebs 2018</w:t>
      </w:r>
      <w:r w:rsidR="00E62A2C">
        <w:rPr>
          <w:rFonts w:ascii="Garamond" w:hAnsi="Garamond"/>
        </w:rPr>
        <w:t>; Whitehead et al. 2011, 2014</w:t>
      </w:r>
      <w:r w:rsidRPr="009B7A4A">
        <w:rPr>
          <w:rFonts w:ascii="Garamond" w:hAnsi="Garamond"/>
        </w:rPr>
        <w:t xml:space="preserve">). Most </w:t>
      </w:r>
      <w:r w:rsidRPr="009B7A4A">
        <w:rPr>
          <w:rFonts w:ascii="Garamond" w:hAnsi="Garamond"/>
        </w:rPr>
        <w:lastRenderedPageBreak/>
        <w:t xml:space="preserve">recently </w:t>
      </w:r>
      <w:r w:rsidR="00105DC8">
        <w:rPr>
          <w:rFonts w:ascii="Garamond" w:hAnsi="Garamond"/>
        </w:rPr>
        <w:t>Whitehead et al.</w:t>
      </w:r>
      <w:r w:rsidRPr="009B7A4A">
        <w:rPr>
          <w:rFonts w:ascii="Garamond" w:hAnsi="Garamond"/>
        </w:rPr>
        <w:t xml:space="preserve"> 201</w:t>
      </w:r>
      <w:r w:rsidR="00D45B0F">
        <w:rPr>
          <w:rFonts w:ascii="Garamond" w:hAnsi="Garamond"/>
        </w:rPr>
        <w:t>7</w:t>
      </w:r>
      <w:r w:rsidRPr="009B7A4A">
        <w:rPr>
          <w:rFonts w:ascii="Garamond" w:hAnsi="Garamond"/>
        </w:rPr>
        <w:t xml:space="preserve">, the authors </w:t>
      </w:r>
      <w:r w:rsidR="00101A5E">
        <w:rPr>
          <w:rFonts w:ascii="Garamond" w:hAnsi="Garamond"/>
        </w:rPr>
        <w:t>describe what they call</w:t>
      </w:r>
      <w:r w:rsidRPr="009B7A4A">
        <w:rPr>
          <w:rFonts w:ascii="Garamond" w:hAnsi="Garamond"/>
        </w:rPr>
        <w:t xml:space="preserve"> </w:t>
      </w:r>
      <w:r w:rsidR="00101A5E">
        <w:rPr>
          <w:rFonts w:ascii="Garamond" w:hAnsi="Garamond"/>
        </w:rPr>
        <w:t>‘</w:t>
      </w:r>
      <w:r w:rsidRPr="009B7A4A">
        <w:rPr>
          <w:rFonts w:ascii="Garamond" w:hAnsi="Garamond"/>
        </w:rPr>
        <w:t>neuroliberalism</w:t>
      </w:r>
      <w:r w:rsidR="00101A5E">
        <w:rPr>
          <w:rFonts w:ascii="Garamond" w:hAnsi="Garamond"/>
        </w:rPr>
        <w:t xml:space="preserve">’; </w:t>
      </w:r>
      <w:r w:rsidRPr="009B7A4A">
        <w:rPr>
          <w:rFonts w:ascii="Garamond" w:hAnsi="Garamond"/>
        </w:rPr>
        <w:t>the governance of human behaviour based on psychological, neurological, and behavioural insights</w:t>
      </w:r>
      <w:r w:rsidR="00101A5E">
        <w:rPr>
          <w:rFonts w:ascii="Garamond" w:hAnsi="Garamond"/>
        </w:rPr>
        <w:t>. This brings</w:t>
      </w:r>
      <w:r w:rsidR="00C377ED">
        <w:rPr>
          <w:rFonts w:ascii="Garamond" w:hAnsi="Garamond"/>
        </w:rPr>
        <w:t xml:space="preserve"> into question </w:t>
      </w:r>
      <w:r w:rsidRPr="009B7A4A">
        <w:rPr>
          <w:rFonts w:ascii="Garamond" w:hAnsi="Garamond"/>
        </w:rPr>
        <w:t>how w</w:t>
      </w:r>
      <w:r w:rsidR="00E62A2C">
        <w:rPr>
          <w:rFonts w:ascii="Garamond" w:hAnsi="Garamond"/>
        </w:rPr>
        <w:t>e consider what is and what is no</w:t>
      </w:r>
      <w:r w:rsidRPr="009B7A4A">
        <w:rPr>
          <w:rFonts w:ascii="Garamond" w:hAnsi="Garamond"/>
        </w:rPr>
        <w:t>t “state space” (</w:t>
      </w:r>
      <w:r w:rsidR="00C377ED" w:rsidRPr="009B7A4A">
        <w:rPr>
          <w:rFonts w:ascii="Garamond" w:hAnsi="Garamond"/>
        </w:rPr>
        <w:t xml:space="preserve">Jones et al. </w:t>
      </w:r>
      <w:r w:rsidRPr="009B7A4A">
        <w:rPr>
          <w:rFonts w:ascii="Garamond" w:hAnsi="Garamond"/>
        </w:rPr>
        <w:t>2013:40).</w:t>
      </w:r>
      <w:r w:rsidR="00854374">
        <w:rPr>
          <w:rFonts w:ascii="Garamond" w:hAnsi="Garamond"/>
        </w:rPr>
        <w:t xml:space="preserve"> </w:t>
      </w:r>
      <w:r w:rsidR="00854374" w:rsidRPr="009B7A4A">
        <w:rPr>
          <w:rFonts w:ascii="Garamond" w:hAnsi="Garamond"/>
        </w:rPr>
        <w:t xml:space="preserve">It is not in the remit of this paper to theorise the state, </w:t>
      </w:r>
      <w:r w:rsidR="00854374">
        <w:rPr>
          <w:rFonts w:ascii="Garamond" w:hAnsi="Garamond"/>
        </w:rPr>
        <w:t>I follow Jones et al. in recognising that</w:t>
      </w:r>
      <w:r w:rsidR="00854374" w:rsidRPr="009B7A4A">
        <w:rPr>
          <w:rFonts w:ascii="Garamond" w:hAnsi="Garamond"/>
        </w:rPr>
        <w:t xml:space="preserve"> </w:t>
      </w:r>
      <w:r w:rsidR="00854374">
        <w:rPr>
          <w:rFonts w:ascii="Garamond" w:hAnsi="Garamond"/>
        </w:rPr>
        <w:t xml:space="preserve">“peopled </w:t>
      </w:r>
      <w:r w:rsidR="00854374" w:rsidRPr="009B7A4A">
        <w:rPr>
          <w:rFonts w:ascii="Garamond" w:hAnsi="Garamond"/>
        </w:rPr>
        <w:t>encounters</w:t>
      </w:r>
      <w:r w:rsidR="00854374">
        <w:rPr>
          <w:rFonts w:ascii="Garamond" w:hAnsi="Garamond"/>
        </w:rPr>
        <w:t xml:space="preserve"> […] with state apparatus” </w:t>
      </w:r>
      <w:r w:rsidR="00854374" w:rsidRPr="009B7A4A">
        <w:rPr>
          <w:rFonts w:ascii="Garamond" w:hAnsi="Garamond"/>
        </w:rPr>
        <w:t>(2013:36)</w:t>
      </w:r>
      <w:r w:rsidR="00854374">
        <w:rPr>
          <w:rFonts w:ascii="Garamond" w:hAnsi="Garamond"/>
        </w:rPr>
        <w:t xml:space="preserve"> </w:t>
      </w:r>
      <w:r w:rsidR="00854374" w:rsidRPr="009B7A4A">
        <w:rPr>
          <w:rFonts w:ascii="Garamond" w:hAnsi="Garamond"/>
        </w:rPr>
        <w:t>produce a</w:t>
      </w:r>
      <w:r w:rsidR="00854374">
        <w:rPr>
          <w:rFonts w:ascii="Garamond" w:hAnsi="Garamond"/>
        </w:rPr>
        <w:t xml:space="preserve"> singular</w:t>
      </w:r>
      <w:r w:rsidR="00854374" w:rsidRPr="009B7A4A">
        <w:rPr>
          <w:rFonts w:ascii="Garamond" w:hAnsi="Garamond"/>
        </w:rPr>
        <w:t xml:space="preserve"> image of the state </w:t>
      </w:r>
      <w:r w:rsidR="00854374">
        <w:rPr>
          <w:rFonts w:ascii="Garamond" w:hAnsi="Garamond"/>
        </w:rPr>
        <w:t xml:space="preserve">for the individuals who encounter its diverse structures.  </w:t>
      </w:r>
    </w:p>
    <w:p w14:paraId="221F64CC" w14:textId="77777777" w:rsidR="00E936C0" w:rsidRPr="009B7A4A" w:rsidRDefault="00E936C0" w:rsidP="00F27620">
      <w:pPr>
        <w:spacing w:line="480" w:lineRule="auto"/>
        <w:rPr>
          <w:rFonts w:ascii="Garamond" w:hAnsi="Garamond"/>
        </w:rPr>
      </w:pPr>
    </w:p>
    <w:p w14:paraId="7B420DC3" w14:textId="535A8D00" w:rsidR="00E936C0" w:rsidRPr="009B7A4A" w:rsidRDefault="00854374" w:rsidP="00F27620">
      <w:pPr>
        <w:spacing w:line="480" w:lineRule="auto"/>
        <w:rPr>
          <w:rFonts w:ascii="Garamond" w:hAnsi="Garamond"/>
        </w:rPr>
      </w:pPr>
      <w:r w:rsidRPr="009B7A4A">
        <w:rPr>
          <w:rFonts w:ascii="Garamond" w:hAnsi="Garamond"/>
        </w:rPr>
        <w:t xml:space="preserve">Central to the logic of behaviour change policy is what Whitehead et al. have called “governing irrationality”, they characterise the focus of these policies as “nothing less than the nature of the human subject, the relationship between our conscious and subconscious selves, and the complex interface between the rational and the irrational” (2011:2819).  </w:t>
      </w:r>
      <w:r>
        <w:rPr>
          <w:rFonts w:ascii="Garamond" w:hAnsi="Garamond"/>
        </w:rPr>
        <w:t>T</w:t>
      </w:r>
      <w:r w:rsidR="00CA360C" w:rsidRPr="009B7A4A">
        <w:rPr>
          <w:rFonts w:ascii="Garamond" w:hAnsi="Garamond"/>
        </w:rPr>
        <w:t>his paper argues that</w:t>
      </w:r>
      <w:r w:rsidR="00CA360C">
        <w:rPr>
          <w:rFonts w:ascii="Garamond" w:hAnsi="Garamond"/>
        </w:rPr>
        <w:t xml:space="preserve"> wherever government policy attempt</w:t>
      </w:r>
      <w:r w:rsidR="00CA360C" w:rsidRPr="009B7A4A">
        <w:rPr>
          <w:rFonts w:ascii="Garamond" w:hAnsi="Garamond"/>
        </w:rPr>
        <w:t>s to territorialise the minutiae of precarious lives</w:t>
      </w:r>
      <w:r w:rsidR="00CA360C">
        <w:rPr>
          <w:rFonts w:ascii="Garamond" w:hAnsi="Garamond"/>
        </w:rPr>
        <w:t>,</w:t>
      </w:r>
      <w:r w:rsidR="00CA360C" w:rsidRPr="009B7A4A">
        <w:rPr>
          <w:rFonts w:ascii="Garamond" w:hAnsi="Garamond"/>
        </w:rPr>
        <w:t xml:space="preserve"> </w:t>
      </w:r>
      <w:r>
        <w:rPr>
          <w:rFonts w:ascii="Garamond" w:hAnsi="Garamond"/>
        </w:rPr>
        <w:t xml:space="preserve">it </w:t>
      </w:r>
      <w:r w:rsidR="006C3BAB">
        <w:rPr>
          <w:rFonts w:ascii="Garamond" w:hAnsi="Garamond"/>
        </w:rPr>
        <w:t xml:space="preserve">undermines the very ontology of those in most severe need. </w:t>
      </w:r>
    </w:p>
    <w:p w14:paraId="42C94EB2" w14:textId="77777777" w:rsidR="0033793D" w:rsidRPr="009B7A4A" w:rsidRDefault="0033793D" w:rsidP="00F27620">
      <w:pPr>
        <w:spacing w:line="480" w:lineRule="auto"/>
        <w:rPr>
          <w:rFonts w:ascii="Garamond" w:hAnsi="Garamond"/>
        </w:rPr>
      </w:pPr>
    </w:p>
    <w:p w14:paraId="3016ED3F" w14:textId="38C7E3A0" w:rsidR="00E936C0" w:rsidRPr="009B7A4A" w:rsidRDefault="00C377ED" w:rsidP="00F27620">
      <w:pPr>
        <w:spacing w:line="480" w:lineRule="auto"/>
        <w:rPr>
          <w:rFonts w:ascii="Garamond" w:hAnsi="Garamond"/>
        </w:rPr>
      </w:pPr>
      <w:r>
        <w:rPr>
          <w:rFonts w:ascii="Garamond" w:hAnsi="Garamond"/>
        </w:rPr>
        <w:t>2</w:t>
      </w:r>
      <w:r w:rsidR="00E936C0" w:rsidRPr="009B7A4A">
        <w:rPr>
          <w:rFonts w:ascii="Garamond" w:hAnsi="Garamond"/>
        </w:rPr>
        <w:t>.</w:t>
      </w:r>
      <w:r w:rsidR="00E62A2C">
        <w:rPr>
          <w:rFonts w:ascii="Garamond" w:hAnsi="Garamond"/>
        </w:rPr>
        <w:t>3</w:t>
      </w:r>
      <w:r w:rsidR="00E936C0" w:rsidRPr="009B7A4A">
        <w:rPr>
          <w:rFonts w:ascii="Garamond" w:hAnsi="Garamond"/>
        </w:rPr>
        <w:t xml:space="preserve"> Precarious Ontologies</w:t>
      </w:r>
    </w:p>
    <w:p w14:paraId="45E79402" w14:textId="6025E16C" w:rsidR="00B44FDA" w:rsidRPr="009B7A4A" w:rsidRDefault="00B44FDA" w:rsidP="00F27620">
      <w:pPr>
        <w:spacing w:line="480" w:lineRule="auto"/>
        <w:rPr>
          <w:rFonts w:ascii="Garamond" w:hAnsi="Garamond"/>
        </w:rPr>
      </w:pPr>
    </w:p>
    <w:p w14:paraId="7A986A04" w14:textId="2582B778" w:rsidR="00E936C0" w:rsidRPr="009B7A4A" w:rsidRDefault="006C3BAB" w:rsidP="00F27620">
      <w:pPr>
        <w:spacing w:line="480" w:lineRule="auto"/>
        <w:rPr>
          <w:rFonts w:ascii="Garamond" w:hAnsi="Garamond"/>
        </w:rPr>
      </w:pPr>
      <w:r>
        <w:rPr>
          <w:rFonts w:ascii="Garamond" w:hAnsi="Garamond"/>
        </w:rPr>
        <w:t>The previous section (2.2) has suggested that under the influence of behavioural psychology British social policy intervenes</w:t>
      </w:r>
      <w:r w:rsidR="005948EC" w:rsidRPr="009B7A4A">
        <w:rPr>
          <w:rFonts w:ascii="Garamond" w:hAnsi="Garamond"/>
        </w:rPr>
        <w:t xml:space="preserve"> into the smallest geographies of marginalised people. In creating sets of conditions that govern the most minute everyday geographies of daily life the state (in its broadest co</w:t>
      </w:r>
      <w:r w:rsidR="00E62A2C">
        <w:rPr>
          <w:rFonts w:ascii="Garamond" w:hAnsi="Garamond"/>
        </w:rPr>
        <w:t>nfiguration</w:t>
      </w:r>
      <w:r w:rsidR="005948EC" w:rsidRPr="009B7A4A">
        <w:rPr>
          <w:rFonts w:ascii="Garamond" w:hAnsi="Garamond"/>
        </w:rPr>
        <w:t xml:space="preserve">) moves away from any structural responsibility regarding social need and instead implies that it is a matter of encouraging ‘correct’ behaviour. </w:t>
      </w:r>
      <w:r w:rsidR="00484985" w:rsidRPr="009B7A4A">
        <w:rPr>
          <w:rFonts w:ascii="Garamond" w:hAnsi="Garamond"/>
        </w:rPr>
        <w:t xml:space="preserve">From this emerges a game-like politics </w:t>
      </w:r>
      <w:r w:rsidR="00E62A2C">
        <w:rPr>
          <w:rFonts w:ascii="Garamond" w:hAnsi="Garamond"/>
        </w:rPr>
        <w:t>that</w:t>
      </w:r>
      <w:r w:rsidR="00484985" w:rsidRPr="009B7A4A">
        <w:rPr>
          <w:rFonts w:ascii="Garamond" w:hAnsi="Garamond"/>
        </w:rPr>
        <w:t xml:space="preserve"> attempts to introduce new ‘rules’ into the daily lives of marginalised individuals </w:t>
      </w:r>
      <w:r w:rsidR="00C377ED">
        <w:rPr>
          <w:rFonts w:ascii="Garamond" w:hAnsi="Garamond"/>
        </w:rPr>
        <w:t>in the hope that they start</w:t>
      </w:r>
      <w:r w:rsidR="00484985" w:rsidRPr="009B7A4A">
        <w:rPr>
          <w:rFonts w:ascii="Garamond" w:hAnsi="Garamond"/>
        </w:rPr>
        <w:t xml:space="preserve"> adapting their </w:t>
      </w:r>
      <w:r w:rsidR="00C377ED">
        <w:rPr>
          <w:rFonts w:ascii="Garamond" w:hAnsi="Garamond"/>
        </w:rPr>
        <w:t>lives</w:t>
      </w:r>
      <w:r w:rsidR="00484985" w:rsidRPr="009B7A4A">
        <w:rPr>
          <w:rFonts w:ascii="Garamond" w:hAnsi="Garamond"/>
        </w:rPr>
        <w:t xml:space="preserve">. The consequence of these interventions </w:t>
      </w:r>
      <w:r w:rsidR="004D23BF">
        <w:rPr>
          <w:rFonts w:ascii="Garamond" w:hAnsi="Garamond"/>
        </w:rPr>
        <w:t xml:space="preserve">is that individuals </w:t>
      </w:r>
      <w:r>
        <w:rPr>
          <w:rFonts w:ascii="Garamond" w:hAnsi="Garamond"/>
        </w:rPr>
        <w:t xml:space="preserve">are </w:t>
      </w:r>
      <w:r w:rsidR="00DE48A3">
        <w:rPr>
          <w:rFonts w:ascii="Garamond" w:hAnsi="Garamond"/>
        </w:rPr>
        <w:t>treated as if</w:t>
      </w:r>
      <w:r w:rsidR="00484985" w:rsidRPr="009B7A4A">
        <w:rPr>
          <w:rFonts w:ascii="Garamond" w:hAnsi="Garamond"/>
        </w:rPr>
        <w:t xml:space="preserve"> they</w:t>
      </w:r>
      <w:r w:rsidR="00DE48A3">
        <w:rPr>
          <w:rFonts w:ascii="Garamond" w:hAnsi="Garamond"/>
        </w:rPr>
        <w:t xml:space="preserve"> are</w:t>
      </w:r>
      <w:r w:rsidR="00484985" w:rsidRPr="009B7A4A">
        <w:rPr>
          <w:rFonts w:ascii="Garamond" w:hAnsi="Garamond"/>
        </w:rPr>
        <w:t xml:space="preserve"> </w:t>
      </w:r>
      <w:r>
        <w:rPr>
          <w:rFonts w:ascii="Garamond" w:hAnsi="Garamond"/>
        </w:rPr>
        <w:t>incapable of being</w:t>
      </w:r>
      <w:r w:rsidR="00484985" w:rsidRPr="009B7A4A">
        <w:rPr>
          <w:rFonts w:ascii="Garamond" w:hAnsi="Garamond"/>
        </w:rPr>
        <w:t xml:space="preserve"> responsible for their own lives, </w:t>
      </w:r>
      <w:r w:rsidR="004D23BF">
        <w:rPr>
          <w:rFonts w:ascii="Garamond" w:hAnsi="Garamond"/>
        </w:rPr>
        <w:t xml:space="preserve">since </w:t>
      </w:r>
      <w:r>
        <w:rPr>
          <w:rFonts w:ascii="Garamond" w:hAnsi="Garamond"/>
        </w:rPr>
        <w:t>even their most inner motivations are assumed to be in need of state intervention</w:t>
      </w:r>
      <w:r w:rsidR="00484985" w:rsidRPr="009B7A4A">
        <w:rPr>
          <w:rFonts w:ascii="Garamond" w:hAnsi="Garamond"/>
        </w:rPr>
        <w:t xml:space="preserve">. </w:t>
      </w:r>
    </w:p>
    <w:p w14:paraId="52F9A947" w14:textId="77777777" w:rsidR="00484985" w:rsidRPr="009B7A4A" w:rsidRDefault="00484985" w:rsidP="00F27620">
      <w:pPr>
        <w:spacing w:line="480" w:lineRule="auto"/>
        <w:rPr>
          <w:rFonts w:ascii="Garamond" w:hAnsi="Garamond"/>
        </w:rPr>
      </w:pPr>
    </w:p>
    <w:p w14:paraId="44281D61" w14:textId="22C54F89" w:rsidR="00E936C0" w:rsidRPr="009B7A4A" w:rsidRDefault="00484985" w:rsidP="00F27620">
      <w:pPr>
        <w:spacing w:line="480" w:lineRule="auto"/>
        <w:rPr>
          <w:rFonts w:ascii="Garamond" w:hAnsi="Garamond"/>
        </w:rPr>
      </w:pPr>
      <w:r w:rsidRPr="009B7A4A">
        <w:rPr>
          <w:rFonts w:ascii="Garamond" w:hAnsi="Garamond"/>
        </w:rPr>
        <w:lastRenderedPageBreak/>
        <w:t xml:space="preserve">The sense of autonomy in one’s own being </w:t>
      </w:r>
      <w:r w:rsidR="00F127CA">
        <w:rPr>
          <w:rFonts w:ascii="Garamond" w:hAnsi="Garamond"/>
        </w:rPr>
        <w:t xml:space="preserve">was </w:t>
      </w:r>
      <w:r w:rsidRPr="009B7A4A">
        <w:rPr>
          <w:rFonts w:ascii="Garamond" w:hAnsi="Garamond"/>
        </w:rPr>
        <w:t xml:space="preserve">described by the psychoanalyst R.D. Laing as </w:t>
      </w:r>
      <w:r w:rsidR="00E936C0" w:rsidRPr="009B7A4A">
        <w:rPr>
          <w:rFonts w:ascii="Garamond" w:hAnsi="Garamond"/>
        </w:rPr>
        <w:t>ontological security (</w:t>
      </w:r>
      <w:r w:rsidR="004E3034">
        <w:rPr>
          <w:rFonts w:ascii="Garamond" w:hAnsi="Garamond"/>
        </w:rPr>
        <w:t>2010 [</w:t>
      </w:r>
      <w:r w:rsidR="008C2D3B">
        <w:rPr>
          <w:rFonts w:ascii="Garamond" w:hAnsi="Garamond"/>
        </w:rPr>
        <w:t>1969</w:t>
      </w:r>
      <w:r w:rsidR="004E3034">
        <w:rPr>
          <w:rFonts w:ascii="Garamond" w:hAnsi="Garamond"/>
        </w:rPr>
        <w:t>]</w:t>
      </w:r>
      <w:r w:rsidR="00E936C0" w:rsidRPr="009B7A4A">
        <w:rPr>
          <w:rFonts w:ascii="Garamond" w:hAnsi="Garamond"/>
        </w:rPr>
        <w:t>)</w:t>
      </w:r>
      <w:r w:rsidR="00F127CA">
        <w:rPr>
          <w:rFonts w:ascii="Garamond" w:hAnsi="Garamond"/>
        </w:rPr>
        <w:t xml:space="preserve">, </w:t>
      </w:r>
      <w:r w:rsidRPr="009B7A4A">
        <w:rPr>
          <w:rFonts w:ascii="Garamond" w:hAnsi="Garamond"/>
        </w:rPr>
        <w:t>a concept</w:t>
      </w:r>
      <w:r w:rsidR="00E936C0" w:rsidRPr="009B7A4A">
        <w:rPr>
          <w:rFonts w:ascii="Garamond" w:hAnsi="Garamond"/>
        </w:rPr>
        <w:t xml:space="preserve"> </w:t>
      </w:r>
      <w:r w:rsidRPr="009B7A4A">
        <w:rPr>
          <w:rFonts w:ascii="Garamond" w:hAnsi="Garamond"/>
        </w:rPr>
        <w:t>subsequently</w:t>
      </w:r>
      <w:r w:rsidR="00E936C0" w:rsidRPr="009B7A4A">
        <w:rPr>
          <w:rFonts w:ascii="Garamond" w:hAnsi="Garamond"/>
        </w:rPr>
        <w:t xml:space="preserve"> taken up by Giddens (1991) and more recently by geographers such as Philo (2012, 2014), Bondi (2014) and Waite, Valentine &amp; Lewis (2014). For Laing ontological security denote</w:t>
      </w:r>
      <w:r w:rsidR="006C3BAB">
        <w:rPr>
          <w:rFonts w:ascii="Garamond" w:hAnsi="Garamond"/>
        </w:rPr>
        <w:t>s</w:t>
      </w:r>
      <w:r w:rsidR="00E936C0" w:rsidRPr="009B7A4A">
        <w:rPr>
          <w:rFonts w:ascii="Garamond" w:hAnsi="Garamond"/>
        </w:rPr>
        <w:t xml:space="preserve"> a state of confident autonomy, an individual experiencing their “own being as real, alive, whole; as differentiated from the rest of the world” (</w:t>
      </w:r>
      <w:r w:rsidR="00E936C0" w:rsidRPr="004E3034">
        <w:rPr>
          <w:rFonts w:ascii="Garamond" w:hAnsi="Garamond"/>
        </w:rPr>
        <w:t>Laing 2010: 41-42).</w:t>
      </w:r>
      <w:r w:rsidR="00E936C0" w:rsidRPr="009B7A4A">
        <w:rPr>
          <w:rFonts w:ascii="Garamond" w:hAnsi="Garamond"/>
        </w:rPr>
        <w:t xml:space="preserve"> Philo uses Laing’s term to refer to the “closest in” geographies of security (2012:3),</w:t>
      </w:r>
      <w:r w:rsidR="004D23BF">
        <w:rPr>
          <w:rFonts w:ascii="Garamond" w:hAnsi="Garamond"/>
        </w:rPr>
        <w:t xml:space="preserve"> also offering </w:t>
      </w:r>
      <w:r w:rsidR="00E936C0" w:rsidRPr="009B7A4A">
        <w:rPr>
          <w:rFonts w:ascii="Garamond" w:hAnsi="Garamond"/>
        </w:rPr>
        <w:t xml:space="preserve">a way to describe the feelings and anxieties of those who feel “unplaced” and hence ontologically </w:t>
      </w:r>
      <w:r w:rsidR="00E936C0" w:rsidRPr="009B7A4A">
        <w:rPr>
          <w:rFonts w:ascii="Garamond" w:hAnsi="Garamond"/>
          <w:i/>
        </w:rPr>
        <w:t>(in)</w:t>
      </w:r>
      <w:r w:rsidR="00E936C0" w:rsidRPr="009B7A4A">
        <w:rPr>
          <w:rFonts w:ascii="Garamond" w:hAnsi="Garamond"/>
        </w:rPr>
        <w:t xml:space="preserve">secure (Philo 2014:288). </w:t>
      </w:r>
      <w:r w:rsidR="00105DC8">
        <w:rPr>
          <w:rFonts w:ascii="Garamond" w:hAnsi="Garamond"/>
        </w:rPr>
        <w:t xml:space="preserve">At the soup kitchen I </w:t>
      </w:r>
      <w:r w:rsidR="004D23BF">
        <w:rPr>
          <w:rFonts w:ascii="Garamond" w:hAnsi="Garamond"/>
        </w:rPr>
        <w:t>witnessed</w:t>
      </w:r>
      <w:r w:rsidR="00105DC8">
        <w:rPr>
          <w:rFonts w:ascii="Garamond" w:hAnsi="Garamond"/>
        </w:rPr>
        <w:t xml:space="preserve"> </w:t>
      </w:r>
      <w:r w:rsidR="00E936C0" w:rsidRPr="009B7A4A">
        <w:rPr>
          <w:rFonts w:ascii="Garamond" w:hAnsi="Garamond"/>
        </w:rPr>
        <w:t xml:space="preserve">service users’ lives </w:t>
      </w:r>
      <w:r w:rsidR="00105DC8">
        <w:rPr>
          <w:rFonts w:ascii="Garamond" w:hAnsi="Garamond"/>
        </w:rPr>
        <w:t xml:space="preserve">being </w:t>
      </w:r>
      <w:r w:rsidR="00E936C0" w:rsidRPr="009B7A4A">
        <w:rPr>
          <w:rFonts w:ascii="Garamond" w:hAnsi="Garamond"/>
        </w:rPr>
        <w:t>undermined and literally denied place geographically, socially and psychologically. This feeling of being unplaced encourages what Philo calls “contorted strategies” in search of security (2014:288</w:t>
      </w:r>
      <w:r w:rsidR="00105DC8">
        <w:rPr>
          <w:rFonts w:ascii="Garamond" w:hAnsi="Garamond"/>
        </w:rPr>
        <w:t xml:space="preserve">). </w:t>
      </w:r>
    </w:p>
    <w:p w14:paraId="51FBEAE1" w14:textId="77777777" w:rsidR="00E936C0" w:rsidRPr="009B7A4A" w:rsidRDefault="00E936C0" w:rsidP="00F27620">
      <w:pPr>
        <w:spacing w:line="480" w:lineRule="auto"/>
        <w:rPr>
          <w:rFonts w:ascii="Garamond" w:hAnsi="Garamond"/>
        </w:rPr>
      </w:pPr>
    </w:p>
    <w:p w14:paraId="103F74C0" w14:textId="65601BFF" w:rsidR="00E936C0" w:rsidRPr="009B7A4A" w:rsidRDefault="00C803B9" w:rsidP="00F27620">
      <w:pPr>
        <w:spacing w:line="480" w:lineRule="auto"/>
        <w:rPr>
          <w:rFonts w:ascii="Garamond" w:hAnsi="Garamond"/>
        </w:rPr>
      </w:pPr>
      <w:r>
        <w:rPr>
          <w:rFonts w:ascii="Garamond" w:hAnsi="Garamond"/>
        </w:rPr>
        <w:t>The consistent undermining of marginalised lives through the territorialisation of close-in geographies detailed above actively produces a subject which is left contorting themselves to claim their own autonomy</w:t>
      </w:r>
      <w:r w:rsidR="00CC57AC">
        <w:rPr>
          <w:rFonts w:ascii="Garamond" w:hAnsi="Garamond"/>
        </w:rPr>
        <w:t xml:space="preserve">. </w:t>
      </w:r>
      <w:r>
        <w:rPr>
          <w:rFonts w:ascii="Garamond" w:hAnsi="Garamond"/>
        </w:rPr>
        <w:t xml:space="preserve">This might be usefully read in relation to Marx’s early 1832 manuscript on Alienation which makes a somewhat existentialist argument that the economic alienation of the individual from the means of </w:t>
      </w:r>
      <w:r w:rsidR="00C034BA">
        <w:rPr>
          <w:rFonts w:ascii="Garamond" w:hAnsi="Garamond"/>
        </w:rPr>
        <w:t xml:space="preserve">economic </w:t>
      </w:r>
      <w:r>
        <w:rPr>
          <w:rFonts w:ascii="Garamond" w:hAnsi="Garamond"/>
        </w:rPr>
        <w:t>produc</w:t>
      </w:r>
      <w:r w:rsidR="00C034BA">
        <w:rPr>
          <w:rFonts w:ascii="Garamond" w:hAnsi="Garamond"/>
        </w:rPr>
        <w:t>tion</w:t>
      </w:r>
      <w:r>
        <w:rPr>
          <w:rFonts w:ascii="Garamond" w:hAnsi="Garamond"/>
        </w:rPr>
        <w:t xml:space="preserve"> corresponds to the social alienation of one person from another (2000)</w:t>
      </w:r>
      <w:r w:rsidR="00E936C0" w:rsidRPr="009B7A4A">
        <w:rPr>
          <w:rFonts w:ascii="Garamond" w:hAnsi="Garamond"/>
        </w:rPr>
        <w:t xml:space="preserve">. </w:t>
      </w:r>
      <w:r>
        <w:rPr>
          <w:rFonts w:ascii="Garamond" w:hAnsi="Garamond"/>
        </w:rPr>
        <w:t xml:space="preserve">The point being that as this paper goes on to consider the apparently ‘irrational’ language of conspiracy it is important to ask how </w:t>
      </w:r>
      <w:r w:rsidR="00C034BA">
        <w:rPr>
          <w:rFonts w:ascii="Garamond" w:hAnsi="Garamond"/>
        </w:rPr>
        <w:t xml:space="preserve">such marginalised forms of thinking </w:t>
      </w:r>
      <w:r>
        <w:rPr>
          <w:rFonts w:ascii="Garamond" w:hAnsi="Garamond"/>
        </w:rPr>
        <w:t xml:space="preserve">might be </w:t>
      </w:r>
      <w:r w:rsidR="00C034BA">
        <w:rPr>
          <w:rFonts w:ascii="Garamond" w:hAnsi="Garamond"/>
        </w:rPr>
        <w:t>as a consequence</w:t>
      </w:r>
      <w:r>
        <w:rPr>
          <w:rFonts w:ascii="Garamond" w:hAnsi="Garamond"/>
        </w:rPr>
        <w:t xml:space="preserve"> of </w:t>
      </w:r>
      <w:r w:rsidR="00C034BA">
        <w:rPr>
          <w:rFonts w:ascii="Garamond" w:hAnsi="Garamond"/>
        </w:rPr>
        <w:t>social precarity</w:t>
      </w:r>
      <w:r>
        <w:rPr>
          <w:rFonts w:ascii="Garamond" w:hAnsi="Garamond"/>
        </w:rPr>
        <w:t xml:space="preserve">.  </w:t>
      </w:r>
      <w:r w:rsidR="00E936C0" w:rsidRPr="009B7A4A">
        <w:rPr>
          <w:rFonts w:ascii="Garamond" w:hAnsi="Garamond"/>
        </w:rPr>
        <w:t xml:space="preserve">I wish to argue from the furthest out structures of society towards </w:t>
      </w:r>
      <w:r>
        <w:rPr>
          <w:rFonts w:ascii="Garamond" w:hAnsi="Garamond"/>
        </w:rPr>
        <w:t>th</w:t>
      </w:r>
      <w:r w:rsidR="00E936C0" w:rsidRPr="009B7A4A">
        <w:rPr>
          <w:rFonts w:ascii="Garamond" w:hAnsi="Garamond"/>
        </w:rPr>
        <w:t>e “closest in” (Philo 2014:288) effects of such economic and social structural inequalities.</w:t>
      </w:r>
    </w:p>
    <w:p w14:paraId="6D6EA11F" w14:textId="77777777" w:rsidR="00E936C0" w:rsidRPr="009B7A4A" w:rsidRDefault="00E936C0" w:rsidP="00F27620">
      <w:pPr>
        <w:spacing w:line="480" w:lineRule="auto"/>
        <w:rPr>
          <w:rFonts w:ascii="Garamond" w:hAnsi="Garamond"/>
        </w:rPr>
      </w:pPr>
    </w:p>
    <w:p w14:paraId="48280504" w14:textId="1F5372C0" w:rsidR="00E936C0" w:rsidRPr="009B7A4A" w:rsidRDefault="00E936C0" w:rsidP="00F27620">
      <w:pPr>
        <w:spacing w:line="480" w:lineRule="auto"/>
        <w:rPr>
          <w:rFonts w:ascii="Garamond" w:hAnsi="Garamond"/>
        </w:rPr>
      </w:pPr>
      <w:r w:rsidRPr="009B7A4A">
        <w:rPr>
          <w:rFonts w:ascii="Garamond" w:hAnsi="Garamond"/>
        </w:rPr>
        <w:t>This use of psychoanalysis to illuminate the psychological effects of societal structure subverts the logic of behavioural econom</w:t>
      </w:r>
      <w:r w:rsidR="004D23BF">
        <w:rPr>
          <w:rFonts w:ascii="Garamond" w:hAnsi="Garamond"/>
        </w:rPr>
        <w:t xml:space="preserve">ics (Thaler and Sunstein 2009). </w:t>
      </w:r>
      <w:r w:rsidRPr="009B7A4A">
        <w:rPr>
          <w:rFonts w:ascii="Garamond" w:hAnsi="Garamond"/>
        </w:rPr>
        <w:t xml:space="preserve">Where, on one hand, the ideology of ‘nudging’ holds that the state can effect specific behavioural change in order to enact </w:t>
      </w:r>
      <w:r w:rsidRPr="009B7A4A">
        <w:rPr>
          <w:rFonts w:ascii="Garamond" w:hAnsi="Garamond"/>
        </w:rPr>
        <w:lastRenderedPageBreak/>
        <w:t xml:space="preserve">broad social improvements; this </w:t>
      </w:r>
      <w:r w:rsidR="004D23BF">
        <w:rPr>
          <w:rFonts w:ascii="Garamond" w:hAnsi="Garamond"/>
        </w:rPr>
        <w:t>paper explores how</w:t>
      </w:r>
      <w:r w:rsidRPr="009B7A4A">
        <w:rPr>
          <w:rFonts w:ascii="Garamond" w:hAnsi="Garamond"/>
        </w:rPr>
        <w:t xml:space="preserve"> the treatment of those most precarious members of society specifically limits the ability of such individuals to achieve ontological security. </w:t>
      </w:r>
      <w:r w:rsidR="00105DC8">
        <w:rPr>
          <w:rFonts w:ascii="Garamond" w:hAnsi="Garamond"/>
        </w:rPr>
        <w:t xml:space="preserve">The following section suggests that conspiracy theories are a response to this situation. </w:t>
      </w:r>
      <w:r w:rsidR="00DE48A3">
        <w:rPr>
          <w:rFonts w:ascii="Garamond" w:hAnsi="Garamond"/>
        </w:rPr>
        <w:t xml:space="preserve">Though by </w:t>
      </w:r>
      <w:r w:rsidR="00DE48A3" w:rsidRPr="009B7A4A">
        <w:rPr>
          <w:rFonts w:ascii="Garamond" w:hAnsi="Garamond"/>
        </w:rPr>
        <w:t>referring to psychoanalytical theory I am not suggesting that conspiracy theory</w:t>
      </w:r>
      <w:r w:rsidR="00DE48A3">
        <w:rPr>
          <w:rFonts w:ascii="Garamond" w:hAnsi="Garamond"/>
        </w:rPr>
        <w:t xml:space="preserve"> at the soup kitchen</w:t>
      </w:r>
      <w:r w:rsidR="00DE48A3" w:rsidRPr="009B7A4A">
        <w:rPr>
          <w:rFonts w:ascii="Garamond" w:hAnsi="Garamond"/>
        </w:rPr>
        <w:t xml:space="preserve"> is a symptom of mental ill-health</w:t>
      </w:r>
      <w:r w:rsidR="00DE48A3">
        <w:rPr>
          <w:rFonts w:ascii="Garamond" w:hAnsi="Garamond"/>
        </w:rPr>
        <w:t xml:space="preserve"> </w:t>
      </w:r>
      <w:r w:rsidR="00DE48A3" w:rsidRPr="009B7A4A">
        <w:rPr>
          <w:rFonts w:ascii="Garamond" w:hAnsi="Garamond"/>
        </w:rPr>
        <w:t xml:space="preserve">(see Fenster 2008:8 on Hofstadter </w:t>
      </w:r>
      <w:r w:rsidR="00DE48A3">
        <w:rPr>
          <w:rFonts w:ascii="Garamond" w:hAnsi="Garamond"/>
        </w:rPr>
        <w:t>2012</w:t>
      </w:r>
      <w:r w:rsidR="00DE48A3" w:rsidRPr="009B7A4A">
        <w:rPr>
          <w:rFonts w:ascii="Garamond" w:hAnsi="Garamond"/>
        </w:rPr>
        <w:t>)</w:t>
      </w:r>
      <w:r w:rsidR="00DE48A3">
        <w:rPr>
          <w:rFonts w:ascii="Garamond" w:hAnsi="Garamond"/>
        </w:rPr>
        <w:t xml:space="preserve">, but a contortion in political speech which results from the precarity of life on the margins of society. </w:t>
      </w:r>
    </w:p>
    <w:p w14:paraId="54C24B7D" w14:textId="3CD6EA0E" w:rsidR="0033793D" w:rsidRPr="009B7A4A" w:rsidRDefault="0033793D" w:rsidP="00F27620">
      <w:pPr>
        <w:spacing w:line="480" w:lineRule="auto"/>
        <w:rPr>
          <w:rFonts w:ascii="Garamond" w:hAnsi="Garamond"/>
        </w:rPr>
      </w:pPr>
    </w:p>
    <w:p w14:paraId="14BFAC5C" w14:textId="456474A1" w:rsidR="0033793D" w:rsidRPr="009B7A4A" w:rsidRDefault="00DE094B" w:rsidP="00F27620">
      <w:pPr>
        <w:spacing w:line="480" w:lineRule="auto"/>
        <w:rPr>
          <w:rFonts w:ascii="Garamond" w:hAnsi="Garamond"/>
        </w:rPr>
      </w:pPr>
      <w:r>
        <w:rPr>
          <w:rFonts w:ascii="Garamond" w:hAnsi="Garamond"/>
        </w:rPr>
        <w:t>2</w:t>
      </w:r>
      <w:r w:rsidR="0033793D" w:rsidRPr="009B7A4A">
        <w:rPr>
          <w:rFonts w:ascii="Garamond" w:hAnsi="Garamond"/>
        </w:rPr>
        <w:t xml:space="preserve">.4 </w:t>
      </w:r>
      <w:r w:rsidR="002A3565" w:rsidRPr="009B7A4A">
        <w:rPr>
          <w:rFonts w:ascii="Garamond" w:hAnsi="Garamond"/>
        </w:rPr>
        <w:t>Conspiracy theory as a precarious political geography</w:t>
      </w:r>
    </w:p>
    <w:p w14:paraId="05794128" w14:textId="77777777" w:rsidR="0033793D" w:rsidRPr="009B7A4A" w:rsidRDefault="0033793D" w:rsidP="00F27620">
      <w:pPr>
        <w:spacing w:line="480" w:lineRule="auto"/>
        <w:rPr>
          <w:rFonts w:ascii="Garamond" w:hAnsi="Garamond"/>
        </w:rPr>
      </w:pPr>
    </w:p>
    <w:p w14:paraId="145E9AE2" w14:textId="1F43924B" w:rsidR="009F0039" w:rsidRPr="009B7A4A" w:rsidRDefault="0033793D" w:rsidP="00F27620">
      <w:pPr>
        <w:spacing w:line="480" w:lineRule="auto"/>
        <w:rPr>
          <w:rFonts w:ascii="Garamond" w:hAnsi="Garamond"/>
        </w:rPr>
      </w:pPr>
      <w:r w:rsidRPr="009B7A4A">
        <w:rPr>
          <w:rFonts w:ascii="Garamond" w:hAnsi="Garamond"/>
        </w:rPr>
        <w:t>Conspiracy theories have been a feature of geopolitical research (</w:t>
      </w:r>
      <w:r w:rsidR="0068327C" w:rsidRPr="009B7A4A">
        <w:rPr>
          <w:rFonts w:ascii="Garamond" w:hAnsi="Garamond"/>
        </w:rPr>
        <w:t>Cairns 2014</w:t>
      </w:r>
      <w:r w:rsidR="0068327C">
        <w:rPr>
          <w:rFonts w:ascii="Garamond" w:hAnsi="Garamond"/>
        </w:rPr>
        <w:t>;</w:t>
      </w:r>
      <w:r w:rsidR="0068327C" w:rsidRPr="0068327C">
        <w:rPr>
          <w:rFonts w:ascii="Garamond" w:hAnsi="Garamond"/>
        </w:rPr>
        <w:t xml:space="preserve"> </w:t>
      </w:r>
      <w:r w:rsidR="0068327C" w:rsidRPr="009B7A4A">
        <w:rPr>
          <w:rFonts w:ascii="Garamond" w:hAnsi="Garamond"/>
        </w:rPr>
        <w:t>Dittmer 2010;</w:t>
      </w:r>
      <w:r w:rsidR="0068327C">
        <w:rPr>
          <w:rFonts w:ascii="Garamond" w:hAnsi="Garamond"/>
        </w:rPr>
        <w:t xml:space="preserve"> Jones</w:t>
      </w:r>
      <w:r w:rsidRPr="009B7A4A">
        <w:rPr>
          <w:rFonts w:ascii="Garamond" w:hAnsi="Garamond"/>
        </w:rPr>
        <w:t xml:space="preserve"> 20</w:t>
      </w:r>
      <w:r w:rsidR="009B3280">
        <w:rPr>
          <w:rFonts w:ascii="Garamond" w:hAnsi="Garamond"/>
        </w:rPr>
        <w:t>10</w:t>
      </w:r>
      <w:r w:rsidR="0068327C">
        <w:rPr>
          <w:rFonts w:ascii="Garamond" w:hAnsi="Garamond"/>
        </w:rPr>
        <w:t>, 2012; Kneale 2011</w:t>
      </w:r>
      <w:r w:rsidRPr="009B7A4A">
        <w:rPr>
          <w:rFonts w:ascii="Garamond" w:hAnsi="Garamond"/>
        </w:rPr>
        <w:t xml:space="preserve">) but the social context from which they arise and the ways in which they circulate discursively has not been researched </w:t>
      </w:r>
      <w:r w:rsidR="007547B9">
        <w:rPr>
          <w:rFonts w:ascii="Garamond" w:hAnsi="Garamond"/>
        </w:rPr>
        <w:t>at</w:t>
      </w:r>
      <w:r w:rsidRPr="009B7A4A">
        <w:rPr>
          <w:rFonts w:ascii="Garamond" w:hAnsi="Garamond"/>
        </w:rPr>
        <w:t xml:space="preserve"> intimate scales. This paper offers an empirical description of conspiracy theories as they circulate in the very close-in geography of the soup kitchen, </w:t>
      </w:r>
      <w:r w:rsidR="0068327C">
        <w:rPr>
          <w:rFonts w:ascii="Garamond" w:hAnsi="Garamond"/>
        </w:rPr>
        <w:t>instead of the</w:t>
      </w:r>
      <w:r w:rsidRPr="009B7A4A">
        <w:rPr>
          <w:rFonts w:ascii="Garamond" w:hAnsi="Garamond"/>
        </w:rPr>
        <w:t xml:space="preserve"> further out geographies of international politics. In the context of the soup kitchen conspiracy theories gesture towards an imagined large scale realm of state power </w:t>
      </w:r>
      <w:r w:rsidR="0068327C">
        <w:rPr>
          <w:rFonts w:ascii="Garamond" w:hAnsi="Garamond"/>
        </w:rPr>
        <w:t>that</w:t>
      </w:r>
      <w:r w:rsidR="00DE48A3">
        <w:rPr>
          <w:rFonts w:ascii="Garamond" w:hAnsi="Garamond"/>
        </w:rPr>
        <w:t>,</w:t>
      </w:r>
      <w:r w:rsidRPr="009B7A4A">
        <w:rPr>
          <w:rFonts w:ascii="Garamond" w:hAnsi="Garamond"/>
        </w:rPr>
        <w:t xml:space="preserve"> it is assumed</w:t>
      </w:r>
      <w:r w:rsidR="00DE48A3">
        <w:rPr>
          <w:rFonts w:ascii="Garamond" w:hAnsi="Garamond"/>
        </w:rPr>
        <w:t xml:space="preserve">, </w:t>
      </w:r>
      <w:r w:rsidRPr="009B7A4A">
        <w:rPr>
          <w:rFonts w:ascii="Garamond" w:hAnsi="Garamond"/>
        </w:rPr>
        <w:t xml:space="preserve">must hold an explanation for the claustrophobically constrained lives of the service users. </w:t>
      </w:r>
    </w:p>
    <w:p w14:paraId="6C0DC941" w14:textId="67EEACEF" w:rsidR="009F0039" w:rsidRPr="009B7A4A" w:rsidRDefault="009F0039" w:rsidP="00F27620">
      <w:pPr>
        <w:spacing w:line="480" w:lineRule="auto"/>
        <w:rPr>
          <w:rFonts w:ascii="Garamond" w:hAnsi="Garamond"/>
        </w:rPr>
      </w:pPr>
    </w:p>
    <w:p w14:paraId="6EA38E9E" w14:textId="370E5C83" w:rsidR="002A3565" w:rsidRPr="009B7A4A" w:rsidRDefault="009F0039" w:rsidP="00F27620">
      <w:pPr>
        <w:spacing w:line="480" w:lineRule="auto"/>
        <w:rPr>
          <w:rFonts w:ascii="Garamond" w:hAnsi="Garamond"/>
          <w:kern w:val="1"/>
        </w:rPr>
      </w:pPr>
      <w:r w:rsidRPr="009B7A4A">
        <w:rPr>
          <w:rFonts w:ascii="Garamond" w:hAnsi="Garamond"/>
          <w:kern w:val="1"/>
        </w:rPr>
        <w:t xml:space="preserve">When </w:t>
      </w:r>
      <w:r w:rsidR="007547B9">
        <w:rPr>
          <w:rFonts w:ascii="Garamond" w:hAnsi="Garamond"/>
          <w:kern w:val="1"/>
        </w:rPr>
        <w:t>first</w:t>
      </w:r>
      <w:r w:rsidRPr="009B7A4A">
        <w:rPr>
          <w:rFonts w:ascii="Garamond" w:hAnsi="Garamond"/>
          <w:kern w:val="1"/>
        </w:rPr>
        <w:t xml:space="preserve"> confronted by conspiratorial speech at the soup kitchen my response coincided with </w:t>
      </w:r>
      <w:r w:rsidR="0068327C">
        <w:rPr>
          <w:rFonts w:ascii="Garamond" w:hAnsi="Garamond"/>
          <w:kern w:val="1"/>
        </w:rPr>
        <w:t>Hofstadter’s</w:t>
      </w:r>
      <w:r w:rsidRPr="009B7A4A">
        <w:rPr>
          <w:rFonts w:ascii="Garamond" w:hAnsi="Garamond"/>
          <w:kern w:val="1"/>
        </w:rPr>
        <w:t xml:space="preserve">, </w:t>
      </w:r>
      <w:r w:rsidR="0068327C">
        <w:rPr>
          <w:rFonts w:ascii="Garamond" w:hAnsi="Garamond"/>
          <w:kern w:val="1"/>
        </w:rPr>
        <w:t>1964 article</w:t>
      </w:r>
      <w:r w:rsidRPr="009B7A4A">
        <w:rPr>
          <w:rFonts w:ascii="Garamond" w:hAnsi="Garamond"/>
          <w:kern w:val="1"/>
        </w:rPr>
        <w:t xml:space="preserve"> “The Paranoid Style in American Politics” (</w:t>
      </w:r>
      <w:r w:rsidR="009B3280">
        <w:rPr>
          <w:rFonts w:ascii="Garamond" w:hAnsi="Garamond"/>
          <w:kern w:val="1"/>
        </w:rPr>
        <w:t>2012</w:t>
      </w:r>
      <w:r w:rsidRPr="009B7A4A">
        <w:rPr>
          <w:rFonts w:ascii="Garamond" w:hAnsi="Garamond"/>
          <w:kern w:val="1"/>
        </w:rPr>
        <w:t xml:space="preserve">) </w:t>
      </w:r>
      <w:r w:rsidR="0085308D">
        <w:rPr>
          <w:rFonts w:ascii="Garamond" w:hAnsi="Garamond"/>
          <w:kern w:val="1"/>
        </w:rPr>
        <w:t xml:space="preserve">which </w:t>
      </w:r>
      <w:r w:rsidRPr="009B7A4A">
        <w:rPr>
          <w:rFonts w:ascii="Garamond" w:hAnsi="Garamond"/>
          <w:kern w:val="1"/>
        </w:rPr>
        <w:t>laid out a strongly derogatory position. Mark Fenster has characterised this position as a pathological take on the topic, casting conspiracy theory as “a malady or affliction which differs fundamentally from a healthy engagement in politics” (2008:8). Contrary to the geopolitical analyses cited above here the conspiracy theory appears as a phen</w:t>
      </w:r>
      <w:r w:rsidR="002A3565" w:rsidRPr="009B7A4A">
        <w:rPr>
          <w:rFonts w:ascii="Garamond" w:hAnsi="Garamond"/>
          <w:kern w:val="1"/>
        </w:rPr>
        <w:t>omena of the individual psyche, a close-in geography as opposed to a transnational on</w:t>
      </w:r>
      <w:r w:rsidR="00AB1318">
        <w:rPr>
          <w:rFonts w:ascii="Garamond" w:hAnsi="Garamond"/>
          <w:kern w:val="1"/>
        </w:rPr>
        <w:t xml:space="preserve">e. </w:t>
      </w:r>
    </w:p>
    <w:p w14:paraId="76EFB8F0" w14:textId="77777777" w:rsidR="002A3565" w:rsidRPr="009B7A4A" w:rsidRDefault="002A3565" w:rsidP="00F27620">
      <w:pPr>
        <w:spacing w:line="480" w:lineRule="auto"/>
        <w:rPr>
          <w:rFonts w:ascii="Garamond" w:hAnsi="Garamond"/>
          <w:kern w:val="1"/>
        </w:rPr>
      </w:pPr>
    </w:p>
    <w:p w14:paraId="24250288" w14:textId="6C58F291" w:rsidR="009F0039" w:rsidRPr="00DE094B" w:rsidRDefault="002A3565" w:rsidP="00F27620">
      <w:pPr>
        <w:spacing w:line="480" w:lineRule="auto"/>
        <w:rPr>
          <w:rFonts w:ascii="Garamond" w:hAnsi="Garamond"/>
        </w:rPr>
      </w:pPr>
      <w:r w:rsidRPr="009B7A4A">
        <w:rPr>
          <w:rFonts w:ascii="Garamond" w:hAnsi="Garamond"/>
          <w:kern w:val="1"/>
        </w:rPr>
        <w:lastRenderedPageBreak/>
        <w:t xml:space="preserve">The political geography of conspiracy </w:t>
      </w:r>
      <w:r w:rsidR="00AB1318">
        <w:rPr>
          <w:rFonts w:ascii="Garamond" w:hAnsi="Garamond"/>
          <w:kern w:val="1"/>
        </w:rPr>
        <w:t>is itself precarious.</w:t>
      </w:r>
      <w:r w:rsidRPr="009B7A4A">
        <w:rPr>
          <w:rFonts w:ascii="Garamond" w:hAnsi="Garamond"/>
          <w:kern w:val="1"/>
        </w:rPr>
        <w:t xml:space="preserve"> </w:t>
      </w:r>
      <w:r w:rsidR="00C034BA">
        <w:rPr>
          <w:rFonts w:ascii="Garamond" w:hAnsi="Garamond"/>
        </w:rPr>
        <w:t>Conspiracy</w:t>
      </w:r>
      <w:r w:rsidR="00DE094B">
        <w:rPr>
          <w:rFonts w:ascii="Garamond" w:hAnsi="Garamond"/>
        </w:rPr>
        <w:t xml:space="preserve"> theories </w:t>
      </w:r>
      <w:r w:rsidR="00C034BA">
        <w:rPr>
          <w:rFonts w:ascii="Garamond" w:hAnsi="Garamond"/>
        </w:rPr>
        <w:t xml:space="preserve">are spatially multi-scalar, they are seductive in part because they offer a way to negotiate the gulf between everyday life and global structural change. This multi-scalar logic </w:t>
      </w:r>
      <w:r w:rsidR="00DE48A3">
        <w:rPr>
          <w:rFonts w:ascii="Garamond" w:hAnsi="Garamond"/>
        </w:rPr>
        <w:t>shares an odd symmetry</w:t>
      </w:r>
      <w:r w:rsidR="00C034BA">
        <w:rPr>
          <w:rFonts w:ascii="Garamond" w:hAnsi="Garamond"/>
        </w:rPr>
        <w:t xml:space="preserve"> </w:t>
      </w:r>
      <w:r w:rsidR="00DE48A3">
        <w:rPr>
          <w:rFonts w:ascii="Garamond" w:hAnsi="Garamond"/>
        </w:rPr>
        <w:t>with</w:t>
      </w:r>
      <w:r w:rsidR="00C034BA">
        <w:rPr>
          <w:rFonts w:ascii="Garamond" w:hAnsi="Garamond"/>
        </w:rPr>
        <w:t xml:space="preserve"> that of post-crash austerity</w:t>
      </w:r>
      <w:r w:rsidR="00DE48A3">
        <w:rPr>
          <w:rFonts w:ascii="Garamond" w:hAnsi="Garamond"/>
        </w:rPr>
        <w:t xml:space="preserve"> policy</w:t>
      </w:r>
      <w:r w:rsidR="00C034BA">
        <w:rPr>
          <w:rFonts w:ascii="Garamond" w:hAnsi="Garamond"/>
        </w:rPr>
        <w:t xml:space="preserve"> which positions</w:t>
      </w:r>
      <w:r w:rsidR="00DE094B">
        <w:rPr>
          <w:rFonts w:ascii="Garamond" w:hAnsi="Garamond"/>
        </w:rPr>
        <w:t xml:space="preserve"> t</w:t>
      </w:r>
      <w:r w:rsidRPr="009B7A4A">
        <w:rPr>
          <w:rFonts w:ascii="Garamond" w:hAnsi="Garamond"/>
        </w:rPr>
        <w:t xml:space="preserve">he daily lives of the most </w:t>
      </w:r>
      <w:r w:rsidR="00DE094B">
        <w:rPr>
          <w:rFonts w:ascii="Garamond" w:hAnsi="Garamond"/>
        </w:rPr>
        <w:t xml:space="preserve">disadvantaged in society </w:t>
      </w:r>
      <w:r w:rsidR="00C034BA">
        <w:rPr>
          <w:rFonts w:ascii="Garamond" w:hAnsi="Garamond"/>
        </w:rPr>
        <w:t>as a nexus through which to compensate for a global economic crisis</w:t>
      </w:r>
      <w:r w:rsidRPr="009B7A4A">
        <w:rPr>
          <w:rFonts w:ascii="Garamond" w:hAnsi="Garamond"/>
        </w:rPr>
        <w:t xml:space="preserve">. </w:t>
      </w:r>
      <w:r w:rsidR="00DE48A3">
        <w:rPr>
          <w:rFonts w:ascii="Garamond" w:hAnsi="Garamond"/>
        </w:rPr>
        <w:t xml:space="preserve">The following section will use the soup kitchen as a case study to illustrate the precarious and game-like relationship between the state and those on the margins of society, setting the context for section 4’s analysis of conspiratorial political speech in this context. </w:t>
      </w:r>
    </w:p>
    <w:p w14:paraId="0FA06FE2" w14:textId="3C4F953A" w:rsidR="009F0039" w:rsidRPr="009B7A4A" w:rsidRDefault="009F0039" w:rsidP="00F27620">
      <w:pPr>
        <w:spacing w:line="480" w:lineRule="auto"/>
        <w:rPr>
          <w:rFonts w:ascii="Garamond" w:hAnsi="Garamond"/>
          <w:kern w:val="1"/>
        </w:rPr>
      </w:pPr>
    </w:p>
    <w:p w14:paraId="711152A7" w14:textId="76862F31" w:rsidR="004D79AB" w:rsidRPr="00AB1318" w:rsidRDefault="00AB1318" w:rsidP="00F27620">
      <w:pPr>
        <w:pStyle w:val="Heading2"/>
        <w:jc w:val="left"/>
        <w:rPr>
          <w:i w:val="0"/>
          <w:u w:val="none"/>
        </w:rPr>
      </w:pPr>
      <w:r>
        <w:rPr>
          <w:i w:val="0"/>
          <w:u w:val="none"/>
        </w:rPr>
        <w:t xml:space="preserve">3.1 Precarious games with the state at the soup kitchen </w:t>
      </w:r>
    </w:p>
    <w:p w14:paraId="0FC68D39" w14:textId="47477D5D" w:rsidR="000C0CF9" w:rsidRPr="009B7A4A" w:rsidRDefault="000C0CF9" w:rsidP="00F27620">
      <w:pPr>
        <w:spacing w:line="480" w:lineRule="auto"/>
        <w:rPr>
          <w:rFonts w:ascii="Garamond" w:hAnsi="Garamond"/>
        </w:rPr>
      </w:pPr>
    </w:p>
    <w:p w14:paraId="233DE7DF" w14:textId="5FBA9C57" w:rsidR="005E75FE" w:rsidRDefault="00016A98" w:rsidP="00F27620">
      <w:pPr>
        <w:spacing w:line="480" w:lineRule="auto"/>
        <w:rPr>
          <w:rFonts w:ascii="Garamond" w:hAnsi="Garamond"/>
        </w:rPr>
      </w:pPr>
      <w:r w:rsidRPr="009B7A4A">
        <w:rPr>
          <w:rFonts w:ascii="Garamond" w:hAnsi="Garamond"/>
        </w:rPr>
        <w:t xml:space="preserve">Brixton is </w:t>
      </w:r>
      <w:r>
        <w:rPr>
          <w:rFonts w:ascii="Garamond" w:hAnsi="Garamond"/>
        </w:rPr>
        <w:t>a</w:t>
      </w:r>
      <w:r w:rsidRPr="009B7A4A">
        <w:rPr>
          <w:rFonts w:ascii="Garamond" w:hAnsi="Garamond"/>
        </w:rPr>
        <w:t xml:space="preserve"> neighbourhood of London</w:t>
      </w:r>
      <w:r>
        <w:rPr>
          <w:rFonts w:ascii="Garamond" w:hAnsi="Garamond"/>
        </w:rPr>
        <w:t xml:space="preserve"> that</w:t>
      </w:r>
      <w:r w:rsidR="00AB1318">
        <w:rPr>
          <w:rFonts w:ascii="Garamond" w:hAnsi="Garamond"/>
        </w:rPr>
        <w:t>,</w:t>
      </w:r>
      <w:r>
        <w:rPr>
          <w:rFonts w:ascii="Garamond" w:hAnsi="Garamond"/>
        </w:rPr>
        <w:t xml:space="preserve"> despite undergoing rapid gentrification</w:t>
      </w:r>
      <w:r w:rsidR="00AB1318">
        <w:rPr>
          <w:rFonts w:ascii="Garamond" w:hAnsi="Garamond"/>
        </w:rPr>
        <w:t>,</w:t>
      </w:r>
      <w:r>
        <w:rPr>
          <w:rFonts w:ascii="Garamond" w:hAnsi="Garamond"/>
        </w:rPr>
        <w:t xml:space="preserve"> remains relatively deprived.</w:t>
      </w:r>
      <w:r w:rsidRPr="009B7A4A">
        <w:rPr>
          <w:rFonts w:ascii="Garamond" w:hAnsi="Garamond"/>
        </w:rPr>
        <w:t xml:space="preserve"> </w:t>
      </w:r>
      <w:r>
        <w:rPr>
          <w:rFonts w:ascii="Garamond" w:hAnsi="Garamond"/>
        </w:rPr>
        <w:t xml:space="preserve">The </w:t>
      </w:r>
      <w:r w:rsidRPr="009B7A4A">
        <w:rPr>
          <w:rFonts w:ascii="Garamond" w:hAnsi="Garamond"/>
        </w:rPr>
        <w:t>neighbourhood</w:t>
      </w:r>
      <w:r w:rsidR="005E75FE">
        <w:rPr>
          <w:rFonts w:ascii="Garamond" w:hAnsi="Garamond"/>
        </w:rPr>
        <w:t xml:space="preserve"> has been</w:t>
      </w:r>
      <w:r w:rsidRPr="009B7A4A">
        <w:rPr>
          <w:rFonts w:ascii="Garamond" w:hAnsi="Garamond"/>
        </w:rPr>
        <w:t xml:space="preserve"> at the heart of the </w:t>
      </w:r>
      <w:r w:rsidR="005E75FE">
        <w:rPr>
          <w:rFonts w:ascii="Garamond" w:hAnsi="Garamond"/>
        </w:rPr>
        <w:t xml:space="preserve">London </w:t>
      </w:r>
      <w:r w:rsidRPr="009B7A4A">
        <w:rPr>
          <w:rFonts w:ascii="Garamond" w:hAnsi="Garamond"/>
        </w:rPr>
        <w:t>Afro-Caribbean community since the arrival of post-World War II m</w:t>
      </w:r>
      <w:r w:rsidR="00AB1318">
        <w:rPr>
          <w:rFonts w:ascii="Garamond" w:hAnsi="Garamond"/>
        </w:rPr>
        <w:t xml:space="preserve">igrants from the </w:t>
      </w:r>
      <w:r w:rsidR="005E75FE">
        <w:rPr>
          <w:rFonts w:ascii="Garamond" w:hAnsi="Garamond"/>
        </w:rPr>
        <w:t>Caribbean</w:t>
      </w:r>
      <w:r w:rsidR="00AB1318">
        <w:rPr>
          <w:rFonts w:ascii="Garamond" w:hAnsi="Garamond"/>
        </w:rPr>
        <w:t>, a</w:t>
      </w:r>
      <w:r>
        <w:rPr>
          <w:rFonts w:ascii="Garamond" w:hAnsi="Garamond"/>
        </w:rPr>
        <w:t xml:space="preserve"> community who have recently suffered from the extreme nudging of the government</w:t>
      </w:r>
      <w:r w:rsidR="001A4E5F">
        <w:rPr>
          <w:rFonts w:ascii="Garamond" w:hAnsi="Garamond"/>
        </w:rPr>
        <w:t>’</w:t>
      </w:r>
      <w:r>
        <w:rPr>
          <w:rFonts w:ascii="Garamond" w:hAnsi="Garamond"/>
        </w:rPr>
        <w:t>s “hostile environment” policy towards migrants (Kirkup &amp; Winnett 2012).</w:t>
      </w:r>
      <w:r w:rsidRPr="009B7A4A">
        <w:rPr>
          <w:rFonts w:ascii="Garamond" w:hAnsi="Garamond"/>
        </w:rPr>
        <w:t xml:space="preserve"> It has been a space at the edge of London’s cultural and political geographies</w:t>
      </w:r>
      <w:r w:rsidR="00AB1318">
        <w:rPr>
          <w:rFonts w:ascii="Garamond" w:hAnsi="Garamond"/>
        </w:rPr>
        <w:t>,</w:t>
      </w:r>
      <w:r w:rsidRPr="009B7A4A">
        <w:rPr>
          <w:rFonts w:ascii="Garamond" w:hAnsi="Garamond"/>
        </w:rPr>
        <w:t xml:space="preserve"> welcoming </w:t>
      </w:r>
      <w:r w:rsidR="00AB1318">
        <w:rPr>
          <w:rFonts w:ascii="Garamond" w:hAnsi="Garamond"/>
        </w:rPr>
        <w:t xml:space="preserve">to </w:t>
      </w:r>
      <w:r w:rsidRPr="009B7A4A">
        <w:rPr>
          <w:rFonts w:ascii="Garamond" w:hAnsi="Garamond"/>
        </w:rPr>
        <w:t>minority groups, sub-cultures, and radical political groups</w:t>
      </w:r>
      <w:r>
        <w:rPr>
          <w:rFonts w:ascii="Garamond" w:hAnsi="Garamond"/>
        </w:rPr>
        <w:t>.</w:t>
      </w:r>
      <w:r w:rsidR="005E75FE">
        <w:rPr>
          <w:rFonts w:ascii="Garamond" w:hAnsi="Garamond"/>
        </w:rPr>
        <w:t xml:space="preserve"> The Geography of Brixton is simultaneously global and marginal, as such it has long been a site of encounter, and this is echoed in the soup kitchen, a small space on the fringes of Brixton’s centre, a space of multiple marginalisation. </w:t>
      </w:r>
    </w:p>
    <w:p w14:paraId="5E59E6C1" w14:textId="77777777" w:rsidR="00016A98" w:rsidRDefault="00016A98" w:rsidP="00F27620">
      <w:pPr>
        <w:spacing w:line="480" w:lineRule="auto"/>
        <w:rPr>
          <w:rFonts w:ascii="Garamond" w:hAnsi="Garamond"/>
        </w:rPr>
      </w:pPr>
    </w:p>
    <w:p w14:paraId="53115BC6" w14:textId="2693B238" w:rsidR="00B13ACE" w:rsidRDefault="00B13ACE" w:rsidP="00F27620">
      <w:pPr>
        <w:spacing w:line="480" w:lineRule="auto"/>
        <w:rPr>
          <w:rFonts w:ascii="Garamond" w:hAnsi="Garamond"/>
        </w:rPr>
      </w:pPr>
      <w:r w:rsidRPr="009B7A4A">
        <w:rPr>
          <w:rFonts w:ascii="Garamond" w:hAnsi="Garamond"/>
        </w:rPr>
        <w:t>During 2015, I carried out ethnographic research as part of a project designed to describe the rapid transformation of Brixton</w:t>
      </w:r>
      <w:r w:rsidRPr="009B7A4A">
        <w:rPr>
          <w:rStyle w:val="EndnoteReference"/>
          <w:rFonts w:ascii="Garamond" w:hAnsi="Garamond"/>
        </w:rPr>
        <w:endnoteReference w:id="1"/>
      </w:r>
      <w:r w:rsidRPr="009B7A4A">
        <w:rPr>
          <w:rFonts w:ascii="Garamond" w:hAnsi="Garamond"/>
        </w:rPr>
        <w:t xml:space="preserve">. Between April and December of that year, I visited the soup kitchen two to three days a week during opening hours 10am-2pm. </w:t>
      </w:r>
      <w:r w:rsidR="00105DC8">
        <w:rPr>
          <w:rFonts w:ascii="Garamond" w:hAnsi="Garamond"/>
        </w:rPr>
        <w:t xml:space="preserve">My status as a researcher was overt, but </w:t>
      </w:r>
      <w:r w:rsidR="00016A98">
        <w:rPr>
          <w:rFonts w:ascii="Garamond" w:hAnsi="Garamond"/>
        </w:rPr>
        <w:t>I took the role of volunteer, helping to organise</w:t>
      </w:r>
      <w:r w:rsidRPr="009B7A4A">
        <w:rPr>
          <w:rFonts w:ascii="Garamond" w:hAnsi="Garamond"/>
        </w:rPr>
        <w:t xml:space="preserve"> breakfast and lunch as well as chatting, playing cards and drinking tea. This sustained</w:t>
      </w:r>
      <w:r w:rsidR="00AB1318">
        <w:rPr>
          <w:rFonts w:ascii="Garamond" w:hAnsi="Garamond"/>
        </w:rPr>
        <w:t xml:space="preserve"> immersion</w:t>
      </w:r>
      <w:r w:rsidRPr="009B7A4A">
        <w:rPr>
          <w:rFonts w:ascii="Garamond" w:hAnsi="Garamond"/>
        </w:rPr>
        <w:t xml:space="preserve"> allowed me to develop close </w:t>
      </w:r>
      <w:r w:rsidRPr="009B7A4A">
        <w:rPr>
          <w:rFonts w:ascii="Garamond" w:hAnsi="Garamond"/>
        </w:rPr>
        <w:lastRenderedPageBreak/>
        <w:t xml:space="preserve">relationships with a core of 15 regular service users. Beyond this core there were a large number of additional service users who would come and go. </w:t>
      </w:r>
      <w:r w:rsidR="00016A98">
        <w:rPr>
          <w:rFonts w:ascii="Garamond" w:hAnsi="Garamond"/>
        </w:rPr>
        <w:t>I took detailed field notes du</w:t>
      </w:r>
      <w:r w:rsidR="00AB1318">
        <w:rPr>
          <w:rFonts w:ascii="Garamond" w:hAnsi="Garamond"/>
        </w:rPr>
        <w:t>ring or after each day and</w:t>
      </w:r>
      <w:r w:rsidR="00016A98">
        <w:rPr>
          <w:rFonts w:ascii="Garamond" w:hAnsi="Garamond"/>
        </w:rPr>
        <w:t xml:space="preserve"> these</w:t>
      </w:r>
      <w:r w:rsidRPr="009B7A4A">
        <w:rPr>
          <w:rFonts w:ascii="Garamond" w:hAnsi="Garamond"/>
        </w:rPr>
        <w:t xml:space="preserve"> form the basis for the </w:t>
      </w:r>
      <w:r w:rsidR="00AB1318">
        <w:rPr>
          <w:rFonts w:ascii="Garamond" w:hAnsi="Garamond"/>
        </w:rPr>
        <w:t xml:space="preserve">empirical </w:t>
      </w:r>
      <w:r w:rsidRPr="009B7A4A">
        <w:rPr>
          <w:rFonts w:ascii="Garamond" w:hAnsi="Garamond"/>
        </w:rPr>
        <w:t xml:space="preserve">material </w:t>
      </w:r>
      <w:r w:rsidR="00AB1318">
        <w:rPr>
          <w:rFonts w:ascii="Garamond" w:hAnsi="Garamond"/>
        </w:rPr>
        <w:t>that follows</w:t>
      </w:r>
      <w:r w:rsidRPr="009B7A4A">
        <w:rPr>
          <w:rFonts w:ascii="Garamond" w:hAnsi="Garamond"/>
        </w:rPr>
        <w:t>.</w:t>
      </w:r>
    </w:p>
    <w:p w14:paraId="641BBCEE" w14:textId="77777777" w:rsidR="00016A98" w:rsidRDefault="00016A98" w:rsidP="00F27620">
      <w:pPr>
        <w:spacing w:line="480" w:lineRule="auto"/>
        <w:rPr>
          <w:rFonts w:ascii="Garamond" w:hAnsi="Garamond"/>
        </w:rPr>
      </w:pPr>
    </w:p>
    <w:p w14:paraId="1A0C191D" w14:textId="6575A51C" w:rsidR="00010876" w:rsidRDefault="00B13ACE" w:rsidP="00F27620">
      <w:pPr>
        <w:spacing w:line="480" w:lineRule="auto"/>
        <w:rPr>
          <w:rFonts w:ascii="Garamond" w:hAnsi="Garamond"/>
        </w:rPr>
      </w:pPr>
      <w:r w:rsidRPr="009B7A4A">
        <w:rPr>
          <w:rFonts w:ascii="Garamond" w:hAnsi="Garamond"/>
        </w:rPr>
        <w:t>The soup kitchen was founded in 2013 by two young unemployed men who had been asked to carry out volunteering under threat of having benefits sanctioned. The founders were also experienced youth workers. Service users were sometimes homeless, very often in precarious housing such as a hostel</w:t>
      </w:r>
      <w:r w:rsidR="003A78F9">
        <w:rPr>
          <w:rFonts w:ascii="Garamond" w:hAnsi="Garamond"/>
        </w:rPr>
        <w:t xml:space="preserve"> and </w:t>
      </w:r>
      <w:r w:rsidRPr="009B7A4A">
        <w:rPr>
          <w:rFonts w:ascii="Garamond" w:hAnsi="Garamond"/>
        </w:rPr>
        <w:t>almost all of them, the soup kitchen</w:t>
      </w:r>
      <w:r w:rsidR="003A78F9">
        <w:rPr>
          <w:rFonts w:ascii="Garamond" w:hAnsi="Garamond"/>
        </w:rPr>
        <w:t xml:space="preserve"> staff estimate</w:t>
      </w:r>
      <w:r w:rsidRPr="009B7A4A">
        <w:rPr>
          <w:rFonts w:ascii="Garamond" w:hAnsi="Garamond"/>
        </w:rPr>
        <w:t xml:space="preserve"> 7</w:t>
      </w:r>
      <w:r w:rsidR="003A78F9">
        <w:rPr>
          <w:rFonts w:ascii="Garamond" w:hAnsi="Garamond"/>
        </w:rPr>
        <w:t>5%, have mental health problems. S</w:t>
      </w:r>
      <w:r w:rsidRPr="009B7A4A">
        <w:rPr>
          <w:rFonts w:ascii="Garamond" w:hAnsi="Garamond"/>
        </w:rPr>
        <w:t>imilarly</w:t>
      </w:r>
      <w:r w:rsidR="001A4E5F">
        <w:rPr>
          <w:rFonts w:ascii="Garamond" w:hAnsi="Garamond"/>
        </w:rPr>
        <w:t xml:space="preserve">, </w:t>
      </w:r>
      <w:r w:rsidRPr="009B7A4A">
        <w:rPr>
          <w:rFonts w:ascii="Garamond" w:hAnsi="Garamond"/>
        </w:rPr>
        <w:t>addiction was a very common factor in the lives of service users</w:t>
      </w:r>
      <w:r w:rsidR="00DE48A3">
        <w:rPr>
          <w:rFonts w:ascii="Garamond" w:hAnsi="Garamond"/>
        </w:rPr>
        <w:t>.</w:t>
      </w:r>
      <w:r w:rsidRPr="009B7A4A">
        <w:rPr>
          <w:rFonts w:ascii="Garamond" w:hAnsi="Garamond"/>
        </w:rPr>
        <w:t xml:space="preserve"> </w:t>
      </w:r>
    </w:p>
    <w:p w14:paraId="02207493" w14:textId="77777777" w:rsidR="00010876" w:rsidRDefault="00010876" w:rsidP="00F27620">
      <w:pPr>
        <w:spacing w:line="480" w:lineRule="auto"/>
        <w:rPr>
          <w:rFonts w:ascii="Garamond" w:hAnsi="Garamond"/>
        </w:rPr>
      </w:pPr>
    </w:p>
    <w:p w14:paraId="216FE8BA" w14:textId="25145698" w:rsidR="000C0CF9" w:rsidRPr="009B7A4A" w:rsidRDefault="003A78F9" w:rsidP="00F27620">
      <w:pPr>
        <w:spacing w:line="480" w:lineRule="auto"/>
        <w:rPr>
          <w:rFonts w:ascii="Garamond" w:hAnsi="Garamond"/>
        </w:rPr>
      </w:pPr>
      <w:r>
        <w:rPr>
          <w:rFonts w:ascii="Garamond" w:hAnsi="Garamond"/>
        </w:rPr>
        <w:t>Five</w:t>
      </w:r>
      <w:r w:rsidR="00861FC1" w:rsidRPr="009B7A4A">
        <w:rPr>
          <w:rFonts w:ascii="Garamond" w:hAnsi="Garamond"/>
        </w:rPr>
        <w:t xml:space="preserve"> days a week the soup kitchen would provide cereal, milk, and plentiful tea and coffee for breakfast and then a hot lunch prepared from donations from both loc</w:t>
      </w:r>
      <w:r>
        <w:rPr>
          <w:rFonts w:ascii="Garamond" w:hAnsi="Garamond"/>
        </w:rPr>
        <w:t xml:space="preserve">al and national businesses </w:t>
      </w:r>
      <w:r w:rsidR="00861FC1" w:rsidRPr="009B7A4A">
        <w:rPr>
          <w:rFonts w:ascii="Garamond" w:hAnsi="Garamond"/>
        </w:rPr>
        <w:t>solicited by the main volunteers through cea</w:t>
      </w:r>
      <w:r w:rsidR="00642469">
        <w:rPr>
          <w:rFonts w:ascii="Garamond" w:hAnsi="Garamond"/>
        </w:rPr>
        <w:t xml:space="preserve">seless networking. There were </w:t>
      </w:r>
      <w:r>
        <w:rPr>
          <w:rFonts w:ascii="Garamond" w:hAnsi="Garamond"/>
        </w:rPr>
        <w:t>five key</w:t>
      </w:r>
      <w:r w:rsidR="00861FC1" w:rsidRPr="009B7A4A">
        <w:rPr>
          <w:rFonts w:ascii="Garamond" w:hAnsi="Garamond"/>
        </w:rPr>
        <w:t xml:space="preserve"> volunteers </w:t>
      </w:r>
      <w:r>
        <w:rPr>
          <w:rFonts w:ascii="Garamond" w:hAnsi="Garamond"/>
        </w:rPr>
        <w:t>including the founders</w:t>
      </w:r>
      <w:r w:rsidR="00861FC1" w:rsidRPr="009B7A4A">
        <w:rPr>
          <w:rFonts w:ascii="Garamond" w:hAnsi="Garamond"/>
        </w:rPr>
        <w:t xml:space="preserve"> with numerous others that would drop in regularly or semi-regularly.</w:t>
      </w:r>
      <w:r w:rsidR="00010876">
        <w:rPr>
          <w:rFonts w:ascii="Garamond" w:hAnsi="Garamond"/>
        </w:rPr>
        <w:t xml:space="preserve"> The soup kitchen consi</w:t>
      </w:r>
      <w:r w:rsidR="00016A98">
        <w:rPr>
          <w:rFonts w:ascii="Garamond" w:hAnsi="Garamond"/>
        </w:rPr>
        <w:t>sted of a large open plan space</w:t>
      </w:r>
      <w:r w:rsidR="00010876">
        <w:rPr>
          <w:rFonts w:ascii="Garamond" w:hAnsi="Garamond"/>
        </w:rPr>
        <w:t xml:space="preserve"> </w:t>
      </w:r>
      <w:r w:rsidR="00016A98">
        <w:rPr>
          <w:rFonts w:ascii="Garamond" w:hAnsi="Garamond"/>
        </w:rPr>
        <w:t>on one floor of a converted Victorian house,</w:t>
      </w:r>
      <w:r w:rsidR="00010876">
        <w:rPr>
          <w:rFonts w:ascii="Garamond" w:hAnsi="Garamond"/>
        </w:rPr>
        <w:t xml:space="preserve"> </w:t>
      </w:r>
      <w:r>
        <w:rPr>
          <w:rFonts w:ascii="Garamond" w:hAnsi="Garamond"/>
        </w:rPr>
        <w:t>adjacent to</w:t>
      </w:r>
      <w:r w:rsidR="00010876">
        <w:rPr>
          <w:rFonts w:ascii="Garamond" w:hAnsi="Garamond"/>
        </w:rPr>
        <w:t xml:space="preserve"> a well-provisioned kitchen. </w:t>
      </w:r>
    </w:p>
    <w:p w14:paraId="3468AA16" w14:textId="2E51E356" w:rsidR="00BC1B40" w:rsidRPr="009B7A4A" w:rsidRDefault="00BC1B40" w:rsidP="00F27620">
      <w:pPr>
        <w:spacing w:line="480" w:lineRule="auto"/>
        <w:rPr>
          <w:rFonts w:ascii="Garamond" w:hAnsi="Garamond"/>
        </w:rPr>
      </w:pPr>
    </w:p>
    <w:p w14:paraId="65A73CC5" w14:textId="1D0A44C3" w:rsidR="004D79AB" w:rsidRPr="009B7A4A" w:rsidRDefault="00861FC1" w:rsidP="00F27620">
      <w:pPr>
        <w:spacing w:line="480" w:lineRule="auto"/>
        <w:rPr>
          <w:rFonts w:ascii="Garamond" w:hAnsi="Garamond"/>
          <w:kern w:val="1"/>
        </w:rPr>
      </w:pPr>
      <w:r w:rsidRPr="009B7A4A">
        <w:rPr>
          <w:rFonts w:ascii="Garamond" w:hAnsi="Garamond"/>
        </w:rPr>
        <w:t xml:space="preserve">In carrying out this research I was both ethnographer and volunteer, not necessarily in that order. </w:t>
      </w:r>
      <w:r w:rsidR="00BC1B40" w:rsidRPr="009B7A4A">
        <w:rPr>
          <w:rFonts w:ascii="Garamond" w:hAnsi="Garamond"/>
        </w:rPr>
        <w:t xml:space="preserve">Garthwaite has reflected on the particular role of </w:t>
      </w:r>
      <w:r w:rsidR="007A0F85" w:rsidRPr="009B7A4A">
        <w:rPr>
          <w:rFonts w:ascii="Garamond" w:hAnsi="Garamond"/>
        </w:rPr>
        <w:t>the “volunteer ethnographer” (201</w:t>
      </w:r>
      <w:r w:rsidR="009B3280">
        <w:rPr>
          <w:rFonts w:ascii="Garamond" w:hAnsi="Garamond"/>
        </w:rPr>
        <w:t>6c</w:t>
      </w:r>
      <w:r w:rsidR="007A0F85" w:rsidRPr="009B7A4A">
        <w:rPr>
          <w:rFonts w:ascii="Garamond" w:hAnsi="Garamond"/>
        </w:rPr>
        <w:t>:60) having a dual role as both researcher and volunteer led me to find, much like Garthwaite, that it can feel compromising to “apply a critical lens” (201</w:t>
      </w:r>
      <w:r w:rsidR="009B3280">
        <w:rPr>
          <w:rFonts w:ascii="Garamond" w:hAnsi="Garamond"/>
        </w:rPr>
        <w:t>6c</w:t>
      </w:r>
      <w:r w:rsidR="007A0F85" w:rsidRPr="009B7A4A">
        <w:rPr>
          <w:rFonts w:ascii="Garamond" w:hAnsi="Garamond"/>
        </w:rPr>
        <w:t>:69)  to people who have been friends, colleagues, and for whom you have been part of a structure of care. Rather than interrupt the caring nature of the space with extractive ‘interviews’ or tape recorders</w:t>
      </w:r>
      <w:r w:rsidR="003A78F9">
        <w:rPr>
          <w:rFonts w:ascii="Garamond" w:hAnsi="Garamond"/>
        </w:rPr>
        <w:t>,</w:t>
      </w:r>
      <w:r w:rsidR="007A0F85" w:rsidRPr="009B7A4A">
        <w:rPr>
          <w:rFonts w:ascii="Garamond" w:hAnsi="Garamond"/>
        </w:rPr>
        <w:t xml:space="preserve"> I </w:t>
      </w:r>
      <w:r w:rsidR="000C0CF9" w:rsidRPr="009B7A4A">
        <w:rPr>
          <w:rFonts w:ascii="Garamond" w:hAnsi="Garamond"/>
        </w:rPr>
        <w:t xml:space="preserve">focused on the capacity of the body and the concrete presence of the researcher to record </w:t>
      </w:r>
      <w:r w:rsidR="00010876">
        <w:rPr>
          <w:rFonts w:ascii="Garamond" w:hAnsi="Garamond"/>
        </w:rPr>
        <w:t>a “situate</w:t>
      </w:r>
      <w:r w:rsidR="003A78F9">
        <w:rPr>
          <w:rFonts w:ascii="Garamond" w:hAnsi="Garamond"/>
        </w:rPr>
        <w:t>d</w:t>
      </w:r>
      <w:r w:rsidR="00010876">
        <w:rPr>
          <w:rFonts w:ascii="Garamond" w:hAnsi="Garamond"/>
        </w:rPr>
        <w:t xml:space="preserve"> knowledge”</w:t>
      </w:r>
      <w:r w:rsidR="00016A98">
        <w:rPr>
          <w:rFonts w:ascii="Garamond" w:hAnsi="Garamond"/>
        </w:rPr>
        <w:t xml:space="preserve"> (Haraway 198</w:t>
      </w:r>
      <w:r w:rsidR="009B3280">
        <w:rPr>
          <w:rFonts w:ascii="Garamond" w:hAnsi="Garamond"/>
        </w:rPr>
        <w:t>8</w:t>
      </w:r>
      <w:r w:rsidR="00016A98">
        <w:rPr>
          <w:rFonts w:ascii="Garamond" w:hAnsi="Garamond"/>
        </w:rPr>
        <w:t>)</w:t>
      </w:r>
      <w:r w:rsidR="00830A38">
        <w:rPr>
          <w:rFonts w:ascii="Garamond" w:hAnsi="Garamond"/>
        </w:rPr>
        <w:t>.</w:t>
      </w:r>
      <w:r w:rsidR="00016A98">
        <w:rPr>
          <w:rFonts w:ascii="Garamond" w:hAnsi="Garamond"/>
        </w:rPr>
        <w:t xml:space="preserve"> </w:t>
      </w:r>
      <w:r w:rsidR="00830A38">
        <w:rPr>
          <w:rFonts w:ascii="Garamond" w:hAnsi="Garamond"/>
        </w:rPr>
        <w:t>Hall</w:t>
      </w:r>
      <w:r w:rsidR="00C66A7C">
        <w:rPr>
          <w:rFonts w:ascii="Garamond" w:hAnsi="Garamond"/>
        </w:rPr>
        <w:t>, in this journal,</w:t>
      </w:r>
      <w:r w:rsidR="00830A38">
        <w:rPr>
          <w:rFonts w:ascii="Garamond" w:hAnsi="Garamond"/>
        </w:rPr>
        <w:t xml:space="preserve"> has recently </w:t>
      </w:r>
      <w:r w:rsidR="00C66A7C">
        <w:rPr>
          <w:rFonts w:ascii="Garamond" w:hAnsi="Garamond"/>
        </w:rPr>
        <w:t xml:space="preserve">advocated for </w:t>
      </w:r>
      <w:r w:rsidR="00830A38">
        <w:rPr>
          <w:rFonts w:ascii="Garamond" w:hAnsi="Garamond"/>
        </w:rPr>
        <w:t xml:space="preserve">the value of feminist and </w:t>
      </w:r>
      <w:r w:rsidR="00830A38">
        <w:rPr>
          <w:rFonts w:ascii="Garamond" w:hAnsi="Garamond"/>
        </w:rPr>
        <w:lastRenderedPageBreak/>
        <w:t xml:space="preserve">ethnographic approaches to studying </w:t>
      </w:r>
      <w:r w:rsidR="003A78F9">
        <w:rPr>
          <w:rFonts w:ascii="Garamond" w:hAnsi="Garamond"/>
        </w:rPr>
        <w:t>the</w:t>
      </w:r>
      <w:r w:rsidR="00830A38">
        <w:rPr>
          <w:rFonts w:ascii="Garamond" w:hAnsi="Garamond"/>
        </w:rPr>
        <w:t xml:space="preserve"> geography of everyday austerity (2018)</w:t>
      </w:r>
      <w:r w:rsidR="00C66A7C">
        <w:rPr>
          <w:rFonts w:ascii="Garamond" w:hAnsi="Garamond"/>
        </w:rPr>
        <w:t xml:space="preserve">, </w:t>
      </w:r>
      <w:r w:rsidR="003A78F9">
        <w:rPr>
          <w:rFonts w:ascii="Garamond" w:hAnsi="Garamond"/>
        </w:rPr>
        <w:t>also recalling</w:t>
      </w:r>
      <w:r w:rsidR="00C66A7C">
        <w:rPr>
          <w:rFonts w:ascii="Garamond" w:hAnsi="Garamond"/>
        </w:rPr>
        <w:t xml:space="preserve"> Parr’s (1998) emphasis on embodied and ethnographic methods in researching mental health</w:t>
      </w:r>
      <w:r w:rsidR="000C0CF9" w:rsidRPr="009B7A4A">
        <w:rPr>
          <w:rFonts w:ascii="Garamond" w:hAnsi="Garamond"/>
        </w:rPr>
        <w:t xml:space="preserve">. </w:t>
      </w:r>
      <w:r w:rsidR="003A78F9">
        <w:rPr>
          <w:rFonts w:ascii="Garamond" w:hAnsi="Garamond"/>
        </w:rPr>
        <w:t>In place of</w:t>
      </w:r>
      <w:r w:rsidR="000C0CF9" w:rsidRPr="009B7A4A">
        <w:rPr>
          <w:rFonts w:ascii="Garamond" w:hAnsi="Garamond"/>
        </w:rPr>
        <w:t xml:space="preserve"> an approach which focuses on the life-story of individual service users</w:t>
      </w:r>
      <w:r w:rsidR="003A78F9">
        <w:rPr>
          <w:rFonts w:ascii="Garamond" w:hAnsi="Garamond"/>
        </w:rPr>
        <w:t>,</w:t>
      </w:r>
      <w:r w:rsidR="000C0CF9" w:rsidRPr="009B7A4A">
        <w:rPr>
          <w:rFonts w:ascii="Garamond" w:hAnsi="Garamond"/>
        </w:rPr>
        <w:t xml:space="preserve"> the data in this paper emerges from the soup kitchen’s complex space of encounter. In order to maintain this sense of place I </w:t>
      </w:r>
      <w:r w:rsidR="000C0CF9" w:rsidRPr="009B7A4A">
        <w:rPr>
          <w:rFonts w:ascii="Garamond" w:hAnsi="Garamond"/>
          <w:kern w:val="1"/>
        </w:rPr>
        <w:t>emphasise</w:t>
      </w:r>
      <w:r w:rsidR="004D79AB" w:rsidRPr="009B7A4A">
        <w:rPr>
          <w:rFonts w:ascii="Garamond" w:hAnsi="Garamond"/>
          <w:kern w:val="1"/>
        </w:rPr>
        <w:t xml:space="preserve"> writing and poetics </w:t>
      </w:r>
      <w:r w:rsidR="000C0CF9" w:rsidRPr="009B7A4A">
        <w:rPr>
          <w:rFonts w:ascii="Garamond" w:hAnsi="Garamond"/>
          <w:kern w:val="1"/>
        </w:rPr>
        <w:t>as techniques for</w:t>
      </w:r>
      <w:r w:rsidR="004D79AB" w:rsidRPr="009B7A4A">
        <w:rPr>
          <w:rFonts w:ascii="Garamond" w:hAnsi="Garamond"/>
          <w:kern w:val="1"/>
        </w:rPr>
        <w:t xml:space="preserve"> forming a rich representation of the field, drawing upon the cultural anthropologies of Geertz (1973) and Clifford and Marcus (1986). </w:t>
      </w:r>
    </w:p>
    <w:p w14:paraId="39A63F39" w14:textId="77777777" w:rsidR="00926089" w:rsidRDefault="00926089" w:rsidP="00F27620">
      <w:pPr>
        <w:spacing w:line="480" w:lineRule="auto"/>
        <w:rPr>
          <w:rFonts w:ascii="Garamond" w:hAnsi="Garamond"/>
          <w:kern w:val="1"/>
        </w:rPr>
      </w:pPr>
    </w:p>
    <w:p w14:paraId="4AB1D579" w14:textId="2ABB66ED" w:rsidR="00D71E8F" w:rsidRDefault="004D79AB" w:rsidP="00F27620">
      <w:pPr>
        <w:spacing w:line="480" w:lineRule="auto"/>
        <w:rPr>
          <w:rFonts w:ascii="Garamond" w:hAnsi="Garamond"/>
        </w:rPr>
      </w:pPr>
      <w:r w:rsidRPr="009B7A4A">
        <w:rPr>
          <w:rFonts w:ascii="Garamond" w:hAnsi="Garamond"/>
          <w:kern w:val="1"/>
        </w:rPr>
        <w:t>The value of an ethnographic account of places like the soup kitchen is born out in previous geographies of “</w:t>
      </w:r>
      <w:r w:rsidR="00642469">
        <w:rPr>
          <w:rFonts w:ascii="Garamond" w:hAnsi="Garamond"/>
          <w:kern w:val="1"/>
        </w:rPr>
        <w:t>s</w:t>
      </w:r>
      <w:r w:rsidRPr="009B7A4A">
        <w:rPr>
          <w:rFonts w:ascii="Garamond" w:hAnsi="Garamond"/>
          <w:kern w:val="1"/>
        </w:rPr>
        <w:t>emi-institutional” (Parr 2000) “</w:t>
      </w:r>
      <w:r w:rsidR="00642469">
        <w:rPr>
          <w:rFonts w:ascii="Garamond" w:hAnsi="Garamond"/>
          <w:kern w:val="1"/>
        </w:rPr>
        <w:t>s</w:t>
      </w:r>
      <w:r w:rsidRPr="009B7A4A">
        <w:rPr>
          <w:rFonts w:ascii="Garamond" w:hAnsi="Garamond"/>
          <w:kern w:val="1"/>
        </w:rPr>
        <w:t>paces of Care” (Conradson 2003</w:t>
      </w:r>
      <w:r w:rsidR="00686C2D">
        <w:rPr>
          <w:rFonts w:ascii="Garamond" w:hAnsi="Garamond"/>
          <w:kern w:val="1"/>
        </w:rPr>
        <w:t>a)</w:t>
      </w:r>
      <w:r w:rsidRPr="009B7A4A">
        <w:rPr>
          <w:rFonts w:ascii="Garamond" w:hAnsi="Garamond"/>
          <w:kern w:val="1"/>
        </w:rPr>
        <w:t xml:space="preserve">.  Following urban ethnographers such as Back (1996), Duneier (1999), Modan (2008), and Paton (2014) who allow their empirical work to speak in some sense for itself, </w:t>
      </w:r>
      <w:r w:rsidRPr="009B7A4A">
        <w:rPr>
          <w:rFonts w:ascii="Garamond" w:hAnsi="Garamond"/>
        </w:rPr>
        <w:t xml:space="preserve">I have chosen to incorporate sustained empirical passages to preserve some of the embodied and situated data produced in this project. </w:t>
      </w:r>
      <w:r w:rsidR="00926089">
        <w:rPr>
          <w:rFonts w:ascii="Garamond" w:hAnsi="Garamond"/>
        </w:rPr>
        <w:t>The longitudinal and open nature of this methodology allowed me to observe the actions and speech of service users across multiple scales. From the close-in geography of dealing with housing officers, to the expansive theory making of conspiracy. In this way my analysis strives to accommodate and deal with somewhat messy and contradictory forms of data (</w:t>
      </w:r>
      <w:r w:rsidR="00772222">
        <w:rPr>
          <w:rFonts w:ascii="Garamond" w:hAnsi="Garamond"/>
        </w:rPr>
        <w:t>Johnson-Schlee</w:t>
      </w:r>
      <w:r w:rsidR="00926089">
        <w:rPr>
          <w:rFonts w:ascii="Garamond" w:hAnsi="Garamond"/>
        </w:rPr>
        <w:t xml:space="preserve">: </w:t>
      </w:r>
      <w:r w:rsidR="00772222">
        <w:rPr>
          <w:rFonts w:ascii="Garamond" w:hAnsi="Garamond"/>
        </w:rPr>
        <w:t>in press</w:t>
      </w:r>
      <w:r w:rsidR="00926089">
        <w:rPr>
          <w:rFonts w:ascii="Garamond" w:hAnsi="Garamond"/>
        </w:rPr>
        <w:t xml:space="preserve">). </w:t>
      </w:r>
    </w:p>
    <w:p w14:paraId="3EDBCEAD" w14:textId="77777777" w:rsidR="00DE094B" w:rsidRPr="00DE094B" w:rsidRDefault="00DE094B" w:rsidP="00F27620">
      <w:pPr>
        <w:spacing w:line="480" w:lineRule="auto"/>
        <w:rPr>
          <w:rFonts w:ascii="Garamond" w:hAnsi="Garamond"/>
          <w:u w:val="single"/>
        </w:rPr>
      </w:pPr>
    </w:p>
    <w:p w14:paraId="68F496C3" w14:textId="77777777" w:rsidR="00D71E8F" w:rsidRPr="009B7A4A" w:rsidRDefault="00D71E8F" w:rsidP="00F27620">
      <w:pPr>
        <w:spacing w:line="480" w:lineRule="auto"/>
        <w:rPr>
          <w:rFonts w:ascii="Garamond" w:hAnsi="Garamond"/>
          <w:kern w:val="1"/>
          <w:u w:val="single"/>
        </w:rPr>
      </w:pPr>
    </w:p>
    <w:p w14:paraId="0A48AEF4" w14:textId="35D95CE9" w:rsidR="00D71E8F" w:rsidRDefault="00642469" w:rsidP="00F27620">
      <w:pPr>
        <w:pStyle w:val="Heading2"/>
        <w:jc w:val="left"/>
        <w:rPr>
          <w:i w:val="0"/>
          <w:u w:val="none"/>
        </w:rPr>
      </w:pPr>
      <w:r w:rsidRPr="00642469">
        <w:rPr>
          <w:i w:val="0"/>
          <w:u w:val="none"/>
        </w:rPr>
        <w:t>3.2</w:t>
      </w:r>
      <w:r>
        <w:rPr>
          <w:i w:val="0"/>
          <w:u w:val="none"/>
        </w:rPr>
        <w:t xml:space="preserve"> </w:t>
      </w:r>
      <w:r w:rsidR="00D71E8F" w:rsidRPr="00642469">
        <w:rPr>
          <w:i w:val="0"/>
          <w:u w:val="none"/>
        </w:rPr>
        <w:t>Playing the game</w:t>
      </w:r>
    </w:p>
    <w:p w14:paraId="6ECE1821" w14:textId="77777777" w:rsidR="00642469" w:rsidRPr="00642469" w:rsidRDefault="00642469" w:rsidP="00F27620"/>
    <w:p w14:paraId="5198BE21" w14:textId="200BBF28" w:rsidR="00D37722" w:rsidRDefault="00BB6C05" w:rsidP="00F27620">
      <w:pPr>
        <w:spacing w:line="480" w:lineRule="auto"/>
        <w:rPr>
          <w:rFonts w:ascii="Garamond" w:hAnsi="Garamond"/>
        </w:rPr>
      </w:pPr>
      <w:r w:rsidRPr="00642469">
        <w:rPr>
          <w:rFonts w:ascii="Garamond" w:hAnsi="Garamond"/>
        </w:rPr>
        <w:t>‘The state’</w:t>
      </w:r>
      <w:r w:rsidR="00D37722" w:rsidRPr="00642469">
        <w:rPr>
          <w:rFonts w:ascii="Garamond" w:hAnsi="Garamond"/>
        </w:rPr>
        <w:t xml:space="preserve"> </w:t>
      </w:r>
      <w:r w:rsidRPr="00642469">
        <w:rPr>
          <w:rFonts w:ascii="Garamond" w:hAnsi="Garamond"/>
        </w:rPr>
        <w:t xml:space="preserve">in this </w:t>
      </w:r>
      <w:r w:rsidR="00642469">
        <w:rPr>
          <w:rFonts w:ascii="Garamond" w:hAnsi="Garamond"/>
        </w:rPr>
        <w:t>paper</w:t>
      </w:r>
      <w:r w:rsidRPr="00642469">
        <w:rPr>
          <w:rFonts w:ascii="Garamond" w:hAnsi="Garamond"/>
        </w:rPr>
        <w:t xml:space="preserve"> refers</w:t>
      </w:r>
      <w:r w:rsidR="00D37722" w:rsidRPr="00642469">
        <w:rPr>
          <w:rFonts w:ascii="Garamond" w:hAnsi="Garamond"/>
        </w:rPr>
        <w:t xml:space="preserve"> to </w:t>
      </w:r>
      <w:r w:rsidR="00642469">
        <w:rPr>
          <w:rFonts w:ascii="Garamond" w:hAnsi="Garamond"/>
        </w:rPr>
        <w:t>how</w:t>
      </w:r>
      <w:r w:rsidR="00D37722" w:rsidRPr="00642469">
        <w:rPr>
          <w:rFonts w:ascii="Garamond" w:hAnsi="Garamond"/>
        </w:rPr>
        <w:t xml:space="preserve"> </w:t>
      </w:r>
      <w:r w:rsidRPr="00642469">
        <w:rPr>
          <w:rFonts w:ascii="Garamond" w:hAnsi="Garamond"/>
        </w:rPr>
        <w:t xml:space="preserve">service users experience </w:t>
      </w:r>
      <w:r w:rsidR="00D37722" w:rsidRPr="00642469">
        <w:rPr>
          <w:rFonts w:ascii="Garamond" w:hAnsi="Garamond"/>
        </w:rPr>
        <w:t xml:space="preserve">the complex </w:t>
      </w:r>
      <w:r w:rsidR="00D37722">
        <w:rPr>
          <w:rFonts w:ascii="Garamond" w:hAnsi="Garamond"/>
        </w:rPr>
        <w:t xml:space="preserve">legislative landscape that faces </w:t>
      </w:r>
      <w:r w:rsidR="00D17A63">
        <w:rPr>
          <w:rFonts w:ascii="Garamond" w:hAnsi="Garamond"/>
        </w:rPr>
        <w:t>those</w:t>
      </w:r>
      <w:r w:rsidR="000E45DC">
        <w:rPr>
          <w:rFonts w:ascii="Garamond" w:hAnsi="Garamond"/>
        </w:rPr>
        <w:t xml:space="preserve"> </w:t>
      </w:r>
      <w:r w:rsidR="00D37722">
        <w:rPr>
          <w:rFonts w:ascii="Garamond" w:hAnsi="Garamond"/>
        </w:rPr>
        <w:t xml:space="preserve">who want to sustain their lives at the edges of society. </w:t>
      </w:r>
      <w:r w:rsidR="00010876">
        <w:rPr>
          <w:rFonts w:ascii="Garamond" w:hAnsi="Garamond"/>
        </w:rPr>
        <w:t>Natalie would come in on the way to a meeting wi</w:t>
      </w:r>
      <w:r w:rsidR="00C66A7C">
        <w:rPr>
          <w:rFonts w:ascii="Garamond" w:hAnsi="Garamond"/>
        </w:rPr>
        <w:t xml:space="preserve">th her housing support officer </w:t>
      </w:r>
      <w:r w:rsidR="00010876">
        <w:rPr>
          <w:rFonts w:ascii="Garamond" w:hAnsi="Garamond"/>
        </w:rPr>
        <w:t xml:space="preserve">for a game of </w:t>
      </w:r>
      <w:r w:rsidR="00642469">
        <w:rPr>
          <w:rFonts w:ascii="Garamond" w:hAnsi="Garamond"/>
        </w:rPr>
        <w:t>cards and</w:t>
      </w:r>
      <w:r w:rsidR="00010876">
        <w:rPr>
          <w:rFonts w:ascii="Garamond" w:hAnsi="Garamond"/>
        </w:rPr>
        <w:t xml:space="preserve"> she would </w:t>
      </w:r>
      <w:r w:rsidR="00642469">
        <w:rPr>
          <w:rFonts w:ascii="Garamond" w:hAnsi="Garamond"/>
        </w:rPr>
        <w:t>say something like</w:t>
      </w:r>
      <w:r w:rsidR="000E45DC">
        <w:rPr>
          <w:rFonts w:ascii="Garamond" w:hAnsi="Garamond"/>
        </w:rPr>
        <w:t xml:space="preserve">, </w:t>
      </w:r>
      <w:r w:rsidR="00D37722" w:rsidRPr="00AC141C">
        <w:rPr>
          <w:rFonts w:ascii="Garamond" w:hAnsi="Garamond"/>
        </w:rPr>
        <w:t xml:space="preserve">“to sharpen me up ready to take on the man”. </w:t>
      </w:r>
      <w:r w:rsidR="00D37722">
        <w:rPr>
          <w:rFonts w:ascii="Garamond" w:hAnsi="Garamond"/>
        </w:rPr>
        <w:t xml:space="preserve">When Natalie referred to </w:t>
      </w:r>
      <w:r w:rsidR="000E45DC">
        <w:rPr>
          <w:rFonts w:ascii="Garamond" w:hAnsi="Garamond"/>
        </w:rPr>
        <w:t>“</w:t>
      </w:r>
      <w:r w:rsidR="00D37722">
        <w:rPr>
          <w:rFonts w:ascii="Garamond" w:hAnsi="Garamond"/>
        </w:rPr>
        <w:t xml:space="preserve">the </w:t>
      </w:r>
      <w:r>
        <w:rPr>
          <w:rFonts w:ascii="Garamond" w:hAnsi="Garamond"/>
        </w:rPr>
        <w:lastRenderedPageBreak/>
        <w:t>man</w:t>
      </w:r>
      <w:r w:rsidR="000E45DC">
        <w:rPr>
          <w:rFonts w:ascii="Garamond" w:hAnsi="Garamond"/>
        </w:rPr>
        <w:t>”</w:t>
      </w:r>
      <w:r>
        <w:rPr>
          <w:rFonts w:ascii="Garamond" w:hAnsi="Garamond"/>
        </w:rPr>
        <w:t>,</w:t>
      </w:r>
      <w:r w:rsidR="00D37722">
        <w:rPr>
          <w:rFonts w:ascii="Garamond" w:hAnsi="Garamond"/>
        </w:rPr>
        <w:t xml:space="preserve"> she referred to state power </w:t>
      </w:r>
      <w:r w:rsidR="002A38C9">
        <w:rPr>
          <w:rFonts w:ascii="Garamond" w:hAnsi="Garamond"/>
        </w:rPr>
        <w:t xml:space="preserve">manifest in those that </w:t>
      </w:r>
      <w:r w:rsidR="00D37722">
        <w:rPr>
          <w:rFonts w:ascii="Garamond" w:hAnsi="Garamond"/>
        </w:rPr>
        <w:t>“peopled”</w:t>
      </w:r>
      <w:r w:rsidR="002A38C9">
        <w:rPr>
          <w:rFonts w:ascii="Garamond" w:hAnsi="Garamond"/>
        </w:rPr>
        <w:t xml:space="preserve"> </w:t>
      </w:r>
      <w:r w:rsidR="002A38C9" w:rsidRPr="009B7A4A">
        <w:rPr>
          <w:rFonts w:ascii="Garamond" w:hAnsi="Garamond"/>
        </w:rPr>
        <w:t>(</w:t>
      </w:r>
      <w:r w:rsidR="002A38C9">
        <w:rPr>
          <w:rFonts w:ascii="Garamond" w:hAnsi="Garamond"/>
        </w:rPr>
        <w:t xml:space="preserve">Jones et al. </w:t>
      </w:r>
      <w:r w:rsidR="002A38C9" w:rsidRPr="009B7A4A">
        <w:rPr>
          <w:rFonts w:ascii="Garamond" w:hAnsi="Garamond"/>
        </w:rPr>
        <w:t>2013:36)</w:t>
      </w:r>
      <w:r w:rsidR="002A38C9">
        <w:rPr>
          <w:rFonts w:ascii="Garamond" w:hAnsi="Garamond"/>
        </w:rPr>
        <w:t xml:space="preserve"> the apparatus of the welfare state</w:t>
      </w:r>
      <w:r>
        <w:rPr>
          <w:rFonts w:ascii="Garamond" w:hAnsi="Garamond"/>
        </w:rPr>
        <w:t xml:space="preserve">. In this case she wanted to </w:t>
      </w:r>
      <w:r w:rsidR="00010876">
        <w:rPr>
          <w:rFonts w:ascii="Garamond" w:hAnsi="Garamond"/>
        </w:rPr>
        <w:t>be rehoused in</w:t>
      </w:r>
      <w:r>
        <w:rPr>
          <w:rFonts w:ascii="Garamond" w:hAnsi="Garamond"/>
        </w:rPr>
        <w:t xml:space="preserve"> order to meet the conditions of a detox programme </w:t>
      </w:r>
      <w:r w:rsidR="00642469">
        <w:rPr>
          <w:rFonts w:ascii="Garamond" w:hAnsi="Garamond"/>
        </w:rPr>
        <w:t xml:space="preserve">that </w:t>
      </w:r>
      <w:r>
        <w:rPr>
          <w:rFonts w:ascii="Garamond" w:hAnsi="Garamond"/>
        </w:rPr>
        <w:t xml:space="preserve">she </w:t>
      </w:r>
      <w:r w:rsidR="00642469">
        <w:rPr>
          <w:rFonts w:ascii="Garamond" w:hAnsi="Garamond"/>
        </w:rPr>
        <w:t>wished t</w:t>
      </w:r>
      <w:r>
        <w:rPr>
          <w:rFonts w:ascii="Garamond" w:hAnsi="Garamond"/>
        </w:rPr>
        <w:t>o attend</w:t>
      </w:r>
      <w:r w:rsidR="002A38C9">
        <w:rPr>
          <w:rFonts w:ascii="Garamond" w:hAnsi="Garamond"/>
        </w:rPr>
        <w:t xml:space="preserve">. </w:t>
      </w:r>
      <w:r>
        <w:rPr>
          <w:rFonts w:ascii="Garamond" w:hAnsi="Garamond"/>
        </w:rPr>
        <w:t xml:space="preserve">Dealing with the state </w:t>
      </w:r>
      <w:r w:rsidR="00642469">
        <w:rPr>
          <w:rFonts w:ascii="Garamond" w:hAnsi="Garamond"/>
        </w:rPr>
        <w:t xml:space="preserve">for her </w:t>
      </w:r>
      <w:r>
        <w:rPr>
          <w:rFonts w:ascii="Garamond" w:hAnsi="Garamond"/>
        </w:rPr>
        <w:t xml:space="preserve">was </w:t>
      </w:r>
      <w:r w:rsidR="00926089">
        <w:rPr>
          <w:rFonts w:ascii="Garamond" w:hAnsi="Garamond"/>
        </w:rPr>
        <w:t>not un</w:t>
      </w:r>
      <w:r>
        <w:rPr>
          <w:rFonts w:ascii="Garamond" w:hAnsi="Garamond"/>
        </w:rPr>
        <w:t xml:space="preserve">like playing a </w:t>
      </w:r>
      <w:r w:rsidR="00296981">
        <w:rPr>
          <w:rFonts w:ascii="Garamond" w:hAnsi="Garamond"/>
        </w:rPr>
        <w:t>game</w:t>
      </w:r>
      <w:r w:rsidR="002A38C9">
        <w:rPr>
          <w:rFonts w:ascii="Garamond" w:hAnsi="Garamond"/>
        </w:rPr>
        <w:t xml:space="preserve">. </w:t>
      </w:r>
    </w:p>
    <w:p w14:paraId="6612D09D" w14:textId="77777777" w:rsidR="00D37722" w:rsidRPr="00D37722" w:rsidRDefault="00D37722" w:rsidP="00F27620"/>
    <w:p w14:paraId="5A8FB751" w14:textId="60DBE356" w:rsidR="00D71E8F" w:rsidRPr="009B7A4A" w:rsidRDefault="00D71E8F" w:rsidP="00F27620">
      <w:pPr>
        <w:spacing w:line="480" w:lineRule="auto"/>
        <w:rPr>
          <w:rFonts w:ascii="Garamond" w:hAnsi="Garamond"/>
          <w:kern w:val="1"/>
        </w:rPr>
      </w:pPr>
      <w:r w:rsidRPr="009B7A4A">
        <w:rPr>
          <w:rFonts w:ascii="Garamond" w:hAnsi="Garamond"/>
          <w:kern w:val="1"/>
        </w:rPr>
        <w:t>Games are a common metaphor when discussing the challenges of social production. Think – “you’ve got to play the game”, “hate the game, don’t hate the player”, “the game of life”, “#winning”, and so on. Games are not simply a way to waste time, they are a means to practise and explore some of the basic mechanics of everyday life</w:t>
      </w:r>
      <w:r w:rsidR="00E179A3">
        <w:rPr>
          <w:rFonts w:ascii="Garamond" w:hAnsi="Garamond"/>
          <w:kern w:val="1"/>
        </w:rPr>
        <w:t xml:space="preserve"> (Huizinga 1949, Caillois 2001)</w:t>
      </w:r>
      <w:r w:rsidRPr="009B7A4A">
        <w:rPr>
          <w:rFonts w:ascii="Garamond" w:hAnsi="Garamond"/>
          <w:kern w:val="1"/>
        </w:rPr>
        <w:t>.</w:t>
      </w:r>
      <w:r w:rsidR="002A38C9">
        <w:rPr>
          <w:rFonts w:ascii="Garamond" w:hAnsi="Garamond"/>
          <w:kern w:val="1"/>
        </w:rPr>
        <w:t xml:space="preserve"> Blackjack, the card game </w:t>
      </w:r>
      <w:r w:rsidR="00642469">
        <w:rPr>
          <w:rFonts w:ascii="Garamond" w:hAnsi="Garamond"/>
          <w:kern w:val="1"/>
        </w:rPr>
        <w:t xml:space="preserve">that </w:t>
      </w:r>
      <w:r w:rsidR="002A38C9">
        <w:rPr>
          <w:rFonts w:ascii="Garamond" w:hAnsi="Garamond"/>
          <w:kern w:val="1"/>
        </w:rPr>
        <w:t>we played</w:t>
      </w:r>
      <w:r w:rsidR="00642469">
        <w:rPr>
          <w:rFonts w:ascii="Garamond" w:hAnsi="Garamond"/>
          <w:kern w:val="1"/>
        </w:rPr>
        <w:t xml:space="preserve"> at the soup kitchen</w:t>
      </w:r>
      <w:r w:rsidR="002A38C9">
        <w:rPr>
          <w:rFonts w:ascii="Garamond" w:hAnsi="Garamond"/>
          <w:kern w:val="1"/>
        </w:rPr>
        <w:t>, was a common backdrop for speech about politics at both a macro and micro scale. This section will make an account that characterises interactions between the state and those on the margins of society as game-like and oppositional. By opening with a</w:t>
      </w:r>
      <w:r w:rsidR="00BB6C05">
        <w:rPr>
          <w:rFonts w:ascii="Garamond" w:hAnsi="Garamond"/>
          <w:kern w:val="1"/>
        </w:rPr>
        <w:t xml:space="preserve"> brief description of blackjack,</w:t>
      </w:r>
      <w:r w:rsidR="002A38C9">
        <w:rPr>
          <w:rFonts w:ascii="Garamond" w:hAnsi="Garamond"/>
          <w:kern w:val="1"/>
        </w:rPr>
        <w:t xml:space="preserve"> it will suggest not just that this is a valuable metaphor but that card games were an actually useful form of practi</w:t>
      </w:r>
      <w:r w:rsidR="004D0134">
        <w:rPr>
          <w:rFonts w:ascii="Garamond" w:hAnsi="Garamond"/>
          <w:kern w:val="1"/>
        </w:rPr>
        <w:t xml:space="preserve">ce for the challenges of participating in society. </w:t>
      </w:r>
    </w:p>
    <w:p w14:paraId="567890EA" w14:textId="77777777" w:rsidR="00D71E8F" w:rsidRPr="009B7A4A" w:rsidRDefault="00D71E8F" w:rsidP="00F27620">
      <w:pPr>
        <w:spacing w:line="480" w:lineRule="auto"/>
        <w:rPr>
          <w:rFonts w:ascii="Garamond" w:hAnsi="Garamond"/>
          <w:kern w:val="1"/>
        </w:rPr>
      </w:pPr>
    </w:p>
    <w:p w14:paraId="319BC7A4" w14:textId="1E409B6C" w:rsidR="00D71E8F" w:rsidRDefault="00E179A3" w:rsidP="00F27620">
      <w:pPr>
        <w:spacing w:line="480" w:lineRule="auto"/>
        <w:rPr>
          <w:rFonts w:ascii="Garamond" w:hAnsi="Garamond"/>
          <w:kern w:val="1"/>
        </w:rPr>
      </w:pPr>
      <w:r>
        <w:rPr>
          <w:rFonts w:ascii="Garamond" w:hAnsi="Garamond"/>
          <w:kern w:val="1"/>
        </w:rPr>
        <w:t xml:space="preserve">Games are not simply past time, but an ontological experiment. Winnicott </w:t>
      </w:r>
      <w:r w:rsidR="00D71E8F" w:rsidRPr="009B7A4A">
        <w:rPr>
          <w:rFonts w:ascii="Garamond" w:hAnsi="Garamond"/>
          <w:kern w:val="1"/>
        </w:rPr>
        <w:t>relates them explicitly to his notion of “transitional objects” (1971:1-34), play</w:t>
      </w:r>
      <w:r w:rsidR="00BB6C05">
        <w:rPr>
          <w:rFonts w:ascii="Garamond" w:hAnsi="Garamond"/>
          <w:kern w:val="1"/>
        </w:rPr>
        <w:t xml:space="preserve"> </w:t>
      </w:r>
      <w:r w:rsidR="004D0134">
        <w:rPr>
          <w:rFonts w:ascii="Garamond" w:hAnsi="Garamond"/>
          <w:kern w:val="1"/>
        </w:rPr>
        <w:t xml:space="preserve">is </w:t>
      </w:r>
      <w:r w:rsidR="00A2475D" w:rsidRPr="009B7A4A">
        <w:rPr>
          <w:rFonts w:ascii="Garamond" w:hAnsi="Garamond"/>
          <w:kern w:val="1"/>
        </w:rPr>
        <w:t xml:space="preserve">a way to </w:t>
      </w:r>
      <w:r>
        <w:rPr>
          <w:rFonts w:ascii="Garamond" w:hAnsi="Garamond"/>
          <w:kern w:val="1"/>
        </w:rPr>
        <w:t>explore</w:t>
      </w:r>
      <w:r w:rsidR="00D71E8F" w:rsidRPr="009B7A4A">
        <w:rPr>
          <w:rFonts w:ascii="Garamond" w:hAnsi="Garamond"/>
          <w:kern w:val="1"/>
        </w:rPr>
        <w:t xml:space="preserve"> the tricky distinction between self and other</w:t>
      </w:r>
      <w:r w:rsidR="00D71E8F" w:rsidRPr="009B7A4A">
        <w:rPr>
          <w:rStyle w:val="EndnoteReference"/>
          <w:rFonts w:ascii="Garamond" w:hAnsi="Garamond"/>
          <w:kern w:val="1"/>
        </w:rPr>
        <w:endnoteReference w:id="2"/>
      </w:r>
      <w:r w:rsidR="00D71E8F" w:rsidRPr="009B7A4A">
        <w:rPr>
          <w:rFonts w:ascii="Garamond" w:hAnsi="Garamond"/>
          <w:kern w:val="1"/>
        </w:rPr>
        <w:t>. In play the child brings their dream world into relation with external phenomena</w:t>
      </w:r>
      <w:r w:rsidR="00DE48A3">
        <w:rPr>
          <w:rFonts w:ascii="Garamond" w:hAnsi="Garamond"/>
          <w:kern w:val="1"/>
        </w:rPr>
        <w:t>. It is</w:t>
      </w:r>
      <w:r w:rsidR="00D71E8F" w:rsidRPr="009B7A4A">
        <w:rPr>
          <w:rFonts w:ascii="Garamond" w:hAnsi="Garamond"/>
          <w:kern w:val="1"/>
        </w:rPr>
        <w:t xml:space="preserve"> this</w:t>
      </w:r>
      <w:r w:rsidR="00642469">
        <w:rPr>
          <w:rFonts w:ascii="Garamond" w:hAnsi="Garamond"/>
          <w:kern w:val="1"/>
        </w:rPr>
        <w:t xml:space="preserve"> interplay</w:t>
      </w:r>
      <w:r w:rsidR="00D71E8F" w:rsidRPr="009B7A4A">
        <w:rPr>
          <w:rFonts w:ascii="Garamond" w:hAnsi="Garamond"/>
          <w:kern w:val="1"/>
        </w:rPr>
        <w:t xml:space="preserve"> that makes play psychologically precarious due to the </w:t>
      </w:r>
      <w:r w:rsidR="00A2475D" w:rsidRPr="009B7A4A">
        <w:rPr>
          <w:rFonts w:ascii="Garamond" w:hAnsi="Garamond"/>
          <w:kern w:val="1"/>
        </w:rPr>
        <w:t>ambiguity between the subjective and the actually perceived</w:t>
      </w:r>
      <w:r w:rsidR="00D71E8F" w:rsidRPr="009B7A4A">
        <w:rPr>
          <w:rFonts w:ascii="Garamond" w:hAnsi="Garamond"/>
          <w:kern w:val="1"/>
        </w:rPr>
        <w:t xml:space="preserve"> (</w:t>
      </w:r>
      <w:r w:rsidR="00DE48A3">
        <w:rPr>
          <w:rFonts w:ascii="Garamond" w:hAnsi="Garamond"/>
          <w:kern w:val="1"/>
        </w:rPr>
        <w:t xml:space="preserve">Winnicott </w:t>
      </w:r>
      <w:r w:rsidR="00D71E8F" w:rsidRPr="009B7A4A">
        <w:rPr>
          <w:rFonts w:ascii="Garamond" w:hAnsi="Garamond"/>
          <w:kern w:val="1"/>
        </w:rPr>
        <w:t xml:space="preserve">1971:70). </w:t>
      </w:r>
      <w:r w:rsidR="004D0134">
        <w:rPr>
          <w:rFonts w:ascii="Garamond" w:hAnsi="Garamond"/>
          <w:kern w:val="1"/>
        </w:rPr>
        <w:t xml:space="preserve">Giddens explicitly makes the connection between </w:t>
      </w:r>
      <w:r w:rsidR="00D71E8F" w:rsidRPr="009B7A4A">
        <w:rPr>
          <w:rFonts w:ascii="Garamond" w:hAnsi="Garamond"/>
          <w:kern w:val="1"/>
        </w:rPr>
        <w:t xml:space="preserve"> </w:t>
      </w:r>
      <w:r w:rsidR="004D0134">
        <w:rPr>
          <w:rFonts w:ascii="Garamond" w:hAnsi="Garamond"/>
          <w:kern w:val="1"/>
        </w:rPr>
        <w:t xml:space="preserve">transitional object theory in </w:t>
      </w:r>
      <w:r w:rsidR="00D71E8F" w:rsidRPr="009B7A4A">
        <w:rPr>
          <w:rFonts w:ascii="Garamond" w:hAnsi="Garamond"/>
          <w:kern w:val="1"/>
        </w:rPr>
        <w:t xml:space="preserve">Winnicott </w:t>
      </w:r>
      <w:r w:rsidR="004D0134">
        <w:rPr>
          <w:rFonts w:ascii="Garamond" w:hAnsi="Garamond"/>
          <w:kern w:val="1"/>
        </w:rPr>
        <w:t xml:space="preserve">and the notion of ontological security </w:t>
      </w:r>
      <w:r w:rsidR="00D71E8F" w:rsidRPr="009B7A4A">
        <w:rPr>
          <w:rFonts w:ascii="Garamond" w:hAnsi="Garamond"/>
          <w:kern w:val="1"/>
        </w:rPr>
        <w:t xml:space="preserve">(Giddens 1991:38). </w:t>
      </w:r>
      <w:r w:rsidR="004D0134">
        <w:rPr>
          <w:rFonts w:ascii="Garamond" w:hAnsi="Garamond"/>
          <w:kern w:val="1"/>
        </w:rPr>
        <w:t xml:space="preserve">Through a brief description of blackjack I will suggest that the particular nature of this game </w:t>
      </w:r>
      <w:r w:rsidR="00642469">
        <w:rPr>
          <w:rFonts w:ascii="Garamond" w:hAnsi="Garamond"/>
          <w:kern w:val="1"/>
        </w:rPr>
        <w:t xml:space="preserve">did indeed </w:t>
      </w:r>
      <w:r w:rsidR="00DE48A3">
        <w:rPr>
          <w:rFonts w:ascii="Garamond" w:hAnsi="Garamond"/>
          <w:kern w:val="1"/>
        </w:rPr>
        <w:t xml:space="preserve">reflect the conscious and unconscious knowledges required to negotiate precarity. </w:t>
      </w:r>
    </w:p>
    <w:p w14:paraId="0090A144" w14:textId="77777777" w:rsidR="00296981" w:rsidRPr="009B7A4A" w:rsidRDefault="00296981" w:rsidP="00F27620">
      <w:pPr>
        <w:spacing w:line="480" w:lineRule="auto"/>
        <w:rPr>
          <w:rFonts w:ascii="Garamond" w:hAnsi="Garamond"/>
          <w:kern w:val="1"/>
        </w:rPr>
      </w:pPr>
    </w:p>
    <w:p w14:paraId="03DC4193" w14:textId="0F73AB50" w:rsidR="00D71E8F" w:rsidRPr="009B7A4A" w:rsidRDefault="00D71E8F" w:rsidP="00F27620">
      <w:pPr>
        <w:spacing w:line="480" w:lineRule="auto"/>
        <w:rPr>
          <w:rFonts w:ascii="Garamond" w:hAnsi="Garamond"/>
          <w:kern w:val="1"/>
        </w:rPr>
      </w:pPr>
      <w:r w:rsidRPr="009B7A4A">
        <w:rPr>
          <w:rFonts w:ascii="Garamond" w:hAnsi="Garamond"/>
          <w:kern w:val="1"/>
        </w:rPr>
        <w:lastRenderedPageBreak/>
        <w:t xml:space="preserve">The rules: </w:t>
      </w:r>
      <w:r w:rsidR="00642469">
        <w:rPr>
          <w:rFonts w:ascii="Garamond" w:hAnsi="Garamond"/>
          <w:kern w:val="1"/>
        </w:rPr>
        <w:t>s</w:t>
      </w:r>
      <w:r w:rsidRPr="009B7A4A">
        <w:rPr>
          <w:rFonts w:ascii="Garamond" w:hAnsi="Garamond"/>
          <w:kern w:val="1"/>
        </w:rPr>
        <w:t xml:space="preserve">even cards each, if you have more than four or five players, you can use two packs of cards. If there are, only two of you, each take eleven cards. </w:t>
      </w:r>
      <w:r w:rsidR="005E75FE">
        <w:rPr>
          <w:rFonts w:ascii="Garamond" w:hAnsi="Garamond"/>
          <w:kern w:val="1"/>
        </w:rPr>
        <w:t>With each turn you must place down cards in runs of sets; y</w:t>
      </w:r>
      <w:r w:rsidRPr="009B7A4A">
        <w:rPr>
          <w:rFonts w:ascii="Garamond" w:hAnsi="Garamond"/>
          <w:kern w:val="1"/>
        </w:rPr>
        <w:t xml:space="preserve">ou must follow suit or rank when you play, the aim being </w:t>
      </w:r>
      <w:r w:rsidR="00296981">
        <w:rPr>
          <w:rFonts w:ascii="Garamond" w:hAnsi="Garamond"/>
          <w:kern w:val="1"/>
        </w:rPr>
        <w:t xml:space="preserve">to get rid of all of your cards. </w:t>
      </w:r>
      <w:r w:rsidR="006579B1">
        <w:rPr>
          <w:rFonts w:ascii="Garamond" w:hAnsi="Garamond"/>
          <w:kern w:val="1"/>
        </w:rPr>
        <w:t xml:space="preserve">There are several magic cards which can either help you play or punish your neighbour. </w:t>
      </w:r>
      <w:r w:rsidRPr="009B7A4A">
        <w:rPr>
          <w:rFonts w:ascii="Garamond" w:hAnsi="Garamond"/>
          <w:kern w:val="1"/>
        </w:rPr>
        <w:t xml:space="preserve">Blackjack is a vindictive game: you need a killer instinct, and you have to be prepared to use </w:t>
      </w:r>
      <w:r w:rsidR="006579B1">
        <w:rPr>
          <w:rFonts w:ascii="Garamond" w:hAnsi="Garamond"/>
          <w:kern w:val="1"/>
        </w:rPr>
        <w:t xml:space="preserve">the </w:t>
      </w:r>
      <w:r w:rsidR="005E75FE">
        <w:rPr>
          <w:rFonts w:ascii="Garamond" w:hAnsi="Garamond"/>
          <w:kern w:val="1"/>
        </w:rPr>
        <w:t>magic cards</w:t>
      </w:r>
      <w:r w:rsidRPr="009B7A4A">
        <w:rPr>
          <w:rFonts w:ascii="Garamond" w:hAnsi="Garamond"/>
          <w:kern w:val="1"/>
        </w:rPr>
        <w:t xml:space="preserve"> in combination to ruin the games of your opponents. </w:t>
      </w:r>
      <w:r w:rsidR="008E4472">
        <w:rPr>
          <w:rFonts w:ascii="Garamond" w:hAnsi="Garamond"/>
          <w:kern w:val="1"/>
        </w:rPr>
        <w:t>The</w:t>
      </w:r>
      <w:r w:rsidRPr="009B7A4A">
        <w:rPr>
          <w:rFonts w:ascii="Garamond" w:hAnsi="Garamond"/>
          <w:kern w:val="1"/>
        </w:rPr>
        <w:t xml:space="preserve"> only way you can avoid </w:t>
      </w:r>
      <w:r w:rsidR="008E4472">
        <w:rPr>
          <w:rFonts w:ascii="Garamond" w:hAnsi="Garamond"/>
          <w:kern w:val="1"/>
        </w:rPr>
        <w:t xml:space="preserve">penalty </w:t>
      </w:r>
      <w:r w:rsidRPr="009B7A4A">
        <w:rPr>
          <w:rFonts w:ascii="Garamond" w:hAnsi="Garamond"/>
          <w:kern w:val="1"/>
        </w:rPr>
        <w:t xml:space="preserve"> is by r</w:t>
      </w:r>
      <w:r w:rsidR="008E4472">
        <w:rPr>
          <w:rFonts w:ascii="Garamond" w:hAnsi="Garamond"/>
          <w:kern w:val="1"/>
        </w:rPr>
        <w:t>etaliating in kind</w:t>
      </w:r>
      <w:r w:rsidRPr="009B7A4A">
        <w:rPr>
          <w:rFonts w:ascii="Garamond" w:hAnsi="Garamond"/>
          <w:kern w:val="1"/>
        </w:rPr>
        <w:t>. In particularly competitive</w:t>
      </w:r>
      <w:r w:rsidR="00296981">
        <w:rPr>
          <w:rFonts w:ascii="Garamond" w:hAnsi="Garamond"/>
          <w:kern w:val="1"/>
        </w:rPr>
        <w:t xml:space="preserve"> games</w:t>
      </w:r>
      <w:r w:rsidRPr="009B7A4A">
        <w:rPr>
          <w:rFonts w:ascii="Garamond" w:hAnsi="Garamond"/>
          <w:kern w:val="1"/>
        </w:rPr>
        <w:t xml:space="preserve"> there were also severe penalties for making mistakes</w:t>
      </w:r>
      <w:r w:rsidR="00642469">
        <w:rPr>
          <w:rFonts w:ascii="Garamond" w:hAnsi="Garamond"/>
          <w:kern w:val="1"/>
        </w:rPr>
        <w:t>:</w:t>
      </w:r>
      <w:r w:rsidRPr="009B7A4A">
        <w:rPr>
          <w:rFonts w:ascii="Garamond" w:hAnsi="Garamond"/>
          <w:kern w:val="1"/>
        </w:rPr>
        <w:t xml:space="preserve"> “one for revealing, two for mistake” Jay or Laurie would say, “bang to rights.” There were few arguments since we all abided by the rules. </w:t>
      </w:r>
    </w:p>
    <w:p w14:paraId="33CC60F2" w14:textId="77777777" w:rsidR="00D71E8F" w:rsidRPr="009B7A4A" w:rsidRDefault="00D71E8F" w:rsidP="00F27620">
      <w:pPr>
        <w:spacing w:line="480" w:lineRule="auto"/>
        <w:rPr>
          <w:rFonts w:ascii="Garamond" w:hAnsi="Garamond"/>
          <w:kern w:val="1"/>
        </w:rPr>
      </w:pPr>
    </w:p>
    <w:p w14:paraId="42AFF4C3" w14:textId="5F81D7D2" w:rsidR="00D71E8F" w:rsidRPr="009B7A4A" w:rsidRDefault="008E4472" w:rsidP="00F27620">
      <w:pPr>
        <w:spacing w:line="480" w:lineRule="auto"/>
        <w:rPr>
          <w:rFonts w:ascii="Garamond" w:hAnsi="Garamond"/>
          <w:kern w:val="1"/>
        </w:rPr>
      </w:pPr>
      <w:r>
        <w:rPr>
          <w:rFonts w:ascii="Garamond" w:hAnsi="Garamond"/>
          <w:kern w:val="1"/>
        </w:rPr>
        <w:t>The</w:t>
      </w:r>
      <w:r w:rsidR="00D71E8F" w:rsidRPr="009B7A4A">
        <w:rPr>
          <w:rFonts w:ascii="Garamond" w:hAnsi="Garamond"/>
          <w:kern w:val="1"/>
        </w:rPr>
        <w:t xml:space="preserve"> game reflected the precarious conditions of daily life for se</w:t>
      </w:r>
      <w:r>
        <w:rPr>
          <w:rFonts w:ascii="Garamond" w:hAnsi="Garamond"/>
          <w:kern w:val="1"/>
        </w:rPr>
        <w:t>rvice users at the soup kitchen</w:t>
      </w:r>
      <w:r w:rsidR="00642469">
        <w:rPr>
          <w:rFonts w:ascii="Garamond" w:hAnsi="Garamond"/>
          <w:kern w:val="1"/>
        </w:rPr>
        <w:t xml:space="preserve"> wherein </w:t>
      </w:r>
      <w:r w:rsidR="00D71E8F" w:rsidRPr="009B7A4A">
        <w:rPr>
          <w:rFonts w:ascii="Garamond" w:hAnsi="Garamond"/>
          <w:kern w:val="1"/>
        </w:rPr>
        <w:t xml:space="preserve">the adversarial nature of service </w:t>
      </w:r>
      <w:r w:rsidR="00642469" w:rsidRPr="009B7A4A">
        <w:rPr>
          <w:rFonts w:ascii="Garamond" w:hAnsi="Garamond"/>
          <w:kern w:val="1"/>
        </w:rPr>
        <w:t>users’</w:t>
      </w:r>
      <w:r w:rsidR="00D71E8F" w:rsidRPr="009B7A4A">
        <w:rPr>
          <w:rFonts w:ascii="Garamond" w:hAnsi="Garamond"/>
          <w:kern w:val="1"/>
        </w:rPr>
        <w:t xml:space="preserve"> interactions with the state </w:t>
      </w:r>
      <w:r w:rsidR="00642469" w:rsidRPr="009B7A4A">
        <w:rPr>
          <w:rFonts w:ascii="Garamond" w:hAnsi="Garamond"/>
          <w:kern w:val="1"/>
        </w:rPr>
        <w:t>–</w:t>
      </w:r>
      <w:r w:rsidR="00D71E8F" w:rsidRPr="009B7A4A">
        <w:rPr>
          <w:rFonts w:ascii="Garamond" w:hAnsi="Garamond"/>
          <w:kern w:val="1"/>
        </w:rPr>
        <w:t xml:space="preserve"> via welfare, healthcare, criminal justice, </w:t>
      </w:r>
      <w:r w:rsidR="00642469" w:rsidRPr="009B7A4A">
        <w:rPr>
          <w:rFonts w:ascii="Garamond" w:hAnsi="Garamond"/>
          <w:kern w:val="1"/>
        </w:rPr>
        <w:t>and housing</w:t>
      </w:r>
      <w:r w:rsidR="00D71E8F" w:rsidRPr="009B7A4A">
        <w:rPr>
          <w:rFonts w:ascii="Garamond" w:hAnsi="Garamond"/>
          <w:kern w:val="1"/>
        </w:rPr>
        <w:t xml:space="preserve"> – created severe consequences. A short illness or an administrative error could result in rapidly mounting consequences such as benefit sanctions, unemployment, fines or time in prison. In order to win at </w:t>
      </w:r>
      <w:r w:rsidR="00642469">
        <w:rPr>
          <w:rFonts w:ascii="Garamond" w:hAnsi="Garamond"/>
          <w:kern w:val="1"/>
        </w:rPr>
        <w:t>b</w:t>
      </w:r>
      <w:r w:rsidR="00D71E8F" w:rsidRPr="009B7A4A">
        <w:rPr>
          <w:rFonts w:ascii="Garamond" w:hAnsi="Garamond"/>
          <w:kern w:val="1"/>
        </w:rPr>
        <w:t>lackjack, you need to anticipate malice and to deal it out yourself; you had to anticipate the moves of your competitors and to plan carefully how you would play your hand. The mindset of a successful blackjack player</w:t>
      </w:r>
      <w:r w:rsidR="00642469">
        <w:rPr>
          <w:rFonts w:ascii="Garamond" w:hAnsi="Garamond"/>
          <w:kern w:val="1"/>
        </w:rPr>
        <w:t>, when</w:t>
      </w:r>
      <w:r w:rsidR="00D71E8F" w:rsidRPr="009B7A4A">
        <w:rPr>
          <w:rFonts w:ascii="Garamond" w:hAnsi="Garamond"/>
          <w:kern w:val="1"/>
        </w:rPr>
        <w:t xml:space="preserve"> applied to the conditions of daily life</w:t>
      </w:r>
      <w:r w:rsidR="005E387C">
        <w:rPr>
          <w:rFonts w:ascii="Garamond" w:hAnsi="Garamond"/>
          <w:kern w:val="1"/>
        </w:rPr>
        <w:t>,</w:t>
      </w:r>
      <w:r w:rsidR="00D71E8F" w:rsidRPr="009B7A4A">
        <w:rPr>
          <w:rFonts w:ascii="Garamond" w:hAnsi="Garamond"/>
          <w:kern w:val="1"/>
        </w:rPr>
        <w:t xml:space="preserve"> might appear irrational, paranoid, and conspiratorial</w:t>
      </w:r>
      <w:r>
        <w:rPr>
          <w:rFonts w:ascii="Garamond" w:hAnsi="Garamond"/>
          <w:kern w:val="1"/>
        </w:rPr>
        <w:t>. In the ne</w:t>
      </w:r>
      <w:r w:rsidR="00852978">
        <w:rPr>
          <w:rFonts w:ascii="Garamond" w:hAnsi="Garamond"/>
          <w:kern w:val="1"/>
        </w:rPr>
        <w:t>xt section I will introduce ethnographic vignettes to illustrate the games th</w:t>
      </w:r>
      <w:r w:rsidR="005E387C">
        <w:rPr>
          <w:rFonts w:ascii="Garamond" w:hAnsi="Garamond"/>
          <w:kern w:val="1"/>
        </w:rPr>
        <w:t>at</w:t>
      </w:r>
      <w:r w:rsidR="00852978">
        <w:rPr>
          <w:rFonts w:ascii="Garamond" w:hAnsi="Garamond"/>
          <w:kern w:val="1"/>
        </w:rPr>
        <w:t xml:space="preserve"> service users were expected to play with the state. </w:t>
      </w:r>
    </w:p>
    <w:p w14:paraId="037F42AD" w14:textId="77777777" w:rsidR="007E7B78" w:rsidRPr="009B7A4A" w:rsidRDefault="007E7B78" w:rsidP="00F27620">
      <w:pPr>
        <w:spacing w:line="480" w:lineRule="auto"/>
        <w:rPr>
          <w:rFonts w:ascii="Garamond" w:hAnsi="Garamond"/>
          <w:kern w:val="1"/>
        </w:rPr>
      </w:pPr>
    </w:p>
    <w:p w14:paraId="39B83E95" w14:textId="52C659D3" w:rsidR="00F6718E" w:rsidRPr="005E387C" w:rsidRDefault="005E387C" w:rsidP="00F27620">
      <w:pPr>
        <w:pStyle w:val="Heading2"/>
        <w:jc w:val="left"/>
        <w:rPr>
          <w:i w:val="0"/>
          <w:u w:val="none"/>
        </w:rPr>
      </w:pPr>
      <w:r w:rsidRPr="005E387C">
        <w:rPr>
          <w:i w:val="0"/>
          <w:u w:val="none"/>
        </w:rPr>
        <w:t>3.3</w:t>
      </w:r>
      <w:r w:rsidR="00277CE3" w:rsidRPr="005E387C">
        <w:rPr>
          <w:i w:val="0"/>
          <w:u w:val="none"/>
        </w:rPr>
        <w:t xml:space="preserve"> </w:t>
      </w:r>
      <w:r w:rsidR="00F6718E" w:rsidRPr="005E387C">
        <w:rPr>
          <w:i w:val="0"/>
          <w:u w:val="none"/>
        </w:rPr>
        <w:t>Vignettes of games played with the state</w:t>
      </w:r>
    </w:p>
    <w:p w14:paraId="13163D85" w14:textId="77777777" w:rsidR="005E387C" w:rsidRDefault="005E387C" w:rsidP="00F27620">
      <w:pPr>
        <w:spacing w:line="480" w:lineRule="auto"/>
        <w:rPr>
          <w:rFonts w:ascii="Garamond" w:hAnsi="Garamond"/>
          <w:lang w:eastAsia="en-GB"/>
        </w:rPr>
      </w:pPr>
    </w:p>
    <w:p w14:paraId="5128A9CC" w14:textId="3A86A9B8" w:rsidR="00D71E8F" w:rsidRPr="00DE48A3" w:rsidRDefault="00DE48A3" w:rsidP="00F27620">
      <w:pPr>
        <w:spacing w:line="480" w:lineRule="auto"/>
        <w:rPr>
          <w:rFonts w:ascii="Garamond" w:hAnsi="Garamond"/>
          <w:kern w:val="1"/>
        </w:rPr>
      </w:pPr>
      <w:r>
        <w:rPr>
          <w:rFonts w:ascii="Garamond" w:hAnsi="Garamond"/>
          <w:lang w:eastAsia="en-GB"/>
        </w:rPr>
        <w:t xml:space="preserve">Behaviour change theory has influenced a set of policies which, like a game, consciously and unconsciously influence the behaviour of the individual through setting rules, but crucially through destabilising ontological security. The </w:t>
      </w:r>
      <w:r w:rsidR="00333776">
        <w:rPr>
          <w:rFonts w:ascii="Garamond" w:hAnsi="Garamond"/>
          <w:lang w:eastAsia="en-GB"/>
        </w:rPr>
        <w:t>government has imagined</w:t>
      </w:r>
      <w:r w:rsidR="00C9498E">
        <w:rPr>
          <w:rFonts w:ascii="Garamond" w:hAnsi="Garamond"/>
          <w:lang w:eastAsia="en-GB"/>
        </w:rPr>
        <w:t xml:space="preserve"> policy makers as </w:t>
      </w:r>
      <w:r w:rsidR="00C9498E">
        <w:rPr>
          <w:rFonts w:ascii="Garamond" w:hAnsi="Garamond"/>
          <w:lang w:eastAsia="en-GB"/>
        </w:rPr>
        <w:lastRenderedPageBreak/>
        <w:t>“choice architects … trusted to design the rational default environments in which we are to live” (Whitehead et al. 2011</w:t>
      </w:r>
      <w:r w:rsidR="009C0067">
        <w:rPr>
          <w:rFonts w:ascii="Garamond" w:hAnsi="Garamond"/>
          <w:lang w:eastAsia="en-GB"/>
        </w:rPr>
        <w:t>:2834</w:t>
      </w:r>
      <w:r w:rsidR="00C9498E">
        <w:rPr>
          <w:rFonts w:ascii="Garamond" w:hAnsi="Garamond"/>
          <w:lang w:eastAsia="en-GB"/>
        </w:rPr>
        <w:t>)</w:t>
      </w:r>
      <w:r w:rsidR="00333776">
        <w:rPr>
          <w:rFonts w:ascii="Garamond" w:hAnsi="Garamond"/>
          <w:lang w:eastAsia="en-GB"/>
        </w:rPr>
        <w:t xml:space="preserve">. </w:t>
      </w:r>
      <w:r w:rsidR="00714817">
        <w:rPr>
          <w:rFonts w:ascii="Garamond" w:hAnsi="Garamond"/>
          <w:lang w:eastAsia="en-GB"/>
        </w:rPr>
        <w:t>The</w:t>
      </w:r>
      <w:r w:rsidR="00333776">
        <w:rPr>
          <w:rFonts w:ascii="Garamond" w:hAnsi="Garamond"/>
          <w:lang w:eastAsia="en-GB"/>
        </w:rPr>
        <w:t xml:space="preserve"> state actively produces scenarios </w:t>
      </w:r>
      <w:r w:rsidR="005E387C">
        <w:rPr>
          <w:rFonts w:ascii="Garamond" w:hAnsi="Garamond"/>
          <w:lang w:eastAsia="en-GB"/>
        </w:rPr>
        <w:t>forcing</w:t>
      </w:r>
      <w:r w:rsidR="00333776">
        <w:rPr>
          <w:rFonts w:ascii="Garamond" w:hAnsi="Garamond"/>
          <w:lang w:eastAsia="en-GB"/>
        </w:rPr>
        <w:t xml:space="preserve"> people into situations where they make decisions</w:t>
      </w:r>
      <w:r w:rsidR="005E387C">
        <w:rPr>
          <w:rFonts w:ascii="Garamond" w:hAnsi="Garamond"/>
          <w:lang w:eastAsia="en-GB"/>
        </w:rPr>
        <w:t xml:space="preserve"> that</w:t>
      </w:r>
      <w:r w:rsidR="00333776">
        <w:rPr>
          <w:rFonts w:ascii="Garamond" w:hAnsi="Garamond"/>
          <w:lang w:eastAsia="en-GB"/>
        </w:rPr>
        <w:t xml:space="preserve"> they might not otherwise have made –</w:t>
      </w:r>
      <w:r w:rsidR="005E387C">
        <w:rPr>
          <w:rFonts w:ascii="Garamond" w:hAnsi="Garamond"/>
          <w:lang w:eastAsia="en-GB"/>
        </w:rPr>
        <w:t xml:space="preserve"> imposing</w:t>
      </w:r>
      <w:r w:rsidR="00333776">
        <w:rPr>
          <w:rFonts w:ascii="Garamond" w:hAnsi="Garamond"/>
          <w:lang w:eastAsia="en-GB"/>
        </w:rPr>
        <w:t xml:space="preserve"> arbitrary changes to the ‘rules of the game’ that </w:t>
      </w:r>
      <w:r w:rsidR="005E75FE">
        <w:rPr>
          <w:rFonts w:ascii="Garamond" w:hAnsi="Garamond"/>
          <w:lang w:eastAsia="en-GB"/>
        </w:rPr>
        <w:t>deny</w:t>
      </w:r>
      <w:r w:rsidR="00333776">
        <w:rPr>
          <w:rFonts w:ascii="Garamond" w:hAnsi="Garamond"/>
          <w:lang w:eastAsia="en-GB"/>
        </w:rPr>
        <w:t xml:space="preserve"> the capacity of individuals to produce their own lives</w:t>
      </w:r>
      <w:r w:rsidR="005E75FE">
        <w:rPr>
          <w:rFonts w:ascii="Garamond" w:hAnsi="Garamond"/>
          <w:lang w:eastAsia="en-GB"/>
        </w:rPr>
        <w:t>,</w:t>
      </w:r>
      <w:r w:rsidR="005E387C">
        <w:rPr>
          <w:rFonts w:ascii="Garamond" w:hAnsi="Garamond"/>
          <w:lang w:eastAsia="en-GB"/>
        </w:rPr>
        <w:t xml:space="preserve"> undermin</w:t>
      </w:r>
      <w:r w:rsidR="005E75FE">
        <w:rPr>
          <w:rFonts w:ascii="Garamond" w:hAnsi="Garamond"/>
          <w:lang w:eastAsia="en-GB"/>
        </w:rPr>
        <w:t>ing</w:t>
      </w:r>
      <w:r w:rsidR="005E387C">
        <w:rPr>
          <w:rFonts w:ascii="Garamond" w:hAnsi="Garamond"/>
          <w:lang w:eastAsia="en-GB"/>
        </w:rPr>
        <w:t xml:space="preserve"> </w:t>
      </w:r>
      <w:r w:rsidR="00333776">
        <w:rPr>
          <w:rFonts w:ascii="Garamond" w:hAnsi="Garamond"/>
          <w:lang w:eastAsia="en-GB"/>
        </w:rPr>
        <w:t>dramatically individuals</w:t>
      </w:r>
      <w:r w:rsidR="005E387C">
        <w:rPr>
          <w:rFonts w:ascii="Garamond" w:hAnsi="Garamond"/>
          <w:lang w:eastAsia="en-GB"/>
        </w:rPr>
        <w:t>’</w:t>
      </w:r>
      <w:r w:rsidR="00333776">
        <w:rPr>
          <w:rFonts w:ascii="Garamond" w:hAnsi="Garamond"/>
          <w:lang w:eastAsia="en-GB"/>
        </w:rPr>
        <w:t xml:space="preserve"> sense of</w:t>
      </w:r>
      <w:r w:rsidR="005E387C">
        <w:rPr>
          <w:rFonts w:ascii="Garamond" w:hAnsi="Garamond"/>
          <w:lang w:eastAsia="en-GB"/>
        </w:rPr>
        <w:t xml:space="preserve"> personal autonomy. </w:t>
      </w:r>
      <w:r w:rsidR="005E75FE">
        <w:rPr>
          <w:rFonts w:ascii="Garamond" w:hAnsi="Garamond"/>
          <w:kern w:val="1"/>
        </w:rPr>
        <w:t>Negotiating this relationship with the state requires</w:t>
      </w:r>
      <w:r w:rsidR="005E75FE" w:rsidRPr="009B7A4A">
        <w:rPr>
          <w:rFonts w:ascii="Garamond" w:hAnsi="Garamond"/>
          <w:kern w:val="1"/>
        </w:rPr>
        <w:t xml:space="preserve"> the kind of approach that one takes when playing </w:t>
      </w:r>
      <w:r w:rsidR="005E75FE">
        <w:rPr>
          <w:rFonts w:ascii="Garamond" w:hAnsi="Garamond"/>
          <w:kern w:val="1"/>
        </w:rPr>
        <w:t>b</w:t>
      </w:r>
      <w:r w:rsidR="005E75FE" w:rsidRPr="009B7A4A">
        <w:rPr>
          <w:rFonts w:ascii="Garamond" w:hAnsi="Garamond"/>
          <w:kern w:val="1"/>
        </w:rPr>
        <w:t>lackjack</w:t>
      </w:r>
      <w:r w:rsidR="005E75FE">
        <w:rPr>
          <w:rFonts w:ascii="Garamond" w:hAnsi="Garamond"/>
          <w:kern w:val="1"/>
        </w:rPr>
        <w:t>:</w:t>
      </w:r>
      <w:r w:rsidR="005E75FE" w:rsidRPr="009B7A4A">
        <w:rPr>
          <w:rFonts w:ascii="Garamond" w:hAnsi="Garamond"/>
          <w:kern w:val="1"/>
        </w:rPr>
        <w:t xml:space="preserve"> a heightened perception of threat, and a deep and brooding suspicion of one’s opponent. </w:t>
      </w:r>
      <w:r w:rsidR="005E75FE">
        <w:rPr>
          <w:rFonts w:ascii="Garamond" w:hAnsi="Garamond"/>
          <w:kern w:val="1"/>
        </w:rPr>
        <w:t>Like childhood games this oppositional and rule based relationship is in itself ‘precarious’</w:t>
      </w:r>
      <w:r w:rsidR="005E75FE" w:rsidRPr="009B7A4A">
        <w:rPr>
          <w:rFonts w:ascii="Garamond" w:hAnsi="Garamond"/>
          <w:kern w:val="1"/>
        </w:rPr>
        <w:t xml:space="preserve"> (Winnicott 1971:69)</w:t>
      </w:r>
      <w:r w:rsidR="005E75FE">
        <w:rPr>
          <w:rFonts w:ascii="Garamond" w:hAnsi="Garamond"/>
          <w:kern w:val="1"/>
        </w:rPr>
        <w:t>.</w:t>
      </w:r>
      <w:r>
        <w:rPr>
          <w:rFonts w:ascii="Garamond" w:hAnsi="Garamond"/>
          <w:kern w:val="1"/>
        </w:rPr>
        <w:t xml:space="preserve"> </w:t>
      </w:r>
      <w:r w:rsidRPr="009B7A4A">
        <w:rPr>
          <w:rFonts w:ascii="Garamond" w:hAnsi="Garamond"/>
          <w:lang w:eastAsia="en-GB"/>
        </w:rPr>
        <w:t xml:space="preserve">The following vignettes are </w:t>
      </w:r>
      <w:r>
        <w:rPr>
          <w:rFonts w:ascii="Garamond" w:hAnsi="Garamond"/>
          <w:lang w:eastAsia="en-GB"/>
        </w:rPr>
        <w:t>two</w:t>
      </w:r>
      <w:r w:rsidRPr="009B7A4A">
        <w:rPr>
          <w:rFonts w:ascii="Garamond" w:hAnsi="Garamond"/>
          <w:lang w:eastAsia="en-GB"/>
        </w:rPr>
        <w:t xml:space="preserve"> of countless similar stories</w:t>
      </w:r>
      <w:r>
        <w:rPr>
          <w:rFonts w:ascii="Garamond" w:hAnsi="Garamond"/>
          <w:lang w:eastAsia="en-GB"/>
        </w:rPr>
        <w:t xml:space="preserve"> that</w:t>
      </w:r>
      <w:r w:rsidRPr="009B7A4A">
        <w:rPr>
          <w:rFonts w:ascii="Garamond" w:hAnsi="Garamond"/>
          <w:lang w:eastAsia="en-GB"/>
        </w:rPr>
        <w:t xml:space="preserve"> I heard from service users at the soup kitchen. They were not out of the ordinary, and such stories were a common feature of small talk between service users and volunteers. </w:t>
      </w:r>
    </w:p>
    <w:p w14:paraId="423DD8E5" w14:textId="77777777" w:rsidR="00F6718E" w:rsidRPr="009B7A4A" w:rsidRDefault="00F6718E" w:rsidP="00F27620">
      <w:pPr>
        <w:spacing w:line="480" w:lineRule="auto"/>
        <w:rPr>
          <w:rFonts w:ascii="Garamond" w:hAnsi="Garamond"/>
          <w:lang w:eastAsia="en-GB"/>
        </w:rPr>
      </w:pPr>
    </w:p>
    <w:p w14:paraId="3F0E27DC" w14:textId="2858D5C1" w:rsidR="00D71E8F" w:rsidRPr="009B7A4A" w:rsidRDefault="00D71E8F" w:rsidP="00F27620">
      <w:pPr>
        <w:spacing w:line="480" w:lineRule="auto"/>
        <w:rPr>
          <w:rFonts w:ascii="Garamond" w:hAnsi="Garamond"/>
          <w:kern w:val="1"/>
        </w:rPr>
      </w:pPr>
      <w:r w:rsidRPr="009B7A4A">
        <w:rPr>
          <w:rFonts w:ascii="Garamond" w:hAnsi="Garamond"/>
          <w:kern w:val="1"/>
        </w:rPr>
        <w:t>Johnny and Nicola came in for the first time in September; they needed food desperately.</w:t>
      </w:r>
      <w:r w:rsidR="00D74990" w:rsidRPr="009B7A4A">
        <w:rPr>
          <w:rFonts w:ascii="Garamond" w:hAnsi="Garamond"/>
          <w:kern w:val="1"/>
        </w:rPr>
        <w:t xml:space="preserve"> </w:t>
      </w:r>
      <w:r w:rsidR="00296981">
        <w:rPr>
          <w:rFonts w:ascii="Garamond" w:hAnsi="Garamond"/>
          <w:kern w:val="1"/>
        </w:rPr>
        <w:t>T</w:t>
      </w:r>
      <w:r w:rsidRPr="009B7A4A">
        <w:rPr>
          <w:rFonts w:ascii="Garamond" w:hAnsi="Garamond"/>
          <w:kern w:val="1"/>
        </w:rPr>
        <w:t xml:space="preserve">hey had been more than six weeks without money. </w:t>
      </w:r>
      <w:r w:rsidR="005D54FD">
        <w:rPr>
          <w:rFonts w:ascii="Garamond" w:hAnsi="Garamond"/>
          <w:kern w:val="1"/>
        </w:rPr>
        <w:t>They had no electricity at home,</w:t>
      </w:r>
      <w:r w:rsidR="00D74990" w:rsidRPr="009B7A4A">
        <w:rPr>
          <w:rFonts w:ascii="Garamond" w:hAnsi="Garamond"/>
          <w:kern w:val="1"/>
        </w:rPr>
        <w:t xml:space="preserve"> Johnny was diabetic</w:t>
      </w:r>
      <w:r w:rsidR="005D54FD">
        <w:rPr>
          <w:rFonts w:ascii="Garamond" w:hAnsi="Garamond"/>
          <w:kern w:val="1"/>
        </w:rPr>
        <w:t xml:space="preserve"> and</w:t>
      </w:r>
      <w:r w:rsidR="00D74990" w:rsidRPr="009B7A4A">
        <w:rPr>
          <w:rFonts w:ascii="Garamond" w:hAnsi="Garamond"/>
          <w:kern w:val="1"/>
        </w:rPr>
        <w:t xml:space="preserve"> had no working fridge in which to store his insulin. </w:t>
      </w:r>
      <w:r w:rsidRPr="009B7A4A">
        <w:rPr>
          <w:rFonts w:ascii="Garamond" w:hAnsi="Garamond"/>
          <w:kern w:val="1"/>
        </w:rPr>
        <w:t xml:space="preserve">They would dodge fares on trains to get to the soup kitchen. Johnny had held a job, cooking on a market stall for one day a week, but </w:t>
      </w:r>
      <w:r w:rsidR="00296981">
        <w:rPr>
          <w:rFonts w:ascii="Garamond" w:hAnsi="Garamond"/>
          <w:kern w:val="1"/>
        </w:rPr>
        <w:t>the Job Centre</w:t>
      </w:r>
      <w:r w:rsidR="00D74990" w:rsidRPr="009B7A4A">
        <w:rPr>
          <w:rFonts w:ascii="Garamond" w:hAnsi="Garamond"/>
          <w:kern w:val="1"/>
        </w:rPr>
        <w:t xml:space="preserve"> told him</w:t>
      </w:r>
      <w:r w:rsidR="005E387C">
        <w:rPr>
          <w:rFonts w:ascii="Garamond" w:hAnsi="Garamond"/>
          <w:kern w:val="1"/>
        </w:rPr>
        <w:t xml:space="preserve"> that</w:t>
      </w:r>
      <w:r w:rsidRPr="009B7A4A">
        <w:rPr>
          <w:rFonts w:ascii="Garamond" w:hAnsi="Garamond"/>
          <w:kern w:val="1"/>
        </w:rPr>
        <w:t xml:space="preserve"> because it was so few hours, it was impossible for him to pay his rent and he would have to give it</w:t>
      </w:r>
      <w:r w:rsidR="00296981">
        <w:rPr>
          <w:rFonts w:ascii="Garamond" w:hAnsi="Garamond"/>
          <w:kern w:val="1"/>
        </w:rPr>
        <w:t xml:space="preserve"> up in order to claim benefits.</w:t>
      </w:r>
      <w:r w:rsidR="005D54FD">
        <w:rPr>
          <w:rFonts w:ascii="Garamond" w:hAnsi="Garamond"/>
          <w:kern w:val="1"/>
        </w:rPr>
        <w:t xml:space="preserve"> </w:t>
      </w:r>
      <w:r w:rsidR="00296981">
        <w:rPr>
          <w:rFonts w:ascii="Garamond" w:hAnsi="Garamond"/>
          <w:kern w:val="1"/>
        </w:rPr>
        <w:t xml:space="preserve">When you apply for benefits it takes </w:t>
      </w:r>
      <w:r w:rsidR="002234BE">
        <w:rPr>
          <w:rFonts w:ascii="Garamond" w:hAnsi="Garamond"/>
          <w:kern w:val="1"/>
        </w:rPr>
        <w:t>as long as 13</w:t>
      </w:r>
      <w:r w:rsidR="00296981">
        <w:rPr>
          <w:rFonts w:ascii="Garamond" w:hAnsi="Garamond"/>
          <w:kern w:val="1"/>
        </w:rPr>
        <w:t xml:space="preserve"> weeks to start getting the money through</w:t>
      </w:r>
      <w:r w:rsidR="005E387C">
        <w:rPr>
          <w:rFonts w:ascii="Garamond" w:hAnsi="Garamond"/>
          <w:kern w:val="1"/>
        </w:rPr>
        <w:t>. Y</w:t>
      </w:r>
      <w:r w:rsidR="002234BE">
        <w:rPr>
          <w:rFonts w:ascii="Garamond" w:hAnsi="Garamond"/>
          <w:kern w:val="1"/>
        </w:rPr>
        <w:t>ou can receive an assessment rate payment during that time. Because Johnny and Nicola had already been on this rate shortly before he had his job, and because they made a mistake during the application process and were, sen</w:t>
      </w:r>
      <w:r w:rsidR="005E387C">
        <w:rPr>
          <w:rFonts w:ascii="Garamond" w:hAnsi="Garamond"/>
          <w:kern w:val="1"/>
        </w:rPr>
        <w:t>t</w:t>
      </w:r>
      <w:r w:rsidR="002234BE">
        <w:rPr>
          <w:rFonts w:ascii="Garamond" w:hAnsi="Garamond"/>
          <w:kern w:val="1"/>
        </w:rPr>
        <w:t xml:space="preserve"> back to the beginning they had reached the limit of </w:t>
      </w:r>
      <w:r w:rsidR="005E387C">
        <w:rPr>
          <w:rFonts w:ascii="Garamond" w:hAnsi="Garamond"/>
          <w:kern w:val="1"/>
        </w:rPr>
        <w:t>thirteen</w:t>
      </w:r>
      <w:r w:rsidR="002234BE">
        <w:rPr>
          <w:rFonts w:ascii="Garamond" w:hAnsi="Garamond"/>
          <w:kern w:val="1"/>
        </w:rPr>
        <w:t xml:space="preserve"> weeks </w:t>
      </w:r>
      <w:r w:rsidR="005E387C">
        <w:rPr>
          <w:rFonts w:ascii="Garamond" w:hAnsi="Garamond"/>
          <w:kern w:val="1"/>
        </w:rPr>
        <w:t>for</w:t>
      </w:r>
      <w:r w:rsidR="002234BE">
        <w:rPr>
          <w:rFonts w:ascii="Garamond" w:hAnsi="Garamond"/>
          <w:kern w:val="1"/>
        </w:rPr>
        <w:t xml:space="preserve"> this payment and were left with nothing until their benefits were approved.</w:t>
      </w:r>
    </w:p>
    <w:p w14:paraId="1D1C0B39" w14:textId="77777777" w:rsidR="00D71E8F" w:rsidRPr="009B7A4A" w:rsidRDefault="00D71E8F" w:rsidP="00F27620">
      <w:pPr>
        <w:spacing w:line="480" w:lineRule="auto"/>
        <w:rPr>
          <w:rFonts w:ascii="Garamond" w:hAnsi="Garamond"/>
          <w:kern w:val="1"/>
        </w:rPr>
      </w:pPr>
    </w:p>
    <w:p w14:paraId="60F06914" w14:textId="0AAA9C8B" w:rsidR="003C315A" w:rsidRPr="009B7A4A" w:rsidRDefault="00D71E8F" w:rsidP="00F27620">
      <w:pPr>
        <w:spacing w:line="480" w:lineRule="auto"/>
        <w:rPr>
          <w:rFonts w:ascii="Garamond" w:hAnsi="Garamond"/>
          <w:kern w:val="1"/>
        </w:rPr>
      </w:pPr>
      <w:r w:rsidRPr="009B7A4A">
        <w:rPr>
          <w:rFonts w:ascii="Garamond" w:hAnsi="Garamond"/>
          <w:kern w:val="1"/>
        </w:rPr>
        <w:t>Johnny had been a footballer: he had played semi-</w:t>
      </w:r>
      <w:r w:rsidR="00D74990" w:rsidRPr="009B7A4A">
        <w:rPr>
          <w:rFonts w:ascii="Garamond" w:hAnsi="Garamond"/>
          <w:kern w:val="1"/>
        </w:rPr>
        <w:t>professionally</w:t>
      </w:r>
      <w:r w:rsidR="005E387C">
        <w:rPr>
          <w:rFonts w:ascii="Garamond" w:hAnsi="Garamond"/>
          <w:kern w:val="1"/>
        </w:rPr>
        <w:t xml:space="preserve"> and now a</w:t>
      </w:r>
      <w:r w:rsidR="00D74990" w:rsidRPr="009B7A4A">
        <w:rPr>
          <w:rFonts w:ascii="Garamond" w:hAnsi="Garamond"/>
          <w:kern w:val="1"/>
        </w:rPr>
        <w:t xml:space="preserve"> promising youth career had given way to </w:t>
      </w:r>
      <w:r w:rsidRPr="009B7A4A">
        <w:rPr>
          <w:rFonts w:ascii="Garamond" w:hAnsi="Garamond"/>
          <w:kern w:val="1"/>
        </w:rPr>
        <w:t>playing the odd game for £50-100</w:t>
      </w:r>
      <w:r w:rsidR="005E387C">
        <w:rPr>
          <w:rFonts w:ascii="Garamond" w:hAnsi="Garamond"/>
          <w:kern w:val="1"/>
        </w:rPr>
        <w:t>, which</w:t>
      </w:r>
      <w:r w:rsidR="00D74990" w:rsidRPr="009B7A4A">
        <w:rPr>
          <w:rFonts w:ascii="Garamond" w:hAnsi="Garamond"/>
          <w:kern w:val="1"/>
        </w:rPr>
        <w:t xml:space="preserve"> e</w:t>
      </w:r>
      <w:r w:rsidRPr="009B7A4A">
        <w:rPr>
          <w:rFonts w:ascii="Garamond" w:hAnsi="Garamond"/>
          <w:kern w:val="1"/>
        </w:rPr>
        <w:t xml:space="preserve">nded when he had a fight on </w:t>
      </w:r>
      <w:r w:rsidRPr="009B7A4A">
        <w:rPr>
          <w:rFonts w:ascii="Garamond" w:hAnsi="Garamond"/>
          <w:kern w:val="1"/>
        </w:rPr>
        <w:lastRenderedPageBreak/>
        <w:t>the pitch</w:t>
      </w:r>
      <w:r w:rsidR="00D74990" w:rsidRPr="009B7A4A">
        <w:rPr>
          <w:rFonts w:ascii="Garamond" w:hAnsi="Garamond"/>
          <w:kern w:val="1"/>
        </w:rPr>
        <w:t>. After</w:t>
      </w:r>
      <w:r w:rsidRPr="009B7A4A">
        <w:rPr>
          <w:rFonts w:ascii="Garamond" w:hAnsi="Garamond"/>
          <w:kern w:val="1"/>
        </w:rPr>
        <w:t xml:space="preserve"> a week or two of coming to the soup kitchen</w:t>
      </w:r>
      <w:r w:rsidR="00D74990" w:rsidRPr="009B7A4A">
        <w:rPr>
          <w:rFonts w:ascii="Garamond" w:hAnsi="Garamond"/>
          <w:kern w:val="1"/>
        </w:rPr>
        <w:t xml:space="preserve"> Johnny got a job</w:t>
      </w:r>
      <w:r w:rsidR="006333E3" w:rsidRPr="009B7A4A">
        <w:rPr>
          <w:rFonts w:ascii="Garamond" w:hAnsi="Garamond"/>
          <w:kern w:val="1"/>
        </w:rPr>
        <w:t>.</w:t>
      </w:r>
      <w:r w:rsidRPr="009B7A4A">
        <w:rPr>
          <w:rFonts w:ascii="Garamond" w:hAnsi="Garamond"/>
          <w:kern w:val="1"/>
        </w:rPr>
        <w:t xml:space="preserve"> I did no</w:t>
      </w:r>
      <w:r w:rsidR="006333E3" w:rsidRPr="009B7A4A">
        <w:rPr>
          <w:rFonts w:ascii="Garamond" w:hAnsi="Garamond"/>
          <w:kern w:val="1"/>
        </w:rPr>
        <w:t>t see them again until December, but things had taken a turn for the worse. The</w:t>
      </w:r>
      <w:r w:rsidRPr="009B7A4A">
        <w:rPr>
          <w:rFonts w:ascii="Garamond" w:hAnsi="Garamond"/>
          <w:kern w:val="1"/>
        </w:rPr>
        <w:t xml:space="preserve"> fight that had ended </w:t>
      </w:r>
      <w:r w:rsidR="006333E3" w:rsidRPr="009B7A4A">
        <w:rPr>
          <w:rFonts w:ascii="Garamond" w:hAnsi="Garamond"/>
          <w:kern w:val="1"/>
        </w:rPr>
        <w:t>Johnny’s</w:t>
      </w:r>
      <w:r w:rsidRPr="009B7A4A">
        <w:rPr>
          <w:rFonts w:ascii="Garamond" w:hAnsi="Garamond"/>
          <w:kern w:val="1"/>
        </w:rPr>
        <w:t xml:space="preserve"> footballing career had resulted in court proceedings</w:t>
      </w:r>
      <w:r w:rsidR="005E387C">
        <w:rPr>
          <w:rFonts w:ascii="Garamond" w:hAnsi="Garamond"/>
          <w:kern w:val="1"/>
        </w:rPr>
        <w:t>:</w:t>
      </w:r>
      <w:r w:rsidRPr="009B7A4A">
        <w:rPr>
          <w:rFonts w:ascii="Garamond" w:hAnsi="Garamond"/>
          <w:kern w:val="1"/>
        </w:rPr>
        <w:t xml:space="preserve"> two years after the incident</w:t>
      </w:r>
      <w:r w:rsidR="002234BE">
        <w:rPr>
          <w:rFonts w:ascii="Garamond" w:hAnsi="Garamond"/>
          <w:kern w:val="1"/>
        </w:rPr>
        <w:t xml:space="preserve"> </w:t>
      </w:r>
      <w:r w:rsidR="006333E3" w:rsidRPr="009B7A4A">
        <w:rPr>
          <w:rFonts w:ascii="Garamond" w:hAnsi="Garamond"/>
          <w:kern w:val="1"/>
        </w:rPr>
        <w:t>Johnny was sent to prison</w:t>
      </w:r>
      <w:r w:rsidR="00091FAF">
        <w:rPr>
          <w:rFonts w:ascii="Garamond" w:hAnsi="Garamond"/>
          <w:kern w:val="1"/>
        </w:rPr>
        <w:t xml:space="preserve"> and when he came out they were left relying on the soup kitchen once again</w:t>
      </w:r>
      <w:r w:rsidR="00333776">
        <w:rPr>
          <w:rFonts w:ascii="Garamond" w:hAnsi="Garamond"/>
          <w:kern w:val="1"/>
        </w:rPr>
        <w:t xml:space="preserve">. </w:t>
      </w:r>
      <w:r w:rsidRPr="009B7A4A">
        <w:rPr>
          <w:rFonts w:ascii="Garamond" w:hAnsi="Garamond"/>
          <w:kern w:val="1"/>
        </w:rPr>
        <w:t xml:space="preserve"> </w:t>
      </w:r>
      <w:r w:rsidR="003C315A">
        <w:rPr>
          <w:rFonts w:ascii="Garamond" w:hAnsi="Garamond"/>
          <w:kern w:val="1"/>
        </w:rPr>
        <w:t xml:space="preserve">A lack of skill in negotiating the challenging bureaucracies of welfare created a circumstance where Johnny’s attempts to earn money </w:t>
      </w:r>
      <w:r w:rsidR="002234BE">
        <w:rPr>
          <w:rFonts w:ascii="Garamond" w:hAnsi="Garamond"/>
          <w:kern w:val="1"/>
        </w:rPr>
        <w:t>became</w:t>
      </w:r>
      <w:r w:rsidR="003C315A">
        <w:rPr>
          <w:rFonts w:ascii="Garamond" w:hAnsi="Garamond"/>
          <w:kern w:val="1"/>
        </w:rPr>
        <w:t xml:space="preserve"> invalid forms of behaviour</w:t>
      </w:r>
      <w:r w:rsidR="005E387C">
        <w:rPr>
          <w:rFonts w:ascii="Garamond" w:hAnsi="Garamond"/>
          <w:kern w:val="1"/>
        </w:rPr>
        <w:t>;</w:t>
      </w:r>
      <w:r w:rsidR="003C315A">
        <w:rPr>
          <w:rFonts w:ascii="Garamond" w:hAnsi="Garamond"/>
          <w:kern w:val="1"/>
        </w:rPr>
        <w:t xml:space="preserve"> then in applying for unemployment </w:t>
      </w:r>
      <w:r w:rsidR="005E387C">
        <w:rPr>
          <w:rFonts w:ascii="Garamond" w:hAnsi="Garamond"/>
          <w:kern w:val="1"/>
        </w:rPr>
        <w:t xml:space="preserve">benefit </w:t>
      </w:r>
      <w:r w:rsidR="003C315A">
        <w:rPr>
          <w:rFonts w:ascii="Garamond" w:hAnsi="Garamond"/>
          <w:kern w:val="1"/>
        </w:rPr>
        <w:t xml:space="preserve">a confusion with their application put them in a precarious and dangerous situation. The delayed consequences of a crime then meant that </w:t>
      </w:r>
      <w:r w:rsidR="005E387C">
        <w:rPr>
          <w:rFonts w:ascii="Garamond" w:hAnsi="Garamond"/>
          <w:kern w:val="1"/>
        </w:rPr>
        <w:t>Johnny’s</w:t>
      </w:r>
      <w:r w:rsidR="003C315A">
        <w:rPr>
          <w:rFonts w:ascii="Garamond" w:hAnsi="Garamond"/>
          <w:kern w:val="1"/>
        </w:rPr>
        <w:t xml:space="preserve"> further efforts to earn money were pointless. The behaviours of Johnny and Nicola were not recognised as </w:t>
      </w:r>
      <w:r w:rsidR="00091FAF">
        <w:rPr>
          <w:rFonts w:ascii="Garamond" w:hAnsi="Garamond"/>
          <w:kern w:val="1"/>
        </w:rPr>
        <w:t>the right kind of approach to becoming ‘useful’ members of society</w:t>
      </w:r>
      <w:r w:rsidR="002234BE">
        <w:rPr>
          <w:rFonts w:ascii="Garamond" w:hAnsi="Garamond"/>
          <w:kern w:val="1"/>
        </w:rPr>
        <w:t>:</w:t>
      </w:r>
      <w:r w:rsidR="00091FAF">
        <w:rPr>
          <w:rFonts w:ascii="Garamond" w:hAnsi="Garamond"/>
          <w:kern w:val="1"/>
        </w:rPr>
        <w:t xml:space="preserve"> even as they tried to return to work a failure to play by the rules led them back to a situation of acute need once again.</w:t>
      </w:r>
    </w:p>
    <w:p w14:paraId="61FCCDE0" w14:textId="77777777" w:rsidR="00D71E8F" w:rsidRPr="009B7A4A" w:rsidRDefault="00D71E8F" w:rsidP="00F27620">
      <w:pPr>
        <w:spacing w:line="480" w:lineRule="auto"/>
        <w:rPr>
          <w:rFonts w:ascii="Garamond" w:hAnsi="Garamond"/>
          <w:kern w:val="1"/>
        </w:rPr>
      </w:pPr>
    </w:p>
    <w:p w14:paraId="3A72FA8B" w14:textId="19B11AD3" w:rsidR="00D71E8F" w:rsidRPr="009B7A4A" w:rsidRDefault="00D71E8F" w:rsidP="00F27620">
      <w:pPr>
        <w:spacing w:line="480" w:lineRule="auto"/>
        <w:rPr>
          <w:rFonts w:ascii="Garamond" w:hAnsi="Garamond"/>
          <w:kern w:val="1"/>
        </w:rPr>
      </w:pPr>
      <w:r w:rsidRPr="009B7A4A">
        <w:rPr>
          <w:rFonts w:ascii="Garamond" w:hAnsi="Garamond"/>
          <w:kern w:val="1"/>
        </w:rPr>
        <w:t>If you fail to turn up to appointments at the Job Centre or refuse to participate in a work placement</w:t>
      </w:r>
      <w:r w:rsidRPr="009B7A4A">
        <w:rPr>
          <w:rStyle w:val="EndnoteReference"/>
          <w:rFonts w:ascii="Garamond" w:hAnsi="Garamond"/>
          <w:kern w:val="1"/>
        </w:rPr>
        <w:endnoteReference w:id="3"/>
      </w:r>
      <w:r w:rsidRPr="009B7A4A">
        <w:rPr>
          <w:rFonts w:ascii="Garamond" w:hAnsi="Garamond"/>
          <w:kern w:val="1"/>
        </w:rPr>
        <w:t xml:space="preserve">, you can </w:t>
      </w:r>
      <w:r w:rsidR="00E16517" w:rsidRPr="009B7A4A">
        <w:rPr>
          <w:rFonts w:ascii="Garamond" w:hAnsi="Garamond"/>
          <w:kern w:val="1"/>
        </w:rPr>
        <w:t>be</w:t>
      </w:r>
      <w:r w:rsidRPr="009B7A4A">
        <w:rPr>
          <w:rFonts w:ascii="Garamond" w:hAnsi="Garamond"/>
          <w:kern w:val="1"/>
        </w:rPr>
        <w:t xml:space="preserve"> penalised. Benefits are suspended for people in these situations for an amount of time that varies depending on the apparent severity of the ‘crime’. For those who face these sanctions, the soup kitchen is one of the last remnants of the safety net. In a twist of fate, however, the soup kitchen was a</w:t>
      </w:r>
      <w:r w:rsidR="00E16517" w:rsidRPr="009B7A4A">
        <w:rPr>
          <w:rFonts w:ascii="Garamond" w:hAnsi="Garamond"/>
          <w:kern w:val="1"/>
        </w:rPr>
        <w:t>lso a place where one could be sent on</w:t>
      </w:r>
      <w:r w:rsidRPr="009B7A4A">
        <w:rPr>
          <w:rFonts w:ascii="Garamond" w:hAnsi="Garamond"/>
          <w:kern w:val="1"/>
        </w:rPr>
        <w:t xml:space="preserve"> work placement. After the soup kitchen founders agreed that they would take one or two people on placem</w:t>
      </w:r>
      <w:r w:rsidR="00E16517" w:rsidRPr="009B7A4A">
        <w:rPr>
          <w:rFonts w:ascii="Garamond" w:hAnsi="Garamond"/>
          <w:kern w:val="1"/>
        </w:rPr>
        <w:t>ent when they needed help,</w:t>
      </w:r>
      <w:r w:rsidRPr="009B7A4A">
        <w:rPr>
          <w:rFonts w:ascii="Garamond" w:hAnsi="Garamond"/>
          <w:kern w:val="1"/>
        </w:rPr>
        <w:t xml:space="preserve"> six or seven people </w:t>
      </w:r>
      <w:r w:rsidR="00E16517" w:rsidRPr="009B7A4A">
        <w:rPr>
          <w:rFonts w:ascii="Garamond" w:hAnsi="Garamond"/>
          <w:kern w:val="1"/>
        </w:rPr>
        <w:t>turned up</w:t>
      </w:r>
      <w:r w:rsidRPr="009B7A4A">
        <w:rPr>
          <w:rFonts w:ascii="Garamond" w:hAnsi="Garamond"/>
          <w:kern w:val="1"/>
        </w:rPr>
        <w:t xml:space="preserve">. These were people in receipt of benefits </w:t>
      </w:r>
      <w:r w:rsidR="00E16517" w:rsidRPr="009B7A4A">
        <w:rPr>
          <w:rFonts w:ascii="Garamond" w:hAnsi="Garamond"/>
          <w:kern w:val="1"/>
        </w:rPr>
        <w:t>made</w:t>
      </w:r>
      <w:r w:rsidRPr="009B7A4A">
        <w:rPr>
          <w:rFonts w:ascii="Garamond" w:hAnsi="Garamond"/>
          <w:kern w:val="1"/>
        </w:rPr>
        <w:t xml:space="preserve"> to work for no money, a ‘voluntary’ position intended to improve one’s employment prospects. If any of the individuals on these work placements had found themselves falling foul of the sanctioning regime, they would have likely found themselves needing to come as a service user instead of as a ‘volunteer’. </w:t>
      </w:r>
    </w:p>
    <w:p w14:paraId="68027D1C" w14:textId="77777777" w:rsidR="00D71E8F" w:rsidRPr="009B7A4A" w:rsidRDefault="00D71E8F" w:rsidP="00F27620">
      <w:pPr>
        <w:spacing w:line="480" w:lineRule="auto"/>
        <w:rPr>
          <w:rFonts w:ascii="Garamond" w:hAnsi="Garamond"/>
          <w:kern w:val="1"/>
        </w:rPr>
      </w:pPr>
    </w:p>
    <w:p w14:paraId="60ED33C7" w14:textId="2F93B3CD" w:rsidR="00333776" w:rsidRDefault="00091FAF" w:rsidP="00F27620">
      <w:pPr>
        <w:spacing w:line="480" w:lineRule="auto"/>
        <w:rPr>
          <w:rFonts w:ascii="Garamond" w:hAnsi="Garamond"/>
          <w:kern w:val="1"/>
        </w:rPr>
      </w:pPr>
      <w:r>
        <w:rPr>
          <w:rFonts w:ascii="Garamond" w:hAnsi="Garamond"/>
          <w:kern w:val="1"/>
        </w:rPr>
        <w:lastRenderedPageBreak/>
        <w:t>Jacob and Mo, the founders of the soup kitchen, told me that they had not expected as many ‘volunteers’ to turn up. It was a real challenge to them</w:t>
      </w:r>
      <w:r w:rsidR="005E75FE">
        <w:rPr>
          <w:rFonts w:ascii="Garamond" w:hAnsi="Garamond"/>
          <w:kern w:val="1"/>
        </w:rPr>
        <w:t>,</w:t>
      </w:r>
      <w:r>
        <w:rPr>
          <w:rFonts w:ascii="Garamond" w:hAnsi="Garamond"/>
          <w:kern w:val="1"/>
        </w:rPr>
        <w:t xml:space="preserve"> as without obvious things for them to do everyday</w:t>
      </w:r>
      <w:r w:rsidR="005E75FE">
        <w:rPr>
          <w:rFonts w:ascii="Garamond" w:hAnsi="Garamond"/>
          <w:kern w:val="1"/>
        </w:rPr>
        <w:t>,</w:t>
      </w:r>
      <w:r>
        <w:rPr>
          <w:rFonts w:ascii="Garamond" w:hAnsi="Garamond"/>
          <w:kern w:val="1"/>
        </w:rPr>
        <w:t xml:space="preserve"> the soup kitchen was warehousing these people. The volunteers would sit </w:t>
      </w:r>
      <w:r w:rsidR="005E387C">
        <w:rPr>
          <w:rFonts w:ascii="Garamond" w:hAnsi="Garamond"/>
          <w:kern w:val="1"/>
        </w:rPr>
        <w:t>on</w:t>
      </w:r>
      <w:r>
        <w:rPr>
          <w:rFonts w:ascii="Garamond" w:hAnsi="Garamond"/>
          <w:kern w:val="1"/>
        </w:rPr>
        <w:t xml:space="preserve"> one side of the</w:t>
      </w:r>
      <w:r w:rsidR="002234BE">
        <w:rPr>
          <w:rFonts w:ascii="Garamond" w:hAnsi="Garamond"/>
          <w:kern w:val="1"/>
        </w:rPr>
        <w:t xml:space="preserve"> large</w:t>
      </w:r>
      <w:r>
        <w:rPr>
          <w:rFonts w:ascii="Garamond" w:hAnsi="Garamond"/>
          <w:kern w:val="1"/>
        </w:rPr>
        <w:t xml:space="preserve"> room, the service users on the </w:t>
      </w:r>
      <w:r w:rsidR="002234BE">
        <w:rPr>
          <w:rFonts w:ascii="Garamond" w:hAnsi="Garamond"/>
          <w:kern w:val="1"/>
        </w:rPr>
        <w:t>other. T</w:t>
      </w:r>
      <w:r>
        <w:rPr>
          <w:rFonts w:ascii="Garamond" w:hAnsi="Garamond"/>
          <w:kern w:val="1"/>
        </w:rPr>
        <w:t>here was very little interaction between the two groups</w:t>
      </w:r>
      <w:r w:rsidR="005E387C">
        <w:rPr>
          <w:rFonts w:ascii="Garamond" w:hAnsi="Garamond"/>
          <w:kern w:val="1"/>
        </w:rPr>
        <w:t>, d</w:t>
      </w:r>
      <w:r>
        <w:rPr>
          <w:rFonts w:ascii="Garamond" w:hAnsi="Garamond"/>
          <w:kern w:val="1"/>
        </w:rPr>
        <w:t xml:space="preserve">espite the fact that there were some who were there because of the same </w:t>
      </w:r>
      <w:r w:rsidR="002234BE">
        <w:rPr>
          <w:rFonts w:ascii="Garamond" w:hAnsi="Garamond"/>
          <w:kern w:val="1"/>
        </w:rPr>
        <w:t>sanctions that</w:t>
      </w:r>
      <w:r>
        <w:rPr>
          <w:rFonts w:ascii="Garamond" w:hAnsi="Garamond"/>
          <w:kern w:val="1"/>
        </w:rPr>
        <w:t xml:space="preserve"> threatened the volunteers if they did not participate. Jacob and Mo recognised the irony of the situation, they had to sign these peoples’ forms and accommodate them at the soup kitchen to prevent them from being forced further into poverty. </w:t>
      </w:r>
    </w:p>
    <w:p w14:paraId="21443BB3" w14:textId="77777777" w:rsidR="00091FAF" w:rsidRDefault="00091FAF" w:rsidP="00F27620">
      <w:pPr>
        <w:spacing w:line="480" w:lineRule="auto"/>
        <w:rPr>
          <w:rFonts w:ascii="Garamond" w:hAnsi="Garamond"/>
          <w:kern w:val="1"/>
        </w:rPr>
      </w:pPr>
    </w:p>
    <w:p w14:paraId="115537C6" w14:textId="3D8E54B3" w:rsidR="005E75FE" w:rsidRDefault="005E75FE" w:rsidP="00F27620">
      <w:pPr>
        <w:spacing w:line="480" w:lineRule="auto"/>
        <w:rPr>
          <w:rFonts w:ascii="Garamond" w:hAnsi="Garamond"/>
          <w:lang w:eastAsia="en-GB"/>
        </w:rPr>
      </w:pPr>
      <w:r w:rsidRPr="009B7A4A">
        <w:rPr>
          <w:rFonts w:ascii="Garamond" w:hAnsi="Garamond"/>
          <w:kern w:val="1"/>
        </w:rPr>
        <w:t>For Giddens</w:t>
      </w:r>
      <w:r>
        <w:rPr>
          <w:rFonts w:ascii="Garamond" w:hAnsi="Garamond"/>
          <w:kern w:val="1"/>
        </w:rPr>
        <w:t xml:space="preserve"> </w:t>
      </w:r>
      <w:r w:rsidRPr="009B7A4A">
        <w:rPr>
          <w:rFonts w:ascii="Garamond" w:hAnsi="Garamond"/>
          <w:kern w:val="1"/>
        </w:rPr>
        <w:t>human life at its most essential should be “to know, virtually all of the time, in terms of some description or another, both what one is doing and why</w:t>
      </w:r>
      <w:r>
        <w:rPr>
          <w:rFonts w:ascii="Garamond" w:hAnsi="Garamond"/>
          <w:kern w:val="1"/>
        </w:rPr>
        <w:t xml:space="preserve"> one is doing it.” (Giddens 1991</w:t>
      </w:r>
      <w:r w:rsidRPr="009B7A4A">
        <w:rPr>
          <w:rFonts w:ascii="Garamond" w:hAnsi="Garamond"/>
          <w:kern w:val="1"/>
        </w:rPr>
        <w:t>:35).</w:t>
      </w:r>
      <w:r>
        <w:rPr>
          <w:rFonts w:ascii="Garamond" w:hAnsi="Garamond"/>
          <w:lang w:eastAsia="en-GB"/>
        </w:rPr>
        <w:t xml:space="preserve"> </w:t>
      </w:r>
      <w:r w:rsidR="00D71E8F" w:rsidRPr="009B7A4A">
        <w:rPr>
          <w:rFonts w:ascii="Garamond" w:hAnsi="Garamond"/>
          <w:kern w:val="1"/>
        </w:rPr>
        <w:t xml:space="preserve">However, when someone like Johnny or Nicola </w:t>
      </w:r>
      <w:r w:rsidR="005E387C">
        <w:rPr>
          <w:rFonts w:ascii="Garamond" w:hAnsi="Garamond"/>
          <w:kern w:val="1"/>
        </w:rPr>
        <w:t>is</w:t>
      </w:r>
      <w:r w:rsidR="00D71E8F" w:rsidRPr="009B7A4A">
        <w:rPr>
          <w:rFonts w:ascii="Garamond" w:hAnsi="Garamond"/>
          <w:kern w:val="1"/>
        </w:rPr>
        <w:t xml:space="preserve"> forced to play to a rule book not fully described to them, and where the rule book is constantly changing, it is impossible to know “what one is </w:t>
      </w:r>
      <w:r w:rsidR="005E387C">
        <w:rPr>
          <w:rFonts w:ascii="Garamond" w:hAnsi="Garamond"/>
          <w:kern w:val="1"/>
        </w:rPr>
        <w:t>doing and why one is doing it”</w:t>
      </w:r>
      <w:r>
        <w:rPr>
          <w:rFonts w:ascii="Garamond" w:hAnsi="Garamond"/>
          <w:kern w:val="1"/>
        </w:rPr>
        <w:t>, their ontological security is threatened</w:t>
      </w:r>
      <w:r w:rsidR="005E387C">
        <w:rPr>
          <w:rFonts w:ascii="Garamond" w:hAnsi="Garamond"/>
          <w:kern w:val="1"/>
        </w:rPr>
        <w:t xml:space="preserve">. </w:t>
      </w:r>
      <w:r>
        <w:rPr>
          <w:rFonts w:ascii="Garamond" w:hAnsi="Garamond"/>
          <w:kern w:val="1"/>
        </w:rPr>
        <w:t xml:space="preserve">The system of benefits sanctions creates an environment of fear by constructing absurd situations whereby ‘voluntary work’ at a soup kitchen is a condition of one not being forced to use its services. </w:t>
      </w:r>
      <w:r>
        <w:rPr>
          <w:rFonts w:ascii="Garamond" w:hAnsi="Garamond"/>
          <w:lang w:eastAsia="en-GB"/>
        </w:rPr>
        <w:t xml:space="preserve">Whitehead et al. have observed the tendency of behaviour change policies to “naturalise irrationality within certain segments of the population” (2011:2830), precarious life is in fact enforced, and reinforced by these policies because of a working assumption that individuals who live on the edge cannot make ‘good’ decisions. </w:t>
      </w:r>
    </w:p>
    <w:p w14:paraId="039C4DCF" w14:textId="77777777" w:rsidR="005E75FE" w:rsidRDefault="005E75FE" w:rsidP="00F27620">
      <w:pPr>
        <w:spacing w:line="480" w:lineRule="auto"/>
        <w:rPr>
          <w:rFonts w:ascii="Garamond" w:hAnsi="Garamond"/>
          <w:kern w:val="1"/>
        </w:rPr>
      </w:pPr>
    </w:p>
    <w:p w14:paraId="23B1DAA8" w14:textId="7B47A13F" w:rsidR="005E75FE" w:rsidRPr="005E75FE" w:rsidRDefault="005E75FE" w:rsidP="00F27620">
      <w:pPr>
        <w:spacing w:line="480" w:lineRule="auto"/>
        <w:rPr>
          <w:rFonts w:ascii="Garamond" w:hAnsi="Garamond"/>
          <w:lang w:eastAsia="en-GB"/>
        </w:rPr>
      </w:pPr>
      <w:r>
        <w:rPr>
          <w:rFonts w:ascii="Garamond" w:hAnsi="Garamond"/>
          <w:kern w:val="1"/>
        </w:rPr>
        <w:t xml:space="preserve">Behaviour change policy, by focussing on directly altering behaviour rather than engaging individuals on their own terms works on the basis that the most vulnerable in society are irrational. When public policy refuses to recognise one’s capacity to even understand one’s own decisions, let alone make good ones, what means of engaging with politics are open to you? </w:t>
      </w:r>
      <w:r w:rsidR="00EC7DD4">
        <w:rPr>
          <w:rFonts w:ascii="Garamond" w:hAnsi="Garamond"/>
          <w:kern w:val="1"/>
        </w:rPr>
        <w:t xml:space="preserve">In the following section of the </w:t>
      </w:r>
      <w:r w:rsidR="005E387C">
        <w:rPr>
          <w:rFonts w:ascii="Garamond" w:hAnsi="Garamond"/>
          <w:kern w:val="1"/>
        </w:rPr>
        <w:t>paper,</w:t>
      </w:r>
      <w:r w:rsidR="00EC7DD4">
        <w:rPr>
          <w:rFonts w:ascii="Garamond" w:hAnsi="Garamond"/>
          <w:kern w:val="1"/>
        </w:rPr>
        <w:t xml:space="preserve"> I describe the political speech </w:t>
      </w:r>
      <w:r w:rsidR="005E387C">
        <w:rPr>
          <w:rFonts w:ascii="Garamond" w:hAnsi="Garamond"/>
          <w:kern w:val="1"/>
        </w:rPr>
        <w:t>heard</w:t>
      </w:r>
      <w:r w:rsidR="00EC7DD4">
        <w:rPr>
          <w:rFonts w:ascii="Garamond" w:hAnsi="Garamond"/>
          <w:kern w:val="1"/>
        </w:rPr>
        <w:t xml:space="preserve"> at the soup kitchen. The </w:t>
      </w:r>
      <w:r w:rsidR="00EC7DD4">
        <w:rPr>
          <w:rFonts w:ascii="Garamond" w:hAnsi="Garamond"/>
          <w:kern w:val="1"/>
        </w:rPr>
        <w:lastRenderedPageBreak/>
        <w:t>prevailing trope was the conspiracy theory</w:t>
      </w:r>
      <w:r w:rsidR="005E387C">
        <w:rPr>
          <w:rFonts w:ascii="Garamond" w:hAnsi="Garamond"/>
          <w:kern w:val="1"/>
        </w:rPr>
        <w:t>.</w:t>
      </w:r>
      <w:r w:rsidR="00EC7DD4">
        <w:rPr>
          <w:rFonts w:ascii="Garamond" w:hAnsi="Garamond"/>
          <w:kern w:val="1"/>
        </w:rPr>
        <w:t xml:space="preserve"> </w:t>
      </w:r>
      <w:r>
        <w:rPr>
          <w:rFonts w:ascii="Garamond" w:hAnsi="Garamond"/>
          <w:kern w:val="1"/>
        </w:rPr>
        <w:t xml:space="preserve">This paper argues that the politics of conspiracy as it occurred at the soup kitchen is a response to a mainstream political discourse, influenced by behaviour change theory, that </w:t>
      </w:r>
      <w:r w:rsidR="003F03CF">
        <w:rPr>
          <w:rFonts w:ascii="Garamond" w:hAnsi="Garamond"/>
          <w:kern w:val="1"/>
        </w:rPr>
        <w:t>simultaneously</w:t>
      </w:r>
      <w:r>
        <w:rPr>
          <w:rFonts w:ascii="Garamond" w:hAnsi="Garamond"/>
          <w:kern w:val="1"/>
        </w:rPr>
        <w:t xml:space="preserve"> undermines and </w:t>
      </w:r>
      <w:r w:rsidR="003F03CF">
        <w:rPr>
          <w:rFonts w:ascii="Garamond" w:hAnsi="Garamond"/>
          <w:kern w:val="1"/>
        </w:rPr>
        <w:t>refuses to believe in</w:t>
      </w:r>
      <w:r>
        <w:rPr>
          <w:rFonts w:ascii="Garamond" w:hAnsi="Garamond"/>
          <w:kern w:val="1"/>
        </w:rPr>
        <w:t xml:space="preserve"> the ontological security of the marginalised. </w:t>
      </w:r>
      <w:r w:rsidR="003F03CF">
        <w:rPr>
          <w:rFonts w:ascii="Garamond" w:hAnsi="Garamond"/>
          <w:kern w:val="1"/>
        </w:rPr>
        <w:t xml:space="preserve">The fear of many conspiracy theories, that unseen large forces are directly controlling or limiting the lives of individuals. </w:t>
      </w:r>
      <w:r w:rsidR="005E387C">
        <w:rPr>
          <w:rFonts w:ascii="Garamond" w:hAnsi="Garamond"/>
          <w:kern w:val="1"/>
        </w:rPr>
        <w:t>W</w:t>
      </w:r>
      <w:r w:rsidR="00EC7DD4">
        <w:rPr>
          <w:rFonts w:ascii="Garamond" w:hAnsi="Garamond"/>
          <w:kern w:val="1"/>
        </w:rPr>
        <w:t xml:space="preserve">hen viewed in the context of a precarious environment where the state is actively extending policy into the very intimate geographies of everyday life, these apparently irrational ideas must be read more carefully. </w:t>
      </w:r>
    </w:p>
    <w:p w14:paraId="29A0B863" w14:textId="77777777" w:rsidR="002234BE" w:rsidRDefault="002234BE" w:rsidP="00F27620">
      <w:pPr>
        <w:pStyle w:val="Heading1"/>
        <w:rPr>
          <w:b w:val="0"/>
          <w:kern w:val="1"/>
          <w:u w:val="none"/>
        </w:rPr>
      </w:pPr>
    </w:p>
    <w:p w14:paraId="75ECF923" w14:textId="5E49CC1B" w:rsidR="00D71E8F" w:rsidRPr="00F27620" w:rsidRDefault="00C578A4" w:rsidP="00F27620">
      <w:pPr>
        <w:pStyle w:val="Heading1"/>
        <w:rPr>
          <w:b w:val="0"/>
          <w:u w:val="none"/>
        </w:rPr>
      </w:pPr>
      <w:r w:rsidRPr="00F27620">
        <w:rPr>
          <w:b w:val="0"/>
          <w:u w:val="none"/>
        </w:rPr>
        <w:t>4.1</w:t>
      </w:r>
      <w:r w:rsidR="00D71E8F" w:rsidRPr="00F27620">
        <w:rPr>
          <w:b w:val="0"/>
          <w:u w:val="none"/>
        </w:rPr>
        <w:t xml:space="preserve"> Conspiracy theories</w:t>
      </w:r>
    </w:p>
    <w:p w14:paraId="72EA632C" w14:textId="4E7EE562" w:rsidR="005E75FE" w:rsidRDefault="002A0E71" w:rsidP="00F27620">
      <w:pPr>
        <w:spacing w:line="480" w:lineRule="auto"/>
        <w:rPr>
          <w:rFonts w:ascii="Garamond" w:hAnsi="Garamond"/>
          <w:kern w:val="1"/>
        </w:rPr>
      </w:pPr>
      <w:r w:rsidRPr="009B7A4A">
        <w:rPr>
          <w:rFonts w:ascii="Garamond" w:hAnsi="Garamond"/>
          <w:kern w:val="1"/>
        </w:rPr>
        <w:t>P</w:t>
      </w:r>
      <w:r w:rsidR="00D71E8F" w:rsidRPr="009B7A4A">
        <w:rPr>
          <w:rFonts w:ascii="Garamond" w:hAnsi="Garamond"/>
          <w:kern w:val="1"/>
        </w:rPr>
        <w:t xml:space="preserve">olitics at the soup kitchen was part of a strongly suspicious discourse, with a tendency towards cynicism and conspiracy. </w:t>
      </w:r>
      <w:r w:rsidR="005E75FE">
        <w:rPr>
          <w:rFonts w:ascii="Garamond" w:hAnsi="Garamond"/>
          <w:kern w:val="1"/>
        </w:rPr>
        <w:t>In the previous section I have suggested that austerity welfare policy, influenced by behaviour change theory produces an ‘irrational’ political subjectivity through its treatment of those in need as being incapable of making decisions in their own interest. This section explores the political discourse of the soup kitchen and read</w:t>
      </w:r>
      <w:r w:rsidR="00DE48A3">
        <w:rPr>
          <w:rFonts w:ascii="Garamond" w:hAnsi="Garamond"/>
          <w:kern w:val="1"/>
        </w:rPr>
        <w:t>s</w:t>
      </w:r>
      <w:r w:rsidR="005E75FE">
        <w:rPr>
          <w:rFonts w:ascii="Garamond" w:hAnsi="Garamond"/>
          <w:kern w:val="1"/>
        </w:rPr>
        <w:t xml:space="preserve"> it against this presumed irrationality. Furthermore conspiracy theory is a spatial narrative which works to explain the conditions of everyday life on the edge of society and relate them to the global scale of national political discourse. In this sense they operate within the same scalar logic that places the burden of international economic crisis on the most deprived sections of society. </w:t>
      </w:r>
    </w:p>
    <w:p w14:paraId="7B4E5CB4" w14:textId="77777777" w:rsidR="005E75FE" w:rsidRDefault="005E75FE" w:rsidP="00F27620">
      <w:pPr>
        <w:spacing w:line="480" w:lineRule="auto"/>
        <w:rPr>
          <w:rFonts w:ascii="Garamond" w:hAnsi="Garamond"/>
          <w:kern w:val="1"/>
        </w:rPr>
      </w:pPr>
    </w:p>
    <w:p w14:paraId="5E4532F8" w14:textId="77777777" w:rsidR="00DE48A3" w:rsidRDefault="00D71E8F" w:rsidP="00F27620">
      <w:pPr>
        <w:spacing w:line="480" w:lineRule="auto"/>
        <w:rPr>
          <w:rFonts w:ascii="Garamond" w:hAnsi="Garamond"/>
          <w:kern w:val="1"/>
        </w:rPr>
      </w:pPr>
      <w:r w:rsidRPr="009B7A4A">
        <w:rPr>
          <w:rFonts w:ascii="Garamond" w:hAnsi="Garamond"/>
          <w:kern w:val="1"/>
        </w:rPr>
        <w:t xml:space="preserve">The events described in this section are representative of the kinds of political speech that </w:t>
      </w:r>
      <w:r w:rsidR="00C578A4">
        <w:rPr>
          <w:rFonts w:ascii="Garamond" w:hAnsi="Garamond"/>
          <w:kern w:val="1"/>
        </w:rPr>
        <w:t>occurred</w:t>
      </w:r>
      <w:r w:rsidRPr="009B7A4A">
        <w:rPr>
          <w:rFonts w:ascii="Garamond" w:hAnsi="Garamond"/>
          <w:kern w:val="1"/>
        </w:rPr>
        <w:t xml:space="preserve"> at the soup kitchen. Even when a discussion began in a more mainstream register of political discourse, </w:t>
      </w:r>
      <w:r w:rsidR="00FB320D">
        <w:rPr>
          <w:rFonts w:ascii="Garamond" w:hAnsi="Garamond"/>
          <w:kern w:val="1"/>
        </w:rPr>
        <w:t xml:space="preserve">perhaps around party politics or changes to the welfare system, </w:t>
      </w:r>
      <w:r w:rsidRPr="009B7A4A">
        <w:rPr>
          <w:rFonts w:ascii="Garamond" w:hAnsi="Garamond"/>
          <w:kern w:val="1"/>
        </w:rPr>
        <w:t>it would often escalate towards some of the more heightened elevations</w:t>
      </w:r>
      <w:r w:rsidR="00FB320D">
        <w:rPr>
          <w:rFonts w:ascii="Garamond" w:hAnsi="Garamond"/>
          <w:kern w:val="1"/>
        </w:rPr>
        <w:t xml:space="preserve"> recounted</w:t>
      </w:r>
      <w:r w:rsidRPr="009B7A4A">
        <w:rPr>
          <w:rFonts w:ascii="Garamond" w:hAnsi="Garamond"/>
          <w:kern w:val="1"/>
        </w:rPr>
        <w:t xml:space="preserve"> below. </w:t>
      </w:r>
    </w:p>
    <w:p w14:paraId="54B23177" w14:textId="77777777" w:rsidR="00DE48A3" w:rsidRDefault="00DE48A3" w:rsidP="00F27620">
      <w:pPr>
        <w:spacing w:line="480" w:lineRule="auto"/>
        <w:rPr>
          <w:rFonts w:ascii="Garamond" w:hAnsi="Garamond"/>
          <w:kern w:val="1"/>
        </w:rPr>
      </w:pPr>
    </w:p>
    <w:p w14:paraId="743316DE" w14:textId="109AF8AA" w:rsidR="00D71E8F" w:rsidRPr="009B7A4A" w:rsidRDefault="00D71E8F" w:rsidP="00F27620">
      <w:pPr>
        <w:spacing w:line="480" w:lineRule="auto"/>
        <w:rPr>
          <w:rFonts w:ascii="Garamond" w:hAnsi="Garamond"/>
          <w:kern w:val="1"/>
        </w:rPr>
      </w:pPr>
      <w:r w:rsidRPr="009B7A4A">
        <w:rPr>
          <w:rFonts w:ascii="Garamond" w:hAnsi="Garamond"/>
          <w:kern w:val="1"/>
        </w:rPr>
        <w:t xml:space="preserve">It is important to state that conspiracy theories </w:t>
      </w:r>
      <w:r w:rsidR="00C96471" w:rsidRPr="009B7A4A">
        <w:rPr>
          <w:rFonts w:ascii="Garamond" w:hAnsi="Garamond"/>
          <w:kern w:val="1"/>
        </w:rPr>
        <w:t>can</w:t>
      </w:r>
      <w:r w:rsidRPr="009B7A4A">
        <w:rPr>
          <w:rFonts w:ascii="Garamond" w:hAnsi="Garamond"/>
          <w:kern w:val="1"/>
        </w:rPr>
        <w:t xml:space="preserve"> incorporate anti-semitic or other violent tropes of the extremes of politics</w:t>
      </w:r>
      <w:r w:rsidR="003F03CF">
        <w:rPr>
          <w:rFonts w:ascii="Garamond" w:hAnsi="Garamond"/>
          <w:kern w:val="1"/>
        </w:rPr>
        <w:t xml:space="preserve"> which this paper</w:t>
      </w:r>
      <w:r w:rsidR="000B6A07">
        <w:rPr>
          <w:rFonts w:ascii="Garamond" w:hAnsi="Garamond"/>
          <w:kern w:val="1"/>
        </w:rPr>
        <w:t xml:space="preserve"> condemns</w:t>
      </w:r>
      <w:r w:rsidRPr="009B7A4A">
        <w:rPr>
          <w:rFonts w:ascii="Garamond" w:hAnsi="Garamond"/>
          <w:kern w:val="1"/>
        </w:rPr>
        <w:t xml:space="preserve">. For instance, in the second story </w:t>
      </w:r>
      <w:r w:rsidRPr="009B7A4A">
        <w:rPr>
          <w:rFonts w:ascii="Garamond" w:hAnsi="Garamond"/>
          <w:kern w:val="1"/>
        </w:rPr>
        <w:lastRenderedPageBreak/>
        <w:t>below a service user called Carl mentions</w:t>
      </w:r>
      <w:r w:rsidR="00C96471" w:rsidRPr="009B7A4A">
        <w:rPr>
          <w:rFonts w:ascii="Garamond" w:hAnsi="Garamond"/>
          <w:kern w:val="1"/>
        </w:rPr>
        <w:t xml:space="preserve"> the supposed global influence of the Jewish banking family</w:t>
      </w:r>
      <w:r w:rsidRPr="009B7A4A">
        <w:rPr>
          <w:rFonts w:ascii="Garamond" w:hAnsi="Garamond"/>
          <w:kern w:val="1"/>
        </w:rPr>
        <w:t xml:space="preserve"> the Rothschilds: I do not believe Carl to be anti-semitic, since on another occasion I heard him strongly confront som</w:t>
      </w:r>
      <w:r w:rsidR="00FB320D">
        <w:rPr>
          <w:rFonts w:ascii="Garamond" w:hAnsi="Garamond"/>
          <w:kern w:val="1"/>
        </w:rPr>
        <w:t>eone who was denying the H</w:t>
      </w:r>
      <w:r w:rsidRPr="009B7A4A">
        <w:rPr>
          <w:rFonts w:ascii="Garamond" w:hAnsi="Garamond"/>
          <w:kern w:val="1"/>
        </w:rPr>
        <w:t xml:space="preserve">olocaust. </w:t>
      </w:r>
      <w:r w:rsidR="00C96471" w:rsidRPr="009B7A4A">
        <w:rPr>
          <w:rFonts w:ascii="Garamond" w:hAnsi="Garamond"/>
          <w:kern w:val="1"/>
        </w:rPr>
        <w:t>Such narratives</w:t>
      </w:r>
      <w:r w:rsidRPr="009B7A4A">
        <w:rPr>
          <w:rFonts w:ascii="Garamond" w:hAnsi="Garamond"/>
          <w:kern w:val="1"/>
        </w:rPr>
        <w:t xml:space="preserve"> pave the way for narratives of supposed Jewish conspiracy which have preceded and justified centuries of persecution, as detailed by Norman Cohn in </w:t>
      </w:r>
      <w:r w:rsidRPr="009B7A4A">
        <w:rPr>
          <w:rFonts w:ascii="Garamond" w:hAnsi="Garamond"/>
          <w:i/>
          <w:kern w:val="1"/>
        </w:rPr>
        <w:t xml:space="preserve">Warrant for Genocide </w:t>
      </w:r>
      <w:r w:rsidR="00FB320D">
        <w:rPr>
          <w:rFonts w:ascii="Garamond" w:hAnsi="Garamond"/>
          <w:kern w:val="1"/>
        </w:rPr>
        <w:t xml:space="preserve">(1967). </w:t>
      </w:r>
      <w:r w:rsidR="005E75FE">
        <w:rPr>
          <w:rFonts w:ascii="Garamond" w:hAnsi="Garamond"/>
          <w:kern w:val="1"/>
        </w:rPr>
        <w:t>Nevertheless t</w:t>
      </w:r>
      <w:r w:rsidR="00FB320D">
        <w:rPr>
          <w:rFonts w:ascii="Garamond" w:hAnsi="Garamond"/>
          <w:kern w:val="1"/>
        </w:rPr>
        <w:t>his paper</w:t>
      </w:r>
      <w:r w:rsidR="005E75FE">
        <w:rPr>
          <w:rFonts w:ascii="Garamond" w:hAnsi="Garamond"/>
          <w:kern w:val="1"/>
        </w:rPr>
        <w:t>, without excusing their content,</w:t>
      </w:r>
      <w:r w:rsidR="00FB320D">
        <w:rPr>
          <w:rFonts w:ascii="Garamond" w:hAnsi="Garamond"/>
          <w:kern w:val="1"/>
        </w:rPr>
        <w:t xml:space="preserve"> insists</w:t>
      </w:r>
      <w:r w:rsidRPr="009B7A4A">
        <w:rPr>
          <w:rFonts w:ascii="Garamond" w:hAnsi="Garamond"/>
          <w:kern w:val="1"/>
        </w:rPr>
        <w:t xml:space="preserve"> that conspiracy theories</w:t>
      </w:r>
      <w:r w:rsidR="00FB320D">
        <w:rPr>
          <w:rFonts w:ascii="Garamond" w:hAnsi="Garamond"/>
          <w:kern w:val="1"/>
        </w:rPr>
        <w:t xml:space="preserve"> </w:t>
      </w:r>
      <w:r w:rsidRPr="009B7A4A">
        <w:rPr>
          <w:rFonts w:ascii="Garamond" w:hAnsi="Garamond"/>
          <w:kern w:val="1"/>
        </w:rPr>
        <w:t xml:space="preserve">should be listened to, seen as political, </w:t>
      </w:r>
      <w:r w:rsidR="00FB320D">
        <w:rPr>
          <w:rFonts w:ascii="Garamond" w:hAnsi="Garamond"/>
          <w:kern w:val="1"/>
        </w:rPr>
        <w:t xml:space="preserve">not </w:t>
      </w:r>
      <w:r w:rsidRPr="009B7A4A">
        <w:rPr>
          <w:rFonts w:ascii="Garamond" w:hAnsi="Garamond"/>
          <w:kern w:val="1"/>
        </w:rPr>
        <w:t>dismissed</w:t>
      </w:r>
      <w:r w:rsidR="005E75FE">
        <w:rPr>
          <w:rFonts w:ascii="Garamond" w:hAnsi="Garamond"/>
          <w:kern w:val="1"/>
        </w:rPr>
        <w:t xml:space="preserve"> out of hand</w:t>
      </w:r>
      <w:r w:rsidRPr="009B7A4A">
        <w:rPr>
          <w:rFonts w:ascii="Garamond" w:hAnsi="Garamond"/>
          <w:kern w:val="1"/>
        </w:rPr>
        <w:t xml:space="preserve">, and </w:t>
      </w:r>
      <w:r w:rsidR="00FB320D">
        <w:rPr>
          <w:rFonts w:ascii="Garamond" w:hAnsi="Garamond"/>
          <w:kern w:val="1"/>
        </w:rPr>
        <w:t>carefully</w:t>
      </w:r>
      <w:r w:rsidRPr="009B7A4A">
        <w:rPr>
          <w:rFonts w:ascii="Garamond" w:hAnsi="Garamond"/>
          <w:kern w:val="1"/>
        </w:rPr>
        <w:t xml:space="preserve"> </w:t>
      </w:r>
      <w:r w:rsidR="00DA2406">
        <w:rPr>
          <w:rFonts w:ascii="Garamond" w:hAnsi="Garamond"/>
          <w:kern w:val="1"/>
        </w:rPr>
        <w:t>read in the context of</w:t>
      </w:r>
      <w:r w:rsidRPr="009B7A4A">
        <w:rPr>
          <w:rFonts w:ascii="Garamond" w:hAnsi="Garamond"/>
          <w:kern w:val="1"/>
        </w:rPr>
        <w:t xml:space="preserve"> the social conditions endured by their </w:t>
      </w:r>
      <w:r w:rsidR="00ED6F65" w:rsidRPr="009B7A4A">
        <w:rPr>
          <w:rFonts w:ascii="Garamond" w:hAnsi="Garamond"/>
          <w:kern w:val="1"/>
        </w:rPr>
        <w:t>adherents</w:t>
      </w:r>
      <w:r w:rsidRPr="009B7A4A">
        <w:rPr>
          <w:rFonts w:ascii="Garamond" w:hAnsi="Garamond"/>
          <w:kern w:val="1"/>
        </w:rPr>
        <w:t xml:space="preserve">. </w:t>
      </w:r>
    </w:p>
    <w:p w14:paraId="35D9D450" w14:textId="2AFB5806" w:rsidR="00D71E8F" w:rsidRPr="009B7A4A" w:rsidRDefault="00D71E8F" w:rsidP="00F27620">
      <w:pPr>
        <w:spacing w:line="480" w:lineRule="auto"/>
        <w:rPr>
          <w:rFonts w:ascii="Garamond" w:hAnsi="Garamond"/>
          <w:kern w:val="1"/>
        </w:rPr>
      </w:pPr>
    </w:p>
    <w:p w14:paraId="00B2CEC4" w14:textId="77FCF8BB" w:rsidR="00D71E8F" w:rsidRDefault="00277CE3" w:rsidP="00F27620">
      <w:pPr>
        <w:pStyle w:val="Heading2"/>
        <w:jc w:val="left"/>
        <w:rPr>
          <w:i w:val="0"/>
          <w:u w:val="none"/>
        </w:rPr>
      </w:pPr>
      <w:r w:rsidRPr="00F27620">
        <w:rPr>
          <w:i w:val="0"/>
          <w:u w:val="none"/>
        </w:rPr>
        <w:t>4.</w:t>
      </w:r>
      <w:r w:rsidR="00B52424">
        <w:rPr>
          <w:i w:val="0"/>
          <w:u w:val="none"/>
        </w:rPr>
        <w:t>2</w:t>
      </w:r>
      <w:r w:rsidRPr="00F27620">
        <w:rPr>
          <w:i w:val="0"/>
          <w:u w:val="none"/>
        </w:rPr>
        <w:t xml:space="preserve"> </w:t>
      </w:r>
      <w:r w:rsidR="00D71E8F" w:rsidRPr="00F27620">
        <w:rPr>
          <w:i w:val="0"/>
          <w:u w:val="none"/>
        </w:rPr>
        <w:t>Everything is a circle</w:t>
      </w:r>
    </w:p>
    <w:p w14:paraId="503826AF" w14:textId="77777777" w:rsidR="00F27620" w:rsidRPr="00F27620" w:rsidRDefault="00F27620" w:rsidP="00F27620"/>
    <w:p w14:paraId="7AA8F4F5" w14:textId="70D3AED4" w:rsidR="00D71E8F" w:rsidRPr="009B7A4A" w:rsidRDefault="00D71E8F" w:rsidP="00F27620">
      <w:pPr>
        <w:spacing w:line="480" w:lineRule="auto"/>
        <w:rPr>
          <w:rFonts w:ascii="Garamond" w:hAnsi="Garamond"/>
          <w:kern w:val="1"/>
        </w:rPr>
      </w:pPr>
      <w:r w:rsidRPr="009B7A4A">
        <w:rPr>
          <w:rFonts w:ascii="Garamond" w:hAnsi="Garamond"/>
          <w:kern w:val="1"/>
        </w:rPr>
        <w:t>I was explaining my PhD to Doreen when James jumped in excitedly. “The thing with Brixton is, it keeps changing, it always keeps changing, it did in the 1950s, it did before, it will change again. We stay in the same place and the world changes around us because the world is round. Everything is a circle.” Carl join</w:t>
      </w:r>
      <w:r w:rsidR="00FB320D">
        <w:rPr>
          <w:rFonts w:ascii="Garamond" w:hAnsi="Garamond"/>
          <w:kern w:val="1"/>
        </w:rPr>
        <w:t>ed</w:t>
      </w:r>
      <w:r w:rsidRPr="009B7A4A">
        <w:rPr>
          <w:rFonts w:ascii="Garamond" w:hAnsi="Garamond"/>
          <w:kern w:val="1"/>
        </w:rPr>
        <w:t xml:space="preserve"> in</w:t>
      </w:r>
      <w:r w:rsidR="00FB320D">
        <w:rPr>
          <w:rFonts w:ascii="Garamond" w:hAnsi="Garamond"/>
          <w:kern w:val="1"/>
        </w:rPr>
        <w:t>,</w:t>
      </w:r>
      <w:r w:rsidRPr="009B7A4A">
        <w:rPr>
          <w:rFonts w:ascii="Garamond" w:hAnsi="Garamond"/>
          <w:kern w:val="1"/>
        </w:rPr>
        <w:t xml:space="preserve"> agreeing about the circular history thesis. He ha</w:t>
      </w:r>
      <w:r w:rsidR="00FB320D">
        <w:rPr>
          <w:rFonts w:ascii="Garamond" w:hAnsi="Garamond"/>
          <w:kern w:val="1"/>
        </w:rPr>
        <w:t>d</w:t>
      </w:r>
      <w:r w:rsidRPr="009B7A4A">
        <w:rPr>
          <w:rFonts w:ascii="Garamond" w:hAnsi="Garamond"/>
          <w:kern w:val="1"/>
        </w:rPr>
        <w:t xml:space="preserve"> a bleaker view, citing the New World Order, FEMA (Federal Emergency Management Agency) camps in the United States, and stacks of coffins stockpiled to accommodate mass kill</w:t>
      </w:r>
      <w:r w:rsidR="00FB320D">
        <w:rPr>
          <w:rFonts w:ascii="Garamond" w:hAnsi="Garamond"/>
          <w:kern w:val="1"/>
        </w:rPr>
        <w:t>ings. James was</w:t>
      </w:r>
      <w:r w:rsidRPr="009B7A4A">
        <w:rPr>
          <w:rFonts w:ascii="Garamond" w:hAnsi="Garamond"/>
          <w:kern w:val="1"/>
        </w:rPr>
        <w:t xml:space="preserve"> very animated – “the world doesn’t care about us we’re new here, land used to be sea and will be sea again. Brixton will change, but it’s still got soul.” </w:t>
      </w:r>
      <w:r w:rsidR="00FB320D">
        <w:rPr>
          <w:rFonts w:ascii="Garamond" w:hAnsi="Garamond"/>
          <w:kern w:val="1"/>
        </w:rPr>
        <w:t>Carl said that</w:t>
      </w:r>
      <w:r w:rsidRPr="009B7A4A">
        <w:rPr>
          <w:rFonts w:ascii="Garamond" w:hAnsi="Garamond"/>
          <w:kern w:val="1"/>
        </w:rPr>
        <w:t xml:space="preserve"> gentrification relates to drug money. </w:t>
      </w:r>
      <w:r w:rsidR="00DA2406">
        <w:rPr>
          <w:rFonts w:ascii="Garamond" w:hAnsi="Garamond"/>
          <w:kern w:val="1"/>
        </w:rPr>
        <w:t>James</w:t>
      </w:r>
      <w:r w:rsidRPr="009B7A4A">
        <w:rPr>
          <w:rFonts w:ascii="Garamond" w:hAnsi="Garamond"/>
          <w:kern w:val="1"/>
        </w:rPr>
        <w:t xml:space="preserve"> </w:t>
      </w:r>
      <w:r w:rsidR="00FB320D">
        <w:rPr>
          <w:rFonts w:ascii="Garamond" w:hAnsi="Garamond"/>
          <w:kern w:val="1"/>
        </w:rPr>
        <w:t xml:space="preserve">told us that </w:t>
      </w:r>
      <w:r w:rsidRPr="009B7A4A">
        <w:rPr>
          <w:rFonts w:ascii="Garamond" w:hAnsi="Garamond"/>
          <w:kern w:val="1"/>
        </w:rPr>
        <w:t xml:space="preserve">every shop in the arcades is new. “It’s criminal money” </w:t>
      </w:r>
      <w:r w:rsidR="00FB320D">
        <w:rPr>
          <w:rFonts w:ascii="Garamond" w:hAnsi="Garamond"/>
          <w:kern w:val="1"/>
        </w:rPr>
        <w:t>stated</w:t>
      </w:r>
      <w:r w:rsidRPr="009B7A4A">
        <w:rPr>
          <w:rFonts w:ascii="Garamond" w:hAnsi="Garamond"/>
          <w:kern w:val="1"/>
        </w:rPr>
        <w:t xml:space="preserve"> </w:t>
      </w:r>
      <w:r w:rsidR="00DA2406">
        <w:rPr>
          <w:rFonts w:ascii="Garamond" w:hAnsi="Garamond"/>
          <w:kern w:val="1"/>
        </w:rPr>
        <w:t>Carl</w:t>
      </w:r>
      <w:r w:rsidRPr="009B7A4A">
        <w:rPr>
          <w:rFonts w:ascii="Garamond" w:hAnsi="Garamond"/>
          <w:kern w:val="1"/>
        </w:rPr>
        <w:t>. James sa</w:t>
      </w:r>
      <w:r w:rsidR="00FB320D">
        <w:rPr>
          <w:rFonts w:ascii="Garamond" w:hAnsi="Garamond"/>
          <w:kern w:val="1"/>
        </w:rPr>
        <w:t>id</w:t>
      </w:r>
      <w:r w:rsidRPr="009B7A4A">
        <w:rPr>
          <w:rFonts w:ascii="Garamond" w:hAnsi="Garamond"/>
          <w:kern w:val="1"/>
        </w:rPr>
        <w:t xml:space="preserve"> sure, but it has always been criminal money: money from slavery and other crimes. </w:t>
      </w:r>
    </w:p>
    <w:p w14:paraId="3ECA44BA" w14:textId="77777777" w:rsidR="00D71E8F" w:rsidRPr="009B7A4A" w:rsidRDefault="00D71E8F" w:rsidP="00F27620">
      <w:pPr>
        <w:spacing w:line="480" w:lineRule="auto"/>
        <w:rPr>
          <w:rFonts w:ascii="Garamond" w:hAnsi="Garamond"/>
          <w:kern w:val="1"/>
        </w:rPr>
      </w:pPr>
    </w:p>
    <w:p w14:paraId="70BB78CC" w14:textId="0DBC1109" w:rsidR="00D71E8F" w:rsidRPr="009B7A4A" w:rsidRDefault="00D71E8F" w:rsidP="00F27620">
      <w:pPr>
        <w:spacing w:line="480" w:lineRule="auto"/>
        <w:rPr>
          <w:rFonts w:ascii="Garamond" w:hAnsi="Garamond"/>
          <w:kern w:val="1"/>
        </w:rPr>
      </w:pPr>
      <w:r w:rsidRPr="009B7A4A">
        <w:rPr>
          <w:rFonts w:ascii="Garamond" w:hAnsi="Garamond"/>
          <w:kern w:val="1"/>
        </w:rPr>
        <w:t>Carl talk</w:t>
      </w:r>
      <w:r w:rsidR="00FB320D">
        <w:rPr>
          <w:rFonts w:ascii="Garamond" w:hAnsi="Garamond"/>
          <w:kern w:val="1"/>
        </w:rPr>
        <w:t>ed</w:t>
      </w:r>
      <w:r w:rsidRPr="009B7A4A">
        <w:rPr>
          <w:rFonts w:ascii="Garamond" w:hAnsi="Garamond"/>
          <w:kern w:val="1"/>
        </w:rPr>
        <w:t xml:space="preserve"> to me for a while after this about the New World Order, ‘chemtrails’, the Rothschilds</w:t>
      </w:r>
      <w:r w:rsidRPr="009B7A4A">
        <w:rPr>
          <w:rStyle w:val="EndnoteReference"/>
          <w:rFonts w:ascii="Garamond" w:hAnsi="Garamond"/>
          <w:kern w:val="1"/>
        </w:rPr>
        <w:endnoteReference w:id="4"/>
      </w:r>
      <w:r w:rsidRPr="009B7A4A">
        <w:rPr>
          <w:rFonts w:ascii="Garamond" w:hAnsi="Garamond"/>
          <w:kern w:val="1"/>
        </w:rPr>
        <w:t xml:space="preserve">, and various other familiar conspiracy tropes, but at the same time he </w:t>
      </w:r>
      <w:r w:rsidR="00FB320D">
        <w:rPr>
          <w:rFonts w:ascii="Garamond" w:hAnsi="Garamond"/>
          <w:kern w:val="1"/>
        </w:rPr>
        <w:t>made</w:t>
      </w:r>
      <w:r w:rsidRPr="009B7A4A">
        <w:rPr>
          <w:rFonts w:ascii="Garamond" w:hAnsi="Garamond"/>
          <w:kern w:val="1"/>
        </w:rPr>
        <w:t xml:space="preserve"> </w:t>
      </w:r>
      <w:r w:rsidR="005E75FE">
        <w:rPr>
          <w:rFonts w:ascii="Garamond" w:hAnsi="Garamond"/>
          <w:kern w:val="1"/>
        </w:rPr>
        <w:t xml:space="preserve">a </w:t>
      </w:r>
      <w:r w:rsidRPr="009B7A4A">
        <w:rPr>
          <w:rFonts w:ascii="Garamond" w:hAnsi="Garamond"/>
          <w:kern w:val="1"/>
        </w:rPr>
        <w:t xml:space="preserve">careful capitalism-is-crisis type </w:t>
      </w:r>
      <w:r w:rsidR="00FB320D">
        <w:rPr>
          <w:rFonts w:ascii="Garamond" w:hAnsi="Garamond"/>
          <w:kern w:val="1"/>
        </w:rPr>
        <w:t>of economic analysis</w:t>
      </w:r>
      <w:r w:rsidRPr="009B7A4A">
        <w:rPr>
          <w:rFonts w:ascii="Garamond" w:hAnsi="Garamond"/>
          <w:kern w:val="1"/>
        </w:rPr>
        <w:t xml:space="preserve">. “They already have power”, he says, “they already have money, they want total control. They want to reduce the population to 600 million.” </w:t>
      </w:r>
      <w:r w:rsidRPr="009B7A4A">
        <w:rPr>
          <w:rFonts w:ascii="Garamond" w:hAnsi="Garamond"/>
          <w:kern w:val="1"/>
        </w:rPr>
        <w:lastRenderedPageBreak/>
        <w:t>He believes that the crisis is in the interest of the rich, inviting them to tag everyone with RFID (radio frequency identification) chips to monitor our movement and permit privileges. He ask</w:t>
      </w:r>
      <w:r w:rsidR="00FB320D">
        <w:rPr>
          <w:rFonts w:ascii="Garamond" w:hAnsi="Garamond"/>
          <w:kern w:val="1"/>
        </w:rPr>
        <w:t>ed</w:t>
      </w:r>
      <w:r w:rsidRPr="009B7A4A">
        <w:rPr>
          <w:rFonts w:ascii="Garamond" w:hAnsi="Garamond"/>
          <w:kern w:val="1"/>
        </w:rPr>
        <w:t xml:space="preserve"> me – “would you take the chip?” If there is a choice, then no, I </w:t>
      </w:r>
      <w:r w:rsidR="00FB320D">
        <w:rPr>
          <w:rFonts w:ascii="Garamond" w:hAnsi="Garamond"/>
          <w:kern w:val="1"/>
        </w:rPr>
        <w:t>said</w:t>
      </w:r>
      <w:r w:rsidRPr="009B7A4A">
        <w:rPr>
          <w:rFonts w:ascii="Garamond" w:hAnsi="Garamond"/>
          <w:kern w:val="1"/>
        </w:rPr>
        <w:t xml:space="preserve"> “What can we do to stop this happening”, I ask</w:t>
      </w:r>
      <w:r w:rsidR="00FB320D">
        <w:rPr>
          <w:rFonts w:ascii="Garamond" w:hAnsi="Garamond"/>
          <w:kern w:val="1"/>
        </w:rPr>
        <w:t>ed</w:t>
      </w:r>
      <w:r w:rsidRPr="009B7A4A">
        <w:rPr>
          <w:rFonts w:ascii="Garamond" w:hAnsi="Garamond"/>
          <w:kern w:val="1"/>
        </w:rPr>
        <w:t xml:space="preserve"> him: “nothing”, he </w:t>
      </w:r>
      <w:r w:rsidR="00FB320D">
        <w:rPr>
          <w:rFonts w:ascii="Garamond" w:hAnsi="Garamond"/>
          <w:kern w:val="1"/>
        </w:rPr>
        <w:t>answered</w:t>
      </w:r>
      <w:r w:rsidRPr="009B7A4A">
        <w:rPr>
          <w:rFonts w:ascii="Garamond" w:hAnsi="Garamond"/>
          <w:kern w:val="1"/>
        </w:rPr>
        <w:t xml:space="preserve">. </w:t>
      </w:r>
    </w:p>
    <w:p w14:paraId="63161328" w14:textId="77777777" w:rsidR="00D71E8F" w:rsidRPr="009B7A4A" w:rsidRDefault="00D71E8F" w:rsidP="00F27620">
      <w:pPr>
        <w:spacing w:line="480" w:lineRule="auto"/>
        <w:rPr>
          <w:rFonts w:ascii="Garamond" w:hAnsi="Garamond"/>
          <w:kern w:val="1"/>
        </w:rPr>
      </w:pPr>
    </w:p>
    <w:p w14:paraId="79FC6666" w14:textId="10342D1F" w:rsidR="00DA2406" w:rsidRDefault="00D71E8F" w:rsidP="00F27620">
      <w:pPr>
        <w:spacing w:line="480" w:lineRule="auto"/>
        <w:rPr>
          <w:rFonts w:ascii="Garamond" w:hAnsi="Garamond"/>
          <w:kern w:val="1"/>
        </w:rPr>
      </w:pPr>
      <w:r w:rsidRPr="009B7A4A">
        <w:rPr>
          <w:rFonts w:ascii="Garamond" w:hAnsi="Garamond"/>
          <w:kern w:val="1"/>
        </w:rPr>
        <w:t>For James and Carl, the shifting ground beneath their feet – including the changing nature of Brixton and the turbulence of gentrification – lead</w:t>
      </w:r>
      <w:r w:rsidR="00FB320D">
        <w:rPr>
          <w:rFonts w:ascii="Garamond" w:hAnsi="Garamond"/>
          <w:kern w:val="1"/>
        </w:rPr>
        <w:t>s</w:t>
      </w:r>
      <w:r w:rsidRPr="009B7A4A">
        <w:rPr>
          <w:rFonts w:ascii="Garamond" w:hAnsi="Garamond"/>
          <w:kern w:val="1"/>
        </w:rPr>
        <w:t xml:space="preserve"> logically to the conclusion that</w:t>
      </w:r>
      <w:r w:rsidR="00FB320D">
        <w:rPr>
          <w:rFonts w:ascii="Garamond" w:hAnsi="Garamond"/>
          <w:kern w:val="1"/>
        </w:rPr>
        <w:t xml:space="preserve">, once again, </w:t>
      </w:r>
      <w:r w:rsidRPr="009B7A4A">
        <w:rPr>
          <w:rFonts w:ascii="Garamond" w:hAnsi="Garamond"/>
          <w:kern w:val="1"/>
        </w:rPr>
        <w:t>the system is working against them.</w:t>
      </w:r>
      <w:r w:rsidR="00DA2406">
        <w:rPr>
          <w:rFonts w:ascii="Garamond" w:hAnsi="Garamond"/>
          <w:kern w:val="1"/>
        </w:rPr>
        <w:t xml:space="preserve"> The spatial scales operative in the discussion veer from the very local, the </w:t>
      </w:r>
      <w:r w:rsidR="00FB320D">
        <w:rPr>
          <w:rFonts w:ascii="Garamond" w:hAnsi="Garamond"/>
          <w:kern w:val="1"/>
        </w:rPr>
        <w:t xml:space="preserve">neighbourhood </w:t>
      </w:r>
      <w:r w:rsidR="00DA2406">
        <w:rPr>
          <w:rFonts w:ascii="Garamond" w:hAnsi="Garamond"/>
          <w:kern w:val="1"/>
        </w:rPr>
        <w:t xml:space="preserve">market, to the vast, FEMA, Empire. There is a clear attempt here to link the very local geography of Brixton to a much broader global political geography. There is an interweaving of conspiratorial tropes – The New World Order – and historically reliable arguments such as James’ point that ‘slavery and other crimes’ continue to underpin our economic system. </w:t>
      </w:r>
    </w:p>
    <w:p w14:paraId="5F57149A" w14:textId="77777777" w:rsidR="00DA2406" w:rsidRDefault="00DA2406" w:rsidP="00F27620">
      <w:pPr>
        <w:spacing w:line="480" w:lineRule="auto"/>
        <w:rPr>
          <w:rFonts w:ascii="Garamond" w:hAnsi="Garamond"/>
          <w:kern w:val="1"/>
        </w:rPr>
      </w:pPr>
    </w:p>
    <w:p w14:paraId="60E9D8D8" w14:textId="0A0DB682" w:rsidR="00D71E8F" w:rsidRPr="009B7A4A" w:rsidRDefault="00DA2406" w:rsidP="00F27620">
      <w:pPr>
        <w:spacing w:line="480" w:lineRule="auto"/>
        <w:rPr>
          <w:rFonts w:ascii="Garamond" w:hAnsi="Garamond"/>
          <w:kern w:val="1"/>
        </w:rPr>
      </w:pPr>
      <w:r>
        <w:rPr>
          <w:rFonts w:ascii="Garamond" w:hAnsi="Garamond"/>
          <w:kern w:val="1"/>
        </w:rPr>
        <w:t>Both</w:t>
      </w:r>
      <w:r w:rsidR="00D71E8F" w:rsidRPr="009B7A4A">
        <w:rPr>
          <w:rFonts w:ascii="Garamond" w:hAnsi="Garamond"/>
          <w:kern w:val="1"/>
        </w:rPr>
        <w:t xml:space="preserve"> James and Carl are black men with histories of drugs, criminalisation and mental health problems. Fenster </w:t>
      </w:r>
      <w:r w:rsidR="00C96471" w:rsidRPr="009B7A4A">
        <w:rPr>
          <w:rFonts w:ascii="Garamond" w:hAnsi="Garamond"/>
          <w:kern w:val="1"/>
        </w:rPr>
        <w:t>has</w:t>
      </w:r>
      <w:r w:rsidR="00D71E8F" w:rsidRPr="009B7A4A">
        <w:rPr>
          <w:rFonts w:ascii="Garamond" w:hAnsi="Garamond"/>
          <w:kern w:val="1"/>
        </w:rPr>
        <w:t xml:space="preserve"> </w:t>
      </w:r>
      <w:r w:rsidR="00C96471" w:rsidRPr="009B7A4A">
        <w:rPr>
          <w:rFonts w:ascii="Garamond" w:hAnsi="Garamond"/>
          <w:kern w:val="1"/>
        </w:rPr>
        <w:t>remarked that</w:t>
      </w:r>
      <w:r w:rsidR="00D71E8F" w:rsidRPr="009B7A4A">
        <w:rPr>
          <w:rFonts w:ascii="Garamond" w:hAnsi="Garamond"/>
          <w:kern w:val="1"/>
        </w:rPr>
        <w:t xml:space="preserve"> the total dismissal of conspiracy as pathology “ignores the fact that it can correctly identify present and historical wrongs” (2008:11</w:t>
      </w:r>
      <w:r>
        <w:rPr>
          <w:rFonts w:ascii="Garamond" w:hAnsi="Garamond"/>
          <w:kern w:val="1"/>
        </w:rPr>
        <w:t xml:space="preserve">). Certainly there is no simple way in which we can separate conspiratorial speech from more ‘acceptable’ political discourses in this discussion. </w:t>
      </w:r>
    </w:p>
    <w:p w14:paraId="0630C537" w14:textId="77777777" w:rsidR="00D71E8F" w:rsidRPr="009B7A4A" w:rsidRDefault="00D71E8F" w:rsidP="00F27620">
      <w:pPr>
        <w:spacing w:line="480" w:lineRule="auto"/>
        <w:rPr>
          <w:rFonts w:ascii="Garamond" w:hAnsi="Garamond"/>
          <w:kern w:val="1"/>
        </w:rPr>
      </w:pPr>
    </w:p>
    <w:p w14:paraId="180A944B" w14:textId="4F75E12B" w:rsidR="00D71E8F" w:rsidRPr="009B7A4A" w:rsidRDefault="00D71E8F" w:rsidP="00F27620">
      <w:pPr>
        <w:spacing w:line="480" w:lineRule="auto"/>
        <w:rPr>
          <w:rFonts w:ascii="Garamond" w:hAnsi="Garamond"/>
          <w:kern w:val="1"/>
        </w:rPr>
      </w:pPr>
      <w:r w:rsidRPr="009B7A4A">
        <w:rPr>
          <w:rFonts w:ascii="Garamond" w:hAnsi="Garamond"/>
          <w:kern w:val="1"/>
        </w:rPr>
        <w:t>Knight has described conspiracy theories as an “epistemological quick fix to often intractably complex problems” (Knight 2013:8), but is this</w:t>
      </w:r>
      <w:r w:rsidR="00E56BF9">
        <w:rPr>
          <w:rFonts w:ascii="Garamond" w:hAnsi="Garamond"/>
          <w:kern w:val="1"/>
        </w:rPr>
        <w:t xml:space="preserve"> desire for the quick fix not</w:t>
      </w:r>
      <w:r w:rsidRPr="009B7A4A">
        <w:rPr>
          <w:rFonts w:ascii="Garamond" w:hAnsi="Garamond"/>
          <w:kern w:val="1"/>
        </w:rPr>
        <w:t xml:space="preserve"> also not true of much political discourse? Freeman has commented on the resemblance of gentrification to conspiracy theory (2011:118)</w:t>
      </w:r>
      <w:r w:rsidR="00DA2406">
        <w:rPr>
          <w:rFonts w:ascii="Garamond" w:hAnsi="Garamond"/>
          <w:kern w:val="1"/>
        </w:rPr>
        <w:t>, clearly echoed in the discussion described above</w:t>
      </w:r>
      <w:r w:rsidRPr="009B7A4A">
        <w:rPr>
          <w:rFonts w:ascii="Garamond" w:hAnsi="Garamond"/>
          <w:kern w:val="1"/>
        </w:rPr>
        <w:t xml:space="preserve">. With its fear of spectral forces of change and suspicion of poorly defined groups such as ‘hipsters’, gentrification discourse </w:t>
      </w:r>
      <w:r w:rsidR="005B327F" w:rsidRPr="009B7A4A">
        <w:rPr>
          <w:rFonts w:ascii="Garamond" w:hAnsi="Garamond"/>
          <w:kern w:val="1"/>
        </w:rPr>
        <w:t>coincides</w:t>
      </w:r>
      <w:r w:rsidRPr="009B7A4A">
        <w:rPr>
          <w:rFonts w:ascii="Garamond" w:hAnsi="Garamond"/>
          <w:kern w:val="1"/>
        </w:rPr>
        <w:t xml:space="preserve"> with the structures of conspiracy theory, but it is an idea </w:t>
      </w:r>
      <w:r w:rsidRPr="009B7A4A">
        <w:rPr>
          <w:rFonts w:ascii="Garamond" w:hAnsi="Garamond"/>
          <w:kern w:val="1"/>
        </w:rPr>
        <w:lastRenderedPageBreak/>
        <w:t xml:space="preserve">propagated by ‘legitimate’ voices, academics included. </w:t>
      </w:r>
      <w:r w:rsidR="00DA2406">
        <w:rPr>
          <w:rFonts w:ascii="Garamond" w:hAnsi="Garamond"/>
          <w:kern w:val="1"/>
        </w:rPr>
        <w:t xml:space="preserve">It is not </w:t>
      </w:r>
      <w:r w:rsidR="00E56BF9">
        <w:rPr>
          <w:rFonts w:ascii="Garamond" w:hAnsi="Garamond"/>
          <w:kern w:val="1"/>
        </w:rPr>
        <w:t>easy</w:t>
      </w:r>
      <w:r w:rsidR="00DA2406">
        <w:rPr>
          <w:rFonts w:ascii="Garamond" w:hAnsi="Garamond"/>
          <w:kern w:val="1"/>
        </w:rPr>
        <w:t xml:space="preserve"> to dismiss political speech </w:t>
      </w:r>
      <w:r w:rsidR="00E56BF9">
        <w:rPr>
          <w:rFonts w:ascii="Garamond" w:hAnsi="Garamond"/>
          <w:kern w:val="1"/>
        </w:rPr>
        <w:t>that</w:t>
      </w:r>
      <w:r w:rsidR="00DA2406">
        <w:rPr>
          <w:rFonts w:ascii="Garamond" w:hAnsi="Garamond"/>
          <w:kern w:val="1"/>
        </w:rPr>
        <w:t xml:space="preserve"> interweaves more mainstream and empirically defensible narratives with those of conspiracy theory. </w:t>
      </w:r>
    </w:p>
    <w:p w14:paraId="68E7B565" w14:textId="77777777" w:rsidR="00D71E8F" w:rsidRPr="009B7A4A" w:rsidRDefault="00D71E8F" w:rsidP="00F27620">
      <w:pPr>
        <w:pStyle w:val="Heading2"/>
        <w:jc w:val="left"/>
      </w:pPr>
    </w:p>
    <w:p w14:paraId="2BB1D6E5" w14:textId="77F3CAC0" w:rsidR="006B18A3" w:rsidRDefault="00277CE3" w:rsidP="006B18A3">
      <w:pPr>
        <w:pStyle w:val="Heading2"/>
        <w:jc w:val="left"/>
        <w:rPr>
          <w:i w:val="0"/>
          <w:u w:val="none"/>
        </w:rPr>
      </w:pPr>
      <w:r w:rsidRPr="00E56BF9">
        <w:rPr>
          <w:i w:val="0"/>
          <w:u w:val="none"/>
        </w:rPr>
        <w:t>4.</w:t>
      </w:r>
      <w:r w:rsidR="00E56BF9" w:rsidRPr="00E56BF9">
        <w:rPr>
          <w:i w:val="0"/>
          <w:u w:val="none"/>
        </w:rPr>
        <w:t>3</w:t>
      </w:r>
      <w:r w:rsidRPr="00E56BF9">
        <w:rPr>
          <w:i w:val="0"/>
          <w:u w:val="none"/>
        </w:rPr>
        <w:t xml:space="preserve">. </w:t>
      </w:r>
      <w:r w:rsidR="00D71E8F" w:rsidRPr="00E56BF9">
        <w:rPr>
          <w:i w:val="0"/>
          <w:u w:val="none"/>
        </w:rPr>
        <w:t>Bad medicine</w:t>
      </w:r>
    </w:p>
    <w:p w14:paraId="5EB6113F" w14:textId="77777777" w:rsidR="006B18A3" w:rsidRPr="006B18A3" w:rsidRDefault="006B18A3" w:rsidP="006B18A3"/>
    <w:p w14:paraId="4EDE873D" w14:textId="3701E3F6" w:rsidR="00D93C74" w:rsidRDefault="00DA2406" w:rsidP="00F27620">
      <w:pPr>
        <w:spacing w:line="480" w:lineRule="auto"/>
        <w:rPr>
          <w:rFonts w:ascii="Garamond" w:hAnsi="Garamond"/>
          <w:kern w:val="1"/>
        </w:rPr>
      </w:pPr>
      <w:r>
        <w:rPr>
          <w:rFonts w:ascii="Garamond" w:hAnsi="Garamond"/>
          <w:kern w:val="1"/>
        </w:rPr>
        <w:t>Cynthia was</w:t>
      </w:r>
      <w:r w:rsidR="00D71E8F" w:rsidRPr="009B7A4A">
        <w:rPr>
          <w:rFonts w:ascii="Garamond" w:hAnsi="Garamond"/>
          <w:kern w:val="1"/>
        </w:rPr>
        <w:t xml:space="preserve"> worried that drinking lemon in boiling water was bad for her: she had taken this up, having read that it was healthy. We agreed that one lemon and three green teas a day was probably okay; she checked with Jacob and he agreed – anything in moderation. A guy</w:t>
      </w:r>
      <w:r w:rsidR="00E56BF9">
        <w:rPr>
          <w:rFonts w:ascii="Garamond" w:hAnsi="Garamond"/>
          <w:kern w:val="1"/>
        </w:rPr>
        <w:t xml:space="preserve"> who</w:t>
      </w:r>
      <w:r w:rsidR="00D71E8F" w:rsidRPr="009B7A4A">
        <w:rPr>
          <w:rFonts w:ascii="Garamond" w:hAnsi="Garamond"/>
          <w:kern w:val="1"/>
        </w:rPr>
        <w:t xml:space="preserve"> I did not know told us he had been reading about ADHD (Attention Deficit Hyperactivity Disorder) diagnoses and began an outraged description of the problem with drug companies and over-prescription. Mental illnesses were not real anyway, he said. A pregnant woman</w:t>
      </w:r>
      <w:r w:rsidR="00E56BF9">
        <w:rPr>
          <w:rFonts w:ascii="Garamond" w:hAnsi="Garamond"/>
          <w:kern w:val="1"/>
        </w:rPr>
        <w:t>, w</w:t>
      </w:r>
      <w:r w:rsidR="00855EF3">
        <w:rPr>
          <w:rFonts w:ascii="Garamond" w:hAnsi="Garamond"/>
          <w:kern w:val="1"/>
        </w:rPr>
        <w:t>ho was also new,</w:t>
      </w:r>
      <w:r w:rsidR="00E56BF9">
        <w:rPr>
          <w:rFonts w:ascii="Garamond" w:hAnsi="Garamond"/>
          <w:kern w:val="1"/>
        </w:rPr>
        <w:t xml:space="preserve"> </w:t>
      </w:r>
      <w:r w:rsidR="00D71E8F" w:rsidRPr="009B7A4A">
        <w:rPr>
          <w:rFonts w:ascii="Garamond" w:hAnsi="Garamond"/>
          <w:kern w:val="1"/>
        </w:rPr>
        <w:t xml:space="preserve">disagreed with him, he moderated his stance, </w:t>
      </w:r>
      <w:r w:rsidR="00E56BF9">
        <w:rPr>
          <w:rFonts w:ascii="Garamond" w:hAnsi="Garamond"/>
          <w:kern w:val="1"/>
        </w:rPr>
        <w:t xml:space="preserve">speaking instead about </w:t>
      </w:r>
      <w:r w:rsidR="00D71E8F" w:rsidRPr="009B7A4A">
        <w:rPr>
          <w:rFonts w:ascii="Garamond" w:hAnsi="Garamond"/>
          <w:kern w:val="1"/>
        </w:rPr>
        <w:t>over-diagnosis. He cited a study he was aware of from Finland that found counselling was the key to overcoming mental illness, and that schizophrenia was caused by childhood trauma.</w:t>
      </w:r>
      <w:r w:rsidR="00E56BF9">
        <w:rPr>
          <w:rFonts w:ascii="Garamond" w:hAnsi="Garamond"/>
          <w:kern w:val="1"/>
        </w:rPr>
        <w:t xml:space="preserve"> </w:t>
      </w:r>
      <w:r w:rsidR="00D71E8F" w:rsidRPr="009B7A4A">
        <w:rPr>
          <w:rFonts w:ascii="Garamond" w:hAnsi="Garamond"/>
          <w:kern w:val="1"/>
        </w:rPr>
        <w:t xml:space="preserve">I was a bit worried about </w:t>
      </w:r>
      <w:r w:rsidR="00E56BF9">
        <w:rPr>
          <w:rFonts w:ascii="Garamond" w:hAnsi="Garamond"/>
          <w:kern w:val="1"/>
        </w:rPr>
        <w:t>how Cynthia would react to this statement</w:t>
      </w:r>
      <w:r w:rsidR="00855EF3">
        <w:rPr>
          <w:rFonts w:ascii="Garamond" w:hAnsi="Garamond"/>
          <w:kern w:val="1"/>
        </w:rPr>
        <w:t>,</w:t>
      </w:r>
      <w:r w:rsidR="00E56BF9">
        <w:rPr>
          <w:rFonts w:ascii="Garamond" w:hAnsi="Garamond"/>
          <w:kern w:val="1"/>
        </w:rPr>
        <w:t xml:space="preserve"> </w:t>
      </w:r>
      <w:r w:rsidR="00855EF3">
        <w:rPr>
          <w:rFonts w:ascii="Garamond" w:hAnsi="Garamond"/>
          <w:kern w:val="1"/>
        </w:rPr>
        <w:t>she</w:t>
      </w:r>
      <w:r w:rsidR="00E56BF9">
        <w:rPr>
          <w:rFonts w:ascii="Garamond" w:hAnsi="Garamond"/>
          <w:kern w:val="1"/>
        </w:rPr>
        <w:t xml:space="preserve"> was listening quietly to the discussion</w:t>
      </w:r>
      <w:r w:rsidR="00D71E8F" w:rsidRPr="009B7A4A">
        <w:rPr>
          <w:rFonts w:ascii="Garamond" w:hAnsi="Garamond"/>
          <w:kern w:val="1"/>
        </w:rPr>
        <w:t>, she had previously identified herself as a paranoid schizophrenic who had been prescribed medicine that she struggled to take consistently. Other people became involved in the conversation. Carl said that everyone who died of Swine Flu had been vaccinated against it. He</w:t>
      </w:r>
      <w:r w:rsidR="005B327F" w:rsidRPr="009B7A4A">
        <w:rPr>
          <w:rFonts w:ascii="Garamond" w:hAnsi="Garamond"/>
          <w:kern w:val="1"/>
        </w:rPr>
        <w:t xml:space="preserve"> also said Ebola was human-made, </w:t>
      </w:r>
      <w:r w:rsidR="00D71E8F" w:rsidRPr="009B7A4A">
        <w:rPr>
          <w:rFonts w:ascii="Garamond" w:hAnsi="Garamond"/>
          <w:kern w:val="1"/>
        </w:rPr>
        <w:t>that people are poisoning our food</w:t>
      </w:r>
      <w:r w:rsidR="00D71E8F" w:rsidRPr="009B7A4A">
        <w:rPr>
          <w:rStyle w:val="EndnoteReference"/>
          <w:rFonts w:ascii="Garamond" w:hAnsi="Garamond"/>
          <w:kern w:val="1"/>
        </w:rPr>
        <w:endnoteReference w:id="5"/>
      </w:r>
      <w:r w:rsidR="00D71E8F" w:rsidRPr="009B7A4A">
        <w:rPr>
          <w:rFonts w:ascii="Garamond" w:hAnsi="Garamond"/>
          <w:kern w:val="1"/>
        </w:rPr>
        <w:t xml:space="preserve"> and</w:t>
      </w:r>
      <w:r w:rsidR="00E56BF9">
        <w:rPr>
          <w:rFonts w:ascii="Garamond" w:hAnsi="Garamond"/>
          <w:kern w:val="1"/>
        </w:rPr>
        <w:t xml:space="preserve"> that</w:t>
      </w:r>
      <w:r w:rsidR="00D71E8F" w:rsidRPr="009B7A4A">
        <w:rPr>
          <w:rFonts w:ascii="Garamond" w:hAnsi="Garamond"/>
          <w:kern w:val="1"/>
        </w:rPr>
        <w:t xml:space="preserve"> vaccinations are killing us. Cynthia said quietly that they </w:t>
      </w:r>
      <w:r w:rsidR="00123DCD">
        <w:rPr>
          <w:rFonts w:ascii="Garamond" w:hAnsi="Garamond"/>
          <w:kern w:val="1"/>
        </w:rPr>
        <w:t>probably were</w:t>
      </w:r>
      <w:r w:rsidR="00D71E8F" w:rsidRPr="009B7A4A">
        <w:rPr>
          <w:rFonts w:ascii="Garamond" w:hAnsi="Garamond"/>
          <w:kern w:val="1"/>
        </w:rPr>
        <w:t xml:space="preserve"> trying to get rid of all the poor people.</w:t>
      </w:r>
    </w:p>
    <w:p w14:paraId="5547A146" w14:textId="3802D804" w:rsidR="006A61E5" w:rsidRDefault="006A61E5" w:rsidP="00F27620">
      <w:pPr>
        <w:spacing w:line="480" w:lineRule="auto"/>
        <w:rPr>
          <w:rFonts w:ascii="Garamond" w:hAnsi="Garamond"/>
          <w:kern w:val="1"/>
        </w:rPr>
      </w:pPr>
    </w:p>
    <w:p w14:paraId="28FFD696" w14:textId="15FA0BAD" w:rsidR="006A61E5" w:rsidRDefault="006A61E5" w:rsidP="006A61E5">
      <w:pPr>
        <w:spacing w:line="480" w:lineRule="auto"/>
        <w:rPr>
          <w:rFonts w:ascii="Garamond" w:hAnsi="Garamond"/>
          <w:kern w:val="1"/>
        </w:rPr>
      </w:pPr>
      <w:r>
        <w:rPr>
          <w:rFonts w:ascii="Garamond" w:hAnsi="Garamond"/>
          <w:kern w:val="1"/>
        </w:rPr>
        <w:t>In this conversation conspiratorial thinking emerges to deal with the giddying gap in scale between the body of the individual and the body of ‘all the poor people’</w:t>
      </w:r>
      <w:r w:rsidR="00B61ACA">
        <w:rPr>
          <w:rFonts w:ascii="Garamond" w:hAnsi="Garamond"/>
          <w:kern w:val="1"/>
        </w:rPr>
        <w:t xml:space="preserve"> </w:t>
      </w:r>
      <w:r>
        <w:rPr>
          <w:rFonts w:ascii="Garamond" w:hAnsi="Garamond"/>
          <w:kern w:val="1"/>
        </w:rPr>
        <w:t xml:space="preserve">as spaces of governance. </w:t>
      </w:r>
      <w:r w:rsidR="00B61ACA">
        <w:rPr>
          <w:rFonts w:ascii="Garamond" w:hAnsi="Garamond"/>
          <w:kern w:val="1"/>
        </w:rPr>
        <w:t xml:space="preserve">For service users at the soup kitchen, the idea that their bodies, scrutinised and medicalised by the state, described in the media as unhealthy, were under a specific threat from </w:t>
      </w:r>
      <w:r w:rsidR="00B61ACA">
        <w:rPr>
          <w:rFonts w:ascii="Garamond" w:hAnsi="Garamond"/>
          <w:kern w:val="1"/>
        </w:rPr>
        <w:lastRenderedPageBreak/>
        <w:t xml:space="preserve">‘they’ seemed </w:t>
      </w:r>
      <w:r w:rsidR="00855EF3">
        <w:rPr>
          <w:rFonts w:ascii="Garamond" w:hAnsi="Garamond"/>
          <w:kern w:val="1"/>
        </w:rPr>
        <w:t xml:space="preserve">less far-fetched </w:t>
      </w:r>
      <w:r w:rsidR="00B61ACA">
        <w:rPr>
          <w:rFonts w:ascii="Garamond" w:hAnsi="Garamond"/>
          <w:kern w:val="1"/>
        </w:rPr>
        <w:t xml:space="preserve">in that moment. </w:t>
      </w:r>
      <w:r>
        <w:rPr>
          <w:rFonts w:ascii="Garamond" w:hAnsi="Garamond"/>
          <w:kern w:val="1"/>
        </w:rPr>
        <w:t xml:space="preserve">The conspiracy theory offers one way of claiming a knowledge of the multi-scalar relationship between the everyday experience of precarity and the structures that uphold it. </w:t>
      </w:r>
    </w:p>
    <w:p w14:paraId="6025E645" w14:textId="77777777" w:rsidR="006A61E5" w:rsidRDefault="006A61E5" w:rsidP="00F27620">
      <w:pPr>
        <w:spacing w:line="480" w:lineRule="auto"/>
        <w:rPr>
          <w:rFonts w:ascii="Garamond" w:hAnsi="Garamond"/>
          <w:kern w:val="1"/>
        </w:rPr>
      </w:pPr>
    </w:p>
    <w:p w14:paraId="7EDA58B1" w14:textId="77777777" w:rsidR="00D71E8F" w:rsidRPr="009B7A4A" w:rsidRDefault="00D71E8F" w:rsidP="00F27620">
      <w:pPr>
        <w:spacing w:line="480" w:lineRule="auto"/>
        <w:rPr>
          <w:rFonts w:ascii="Garamond" w:hAnsi="Garamond"/>
          <w:kern w:val="1"/>
        </w:rPr>
      </w:pPr>
    </w:p>
    <w:p w14:paraId="19896F12" w14:textId="349EA791" w:rsidR="00D71E8F" w:rsidRPr="009B7A4A" w:rsidRDefault="00D71E8F" w:rsidP="00F27620">
      <w:pPr>
        <w:spacing w:line="480" w:lineRule="auto"/>
        <w:rPr>
          <w:rFonts w:ascii="Garamond" w:hAnsi="Garamond"/>
          <w:kern w:val="1"/>
        </w:rPr>
      </w:pPr>
      <w:r w:rsidRPr="009B7A4A">
        <w:rPr>
          <w:rFonts w:ascii="Garamond" w:hAnsi="Garamond"/>
          <w:kern w:val="1"/>
        </w:rPr>
        <w:t>Fiske produced a powerful but also somewhat wild analysis of conspiracy theories relating to AIDS as they circulated in black communities in America (199</w:t>
      </w:r>
      <w:r w:rsidR="00686C2D">
        <w:rPr>
          <w:rFonts w:ascii="Garamond" w:hAnsi="Garamond"/>
          <w:kern w:val="1"/>
        </w:rPr>
        <w:t>6</w:t>
      </w:r>
      <w:r w:rsidRPr="009B7A4A">
        <w:rPr>
          <w:rFonts w:ascii="Garamond" w:hAnsi="Garamond"/>
          <w:kern w:val="1"/>
        </w:rPr>
        <w:t>: 191-216). Unlike Fiske, heavily criticised by Fenster (2008:279-289), I do not wish to be drawn into the vertiginous question of truth</w:t>
      </w:r>
      <w:r w:rsidR="00B61ACA">
        <w:rPr>
          <w:rFonts w:ascii="Garamond" w:hAnsi="Garamond"/>
          <w:kern w:val="1"/>
        </w:rPr>
        <w:t xml:space="preserve">, and there are genuine dangers emerging from anti-vaccination and other anti-medical narratives, recently fuelled by European populist </w:t>
      </w:r>
      <w:r w:rsidR="002F7676">
        <w:rPr>
          <w:rFonts w:ascii="Garamond" w:hAnsi="Garamond"/>
          <w:kern w:val="1"/>
        </w:rPr>
        <w:t>movements (Boseley 2018)</w:t>
      </w:r>
      <w:r w:rsidRPr="009B7A4A">
        <w:rPr>
          <w:rFonts w:ascii="Garamond" w:hAnsi="Garamond"/>
          <w:kern w:val="1"/>
        </w:rPr>
        <w:t xml:space="preserve">. </w:t>
      </w:r>
      <w:r w:rsidR="00E56BF9">
        <w:rPr>
          <w:rFonts w:ascii="Garamond" w:hAnsi="Garamond"/>
          <w:kern w:val="1"/>
        </w:rPr>
        <w:t>Fiske’s</w:t>
      </w:r>
      <w:r w:rsidRPr="009B7A4A">
        <w:rPr>
          <w:rFonts w:ascii="Garamond" w:hAnsi="Garamond"/>
          <w:kern w:val="1"/>
        </w:rPr>
        <w:t xml:space="preserve"> analysis of the social context </w:t>
      </w:r>
      <w:r w:rsidR="00E56BF9">
        <w:rPr>
          <w:rFonts w:ascii="Garamond" w:hAnsi="Garamond"/>
          <w:kern w:val="1"/>
        </w:rPr>
        <w:t>for</w:t>
      </w:r>
      <w:r w:rsidRPr="009B7A4A">
        <w:rPr>
          <w:rFonts w:ascii="Garamond" w:hAnsi="Garamond"/>
          <w:kern w:val="1"/>
        </w:rPr>
        <w:t xml:space="preserve"> the conspiracy theories that he discusses remains valuable. </w:t>
      </w:r>
      <w:r w:rsidR="00E56BF9">
        <w:rPr>
          <w:rFonts w:ascii="Garamond" w:hAnsi="Garamond"/>
          <w:kern w:val="1"/>
        </w:rPr>
        <w:t>Specifically</w:t>
      </w:r>
      <w:r w:rsidRPr="009B7A4A">
        <w:rPr>
          <w:rFonts w:ascii="Garamond" w:hAnsi="Garamond"/>
          <w:kern w:val="1"/>
        </w:rPr>
        <w:t xml:space="preserve"> that conspiracy theories should be read as a form of “counter-knowledge” (Fiske 199</w:t>
      </w:r>
      <w:r w:rsidR="00686C2D">
        <w:rPr>
          <w:rFonts w:ascii="Garamond" w:hAnsi="Garamond"/>
          <w:kern w:val="1"/>
        </w:rPr>
        <w:t>6</w:t>
      </w:r>
      <w:r w:rsidRPr="009B7A4A">
        <w:rPr>
          <w:rFonts w:ascii="Garamond" w:hAnsi="Garamond"/>
          <w:kern w:val="1"/>
        </w:rPr>
        <w:t xml:space="preserve">:191) </w:t>
      </w:r>
      <w:r w:rsidR="00E56BF9">
        <w:rPr>
          <w:rFonts w:ascii="Garamond" w:hAnsi="Garamond"/>
          <w:kern w:val="1"/>
        </w:rPr>
        <w:t>reflecting</w:t>
      </w:r>
      <w:r w:rsidRPr="009B7A4A">
        <w:rPr>
          <w:rFonts w:ascii="Garamond" w:hAnsi="Garamond"/>
          <w:kern w:val="1"/>
        </w:rPr>
        <w:t xml:space="preserve"> the fact that black communities interpret the world in the context of a long and “systematic assault on the Black body” (2008:194). Similarly, the discourses above regarding medicine, and indeed the transformation of Brixton, reflect a long history of marginalisation and inequality. </w:t>
      </w:r>
    </w:p>
    <w:p w14:paraId="4876C740" w14:textId="77777777" w:rsidR="00D71E8F" w:rsidRPr="009B7A4A" w:rsidRDefault="00D71E8F" w:rsidP="00F27620">
      <w:pPr>
        <w:spacing w:line="480" w:lineRule="auto"/>
        <w:rPr>
          <w:rFonts w:ascii="Garamond" w:hAnsi="Garamond"/>
          <w:kern w:val="1"/>
        </w:rPr>
      </w:pPr>
    </w:p>
    <w:p w14:paraId="59F4B45B" w14:textId="1AA0277E" w:rsidR="006A61E5" w:rsidRDefault="00D71E8F" w:rsidP="00F27620">
      <w:pPr>
        <w:spacing w:line="480" w:lineRule="auto"/>
        <w:rPr>
          <w:rFonts w:ascii="Garamond" w:hAnsi="Garamond"/>
          <w:kern w:val="1"/>
        </w:rPr>
      </w:pPr>
      <w:r w:rsidRPr="009B7A4A">
        <w:rPr>
          <w:rFonts w:ascii="Garamond" w:hAnsi="Garamond"/>
          <w:kern w:val="1"/>
        </w:rPr>
        <w:t>A conspiracy theory is a way of explaining experience, just as anyone thinking politically is involved in a form of theory-making. Waters has called conspiracy theories “ethnosociologies […] theories that ordinary people use to explain social phenomena” (1997:114). It is a way of comprehending the relationship between oneself and the external world</w:t>
      </w:r>
      <w:r w:rsidR="00D93C74">
        <w:rPr>
          <w:rFonts w:ascii="Garamond" w:hAnsi="Garamond"/>
          <w:kern w:val="1"/>
        </w:rPr>
        <w:t>, between close in geographies of everyday life and expansive transnational economic and political geographies</w:t>
      </w:r>
      <w:r w:rsidRPr="009B7A4A">
        <w:rPr>
          <w:rFonts w:ascii="Garamond" w:hAnsi="Garamond"/>
          <w:kern w:val="1"/>
        </w:rPr>
        <w:t xml:space="preserve">. </w:t>
      </w:r>
      <w:r w:rsidR="00D93C74">
        <w:rPr>
          <w:rFonts w:ascii="Garamond" w:hAnsi="Garamond"/>
          <w:kern w:val="1"/>
        </w:rPr>
        <w:t>Service users at the soup kitchen were living their lives in an intense relationship with the state mediated through welfare, policing,</w:t>
      </w:r>
      <w:r w:rsidR="002234BE">
        <w:rPr>
          <w:rFonts w:ascii="Garamond" w:hAnsi="Garamond"/>
          <w:kern w:val="1"/>
        </w:rPr>
        <w:t xml:space="preserve"> medical and other state actors</w:t>
      </w:r>
      <w:r w:rsidR="00D93C74">
        <w:rPr>
          <w:rFonts w:ascii="Garamond" w:hAnsi="Garamond"/>
          <w:kern w:val="1"/>
        </w:rPr>
        <w:t xml:space="preserve">. </w:t>
      </w:r>
    </w:p>
    <w:p w14:paraId="3F1BE295" w14:textId="2BD05229" w:rsidR="00DE48A3" w:rsidRDefault="00DE48A3" w:rsidP="00F27620">
      <w:pPr>
        <w:spacing w:line="480" w:lineRule="auto"/>
        <w:rPr>
          <w:rFonts w:ascii="Garamond" w:hAnsi="Garamond"/>
          <w:kern w:val="1"/>
        </w:rPr>
      </w:pPr>
    </w:p>
    <w:p w14:paraId="222E6C04" w14:textId="77777777" w:rsidR="00855EF3" w:rsidRDefault="00855EF3" w:rsidP="00F27620">
      <w:pPr>
        <w:spacing w:line="480" w:lineRule="auto"/>
        <w:rPr>
          <w:rFonts w:ascii="Garamond" w:hAnsi="Garamond"/>
          <w:kern w:val="1"/>
        </w:rPr>
      </w:pPr>
    </w:p>
    <w:p w14:paraId="7DCD9856" w14:textId="77777777" w:rsidR="00855EF3" w:rsidRDefault="00855EF3" w:rsidP="00F27620">
      <w:pPr>
        <w:spacing w:line="480" w:lineRule="auto"/>
        <w:rPr>
          <w:rFonts w:ascii="Garamond" w:hAnsi="Garamond"/>
          <w:kern w:val="1"/>
        </w:rPr>
      </w:pPr>
    </w:p>
    <w:p w14:paraId="71ECB52D" w14:textId="535A29C1" w:rsidR="00DE48A3" w:rsidRDefault="00DE48A3" w:rsidP="00F27620">
      <w:pPr>
        <w:spacing w:line="480" w:lineRule="auto"/>
        <w:rPr>
          <w:rFonts w:ascii="Garamond" w:hAnsi="Garamond"/>
          <w:kern w:val="1"/>
        </w:rPr>
      </w:pPr>
      <w:r>
        <w:rPr>
          <w:rFonts w:ascii="Garamond" w:hAnsi="Garamond"/>
          <w:kern w:val="1"/>
        </w:rPr>
        <w:lastRenderedPageBreak/>
        <w:t>4.</w:t>
      </w:r>
      <w:r w:rsidR="001B25FD">
        <w:rPr>
          <w:rFonts w:ascii="Garamond" w:hAnsi="Garamond"/>
          <w:kern w:val="1"/>
        </w:rPr>
        <w:t>4</w:t>
      </w:r>
      <w:r>
        <w:rPr>
          <w:rFonts w:ascii="Garamond" w:hAnsi="Garamond"/>
          <w:kern w:val="1"/>
        </w:rPr>
        <w:t xml:space="preserve"> Kind-of-Cassandras</w:t>
      </w:r>
    </w:p>
    <w:p w14:paraId="4500BD89" w14:textId="77777777" w:rsidR="00855EF3" w:rsidRDefault="00855EF3" w:rsidP="00F27620">
      <w:pPr>
        <w:spacing w:line="480" w:lineRule="auto"/>
        <w:rPr>
          <w:rFonts w:ascii="Garamond" w:hAnsi="Garamond"/>
          <w:kern w:val="1"/>
        </w:rPr>
      </w:pPr>
    </w:p>
    <w:p w14:paraId="7BAEA986" w14:textId="469BA6CE" w:rsidR="00DE48A3" w:rsidRDefault="00DE48A3" w:rsidP="00DE48A3">
      <w:pPr>
        <w:spacing w:line="480" w:lineRule="auto"/>
        <w:rPr>
          <w:rFonts w:ascii="Garamond" w:hAnsi="Garamond"/>
          <w:kern w:val="1"/>
        </w:rPr>
      </w:pPr>
      <w:r w:rsidRPr="009B7A4A">
        <w:rPr>
          <w:rFonts w:ascii="Garamond" w:hAnsi="Garamond"/>
          <w:kern w:val="1"/>
        </w:rPr>
        <w:t xml:space="preserve">The precarious position of the service users, </w:t>
      </w:r>
      <w:r w:rsidRPr="00DE48A3">
        <w:rPr>
          <w:rFonts w:ascii="Garamond" w:hAnsi="Garamond"/>
          <w:kern w:val="1"/>
        </w:rPr>
        <w:t xml:space="preserve">and the </w:t>
      </w:r>
      <w:r w:rsidR="001B25FD">
        <w:rPr>
          <w:rFonts w:ascii="Garamond" w:hAnsi="Garamond"/>
          <w:kern w:val="1"/>
        </w:rPr>
        <w:t xml:space="preserve">necessary </w:t>
      </w:r>
      <w:r w:rsidRPr="00DE48A3">
        <w:rPr>
          <w:rFonts w:ascii="Garamond" w:hAnsi="Garamond"/>
          <w:kern w:val="1"/>
        </w:rPr>
        <w:t>assumption of behaviour change policy that they are not capable of making rational decisions for themselves</w:t>
      </w:r>
      <w:r w:rsidRPr="009B7A4A">
        <w:rPr>
          <w:rFonts w:ascii="Garamond" w:hAnsi="Garamond"/>
          <w:kern w:val="1"/>
        </w:rPr>
        <w:t xml:space="preserve"> </w:t>
      </w:r>
      <w:r>
        <w:rPr>
          <w:rFonts w:ascii="Garamond" w:hAnsi="Garamond"/>
          <w:kern w:val="1"/>
        </w:rPr>
        <w:t>produces the conditions from which this political speech emerges</w:t>
      </w:r>
      <w:r w:rsidRPr="009B7A4A">
        <w:rPr>
          <w:rFonts w:ascii="Garamond" w:hAnsi="Garamond"/>
          <w:kern w:val="1"/>
        </w:rPr>
        <w:t xml:space="preserve">. In a context where a life is lived under constant scrutiny, hyper-awareness and suspicion are necessary skills. </w:t>
      </w:r>
      <w:r>
        <w:rPr>
          <w:rFonts w:ascii="Garamond" w:hAnsi="Garamond"/>
          <w:kern w:val="1"/>
        </w:rPr>
        <w:t xml:space="preserve">Political speech in this context is necessarily spatial as it involves reaching from a claustrophobically constrained life on the edge towards a more central and more all-encompassing set of political and spatial logics. </w:t>
      </w:r>
    </w:p>
    <w:p w14:paraId="76AA6E0A" w14:textId="77777777" w:rsidR="00DE48A3" w:rsidRPr="009B7A4A" w:rsidRDefault="00DE48A3" w:rsidP="00DE48A3">
      <w:pPr>
        <w:spacing w:line="480" w:lineRule="auto"/>
        <w:rPr>
          <w:rFonts w:ascii="Garamond" w:hAnsi="Garamond"/>
          <w:kern w:val="1"/>
        </w:rPr>
      </w:pPr>
    </w:p>
    <w:p w14:paraId="034C7949" w14:textId="25D37F57" w:rsidR="00DE48A3" w:rsidRDefault="00DE48A3" w:rsidP="00DE48A3">
      <w:pPr>
        <w:spacing w:line="480" w:lineRule="auto"/>
        <w:rPr>
          <w:rFonts w:ascii="Garamond" w:hAnsi="Garamond"/>
          <w:kern w:val="1"/>
        </w:rPr>
      </w:pPr>
      <w:r w:rsidRPr="009B7A4A">
        <w:rPr>
          <w:rFonts w:ascii="Garamond" w:hAnsi="Garamond"/>
          <w:kern w:val="1"/>
        </w:rPr>
        <w:t xml:space="preserve">What first appeared to me as aberrant speech and behaviour soon became the reality of the soup kitchen. Through reacting with something like disgust or fear at discussions of drug addiction or mental illness, or through squirming at the mention of familiarly ‘crazy’ conspiracy theories I recognised that I was participating in </w:t>
      </w:r>
      <w:r>
        <w:rPr>
          <w:rFonts w:ascii="Garamond" w:hAnsi="Garamond"/>
          <w:kern w:val="1"/>
        </w:rPr>
        <w:t>the production of ‘irrational’ subjects</w:t>
      </w:r>
      <w:r w:rsidRPr="009B7A4A">
        <w:rPr>
          <w:rFonts w:ascii="Garamond" w:hAnsi="Garamond"/>
          <w:kern w:val="1"/>
        </w:rPr>
        <w:t>: meaning that those who knew most about what it was to be marginalised,</w:t>
      </w:r>
      <w:r>
        <w:rPr>
          <w:rFonts w:ascii="Garamond" w:hAnsi="Garamond"/>
          <w:kern w:val="1"/>
        </w:rPr>
        <w:t xml:space="preserve"> the soup kitchen regulars, could be ignored</w:t>
      </w:r>
      <w:r w:rsidRPr="009B7A4A">
        <w:rPr>
          <w:rFonts w:ascii="Garamond" w:hAnsi="Garamond"/>
          <w:kern w:val="1"/>
        </w:rPr>
        <w:t xml:space="preserve">. The capacity of </w:t>
      </w:r>
      <w:r>
        <w:rPr>
          <w:rFonts w:ascii="Garamond" w:hAnsi="Garamond"/>
          <w:kern w:val="1"/>
        </w:rPr>
        <w:t>people on the edge</w:t>
      </w:r>
      <w:r w:rsidRPr="009B7A4A">
        <w:rPr>
          <w:rFonts w:ascii="Garamond" w:hAnsi="Garamond"/>
          <w:kern w:val="1"/>
        </w:rPr>
        <w:t xml:space="preserve"> to speak truth to power</w:t>
      </w:r>
      <w:r w:rsidRPr="009B7A4A">
        <w:rPr>
          <w:rStyle w:val="EndnoteReference"/>
          <w:rFonts w:ascii="Garamond" w:hAnsi="Garamond"/>
          <w:kern w:val="1"/>
        </w:rPr>
        <w:endnoteReference w:id="6"/>
      </w:r>
      <w:r w:rsidRPr="009B7A4A">
        <w:rPr>
          <w:rFonts w:ascii="Garamond" w:hAnsi="Garamond"/>
          <w:kern w:val="1"/>
        </w:rPr>
        <w:t xml:space="preserve"> is </w:t>
      </w:r>
      <w:r>
        <w:rPr>
          <w:rFonts w:ascii="Garamond" w:hAnsi="Garamond"/>
          <w:kern w:val="1"/>
        </w:rPr>
        <w:t>too easy to disregard</w:t>
      </w:r>
      <w:r w:rsidRPr="009B7A4A">
        <w:rPr>
          <w:rFonts w:ascii="Garamond" w:hAnsi="Garamond"/>
          <w:kern w:val="1"/>
        </w:rPr>
        <w:t>. Academic researchers must not accept a narrative whereby those who are speaking from the margins are dismissed like Cassandra, the mythological Greek prophet whose prophecies were always true but never believed.</w:t>
      </w:r>
    </w:p>
    <w:p w14:paraId="0DD22138" w14:textId="77777777" w:rsidR="00D71E8F" w:rsidRPr="009B7A4A" w:rsidRDefault="00D71E8F" w:rsidP="00F27620">
      <w:pPr>
        <w:spacing w:line="480" w:lineRule="auto"/>
        <w:rPr>
          <w:rFonts w:ascii="Garamond" w:hAnsi="Garamond"/>
          <w:kern w:val="1"/>
          <w:u w:val="single"/>
        </w:rPr>
      </w:pPr>
    </w:p>
    <w:p w14:paraId="51512993" w14:textId="79D8CB3D" w:rsidR="00D71E8F" w:rsidRDefault="00277CE3" w:rsidP="00F27620">
      <w:pPr>
        <w:pStyle w:val="Heading1"/>
        <w:rPr>
          <w:b w:val="0"/>
          <w:u w:val="none"/>
        </w:rPr>
      </w:pPr>
      <w:bookmarkStart w:id="1" w:name="_Toc480894865"/>
      <w:bookmarkStart w:id="2" w:name="_Toc482698372"/>
      <w:r w:rsidRPr="00F27620">
        <w:rPr>
          <w:b w:val="0"/>
          <w:u w:val="none"/>
        </w:rPr>
        <w:t xml:space="preserve">5. </w:t>
      </w:r>
      <w:r w:rsidR="00D71E8F" w:rsidRPr="00F27620">
        <w:rPr>
          <w:b w:val="0"/>
          <w:u w:val="none"/>
        </w:rPr>
        <w:t>Conclusion</w:t>
      </w:r>
      <w:bookmarkEnd w:id="1"/>
      <w:bookmarkEnd w:id="2"/>
    </w:p>
    <w:p w14:paraId="4F9C55FD" w14:textId="3B9BB72F" w:rsidR="00DE48A3" w:rsidRDefault="00DE48A3" w:rsidP="00DE48A3"/>
    <w:p w14:paraId="7751BC1B" w14:textId="6CAC3191" w:rsidR="00D60A15" w:rsidRDefault="002D6696" w:rsidP="00D60A15">
      <w:pPr>
        <w:spacing w:line="480" w:lineRule="auto"/>
        <w:rPr>
          <w:rFonts w:ascii="Garamond" w:hAnsi="Garamond"/>
          <w:kern w:val="1"/>
        </w:rPr>
      </w:pPr>
      <w:r>
        <w:rPr>
          <w:rFonts w:ascii="Garamond" w:hAnsi="Garamond"/>
          <w:kern w:val="1"/>
        </w:rPr>
        <w:t>The</w:t>
      </w:r>
      <w:r w:rsidR="00D60A15">
        <w:rPr>
          <w:rFonts w:ascii="Garamond" w:hAnsi="Garamond"/>
          <w:kern w:val="1"/>
        </w:rPr>
        <w:t xml:space="preserve"> vignettes drawn from my ethnographic </w:t>
      </w:r>
      <w:r w:rsidR="0063048E">
        <w:rPr>
          <w:rFonts w:ascii="Garamond" w:hAnsi="Garamond"/>
          <w:kern w:val="1"/>
        </w:rPr>
        <w:t xml:space="preserve">case </w:t>
      </w:r>
      <w:r w:rsidR="00D60A15">
        <w:rPr>
          <w:rFonts w:ascii="Garamond" w:hAnsi="Garamond"/>
          <w:kern w:val="1"/>
        </w:rPr>
        <w:t>study of the soup kitchen</w:t>
      </w:r>
      <w:r>
        <w:rPr>
          <w:rFonts w:ascii="Garamond" w:hAnsi="Garamond"/>
          <w:kern w:val="1"/>
        </w:rPr>
        <w:t xml:space="preserve"> provide</w:t>
      </w:r>
      <w:r w:rsidR="00D60A15">
        <w:rPr>
          <w:rFonts w:ascii="Garamond" w:hAnsi="Garamond"/>
          <w:kern w:val="1"/>
        </w:rPr>
        <w:t xml:space="preserve"> an </w:t>
      </w:r>
      <w:r w:rsidR="005108DE">
        <w:rPr>
          <w:rFonts w:ascii="Garamond" w:hAnsi="Garamond"/>
          <w:kern w:val="1"/>
        </w:rPr>
        <w:t>empirical</w:t>
      </w:r>
      <w:r w:rsidR="00D60A15">
        <w:rPr>
          <w:rFonts w:ascii="Garamond" w:hAnsi="Garamond"/>
          <w:kern w:val="1"/>
        </w:rPr>
        <w:t xml:space="preserve"> </w:t>
      </w:r>
      <w:r w:rsidR="005108DE">
        <w:rPr>
          <w:rFonts w:ascii="Garamond" w:hAnsi="Garamond"/>
          <w:kern w:val="1"/>
        </w:rPr>
        <w:t>account</w:t>
      </w:r>
      <w:r w:rsidR="00D60A15">
        <w:rPr>
          <w:rFonts w:ascii="Garamond" w:hAnsi="Garamond"/>
          <w:kern w:val="1"/>
        </w:rPr>
        <w:t xml:space="preserve"> of the lives of people living on the margins of society. </w:t>
      </w:r>
      <w:r w:rsidR="00D60A15" w:rsidRPr="003112FF">
        <w:rPr>
          <w:rFonts w:ascii="Garamond" w:hAnsi="Garamond"/>
          <w:kern w:val="1"/>
        </w:rPr>
        <w:t>The symmetrical relationship between the card game blackjack</w:t>
      </w:r>
      <w:r w:rsidR="003112FF">
        <w:rPr>
          <w:rFonts w:ascii="Garamond" w:hAnsi="Garamond"/>
          <w:kern w:val="1"/>
        </w:rPr>
        <w:t>,</w:t>
      </w:r>
      <w:r w:rsidR="00D60A15" w:rsidRPr="003112FF">
        <w:rPr>
          <w:rFonts w:ascii="Garamond" w:hAnsi="Garamond"/>
          <w:kern w:val="1"/>
        </w:rPr>
        <w:t xml:space="preserve"> and the game-like interactions with the state, reveal</w:t>
      </w:r>
      <w:r w:rsidR="003112FF">
        <w:rPr>
          <w:rFonts w:ascii="Garamond" w:hAnsi="Garamond"/>
          <w:kern w:val="1"/>
        </w:rPr>
        <w:t xml:space="preserve"> </w:t>
      </w:r>
      <w:r w:rsidR="00D60A15" w:rsidRPr="003112FF">
        <w:rPr>
          <w:rFonts w:ascii="Garamond" w:hAnsi="Garamond"/>
          <w:kern w:val="1"/>
        </w:rPr>
        <w:t xml:space="preserve">the extent to which the care aspect of welfarism has been </w:t>
      </w:r>
      <w:r w:rsidR="0063048E">
        <w:rPr>
          <w:rFonts w:ascii="Garamond" w:hAnsi="Garamond"/>
          <w:kern w:val="1"/>
        </w:rPr>
        <w:t>sidelined</w:t>
      </w:r>
      <w:r w:rsidR="003112FF">
        <w:rPr>
          <w:rFonts w:ascii="Garamond" w:hAnsi="Garamond"/>
          <w:kern w:val="1"/>
        </w:rPr>
        <w:t xml:space="preserve"> in favour of policy oriented around behaviour change</w:t>
      </w:r>
      <w:r w:rsidR="00D60A15" w:rsidRPr="003112FF">
        <w:rPr>
          <w:rFonts w:ascii="Garamond" w:hAnsi="Garamond"/>
          <w:kern w:val="1"/>
        </w:rPr>
        <w:t>.</w:t>
      </w:r>
      <w:r w:rsidR="003112FF" w:rsidRPr="003112FF">
        <w:rPr>
          <w:rFonts w:ascii="Garamond" w:hAnsi="Garamond"/>
          <w:kern w:val="1"/>
        </w:rPr>
        <w:t xml:space="preserve"> B</w:t>
      </w:r>
      <w:r w:rsidR="003112FF">
        <w:rPr>
          <w:rFonts w:ascii="Garamond" w:hAnsi="Garamond"/>
          <w:kern w:val="1"/>
        </w:rPr>
        <w:t>eing a skilful player of both blackjack, and of interactions with the state</w:t>
      </w:r>
      <w:r w:rsidR="003112FF" w:rsidRPr="003112FF">
        <w:rPr>
          <w:rFonts w:ascii="Garamond" w:hAnsi="Garamond"/>
          <w:kern w:val="1"/>
        </w:rPr>
        <w:t xml:space="preserve"> </w:t>
      </w:r>
      <w:r w:rsidR="003112FF" w:rsidRPr="003112FF">
        <w:rPr>
          <w:rFonts w:ascii="Garamond" w:hAnsi="Garamond"/>
          <w:kern w:val="1"/>
        </w:rPr>
        <w:lastRenderedPageBreak/>
        <w:t>relie</w:t>
      </w:r>
      <w:r w:rsidR="0063048E">
        <w:rPr>
          <w:rFonts w:ascii="Garamond" w:hAnsi="Garamond"/>
          <w:kern w:val="1"/>
        </w:rPr>
        <w:t>s</w:t>
      </w:r>
      <w:r w:rsidR="003112FF" w:rsidRPr="003112FF">
        <w:rPr>
          <w:rFonts w:ascii="Garamond" w:hAnsi="Garamond"/>
          <w:kern w:val="1"/>
        </w:rPr>
        <w:t xml:space="preserve"> on strategic manipulation of rules and preparedness for malice</w:t>
      </w:r>
      <w:r w:rsidR="003112FF">
        <w:rPr>
          <w:rFonts w:ascii="Garamond" w:hAnsi="Garamond"/>
          <w:kern w:val="1"/>
        </w:rPr>
        <w:t xml:space="preserve">. </w:t>
      </w:r>
      <w:r>
        <w:rPr>
          <w:rFonts w:ascii="Garamond" w:hAnsi="Garamond"/>
          <w:kern w:val="1"/>
        </w:rPr>
        <w:t>However,</w:t>
      </w:r>
      <w:r w:rsidR="00D60A15">
        <w:rPr>
          <w:rFonts w:ascii="Garamond" w:hAnsi="Garamond"/>
          <w:kern w:val="1"/>
        </w:rPr>
        <w:t xml:space="preserve"> whilst blackjack operates on a</w:t>
      </w:r>
      <w:r w:rsidR="0063048E">
        <w:rPr>
          <w:rFonts w:ascii="Garamond" w:hAnsi="Garamond"/>
          <w:kern w:val="1"/>
        </w:rPr>
        <w:t xml:space="preserve">n even </w:t>
      </w:r>
      <w:r w:rsidR="00D60A15">
        <w:rPr>
          <w:rFonts w:ascii="Garamond" w:hAnsi="Garamond"/>
          <w:kern w:val="1"/>
        </w:rPr>
        <w:t xml:space="preserve">playing field, games with the state are weighted heavily against those who live on the margins of society. </w:t>
      </w:r>
      <w:r w:rsidR="003112FF">
        <w:rPr>
          <w:rFonts w:ascii="Garamond" w:hAnsi="Garamond"/>
          <w:kern w:val="1"/>
        </w:rPr>
        <w:t>The</w:t>
      </w:r>
      <w:r w:rsidR="00D60A15">
        <w:rPr>
          <w:rFonts w:ascii="Garamond" w:hAnsi="Garamond"/>
          <w:kern w:val="1"/>
        </w:rPr>
        <w:t xml:space="preserve"> destabilisation of the ‘rules of the game’ </w:t>
      </w:r>
      <w:r>
        <w:rPr>
          <w:rFonts w:ascii="Garamond" w:hAnsi="Garamond"/>
          <w:kern w:val="1"/>
        </w:rPr>
        <w:t xml:space="preserve">undermines </w:t>
      </w:r>
      <w:r w:rsidR="00D60A15">
        <w:rPr>
          <w:rFonts w:ascii="Garamond" w:hAnsi="Garamond"/>
          <w:kern w:val="1"/>
        </w:rPr>
        <w:t>the lives of people in precarity on an ontological level</w:t>
      </w:r>
      <w:r w:rsidR="009C0067">
        <w:rPr>
          <w:rFonts w:ascii="Garamond" w:hAnsi="Garamond"/>
          <w:kern w:val="1"/>
        </w:rPr>
        <w:t xml:space="preserve"> </w:t>
      </w:r>
      <w:r w:rsidR="009C0067" w:rsidRPr="00AC141C">
        <w:rPr>
          <w:rFonts w:ascii="Garamond" w:hAnsi="Garamond"/>
          <w:lang w:val="en-US"/>
        </w:rPr>
        <w:t>(Giddens 1991,</w:t>
      </w:r>
      <w:r w:rsidR="009C0067">
        <w:rPr>
          <w:rFonts w:ascii="Garamond" w:hAnsi="Garamond"/>
          <w:lang w:val="en-US"/>
        </w:rPr>
        <w:t xml:space="preserve"> Laing 2010, Philo 2014)</w:t>
      </w:r>
      <w:r w:rsidR="00D60A15">
        <w:rPr>
          <w:rFonts w:ascii="Garamond" w:hAnsi="Garamond"/>
          <w:kern w:val="1"/>
        </w:rPr>
        <w:t xml:space="preserve">. </w:t>
      </w:r>
    </w:p>
    <w:p w14:paraId="15AA5BE9" w14:textId="77777777" w:rsidR="00D60A15" w:rsidRDefault="00D60A15" w:rsidP="00D60A15">
      <w:pPr>
        <w:spacing w:line="480" w:lineRule="auto"/>
        <w:rPr>
          <w:rFonts w:ascii="Garamond" w:hAnsi="Garamond"/>
          <w:kern w:val="1"/>
        </w:rPr>
      </w:pPr>
    </w:p>
    <w:p w14:paraId="4394B61D" w14:textId="4ED4A765" w:rsidR="00D60A15" w:rsidRDefault="003112FF" w:rsidP="00D60A15">
      <w:pPr>
        <w:spacing w:line="480" w:lineRule="auto"/>
        <w:rPr>
          <w:rFonts w:ascii="Garamond" w:hAnsi="Garamond"/>
          <w:kern w:val="1"/>
        </w:rPr>
      </w:pPr>
      <w:r>
        <w:rPr>
          <w:rFonts w:ascii="Garamond" w:hAnsi="Garamond"/>
          <w:kern w:val="1"/>
        </w:rPr>
        <w:t>Beyond the everyday lives of service at the soup kitchen the paper also described the political speech which took place there</w:t>
      </w:r>
      <w:r w:rsidR="00D60A15">
        <w:rPr>
          <w:rFonts w:ascii="Garamond" w:hAnsi="Garamond"/>
          <w:kern w:val="1"/>
        </w:rPr>
        <w:t xml:space="preserve">. </w:t>
      </w:r>
      <w:r>
        <w:rPr>
          <w:rFonts w:ascii="Garamond" w:hAnsi="Garamond"/>
          <w:kern w:val="1"/>
        </w:rPr>
        <w:t>This political speech extended beyond</w:t>
      </w:r>
      <w:r w:rsidR="00D60A15">
        <w:rPr>
          <w:rFonts w:ascii="Garamond" w:hAnsi="Garamond"/>
          <w:kern w:val="1"/>
        </w:rPr>
        <w:t xml:space="preserve"> </w:t>
      </w:r>
      <w:r>
        <w:rPr>
          <w:rFonts w:ascii="Garamond" w:hAnsi="Garamond"/>
          <w:kern w:val="1"/>
        </w:rPr>
        <w:t>a</w:t>
      </w:r>
      <w:r w:rsidR="00D60A15">
        <w:rPr>
          <w:rFonts w:ascii="Garamond" w:hAnsi="Garamond"/>
          <w:kern w:val="1"/>
        </w:rPr>
        <w:t xml:space="preserve"> claustrophobically bounded life on the edge into a set of explanatory narratives which deploy conspiratorial tropes to try to claim a knowledge about the state and </w:t>
      </w:r>
      <w:r>
        <w:rPr>
          <w:rFonts w:ascii="Garamond" w:hAnsi="Garamond"/>
          <w:kern w:val="1"/>
        </w:rPr>
        <w:t>the lives of service users</w:t>
      </w:r>
      <w:r w:rsidR="001B4F54">
        <w:rPr>
          <w:rFonts w:ascii="Garamond" w:hAnsi="Garamond"/>
          <w:kern w:val="1"/>
        </w:rPr>
        <w:t xml:space="preserve">. </w:t>
      </w:r>
      <w:r w:rsidR="009C0067">
        <w:rPr>
          <w:rFonts w:ascii="Garamond" w:hAnsi="Garamond"/>
          <w:kern w:val="1"/>
        </w:rPr>
        <w:t xml:space="preserve">An escape from </w:t>
      </w:r>
      <w:r w:rsidR="00D60A15">
        <w:rPr>
          <w:rFonts w:ascii="Garamond" w:hAnsi="Garamond"/>
          <w:kern w:val="1"/>
        </w:rPr>
        <w:t xml:space="preserve">the </w:t>
      </w:r>
      <w:r w:rsidR="009C0067">
        <w:rPr>
          <w:rFonts w:ascii="Garamond" w:hAnsi="Garamond"/>
          <w:kern w:val="1"/>
        </w:rPr>
        <w:t>‘</w:t>
      </w:r>
      <w:r w:rsidR="00D60A15">
        <w:rPr>
          <w:rFonts w:ascii="Garamond" w:hAnsi="Garamond"/>
          <w:kern w:val="1"/>
        </w:rPr>
        <w:t>choice architecture</w:t>
      </w:r>
      <w:r w:rsidR="009C0067">
        <w:rPr>
          <w:rFonts w:ascii="Garamond" w:hAnsi="Garamond"/>
          <w:kern w:val="1"/>
        </w:rPr>
        <w:t xml:space="preserve">’ </w:t>
      </w:r>
      <w:r w:rsidR="009C0067">
        <w:rPr>
          <w:rFonts w:ascii="Garamond" w:hAnsi="Garamond"/>
          <w:lang w:eastAsia="en-GB"/>
        </w:rPr>
        <w:t>(Whitehead et al. 2011)</w:t>
      </w:r>
      <w:r w:rsidR="00D60A15">
        <w:rPr>
          <w:rFonts w:ascii="Garamond" w:hAnsi="Garamond"/>
          <w:kern w:val="1"/>
        </w:rPr>
        <w:t xml:space="preserve"> which the state imagines for the marginalised. </w:t>
      </w:r>
      <w:r>
        <w:rPr>
          <w:rFonts w:ascii="Garamond" w:hAnsi="Garamond"/>
          <w:kern w:val="1"/>
        </w:rPr>
        <w:t>This research rejected the easy logic that conspiracy theories are</w:t>
      </w:r>
      <w:r w:rsidR="00D60A15">
        <w:rPr>
          <w:rFonts w:ascii="Garamond" w:hAnsi="Garamond"/>
          <w:kern w:val="1"/>
        </w:rPr>
        <w:t xml:space="preserve"> ‘irrational’ </w:t>
      </w:r>
      <w:r>
        <w:rPr>
          <w:rFonts w:ascii="Garamond" w:hAnsi="Garamond"/>
          <w:kern w:val="1"/>
        </w:rPr>
        <w:t xml:space="preserve">and identified them as </w:t>
      </w:r>
      <w:r w:rsidR="00D60A15">
        <w:rPr>
          <w:rFonts w:ascii="Garamond" w:hAnsi="Garamond"/>
          <w:kern w:val="1"/>
        </w:rPr>
        <w:t xml:space="preserve"> discursive strategies</w:t>
      </w:r>
      <w:r w:rsidR="002D6696">
        <w:rPr>
          <w:rFonts w:ascii="Garamond" w:hAnsi="Garamond"/>
          <w:kern w:val="1"/>
        </w:rPr>
        <w:t xml:space="preserve"> with</w:t>
      </w:r>
      <w:r w:rsidR="00D60A15">
        <w:rPr>
          <w:rFonts w:ascii="Garamond" w:hAnsi="Garamond"/>
          <w:kern w:val="1"/>
        </w:rPr>
        <w:t xml:space="preserve"> which </w:t>
      </w:r>
      <w:r w:rsidR="002D6696">
        <w:rPr>
          <w:rFonts w:ascii="Garamond" w:hAnsi="Garamond"/>
          <w:kern w:val="1"/>
        </w:rPr>
        <w:t xml:space="preserve">soup kitchen service users </w:t>
      </w:r>
      <w:r w:rsidR="00D60A15">
        <w:rPr>
          <w:rFonts w:ascii="Garamond" w:hAnsi="Garamond"/>
          <w:kern w:val="1"/>
        </w:rPr>
        <w:t xml:space="preserve">sought to account for the multi-scalar aspects of </w:t>
      </w:r>
      <w:r>
        <w:rPr>
          <w:rFonts w:ascii="Garamond" w:hAnsi="Garamond"/>
          <w:kern w:val="1"/>
        </w:rPr>
        <w:t>society</w:t>
      </w:r>
      <w:r w:rsidR="00D60A15">
        <w:rPr>
          <w:rFonts w:ascii="Garamond" w:hAnsi="Garamond"/>
          <w:kern w:val="1"/>
        </w:rPr>
        <w:t xml:space="preserve">. </w:t>
      </w:r>
    </w:p>
    <w:p w14:paraId="57F850E6" w14:textId="6C4476F8" w:rsidR="00747E88" w:rsidRDefault="00747E88" w:rsidP="00F27620"/>
    <w:p w14:paraId="5B03FA94" w14:textId="77777777" w:rsidR="00DE48A3" w:rsidRDefault="00DE48A3" w:rsidP="00F27620">
      <w:pPr>
        <w:spacing w:line="480" w:lineRule="auto"/>
        <w:rPr>
          <w:rFonts w:ascii="Garamond" w:hAnsi="Garamond"/>
          <w:kern w:val="1"/>
        </w:rPr>
      </w:pPr>
    </w:p>
    <w:p w14:paraId="5D8C966A" w14:textId="377F9CC4" w:rsidR="00DE48A3" w:rsidRDefault="00D65076" w:rsidP="00DE48A3">
      <w:pPr>
        <w:spacing w:line="480" w:lineRule="auto"/>
        <w:rPr>
          <w:rFonts w:ascii="Garamond" w:hAnsi="Garamond"/>
          <w:kern w:val="1"/>
        </w:rPr>
      </w:pPr>
      <w:r w:rsidRPr="009B7A4A">
        <w:rPr>
          <w:rFonts w:ascii="Garamond" w:hAnsi="Garamond"/>
          <w:kern w:val="1"/>
        </w:rPr>
        <w:t xml:space="preserve"> </w:t>
      </w:r>
      <w:r w:rsidR="00DE48A3">
        <w:rPr>
          <w:rFonts w:ascii="Garamond" w:hAnsi="Garamond"/>
          <w:kern w:val="1"/>
        </w:rPr>
        <w:t>Through the technology of behaviour change theory</w:t>
      </w:r>
      <w:r w:rsidR="00747E88">
        <w:rPr>
          <w:rFonts w:ascii="Garamond" w:hAnsi="Garamond"/>
          <w:kern w:val="1"/>
        </w:rPr>
        <w:t xml:space="preserve"> the</w:t>
      </w:r>
      <w:r w:rsidR="002D6696">
        <w:rPr>
          <w:rFonts w:ascii="Garamond" w:hAnsi="Garamond"/>
          <w:kern w:val="1"/>
        </w:rPr>
        <w:t xml:space="preserve"> British</w:t>
      </w:r>
      <w:r w:rsidR="00747E88">
        <w:rPr>
          <w:rFonts w:ascii="Garamond" w:hAnsi="Garamond"/>
          <w:kern w:val="1"/>
        </w:rPr>
        <w:t xml:space="preserve"> government is </w:t>
      </w:r>
      <w:r w:rsidR="003112FF">
        <w:rPr>
          <w:rFonts w:ascii="Garamond" w:hAnsi="Garamond"/>
          <w:kern w:val="1"/>
        </w:rPr>
        <w:t xml:space="preserve">creating </w:t>
      </w:r>
      <w:r w:rsidR="00747E88">
        <w:rPr>
          <w:rFonts w:ascii="Garamond" w:hAnsi="Garamond"/>
          <w:kern w:val="1"/>
        </w:rPr>
        <w:t>territory in the close</w:t>
      </w:r>
      <w:r w:rsidR="00870C96">
        <w:rPr>
          <w:rFonts w:ascii="Garamond" w:hAnsi="Garamond"/>
          <w:kern w:val="1"/>
        </w:rPr>
        <w:t>-</w:t>
      </w:r>
      <w:r w:rsidR="00747E88">
        <w:rPr>
          <w:rFonts w:ascii="Garamond" w:hAnsi="Garamond"/>
          <w:kern w:val="1"/>
        </w:rPr>
        <w:t>in geographies of everyday life</w:t>
      </w:r>
      <w:r w:rsidR="009C0067">
        <w:rPr>
          <w:rFonts w:ascii="Garamond" w:hAnsi="Garamond"/>
          <w:kern w:val="1"/>
        </w:rPr>
        <w:t xml:space="preserve"> </w:t>
      </w:r>
      <w:r w:rsidR="009C0067" w:rsidRPr="009B7A4A">
        <w:rPr>
          <w:rFonts w:ascii="Garamond" w:hAnsi="Garamond"/>
        </w:rPr>
        <w:t>(</w:t>
      </w:r>
      <w:r w:rsidR="009C0067">
        <w:rPr>
          <w:rFonts w:ascii="Garamond" w:hAnsi="Garamond"/>
        </w:rPr>
        <w:t xml:space="preserve">Whitehead et al. </w:t>
      </w:r>
      <w:r w:rsidR="009C0067" w:rsidRPr="009B7A4A">
        <w:rPr>
          <w:rFonts w:ascii="Garamond" w:hAnsi="Garamond"/>
        </w:rPr>
        <w:t>2011:2819)</w:t>
      </w:r>
      <w:r w:rsidR="009C0067">
        <w:rPr>
          <w:rFonts w:ascii="Garamond" w:hAnsi="Garamond"/>
        </w:rPr>
        <w:t>.</w:t>
      </w:r>
      <w:r w:rsidR="009C0067">
        <w:rPr>
          <w:rFonts w:ascii="Garamond" w:hAnsi="Garamond"/>
          <w:kern w:val="1"/>
        </w:rPr>
        <w:t xml:space="preserve"> C</w:t>
      </w:r>
      <w:r w:rsidR="00870C96">
        <w:rPr>
          <w:rFonts w:ascii="Garamond" w:hAnsi="Garamond"/>
          <w:kern w:val="1"/>
        </w:rPr>
        <w:t>on</w:t>
      </w:r>
      <w:r w:rsidR="006D799A">
        <w:rPr>
          <w:rFonts w:ascii="Garamond" w:hAnsi="Garamond"/>
          <w:kern w:val="1"/>
        </w:rPr>
        <w:t>sequently</w:t>
      </w:r>
      <w:r w:rsidR="002D6696">
        <w:rPr>
          <w:rFonts w:ascii="Garamond" w:hAnsi="Garamond"/>
          <w:kern w:val="1"/>
        </w:rPr>
        <w:t>,</w:t>
      </w:r>
      <w:r w:rsidR="006D799A">
        <w:rPr>
          <w:rFonts w:ascii="Garamond" w:hAnsi="Garamond"/>
          <w:kern w:val="1"/>
        </w:rPr>
        <w:t xml:space="preserve"> a</w:t>
      </w:r>
      <w:r w:rsidR="00F83E3F" w:rsidRPr="009B7A4A">
        <w:rPr>
          <w:rFonts w:ascii="Garamond" w:hAnsi="Garamond"/>
          <w:kern w:val="1"/>
        </w:rPr>
        <w:t xml:space="preserve"> </w:t>
      </w:r>
      <w:r w:rsidR="00C044DA">
        <w:rPr>
          <w:rFonts w:ascii="Garamond" w:hAnsi="Garamond"/>
          <w:kern w:val="1"/>
        </w:rPr>
        <w:t xml:space="preserve">critical </w:t>
      </w:r>
      <w:r w:rsidR="00F83E3F" w:rsidRPr="009B7A4A">
        <w:rPr>
          <w:rFonts w:ascii="Garamond" w:hAnsi="Garamond"/>
          <w:kern w:val="1"/>
        </w:rPr>
        <w:t xml:space="preserve">geography of poverty must attend to the </w:t>
      </w:r>
      <w:r w:rsidR="008714AE" w:rsidRPr="009B7A4A">
        <w:rPr>
          <w:rFonts w:ascii="Garamond" w:hAnsi="Garamond"/>
          <w:kern w:val="1"/>
        </w:rPr>
        <w:t>subjectivities</w:t>
      </w:r>
      <w:r w:rsidR="00870C96">
        <w:rPr>
          <w:rFonts w:ascii="Garamond" w:hAnsi="Garamond"/>
          <w:kern w:val="1"/>
        </w:rPr>
        <w:t>,</w:t>
      </w:r>
      <w:r w:rsidR="008714AE" w:rsidRPr="009B7A4A">
        <w:rPr>
          <w:rFonts w:ascii="Garamond" w:hAnsi="Garamond"/>
          <w:kern w:val="1"/>
        </w:rPr>
        <w:t xml:space="preserve"> as well as the places</w:t>
      </w:r>
      <w:r w:rsidR="00870C96">
        <w:rPr>
          <w:rFonts w:ascii="Garamond" w:hAnsi="Garamond"/>
          <w:kern w:val="1"/>
        </w:rPr>
        <w:t>,</w:t>
      </w:r>
      <w:r w:rsidR="008714AE" w:rsidRPr="009B7A4A">
        <w:rPr>
          <w:rFonts w:ascii="Garamond" w:hAnsi="Garamond"/>
          <w:kern w:val="1"/>
        </w:rPr>
        <w:t xml:space="preserve"> produced by precarious conditions</w:t>
      </w:r>
      <w:r w:rsidR="00F83E3F" w:rsidRPr="009B7A4A">
        <w:rPr>
          <w:rFonts w:ascii="Garamond" w:hAnsi="Garamond"/>
          <w:kern w:val="1"/>
        </w:rPr>
        <w:t xml:space="preserve">. </w:t>
      </w:r>
      <w:r w:rsidR="00DE48A3">
        <w:rPr>
          <w:rFonts w:ascii="Garamond" w:hAnsi="Garamond"/>
          <w:kern w:val="1"/>
        </w:rPr>
        <w:t>This paper challenges those doing research in such spaces of precarity to recognise the conspiracy theory as a spatial and social device</w:t>
      </w:r>
      <w:r w:rsidR="009C0067">
        <w:rPr>
          <w:rFonts w:ascii="Garamond" w:hAnsi="Garamond"/>
          <w:kern w:val="1"/>
        </w:rPr>
        <w:t>, one whereby those who are treated as ‘irrational’</w:t>
      </w:r>
      <w:r w:rsidR="003112FF">
        <w:rPr>
          <w:rFonts w:ascii="Garamond" w:hAnsi="Garamond"/>
          <w:kern w:val="1"/>
        </w:rPr>
        <w:t xml:space="preserve"> can</w:t>
      </w:r>
      <w:r w:rsidR="009C0067">
        <w:rPr>
          <w:rFonts w:ascii="Garamond" w:hAnsi="Garamond"/>
          <w:kern w:val="1"/>
        </w:rPr>
        <w:t xml:space="preserve"> claim knowledge that circumvents those discourses which malign them. </w:t>
      </w:r>
    </w:p>
    <w:p w14:paraId="608C9144" w14:textId="77777777" w:rsidR="00DE48A3" w:rsidRDefault="00DE48A3" w:rsidP="00DE48A3">
      <w:pPr>
        <w:spacing w:line="480" w:lineRule="auto"/>
        <w:rPr>
          <w:rFonts w:ascii="Garamond" w:hAnsi="Garamond"/>
          <w:kern w:val="1"/>
        </w:rPr>
      </w:pPr>
    </w:p>
    <w:p w14:paraId="3ED32208" w14:textId="58CDDDE7" w:rsidR="009E1DAA" w:rsidRDefault="00DE48A3" w:rsidP="00DE48A3">
      <w:pPr>
        <w:spacing w:line="480" w:lineRule="auto"/>
        <w:rPr>
          <w:rFonts w:ascii="Garamond" w:hAnsi="Garamond"/>
          <w:kern w:val="1"/>
        </w:rPr>
      </w:pPr>
      <w:r>
        <w:rPr>
          <w:rFonts w:ascii="Garamond" w:hAnsi="Garamond"/>
          <w:kern w:val="1"/>
        </w:rPr>
        <w:t xml:space="preserve">Life on the edge is not just materially precarious but also ontologically </w:t>
      </w:r>
      <w:r w:rsidR="003112FF">
        <w:rPr>
          <w:rFonts w:ascii="Garamond" w:hAnsi="Garamond"/>
          <w:kern w:val="1"/>
        </w:rPr>
        <w:t>so,</w:t>
      </w:r>
      <w:r>
        <w:rPr>
          <w:rFonts w:ascii="Garamond" w:hAnsi="Garamond"/>
          <w:kern w:val="1"/>
        </w:rPr>
        <w:t xml:space="preserve"> this is because the state appears to feel no imperative to account for autonomous actors on the edge of society; it is instead prepared to conceptualise precarity as nothing more than bare life </w:t>
      </w:r>
      <w:r w:rsidRPr="009B7A4A">
        <w:rPr>
          <w:rFonts w:ascii="Garamond" w:hAnsi="Garamond"/>
          <w:kern w:val="1"/>
        </w:rPr>
        <w:t>(Agamben 1998).</w:t>
      </w:r>
      <w:r>
        <w:rPr>
          <w:rFonts w:ascii="Garamond" w:hAnsi="Garamond"/>
          <w:kern w:val="1"/>
        </w:rPr>
        <w:t xml:space="preserve"> Ethnographic research which focuses on the most intimate and small</w:t>
      </w:r>
      <w:r w:rsidR="00E64F90">
        <w:rPr>
          <w:rFonts w:ascii="Garamond" w:hAnsi="Garamond"/>
          <w:kern w:val="1"/>
        </w:rPr>
        <w:t>-</w:t>
      </w:r>
      <w:r>
        <w:rPr>
          <w:rFonts w:ascii="Garamond" w:hAnsi="Garamond"/>
          <w:kern w:val="1"/>
        </w:rPr>
        <w:t xml:space="preserve">scale geographies of </w:t>
      </w:r>
      <w:r>
        <w:rPr>
          <w:rFonts w:ascii="Garamond" w:hAnsi="Garamond"/>
          <w:kern w:val="1"/>
        </w:rPr>
        <w:lastRenderedPageBreak/>
        <w:t>precarity</w:t>
      </w:r>
      <w:r w:rsidR="00E64F90">
        <w:rPr>
          <w:rFonts w:ascii="Garamond" w:hAnsi="Garamond"/>
          <w:kern w:val="1"/>
        </w:rPr>
        <w:t xml:space="preserve"> </w:t>
      </w:r>
      <w:r>
        <w:rPr>
          <w:rFonts w:ascii="Garamond" w:hAnsi="Garamond"/>
          <w:kern w:val="1"/>
        </w:rPr>
        <w:t xml:space="preserve">has the potential to reconnect these </w:t>
      </w:r>
      <w:r w:rsidR="000C7280">
        <w:rPr>
          <w:rFonts w:ascii="Garamond" w:hAnsi="Garamond"/>
          <w:kern w:val="1"/>
        </w:rPr>
        <w:t>marginal</w:t>
      </w:r>
      <w:r>
        <w:rPr>
          <w:rFonts w:ascii="Garamond" w:hAnsi="Garamond"/>
          <w:kern w:val="1"/>
        </w:rPr>
        <w:t xml:space="preserve"> geographies to the complex multi-scalar geographies of political speech and policy making. </w:t>
      </w:r>
      <w:r w:rsidR="003112FF">
        <w:rPr>
          <w:rFonts w:ascii="Garamond" w:hAnsi="Garamond"/>
          <w:kern w:val="1"/>
        </w:rPr>
        <w:t>Both</w:t>
      </w:r>
      <w:r>
        <w:rPr>
          <w:rFonts w:ascii="Garamond" w:hAnsi="Garamond"/>
          <w:kern w:val="1"/>
        </w:rPr>
        <w:t xml:space="preserve"> behavioural psychology and conspiracy theor</w:t>
      </w:r>
      <w:r w:rsidR="003112FF">
        <w:rPr>
          <w:rFonts w:ascii="Garamond" w:hAnsi="Garamond"/>
          <w:kern w:val="1"/>
        </w:rPr>
        <w:t>y perform a spatial contortion</w:t>
      </w:r>
      <w:r>
        <w:rPr>
          <w:rFonts w:ascii="Garamond" w:hAnsi="Garamond"/>
          <w:kern w:val="1"/>
        </w:rPr>
        <w:t xml:space="preserve"> </w:t>
      </w:r>
      <w:r w:rsidR="003112FF">
        <w:rPr>
          <w:rFonts w:ascii="Garamond" w:hAnsi="Garamond"/>
          <w:kern w:val="1"/>
        </w:rPr>
        <w:t>attempting</w:t>
      </w:r>
      <w:r>
        <w:rPr>
          <w:rFonts w:ascii="Garamond" w:hAnsi="Garamond"/>
          <w:kern w:val="1"/>
        </w:rPr>
        <w:t xml:space="preserve"> to operate across both the furthest out and closest in scales of society</w:t>
      </w:r>
      <w:r w:rsidR="003112FF">
        <w:rPr>
          <w:rFonts w:ascii="Garamond" w:hAnsi="Garamond"/>
          <w:kern w:val="1"/>
        </w:rPr>
        <w:t>. This</w:t>
      </w:r>
      <w:r>
        <w:rPr>
          <w:rFonts w:ascii="Garamond" w:hAnsi="Garamond"/>
          <w:kern w:val="1"/>
        </w:rPr>
        <w:t xml:space="preserve"> require</w:t>
      </w:r>
      <w:r w:rsidR="003112FF">
        <w:rPr>
          <w:rFonts w:ascii="Garamond" w:hAnsi="Garamond"/>
          <w:kern w:val="1"/>
        </w:rPr>
        <w:t>s</w:t>
      </w:r>
      <w:r>
        <w:rPr>
          <w:rFonts w:ascii="Garamond" w:hAnsi="Garamond"/>
          <w:kern w:val="1"/>
        </w:rPr>
        <w:t xml:space="preserve"> an ambitious empirical response</w:t>
      </w:r>
      <w:r w:rsidR="009C0067">
        <w:rPr>
          <w:rFonts w:ascii="Garamond" w:hAnsi="Garamond"/>
          <w:kern w:val="1"/>
        </w:rPr>
        <w:t>: one</w:t>
      </w:r>
      <w:r>
        <w:rPr>
          <w:rFonts w:ascii="Garamond" w:hAnsi="Garamond"/>
          <w:kern w:val="1"/>
        </w:rPr>
        <w:t xml:space="preserve"> which works to similarly contort our sense of </w:t>
      </w:r>
      <w:r w:rsidR="00026648">
        <w:rPr>
          <w:rFonts w:ascii="Garamond" w:hAnsi="Garamond"/>
          <w:kern w:val="1"/>
        </w:rPr>
        <w:t xml:space="preserve">how the large scale relates to the small scale, and build data which accommodates such complex spatial configurations. </w:t>
      </w:r>
    </w:p>
    <w:p w14:paraId="1B977245" w14:textId="1C077957" w:rsidR="00DE48A3" w:rsidRDefault="00DE48A3" w:rsidP="00DE48A3">
      <w:pPr>
        <w:spacing w:line="480" w:lineRule="auto"/>
        <w:rPr>
          <w:rFonts w:ascii="Garamond" w:hAnsi="Garamond"/>
          <w:kern w:val="1"/>
        </w:rPr>
      </w:pPr>
    </w:p>
    <w:p w14:paraId="65C6C1E4" w14:textId="2D671C18" w:rsidR="00DE48A3" w:rsidRDefault="00DE48A3" w:rsidP="00DE48A3">
      <w:pPr>
        <w:spacing w:line="480" w:lineRule="auto"/>
        <w:rPr>
          <w:rFonts w:ascii="Garamond" w:hAnsi="Garamond"/>
          <w:kern w:val="1"/>
        </w:rPr>
      </w:pPr>
      <w:r>
        <w:rPr>
          <w:rFonts w:ascii="Garamond" w:hAnsi="Garamond"/>
          <w:kern w:val="1"/>
        </w:rPr>
        <w:t>In an era of fake news and alternative truths geographers must attend closely to forms of political speech which attempt to reshape the reality of the world. This should not simply take the form of fact</w:t>
      </w:r>
      <w:r w:rsidR="00E64F90">
        <w:rPr>
          <w:rFonts w:ascii="Garamond" w:hAnsi="Garamond"/>
          <w:kern w:val="1"/>
        </w:rPr>
        <w:t>-</w:t>
      </w:r>
      <w:r>
        <w:rPr>
          <w:rFonts w:ascii="Garamond" w:hAnsi="Garamond"/>
          <w:kern w:val="1"/>
        </w:rPr>
        <w:t>checking, but</w:t>
      </w:r>
      <w:r w:rsidR="001B4F54">
        <w:rPr>
          <w:rFonts w:ascii="Garamond" w:hAnsi="Garamond"/>
          <w:kern w:val="1"/>
        </w:rPr>
        <w:t xml:space="preserve"> should</w:t>
      </w:r>
      <w:r>
        <w:rPr>
          <w:rFonts w:ascii="Garamond" w:hAnsi="Garamond"/>
          <w:kern w:val="1"/>
        </w:rPr>
        <w:t xml:space="preserve"> engage directly with the social and political conditions in which such apparently ‘irrational’ narratives are produced. In particular, as with the conspiracy theory literature cited already here, we should not settle for a geopolitical scale without attending in detail to the circulation and life of these narratives. </w:t>
      </w:r>
      <w:r w:rsidR="001B4F54">
        <w:rPr>
          <w:rFonts w:ascii="Garamond" w:hAnsi="Garamond"/>
          <w:kern w:val="1"/>
        </w:rPr>
        <w:t>Equally</w:t>
      </w:r>
      <w:r w:rsidR="00E64F90">
        <w:rPr>
          <w:rFonts w:ascii="Garamond" w:hAnsi="Garamond"/>
          <w:kern w:val="1"/>
        </w:rPr>
        <w:t>,</w:t>
      </w:r>
      <w:r w:rsidR="001B4F54">
        <w:rPr>
          <w:rFonts w:ascii="Garamond" w:hAnsi="Garamond"/>
          <w:kern w:val="1"/>
        </w:rPr>
        <w:t xml:space="preserve"> where we focus on the lives of the marginalised, we must not assume that they do not conceptualise their everyday lives in terms of larger scale political forces. </w:t>
      </w:r>
    </w:p>
    <w:p w14:paraId="372B9EBF" w14:textId="1F75C3F4" w:rsidR="00D60A15" w:rsidRDefault="00D60A15" w:rsidP="00DE48A3">
      <w:pPr>
        <w:spacing w:line="480" w:lineRule="auto"/>
        <w:rPr>
          <w:rFonts w:ascii="Garamond" w:hAnsi="Garamond"/>
          <w:kern w:val="1"/>
        </w:rPr>
      </w:pPr>
    </w:p>
    <w:p w14:paraId="03EB34D2" w14:textId="4C7A15CB" w:rsidR="00D60A15" w:rsidRDefault="00E00883" w:rsidP="00E00883">
      <w:pPr>
        <w:spacing w:line="480" w:lineRule="auto"/>
        <w:ind w:left="720"/>
        <w:rPr>
          <w:rFonts w:ascii="Garamond" w:hAnsi="Garamond"/>
          <w:kern w:val="1"/>
        </w:rPr>
      </w:pPr>
      <w:r w:rsidRPr="00E00883">
        <w:rPr>
          <w:rFonts w:ascii="Garamond" w:hAnsi="Garamond"/>
          <w:i/>
          <w:kern w:val="1"/>
        </w:rPr>
        <w:t>One problem with governing via mood is that there is no precise way of controlling who you affect and how. It’s no good saying that the innocent have nothing to fear: fear doesn’t work like that</w:t>
      </w:r>
      <w:r>
        <w:rPr>
          <w:rFonts w:ascii="Garamond" w:hAnsi="Garamond"/>
          <w:kern w:val="1"/>
        </w:rPr>
        <w:t xml:space="preserve"> (Davies 2018:13)</w:t>
      </w:r>
    </w:p>
    <w:p w14:paraId="53F59043" w14:textId="2F0E6E4B" w:rsidR="007056FA" w:rsidRDefault="00E00883" w:rsidP="00F27620">
      <w:pPr>
        <w:spacing w:line="480" w:lineRule="auto"/>
        <w:rPr>
          <w:rFonts w:ascii="Garamond" w:hAnsi="Garamond"/>
          <w:kern w:val="1"/>
        </w:rPr>
      </w:pPr>
      <w:r>
        <w:rPr>
          <w:rFonts w:ascii="Garamond" w:hAnsi="Garamond"/>
          <w:kern w:val="1"/>
        </w:rPr>
        <w:t xml:space="preserve">In an article in the </w:t>
      </w:r>
      <w:r w:rsidRPr="00D60A15">
        <w:rPr>
          <w:rFonts w:ascii="Garamond" w:hAnsi="Garamond"/>
          <w:i/>
          <w:kern w:val="1"/>
        </w:rPr>
        <w:t>London Review of Books</w:t>
      </w:r>
      <w:r>
        <w:rPr>
          <w:rFonts w:ascii="Garamond" w:hAnsi="Garamond"/>
          <w:kern w:val="1"/>
        </w:rPr>
        <w:t xml:space="preserve"> Davies (2018) has reflected on the official policy of a hostile environment towards migrants in Britain and</w:t>
      </w:r>
      <w:r w:rsidR="00E64F90">
        <w:rPr>
          <w:rFonts w:ascii="Garamond" w:hAnsi="Garamond"/>
          <w:kern w:val="1"/>
        </w:rPr>
        <w:t xml:space="preserve"> </w:t>
      </w:r>
      <w:r>
        <w:rPr>
          <w:rFonts w:ascii="Garamond" w:hAnsi="Garamond"/>
          <w:kern w:val="1"/>
        </w:rPr>
        <w:t>its similarities with the ‘nudge’</w:t>
      </w:r>
      <w:r w:rsidR="00E64F90">
        <w:rPr>
          <w:rFonts w:ascii="Garamond" w:hAnsi="Garamond"/>
          <w:kern w:val="1"/>
        </w:rPr>
        <w:t>-</w:t>
      </w:r>
      <w:r>
        <w:rPr>
          <w:rFonts w:ascii="Garamond" w:hAnsi="Garamond"/>
          <w:kern w:val="1"/>
        </w:rPr>
        <w:t>influenced regime of benefit sanctions. The quot</w:t>
      </w:r>
      <w:r w:rsidR="007056FA">
        <w:rPr>
          <w:rFonts w:ascii="Garamond" w:hAnsi="Garamond"/>
          <w:kern w:val="1"/>
        </w:rPr>
        <w:t>ation</w:t>
      </w:r>
      <w:r>
        <w:rPr>
          <w:rFonts w:ascii="Garamond" w:hAnsi="Garamond"/>
          <w:kern w:val="1"/>
        </w:rPr>
        <w:t xml:space="preserve"> above supports the argument made in this paper that interventions into peoples’ lives at the level of behaviour change is not </w:t>
      </w:r>
      <w:r w:rsidR="007056FA">
        <w:rPr>
          <w:rFonts w:ascii="Garamond" w:hAnsi="Garamond"/>
          <w:kern w:val="1"/>
        </w:rPr>
        <w:t>a strategy which is limited to decision making</w:t>
      </w:r>
      <w:r>
        <w:rPr>
          <w:rFonts w:ascii="Garamond" w:hAnsi="Garamond"/>
          <w:kern w:val="1"/>
        </w:rPr>
        <w:t>, rather it</w:t>
      </w:r>
      <w:r w:rsidR="00E64F90">
        <w:rPr>
          <w:rFonts w:ascii="Garamond" w:hAnsi="Garamond"/>
          <w:kern w:val="1"/>
        </w:rPr>
        <w:t xml:space="preserve"> </w:t>
      </w:r>
      <w:r w:rsidR="00026648">
        <w:rPr>
          <w:rFonts w:ascii="Garamond" w:hAnsi="Garamond"/>
          <w:kern w:val="1"/>
        </w:rPr>
        <w:t>produces</w:t>
      </w:r>
      <w:r>
        <w:rPr>
          <w:rFonts w:ascii="Garamond" w:hAnsi="Garamond"/>
          <w:kern w:val="1"/>
        </w:rPr>
        <w:t xml:space="preserve"> a wider atmosphere of fear. In this paper the topic has not been fear </w:t>
      </w:r>
      <w:r w:rsidR="00123DCD">
        <w:rPr>
          <w:rFonts w:ascii="Garamond" w:hAnsi="Garamond"/>
          <w:kern w:val="1"/>
        </w:rPr>
        <w:t>per se,</w:t>
      </w:r>
      <w:r>
        <w:rPr>
          <w:rFonts w:ascii="Garamond" w:hAnsi="Garamond"/>
          <w:kern w:val="1"/>
        </w:rPr>
        <w:t xml:space="preserve"> instead I have argued that the very right to personhood, and the actual ontological security of those who live in precarity is deliberately attacked in order to make </w:t>
      </w:r>
      <w:r>
        <w:rPr>
          <w:rFonts w:ascii="Garamond" w:hAnsi="Garamond"/>
          <w:kern w:val="1"/>
        </w:rPr>
        <w:lastRenderedPageBreak/>
        <w:t xml:space="preserve">territory out of the everyday lives, and bodies, of those who survive with the support of voluntary spaces like the soup kitchen. As researchers, but also as policy makers, we must listen to </w:t>
      </w:r>
      <w:r w:rsidR="00537F1B">
        <w:rPr>
          <w:rFonts w:ascii="Garamond" w:hAnsi="Garamond"/>
          <w:kern w:val="1"/>
        </w:rPr>
        <w:t>the political speech that occurs in these si</w:t>
      </w:r>
      <w:r w:rsidR="00123DCD">
        <w:rPr>
          <w:rFonts w:ascii="Garamond" w:hAnsi="Garamond"/>
          <w:kern w:val="1"/>
        </w:rPr>
        <w:t>te</w:t>
      </w:r>
      <w:r w:rsidR="00537F1B">
        <w:rPr>
          <w:rFonts w:ascii="Garamond" w:hAnsi="Garamond"/>
          <w:kern w:val="1"/>
        </w:rPr>
        <w:t>s. Few moments in my research felt more perspective</w:t>
      </w:r>
      <w:r w:rsidR="00E64F90">
        <w:rPr>
          <w:rFonts w:ascii="Garamond" w:hAnsi="Garamond"/>
          <w:kern w:val="1"/>
        </w:rPr>
        <w:t>–</w:t>
      </w:r>
      <w:r w:rsidR="00537F1B">
        <w:rPr>
          <w:rFonts w:ascii="Garamond" w:hAnsi="Garamond"/>
          <w:kern w:val="1"/>
        </w:rPr>
        <w:t xml:space="preserve">altering than hearing Cynthia say </w:t>
      </w:r>
      <w:r w:rsidR="00123DCD">
        <w:rPr>
          <w:rFonts w:ascii="Garamond" w:hAnsi="Garamond"/>
          <w:kern w:val="1"/>
        </w:rPr>
        <w:t xml:space="preserve">that they probably were trying to get rid of all the poor people. </w:t>
      </w:r>
    </w:p>
    <w:p w14:paraId="04CA01F0" w14:textId="77777777" w:rsidR="007056FA" w:rsidRPr="009B7A4A" w:rsidRDefault="007056FA" w:rsidP="00F27620">
      <w:pPr>
        <w:spacing w:line="480" w:lineRule="auto"/>
        <w:rPr>
          <w:rFonts w:ascii="Garamond" w:hAnsi="Garamond"/>
          <w:kern w:val="1"/>
        </w:rPr>
      </w:pPr>
    </w:p>
    <w:p w14:paraId="4E4C64D7" w14:textId="77777777" w:rsidR="0044200F" w:rsidRDefault="0044200F" w:rsidP="00F27620">
      <w:pPr>
        <w:pStyle w:val="p1"/>
        <w:spacing w:line="480" w:lineRule="auto"/>
        <w:rPr>
          <w:rFonts w:ascii="Garamond" w:hAnsi="Garamond"/>
          <w:sz w:val="24"/>
          <w:szCs w:val="24"/>
          <w:u w:val="single"/>
        </w:rPr>
      </w:pPr>
    </w:p>
    <w:p w14:paraId="29BEBB05" w14:textId="77777777" w:rsidR="00026648" w:rsidRDefault="00026648" w:rsidP="00F27620">
      <w:pPr>
        <w:pStyle w:val="p1"/>
        <w:spacing w:line="480" w:lineRule="auto"/>
        <w:rPr>
          <w:rFonts w:ascii="Garamond" w:hAnsi="Garamond"/>
          <w:sz w:val="24"/>
          <w:szCs w:val="24"/>
          <w:u w:val="single"/>
        </w:rPr>
      </w:pPr>
    </w:p>
    <w:p w14:paraId="06ADA12A" w14:textId="5F71BF24" w:rsidR="0044200F" w:rsidRPr="00D344DD" w:rsidRDefault="0044200F" w:rsidP="00F27620">
      <w:pPr>
        <w:pStyle w:val="p1"/>
        <w:spacing w:line="480" w:lineRule="auto"/>
        <w:rPr>
          <w:rFonts w:ascii="Garamond" w:hAnsi="Garamond"/>
          <w:sz w:val="24"/>
          <w:szCs w:val="24"/>
          <w:u w:val="single"/>
        </w:rPr>
      </w:pPr>
      <w:r w:rsidRPr="00D344DD">
        <w:rPr>
          <w:rFonts w:ascii="Garamond" w:hAnsi="Garamond"/>
          <w:sz w:val="24"/>
          <w:szCs w:val="24"/>
          <w:u w:val="single"/>
        </w:rPr>
        <w:t>Bibliography.</w:t>
      </w:r>
    </w:p>
    <w:p w14:paraId="4E0C81BA" w14:textId="77777777" w:rsidR="0044200F" w:rsidRPr="00D344DD" w:rsidRDefault="0044200F" w:rsidP="00F27620">
      <w:pPr>
        <w:pStyle w:val="p1"/>
        <w:spacing w:line="480" w:lineRule="auto"/>
        <w:ind w:left="426" w:hanging="426"/>
        <w:rPr>
          <w:rFonts w:ascii="Garamond" w:hAnsi="Garamond"/>
          <w:sz w:val="24"/>
          <w:szCs w:val="24"/>
        </w:rPr>
      </w:pPr>
      <w:r>
        <w:rPr>
          <w:rFonts w:ascii="Garamond" w:hAnsi="Garamond"/>
          <w:sz w:val="24"/>
          <w:szCs w:val="24"/>
        </w:rPr>
        <w:t>Agamben, G.,</w:t>
      </w:r>
      <w:r w:rsidRPr="00D344DD">
        <w:rPr>
          <w:rFonts w:ascii="Garamond" w:hAnsi="Garamond"/>
          <w:sz w:val="24"/>
          <w:szCs w:val="24"/>
        </w:rPr>
        <w:t xml:space="preserve"> 1998. Homo Sacer. Trans. Daniel Heller-Roazen. Stanford, Stanford University Press.</w:t>
      </w:r>
    </w:p>
    <w:p w14:paraId="50D9A29F"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Aitken, S.C.</w:t>
      </w:r>
      <w:r>
        <w:rPr>
          <w:rFonts w:ascii="Garamond" w:hAnsi="Garamond"/>
          <w:sz w:val="24"/>
          <w:szCs w:val="24"/>
        </w:rPr>
        <w:t xml:space="preserve">, and Herman, T. 1997. </w:t>
      </w:r>
      <w:r w:rsidRPr="00D344DD">
        <w:rPr>
          <w:rFonts w:ascii="Garamond" w:hAnsi="Garamond"/>
          <w:sz w:val="24"/>
          <w:szCs w:val="24"/>
        </w:rPr>
        <w:t>Gender, power and crib geographies: transitional spaces and potential places.</w:t>
      </w:r>
      <w:r>
        <w:rPr>
          <w:rFonts w:ascii="Garamond" w:hAnsi="Garamond"/>
          <w:sz w:val="24"/>
          <w:szCs w:val="24"/>
        </w:rPr>
        <w:t xml:space="preserve"> </w:t>
      </w:r>
      <w:r w:rsidRPr="00D344DD">
        <w:rPr>
          <w:rFonts w:ascii="Garamond" w:hAnsi="Garamond"/>
          <w:sz w:val="24"/>
          <w:szCs w:val="24"/>
        </w:rPr>
        <w:t>Gender, Place and Culture 4</w:t>
      </w:r>
      <w:r>
        <w:rPr>
          <w:rFonts w:ascii="Garamond" w:hAnsi="Garamond"/>
          <w:sz w:val="24"/>
          <w:szCs w:val="24"/>
        </w:rPr>
        <w:t xml:space="preserve"> (1),</w:t>
      </w:r>
      <w:r w:rsidRPr="00D344DD">
        <w:rPr>
          <w:rFonts w:ascii="Garamond" w:hAnsi="Garamond"/>
          <w:sz w:val="24"/>
          <w:szCs w:val="24"/>
        </w:rPr>
        <w:t xml:space="preserve"> 63-88</w:t>
      </w:r>
    </w:p>
    <w:p w14:paraId="484096BC"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American Friends Service Committee.</w:t>
      </w:r>
      <w:r>
        <w:rPr>
          <w:rFonts w:ascii="Garamond" w:hAnsi="Garamond"/>
          <w:sz w:val="24"/>
          <w:szCs w:val="24"/>
        </w:rPr>
        <w:t>,</w:t>
      </w:r>
      <w:r w:rsidRPr="00D344DD">
        <w:rPr>
          <w:rFonts w:ascii="Garamond" w:hAnsi="Garamond"/>
          <w:sz w:val="24"/>
          <w:szCs w:val="24"/>
        </w:rPr>
        <w:t xml:space="preserve"> 1955. Speak truth to power: a Quaker search for an alternative to violence.</w:t>
      </w:r>
      <w:r>
        <w:rPr>
          <w:rFonts w:ascii="Garamond" w:hAnsi="Garamond"/>
          <w:sz w:val="24"/>
          <w:szCs w:val="24"/>
        </w:rPr>
        <w:t xml:space="preserve"> </w:t>
      </w:r>
      <w:r w:rsidRPr="00D344DD">
        <w:rPr>
          <w:rFonts w:ascii="Garamond" w:hAnsi="Garamond"/>
          <w:sz w:val="24"/>
          <w:szCs w:val="24"/>
        </w:rPr>
        <w:t>American Friends Service Committee</w:t>
      </w:r>
      <w:r>
        <w:rPr>
          <w:rFonts w:ascii="Garamond" w:hAnsi="Garamond"/>
          <w:sz w:val="24"/>
          <w:szCs w:val="24"/>
        </w:rPr>
        <w:t>, Philadelphia.</w:t>
      </w:r>
      <w:r w:rsidRPr="00D344DD">
        <w:rPr>
          <w:rFonts w:ascii="Garamond" w:hAnsi="Garamond"/>
          <w:sz w:val="24"/>
          <w:szCs w:val="24"/>
        </w:rPr>
        <w:t xml:space="preserve"> </w:t>
      </w:r>
    </w:p>
    <w:p w14:paraId="3F857AA4" w14:textId="32312CDD" w:rsidR="0044200F" w:rsidRPr="00D344DD" w:rsidRDefault="0044200F" w:rsidP="00DE48A3">
      <w:pPr>
        <w:pStyle w:val="p1"/>
        <w:spacing w:line="480" w:lineRule="auto"/>
        <w:ind w:left="426" w:hanging="426"/>
        <w:rPr>
          <w:rFonts w:ascii="Garamond" w:hAnsi="Garamond"/>
          <w:sz w:val="24"/>
          <w:szCs w:val="24"/>
        </w:rPr>
      </w:pPr>
      <w:r w:rsidRPr="00D344DD">
        <w:rPr>
          <w:rFonts w:ascii="Garamond" w:hAnsi="Garamond"/>
          <w:sz w:val="24"/>
          <w:szCs w:val="24"/>
        </w:rPr>
        <w:t>Back, L</w:t>
      </w:r>
      <w:r>
        <w:rPr>
          <w:rFonts w:ascii="Garamond" w:hAnsi="Garamond"/>
          <w:sz w:val="24"/>
          <w:szCs w:val="24"/>
        </w:rPr>
        <w:t xml:space="preserve">., </w:t>
      </w:r>
      <w:r w:rsidRPr="00D344DD">
        <w:rPr>
          <w:rFonts w:ascii="Garamond" w:hAnsi="Garamond"/>
          <w:sz w:val="24"/>
          <w:szCs w:val="24"/>
        </w:rPr>
        <w:t xml:space="preserve">1996. New Ethnicities </w:t>
      </w:r>
      <w:r>
        <w:rPr>
          <w:rFonts w:ascii="Garamond" w:hAnsi="Garamond"/>
          <w:sz w:val="24"/>
          <w:szCs w:val="24"/>
        </w:rPr>
        <w:t>a</w:t>
      </w:r>
      <w:r w:rsidRPr="00D344DD">
        <w:rPr>
          <w:rFonts w:ascii="Garamond" w:hAnsi="Garamond"/>
          <w:sz w:val="24"/>
          <w:szCs w:val="24"/>
        </w:rPr>
        <w:t>nd Urban Culture. Routledge</w:t>
      </w:r>
      <w:r>
        <w:rPr>
          <w:rFonts w:ascii="Garamond" w:hAnsi="Garamond"/>
          <w:sz w:val="24"/>
          <w:szCs w:val="24"/>
        </w:rPr>
        <w:t>, London</w:t>
      </w:r>
      <w:r w:rsidRPr="00D344DD">
        <w:rPr>
          <w:rFonts w:ascii="Garamond" w:hAnsi="Garamond"/>
          <w:sz w:val="24"/>
          <w:szCs w:val="24"/>
        </w:rPr>
        <w:t>.</w:t>
      </w:r>
    </w:p>
    <w:p w14:paraId="7EBEC9D4" w14:textId="7B74B2F1" w:rsidR="0044200F" w:rsidRDefault="0044200F" w:rsidP="00F27620">
      <w:pPr>
        <w:spacing w:line="480" w:lineRule="auto"/>
        <w:ind w:left="426" w:hanging="426"/>
        <w:rPr>
          <w:rFonts w:ascii="Garamond" w:eastAsia="Times New Roman" w:hAnsi="Garamond" w:cs="Times New Roman"/>
          <w:lang w:eastAsia="en-GB"/>
        </w:rPr>
      </w:pPr>
      <w:r>
        <w:rPr>
          <w:rFonts w:ascii="Garamond" w:eastAsia="Times New Roman" w:hAnsi="Garamond" w:cs="Times New Roman"/>
          <w:lang w:eastAsia="en-GB"/>
        </w:rPr>
        <w:t>Bondi, L.,</w:t>
      </w:r>
      <w:r w:rsidRPr="00D344DD">
        <w:rPr>
          <w:rFonts w:ascii="Garamond" w:eastAsia="Times New Roman" w:hAnsi="Garamond" w:cs="Times New Roman"/>
          <w:lang w:eastAsia="en-GB"/>
        </w:rPr>
        <w:t xml:space="preserve"> 2014. Feeling Insecure: A Personal Account in a Psychoanalytic Voice. </w:t>
      </w:r>
      <w:r w:rsidRPr="00D344DD">
        <w:rPr>
          <w:rFonts w:ascii="Garamond" w:eastAsia="Times New Roman" w:hAnsi="Garamond" w:cs="Times New Roman"/>
          <w:iCs/>
          <w:lang w:eastAsia="en-GB"/>
        </w:rPr>
        <w:t>Social &amp; Cultural Geography</w:t>
      </w:r>
      <w:r>
        <w:rPr>
          <w:rFonts w:ascii="Garamond" w:eastAsia="Times New Roman" w:hAnsi="Garamond" w:cs="Times New Roman"/>
          <w:lang w:eastAsia="en-GB"/>
        </w:rPr>
        <w:t xml:space="preserve"> 15 (3), </w:t>
      </w:r>
      <w:r w:rsidRPr="00D344DD">
        <w:rPr>
          <w:rFonts w:ascii="Garamond" w:eastAsia="Times New Roman" w:hAnsi="Garamond" w:cs="Times New Roman"/>
          <w:lang w:eastAsia="en-GB"/>
        </w:rPr>
        <w:t xml:space="preserve">332–50. </w:t>
      </w:r>
    </w:p>
    <w:p w14:paraId="4701B745" w14:textId="3CBE2AB7" w:rsidR="002F7676" w:rsidRPr="00D344DD" w:rsidRDefault="002F7676" w:rsidP="00F27620">
      <w:pPr>
        <w:spacing w:line="480" w:lineRule="auto"/>
        <w:ind w:left="426" w:hanging="426"/>
        <w:rPr>
          <w:rFonts w:ascii="Garamond" w:eastAsia="Times New Roman" w:hAnsi="Garamond" w:cs="Times New Roman"/>
          <w:lang w:eastAsia="en-GB"/>
        </w:rPr>
      </w:pPr>
      <w:r>
        <w:rPr>
          <w:rFonts w:ascii="Garamond" w:eastAsia="Times New Roman" w:hAnsi="Garamond" w:cs="Times New Roman"/>
          <w:lang w:eastAsia="en-GB"/>
        </w:rPr>
        <w:t xml:space="preserve">Boseley, S., 2018. </w:t>
      </w:r>
      <w:r w:rsidRPr="002F7676">
        <w:rPr>
          <w:rFonts w:ascii="Garamond" w:eastAsia="Times New Roman" w:hAnsi="Garamond" w:cs="Times New Roman"/>
          <w:lang w:eastAsia="en-GB"/>
        </w:rPr>
        <w:t>Measles cases at highest for 20 years in Europe, as anti-vaccine movement grows</w:t>
      </w:r>
      <w:r>
        <w:rPr>
          <w:rFonts w:ascii="Garamond" w:eastAsia="Times New Roman" w:hAnsi="Garamond" w:cs="Times New Roman"/>
          <w:lang w:eastAsia="en-GB"/>
        </w:rPr>
        <w:t>. The Guardian. December 21</w:t>
      </w:r>
      <w:r w:rsidRPr="002F7676">
        <w:rPr>
          <w:rFonts w:ascii="Garamond" w:eastAsia="Times New Roman" w:hAnsi="Garamond" w:cs="Times New Roman"/>
          <w:vertAlign w:val="superscript"/>
          <w:lang w:eastAsia="en-GB"/>
        </w:rPr>
        <w:t>st</w:t>
      </w:r>
      <w:r>
        <w:rPr>
          <w:rFonts w:ascii="Garamond" w:eastAsia="Times New Roman" w:hAnsi="Garamond" w:cs="Times New Roman"/>
          <w:lang w:eastAsia="en-GB"/>
        </w:rPr>
        <w:t xml:space="preserve"> 2018. </w:t>
      </w:r>
    </w:p>
    <w:p w14:paraId="7851CB90" w14:textId="77777777" w:rsidR="0044200F" w:rsidRPr="00D344DD" w:rsidRDefault="0044200F" w:rsidP="00F27620">
      <w:pPr>
        <w:spacing w:line="480" w:lineRule="auto"/>
        <w:ind w:left="426" w:hanging="426"/>
        <w:rPr>
          <w:rFonts w:ascii="Garamond" w:eastAsia="Times New Roman" w:hAnsi="Garamond" w:cs="Times New Roman"/>
          <w:lang w:eastAsia="en-GB"/>
        </w:rPr>
      </w:pPr>
      <w:r>
        <w:rPr>
          <w:rFonts w:ascii="Garamond" w:eastAsia="Times New Roman" w:hAnsi="Garamond" w:cs="Times New Roman"/>
          <w:lang w:eastAsia="en-GB"/>
        </w:rPr>
        <w:t>Byford, J., 2011</w:t>
      </w:r>
      <w:r w:rsidRPr="00D344DD">
        <w:rPr>
          <w:rFonts w:ascii="Garamond" w:eastAsia="Times New Roman" w:hAnsi="Garamond" w:cs="Times New Roman"/>
          <w:lang w:eastAsia="en-GB"/>
        </w:rPr>
        <w:t>. Conspiracy Theories: A Critical Introduction. Palgrave Macmillan</w:t>
      </w:r>
      <w:r>
        <w:rPr>
          <w:rFonts w:ascii="Garamond" w:eastAsia="Times New Roman" w:hAnsi="Garamond" w:cs="Times New Roman"/>
          <w:lang w:eastAsia="en-GB"/>
        </w:rPr>
        <w:t>, Basingstoke</w:t>
      </w:r>
      <w:r w:rsidRPr="00D344DD">
        <w:rPr>
          <w:rFonts w:ascii="Garamond" w:eastAsia="Times New Roman" w:hAnsi="Garamond" w:cs="Times New Roman"/>
          <w:lang w:eastAsia="en-GB"/>
        </w:rPr>
        <w:t>.</w:t>
      </w:r>
    </w:p>
    <w:p w14:paraId="74FB55C2"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 xml:space="preserve">Caillois, </w:t>
      </w:r>
      <w:r>
        <w:rPr>
          <w:rFonts w:ascii="Garamond" w:hAnsi="Garamond"/>
          <w:sz w:val="24"/>
          <w:szCs w:val="24"/>
        </w:rPr>
        <w:t>R.,</w:t>
      </w:r>
      <w:r w:rsidRPr="00D344DD">
        <w:rPr>
          <w:rFonts w:ascii="Garamond" w:hAnsi="Garamond"/>
          <w:sz w:val="24"/>
          <w:szCs w:val="24"/>
        </w:rPr>
        <w:t xml:space="preserve"> 2001. Man, Play, and Games. University of Illinois Press</w:t>
      </w:r>
      <w:r>
        <w:rPr>
          <w:rFonts w:ascii="Garamond" w:hAnsi="Garamond"/>
          <w:sz w:val="24"/>
          <w:szCs w:val="24"/>
        </w:rPr>
        <w:t>, Champaign</w:t>
      </w:r>
      <w:r w:rsidRPr="00D344DD">
        <w:rPr>
          <w:rFonts w:ascii="Garamond" w:hAnsi="Garamond"/>
          <w:sz w:val="24"/>
          <w:szCs w:val="24"/>
        </w:rPr>
        <w:t>.</w:t>
      </w:r>
    </w:p>
    <w:p w14:paraId="6915FCD1"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Clifford, J</w:t>
      </w:r>
      <w:r>
        <w:rPr>
          <w:rFonts w:ascii="Garamond" w:hAnsi="Garamond"/>
          <w:sz w:val="24"/>
          <w:szCs w:val="24"/>
        </w:rPr>
        <w:t>.,</w:t>
      </w:r>
      <w:r w:rsidRPr="00D344DD">
        <w:rPr>
          <w:rFonts w:ascii="Garamond" w:hAnsi="Garamond"/>
          <w:sz w:val="24"/>
          <w:szCs w:val="24"/>
        </w:rPr>
        <w:t xml:space="preserve"> and Marcus</w:t>
      </w:r>
      <w:r>
        <w:rPr>
          <w:rFonts w:ascii="Garamond" w:hAnsi="Garamond"/>
          <w:sz w:val="24"/>
          <w:szCs w:val="24"/>
        </w:rPr>
        <w:t xml:space="preserve"> GE</w:t>
      </w:r>
      <w:r w:rsidRPr="00D344DD">
        <w:rPr>
          <w:rFonts w:ascii="Garamond" w:hAnsi="Garamond"/>
          <w:sz w:val="24"/>
          <w:szCs w:val="24"/>
        </w:rPr>
        <w:t>.</w:t>
      </w:r>
      <w:r>
        <w:rPr>
          <w:rFonts w:ascii="Garamond" w:hAnsi="Garamond"/>
          <w:sz w:val="24"/>
          <w:szCs w:val="24"/>
        </w:rPr>
        <w:t>,</w:t>
      </w:r>
      <w:r w:rsidRPr="00D344DD">
        <w:rPr>
          <w:rFonts w:ascii="Garamond" w:hAnsi="Garamond"/>
          <w:sz w:val="24"/>
          <w:szCs w:val="24"/>
        </w:rPr>
        <w:t xml:space="preserve"> 1986. Writing Culture: The Poetics and Politics of Ethnography. Stanford, University of California Press.</w:t>
      </w:r>
    </w:p>
    <w:p w14:paraId="0B90DC2F"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lastRenderedPageBreak/>
        <w:t>Cairns, R.</w:t>
      </w:r>
      <w:r>
        <w:rPr>
          <w:rFonts w:ascii="Garamond" w:hAnsi="Garamond"/>
          <w:sz w:val="24"/>
          <w:szCs w:val="24"/>
        </w:rPr>
        <w:t>.</w:t>
      </w:r>
      <w:r w:rsidRPr="00D344DD">
        <w:rPr>
          <w:rFonts w:ascii="Garamond" w:hAnsi="Garamond"/>
          <w:sz w:val="24"/>
          <w:szCs w:val="24"/>
        </w:rPr>
        <w:t>, 2016. Climates of suspicion:</w:t>
      </w:r>
      <w:r>
        <w:rPr>
          <w:rFonts w:ascii="Garamond" w:hAnsi="Garamond"/>
          <w:sz w:val="24"/>
          <w:szCs w:val="24"/>
        </w:rPr>
        <w:t xml:space="preserve"> </w:t>
      </w:r>
      <w:r w:rsidRPr="00D344DD">
        <w:rPr>
          <w:rFonts w:ascii="Garamond" w:hAnsi="Garamond"/>
          <w:sz w:val="24"/>
          <w:szCs w:val="24"/>
        </w:rPr>
        <w:t>‘chemtrail’conspiracy narratives and the international politics of geoengineering. The Geographical Journal, 182</w:t>
      </w:r>
      <w:r>
        <w:rPr>
          <w:rFonts w:ascii="Garamond" w:hAnsi="Garamond"/>
          <w:sz w:val="24"/>
          <w:szCs w:val="24"/>
        </w:rPr>
        <w:t xml:space="preserve"> (1), </w:t>
      </w:r>
      <w:r w:rsidRPr="00D344DD">
        <w:rPr>
          <w:rFonts w:ascii="Garamond" w:hAnsi="Garamond"/>
          <w:sz w:val="24"/>
          <w:szCs w:val="24"/>
        </w:rPr>
        <w:t>70-84.</w:t>
      </w:r>
    </w:p>
    <w:p w14:paraId="0B0990A1"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Cloke, P</w:t>
      </w:r>
      <w:r>
        <w:rPr>
          <w:rFonts w:ascii="Garamond" w:hAnsi="Garamond"/>
          <w:sz w:val="24"/>
          <w:szCs w:val="24"/>
        </w:rPr>
        <w:t>.</w:t>
      </w:r>
      <w:r w:rsidRPr="00D344DD">
        <w:rPr>
          <w:rFonts w:ascii="Garamond" w:hAnsi="Garamond"/>
          <w:sz w:val="24"/>
          <w:szCs w:val="24"/>
        </w:rPr>
        <w:t xml:space="preserve">, </w:t>
      </w:r>
      <w:r>
        <w:rPr>
          <w:rFonts w:ascii="Garamond" w:hAnsi="Garamond"/>
          <w:sz w:val="24"/>
          <w:szCs w:val="24"/>
        </w:rPr>
        <w:t>May, J.</w:t>
      </w:r>
      <w:r w:rsidRPr="00D344DD">
        <w:rPr>
          <w:rFonts w:ascii="Garamond" w:hAnsi="Garamond"/>
          <w:sz w:val="24"/>
          <w:szCs w:val="24"/>
        </w:rPr>
        <w:t xml:space="preserve">, </w:t>
      </w:r>
      <w:r>
        <w:rPr>
          <w:rFonts w:ascii="Garamond" w:hAnsi="Garamond"/>
          <w:sz w:val="24"/>
          <w:szCs w:val="24"/>
        </w:rPr>
        <w:t>Johnsen, S.,</w:t>
      </w:r>
      <w:r w:rsidRPr="00D344DD">
        <w:rPr>
          <w:rFonts w:ascii="Garamond" w:hAnsi="Garamond"/>
          <w:sz w:val="24"/>
          <w:szCs w:val="24"/>
        </w:rPr>
        <w:t xml:space="preserve"> </w:t>
      </w:r>
      <w:r>
        <w:rPr>
          <w:rFonts w:ascii="Garamond" w:hAnsi="Garamond"/>
          <w:sz w:val="24"/>
          <w:szCs w:val="24"/>
        </w:rPr>
        <w:t xml:space="preserve"> </w:t>
      </w:r>
      <w:r w:rsidRPr="00D344DD">
        <w:rPr>
          <w:rFonts w:ascii="Garamond" w:hAnsi="Garamond"/>
          <w:sz w:val="24"/>
          <w:szCs w:val="24"/>
        </w:rPr>
        <w:t xml:space="preserve">2011. Swept Up Lives?: Reenvisioning the homeless city. Oxford, John Wiley and Sons. </w:t>
      </w:r>
    </w:p>
    <w:p w14:paraId="08FE34FA" w14:textId="02DC314F"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Cloke</w:t>
      </w:r>
      <w:r>
        <w:rPr>
          <w:rFonts w:ascii="Garamond" w:eastAsia="Times New Roman" w:hAnsi="Garamond"/>
        </w:rPr>
        <w:t>,</w:t>
      </w:r>
      <w:r w:rsidRPr="00D344DD">
        <w:rPr>
          <w:rFonts w:ascii="Garamond" w:eastAsia="Times New Roman" w:hAnsi="Garamond"/>
        </w:rPr>
        <w:t xml:space="preserve"> P</w:t>
      </w:r>
      <w:r>
        <w:rPr>
          <w:rFonts w:ascii="Garamond" w:eastAsia="Times New Roman" w:hAnsi="Garamond"/>
        </w:rPr>
        <w:t>.</w:t>
      </w:r>
      <w:r w:rsidRPr="00D344DD">
        <w:rPr>
          <w:rFonts w:ascii="Garamond" w:eastAsia="Times New Roman" w:hAnsi="Garamond"/>
        </w:rPr>
        <w:t xml:space="preserve">, </w:t>
      </w:r>
      <w:r>
        <w:rPr>
          <w:rFonts w:ascii="Garamond" w:hAnsi="Garamond"/>
        </w:rPr>
        <w:t>May, J</w:t>
      </w:r>
      <w:r>
        <w:rPr>
          <w:rFonts w:ascii="Garamond" w:eastAsia="Times New Roman" w:hAnsi="Garamond"/>
        </w:rPr>
        <w:t>.,</w:t>
      </w:r>
      <w:r w:rsidRPr="00D344DD">
        <w:rPr>
          <w:rFonts w:ascii="Garamond" w:eastAsia="Times New Roman" w:hAnsi="Garamond"/>
        </w:rPr>
        <w:t xml:space="preserve"> and Williams</w:t>
      </w:r>
      <w:r>
        <w:rPr>
          <w:rFonts w:ascii="Garamond" w:eastAsia="Times New Roman" w:hAnsi="Garamond"/>
        </w:rPr>
        <w:t>, A</w:t>
      </w:r>
      <w:r w:rsidRPr="00D344DD">
        <w:rPr>
          <w:rFonts w:ascii="Garamond" w:eastAsia="Times New Roman" w:hAnsi="Garamond"/>
        </w:rPr>
        <w:t>.</w:t>
      </w:r>
      <w:r>
        <w:rPr>
          <w:rFonts w:ascii="Garamond" w:eastAsia="Times New Roman" w:hAnsi="Garamond"/>
        </w:rPr>
        <w:t>,</w:t>
      </w:r>
      <w:r w:rsidRPr="00D344DD">
        <w:rPr>
          <w:rFonts w:ascii="Garamond" w:eastAsia="Times New Roman" w:hAnsi="Garamond"/>
        </w:rPr>
        <w:t xml:space="preserve"> 2017. “The Geographies of Food Banks in the Meantime.” </w:t>
      </w:r>
      <w:r w:rsidRPr="00D344DD">
        <w:rPr>
          <w:rFonts w:ascii="Garamond" w:eastAsia="Times New Roman" w:hAnsi="Garamond"/>
          <w:iCs/>
        </w:rPr>
        <w:t>Progress in Human Geography</w:t>
      </w:r>
      <w:r>
        <w:rPr>
          <w:rFonts w:ascii="Garamond" w:eastAsia="Times New Roman" w:hAnsi="Garamond"/>
        </w:rPr>
        <w:t xml:space="preserve"> 41 (6)</w:t>
      </w:r>
      <w:r w:rsidR="002F7676">
        <w:rPr>
          <w:rFonts w:ascii="Garamond" w:eastAsia="Times New Roman" w:hAnsi="Garamond"/>
        </w:rPr>
        <w:t>,</w:t>
      </w:r>
      <w:r>
        <w:rPr>
          <w:rFonts w:ascii="Garamond" w:eastAsia="Times New Roman" w:hAnsi="Garamond"/>
        </w:rPr>
        <w:t>703–26.</w:t>
      </w:r>
    </w:p>
    <w:p w14:paraId="1B430F0C" w14:textId="77777777" w:rsidR="0044200F" w:rsidRPr="00D344DD" w:rsidRDefault="0044200F" w:rsidP="00F27620">
      <w:pPr>
        <w:spacing w:line="480" w:lineRule="auto"/>
        <w:ind w:left="426" w:hanging="426"/>
        <w:rPr>
          <w:rFonts w:ascii="Garamond" w:hAnsi="Garamond"/>
          <w:kern w:val="1"/>
        </w:rPr>
      </w:pPr>
      <w:r w:rsidRPr="00D344DD">
        <w:rPr>
          <w:rFonts w:ascii="Garamond" w:hAnsi="Garamond"/>
          <w:kern w:val="1"/>
        </w:rPr>
        <w:t xml:space="preserve">Cohn, </w:t>
      </w:r>
      <w:r>
        <w:rPr>
          <w:rFonts w:ascii="Garamond" w:hAnsi="Garamond"/>
          <w:kern w:val="1"/>
        </w:rPr>
        <w:t>N.,</w:t>
      </w:r>
      <w:r w:rsidRPr="00D344DD">
        <w:rPr>
          <w:rFonts w:ascii="Garamond" w:hAnsi="Garamond"/>
          <w:kern w:val="1"/>
        </w:rPr>
        <w:t xml:space="preserve"> 1967 Warrant for Genocide Harper &amp; Row, New York City</w:t>
      </w:r>
    </w:p>
    <w:p w14:paraId="76A509FC" w14:textId="5EA541C2" w:rsidR="0044200F" w:rsidRPr="00D344DD" w:rsidRDefault="0044200F" w:rsidP="00F27620">
      <w:pPr>
        <w:spacing w:line="480" w:lineRule="auto"/>
        <w:ind w:left="426" w:hanging="426"/>
        <w:rPr>
          <w:rFonts w:ascii="Garamond" w:hAnsi="Garamond"/>
          <w:kern w:val="1"/>
        </w:rPr>
      </w:pPr>
      <w:r w:rsidRPr="00D344DD">
        <w:rPr>
          <w:rFonts w:ascii="Garamond" w:hAnsi="Garamond"/>
          <w:kern w:val="1"/>
        </w:rPr>
        <w:t>Condradson, D.</w:t>
      </w:r>
      <w:r>
        <w:rPr>
          <w:rFonts w:ascii="Garamond" w:hAnsi="Garamond"/>
          <w:kern w:val="1"/>
        </w:rPr>
        <w:t>,</w:t>
      </w:r>
      <w:r w:rsidRPr="00D344DD">
        <w:rPr>
          <w:rFonts w:ascii="Garamond" w:hAnsi="Garamond"/>
          <w:kern w:val="1"/>
        </w:rPr>
        <w:t xml:space="preserve"> 2003a. Spaces of care in the city: the place of a community drop-in centre Social and Cultural Geography 4 (4)</w:t>
      </w:r>
      <w:r w:rsidR="002F7676">
        <w:rPr>
          <w:rFonts w:ascii="Garamond" w:hAnsi="Garamond"/>
          <w:kern w:val="1"/>
        </w:rPr>
        <w:t>,</w:t>
      </w:r>
      <w:r w:rsidRPr="00D344DD">
        <w:rPr>
          <w:rFonts w:ascii="Garamond" w:hAnsi="Garamond"/>
          <w:kern w:val="1"/>
        </w:rPr>
        <w:t xml:space="preserve"> 507-525</w:t>
      </w:r>
    </w:p>
    <w:p w14:paraId="347D0574" w14:textId="191F2416" w:rsidR="0044200F" w:rsidRDefault="00112825" w:rsidP="00F27620">
      <w:pPr>
        <w:spacing w:line="480" w:lineRule="auto"/>
        <w:ind w:left="426" w:hanging="426"/>
        <w:rPr>
          <w:rFonts w:ascii="Garamond" w:hAnsi="Garamond"/>
        </w:rPr>
      </w:pPr>
      <w:r w:rsidRPr="00D344DD">
        <w:rPr>
          <w:rFonts w:ascii="Garamond" w:hAnsi="Garamond"/>
          <w:kern w:val="1"/>
        </w:rPr>
        <w:t>Condradson, D.</w:t>
      </w:r>
      <w:r>
        <w:rPr>
          <w:rFonts w:ascii="Garamond" w:hAnsi="Garamond"/>
          <w:kern w:val="1"/>
        </w:rPr>
        <w:t>,</w:t>
      </w:r>
      <w:r w:rsidRPr="00D344DD">
        <w:rPr>
          <w:rFonts w:ascii="Garamond" w:hAnsi="Garamond"/>
          <w:kern w:val="1"/>
        </w:rPr>
        <w:t xml:space="preserve"> </w:t>
      </w:r>
      <w:r w:rsidR="0044200F" w:rsidRPr="00D344DD">
        <w:rPr>
          <w:rFonts w:ascii="Garamond" w:hAnsi="Garamond"/>
        </w:rPr>
        <w:t xml:space="preserve">2003b. Doing organisational space: practices of voluntary welfare in the city. </w:t>
      </w:r>
      <w:r w:rsidR="0044200F" w:rsidRPr="00112825">
        <w:rPr>
          <w:rFonts w:ascii="Garamond" w:hAnsi="Garamond"/>
        </w:rPr>
        <w:t>Environment and Planning A</w:t>
      </w:r>
      <w:r w:rsidR="0044200F" w:rsidRPr="00D344DD">
        <w:rPr>
          <w:rFonts w:ascii="Garamond" w:hAnsi="Garamond"/>
        </w:rPr>
        <w:t>, 35(11), 1975-1992.</w:t>
      </w:r>
    </w:p>
    <w:p w14:paraId="5EDFC9ED" w14:textId="5C67349F" w:rsidR="002F7676" w:rsidRPr="00D344DD" w:rsidRDefault="002F7676" w:rsidP="00F27620">
      <w:pPr>
        <w:spacing w:line="480" w:lineRule="auto"/>
        <w:ind w:left="426" w:hanging="426"/>
        <w:rPr>
          <w:rFonts w:ascii="Garamond" w:hAnsi="Garamond"/>
        </w:rPr>
      </w:pPr>
      <w:r>
        <w:rPr>
          <w:rFonts w:ascii="Garamond" w:hAnsi="Garamond"/>
        </w:rPr>
        <w:t xml:space="preserve">Davies, W., 2018. Weaponising Paperwork. London Review of Books. 10 May. 40 (9) </w:t>
      </w:r>
    </w:p>
    <w:p w14:paraId="3B470530" w14:textId="77777777" w:rsidR="0044200F" w:rsidRPr="00D344DD" w:rsidRDefault="0044200F" w:rsidP="00F27620">
      <w:pPr>
        <w:spacing w:line="480" w:lineRule="auto"/>
        <w:ind w:left="426" w:hanging="426"/>
        <w:rPr>
          <w:rFonts w:ascii="Garamond" w:eastAsia="Times New Roman" w:hAnsi="Garamond"/>
          <w:lang w:eastAsia="en-GB"/>
        </w:rPr>
      </w:pPr>
      <w:r w:rsidRPr="00D344DD">
        <w:rPr>
          <w:rFonts w:ascii="Garamond" w:eastAsia="Times New Roman" w:hAnsi="Garamond"/>
        </w:rPr>
        <w:t>DeVerteuil, G</w:t>
      </w:r>
      <w:r>
        <w:rPr>
          <w:rFonts w:ascii="Garamond" w:eastAsia="Times New Roman" w:hAnsi="Garamond"/>
        </w:rPr>
        <w:t>.</w:t>
      </w:r>
      <w:r w:rsidRPr="00D344DD">
        <w:rPr>
          <w:rFonts w:ascii="Garamond" w:eastAsia="Times New Roman" w:hAnsi="Garamond"/>
        </w:rPr>
        <w:t xml:space="preserve">, </w:t>
      </w:r>
      <w:r>
        <w:rPr>
          <w:rFonts w:ascii="Garamond" w:eastAsia="Times New Roman" w:hAnsi="Garamond"/>
        </w:rPr>
        <w:t>May, K.</w:t>
      </w:r>
      <w:r w:rsidRPr="00D344DD">
        <w:rPr>
          <w:rFonts w:ascii="Garamond" w:eastAsia="Times New Roman" w:hAnsi="Garamond"/>
        </w:rPr>
        <w:t xml:space="preserve">, </w:t>
      </w:r>
      <w:r>
        <w:rPr>
          <w:rFonts w:ascii="Garamond" w:eastAsia="Times New Roman" w:hAnsi="Garamond"/>
        </w:rPr>
        <w:t>von Mahs, J.,</w:t>
      </w:r>
      <w:r w:rsidRPr="00D344DD">
        <w:rPr>
          <w:rFonts w:ascii="Garamond" w:eastAsia="Times New Roman" w:hAnsi="Garamond"/>
        </w:rPr>
        <w:t xml:space="preserve"> 2009. Complexity Not Collapse: Recasting the Geographies of Homelessness in a ‘punitive’ Age. </w:t>
      </w:r>
      <w:r w:rsidRPr="00D344DD">
        <w:rPr>
          <w:rFonts w:ascii="Garamond" w:eastAsia="Times New Roman" w:hAnsi="Garamond"/>
          <w:iCs/>
        </w:rPr>
        <w:t>Progress in Human Geography</w:t>
      </w:r>
      <w:r w:rsidRPr="00D344DD">
        <w:rPr>
          <w:rFonts w:ascii="Garamond" w:eastAsia="Times New Roman" w:hAnsi="Garamond"/>
        </w:rPr>
        <w:t xml:space="preserve"> 33 </w:t>
      </w:r>
    </w:p>
    <w:p w14:paraId="2E9ED84F" w14:textId="58F3FE46" w:rsidR="0044200F" w:rsidRDefault="0044200F" w:rsidP="00F27620">
      <w:pPr>
        <w:pStyle w:val="p1"/>
        <w:spacing w:line="480" w:lineRule="auto"/>
        <w:ind w:left="426" w:hanging="426"/>
        <w:rPr>
          <w:rFonts w:ascii="Garamond" w:hAnsi="Garamond"/>
          <w:sz w:val="24"/>
          <w:szCs w:val="24"/>
        </w:rPr>
      </w:pPr>
      <w:r w:rsidRPr="00D344DD">
        <w:rPr>
          <w:rFonts w:ascii="Garamond" w:eastAsia="Times New Roman" w:hAnsi="Garamond"/>
          <w:sz w:val="24"/>
          <w:szCs w:val="24"/>
        </w:rPr>
        <w:t>DeVerteuil, G</w:t>
      </w:r>
      <w:r>
        <w:rPr>
          <w:rFonts w:ascii="Garamond" w:eastAsia="Times New Roman" w:hAnsi="Garamond"/>
        </w:rPr>
        <w:t>.</w:t>
      </w:r>
      <w:r w:rsidRPr="00D344DD">
        <w:rPr>
          <w:rFonts w:ascii="Garamond" w:eastAsia="Times New Roman" w:hAnsi="Garamond"/>
          <w:sz w:val="24"/>
          <w:szCs w:val="24"/>
        </w:rPr>
        <w:t xml:space="preserve">, </w:t>
      </w:r>
      <w:r w:rsidRPr="00D344DD">
        <w:rPr>
          <w:rFonts w:ascii="Garamond" w:hAnsi="Garamond"/>
          <w:sz w:val="24"/>
          <w:szCs w:val="24"/>
        </w:rPr>
        <w:t>2006. The Local State and Homele</w:t>
      </w:r>
      <w:r>
        <w:rPr>
          <w:rFonts w:ascii="Garamond" w:hAnsi="Garamond"/>
          <w:sz w:val="24"/>
          <w:szCs w:val="24"/>
        </w:rPr>
        <w:t xml:space="preserve">ss Shelters: Beyond Revanchism? Cities 23 (2), </w:t>
      </w:r>
      <w:r w:rsidRPr="00D344DD">
        <w:rPr>
          <w:rFonts w:ascii="Garamond" w:hAnsi="Garamond"/>
          <w:sz w:val="24"/>
          <w:szCs w:val="24"/>
        </w:rPr>
        <w:t>109–20.</w:t>
      </w:r>
    </w:p>
    <w:p w14:paraId="236EB506" w14:textId="3BCB0715" w:rsidR="0052687B" w:rsidRPr="00DE48A3" w:rsidRDefault="00112825" w:rsidP="0052687B">
      <w:pPr>
        <w:rPr>
          <w:rFonts w:ascii="Garamond" w:hAnsi="Garamond"/>
        </w:rPr>
      </w:pPr>
      <w:r w:rsidRPr="00D344DD">
        <w:rPr>
          <w:rFonts w:ascii="Garamond" w:eastAsia="Times New Roman" w:hAnsi="Garamond"/>
        </w:rPr>
        <w:t>DeVerteuil, G</w:t>
      </w:r>
      <w:r>
        <w:rPr>
          <w:rFonts w:ascii="Garamond" w:eastAsia="Times New Roman" w:hAnsi="Garamond"/>
        </w:rPr>
        <w:t>.</w:t>
      </w:r>
      <w:r w:rsidRPr="00D344DD">
        <w:rPr>
          <w:rFonts w:ascii="Garamond" w:eastAsia="Times New Roman" w:hAnsi="Garamond"/>
        </w:rPr>
        <w:t xml:space="preserve">, </w:t>
      </w:r>
      <w:r w:rsidR="0052687B" w:rsidRPr="0052687B">
        <w:rPr>
          <w:rFonts w:ascii="Garamond" w:hAnsi="Garamond"/>
        </w:rPr>
        <w:t>2011</w:t>
      </w:r>
      <w:r w:rsidR="0052687B" w:rsidRPr="0052687B">
        <w:rPr>
          <w:rFonts w:ascii="Garamond" w:eastAsia="Times New Roman" w:hAnsi="Garamond" w:cs="Arial"/>
          <w:color w:val="222222"/>
          <w:sz w:val="20"/>
          <w:szCs w:val="20"/>
          <w:shd w:val="clear" w:color="auto" w:fill="FFFFFF"/>
        </w:rPr>
        <w:t xml:space="preserve"> </w:t>
      </w:r>
      <w:r w:rsidR="0052687B" w:rsidRPr="00DE48A3">
        <w:rPr>
          <w:rFonts w:ascii="Garamond" w:hAnsi="Garamond"/>
        </w:rPr>
        <w:t>Survive but not thrive? Geographical strategies for avoiding absolute homelessness among immigrant communities. Social &amp; Cultural Geography, 12(8), 929-945.</w:t>
      </w:r>
    </w:p>
    <w:p w14:paraId="011BFBE4" w14:textId="77777777" w:rsidR="0052687B" w:rsidRPr="0052687B" w:rsidRDefault="0052687B" w:rsidP="0052687B">
      <w:pPr>
        <w:rPr>
          <w:rFonts w:ascii="Times New Roman" w:eastAsia="Times New Roman" w:hAnsi="Times New Roman" w:cs="Times New Roman"/>
        </w:rPr>
      </w:pPr>
    </w:p>
    <w:p w14:paraId="1EDD0852" w14:textId="5F9B2C6B" w:rsidR="0044200F" w:rsidRPr="00D344DD" w:rsidRDefault="00112825"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rPr>
        <w:t>DeVerteuil, G</w:t>
      </w:r>
      <w:r>
        <w:rPr>
          <w:rFonts w:ascii="Garamond" w:eastAsia="Times New Roman" w:hAnsi="Garamond"/>
        </w:rPr>
        <w:t>.</w:t>
      </w:r>
      <w:r w:rsidRPr="00D344DD">
        <w:rPr>
          <w:rFonts w:ascii="Garamond" w:eastAsia="Times New Roman" w:hAnsi="Garamond"/>
        </w:rPr>
        <w:t xml:space="preserve">, </w:t>
      </w:r>
      <w:r w:rsidR="0044200F">
        <w:rPr>
          <w:rFonts w:ascii="Garamond" w:eastAsia="Times New Roman" w:hAnsi="Garamond" w:cs="Times New Roman"/>
          <w:lang w:eastAsia="en-GB"/>
        </w:rPr>
        <w:t xml:space="preserve">2017. </w:t>
      </w:r>
      <w:r w:rsidR="0044200F" w:rsidRPr="00D344DD">
        <w:rPr>
          <w:rFonts w:ascii="Garamond" w:eastAsia="Times New Roman" w:hAnsi="Garamond" w:cs="Times New Roman"/>
          <w:lang w:eastAsia="en-GB"/>
        </w:rPr>
        <w:t>Post-Welfare City at the Margins: Immigrant Precarity and the Mediating Third Se</w:t>
      </w:r>
      <w:r w:rsidR="0044200F">
        <w:rPr>
          <w:rFonts w:ascii="Garamond" w:eastAsia="Times New Roman" w:hAnsi="Garamond" w:cs="Times New Roman"/>
          <w:lang w:eastAsia="en-GB"/>
        </w:rPr>
        <w:t>ctor in London.</w:t>
      </w:r>
      <w:r w:rsidR="0044200F" w:rsidRPr="00D344DD">
        <w:rPr>
          <w:rFonts w:ascii="Garamond" w:eastAsia="Times New Roman" w:hAnsi="Garamond" w:cs="Times New Roman"/>
          <w:lang w:eastAsia="en-GB"/>
        </w:rPr>
        <w:t xml:space="preserve"> </w:t>
      </w:r>
      <w:r w:rsidR="0044200F" w:rsidRPr="00D344DD">
        <w:rPr>
          <w:rFonts w:ascii="Garamond" w:eastAsia="Times New Roman" w:hAnsi="Garamond" w:cs="Times New Roman"/>
          <w:iCs/>
          <w:lang w:eastAsia="en-GB"/>
        </w:rPr>
        <w:t>Urban Geography</w:t>
      </w:r>
      <w:r w:rsidR="0044200F">
        <w:rPr>
          <w:rFonts w:ascii="Garamond" w:eastAsia="Times New Roman" w:hAnsi="Garamond" w:cs="Times New Roman"/>
          <w:lang w:eastAsia="en-GB"/>
        </w:rPr>
        <w:t xml:space="preserve"> 38 (10), </w:t>
      </w:r>
      <w:r w:rsidR="0044200F" w:rsidRPr="00D344DD">
        <w:rPr>
          <w:rFonts w:ascii="Garamond" w:eastAsia="Times New Roman" w:hAnsi="Garamond" w:cs="Times New Roman"/>
          <w:lang w:eastAsia="en-GB"/>
        </w:rPr>
        <w:t>1517–33.</w:t>
      </w:r>
    </w:p>
    <w:p w14:paraId="2094FF6B"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Davis, D. B. 1969. The slave power conspiracy and the paranoid style. Baton Rouge: Louisiana State University Press.</w:t>
      </w:r>
    </w:p>
    <w:p w14:paraId="0F17663E"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Dittmer, J.</w:t>
      </w:r>
      <w:r>
        <w:rPr>
          <w:rFonts w:ascii="Garamond" w:hAnsi="Garamond"/>
          <w:sz w:val="24"/>
          <w:szCs w:val="24"/>
        </w:rPr>
        <w:t>, 2010</w:t>
      </w:r>
      <w:r w:rsidRPr="00D344DD">
        <w:rPr>
          <w:rFonts w:ascii="Garamond" w:hAnsi="Garamond"/>
          <w:sz w:val="24"/>
          <w:szCs w:val="24"/>
        </w:rPr>
        <w:t>. Obama, son of perdition?: narrative rationality and the role of the 44th President of the United States in the end-of-days. In: Dittmer, J. and Sturm, T. (eds) Mapping the end times: American evangelical geopolitics and apocalypti</w:t>
      </w:r>
      <w:r>
        <w:rPr>
          <w:rFonts w:ascii="Garamond" w:hAnsi="Garamond"/>
          <w:sz w:val="24"/>
          <w:szCs w:val="24"/>
        </w:rPr>
        <w:t xml:space="preserve">c visions.                                                                                                                                                     </w:t>
      </w:r>
      <w:r w:rsidRPr="00D344DD">
        <w:rPr>
          <w:rFonts w:ascii="Garamond" w:hAnsi="Garamond"/>
          <w:sz w:val="24"/>
          <w:szCs w:val="24"/>
        </w:rPr>
        <w:t>. 73–95.</w:t>
      </w:r>
    </w:p>
    <w:p w14:paraId="0FBA1F1C"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lastRenderedPageBreak/>
        <w:t>Duneier, M.</w:t>
      </w:r>
      <w:r>
        <w:rPr>
          <w:rFonts w:ascii="Garamond" w:hAnsi="Garamond"/>
          <w:sz w:val="24"/>
          <w:szCs w:val="24"/>
        </w:rPr>
        <w:t>,</w:t>
      </w:r>
      <w:r w:rsidRPr="00D344DD">
        <w:rPr>
          <w:rFonts w:ascii="Garamond" w:hAnsi="Garamond"/>
          <w:sz w:val="24"/>
          <w:szCs w:val="24"/>
        </w:rPr>
        <w:t xml:space="preserve"> 1999. Sidewalk. </w:t>
      </w:r>
      <w:r>
        <w:rPr>
          <w:rFonts w:ascii="Garamond" w:hAnsi="Garamond"/>
          <w:sz w:val="24"/>
          <w:szCs w:val="24"/>
        </w:rPr>
        <w:t xml:space="preserve">Farrar, Straus and Giroux, New York. </w:t>
      </w:r>
    </w:p>
    <w:p w14:paraId="72482CB1"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 xml:space="preserve">Dwyer, </w:t>
      </w:r>
      <w:r>
        <w:rPr>
          <w:rFonts w:ascii="Garamond" w:eastAsia="Times New Roman" w:hAnsi="Garamond"/>
        </w:rPr>
        <w:t>P.,</w:t>
      </w:r>
      <w:r w:rsidRPr="00D344DD">
        <w:rPr>
          <w:rFonts w:ascii="Garamond" w:eastAsia="Times New Roman" w:hAnsi="Garamond"/>
        </w:rPr>
        <w:t xml:space="preserve"> and </w:t>
      </w:r>
      <w:r>
        <w:rPr>
          <w:rFonts w:ascii="Garamond" w:eastAsia="Times New Roman" w:hAnsi="Garamond"/>
        </w:rPr>
        <w:t xml:space="preserve">Wright, S., 2014. </w:t>
      </w:r>
      <w:r w:rsidRPr="00D344DD">
        <w:rPr>
          <w:rFonts w:ascii="Garamond" w:eastAsia="Times New Roman" w:hAnsi="Garamond"/>
        </w:rPr>
        <w:t>Universal Credit, Ubiquitous Conditionality and Its Impli</w:t>
      </w:r>
      <w:r>
        <w:rPr>
          <w:rFonts w:ascii="Garamond" w:eastAsia="Times New Roman" w:hAnsi="Garamond"/>
        </w:rPr>
        <w:t>cations for Social Citizenship.</w:t>
      </w:r>
      <w:r w:rsidRPr="00D344DD">
        <w:rPr>
          <w:rFonts w:ascii="Garamond" w:eastAsia="Times New Roman" w:hAnsi="Garamond"/>
        </w:rPr>
        <w:t xml:space="preserve"> </w:t>
      </w:r>
      <w:r w:rsidRPr="00D344DD">
        <w:rPr>
          <w:rFonts w:ascii="Garamond" w:eastAsia="Times New Roman" w:hAnsi="Garamond"/>
          <w:iCs/>
        </w:rPr>
        <w:t>Journal of Poverty and Social Justice</w:t>
      </w:r>
      <w:r>
        <w:rPr>
          <w:rFonts w:ascii="Garamond" w:eastAsia="Times New Roman" w:hAnsi="Garamond"/>
          <w:iCs/>
        </w:rPr>
        <w:t>.</w:t>
      </w:r>
      <w:r>
        <w:rPr>
          <w:rFonts w:ascii="Garamond" w:eastAsia="Times New Roman" w:hAnsi="Garamond"/>
        </w:rPr>
        <w:t xml:space="preserve"> 22 (1),                </w:t>
      </w:r>
      <w:r w:rsidRPr="00D344DD">
        <w:rPr>
          <w:rFonts w:ascii="Garamond" w:eastAsia="Times New Roman" w:hAnsi="Garamond"/>
        </w:rPr>
        <w:t xml:space="preserve">27–35. </w:t>
      </w:r>
    </w:p>
    <w:p w14:paraId="55E772FE"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 xml:space="preserve">DWP (Department of Work and Pensions) 2016. “Jobseeker’s Allowance sanctions: how to keep your benefit payment” </w:t>
      </w:r>
      <w:hyperlink r:id="rId7" w:history="1">
        <w:r w:rsidRPr="00D344DD">
          <w:rPr>
            <w:rStyle w:val="Hyperlink"/>
            <w:rFonts w:ascii="Garamond" w:eastAsia="Times New Roman" w:hAnsi="Garamond"/>
          </w:rPr>
          <w:t>https://www.gov.uk/government/publications/jobseekers-allowance-sanctions-leaflet/jobseekers-allowance-sanctions-how-to-keep-your-benefit-payment accessed January 2018</w:t>
        </w:r>
      </w:hyperlink>
    </w:p>
    <w:p w14:paraId="2B335B4F"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Fenster, Mark. 2008.</w:t>
      </w:r>
      <w:r>
        <w:rPr>
          <w:rFonts w:ascii="Garamond" w:eastAsia="Times New Roman" w:hAnsi="Garamond"/>
        </w:rPr>
        <w:t>,</w:t>
      </w:r>
      <w:r w:rsidRPr="00D344DD">
        <w:rPr>
          <w:rFonts w:ascii="Garamond" w:eastAsia="Times New Roman" w:hAnsi="Garamond"/>
        </w:rPr>
        <w:t xml:space="preserve"> </w:t>
      </w:r>
      <w:r w:rsidRPr="00D344DD">
        <w:rPr>
          <w:rFonts w:ascii="Garamond" w:eastAsia="Times New Roman" w:hAnsi="Garamond"/>
          <w:iCs/>
        </w:rPr>
        <w:t>Conspiracy Theories: Secrecy and Power in American Culture</w:t>
      </w:r>
      <w:r w:rsidRPr="00D344DD">
        <w:rPr>
          <w:rFonts w:ascii="Garamond" w:eastAsia="Times New Roman" w:hAnsi="Garamond"/>
        </w:rPr>
        <w:t>. University of Minnesota Press.</w:t>
      </w:r>
    </w:p>
    <w:p w14:paraId="6C42A1CA" w14:textId="77777777" w:rsidR="0044200F" w:rsidRPr="00D344DD" w:rsidRDefault="0044200F" w:rsidP="00F27620">
      <w:pPr>
        <w:spacing w:line="480" w:lineRule="auto"/>
        <w:ind w:left="426" w:hanging="426"/>
        <w:rPr>
          <w:rFonts w:ascii="Garamond" w:eastAsia="Times New Roman" w:hAnsi="Garamond"/>
        </w:rPr>
      </w:pPr>
      <w:r>
        <w:rPr>
          <w:rFonts w:ascii="Garamond" w:eastAsia="Times New Roman" w:hAnsi="Garamond"/>
        </w:rPr>
        <w:t xml:space="preserve">Foucault, M., 2008., The Courage of Truth. Palgrave Macmillan, Basingstoke. </w:t>
      </w:r>
    </w:p>
    <w:p w14:paraId="5345B625" w14:textId="77777777" w:rsidR="0044200F" w:rsidRPr="00D344DD" w:rsidRDefault="0044200F"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cs="Times New Roman"/>
          <w:lang w:eastAsia="en-GB"/>
        </w:rPr>
        <w:t xml:space="preserve">Fiske, </w:t>
      </w:r>
      <w:r>
        <w:rPr>
          <w:rFonts w:ascii="Garamond" w:eastAsia="Times New Roman" w:hAnsi="Garamond" w:cs="Times New Roman"/>
          <w:lang w:eastAsia="en-GB"/>
        </w:rPr>
        <w:t>J.,</w:t>
      </w:r>
      <w:r w:rsidRPr="00D344DD">
        <w:rPr>
          <w:rFonts w:ascii="Garamond" w:eastAsia="Times New Roman" w:hAnsi="Garamond" w:cs="Times New Roman"/>
          <w:lang w:eastAsia="en-GB"/>
        </w:rPr>
        <w:t xml:space="preserve"> 1996.</w:t>
      </w:r>
      <w:r>
        <w:rPr>
          <w:rFonts w:ascii="Garamond" w:eastAsia="Times New Roman" w:hAnsi="Garamond" w:cs="Times New Roman"/>
          <w:lang w:eastAsia="en-GB"/>
        </w:rPr>
        <w:t>,</w:t>
      </w:r>
      <w:r w:rsidRPr="00D344DD">
        <w:rPr>
          <w:rFonts w:ascii="Garamond" w:eastAsia="Times New Roman" w:hAnsi="Garamond" w:cs="Times New Roman"/>
          <w:lang w:eastAsia="en-GB"/>
        </w:rPr>
        <w:t xml:space="preserve"> </w:t>
      </w:r>
      <w:r w:rsidRPr="00D344DD">
        <w:rPr>
          <w:rFonts w:ascii="Garamond" w:eastAsia="Times New Roman" w:hAnsi="Garamond" w:cs="Times New Roman"/>
          <w:iCs/>
          <w:lang w:eastAsia="en-GB"/>
        </w:rPr>
        <w:t>Media Matters: Race and Gender in U. S. Politics</w:t>
      </w:r>
      <w:r w:rsidRPr="00D344DD">
        <w:rPr>
          <w:rFonts w:ascii="Garamond" w:eastAsia="Times New Roman" w:hAnsi="Garamond" w:cs="Times New Roman"/>
          <w:lang w:eastAsia="en-GB"/>
        </w:rPr>
        <w:t>. Minneapolis, University of Minnesota Press.</w:t>
      </w:r>
    </w:p>
    <w:p w14:paraId="34699BB5"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Freeman, L.</w:t>
      </w:r>
      <w:r>
        <w:rPr>
          <w:rFonts w:ascii="Garamond" w:hAnsi="Garamond"/>
          <w:sz w:val="24"/>
          <w:szCs w:val="24"/>
        </w:rPr>
        <w:t>,</w:t>
      </w:r>
      <w:r w:rsidRPr="00D344DD">
        <w:rPr>
          <w:rFonts w:ascii="Garamond" w:hAnsi="Garamond"/>
          <w:sz w:val="24"/>
          <w:szCs w:val="24"/>
        </w:rPr>
        <w:t xml:space="preserve"> 2011. There Goes the Hood: Views of Gentrification from the Ground Up. Philadelphia, Temple University Press.</w:t>
      </w:r>
    </w:p>
    <w:p w14:paraId="528748AB" w14:textId="77777777" w:rsidR="0044200F" w:rsidRPr="00AA3FE5" w:rsidRDefault="0044200F" w:rsidP="00F27620">
      <w:pPr>
        <w:rPr>
          <w:rFonts w:ascii="Garamond" w:eastAsia="Times New Roman" w:hAnsi="Garamond" w:cs="Times New Roman"/>
        </w:rPr>
      </w:pPr>
      <w:r w:rsidRPr="00AA3FE5">
        <w:rPr>
          <w:rFonts w:ascii="Garamond" w:eastAsia="Times New Roman" w:hAnsi="Garamond" w:cs="Arial"/>
          <w:color w:val="222222"/>
          <w:shd w:val="clear" w:color="auto" w:fill="FFFFFF"/>
        </w:rPr>
        <w:t>Garthwaite, K. 2016</w:t>
      </w:r>
      <w:r w:rsidRPr="00D344DD">
        <w:rPr>
          <w:rFonts w:ascii="Garamond" w:eastAsia="Times New Roman" w:hAnsi="Garamond" w:cs="Arial"/>
          <w:color w:val="222222"/>
          <w:shd w:val="clear" w:color="auto" w:fill="FFFFFF"/>
        </w:rPr>
        <w:t>a</w:t>
      </w:r>
      <w:r w:rsidRPr="00AA3FE5">
        <w:rPr>
          <w:rFonts w:ascii="Garamond" w:eastAsia="Times New Roman" w:hAnsi="Garamond" w:cs="Arial"/>
          <w:color w:val="222222"/>
          <w:shd w:val="clear" w:color="auto" w:fill="FFFFFF"/>
        </w:rPr>
        <w:t>. </w:t>
      </w:r>
      <w:r w:rsidRPr="00AA3FE5">
        <w:rPr>
          <w:rFonts w:ascii="Garamond" w:eastAsia="Times New Roman" w:hAnsi="Garamond" w:cs="Arial"/>
          <w:iCs/>
          <w:color w:val="222222"/>
          <w:shd w:val="clear" w:color="auto" w:fill="FFFFFF"/>
        </w:rPr>
        <w:t>Hunger pains: Life inside foodbank Britain</w:t>
      </w:r>
      <w:r w:rsidRPr="00AA3FE5">
        <w:rPr>
          <w:rFonts w:ascii="Garamond" w:eastAsia="Times New Roman" w:hAnsi="Garamond" w:cs="Arial"/>
          <w:color w:val="222222"/>
          <w:shd w:val="clear" w:color="auto" w:fill="FFFFFF"/>
        </w:rPr>
        <w:t>. Policy Press.</w:t>
      </w:r>
    </w:p>
    <w:p w14:paraId="41066DA2" w14:textId="77777777" w:rsidR="00112825" w:rsidRDefault="00112825" w:rsidP="00112825">
      <w:pPr>
        <w:rPr>
          <w:rFonts w:ascii="Garamond" w:eastAsia="Times New Roman" w:hAnsi="Garamond" w:cs="Arial"/>
          <w:color w:val="222222"/>
          <w:shd w:val="clear" w:color="auto" w:fill="FFFFFF"/>
        </w:rPr>
      </w:pPr>
    </w:p>
    <w:p w14:paraId="2AFBA0C3" w14:textId="4BE5915D" w:rsidR="0044200F" w:rsidRPr="00D344DD" w:rsidRDefault="00112825" w:rsidP="00112825">
      <w:pPr>
        <w:rPr>
          <w:rFonts w:ascii="Garamond" w:eastAsia="Times New Roman" w:hAnsi="Garamond" w:cs="Times New Roman"/>
        </w:rPr>
      </w:pPr>
      <w:r w:rsidRPr="00AA3FE5">
        <w:rPr>
          <w:rFonts w:ascii="Garamond" w:eastAsia="Times New Roman" w:hAnsi="Garamond" w:cs="Arial"/>
          <w:color w:val="222222"/>
          <w:shd w:val="clear" w:color="auto" w:fill="FFFFFF"/>
        </w:rPr>
        <w:t xml:space="preserve">Garthwaite, K. </w:t>
      </w:r>
      <w:r w:rsidR="0044200F" w:rsidRPr="00D344DD">
        <w:rPr>
          <w:rFonts w:ascii="Garamond" w:hAnsi="Garamond"/>
        </w:rPr>
        <w:t>2016b</w:t>
      </w:r>
      <w:r w:rsidR="0044200F">
        <w:rPr>
          <w:rFonts w:ascii="Garamond" w:hAnsi="Garamond"/>
        </w:rPr>
        <w:t xml:space="preserve">. </w:t>
      </w:r>
      <w:r w:rsidR="0044200F" w:rsidRPr="00D344DD">
        <w:rPr>
          <w:rFonts w:ascii="Garamond" w:eastAsia="Times New Roman" w:hAnsi="Garamond" w:cs="Arial"/>
          <w:color w:val="222222"/>
          <w:shd w:val="clear" w:color="auto" w:fill="FFFFFF"/>
        </w:rPr>
        <w:t>Stigma, shame and'people like us': an ethnographic study of foodbank use in the UK. </w:t>
      </w:r>
      <w:r w:rsidR="0044200F" w:rsidRPr="00D344DD">
        <w:rPr>
          <w:rFonts w:ascii="Garamond" w:eastAsia="Times New Roman" w:hAnsi="Garamond" w:cs="Arial"/>
          <w:iCs/>
          <w:color w:val="222222"/>
          <w:shd w:val="clear" w:color="auto" w:fill="FFFFFF"/>
        </w:rPr>
        <w:t>Journal of Poverty and Social Justice</w:t>
      </w:r>
      <w:r w:rsidR="0044200F" w:rsidRPr="00D344DD">
        <w:rPr>
          <w:rFonts w:ascii="Garamond" w:eastAsia="Times New Roman" w:hAnsi="Garamond" w:cs="Arial"/>
          <w:color w:val="222222"/>
          <w:shd w:val="clear" w:color="auto" w:fill="FFFFFF"/>
        </w:rPr>
        <w:t>, </w:t>
      </w:r>
      <w:r w:rsidR="0044200F" w:rsidRPr="00D344DD">
        <w:rPr>
          <w:rFonts w:ascii="Garamond" w:eastAsia="Times New Roman" w:hAnsi="Garamond" w:cs="Arial"/>
          <w:iCs/>
          <w:color w:val="222222"/>
          <w:shd w:val="clear" w:color="auto" w:fill="FFFFFF"/>
        </w:rPr>
        <w:t>24</w:t>
      </w:r>
      <w:r w:rsidR="0044200F" w:rsidRPr="00D344DD">
        <w:rPr>
          <w:rFonts w:ascii="Garamond" w:eastAsia="Times New Roman" w:hAnsi="Garamond" w:cs="Arial"/>
          <w:color w:val="222222"/>
          <w:shd w:val="clear" w:color="auto" w:fill="FFFFFF"/>
        </w:rPr>
        <w:t>(3), 277-289.</w:t>
      </w:r>
    </w:p>
    <w:p w14:paraId="2045EA5C" w14:textId="77777777" w:rsidR="00112825" w:rsidRDefault="00112825" w:rsidP="00112825">
      <w:pPr>
        <w:rPr>
          <w:rFonts w:ascii="Garamond" w:eastAsia="Times New Roman" w:hAnsi="Garamond" w:cs="Arial"/>
          <w:color w:val="222222"/>
          <w:shd w:val="clear" w:color="auto" w:fill="FFFFFF"/>
        </w:rPr>
      </w:pPr>
    </w:p>
    <w:p w14:paraId="12532E1D" w14:textId="58F0930B" w:rsidR="0044200F" w:rsidRPr="00AA3FE5" w:rsidRDefault="00112825" w:rsidP="00112825">
      <w:pPr>
        <w:rPr>
          <w:rFonts w:ascii="Garamond" w:eastAsia="Times New Roman" w:hAnsi="Garamond" w:cs="Times New Roman"/>
        </w:rPr>
      </w:pPr>
      <w:r w:rsidRPr="00AA3FE5">
        <w:rPr>
          <w:rFonts w:ascii="Garamond" w:eastAsia="Times New Roman" w:hAnsi="Garamond" w:cs="Arial"/>
          <w:color w:val="222222"/>
          <w:shd w:val="clear" w:color="auto" w:fill="FFFFFF"/>
        </w:rPr>
        <w:t xml:space="preserve">Garthwaite, K. </w:t>
      </w:r>
      <w:r w:rsidR="0044200F">
        <w:rPr>
          <w:rFonts w:ascii="Garamond" w:eastAsia="Times New Roman" w:hAnsi="Garamond" w:cs="Arial"/>
          <w:color w:val="222222"/>
          <w:shd w:val="clear" w:color="auto" w:fill="FFFFFF"/>
        </w:rPr>
        <w:t xml:space="preserve"> </w:t>
      </w:r>
      <w:r w:rsidR="0044200F" w:rsidRPr="00AA3FE5">
        <w:rPr>
          <w:rFonts w:ascii="Garamond" w:eastAsia="Times New Roman" w:hAnsi="Garamond" w:cs="Arial"/>
          <w:color w:val="222222"/>
          <w:shd w:val="clear" w:color="auto" w:fill="FFFFFF"/>
        </w:rPr>
        <w:t>2016</w:t>
      </w:r>
      <w:r w:rsidR="0044200F" w:rsidRPr="00D344DD">
        <w:rPr>
          <w:rFonts w:ascii="Garamond" w:eastAsia="Times New Roman" w:hAnsi="Garamond" w:cs="Arial"/>
          <w:color w:val="222222"/>
          <w:shd w:val="clear" w:color="auto" w:fill="FFFFFF"/>
        </w:rPr>
        <w:t>c</w:t>
      </w:r>
      <w:r w:rsidR="0044200F" w:rsidRPr="00AA3FE5">
        <w:rPr>
          <w:rFonts w:ascii="Garamond" w:eastAsia="Times New Roman" w:hAnsi="Garamond" w:cs="Arial"/>
          <w:color w:val="222222"/>
          <w:shd w:val="clear" w:color="auto" w:fill="FFFFFF"/>
        </w:rPr>
        <w:t>. The perfect fit? Being both volunteer and ethnographer in a UK foodbank. </w:t>
      </w:r>
      <w:r w:rsidR="0044200F" w:rsidRPr="00AA3FE5">
        <w:rPr>
          <w:rFonts w:ascii="Garamond" w:eastAsia="Times New Roman" w:hAnsi="Garamond" w:cs="Arial"/>
          <w:iCs/>
          <w:color w:val="222222"/>
          <w:shd w:val="clear" w:color="auto" w:fill="FFFFFF"/>
        </w:rPr>
        <w:t>Journal of Organizational Ethnography</w:t>
      </w:r>
      <w:r w:rsidR="0044200F" w:rsidRPr="00AA3FE5">
        <w:rPr>
          <w:rFonts w:ascii="Garamond" w:eastAsia="Times New Roman" w:hAnsi="Garamond" w:cs="Arial"/>
          <w:color w:val="222222"/>
          <w:shd w:val="clear" w:color="auto" w:fill="FFFFFF"/>
        </w:rPr>
        <w:t>, </w:t>
      </w:r>
      <w:r w:rsidR="0044200F" w:rsidRPr="00AA3FE5">
        <w:rPr>
          <w:rFonts w:ascii="Garamond" w:eastAsia="Times New Roman" w:hAnsi="Garamond" w:cs="Arial"/>
          <w:iCs/>
          <w:color w:val="222222"/>
          <w:shd w:val="clear" w:color="auto" w:fill="FFFFFF"/>
        </w:rPr>
        <w:t>5</w:t>
      </w:r>
      <w:r w:rsidR="0044200F" w:rsidRPr="00AA3FE5">
        <w:rPr>
          <w:rFonts w:ascii="Garamond" w:eastAsia="Times New Roman" w:hAnsi="Garamond" w:cs="Arial"/>
          <w:color w:val="222222"/>
          <w:shd w:val="clear" w:color="auto" w:fill="FFFFFF"/>
        </w:rPr>
        <w:t>(1), 60-71.</w:t>
      </w:r>
    </w:p>
    <w:p w14:paraId="1C1CB6C6" w14:textId="77777777" w:rsidR="0044200F" w:rsidRPr="00D344DD" w:rsidRDefault="0044200F" w:rsidP="00F27620">
      <w:pPr>
        <w:pStyle w:val="p1"/>
        <w:spacing w:line="480" w:lineRule="auto"/>
        <w:ind w:left="426" w:hanging="426"/>
        <w:rPr>
          <w:rFonts w:ascii="Garamond" w:hAnsi="Garamond"/>
          <w:sz w:val="24"/>
          <w:szCs w:val="24"/>
        </w:rPr>
      </w:pPr>
    </w:p>
    <w:p w14:paraId="149C922A"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 xml:space="preserve">Geertz, </w:t>
      </w:r>
      <w:r>
        <w:rPr>
          <w:rFonts w:ascii="Garamond" w:hAnsi="Garamond"/>
          <w:sz w:val="24"/>
          <w:szCs w:val="24"/>
        </w:rPr>
        <w:t>C.,</w:t>
      </w:r>
      <w:r w:rsidRPr="00D344DD">
        <w:rPr>
          <w:rFonts w:ascii="Garamond" w:hAnsi="Garamond"/>
          <w:sz w:val="24"/>
          <w:szCs w:val="24"/>
        </w:rPr>
        <w:t xml:space="preserve"> 1973. The Interpretation of Cultures: Selected Essays. New York, Basic Books.</w:t>
      </w:r>
    </w:p>
    <w:p w14:paraId="55A00CA1"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Giddens, A.</w:t>
      </w:r>
      <w:r>
        <w:rPr>
          <w:rFonts w:ascii="Garamond" w:eastAsia="Times New Roman" w:hAnsi="Garamond"/>
        </w:rPr>
        <w:t>,</w:t>
      </w:r>
      <w:r w:rsidRPr="00D344DD">
        <w:rPr>
          <w:rFonts w:ascii="Garamond" w:eastAsia="Times New Roman" w:hAnsi="Garamond"/>
        </w:rPr>
        <w:t xml:space="preserve"> 1991. </w:t>
      </w:r>
      <w:r w:rsidRPr="00D344DD">
        <w:rPr>
          <w:rFonts w:ascii="Garamond" w:eastAsia="Times New Roman" w:hAnsi="Garamond"/>
          <w:iCs/>
        </w:rPr>
        <w:t>Modernity and Self-Identity: Self and Society in the Late Modern Age</w:t>
      </w:r>
      <w:r w:rsidRPr="00D344DD">
        <w:rPr>
          <w:rFonts w:ascii="Garamond" w:eastAsia="Times New Roman" w:hAnsi="Garamond"/>
        </w:rPr>
        <w:t>. Stanford University Press.</w:t>
      </w:r>
    </w:p>
    <w:p w14:paraId="78115F3E" w14:textId="567CCDE8" w:rsidR="0044200F" w:rsidRDefault="0044200F" w:rsidP="00F27620">
      <w:pPr>
        <w:spacing w:line="480" w:lineRule="auto"/>
        <w:ind w:left="426" w:hanging="426"/>
        <w:rPr>
          <w:rFonts w:ascii="Garamond" w:eastAsia="Times New Roman" w:hAnsi="Garamond"/>
        </w:rPr>
      </w:pPr>
      <w:r w:rsidRPr="00D344DD">
        <w:rPr>
          <w:rFonts w:ascii="Garamond" w:eastAsia="Times New Roman" w:hAnsi="Garamond"/>
        </w:rPr>
        <w:t>Hall, S.M., 2018. The personal is political: Feminist geographies of/in austerity. Geoforum.</w:t>
      </w:r>
    </w:p>
    <w:p w14:paraId="0CF419AC" w14:textId="5A5432A2" w:rsidR="009B3280" w:rsidRPr="00D344DD" w:rsidRDefault="009B3280" w:rsidP="00F27620">
      <w:pPr>
        <w:spacing w:line="480" w:lineRule="auto"/>
        <w:ind w:left="426" w:hanging="426"/>
        <w:rPr>
          <w:rFonts w:ascii="Garamond" w:eastAsia="Times New Roman" w:hAnsi="Garamond"/>
        </w:rPr>
      </w:pPr>
      <w:r w:rsidRPr="009B3280">
        <w:rPr>
          <w:rFonts w:ascii="Garamond" w:eastAsia="Times New Roman" w:hAnsi="Garamond"/>
        </w:rPr>
        <w:t>Haraway, D., 1988. Situated knowledges: The science question in feminism and the privilege of partial perspective. Feminist studies, 14(3), 575-599.</w:t>
      </w:r>
    </w:p>
    <w:p w14:paraId="4D7FB6CC" w14:textId="77777777" w:rsidR="0044200F" w:rsidRPr="00D344DD" w:rsidRDefault="0044200F" w:rsidP="00F27620">
      <w:pPr>
        <w:spacing w:line="480" w:lineRule="auto"/>
        <w:rPr>
          <w:rFonts w:ascii="Garamond" w:eastAsia="Times New Roman" w:hAnsi="Garamond"/>
          <w:lang w:eastAsia="en-GB"/>
        </w:rPr>
      </w:pPr>
      <w:r w:rsidRPr="00D344DD">
        <w:rPr>
          <w:rFonts w:ascii="Garamond" w:eastAsia="Times New Roman" w:hAnsi="Garamond"/>
        </w:rPr>
        <w:t>Hofstadter, R.</w:t>
      </w:r>
      <w:r>
        <w:rPr>
          <w:rFonts w:ascii="Garamond" w:eastAsia="Times New Roman" w:hAnsi="Garamond"/>
        </w:rPr>
        <w:t>,</w:t>
      </w:r>
      <w:r w:rsidRPr="00D344DD">
        <w:rPr>
          <w:rFonts w:ascii="Garamond" w:eastAsia="Times New Roman" w:hAnsi="Garamond"/>
        </w:rPr>
        <w:t xml:space="preserve"> 2012. </w:t>
      </w:r>
      <w:r w:rsidRPr="00D344DD">
        <w:rPr>
          <w:rFonts w:ascii="Garamond" w:eastAsia="Times New Roman" w:hAnsi="Garamond"/>
          <w:iCs/>
        </w:rPr>
        <w:t>The Paranoid Style in American Politics</w:t>
      </w:r>
      <w:r>
        <w:rPr>
          <w:rFonts w:ascii="Garamond" w:eastAsia="Times New Roman" w:hAnsi="Garamond"/>
        </w:rPr>
        <w:t>. Knopf Doubleday, New York.</w:t>
      </w:r>
    </w:p>
    <w:p w14:paraId="379491E4" w14:textId="5DA788C5" w:rsidR="0044200F"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lastRenderedPageBreak/>
        <w:t>Huizinga, J.</w:t>
      </w:r>
      <w:r>
        <w:rPr>
          <w:rFonts w:ascii="Garamond" w:hAnsi="Garamond"/>
          <w:sz w:val="24"/>
          <w:szCs w:val="24"/>
        </w:rPr>
        <w:t>,</w:t>
      </w:r>
      <w:r w:rsidRPr="00D344DD">
        <w:rPr>
          <w:rFonts w:ascii="Garamond" w:hAnsi="Garamond"/>
          <w:sz w:val="24"/>
          <w:szCs w:val="24"/>
        </w:rPr>
        <w:t xml:space="preserve"> 1949. Homo Ludens</w:t>
      </w:r>
      <w:r>
        <w:rPr>
          <w:rFonts w:ascii="Garamond" w:hAnsi="Garamond"/>
          <w:sz w:val="24"/>
          <w:szCs w:val="24"/>
        </w:rPr>
        <w:t xml:space="preserve">. Taylor &amp; Francis, Oxford. </w:t>
      </w:r>
    </w:p>
    <w:p w14:paraId="7F36D26B" w14:textId="10B3040A" w:rsidR="00785A2B" w:rsidRDefault="00785A2B" w:rsidP="00F27620">
      <w:pPr>
        <w:pStyle w:val="p1"/>
        <w:spacing w:line="480" w:lineRule="auto"/>
        <w:ind w:left="426" w:hanging="426"/>
        <w:rPr>
          <w:rFonts w:ascii="Garamond" w:hAnsi="Garamond"/>
          <w:sz w:val="24"/>
          <w:szCs w:val="24"/>
        </w:rPr>
      </w:pPr>
      <w:r>
        <w:rPr>
          <w:rFonts w:ascii="Garamond" w:hAnsi="Garamond"/>
          <w:sz w:val="24"/>
          <w:szCs w:val="24"/>
        </w:rPr>
        <w:t>Johnson-Schlee., 2017. ‘</w:t>
      </w:r>
      <w:r w:rsidRPr="00785A2B">
        <w:rPr>
          <w:rFonts w:ascii="Garamond" w:hAnsi="Garamond"/>
          <w:sz w:val="24"/>
          <w:szCs w:val="24"/>
        </w:rPr>
        <w:t>The infant consumer and a proper English breakfast: food stories from Brixton</w:t>
      </w:r>
      <w:r>
        <w:rPr>
          <w:rFonts w:ascii="Garamond" w:hAnsi="Garamond"/>
          <w:sz w:val="24"/>
          <w:szCs w:val="24"/>
        </w:rPr>
        <w:t xml:space="preserve">’ in Feast Journal. vol. 3. </w:t>
      </w:r>
    </w:p>
    <w:p w14:paraId="4DC55E6F" w14:textId="6E63B043" w:rsidR="00785A2B" w:rsidRPr="00785A2B" w:rsidRDefault="00785A2B" w:rsidP="00F27620">
      <w:pPr>
        <w:pStyle w:val="p1"/>
        <w:spacing w:line="480" w:lineRule="auto"/>
        <w:ind w:left="426" w:hanging="426"/>
        <w:rPr>
          <w:rFonts w:ascii="Garamond" w:hAnsi="Garamond"/>
          <w:sz w:val="24"/>
          <w:szCs w:val="24"/>
        </w:rPr>
      </w:pPr>
      <w:r>
        <w:rPr>
          <w:rFonts w:ascii="Garamond" w:hAnsi="Garamond"/>
          <w:sz w:val="24"/>
          <w:szCs w:val="24"/>
        </w:rPr>
        <w:t>Johnson Schlee., in press. ‘</w:t>
      </w:r>
      <w:r w:rsidRPr="00785A2B">
        <w:rPr>
          <w:rFonts w:ascii="Garamond" w:hAnsi="Garamond"/>
          <w:sz w:val="24"/>
          <w:szCs w:val="24"/>
        </w:rPr>
        <w:t>What would Ruth Glass Do? London: Aspects of Change as a critique of urban epistemologies</w:t>
      </w:r>
      <w:r>
        <w:rPr>
          <w:rFonts w:ascii="Garamond" w:hAnsi="Garamond"/>
          <w:sz w:val="24"/>
          <w:szCs w:val="24"/>
        </w:rPr>
        <w:t xml:space="preserve">’ </w:t>
      </w:r>
      <w:r>
        <w:rPr>
          <w:rFonts w:ascii="Garamond" w:hAnsi="Garamond"/>
          <w:i/>
          <w:sz w:val="24"/>
          <w:szCs w:val="24"/>
        </w:rPr>
        <w:t xml:space="preserve">City </w:t>
      </w:r>
    </w:p>
    <w:p w14:paraId="77C21C13" w14:textId="4B2B0E03"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Jones, L.</w:t>
      </w:r>
      <w:r>
        <w:rPr>
          <w:rFonts w:ascii="Garamond" w:hAnsi="Garamond"/>
          <w:sz w:val="24"/>
          <w:szCs w:val="24"/>
        </w:rPr>
        <w:t>,</w:t>
      </w:r>
      <w:r w:rsidRPr="00D344DD">
        <w:rPr>
          <w:rFonts w:ascii="Garamond" w:hAnsi="Garamond"/>
          <w:sz w:val="24"/>
          <w:szCs w:val="24"/>
        </w:rPr>
        <w:t xml:space="preserve"> </w:t>
      </w:r>
      <w:r>
        <w:rPr>
          <w:rFonts w:ascii="Garamond" w:hAnsi="Garamond"/>
          <w:sz w:val="24"/>
          <w:szCs w:val="24"/>
        </w:rPr>
        <w:t>2010.</w:t>
      </w:r>
      <w:r w:rsidRPr="00D344DD">
        <w:rPr>
          <w:rFonts w:ascii="Garamond" w:hAnsi="Garamond"/>
          <w:sz w:val="24"/>
          <w:szCs w:val="24"/>
        </w:rPr>
        <w:t xml:space="preserve"> ‘How do the American people know…?’: embodying post-9/11 conspiracy discourse. GeoJournal, 75(4), 359-371.</w:t>
      </w:r>
    </w:p>
    <w:p w14:paraId="6CBBFAD6" w14:textId="268D67D4" w:rsidR="0044200F" w:rsidRPr="00D344DD" w:rsidRDefault="00112825" w:rsidP="00F27620">
      <w:pPr>
        <w:pStyle w:val="p1"/>
        <w:spacing w:line="480" w:lineRule="auto"/>
        <w:ind w:left="426" w:hanging="426"/>
        <w:rPr>
          <w:rFonts w:ascii="Garamond" w:hAnsi="Garamond"/>
          <w:sz w:val="24"/>
          <w:szCs w:val="24"/>
        </w:rPr>
      </w:pPr>
      <w:r w:rsidRPr="00D344DD">
        <w:rPr>
          <w:rFonts w:ascii="Garamond" w:hAnsi="Garamond"/>
          <w:sz w:val="24"/>
          <w:szCs w:val="24"/>
        </w:rPr>
        <w:t>Jones, L.</w:t>
      </w:r>
      <w:r>
        <w:rPr>
          <w:rFonts w:ascii="Garamond" w:hAnsi="Garamond"/>
          <w:sz w:val="24"/>
          <w:szCs w:val="24"/>
        </w:rPr>
        <w:t>,</w:t>
      </w:r>
      <w:r w:rsidRPr="00D344DD">
        <w:rPr>
          <w:rFonts w:ascii="Garamond" w:hAnsi="Garamond"/>
          <w:sz w:val="24"/>
          <w:szCs w:val="24"/>
        </w:rPr>
        <w:t xml:space="preserve"> </w:t>
      </w:r>
      <w:r w:rsidR="0044200F" w:rsidRPr="00D344DD">
        <w:rPr>
          <w:rFonts w:ascii="Garamond" w:hAnsi="Garamond"/>
          <w:sz w:val="24"/>
          <w:szCs w:val="24"/>
        </w:rPr>
        <w:t>2012. The commonplace geopolitics of conspiracy. Geography Compass, 6(1), 44-59.</w:t>
      </w:r>
    </w:p>
    <w:p w14:paraId="0292E05A"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Jones, R</w:t>
      </w:r>
      <w:r>
        <w:rPr>
          <w:rFonts w:ascii="Garamond" w:hAnsi="Garamond"/>
          <w:sz w:val="24"/>
          <w:szCs w:val="24"/>
        </w:rPr>
        <w:t xml:space="preserve">., Pykett, J., &amp; Whitehead, M., </w:t>
      </w:r>
      <w:r w:rsidRPr="00D344DD">
        <w:rPr>
          <w:rFonts w:ascii="Garamond" w:hAnsi="Garamond"/>
          <w:sz w:val="24"/>
          <w:szCs w:val="24"/>
        </w:rPr>
        <w:t>2011a. Governing tempt</w:t>
      </w:r>
      <w:r>
        <w:rPr>
          <w:rFonts w:ascii="Garamond" w:hAnsi="Garamond"/>
          <w:sz w:val="24"/>
          <w:szCs w:val="24"/>
        </w:rPr>
        <w:t xml:space="preserve">ation: Changing behaviour in an </w:t>
      </w:r>
      <w:r w:rsidRPr="00D344DD">
        <w:rPr>
          <w:rFonts w:ascii="Garamond" w:hAnsi="Garamond"/>
          <w:sz w:val="24"/>
          <w:szCs w:val="24"/>
        </w:rPr>
        <w:t>age of libertarian paternalism. Progress in human geography, 35(4), 483-501.</w:t>
      </w:r>
    </w:p>
    <w:p w14:paraId="57B592DE" w14:textId="12E7CD46" w:rsidR="0044200F" w:rsidRPr="00D344DD" w:rsidRDefault="00112825" w:rsidP="00F27620">
      <w:pPr>
        <w:pStyle w:val="p1"/>
        <w:spacing w:line="480" w:lineRule="auto"/>
        <w:rPr>
          <w:rFonts w:ascii="Garamond" w:hAnsi="Garamond"/>
          <w:sz w:val="24"/>
          <w:szCs w:val="24"/>
        </w:rPr>
      </w:pPr>
      <w:r w:rsidRPr="00D344DD">
        <w:rPr>
          <w:rFonts w:ascii="Garamond" w:hAnsi="Garamond"/>
          <w:sz w:val="24"/>
          <w:szCs w:val="24"/>
        </w:rPr>
        <w:t>Jones, R</w:t>
      </w:r>
      <w:r>
        <w:rPr>
          <w:rFonts w:ascii="Garamond" w:hAnsi="Garamond"/>
          <w:sz w:val="24"/>
          <w:szCs w:val="24"/>
        </w:rPr>
        <w:t xml:space="preserve">., Pykett, J., &amp; Whitehead, M., </w:t>
      </w:r>
      <w:r w:rsidR="0044200F" w:rsidRPr="00D344DD">
        <w:rPr>
          <w:rFonts w:ascii="Garamond" w:hAnsi="Garamond"/>
          <w:sz w:val="24"/>
          <w:szCs w:val="24"/>
        </w:rPr>
        <w:t>2011b. The geographies of soft paternalism in the UK: the rise of the avun</w:t>
      </w:r>
      <w:r w:rsidR="0044200F">
        <w:rPr>
          <w:rFonts w:ascii="Garamond" w:hAnsi="Garamond"/>
          <w:sz w:val="24"/>
          <w:szCs w:val="24"/>
        </w:rPr>
        <w:t xml:space="preserve">cular state and </w:t>
      </w:r>
      <w:r w:rsidR="0044200F" w:rsidRPr="00D344DD">
        <w:rPr>
          <w:rFonts w:ascii="Garamond" w:hAnsi="Garamond"/>
          <w:sz w:val="24"/>
          <w:szCs w:val="24"/>
        </w:rPr>
        <w:t>changing behaviour after neoliberalism. Geography Compass, 5(1), 50-62.</w:t>
      </w:r>
    </w:p>
    <w:p w14:paraId="6BD03500" w14:textId="419FA34C" w:rsidR="0044200F" w:rsidRPr="00D344DD" w:rsidRDefault="00112825" w:rsidP="00F27620">
      <w:pPr>
        <w:pStyle w:val="p1"/>
        <w:spacing w:line="480" w:lineRule="auto"/>
        <w:rPr>
          <w:rFonts w:ascii="Garamond" w:hAnsi="Garamond"/>
          <w:sz w:val="24"/>
          <w:szCs w:val="24"/>
        </w:rPr>
      </w:pPr>
      <w:r w:rsidRPr="00D344DD">
        <w:rPr>
          <w:rFonts w:ascii="Garamond" w:hAnsi="Garamond"/>
          <w:sz w:val="24"/>
          <w:szCs w:val="24"/>
        </w:rPr>
        <w:t>Jones, R</w:t>
      </w:r>
      <w:r>
        <w:rPr>
          <w:rFonts w:ascii="Garamond" w:hAnsi="Garamond"/>
          <w:sz w:val="24"/>
          <w:szCs w:val="24"/>
        </w:rPr>
        <w:t xml:space="preserve">., Pykett, J., &amp; Whitehead, M., </w:t>
      </w:r>
      <w:r w:rsidR="0044200F">
        <w:rPr>
          <w:rFonts w:ascii="Garamond" w:hAnsi="Garamond"/>
          <w:sz w:val="24"/>
          <w:szCs w:val="24"/>
        </w:rPr>
        <w:t>2013</w:t>
      </w:r>
      <w:r w:rsidR="0044200F" w:rsidRPr="00D344DD">
        <w:rPr>
          <w:rFonts w:ascii="Garamond" w:hAnsi="Garamond"/>
          <w:sz w:val="24"/>
          <w:szCs w:val="24"/>
        </w:rPr>
        <w:t>. Behaviour change policies in the UK: an anthropological perspective. Geoforum, 48, 33-41.</w:t>
      </w:r>
    </w:p>
    <w:p w14:paraId="2D8E367D"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Kennedy, S</w:t>
      </w:r>
      <w:r>
        <w:rPr>
          <w:rFonts w:ascii="Garamond" w:hAnsi="Garamond"/>
          <w:sz w:val="24"/>
          <w:szCs w:val="24"/>
        </w:rPr>
        <w:t>.</w:t>
      </w:r>
      <w:r w:rsidRPr="00D344DD">
        <w:rPr>
          <w:rFonts w:ascii="Garamond" w:hAnsi="Garamond"/>
          <w:sz w:val="24"/>
          <w:szCs w:val="24"/>
        </w:rPr>
        <w:t xml:space="preserve"> and </w:t>
      </w:r>
      <w:r>
        <w:rPr>
          <w:rFonts w:ascii="Garamond" w:hAnsi="Garamond"/>
          <w:sz w:val="24"/>
          <w:szCs w:val="24"/>
        </w:rPr>
        <w:t>Keen. R.,</w:t>
      </w:r>
      <w:r w:rsidRPr="00D344DD">
        <w:rPr>
          <w:rFonts w:ascii="Garamond" w:hAnsi="Garamond"/>
          <w:sz w:val="24"/>
          <w:szCs w:val="24"/>
        </w:rPr>
        <w:t xml:space="preserve"> 2015. Briefing Paper: Tax Credit changes from April 2016. Briefing Paper Number CBP7300. House of Commons Library</w:t>
      </w:r>
    </w:p>
    <w:p w14:paraId="43CD2C0E"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 xml:space="preserve">Kirkup, J. &amp; </w:t>
      </w:r>
      <w:r>
        <w:rPr>
          <w:rFonts w:ascii="Garamond" w:hAnsi="Garamond"/>
          <w:sz w:val="24"/>
          <w:szCs w:val="24"/>
        </w:rPr>
        <w:t>Winnet, R.,</w:t>
      </w:r>
      <w:r w:rsidRPr="00D344DD">
        <w:rPr>
          <w:rFonts w:ascii="Garamond" w:hAnsi="Garamond"/>
          <w:sz w:val="24"/>
          <w:szCs w:val="24"/>
        </w:rPr>
        <w:t xml:space="preserve"> 2012. “Theresa May interview: 'We’re going to give illegal migrants a really hostile reception’” in The Telegraph 25</w:t>
      </w:r>
      <w:r w:rsidRPr="00D344DD">
        <w:rPr>
          <w:rFonts w:ascii="Garamond" w:hAnsi="Garamond"/>
          <w:sz w:val="24"/>
          <w:szCs w:val="24"/>
          <w:vertAlign w:val="superscript"/>
        </w:rPr>
        <w:t>th</w:t>
      </w:r>
      <w:r w:rsidRPr="00D344DD">
        <w:rPr>
          <w:rFonts w:ascii="Garamond" w:hAnsi="Garamond"/>
          <w:sz w:val="24"/>
          <w:szCs w:val="24"/>
        </w:rPr>
        <w:t xml:space="preserve"> May </w:t>
      </w:r>
    </w:p>
    <w:p w14:paraId="311FFC57"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Kneale, J., 2011. Plots: space, conspiracy, and contingency in William Gibson's Pattern Recognition and Spook Country. Environment and Planning D: Society and Space, 29(1), 169-186.</w:t>
      </w:r>
    </w:p>
    <w:p w14:paraId="3320549F"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Kn</w:t>
      </w:r>
      <w:r>
        <w:rPr>
          <w:rFonts w:ascii="Garamond" w:eastAsia="Times New Roman" w:hAnsi="Garamond"/>
        </w:rPr>
        <w:t>ight, P</w:t>
      </w:r>
      <w:r w:rsidRPr="00D344DD">
        <w:rPr>
          <w:rFonts w:ascii="Garamond" w:eastAsia="Times New Roman" w:hAnsi="Garamond"/>
        </w:rPr>
        <w:t>.</w:t>
      </w:r>
      <w:r>
        <w:rPr>
          <w:rFonts w:ascii="Garamond" w:eastAsia="Times New Roman" w:hAnsi="Garamond"/>
        </w:rPr>
        <w:t>,</w:t>
      </w:r>
      <w:r w:rsidRPr="00D344DD">
        <w:rPr>
          <w:rFonts w:ascii="Garamond" w:eastAsia="Times New Roman" w:hAnsi="Garamond"/>
        </w:rPr>
        <w:t xml:space="preserve"> 2013. </w:t>
      </w:r>
      <w:r w:rsidRPr="00D344DD">
        <w:rPr>
          <w:rFonts w:ascii="Garamond" w:eastAsia="Times New Roman" w:hAnsi="Garamond"/>
          <w:iCs/>
        </w:rPr>
        <w:t>Conspiracy Culture: From Kennedy to The X Files</w:t>
      </w:r>
      <w:r w:rsidRPr="00D344DD">
        <w:rPr>
          <w:rFonts w:ascii="Garamond" w:eastAsia="Times New Roman" w:hAnsi="Garamond"/>
        </w:rPr>
        <w:t>. Routledge.</w:t>
      </w:r>
    </w:p>
    <w:p w14:paraId="7A5B2862" w14:textId="29FA8747" w:rsidR="0044200F" w:rsidRPr="00D344DD" w:rsidRDefault="0044200F" w:rsidP="00F27620">
      <w:pPr>
        <w:spacing w:line="480" w:lineRule="auto"/>
        <w:ind w:left="426" w:hanging="426"/>
        <w:rPr>
          <w:rFonts w:ascii="Garamond" w:eastAsia="Times New Roman" w:hAnsi="Garamond"/>
          <w:lang w:eastAsia="en-GB"/>
        </w:rPr>
      </w:pPr>
      <w:r w:rsidRPr="00D344DD">
        <w:rPr>
          <w:rFonts w:ascii="Garamond" w:eastAsia="Times New Roman" w:hAnsi="Garamond"/>
          <w:lang w:eastAsia="en-GB"/>
        </w:rPr>
        <w:t xml:space="preserve">Kristeva, </w:t>
      </w:r>
      <w:r w:rsidR="00A37822">
        <w:rPr>
          <w:rFonts w:ascii="Garamond" w:eastAsia="Times New Roman" w:hAnsi="Garamond"/>
          <w:lang w:eastAsia="en-GB"/>
        </w:rPr>
        <w:t xml:space="preserve">J., </w:t>
      </w:r>
      <w:r w:rsidRPr="00D344DD">
        <w:rPr>
          <w:rFonts w:ascii="Garamond" w:eastAsia="Times New Roman" w:hAnsi="Garamond"/>
          <w:lang w:eastAsia="en-GB"/>
        </w:rPr>
        <w:t>Powers of Horror, trans. Leon Samuel Roudiez. New York: Columbia University Press 1982.</w:t>
      </w:r>
    </w:p>
    <w:p w14:paraId="16292287" w14:textId="24488037" w:rsidR="0044200F" w:rsidRPr="00D344DD" w:rsidRDefault="0044200F" w:rsidP="00F27620">
      <w:pPr>
        <w:spacing w:line="480" w:lineRule="auto"/>
        <w:ind w:left="426" w:hanging="426"/>
        <w:rPr>
          <w:rFonts w:ascii="Garamond" w:eastAsia="Times New Roman" w:hAnsi="Garamond"/>
          <w:lang w:eastAsia="en-GB"/>
        </w:rPr>
      </w:pPr>
      <w:r>
        <w:rPr>
          <w:rFonts w:ascii="Garamond" w:eastAsia="Times New Roman" w:hAnsi="Garamond"/>
        </w:rPr>
        <w:t xml:space="preserve">Laing, R., </w:t>
      </w:r>
      <w:r w:rsidRPr="00D344DD">
        <w:rPr>
          <w:rFonts w:ascii="Garamond" w:eastAsia="Times New Roman" w:hAnsi="Garamond"/>
        </w:rPr>
        <w:t xml:space="preserve">2010. </w:t>
      </w:r>
      <w:r w:rsidRPr="00D344DD">
        <w:rPr>
          <w:rFonts w:ascii="Garamond" w:eastAsia="Times New Roman" w:hAnsi="Garamond"/>
          <w:iCs/>
        </w:rPr>
        <w:t>The Divided Self: An Existential Study in Sanity and Madness</w:t>
      </w:r>
      <w:r w:rsidRPr="00D344DD">
        <w:rPr>
          <w:rFonts w:ascii="Garamond" w:eastAsia="Times New Roman" w:hAnsi="Garamond"/>
        </w:rPr>
        <w:t>. Penguin UK.</w:t>
      </w:r>
    </w:p>
    <w:p w14:paraId="431E5050" w14:textId="25B525C2"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lastRenderedPageBreak/>
        <w:t>Lancione, M.</w:t>
      </w:r>
      <w:r w:rsidR="00112825">
        <w:rPr>
          <w:rFonts w:ascii="Garamond" w:eastAsia="Times New Roman" w:hAnsi="Garamond"/>
        </w:rPr>
        <w:t>,</w:t>
      </w:r>
      <w:r w:rsidRPr="00D344DD">
        <w:rPr>
          <w:rFonts w:ascii="Garamond" w:eastAsia="Times New Roman" w:hAnsi="Garamond"/>
        </w:rPr>
        <w:t xml:space="preserve"> 2014a. “Assemblages of Care and the Analysis of Public Policies on Homelessness in Turin, Italy.” </w:t>
      </w:r>
      <w:r w:rsidRPr="00D344DD">
        <w:rPr>
          <w:rFonts w:ascii="Garamond" w:eastAsia="Times New Roman" w:hAnsi="Garamond"/>
          <w:iCs/>
        </w:rPr>
        <w:t>City</w:t>
      </w:r>
      <w:r w:rsidRPr="00D344DD">
        <w:rPr>
          <w:rFonts w:ascii="Garamond" w:eastAsia="Times New Roman" w:hAnsi="Garamond"/>
        </w:rPr>
        <w:t xml:space="preserve"> 18 (1):25–40. </w:t>
      </w:r>
    </w:p>
    <w:p w14:paraId="7CFBDA89" w14:textId="55291FC8" w:rsidR="0044200F" w:rsidRPr="00D344DD" w:rsidRDefault="0044200F" w:rsidP="00F27620">
      <w:pPr>
        <w:spacing w:line="480" w:lineRule="auto"/>
        <w:ind w:left="426" w:hanging="426"/>
        <w:rPr>
          <w:rFonts w:ascii="Garamond" w:eastAsia="Times New Roman" w:hAnsi="Garamond"/>
        </w:rPr>
      </w:pPr>
      <w:r>
        <w:rPr>
          <w:rFonts w:ascii="Garamond" w:eastAsia="Times New Roman" w:hAnsi="Garamond"/>
        </w:rPr>
        <w:t xml:space="preserve"> </w:t>
      </w:r>
      <w:r w:rsidR="00112825" w:rsidRPr="00D344DD">
        <w:rPr>
          <w:rFonts w:ascii="Garamond" w:eastAsia="Times New Roman" w:hAnsi="Garamond"/>
        </w:rPr>
        <w:t>Lancione, M.</w:t>
      </w:r>
      <w:r w:rsidR="00112825">
        <w:rPr>
          <w:rFonts w:ascii="Garamond" w:eastAsia="Times New Roman" w:hAnsi="Garamond"/>
        </w:rPr>
        <w:t xml:space="preserve">, </w:t>
      </w:r>
      <w:r w:rsidRPr="00D344DD">
        <w:rPr>
          <w:rFonts w:ascii="Garamond" w:eastAsia="Times New Roman" w:hAnsi="Garamond"/>
        </w:rPr>
        <w:t>2014b. Entanglements of faith: Discourses, practices of care and homeless people in an Italian City of Saints. </w:t>
      </w:r>
      <w:r w:rsidRPr="00D344DD">
        <w:rPr>
          <w:rFonts w:ascii="Garamond" w:eastAsia="Times New Roman" w:hAnsi="Garamond"/>
          <w:iCs/>
        </w:rPr>
        <w:t>Urban Studies</w:t>
      </w:r>
      <w:r w:rsidRPr="00D344DD">
        <w:rPr>
          <w:rFonts w:ascii="Garamond" w:eastAsia="Times New Roman" w:hAnsi="Garamond"/>
        </w:rPr>
        <w:t>, </w:t>
      </w:r>
      <w:r w:rsidRPr="00D344DD">
        <w:rPr>
          <w:rFonts w:ascii="Garamond" w:eastAsia="Times New Roman" w:hAnsi="Garamond"/>
          <w:iCs/>
        </w:rPr>
        <w:t>51</w:t>
      </w:r>
      <w:r w:rsidRPr="00D344DD">
        <w:rPr>
          <w:rFonts w:ascii="Garamond" w:eastAsia="Times New Roman" w:hAnsi="Garamond"/>
        </w:rPr>
        <w:t>(14), 3062-3078.</w:t>
      </w:r>
    </w:p>
    <w:p w14:paraId="64FBB2ED" w14:textId="02DEDB16" w:rsidR="0044200F" w:rsidRPr="00D344DD" w:rsidRDefault="00112825" w:rsidP="00F27620">
      <w:pPr>
        <w:spacing w:line="480" w:lineRule="auto"/>
        <w:ind w:left="426" w:hanging="426"/>
        <w:rPr>
          <w:rFonts w:ascii="Garamond" w:eastAsia="Times New Roman" w:hAnsi="Garamond"/>
          <w:lang w:eastAsia="en-GB"/>
        </w:rPr>
      </w:pPr>
      <w:r w:rsidRPr="00D344DD">
        <w:rPr>
          <w:rFonts w:ascii="Garamond" w:eastAsia="Times New Roman" w:hAnsi="Garamond"/>
        </w:rPr>
        <w:t>Lancione, M.</w:t>
      </w:r>
      <w:r>
        <w:rPr>
          <w:rFonts w:ascii="Garamond" w:eastAsia="Times New Roman" w:hAnsi="Garamond"/>
        </w:rPr>
        <w:t xml:space="preserve">, </w:t>
      </w:r>
      <w:r w:rsidR="0044200F">
        <w:rPr>
          <w:rFonts w:ascii="Garamond" w:eastAsia="Times New Roman" w:hAnsi="Garamond"/>
          <w:lang w:eastAsia="en-GB"/>
        </w:rPr>
        <w:t>2017</w:t>
      </w:r>
      <w:r w:rsidR="0044200F" w:rsidRPr="00D344DD">
        <w:rPr>
          <w:rFonts w:ascii="Garamond" w:eastAsia="Times New Roman" w:hAnsi="Garamond"/>
          <w:lang w:eastAsia="en-GB"/>
        </w:rPr>
        <w:t>. The ethnographic novel as activist mode of existence: translating the field with homeless people and beyond. Social &amp; Cultural Geography, 18(7), 994-1015.</w:t>
      </w:r>
    </w:p>
    <w:p w14:paraId="270C235D"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Leggett, W.</w:t>
      </w:r>
      <w:r>
        <w:rPr>
          <w:rFonts w:ascii="Garamond" w:eastAsia="Times New Roman" w:hAnsi="Garamond"/>
        </w:rPr>
        <w:t>,</w:t>
      </w:r>
      <w:r w:rsidRPr="00D344DD">
        <w:rPr>
          <w:rFonts w:ascii="Garamond" w:eastAsia="Times New Roman" w:hAnsi="Garamond"/>
        </w:rPr>
        <w:t xml:space="preserve"> 2014. The Politics of Behaviour Change: Nudge, Neoliberalism and the State. </w:t>
      </w:r>
      <w:r w:rsidRPr="00D344DD">
        <w:rPr>
          <w:rFonts w:ascii="Garamond" w:eastAsia="Times New Roman" w:hAnsi="Garamond"/>
          <w:iCs/>
        </w:rPr>
        <w:t>Policy &amp; Politics</w:t>
      </w:r>
      <w:r>
        <w:rPr>
          <w:rFonts w:ascii="Garamond" w:eastAsia="Times New Roman" w:hAnsi="Garamond"/>
        </w:rPr>
        <w:t xml:space="preserve"> 42 (1), </w:t>
      </w:r>
      <w:r w:rsidRPr="00D344DD">
        <w:rPr>
          <w:rFonts w:ascii="Garamond" w:eastAsia="Times New Roman" w:hAnsi="Garamond"/>
        </w:rPr>
        <w:t xml:space="preserve">3–19. </w:t>
      </w:r>
    </w:p>
    <w:p w14:paraId="17B56487"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O’Malley, J.</w:t>
      </w:r>
      <w:r>
        <w:rPr>
          <w:rFonts w:ascii="Garamond" w:eastAsia="Times New Roman" w:hAnsi="Garamond"/>
        </w:rPr>
        <w:t>,</w:t>
      </w:r>
      <w:r w:rsidRPr="00D344DD">
        <w:rPr>
          <w:rFonts w:ascii="Garamond" w:eastAsia="Times New Roman" w:hAnsi="Garamond"/>
        </w:rPr>
        <w:t xml:space="preserve"> 2016. “Declare London independent from the UK and apply to join the EU.” On Change.org. </w:t>
      </w:r>
      <w:hyperlink r:id="rId8" w:history="1">
        <w:r w:rsidRPr="00D344DD">
          <w:rPr>
            <w:rStyle w:val="Hyperlink"/>
            <w:rFonts w:ascii="Garamond" w:eastAsia="Times New Roman" w:hAnsi="Garamond"/>
          </w:rPr>
          <w:t>https://www.change.org/p/sadiq-khan-declare-london-independent-from-the-uk-and-apply-to-join-the-eu accessed January 2018</w:t>
        </w:r>
      </w:hyperlink>
    </w:p>
    <w:p w14:paraId="24DE5C4C"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Parr, H.</w:t>
      </w:r>
      <w:r>
        <w:rPr>
          <w:rFonts w:ascii="Garamond" w:eastAsia="Times New Roman" w:hAnsi="Garamond"/>
        </w:rPr>
        <w:t>,</w:t>
      </w:r>
      <w:r w:rsidRPr="00D344DD">
        <w:rPr>
          <w:rFonts w:ascii="Garamond" w:eastAsia="Times New Roman" w:hAnsi="Garamond"/>
        </w:rPr>
        <w:t xml:space="preserve"> 1998 Mental h</w:t>
      </w:r>
      <w:r>
        <w:rPr>
          <w:rFonts w:ascii="Garamond" w:eastAsia="Times New Roman" w:hAnsi="Garamond"/>
        </w:rPr>
        <w:t>ealth, ethnography and the body.</w:t>
      </w:r>
      <w:r w:rsidRPr="00D344DD">
        <w:rPr>
          <w:rFonts w:ascii="Garamond" w:eastAsia="Times New Roman" w:hAnsi="Garamond"/>
        </w:rPr>
        <w:t xml:space="preserve"> Area 30 (1): 28-37</w:t>
      </w:r>
    </w:p>
    <w:p w14:paraId="01878D81" w14:textId="0DA92E83" w:rsidR="0044200F" w:rsidRPr="00D344DD" w:rsidRDefault="00112825" w:rsidP="00F27620">
      <w:pPr>
        <w:spacing w:line="480" w:lineRule="auto"/>
        <w:ind w:left="426" w:hanging="426"/>
        <w:rPr>
          <w:rFonts w:ascii="Garamond" w:eastAsia="Times New Roman" w:hAnsi="Garamond"/>
        </w:rPr>
      </w:pPr>
      <w:r w:rsidRPr="00D344DD">
        <w:rPr>
          <w:rFonts w:ascii="Garamond" w:eastAsia="Times New Roman" w:hAnsi="Garamond"/>
        </w:rPr>
        <w:t>Parr, H.</w:t>
      </w:r>
      <w:r>
        <w:rPr>
          <w:rFonts w:ascii="Garamond" w:eastAsia="Times New Roman" w:hAnsi="Garamond"/>
        </w:rPr>
        <w:t>,</w:t>
      </w:r>
      <w:r w:rsidRPr="00D344DD">
        <w:rPr>
          <w:rFonts w:ascii="Garamond" w:eastAsia="Times New Roman" w:hAnsi="Garamond"/>
        </w:rPr>
        <w:t xml:space="preserve"> </w:t>
      </w:r>
      <w:r w:rsidR="0044200F">
        <w:rPr>
          <w:rFonts w:ascii="Garamond" w:eastAsia="Times New Roman" w:hAnsi="Garamond" w:cs="Times New Roman"/>
          <w:lang w:eastAsia="en-GB"/>
        </w:rPr>
        <w:t xml:space="preserve">2000. </w:t>
      </w:r>
      <w:r w:rsidR="0044200F" w:rsidRPr="00D344DD">
        <w:rPr>
          <w:rFonts w:ascii="Garamond" w:eastAsia="Times New Roman" w:hAnsi="Garamond" w:cs="Times New Roman"/>
          <w:lang w:eastAsia="en-GB"/>
        </w:rPr>
        <w:t>Interpreting the ‘hidden social geographies’ of mental health: ethnographies of inclusion and exclusio</w:t>
      </w:r>
      <w:r w:rsidR="0044200F">
        <w:rPr>
          <w:rFonts w:ascii="Garamond" w:eastAsia="Times New Roman" w:hAnsi="Garamond" w:cs="Times New Roman"/>
          <w:lang w:eastAsia="en-GB"/>
        </w:rPr>
        <w:t xml:space="preserve">n in semi-institutional places. </w:t>
      </w:r>
      <w:r w:rsidR="0044200F" w:rsidRPr="00D344DD">
        <w:rPr>
          <w:rFonts w:ascii="Garamond" w:eastAsia="Times New Roman" w:hAnsi="Garamond" w:cs="Times New Roman"/>
          <w:lang w:eastAsia="en-GB"/>
        </w:rPr>
        <w:t>Health and Place 6 (3):225-237</w:t>
      </w:r>
    </w:p>
    <w:p w14:paraId="484C42B0" w14:textId="77777777" w:rsidR="0044200F" w:rsidRPr="00D344DD" w:rsidRDefault="0044200F" w:rsidP="00F27620">
      <w:pPr>
        <w:spacing w:line="480" w:lineRule="auto"/>
        <w:ind w:left="426" w:hanging="426"/>
        <w:rPr>
          <w:rFonts w:ascii="Garamond" w:eastAsia="Times New Roman" w:hAnsi="Garamond" w:cs="Arial"/>
          <w:color w:val="000000"/>
          <w:shd w:val="clear" w:color="auto" w:fill="FFFFFF"/>
        </w:rPr>
      </w:pPr>
      <w:r w:rsidRPr="00D344DD">
        <w:rPr>
          <w:rFonts w:ascii="Garamond" w:eastAsia="Times New Roman" w:hAnsi="Garamond" w:cs="Arial"/>
          <w:color w:val="000000"/>
          <w:shd w:val="clear" w:color="auto" w:fill="FFFFFF"/>
        </w:rPr>
        <w:t xml:space="preserve">Loopstra R., Reeves A, Taylor-Robinson D, Barr B, McKee M, Stuckler D. </w:t>
      </w:r>
      <w:r>
        <w:rPr>
          <w:rFonts w:ascii="Garamond" w:eastAsia="Times New Roman" w:hAnsi="Garamond" w:cs="Arial"/>
          <w:color w:val="000000"/>
          <w:shd w:val="clear" w:color="auto" w:fill="FFFFFF"/>
        </w:rPr>
        <w:t xml:space="preserve">2015 ., </w:t>
      </w:r>
      <w:r w:rsidRPr="00D344DD">
        <w:rPr>
          <w:rFonts w:ascii="Garamond" w:eastAsia="Times New Roman" w:hAnsi="Garamond" w:cs="Arial"/>
          <w:color w:val="000000"/>
          <w:shd w:val="clear" w:color="auto" w:fill="FFFFFF"/>
        </w:rPr>
        <w:t>Austerity, sanctions, and the rise of food banks in the UK. B</w:t>
      </w:r>
      <w:r>
        <w:rPr>
          <w:rFonts w:ascii="Garamond" w:eastAsia="Times New Roman" w:hAnsi="Garamond" w:cs="Arial"/>
          <w:color w:val="000000"/>
          <w:shd w:val="clear" w:color="auto" w:fill="FFFFFF"/>
        </w:rPr>
        <w:t xml:space="preserve">ritish Medical Journal. Apr 8, </w:t>
      </w:r>
      <w:r w:rsidRPr="00D344DD">
        <w:rPr>
          <w:rFonts w:ascii="Garamond" w:eastAsia="Times New Roman" w:hAnsi="Garamond" w:cs="Arial"/>
          <w:color w:val="000000"/>
          <w:shd w:val="clear" w:color="auto" w:fill="FFFFFF"/>
        </w:rPr>
        <w:t>350.</w:t>
      </w:r>
    </w:p>
    <w:p w14:paraId="30A735F4" w14:textId="77777777" w:rsidR="0044200F" w:rsidRPr="00D344DD" w:rsidRDefault="0044200F" w:rsidP="00F27620">
      <w:pPr>
        <w:spacing w:line="480" w:lineRule="auto"/>
        <w:ind w:left="426" w:hanging="426"/>
        <w:rPr>
          <w:rFonts w:ascii="Garamond" w:eastAsia="Times New Roman" w:hAnsi="Garamond"/>
          <w:lang w:eastAsia="en-GB"/>
        </w:rPr>
      </w:pPr>
      <w:r w:rsidRPr="00D344DD">
        <w:rPr>
          <w:rFonts w:ascii="Garamond" w:eastAsia="Times New Roman" w:hAnsi="Garamond"/>
          <w:lang w:eastAsia="en-GB"/>
        </w:rPr>
        <w:t>Lowndes, V. and Pratchett, L. (2011) Local governance under the Coalition Government: Austerity, Localism and the ‘Big Society’, Local Government Studies, 38(1), pp.21-40.</w:t>
      </w:r>
    </w:p>
    <w:p w14:paraId="19CD92AE" w14:textId="77777777" w:rsidR="0044200F" w:rsidRPr="00D344DD" w:rsidRDefault="0044200F" w:rsidP="00F27620">
      <w:pPr>
        <w:spacing w:line="480" w:lineRule="auto"/>
        <w:ind w:left="426" w:hanging="426"/>
        <w:rPr>
          <w:rFonts w:ascii="Garamond" w:hAnsi="Garamond"/>
          <w:kern w:val="1"/>
        </w:rPr>
      </w:pPr>
      <w:r w:rsidRPr="00D344DD">
        <w:rPr>
          <w:rFonts w:ascii="Garamond" w:hAnsi="Garamond"/>
          <w:kern w:val="1"/>
        </w:rPr>
        <w:t>Malik, S.</w:t>
      </w:r>
      <w:r>
        <w:rPr>
          <w:rFonts w:ascii="Garamond" w:hAnsi="Garamond"/>
          <w:kern w:val="1"/>
        </w:rPr>
        <w:t>,</w:t>
      </w:r>
      <w:r w:rsidRPr="00D344DD">
        <w:rPr>
          <w:rFonts w:ascii="Garamond" w:hAnsi="Garamond"/>
          <w:kern w:val="1"/>
        </w:rPr>
        <w:t xml:space="preserve"> 2013, Jobseekers made to car</w:t>
      </w:r>
      <w:r>
        <w:rPr>
          <w:rFonts w:ascii="Garamond" w:hAnsi="Garamond"/>
          <w:kern w:val="1"/>
        </w:rPr>
        <w:t>ry out bogus psychometric tests.</w:t>
      </w:r>
      <w:r w:rsidRPr="00D344DD">
        <w:rPr>
          <w:rFonts w:ascii="Garamond" w:hAnsi="Garamond"/>
          <w:kern w:val="1"/>
        </w:rPr>
        <w:t xml:space="preserve"> The Guardian </w:t>
      </w:r>
    </w:p>
    <w:p w14:paraId="7E80EA29" w14:textId="77777777" w:rsidR="0044200F" w:rsidRPr="00D344DD" w:rsidRDefault="0044200F" w:rsidP="00F27620">
      <w:pPr>
        <w:spacing w:line="480" w:lineRule="auto"/>
        <w:ind w:left="426" w:hanging="426"/>
        <w:rPr>
          <w:rFonts w:ascii="Garamond" w:hAnsi="Garamond"/>
        </w:rPr>
      </w:pPr>
      <w:r w:rsidRPr="00D344DD">
        <w:rPr>
          <w:rFonts w:ascii="Garamond" w:hAnsi="Garamond"/>
          <w:kern w:val="1"/>
        </w:rPr>
        <w:t>Marshall, T</w:t>
      </w:r>
      <w:r>
        <w:rPr>
          <w:rFonts w:ascii="Garamond" w:hAnsi="Garamond"/>
          <w:kern w:val="1"/>
        </w:rPr>
        <w:t>.,</w:t>
      </w:r>
      <w:r w:rsidRPr="00D344DD">
        <w:rPr>
          <w:rFonts w:ascii="Garamond" w:hAnsi="Garamond"/>
          <w:kern w:val="1"/>
        </w:rPr>
        <w:t xml:space="preserve"> 2016. “London referendum results: Twitter users call for capital to become independent state after Brexit vote” in The Evening Standard</w:t>
      </w:r>
    </w:p>
    <w:p w14:paraId="32A415A4"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Marx, K.</w:t>
      </w:r>
      <w:r>
        <w:rPr>
          <w:rFonts w:ascii="Garamond" w:hAnsi="Garamond"/>
          <w:sz w:val="24"/>
          <w:szCs w:val="24"/>
        </w:rPr>
        <w:t>,</w:t>
      </w:r>
      <w:r w:rsidRPr="00D344DD">
        <w:rPr>
          <w:rFonts w:ascii="Garamond" w:hAnsi="Garamond"/>
          <w:sz w:val="24"/>
          <w:szCs w:val="24"/>
        </w:rPr>
        <w:t xml:space="preserve"> 2000. Karl Marx: Selected Writings. Edited by David McLellan. Oxford, Oxford University Press.</w:t>
      </w:r>
    </w:p>
    <w:p w14:paraId="5BDEFA09"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 xml:space="preserve">Modan, </w:t>
      </w:r>
      <w:r>
        <w:rPr>
          <w:rFonts w:ascii="Garamond" w:hAnsi="Garamond"/>
          <w:sz w:val="24"/>
          <w:szCs w:val="24"/>
        </w:rPr>
        <w:t>G</w:t>
      </w:r>
      <w:r w:rsidRPr="00D344DD">
        <w:rPr>
          <w:rFonts w:ascii="Garamond" w:hAnsi="Garamond"/>
          <w:sz w:val="24"/>
          <w:szCs w:val="24"/>
        </w:rPr>
        <w:t>.</w:t>
      </w:r>
      <w:r>
        <w:rPr>
          <w:rFonts w:ascii="Garamond" w:hAnsi="Garamond"/>
          <w:sz w:val="24"/>
          <w:szCs w:val="24"/>
        </w:rPr>
        <w:t>,</w:t>
      </w:r>
      <w:r w:rsidRPr="00D344DD">
        <w:rPr>
          <w:rFonts w:ascii="Garamond" w:hAnsi="Garamond"/>
          <w:sz w:val="24"/>
          <w:szCs w:val="24"/>
        </w:rPr>
        <w:t xml:space="preserve"> 2008. Turf Wars: Discourse, Diversity, and the Politics of Place. Oxford, Blackwell</w:t>
      </w:r>
    </w:p>
    <w:p w14:paraId="142B13B9"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Newman, J.</w:t>
      </w:r>
      <w:r>
        <w:rPr>
          <w:rFonts w:ascii="Garamond" w:hAnsi="Garamond"/>
          <w:sz w:val="24"/>
          <w:szCs w:val="24"/>
        </w:rPr>
        <w:t>,</w:t>
      </w:r>
      <w:r w:rsidRPr="00D344DD">
        <w:rPr>
          <w:rFonts w:ascii="Garamond" w:hAnsi="Garamond"/>
          <w:sz w:val="24"/>
          <w:szCs w:val="24"/>
        </w:rPr>
        <w:t xml:space="preserve"> </w:t>
      </w:r>
      <w:r>
        <w:rPr>
          <w:rFonts w:ascii="Garamond" w:hAnsi="Garamond"/>
          <w:sz w:val="24"/>
          <w:szCs w:val="24"/>
        </w:rPr>
        <w:t>2014</w:t>
      </w:r>
      <w:r w:rsidRPr="00D344DD">
        <w:rPr>
          <w:rFonts w:ascii="Garamond" w:hAnsi="Garamond"/>
          <w:sz w:val="24"/>
          <w:szCs w:val="24"/>
        </w:rPr>
        <w:t xml:space="preserve"> Landscapes of antagonism: Local governance, neoliberalism and austerity, Urban Studies, 51(15), pp.3290-3305.</w:t>
      </w:r>
    </w:p>
    <w:p w14:paraId="53A05BA0"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lastRenderedPageBreak/>
        <w:t>Oxford English Dictionary (OED) 2017.</w:t>
      </w:r>
      <w:r>
        <w:rPr>
          <w:rFonts w:ascii="Garamond" w:hAnsi="Garamond"/>
          <w:sz w:val="24"/>
          <w:szCs w:val="24"/>
        </w:rPr>
        <w:t>,</w:t>
      </w:r>
      <w:r w:rsidRPr="00D344DD">
        <w:rPr>
          <w:rFonts w:ascii="Garamond" w:hAnsi="Garamond"/>
          <w:sz w:val="24"/>
          <w:szCs w:val="24"/>
        </w:rPr>
        <w:t xml:space="preserve"> "man, n.1 (and int.)." OED Online, Oxford University Press, June 2017, www.oed.com/view/Entry/113198. Accessed 8 January 2018.</w:t>
      </w:r>
    </w:p>
    <w:p w14:paraId="49E7E48A"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Paton, K. 2014.</w:t>
      </w:r>
      <w:r>
        <w:rPr>
          <w:rFonts w:ascii="Garamond" w:hAnsi="Garamond"/>
          <w:sz w:val="24"/>
          <w:szCs w:val="24"/>
        </w:rPr>
        <w:t>,</w:t>
      </w:r>
      <w:r w:rsidRPr="00D344DD">
        <w:rPr>
          <w:rFonts w:ascii="Garamond" w:hAnsi="Garamond"/>
          <w:sz w:val="24"/>
          <w:szCs w:val="24"/>
        </w:rPr>
        <w:t xml:space="preserve"> Gentrification: A Working-Class Perspective</w:t>
      </w:r>
      <w:r>
        <w:rPr>
          <w:rFonts w:ascii="Garamond" w:hAnsi="Garamond"/>
          <w:sz w:val="24"/>
          <w:szCs w:val="24"/>
        </w:rPr>
        <w:t>. Ashgate, Farnham</w:t>
      </w:r>
    </w:p>
    <w:p w14:paraId="60374CAF"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 xml:space="preserve">Parr, </w:t>
      </w:r>
      <w:r>
        <w:rPr>
          <w:rFonts w:ascii="Garamond" w:hAnsi="Garamond"/>
          <w:sz w:val="24"/>
          <w:szCs w:val="24"/>
        </w:rPr>
        <w:t>H., 2000</w:t>
      </w:r>
      <w:r w:rsidRPr="00D344DD">
        <w:rPr>
          <w:rFonts w:ascii="Garamond" w:hAnsi="Garamond"/>
          <w:sz w:val="24"/>
          <w:szCs w:val="24"/>
        </w:rPr>
        <w:t>. Interpreting the ‘hidden social geographies’ of mental health: ethnographies of inclusion and exclusion in semi-institutional places. Health &amp; place, 6(3), 225-237.</w:t>
      </w:r>
    </w:p>
    <w:p w14:paraId="4485CB83" w14:textId="2E6A17BB" w:rsidR="0044200F" w:rsidRPr="00D344DD" w:rsidRDefault="0044200F"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cs="Times New Roman"/>
          <w:lang w:eastAsia="en-GB"/>
        </w:rPr>
        <w:t>Philo, C.</w:t>
      </w:r>
      <w:r>
        <w:rPr>
          <w:rFonts w:ascii="Garamond" w:eastAsia="Times New Roman" w:hAnsi="Garamond" w:cs="Times New Roman"/>
          <w:lang w:eastAsia="en-GB"/>
        </w:rPr>
        <w:t>,</w:t>
      </w:r>
      <w:r w:rsidRPr="00D344DD">
        <w:rPr>
          <w:rFonts w:ascii="Garamond" w:eastAsia="Times New Roman" w:hAnsi="Garamond" w:cs="Times New Roman"/>
          <w:lang w:eastAsia="en-GB"/>
        </w:rPr>
        <w:t xml:space="preserve"> 2012.</w:t>
      </w:r>
      <w:r>
        <w:rPr>
          <w:rFonts w:ascii="Garamond" w:eastAsia="Times New Roman" w:hAnsi="Garamond" w:cs="Times New Roman"/>
          <w:lang w:eastAsia="en-GB"/>
        </w:rPr>
        <w:t xml:space="preserve"> </w:t>
      </w:r>
      <w:r w:rsidRPr="00D344DD">
        <w:rPr>
          <w:rFonts w:ascii="Garamond" w:eastAsia="Times New Roman" w:hAnsi="Garamond" w:cs="Times New Roman"/>
          <w:lang w:eastAsia="en-GB"/>
        </w:rPr>
        <w:t>Security of G</w:t>
      </w:r>
      <w:r>
        <w:rPr>
          <w:rFonts w:ascii="Garamond" w:eastAsia="Times New Roman" w:hAnsi="Garamond" w:cs="Times New Roman"/>
          <w:lang w:eastAsia="en-GB"/>
        </w:rPr>
        <w:t>eography/Geography of Security.</w:t>
      </w:r>
      <w:r w:rsidRPr="00D344DD">
        <w:rPr>
          <w:rFonts w:ascii="Garamond" w:eastAsia="Times New Roman" w:hAnsi="Garamond" w:cs="Times New Roman"/>
          <w:lang w:eastAsia="en-GB"/>
        </w:rPr>
        <w:t xml:space="preserve"> </w:t>
      </w:r>
      <w:r w:rsidRPr="00D344DD">
        <w:rPr>
          <w:rFonts w:ascii="Garamond" w:eastAsia="Times New Roman" w:hAnsi="Garamond" w:cs="Times New Roman"/>
          <w:iCs/>
          <w:lang w:eastAsia="en-GB"/>
        </w:rPr>
        <w:t>Transactions of the Institute of British Geographers</w:t>
      </w:r>
      <w:r>
        <w:rPr>
          <w:rFonts w:ascii="Garamond" w:eastAsia="Times New Roman" w:hAnsi="Garamond" w:cs="Times New Roman"/>
          <w:lang w:eastAsia="en-GB"/>
        </w:rPr>
        <w:t xml:space="preserve"> 37 (1), </w:t>
      </w:r>
      <w:r w:rsidRPr="00D344DD">
        <w:rPr>
          <w:rFonts w:ascii="Garamond" w:eastAsia="Times New Roman" w:hAnsi="Garamond" w:cs="Times New Roman"/>
          <w:lang w:eastAsia="en-GB"/>
        </w:rPr>
        <w:t xml:space="preserve">1–7. </w:t>
      </w:r>
    </w:p>
    <w:p w14:paraId="5BDD36AE" w14:textId="12295C04" w:rsidR="0044200F" w:rsidRPr="00D344DD" w:rsidRDefault="00112825"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cs="Times New Roman"/>
          <w:lang w:eastAsia="en-GB"/>
        </w:rPr>
        <w:t>Philo, C.</w:t>
      </w:r>
      <w:r>
        <w:rPr>
          <w:rFonts w:ascii="Garamond" w:eastAsia="Times New Roman" w:hAnsi="Garamond" w:cs="Times New Roman"/>
          <w:lang w:eastAsia="en-GB"/>
        </w:rPr>
        <w:t>,</w:t>
      </w:r>
      <w:r w:rsidRPr="00D344DD">
        <w:rPr>
          <w:rFonts w:ascii="Garamond" w:eastAsia="Times New Roman" w:hAnsi="Garamond" w:cs="Times New Roman"/>
          <w:lang w:eastAsia="en-GB"/>
        </w:rPr>
        <w:t xml:space="preserve"> </w:t>
      </w:r>
      <w:r w:rsidR="0044200F" w:rsidRPr="00D344DD">
        <w:rPr>
          <w:rFonts w:ascii="Garamond" w:eastAsia="Times New Roman" w:hAnsi="Garamond" w:cs="Times New Roman"/>
          <w:lang w:eastAsia="en-GB"/>
        </w:rPr>
        <w:t xml:space="preserve">2014. “Insecure Bodies/Selves: Introduction to Theme Section.” </w:t>
      </w:r>
      <w:r w:rsidR="0044200F" w:rsidRPr="00D344DD">
        <w:rPr>
          <w:rFonts w:ascii="Garamond" w:eastAsia="Times New Roman" w:hAnsi="Garamond" w:cs="Times New Roman"/>
          <w:iCs/>
          <w:lang w:eastAsia="en-GB"/>
        </w:rPr>
        <w:t>Social &amp; Cultural Geography</w:t>
      </w:r>
      <w:r w:rsidR="0044200F">
        <w:rPr>
          <w:rFonts w:ascii="Garamond" w:eastAsia="Times New Roman" w:hAnsi="Garamond" w:cs="Times New Roman"/>
          <w:lang w:eastAsia="en-GB"/>
        </w:rPr>
        <w:t xml:space="preserve"> 15 (3), </w:t>
      </w:r>
      <w:r w:rsidR="0044200F" w:rsidRPr="00D344DD">
        <w:rPr>
          <w:rFonts w:ascii="Garamond" w:eastAsia="Times New Roman" w:hAnsi="Garamond" w:cs="Times New Roman"/>
          <w:lang w:eastAsia="en-GB"/>
        </w:rPr>
        <w:t xml:space="preserve">284–90. </w:t>
      </w:r>
    </w:p>
    <w:p w14:paraId="5087A619" w14:textId="77777777" w:rsidR="0044200F" w:rsidRPr="00D344DD" w:rsidRDefault="0044200F"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cs="Times New Roman"/>
          <w:lang w:eastAsia="en-GB"/>
        </w:rPr>
        <w:t>Proudfoot, J.</w:t>
      </w:r>
      <w:r>
        <w:rPr>
          <w:rFonts w:ascii="Garamond" w:eastAsia="Times New Roman" w:hAnsi="Garamond" w:cs="Times New Roman"/>
          <w:lang w:eastAsia="en-GB"/>
        </w:rPr>
        <w:t xml:space="preserve">, </w:t>
      </w:r>
      <w:r w:rsidRPr="00D344DD">
        <w:rPr>
          <w:rFonts w:ascii="Garamond" w:eastAsia="Times New Roman" w:hAnsi="Garamond" w:cs="Times New Roman"/>
          <w:lang w:eastAsia="en-GB"/>
        </w:rPr>
        <w:t>The libidinal economy of revanchism: Illicit drugs, harm reductio</w:t>
      </w:r>
      <w:r>
        <w:rPr>
          <w:rFonts w:ascii="Garamond" w:eastAsia="Times New Roman" w:hAnsi="Garamond" w:cs="Times New Roman"/>
          <w:lang w:eastAsia="en-GB"/>
        </w:rPr>
        <w:t>n, and the problem of enjoyment.,</w:t>
      </w:r>
      <w:r w:rsidRPr="00D344DD">
        <w:rPr>
          <w:rFonts w:ascii="Garamond" w:eastAsia="Times New Roman" w:hAnsi="Garamond" w:cs="Times New Roman"/>
          <w:lang w:eastAsia="en-GB"/>
        </w:rPr>
        <w:t xml:space="preserve"> Progress in Human Geography XX (X) pp. 1-21</w:t>
      </w:r>
    </w:p>
    <w:p w14:paraId="7EFBF4B4" w14:textId="77777777" w:rsidR="0044200F" w:rsidRPr="00D344DD" w:rsidRDefault="0044200F"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cs="Times New Roman"/>
          <w:lang w:eastAsia="en-GB"/>
        </w:rPr>
        <w:t>Pykett, J.</w:t>
      </w:r>
      <w:r>
        <w:rPr>
          <w:rFonts w:ascii="Garamond" w:eastAsia="Times New Roman" w:hAnsi="Garamond" w:cs="Times New Roman"/>
          <w:lang w:eastAsia="en-GB"/>
        </w:rPr>
        <w:t>, 2012</w:t>
      </w:r>
      <w:r w:rsidRPr="00D344DD">
        <w:rPr>
          <w:rFonts w:ascii="Garamond" w:eastAsia="Times New Roman" w:hAnsi="Garamond" w:cs="Times New Roman"/>
          <w:lang w:eastAsia="en-GB"/>
        </w:rPr>
        <w:t>. The new maternal state: The gendered politics of governing through behaviour change. </w:t>
      </w:r>
      <w:r w:rsidRPr="00D344DD">
        <w:rPr>
          <w:rFonts w:ascii="Garamond" w:eastAsia="Times New Roman" w:hAnsi="Garamond" w:cs="Times New Roman"/>
          <w:iCs/>
          <w:lang w:eastAsia="en-GB"/>
        </w:rPr>
        <w:t>Antipode</w:t>
      </w:r>
      <w:r w:rsidRPr="00D344DD">
        <w:rPr>
          <w:rFonts w:ascii="Garamond" w:eastAsia="Times New Roman" w:hAnsi="Garamond" w:cs="Times New Roman"/>
          <w:lang w:eastAsia="en-GB"/>
        </w:rPr>
        <w:t>, </w:t>
      </w:r>
      <w:r w:rsidRPr="00D344DD">
        <w:rPr>
          <w:rFonts w:ascii="Garamond" w:eastAsia="Times New Roman" w:hAnsi="Garamond" w:cs="Times New Roman"/>
          <w:iCs/>
          <w:lang w:eastAsia="en-GB"/>
        </w:rPr>
        <w:t>44</w:t>
      </w:r>
      <w:r>
        <w:rPr>
          <w:rFonts w:ascii="Garamond" w:eastAsia="Times New Roman" w:hAnsi="Garamond" w:cs="Times New Roman"/>
          <w:iCs/>
          <w:lang w:eastAsia="en-GB"/>
        </w:rPr>
        <w:t xml:space="preserve"> </w:t>
      </w:r>
      <w:r w:rsidRPr="00D344DD">
        <w:rPr>
          <w:rFonts w:ascii="Garamond" w:eastAsia="Times New Roman" w:hAnsi="Garamond" w:cs="Times New Roman"/>
          <w:lang w:eastAsia="en-GB"/>
        </w:rPr>
        <w:t>(1), 217-238.</w:t>
      </w:r>
    </w:p>
    <w:p w14:paraId="22E7A59D" w14:textId="1BEF9D52" w:rsidR="0044200F" w:rsidRDefault="00112825" w:rsidP="00F27620">
      <w:pPr>
        <w:spacing w:line="480" w:lineRule="auto"/>
        <w:rPr>
          <w:rStyle w:val="Hyperlink"/>
          <w:rFonts w:ascii="Garamond" w:eastAsia="Times New Roman" w:hAnsi="Garamond" w:cs="Times New Roman"/>
          <w:lang w:eastAsia="en-GB"/>
        </w:rPr>
      </w:pPr>
      <w:r w:rsidRPr="00D344DD">
        <w:rPr>
          <w:rFonts w:ascii="Garamond" w:eastAsia="Times New Roman" w:hAnsi="Garamond" w:cs="Times New Roman"/>
          <w:lang w:eastAsia="en-GB"/>
        </w:rPr>
        <w:t>Pykett, J.</w:t>
      </w:r>
      <w:r>
        <w:rPr>
          <w:rFonts w:ascii="Garamond" w:eastAsia="Times New Roman" w:hAnsi="Garamond" w:cs="Times New Roman"/>
          <w:lang w:eastAsia="en-GB"/>
        </w:rPr>
        <w:t xml:space="preserve">, </w:t>
      </w:r>
      <w:r w:rsidR="0044200F">
        <w:rPr>
          <w:rFonts w:ascii="Garamond" w:eastAsia="Times New Roman" w:hAnsi="Garamond" w:cs="Times New Roman"/>
          <w:lang w:eastAsia="en-GB"/>
        </w:rPr>
        <w:t xml:space="preserve"> </w:t>
      </w:r>
      <w:r w:rsidR="0044200F" w:rsidRPr="00D344DD">
        <w:rPr>
          <w:rFonts w:ascii="Garamond" w:eastAsia="Times New Roman" w:hAnsi="Garamond" w:cs="Times New Roman"/>
          <w:lang w:eastAsia="en-GB"/>
        </w:rPr>
        <w:t>2013 Neurocapitalism and the new neuros: using neuroeconomics, behavioural economics and picoeconomics for public policy, </w:t>
      </w:r>
      <w:r w:rsidR="0044200F" w:rsidRPr="00D344DD">
        <w:rPr>
          <w:rFonts w:ascii="Garamond" w:eastAsia="Times New Roman" w:hAnsi="Garamond" w:cs="Times New Roman"/>
          <w:iCs/>
          <w:lang w:eastAsia="en-GB"/>
        </w:rPr>
        <w:t>Journal of Economic Geography</w:t>
      </w:r>
      <w:r w:rsidR="0044200F" w:rsidRPr="00D344DD">
        <w:rPr>
          <w:rFonts w:ascii="Garamond" w:eastAsia="Times New Roman" w:hAnsi="Garamond" w:cs="Times New Roman"/>
          <w:lang w:eastAsia="en-GB"/>
        </w:rPr>
        <w:t>, Volume 13, Issue 5, 1 September, 845–869, </w:t>
      </w:r>
      <w:hyperlink r:id="rId9" w:history="1">
        <w:r w:rsidR="0044200F" w:rsidRPr="00D344DD">
          <w:rPr>
            <w:rStyle w:val="Hyperlink"/>
            <w:rFonts w:ascii="Garamond" w:eastAsia="Times New Roman" w:hAnsi="Garamond" w:cs="Times New Roman"/>
            <w:lang w:eastAsia="en-GB"/>
          </w:rPr>
          <w:t>https://doi.org/10.1093/jeg/lbs039</w:t>
        </w:r>
      </w:hyperlink>
    </w:p>
    <w:p w14:paraId="3B239CEB" w14:textId="4742AB4C" w:rsidR="009B3280" w:rsidRPr="00D344DD" w:rsidRDefault="009B3280" w:rsidP="00F27620">
      <w:pPr>
        <w:spacing w:line="480" w:lineRule="auto"/>
        <w:rPr>
          <w:rFonts w:ascii="Garamond" w:eastAsia="Times New Roman" w:hAnsi="Garamond" w:cs="Times New Roman"/>
          <w:lang w:eastAsia="en-GB"/>
        </w:rPr>
      </w:pPr>
      <w:r w:rsidRPr="009B3280">
        <w:rPr>
          <w:rFonts w:ascii="Garamond" w:eastAsia="Times New Roman" w:hAnsi="Garamond" w:cs="Times New Roman"/>
          <w:lang w:eastAsia="en-GB"/>
        </w:rPr>
        <w:t xml:space="preserve">Pykett, J., Jones, R. and Whitehead, M. eds., 2016. Psychological Governance and Public Policy: Governing the Mind, Brain </w:t>
      </w:r>
      <w:r>
        <w:rPr>
          <w:rFonts w:ascii="Garamond" w:eastAsia="Times New Roman" w:hAnsi="Garamond" w:cs="Times New Roman"/>
          <w:lang w:eastAsia="en-GB"/>
        </w:rPr>
        <w:t>and Behaviour. Taylor &amp; Francis, Abingdon</w:t>
      </w:r>
    </w:p>
    <w:p w14:paraId="60E48342" w14:textId="7C1631F9" w:rsidR="0044200F" w:rsidRPr="00D344DD" w:rsidRDefault="0044200F" w:rsidP="00F27620">
      <w:pPr>
        <w:spacing w:line="480" w:lineRule="auto"/>
        <w:rPr>
          <w:rFonts w:ascii="Garamond" w:eastAsia="Times New Roman" w:hAnsi="Garamond" w:cs="Times New Roman"/>
          <w:lang w:eastAsia="en-GB"/>
        </w:rPr>
      </w:pPr>
      <w:r w:rsidRPr="00D344DD">
        <w:rPr>
          <w:rFonts w:ascii="Garamond" w:eastAsia="Times New Roman" w:hAnsi="Garamond" w:cs="Times New Roman"/>
          <w:lang w:eastAsia="en-GB"/>
        </w:rPr>
        <w:t xml:space="preserve">Reid, </w:t>
      </w:r>
      <w:r>
        <w:rPr>
          <w:rFonts w:ascii="Garamond" w:eastAsia="Times New Roman" w:hAnsi="Garamond" w:cs="Times New Roman"/>
          <w:lang w:eastAsia="en-GB"/>
        </w:rPr>
        <w:t>L., &amp; Ellsworth-Krebs, K. 2018</w:t>
      </w:r>
      <w:r w:rsidRPr="00D344DD">
        <w:rPr>
          <w:rFonts w:ascii="Garamond" w:eastAsia="Times New Roman" w:hAnsi="Garamond" w:cs="Times New Roman"/>
          <w:lang w:eastAsia="en-GB"/>
        </w:rPr>
        <w:t>. Nudge (ography) and practice theories: Contemporary sites of behavioural science and post-structuralist approaches in geography?. </w:t>
      </w:r>
      <w:r w:rsidRPr="00D344DD">
        <w:rPr>
          <w:rFonts w:ascii="Garamond" w:eastAsia="Times New Roman" w:hAnsi="Garamond" w:cs="Times New Roman"/>
          <w:iCs/>
          <w:lang w:eastAsia="en-GB"/>
        </w:rPr>
        <w:t>Progress in Human Geography</w:t>
      </w:r>
      <w:r>
        <w:rPr>
          <w:rFonts w:ascii="Garamond" w:eastAsia="Times New Roman" w:hAnsi="Garamond" w:cs="Times New Roman"/>
          <w:lang w:eastAsia="en-GB"/>
        </w:rPr>
        <w:t>.</w:t>
      </w:r>
    </w:p>
    <w:p w14:paraId="398C690C" w14:textId="77777777" w:rsidR="0044200F" w:rsidRPr="00D344DD" w:rsidRDefault="0044200F" w:rsidP="00F27620">
      <w:pPr>
        <w:spacing w:line="480" w:lineRule="auto"/>
        <w:ind w:left="426" w:hanging="426"/>
        <w:rPr>
          <w:rFonts w:ascii="Garamond" w:eastAsia="Times New Roman" w:hAnsi="Garamond" w:cs="Times New Roman"/>
          <w:lang w:eastAsia="en-GB"/>
        </w:rPr>
      </w:pPr>
      <w:r w:rsidRPr="00D344DD">
        <w:rPr>
          <w:rFonts w:ascii="Garamond" w:eastAsia="Times New Roman" w:hAnsi="Garamond" w:cs="Times New Roman"/>
          <w:lang w:eastAsia="en-GB"/>
        </w:rPr>
        <w:t>Smith, Neil.</w:t>
      </w:r>
      <w:r>
        <w:rPr>
          <w:rFonts w:ascii="Garamond" w:eastAsia="Times New Roman" w:hAnsi="Garamond" w:cs="Times New Roman"/>
          <w:lang w:eastAsia="en-GB"/>
        </w:rPr>
        <w:t>,</w:t>
      </w:r>
      <w:r w:rsidRPr="00D344DD">
        <w:rPr>
          <w:rFonts w:ascii="Garamond" w:eastAsia="Times New Roman" w:hAnsi="Garamond" w:cs="Times New Roman"/>
          <w:lang w:eastAsia="en-GB"/>
        </w:rPr>
        <w:t xml:space="preserve"> 2005. The new urban frontier: Gentrification and the revanchist city. Routledge</w:t>
      </w:r>
    </w:p>
    <w:p w14:paraId="5AA6C4AE" w14:textId="77777777" w:rsidR="0044200F" w:rsidRPr="00D344DD" w:rsidRDefault="0044200F" w:rsidP="00F27620">
      <w:pPr>
        <w:spacing w:line="480" w:lineRule="auto"/>
        <w:ind w:left="426" w:hanging="426"/>
        <w:rPr>
          <w:rFonts w:ascii="Garamond" w:hAnsi="Garamond"/>
        </w:rPr>
      </w:pPr>
      <w:r w:rsidRPr="00D344DD">
        <w:rPr>
          <w:rFonts w:ascii="Garamond" w:hAnsi="Garamond"/>
        </w:rPr>
        <w:t xml:space="preserve">Thaler, </w:t>
      </w:r>
      <w:r>
        <w:rPr>
          <w:rFonts w:ascii="Garamond" w:hAnsi="Garamond"/>
        </w:rPr>
        <w:t>R</w:t>
      </w:r>
      <w:r w:rsidRPr="00D344DD">
        <w:rPr>
          <w:rFonts w:ascii="Garamond" w:hAnsi="Garamond"/>
        </w:rPr>
        <w:t>., and Sunstein</w:t>
      </w:r>
      <w:r>
        <w:rPr>
          <w:rFonts w:ascii="Garamond" w:hAnsi="Garamond"/>
        </w:rPr>
        <w:t>, C</w:t>
      </w:r>
      <w:r w:rsidRPr="00D344DD">
        <w:rPr>
          <w:rFonts w:ascii="Garamond" w:hAnsi="Garamond"/>
        </w:rPr>
        <w:t>.</w:t>
      </w:r>
      <w:r>
        <w:rPr>
          <w:rFonts w:ascii="Garamond" w:hAnsi="Garamond"/>
        </w:rPr>
        <w:t>,</w:t>
      </w:r>
      <w:r w:rsidRPr="00D344DD">
        <w:rPr>
          <w:rFonts w:ascii="Garamond" w:hAnsi="Garamond"/>
        </w:rPr>
        <w:t xml:space="preserve"> 2009. </w:t>
      </w:r>
      <w:r w:rsidRPr="00D344DD">
        <w:rPr>
          <w:rFonts w:ascii="Garamond" w:hAnsi="Garamond"/>
          <w:iCs/>
        </w:rPr>
        <w:t>Nudge: Im</w:t>
      </w:r>
      <w:r>
        <w:rPr>
          <w:rFonts w:ascii="Garamond" w:hAnsi="Garamond"/>
          <w:iCs/>
        </w:rPr>
        <w:t xml:space="preserve">proving Decisions About Health, </w:t>
      </w:r>
      <w:r w:rsidRPr="00D344DD">
        <w:rPr>
          <w:rFonts w:ascii="Garamond" w:hAnsi="Garamond"/>
          <w:iCs/>
        </w:rPr>
        <w:t>Wealth and Happiness</w:t>
      </w:r>
      <w:r>
        <w:rPr>
          <w:rFonts w:ascii="Garamond" w:hAnsi="Garamond"/>
        </w:rPr>
        <w:t>. Penguin, London.</w:t>
      </w:r>
    </w:p>
    <w:p w14:paraId="4AD42073" w14:textId="77777777" w:rsidR="0044200F" w:rsidRPr="00D344DD" w:rsidRDefault="0044200F" w:rsidP="00F27620">
      <w:pPr>
        <w:spacing w:line="480" w:lineRule="auto"/>
        <w:ind w:left="426" w:hanging="426"/>
        <w:rPr>
          <w:rFonts w:ascii="Garamond" w:eastAsia="Times New Roman" w:hAnsi="Garamond"/>
        </w:rPr>
      </w:pPr>
      <w:r w:rsidRPr="00D344DD">
        <w:rPr>
          <w:rFonts w:ascii="Garamond" w:eastAsia="Times New Roman" w:hAnsi="Garamond"/>
        </w:rPr>
        <w:t>Waite, L</w:t>
      </w:r>
      <w:r>
        <w:rPr>
          <w:rFonts w:ascii="Garamond" w:eastAsia="Times New Roman" w:hAnsi="Garamond"/>
        </w:rPr>
        <w:t>.</w:t>
      </w:r>
      <w:r w:rsidRPr="00D344DD">
        <w:rPr>
          <w:rFonts w:ascii="Garamond" w:eastAsia="Times New Roman" w:hAnsi="Garamond"/>
        </w:rPr>
        <w:t>, Valentine,</w:t>
      </w:r>
      <w:r>
        <w:rPr>
          <w:rFonts w:ascii="Garamond" w:eastAsia="Times New Roman" w:hAnsi="Garamond"/>
        </w:rPr>
        <w:t xml:space="preserve"> G.,</w:t>
      </w:r>
      <w:r w:rsidRPr="00D344DD">
        <w:rPr>
          <w:rFonts w:ascii="Garamond" w:eastAsia="Times New Roman" w:hAnsi="Garamond"/>
        </w:rPr>
        <w:t xml:space="preserve"> </w:t>
      </w:r>
      <w:r>
        <w:rPr>
          <w:rFonts w:ascii="Garamond" w:eastAsia="Times New Roman" w:hAnsi="Garamond"/>
        </w:rPr>
        <w:t>Lewis, H.,</w:t>
      </w:r>
      <w:r w:rsidRPr="00D344DD">
        <w:rPr>
          <w:rFonts w:ascii="Garamond" w:eastAsia="Times New Roman" w:hAnsi="Garamond"/>
        </w:rPr>
        <w:t xml:space="preserve"> 2014. “Multiply Vulnerable Populations: Mobilising a Politics of Compassion from the ‘capacity to Hurt.’” </w:t>
      </w:r>
      <w:r w:rsidRPr="00D344DD">
        <w:rPr>
          <w:rFonts w:ascii="Garamond" w:eastAsia="Times New Roman" w:hAnsi="Garamond"/>
          <w:iCs/>
        </w:rPr>
        <w:t>Social &amp; Cultural Geography</w:t>
      </w:r>
      <w:r w:rsidRPr="00D344DD">
        <w:rPr>
          <w:rFonts w:ascii="Garamond" w:eastAsia="Times New Roman" w:hAnsi="Garamond"/>
        </w:rPr>
        <w:t xml:space="preserve"> 15 (3):313–31. </w:t>
      </w:r>
    </w:p>
    <w:p w14:paraId="46EDC26E" w14:textId="77777777" w:rsidR="0044200F" w:rsidRPr="00D344DD" w:rsidRDefault="0044200F" w:rsidP="00F27620">
      <w:pPr>
        <w:spacing w:line="480" w:lineRule="auto"/>
        <w:ind w:left="426" w:hanging="426"/>
        <w:rPr>
          <w:rFonts w:ascii="Garamond" w:eastAsia="Times New Roman" w:hAnsi="Garamond"/>
          <w:lang w:eastAsia="en-GB"/>
        </w:rPr>
      </w:pPr>
      <w:r w:rsidRPr="00D344DD">
        <w:rPr>
          <w:rFonts w:ascii="Garamond" w:eastAsia="Times New Roman" w:hAnsi="Garamond"/>
          <w:lang w:eastAsia="en-GB"/>
        </w:rPr>
        <w:lastRenderedPageBreak/>
        <w:t xml:space="preserve">Whitehead, M., Jones, R., </w:t>
      </w:r>
      <w:r>
        <w:rPr>
          <w:rFonts w:ascii="Garamond" w:eastAsia="Times New Roman" w:hAnsi="Garamond"/>
          <w:lang w:eastAsia="en-GB"/>
        </w:rPr>
        <w:t>and</w:t>
      </w:r>
      <w:r w:rsidRPr="00D344DD">
        <w:rPr>
          <w:rFonts w:ascii="Garamond" w:eastAsia="Times New Roman" w:hAnsi="Garamond"/>
          <w:lang w:eastAsia="en-GB"/>
        </w:rPr>
        <w:t xml:space="preserve"> Pykett, J.</w:t>
      </w:r>
      <w:r>
        <w:rPr>
          <w:rFonts w:ascii="Garamond" w:eastAsia="Times New Roman" w:hAnsi="Garamond"/>
          <w:lang w:eastAsia="en-GB"/>
        </w:rPr>
        <w:t>,</w:t>
      </w:r>
      <w:r w:rsidRPr="00D344DD">
        <w:rPr>
          <w:rFonts w:ascii="Garamond" w:eastAsia="Times New Roman" w:hAnsi="Garamond"/>
          <w:lang w:eastAsia="en-GB"/>
        </w:rPr>
        <w:t xml:space="preserve"> (2011). Governing irrationality, or a more than rational government? Reflections on the rescientisation of decision making in British public policy. </w:t>
      </w:r>
      <w:r w:rsidRPr="00D344DD">
        <w:rPr>
          <w:rFonts w:ascii="Garamond" w:eastAsia="Times New Roman" w:hAnsi="Garamond"/>
          <w:iCs/>
          <w:lang w:eastAsia="en-GB"/>
        </w:rPr>
        <w:t>Environment and Planning A</w:t>
      </w:r>
      <w:r w:rsidRPr="00D344DD">
        <w:rPr>
          <w:rFonts w:ascii="Garamond" w:eastAsia="Times New Roman" w:hAnsi="Garamond"/>
          <w:lang w:eastAsia="en-GB"/>
        </w:rPr>
        <w:t>, </w:t>
      </w:r>
      <w:r w:rsidRPr="00D344DD">
        <w:rPr>
          <w:rFonts w:ascii="Garamond" w:eastAsia="Times New Roman" w:hAnsi="Garamond"/>
          <w:iCs/>
          <w:lang w:eastAsia="en-GB"/>
        </w:rPr>
        <w:t>43</w:t>
      </w:r>
      <w:r w:rsidRPr="00D344DD">
        <w:rPr>
          <w:rFonts w:ascii="Garamond" w:eastAsia="Times New Roman" w:hAnsi="Garamond"/>
          <w:lang w:eastAsia="en-GB"/>
        </w:rPr>
        <w:t>(12), 2819-2837.</w:t>
      </w:r>
    </w:p>
    <w:p w14:paraId="2A48C9F5" w14:textId="77777777" w:rsidR="0044200F" w:rsidRPr="00D344DD" w:rsidRDefault="0044200F" w:rsidP="00F27620">
      <w:pPr>
        <w:spacing w:line="480" w:lineRule="auto"/>
        <w:ind w:left="426" w:hanging="426"/>
        <w:rPr>
          <w:rFonts w:ascii="Garamond" w:hAnsi="Garamond"/>
        </w:rPr>
      </w:pPr>
      <w:r w:rsidRPr="00D344DD">
        <w:rPr>
          <w:rFonts w:ascii="Garamond" w:hAnsi="Garamond"/>
          <w:kern w:val="1"/>
        </w:rPr>
        <w:t xml:space="preserve">Mason, Rowena </w:t>
      </w:r>
      <w:r>
        <w:rPr>
          <w:rFonts w:ascii="Garamond" w:hAnsi="Garamond"/>
          <w:kern w:val="1"/>
        </w:rPr>
        <w:t xml:space="preserve">and Peter Walker. </w:t>
      </w:r>
      <w:r w:rsidRPr="00D344DD">
        <w:rPr>
          <w:rFonts w:ascii="Garamond" w:hAnsi="Garamond"/>
          <w:kern w:val="1"/>
        </w:rPr>
        <w:t xml:space="preserve">Universal credit </w:t>
      </w:r>
      <w:r>
        <w:rPr>
          <w:rFonts w:ascii="Garamond" w:hAnsi="Garamond"/>
          <w:kern w:val="1"/>
        </w:rPr>
        <w:t>helpline charges to be scrapped.</w:t>
      </w:r>
      <w:r w:rsidRPr="00D344DD">
        <w:rPr>
          <w:rFonts w:ascii="Garamond" w:hAnsi="Garamond"/>
          <w:kern w:val="1"/>
        </w:rPr>
        <w:t xml:space="preserve"> The Guardian</w:t>
      </w:r>
      <w:r>
        <w:rPr>
          <w:rFonts w:ascii="Garamond" w:hAnsi="Garamond"/>
          <w:kern w:val="1"/>
        </w:rPr>
        <w:t>.</w:t>
      </w:r>
    </w:p>
    <w:p w14:paraId="4578873B"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 xml:space="preserve">Waters, </w:t>
      </w:r>
      <w:r>
        <w:rPr>
          <w:rFonts w:ascii="Garamond" w:hAnsi="Garamond"/>
          <w:sz w:val="24"/>
          <w:szCs w:val="24"/>
        </w:rPr>
        <w:t>A</w:t>
      </w:r>
      <w:r w:rsidRPr="00D344DD">
        <w:rPr>
          <w:rFonts w:ascii="Garamond" w:hAnsi="Garamond"/>
          <w:sz w:val="24"/>
          <w:szCs w:val="24"/>
        </w:rPr>
        <w:t>.</w:t>
      </w:r>
      <w:r>
        <w:rPr>
          <w:rFonts w:ascii="Garamond" w:hAnsi="Garamond"/>
          <w:sz w:val="24"/>
          <w:szCs w:val="24"/>
        </w:rPr>
        <w:t xml:space="preserve">, 1997. </w:t>
      </w:r>
      <w:r w:rsidRPr="00D344DD">
        <w:rPr>
          <w:rFonts w:ascii="Garamond" w:hAnsi="Garamond"/>
          <w:sz w:val="24"/>
          <w:szCs w:val="24"/>
        </w:rPr>
        <w:t xml:space="preserve">Conspiracy Theories as Ethnosociologies: Explanation and Intention in African </w:t>
      </w:r>
      <w:r>
        <w:rPr>
          <w:rFonts w:ascii="Garamond" w:hAnsi="Garamond"/>
          <w:sz w:val="24"/>
          <w:szCs w:val="24"/>
        </w:rPr>
        <w:t>American Political Culture.</w:t>
      </w:r>
      <w:r w:rsidRPr="00D344DD">
        <w:rPr>
          <w:rFonts w:ascii="Garamond" w:hAnsi="Garamond"/>
          <w:sz w:val="24"/>
          <w:szCs w:val="24"/>
        </w:rPr>
        <w:t xml:space="preserve"> </w:t>
      </w:r>
      <w:r>
        <w:rPr>
          <w:rFonts w:ascii="Garamond" w:hAnsi="Garamond"/>
          <w:sz w:val="24"/>
          <w:szCs w:val="24"/>
        </w:rPr>
        <w:t>Journal of Black Studies. 28 (1),</w:t>
      </w:r>
      <w:r w:rsidRPr="00D344DD">
        <w:rPr>
          <w:rFonts w:ascii="Garamond" w:hAnsi="Garamond"/>
          <w:sz w:val="24"/>
          <w:szCs w:val="24"/>
        </w:rPr>
        <w:t xml:space="preserve"> 112–25.</w:t>
      </w:r>
    </w:p>
    <w:p w14:paraId="3BE8CA5C" w14:textId="1C26A6EB" w:rsidR="0044200F"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Whitehead, M., Jones, R., Howell, R.,</w:t>
      </w:r>
      <w:r>
        <w:rPr>
          <w:rFonts w:ascii="Garamond" w:hAnsi="Garamond"/>
          <w:sz w:val="24"/>
          <w:szCs w:val="24"/>
        </w:rPr>
        <w:t xml:space="preserve"> Lilley, R., &amp; Pykett, J. 2014</w:t>
      </w:r>
      <w:r w:rsidRPr="00D344DD">
        <w:rPr>
          <w:rFonts w:ascii="Garamond" w:hAnsi="Garamond"/>
          <w:sz w:val="24"/>
          <w:szCs w:val="24"/>
        </w:rPr>
        <w:t>.</w:t>
      </w:r>
      <w:r>
        <w:rPr>
          <w:rFonts w:ascii="Garamond" w:hAnsi="Garamond"/>
          <w:sz w:val="24"/>
          <w:szCs w:val="24"/>
        </w:rPr>
        <w:t>,</w:t>
      </w:r>
      <w:r w:rsidRPr="00D344DD">
        <w:rPr>
          <w:rFonts w:ascii="Garamond" w:hAnsi="Garamond"/>
          <w:sz w:val="24"/>
          <w:szCs w:val="24"/>
        </w:rPr>
        <w:t xml:space="preserve"> Nudging all over the World. ESRC Report, Economic and Social Research Council, Swindon and Edinburgh.</w:t>
      </w:r>
    </w:p>
    <w:p w14:paraId="11DE3C99" w14:textId="10755C63" w:rsidR="00D45B0F" w:rsidRPr="00D344DD" w:rsidRDefault="00D45B0F" w:rsidP="00F27620">
      <w:pPr>
        <w:pStyle w:val="p1"/>
        <w:spacing w:line="480" w:lineRule="auto"/>
        <w:ind w:left="426" w:hanging="426"/>
        <w:rPr>
          <w:rFonts w:ascii="Garamond" w:hAnsi="Garamond"/>
          <w:sz w:val="24"/>
          <w:szCs w:val="24"/>
        </w:rPr>
      </w:pPr>
      <w:r w:rsidRPr="00D45B0F">
        <w:rPr>
          <w:rFonts w:ascii="Garamond" w:hAnsi="Garamond"/>
          <w:sz w:val="24"/>
          <w:szCs w:val="24"/>
        </w:rPr>
        <w:t>Whitehead, M., Jones, R., Lilley, R., Pykett, J., Howell, R.</w:t>
      </w:r>
      <w:r>
        <w:rPr>
          <w:rFonts w:ascii="Garamond" w:hAnsi="Garamond"/>
          <w:sz w:val="24"/>
          <w:szCs w:val="24"/>
        </w:rPr>
        <w:t>,</w:t>
      </w:r>
      <w:r w:rsidRPr="00D45B0F">
        <w:rPr>
          <w:rFonts w:ascii="Garamond" w:hAnsi="Garamond"/>
          <w:sz w:val="24"/>
          <w:szCs w:val="24"/>
        </w:rPr>
        <w:t xml:space="preserve"> 2018. Neuroliberalism. </w:t>
      </w:r>
      <w:r>
        <w:rPr>
          <w:rFonts w:ascii="Garamond" w:hAnsi="Garamond"/>
          <w:sz w:val="24"/>
          <w:szCs w:val="24"/>
        </w:rPr>
        <w:t>Routledge, London</w:t>
      </w:r>
    </w:p>
    <w:p w14:paraId="6CA802C9" w14:textId="77777777" w:rsidR="0044200F" w:rsidRPr="00D344DD" w:rsidRDefault="0044200F" w:rsidP="00F27620">
      <w:pPr>
        <w:pStyle w:val="p1"/>
        <w:spacing w:line="480" w:lineRule="auto"/>
        <w:ind w:left="426" w:hanging="426"/>
        <w:rPr>
          <w:rFonts w:ascii="Garamond" w:hAnsi="Garamond"/>
          <w:sz w:val="24"/>
          <w:szCs w:val="24"/>
        </w:rPr>
      </w:pPr>
      <w:r w:rsidRPr="00D344DD">
        <w:rPr>
          <w:rFonts w:ascii="Garamond" w:hAnsi="Garamond"/>
          <w:sz w:val="24"/>
          <w:szCs w:val="24"/>
        </w:rPr>
        <w:t>Williams, A., Cloke, P</w:t>
      </w:r>
      <w:r>
        <w:rPr>
          <w:rFonts w:ascii="Garamond" w:hAnsi="Garamond"/>
          <w:sz w:val="24"/>
          <w:szCs w:val="24"/>
        </w:rPr>
        <w:t>., May, J., &amp; Goodwin, M., 2016</w:t>
      </w:r>
      <w:r w:rsidRPr="00D344DD">
        <w:rPr>
          <w:rFonts w:ascii="Garamond" w:hAnsi="Garamond"/>
          <w:sz w:val="24"/>
          <w:szCs w:val="24"/>
        </w:rPr>
        <w:t>. Contested space: The contradictory political dynamics of food banking in the UK. Environment and Planning A: Economy and Space, 48(11), 2291-2316.</w:t>
      </w:r>
    </w:p>
    <w:p w14:paraId="047FD149" w14:textId="77777777" w:rsidR="0044200F" w:rsidRPr="00D344DD" w:rsidRDefault="0044200F" w:rsidP="00F27620">
      <w:pPr>
        <w:pStyle w:val="p1"/>
        <w:spacing w:line="480" w:lineRule="auto"/>
        <w:rPr>
          <w:rFonts w:ascii="Garamond" w:hAnsi="Garamond"/>
          <w:sz w:val="24"/>
          <w:szCs w:val="24"/>
        </w:rPr>
      </w:pPr>
      <w:r w:rsidRPr="00D344DD">
        <w:rPr>
          <w:rFonts w:ascii="Garamond" w:hAnsi="Garamond"/>
          <w:sz w:val="24"/>
          <w:szCs w:val="24"/>
        </w:rPr>
        <w:t xml:space="preserve">Winnicott, </w:t>
      </w:r>
      <w:r>
        <w:rPr>
          <w:rFonts w:ascii="Garamond" w:hAnsi="Garamond"/>
          <w:sz w:val="24"/>
          <w:szCs w:val="24"/>
        </w:rPr>
        <w:t>D.,</w:t>
      </w:r>
      <w:r w:rsidRPr="00D344DD">
        <w:rPr>
          <w:rFonts w:ascii="Garamond" w:hAnsi="Garamond"/>
          <w:sz w:val="24"/>
          <w:szCs w:val="24"/>
        </w:rPr>
        <w:t xml:space="preserve"> 1971. Playing and Reality. Psychology Press</w:t>
      </w:r>
      <w:r>
        <w:rPr>
          <w:rFonts w:ascii="Garamond" w:hAnsi="Garamond"/>
          <w:sz w:val="24"/>
          <w:szCs w:val="24"/>
        </w:rPr>
        <w:t>, Hove</w:t>
      </w:r>
    </w:p>
    <w:p w14:paraId="368C7F2A" w14:textId="77777777" w:rsidR="0044200F" w:rsidRPr="00D344DD" w:rsidRDefault="0044200F" w:rsidP="00F27620">
      <w:pPr>
        <w:rPr>
          <w:rFonts w:ascii="Garamond" w:hAnsi="Garamond"/>
        </w:rPr>
      </w:pPr>
    </w:p>
    <w:p w14:paraId="489E0E16" w14:textId="77777777" w:rsidR="00E17A47" w:rsidRPr="009B7A4A" w:rsidRDefault="00E17A47" w:rsidP="00F27620">
      <w:pPr>
        <w:spacing w:line="480" w:lineRule="auto"/>
        <w:rPr>
          <w:rFonts w:ascii="Garamond" w:hAnsi="Garamond"/>
        </w:rPr>
      </w:pPr>
    </w:p>
    <w:p w14:paraId="728F2D84" w14:textId="33F0CEF0" w:rsidR="00E17A47" w:rsidRPr="009B7A4A" w:rsidRDefault="00E17A47" w:rsidP="00F27620">
      <w:pPr>
        <w:spacing w:line="480" w:lineRule="auto"/>
        <w:rPr>
          <w:rFonts w:ascii="Garamond" w:hAnsi="Garamond"/>
          <w:kern w:val="1"/>
        </w:rPr>
      </w:pPr>
    </w:p>
    <w:p w14:paraId="79D224C0" w14:textId="77777777" w:rsidR="004A0A83" w:rsidRPr="009B7A4A" w:rsidRDefault="004A0A83" w:rsidP="00F27620">
      <w:pPr>
        <w:spacing w:line="480" w:lineRule="auto"/>
        <w:rPr>
          <w:rFonts w:ascii="Garamond" w:hAnsi="Garamond"/>
          <w:kern w:val="1"/>
          <w:u w:val="single"/>
        </w:rPr>
      </w:pPr>
    </w:p>
    <w:p w14:paraId="0DD8C713" w14:textId="77777777" w:rsidR="007173BA" w:rsidRPr="009B7A4A" w:rsidRDefault="007173BA" w:rsidP="00F27620">
      <w:pPr>
        <w:spacing w:line="480" w:lineRule="auto"/>
        <w:rPr>
          <w:rFonts w:ascii="Garamond" w:hAnsi="Garamond"/>
          <w:kern w:val="1"/>
        </w:rPr>
      </w:pPr>
    </w:p>
    <w:p w14:paraId="5059D7FA" w14:textId="77777777" w:rsidR="00DA6A7C" w:rsidRPr="009B7A4A" w:rsidRDefault="00DA6A7C" w:rsidP="00F27620">
      <w:pPr>
        <w:spacing w:line="480" w:lineRule="auto"/>
        <w:rPr>
          <w:rFonts w:ascii="Garamond" w:hAnsi="Garamond"/>
          <w:kern w:val="1"/>
        </w:rPr>
      </w:pPr>
    </w:p>
    <w:p w14:paraId="21BF74E1" w14:textId="77777777" w:rsidR="00DA6A7C" w:rsidRPr="009B7A4A" w:rsidRDefault="00DA6A7C" w:rsidP="00F27620">
      <w:pPr>
        <w:spacing w:line="480" w:lineRule="auto"/>
        <w:rPr>
          <w:rFonts w:ascii="Garamond" w:hAnsi="Garamond"/>
          <w:kern w:val="1"/>
        </w:rPr>
      </w:pPr>
    </w:p>
    <w:p w14:paraId="48F39429" w14:textId="77777777" w:rsidR="0078091B" w:rsidRPr="009B7A4A" w:rsidRDefault="0078091B" w:rsidP="00F27620">
      <w:pPr>
        <w:spacing w:line="480" w:lineRule="auto"/>
        <w:rPr>
          <w:rFonts w:ascii="Garamond" w:hAnsi="Garamond"/>
          <w:kern w:val="1"/>
        </w:rPr>
      </w:pPr>
    </w:p>
    <w:p w14:paraId="4387BA1E" w14:textId="77777777" w:rsidR="00844C9C" w:rsidRPr="009B7A4A" w:rsidRDefault="00844C9C" w:rsidP="00F27620">
      <w:pPr>
        <w:spacing w:line="480" w:lineRule="auto"/>
        <w:rPr>
          <w:rFonts w:ascii="Garamond" w:hAnsi="Garamond"/>
          <w:kern w:val="1"/>
        </w:rPr>
      </w:pPr>
    </w:p>
    <w:p w14:paraId="48FBE6D7" w14:textId="77777777" w:rsidR="00844C9C" w:rsidRPr="009B7A4A" w:rsidRDefault="00844C9C" w:rsidP="00F27620">
      <w:pPr>
        <w:spacing w:line="480" w:lineRule="auto"/>
        <w:rPr>
          <w:rFonts w:ascii="Garamond" w:hAnsi="Garamond"/>
          <w:kern w:val="1"/>
        </w:rPr>
      </w:pPr>
    </w:p>
    <w:p w14:paraId="02D3AD10" w14:textId="77777777" w:rsidR="00241FF0" w:rsidRPr="009B7A4A" w:rsidRDefault="00241FF0" w:rsidP="00F27620">
      <w:pPr>
        <w:spacing w:line="480" w:lineRule="auto"/>
        <w:rPr>
          <w:rFonts w:ascii="Garamond" w:hAnsi="Garamond"/>
        </w:rPr>
      </w:pPr>
    </w:p>
    <w:sectPr w:rsidR="00241FF0" w:rsidRPr="009B7A4A" w:rsidSect="008931E6">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80BA" w14:textId="77777777" w:rsidR="0054493B" w:rsidRDefault="0054493B" w:rsidP="001113D6">
      <w:r>
        <w:separator/>
      </w:r>
    </w:p>
  </w:endnote>
  <w:endnote w:type="continuationSeparator" w:id="0">
    <w:p w14:paraId="676B0AE4" w14:textId="77777777" w:rsidR="0054493B" w:rsidRDefault="0054493B" w:rsidP="001113D6">
      <w:r>
        <w:continuationSeparator/>
      </w:r>
    </w:p>
  </w:endnote>
  <w:endnote w:id="1">
    <w:p w14:paraId="5BFA919F" w14:textId="2B0FC751" w:rsidR="000C7280" w:rsidRPr="008701A9" w:rsidRDefault="000C7280" w:rsidP="00B13ACE">
      <w:pPr>
        <w:pStyle w:val="EndnoteText"/>
        <w:rPr>
          <w:rFonts w:ascii="Garamond" w:hAnsi="Garamond"/>
        </w:rPr>
      </w:pPr>
      <w:r w:rsidRPr="008701A9">
        <w:rPr>
          <w:rStyle w:val="EndnoteReference"/>
          <w:rFonts w:ascii="Garamond" w:hAnsi="Garamond"/>
        </w:rPr>
        <w:endnoteRef/>
      </w:r>
      <w:r w:rsidRPr="008701A9">
        <w:rPr>
          <w:rFonts w:ascii="Garamond" w:hAnsi="Garamond"/>
        </w:rPr>
        <w:t xml:space="preserve"> In 2009 Brixton Village Market was proposed for demolition. A successful campaign to list it inadvertently led to the transformation of the market into a bourgeois food destination</w:t>
      </w:r>
      <w:r>
        <w:rPr>
          <w:rFonts w:ascii="Garamond" w:hAnsi="Garamond"/>
        </w:rPr>
        <w:t xml:space="preserve"> (</w:t>
      </w:r>
      <w:r w:rsidR="00772222">
        <w:rPr>
          <w:rFonts w:ascii="Garamond" w:hAnsi="Garamond"/>
        </w:rPr>
        <w:t>Johnson-Schlee:</w:t>
      </w:r>
      <w:r>
        <w:rPr>
          <w:rFonts w:ascii="Garamond" w:hAnsi="Garamond"/>
        </w:rPr>
        <w:t xml:space="preserve"> 2017)</w:t>
      </w:r>
      <w:r w:rsidRPr="008701A9">
        <w:rPr>
          <w:rFonts w:ascii="Garamond" w:hAnsi="Garamond"/>
        </w:rPr>
        <w:t>. This has made Brixton iconic of gentri</w:t>
      </w:r>
      <w:r>
        <w:rPr>
          <w:rFonts w:ascii="Garamond" w:hAnsi="Garamond"/>
        </w:rPr>
        <w:t>fication in London.</w:t>
      </w:r>
      <w:r w:rsidRPr="008701A9">
        <w:rPr>
          <w:rFonts w:ascii="Garamond" w:hAnsi="Garamond"/>
          <w:i/>
        </w:rPr>
        <w:t xml:space="preserve"> </w:t>
      </w:r>
    </w:p>
  </w:endnote>
  <w:endnote w:id="2">
    <w:p w14:paraId="1AA815C4" w14:textId="7EDF11C3" w:rsidR="000C7280" w:rsidRPr="008701A9" w:rsidRDefault="000C7280">
      <w:pPr>
        <w:pStyle w:val="EndnoteText"/>
        <w:rPr>
          <w:rFonts w:ascii="Garamond" w:hAnsi="Garamond"/>
        </w:rPr>
      </w:pPr>
      <w:r w:rsidRPr="008701A9">
        <w:rPr>
          <w:rStyle w:val="EndnoteReference"/>
          <w:rFonts w:ascii="Garamond" w:hAnsi="Garamond"/>
        </w:rPr>
        <w:endnoteRef/>
      </w:r>
      <w:r w:rsidRPr="008701A9">
        <w:rPr>
          <w:rFonts w:ascii="Garamond" w:hAnsi="Garamond"/>
        </w:rPr>
        <w:t xml:space="preserve"> For </w:t>
      </w:r>
      <w:r>
        <w:rPr>
          <w:rFonts w:ascii="Garamond" w:hAnsi="Garamond"/>
        </w:rPr>
        <w:t>a</w:t>
      </w:r>
      <w:r w:rsidRPr="008701A9">
        <w:rPr>
          <w:rFonts w:ascii="Garamond" w:hAnsi="Garamond"/>
        </w:rPr>
        <w:t xml:space="preserve"> discussion of some of the geographical implications of Winnicott’s notion of the transitional see Aitken and Herman (1997), in particular some sensitive discussion of gender norma</w:t>
      </w:r>
      <w:r>
        <w:rPr>
          <w:rFonts w:ascii="Garamond" w:hAnsi="Garamond"/>
        </w:rPr>
        <w:t xml:space="preserve">tivity.  </w:t>
      </w:r>
    </w:p>
  </w:endnote>
  <w:endnote w:id="3">
    <w:p w14:paraId="0A96CA50" w14:textId="77777777" w:rsidR="000C7280" w:rsidRPr="008701A9" w:rsidRDefault="000C7280">
      <w:pPr>
        <w:pStyle w:val="EndnoteText"/>
        <w:rPr>
          <w:rFonts w:ascii="Garamond" w:hAnsi="Garamond"/>
        </w:rPr>
      </w:pPr>
      <w:r w:rsidRPr="008701A9">
        <w:rPr>
          <w:rStyle w:val="EndnoteReference"/>
          <w:rFonts w:ascii="Garamond" w:hAnsi="Garamond"/>
        </w:rPr>
        <w:endnoteRef/>
      </w:r>
      <w:r w:rsidRPr="008701A9">
        <w:rPr>
          <w:rFonts w:ascii="Garamond" w:hAnsi="Garamond"/>
        </w:rPr>
        <w:t xml:space="preserve"> Work placements are one of the ways that the state tries to provide experience for people on JSA. Often this means being asked to participate in employment schemes such as doing voluntary work at the behest of your ‘Job Coach’. Individuals are given a specific number of hours and weeks during which they are expected to attend their placement. A range of sanctions can face those who do not participate (Gov.uk 2016).</w:t>
      </w:r>
    </w:p>
  </w:endnote>
  <w:endnote w:id="4">
    <w:p w14:paraId="1C87C140" w14:textId="0FD72B4B" w:rsidR="000C7280" w:rsidRPr="008701A9" w:rsidRDefault="000C7280">
      <w:pPr>
        <w:pStyle w:val="EndnoteText"/>
        <w:rPr>
          <w:rFonts w:ascii="Garamond" w:hAnsi="Garamond"/>
        </w:rPr>
      </w:pPr>
      <w:r w:rsidRPr="008701A9">
        <w:rPr>
          <w:rStyle w:val="EndnoteReference"/>
          <w:rFonts w:ascii="Garamond" w:hAnsi="Garamond"/>
        </w:rPr>
        <w:endnoteRef/>
      </w:r>
      <w:r w:rsidRPr="008701A9">
        <w:rPr>
          <w:rFonts w:ascii="Garamond" w:hAnsi="Garamond"/>
        </w:rPr>
        <w:t xml:space="preserve"> Chemtrails refer to the conspiracy theory that Aeroplane condensation trails contain chemical and biological agents. The Rothschilds are a banking family who often feature in conspiracy theories as an example of mysterious and influential powers pulling the strings behind global politics. The Rothschilds are Jewish and this conspiracy theory has its origins in anti-semitism (Byford 2008:104) </w:t>
      </w:r>
    </w:p>
  </w:endnote>
  <w:endnote w:id="5">
    <w:p w14:paraId="355E63B9" w14:textId="346F4288" w:rsidR="000C7280" w:rsidRPr="008701A9" w:rsidRDefault="000C7280">
      <w:pPr>
        <w:pStyle w:val="EndnoteText"/>
        <w:rPr>
          <w:rFonts w:ascii="Garamond" w:hAnsi="Garamond"/>
        </w:rPr>
      </w:pPr>
      <w:r w:rsidRPr="008701A9">
        <w:rPr>
          <w:rStyle w:val="EndnoteReference"/>
          <w:rFonts w:ascii="Garamond" w:hAnsi="Garamond"/>
        </w:rPr>
        <w:endnoteRef/>
      </w:r>
      <w:r w:rsidRPr="008701A9">
        <w:rPr>
          <w:rFonts w:ascii="Garamond" w:hAnsi="Garamond"/>
        </w:rPr>
        <w:t xml:space="preserve"> Accusations of poisoning were often made against small Jewish populations in Europe. This scapegoating and persecution was used to ‘justify’ the massacre of Jewish communities. Girard details one such series of events in 12</w:t>
      </w:r>
      <w:r w:rsidRPr="008701A9">
        <w:rPr>
          <w:rFonts w:ascii="Garamond" w:hAnsi="Garamond"/>
          <w:vertAlign w:val="superscript"/>
        </w:rPr>
        <w:t>th</w:t>
      </w:r>
      <w:r w:rsidRPr="008701A9">
        <w:rPr>
          <w:rFonts w:ascii="Garamond" w:hAnsi="Garamond"/>
        </w:rPr>
        <w:t xml:space="preserve"> century France in the first chapter of </w:t>
      </w:r>
      <w:r w:rsidRPr="008701A9">
        <w:rPr>
          <w:rFonts w:ascii="Garamond" w:hAnsi="Garamond"/>
          <w:i/>
        </w:rPr>
        <w:t xml:space="preserve">The Scapegoat </w:t>
      </w:r>
      <w:r w:rsidRPr="008701A9">
        <w:rPr>
          <w:rFonts w:ascii="Garamond" w:hAnsi="Garamond"/>
        </w:rPr>
        <w:t xml:space="preserve">(1986), the book develops an account of the way persecutors justify violence in times of crisis.  He writes: “Ultimately, the persecutors always convince themselves that a small number of people, or even a single individual, despite his relative weakness, is extremely harmful to the whole of society” (Girard 1986:15).  </w:t>
      </w:r>
    </w:p>
  </w:endnote>
  <w:endnote w:id="6">
    <w:p w14:paraId="028F17E3" w14:textId="77777777" w:rsidR="000C7280" w:rsidRPr="008701A9" w:rsidRDefault="000C7280" w:rsidP="00DE48A3">
      <w:pPr>
        <w:pStyle w:val="EndnoteText"/>
        <w:rPr>
          <w:rFonts w:ascii="Garamond" w:hAnsi="Garamond"/>
        </w:rPr>
      </w:pPr>
      <w:r w:rsidRPr="008701A9">
        <w:rPr>
          <w:rStyle w:val="EndnoteReference"/>
          <w:rFonts w:ascii="Garamond" w:hAnsi="Garamond"/>
        </w:rPr>
        <w:endnoteRef/>
      </w:r>
      <w:r w:rsidRPr="008701A9">
        <w:rPr>
          <w:rFonts w:ascii="Garamond" w:hAnsi="Garamond"/>
        </w:rPr>
        <w:t xml:space="preserve"> This phrase likely has its origin in a text published by the American Society of Friends (Quakers) in </w:t>
      </w:r>
      <w:r w:rsidRPr="008701A9">
        <w:rPr>
          <w:rFonts w:ascii="Garamond" w:hAnsi="Garamond"/>
          <w:i/>
        </w:rPr>
        <w:t xml:space="preserve">Speak Truth to Power: A Quaker Search for an Alternative to Violence </w:t>
      </w:r>
      <w:r w:rsidRPr="008701A9">
        <w:rPr>
          <w:rFonts w:ascii="Garamond" w:hAnsi="Garamond"/>
        </w:rPr>
        <w:t xml:space="preserve">(1955). This text was influential in the civil rights movement (as were contributors such as Bayard Rustin). The idea echoes in some of Foucault’s final lectures (2008), which considered the role of truth telling in philosophy or Parrhesia.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5023"/>
      <w:docPartObj>
        <w:docPartGallery w:val="Page Numbers (Bottom of Page)"/>
        <w:docPartUnique/>
      </w:docPartObj>
    </w:sdtPr>
    <w:sdtEndPr>
      <w:rPr>
        <w:noProof/>
      </w:rPr>
    </w:sdtEndPr>
    <w:sdtContent>
      <w:p w14:paraId="21F0DEE2" w14:textId="1EC863FE" w:rsidR="000C7280" w:rsidRDefault="000C7280">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4DAAA502" w14:textId="77777777" w:rsidR="000C7280" w:rsidRDefault="000C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0F22" w14:textId="77777777" w:rsidR="0054493B" w:rsidRDefault="0054493B" w:rsidP="001113D6">
      <w:r>
        <w:separator/>
      </w:r>
    </w:p>
  </w:footnote>
  <w:footnote w:type="continuationSeparator" w:id="0">
    <w:p w14:paraId="79CA2A22" w14:textId="77777777" w:rsidR="0054493B" w:rsidRDefault="0054493B" w:rsidP="0011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1D7"/>
    <w:multiLevelType w:val="hybridMultilevel"/>
    <w:tmpl w:val="D2F0C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4192E"/>
    <w:multiLevelType w:val="hybridMultilevel"/>
    <w:tmpl w:val="5E2C4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A7CA2"/>
    <w:multiLevelType w:val="hybridMultilevel"/>
    <w:tmpl w:val="36DC1BAC"/>
    <w:lvl w:ilvl="0" w:tplc="AC0CF99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ED50C4"/>
    <w:multiLevelType w:val="hybridMultilevel"/>
    <w:tmpl w:val="3FE80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07FAD"/>
    <w:multiLevelType w:val="hybridMultilevel"/>
    <w:tmpl w:val="77740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A0F11"/>
    <w:multiLevelType w:val="hybridMultilevel"/>
    <w:tmpl w:val="6BA87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7B3BDA"/>
    <w:multiLevelType w:val="hybridMultilevel"/>
    <w:tmpl w:val="06D6B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064CD"/>
    <w:multiLevelType w:val="hybridMultilevel"/>
    <w:tmpl w:val="C3CAA988"/>
    <w:lvl w:ilvl="0" w:tplc="1B2CEB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C73C6"/>
    <w:multiLevelType w:val="hybridMultilevel"/>
    <w:tmpl w:val="A106F464"/>
    <w:lvl w:ilvl="0" w:tplc="893EA0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DE2986"/>
    <w:multiLevelType w:val="hybridMultilevel"/>
    <w:tmpl w:val="6B18DE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0"/>
  </w:num>
  <w:num w:numId="5">
    <w:abstractNumId w:val="2"/>
  </w:num>
  <w:num w:numId="6">
    <w:abstractNumId w:val="8"/>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EF"/>
    <w:rsid w:val="00001F11"/>
    <w:rsid w:val="00010876"/>
    <w:rsid w:val="00014295"/>
    <w:rsid w:val="00016093"/>
    <w:rsid w:val="00016A98"/>
    <w:rsid w:val="00026648"/>
    <w:rsid w:val="0003039C"/>
    <w:rsid w:val="000348F8"/>
    <w:rsid w:val="00041614"/>
    <w:rsid w:val="00042307"/>
    <w:rsid w:val="00044DF4"/>
    <w:rsid w:val="00047B46"/>
    <w:rsid w:val="00067403"/>
    <w:rsid w:val="0008723D"/>
    <w:rsid w:val="00091FAF"/>
    <w:rsid w:val="000B0ADC"/>
    <w:rsid w:val="000B3BE3"/>
    <w:rsid w:val="000B6A07"/>
    <w:rsid w:val="000C0CF9"/>
    <w:rsid w:val="000C3E48"/>
    <w:rsid w:val="000C7280"/>
    <w:rsid w:val="000D72A1"/>
    <w:rsid w:val="000E44DC"/>
    <w:rsid w:val="000E45DC"/>
    <w:rsid w:val="000F1C12"/>
    <w:rsid w:val="00100EB5"/>
    <w:rsid w:val="00101A5E"/>
    <w:rsid w:val="00102488"/>
    <w:rsid w:val="00105DC8"/>
    <w:rsid w:val="001113D6"/>
    <w:rsid w:val="00112825"/>
    <w:rsid w:val="00114FB1"/>
    <w:rsid w:val="00123DCD"/>
    <w:rsid w:val="00124046"/>
    <w:rsid w:val="00124CA9"/>
    <w:rsid w:val="00124EB3"/>
    <w:rsid w:val="00127538"/>
    <w:rsid w:val="00130A7E"/>
    <w:rsid w:val="00141617"/>
    <w:rsid w:val="00142D0F"/>
    <w:rsid w:val="0016757E"/>
    <w:rsid w:val="00167BAE"/>
    <w:rsid w:val="00172CA7"/>
    <w:rsid w:val="00183D88"/>
    <w:rsid w:val="001A48FC"/>
    <w:rsid w:val="001A4E5F"/>
    <w:rsid w:val="001B25FD"/>
    <w:rsid w:val="001B4F54"/>
    <w:rsid w:val="001B6299"/>
    <w:rsid w:val="001C12BA"/>
    <w:rsid w:val="001C41A6"/>
    <w:rsid w:val="001D6107"/>
    <w:rsid w:val="001E50EF"/>
    <w:rsid w:val="001F5CDC"/>
    <w:rsid w:val="001F66B5"/>
    <w:rsid w:val="001F6757"/>
    <w:rsid w:val="00201F1C"/>
    <w:rsid w:val="002043F3"/>
    <w:rsid w:val="00205C7D"/>
    <w:rsid w:val="00212676"/>
    <w:rsid w:val="00217794"/>
    <w:rsid w:val="002234BE"/>
    <w:rsid w:val="00223757"/>
    <w:rsid w:val="00226813"/>
    <w:rsid w:val="002329DE"/>
    <w:rsid w:val="002376D1"/>
    <w:rsid w:val="00241FF0"/>
    <w:rsid w:val="00253A0A"/>
    <w:rsid w:val="002657CF"/>
    <w:rsid w:val="00277CE3"/>
    <w:rsid w:val="00291955"/>
    <w:rsid w:val="00296981"/>
    <w:rsid w:val="002978D7"/>
    <w:rsid w:val="002A0E71"/>
    <w:rsid w:val="002A3565"/>
    <w:rsid w:val="002A38C9"/>
    <w:rsid w:val="002A577A"/>
    <w:rsid w:val="002A6177"/>
    <w:rsid w:val="002B29AE"/>
    <w:rsid w:val="002B3084"/>
    <w:rsid w:val="002C33AA"/>
    <w:rsid w:val="002C4166"/>
    <w:rsid w:val="002C7E56"/>
    <w:rsid w:val="002D63A1"/>
    <w:rsid w:val="002D6696"/>
    <w:rsid w:val="002D6C44"/>
    <w:rsid w:val="002E0502"/>
    <w:rsid w:val="002E69FA"/>
    <w:rsid w:val="002E6ED9"/>
    <w:rsid w:val="002F008E"/>
    <w:rsid w:val="002F2B0E"/>
    <w:rsid w:val="002F3BC9"/>
    <w:rsid w:val="002F7676"/>
    <w:rsid w:val="00307922"/>
    <w:rsid w:val="003112FF"/>
    <w:rsid w:val="00320056"/>
    <w:rsid w:val="00322EA5"/>
    <w:rsid w:val="0032401A"/>
    <w:rsid w:val="00325615"/>
    <w:rsid w:val="00327901"/>
    <w:rsid w:val="00333699"/>
    <w:rsid w:val="00333776"/>
    <w:rsid w:val="00335380"/>
    <w:rsid w:val="0033793D"/>
    <w:rsid w:val="00340370"/>
    <w:rsid w:val="003408D3"/>
    <w:rsid w:val="00343386"/>
    <w:rsid w:val="0034458A"/>
    <w:rsid w:val="0035277A"/>
    <w:rsid w:val="0035664A"/>
    <w:rsid w:val="00371126"/>
    <w:rsid w:val="00371A27"/>
    <w:rsid w:val="00385042"/>
    <w:rsid w:val="003A394F"/>
    <w:rsid w:val="003A4F92"/>
    <w:rsid w:val="003A78F9"/>
    <w:rsid w:val="003C315A"/>
    <w:rsid w:val="003C4E71"/>
    <w:rsid w:val="003D5C6F"/>
    <w:rsid w:val="003D6185"/>
    <w:rsid w:val="003D6376"/>
    <w:rsid w:val="003F03CF"/>
    <w:rsid w:val="003F3D69"/>
    <w:rsid w:val="004010CE"/>
    <w:rsid w:val="0040369F"/>
    <w:rsid w:val="0040690D"/>
    <w:rsid w:val="00406E5F"/>
    <w:rsid w:val="00411D5F"/>
    <w:rsid w:val="00425BF1"/>
    <w:rsid w:val="00441C0E"/>
    <w:rsid w:val="00441E78"/>
    <w:rsid w:val="0044200F"/>
    <w:rsid w:val="00452032"/>
    <w:rsid w:val="00462BCB"/>
    <w:rsid w:val="0047435B"/>
    <w:rsid w:val="00480708"/>
    <w:rsid w:val="00481782"/>
    <w:rsid w:val="00484350"/>
    <w:rsid w:val="00484985"/>
    <w:rsid w:val="004A0A83"/>
    <w:rsid w:val="004A1BE3"/>
    <w:rsid w:val="004A6B12"/>
    <w:rsid w:val="004C3B0F"/>
    <w:rsid w:val="004D0134"/>
    <w:rsid w:val="004D23BF"/>
    <w:rsid w:val="004D3FD3"/>
    <w:rsid w:val="004D79AB"/>
    <w:rsid w:val="004E3034"/>
    <w:rsid w:val="004F1EF8"/>
    <w:rsid w:val="005108DE"/>
    <w:rsid w:val="0051177E"/>
    <w:rsid w:val="00515069"/>
    <w:rsid w:val="00521754"/>
    <w:rsid w:val="0052687B"/>
    <w:rsid w:val="005328B4"/>
    <w:rsid w:val="00534C3C"/>
    <w:rsid w:val="00534DAC"/>
    <w:rsid w:val="00535083"/>
    <w:rsid w:val="00537F1B"/>
    <w:rsid w:val="005425B4"/>
    <w:rsid w:val="00543F26"/>
    <w:rsid w:val="0054493B"/>
    <w:rsid w:val="00545542"/>
    <w:rsid w:val="005502D0"/>
    <w:rsid w:val="005513CC"/>
    <w:rsid w:val="00561315"/>
    <w:rsid w:val="00566532"/>
    <w:rsid w:val="00586213"/>
    <w:rsid w:val="00587086"/>
    <w:rsid w:val="005934E1"/>
    <w:rsid w:val="005948EC"/>
    <w:rsid w:val="005A07D1"/>
    <w:rsid w:val="005A6C29"/>
    <w:rsid w:val="005B327F"/>
    <w:rsid w:val="005C29CF"/>
    <w:rsid w:val="005C37E6"/>
    <w:rsid w:val="005C4253"/>
    <w:rsid w:val="005C4CCB"/>
    <w:rsid w:val="005D067D"/>
    <w:rsid w:val="005D096D"/>
    <w:rsid w:val="005D54FD"/>
    <w:rsid w:val="005D7073"/>
    <w:rsid w:val="005E0F77"/>
    <w:rsid w:val="005E387C"/>
    <w:rsid w:val="005E52AE"/>
    <w:rsid w:val="005E58BC"/>
    <w:rsid w:val="005E75FE"/>
    <w:rsid w:val="005F3032"/>
    <w:rsid w:val="005F32FF"/>
    <w:rsid w:val="005F3E82"/>
    <w:rsid w:val="00612C18"/>
    <w:rsid w:val="00617DE6"/>
    <w:rsid w:val="0063048E"/>
    <w:rsid w:val="006333E3"/>
    <w:rsid w:val="00641089"/>
    <w:rsid w:val="00642469"/>
    <w:rsid w:val="006512DF"/>
    <w:rsid w:val="00653CE5"/>
    <w:rsid w:val="00654C60"/>
    <w:rsid w:val="006579B1"/>
    <w:rsid w:val="0066480F"/>
    <w:rsid w:val="00664C60"/>
    <w:rsid w:val="006675BF"/>
    <w:rsid w:val="00667A84"/>
    <w:rsid w:val="00670DA6"/>
    <w:rsid w:val="00670FD0"/>
    <w:rsid w:val="00671899"/>
    <w:rsid w:val="006744B7"/>
    <w:rsid w:val="00674999"/>
    <w:rsid w:val="0068327C"/>
    <w:rsid w:val="00683C31"/>
    <w:rsid w:val="00685B40"/>
    <w:rsid w:val="00686C2D"/>
    <w:rsid w:val="0069179E"/>
    <w:rsid w:val="006933D1"/>
    <w:rsid w:val="00695779"/>
    <w:rsid w:val="00695990"/>
    <w:rsid w:val="006965FC"/>
    <w:rsid w:val="006A61E5"/>
    <w:rsid w:val="006A6CE4"/>
    <w:rsid w:val="006B18A3"/>
    <w:rsid w:val="006C0861"/>
    <w:rsid w:val="006C3BAB"/>
    <w:rsid w:val="006D54BB"/>
    <w:rsid w:val="006D5C2A"/>
    <w:rsid w:val="006D799A"/>
    <w:rsid w:val="006D7B95"/>
    <w:rsid w:val="006E0223"/>
    <w:rsid w:val="006F4279"/>
    <w:rsid w:val="006F79ED"/>
    <w:rsid w:val="007056FA"/>
    <w:rsid w:val="00707DB0"/>
    <w:rsid w:val="0071408B"/>
    <w:rsid w:val="00714817"/>
    <w:rsid w:val="007173BA"/>
    <w:rsid w:val="007207A6"/>
    <w:rsid w:val="00724475"/>
    <w:rsid w:val="007253A6"/>
    <w:rsid w:val="00730BBC"/>
    <w:rsid w:val="00743095"/>
    <w:rsid w:val="00747E88"/>
    <w:rsid w:val="00752811"/>
    <w:rsid w:val="007547B9"/>
    <w:rsid w:val="007645A2"/>
    <w:rsid w:val="0076510C"/>
    <w:rsid w:val="00771470"/>
    <w:rsid w:val="00772222"/>
    <w:rsid w:val="00775A39"/>
    <w:rsid w:val="0078091B"/>
    <w:rsid w:val="00785A2B"/>
    <w:rsid w:val="00796703"/>
    <w:rsid w:val="007A0F85"/>
    <w:rsid w:val="007A6E8A"/>
    <w:rsid w:val="007B5E4B"/>
    <w:rsid w:val="007B7151"/>
    <w:rsid w:val="007C6C86"/>
    <w:rsid w:val="007D43BD"/>
    <w:rsid w:val="007D4D30"/>
    <w:rsid w:val="007E2647"/>
    <w:rsid w:val="007E61FE"/>
    <w:rsid w:val="007E7B78"/>
    <w:rsid w:val="007F20A7"/>
    <w:rsid w:val="007F2AF2"/>
    <w:rsid w:val="007F3F8F"/>
    <w:rsid w:val="0080172A"/>
    <w:rsid w:val="00807B3E"/>
    <w:rsid w:val="00810C7D"/>
    <w:rsid w:val="00830A38"/>
    <w:rsid w:val="00832309"/>
    <w:rsid w:val="00836B39"/>
    <w:rsid w:val="0084380E"/>
    <w:rsid w:val="00844C9C"/>
    <w:rsid w:val="00852978"/>
    <w:rsid w:val="0085308D"/>
    <w:rsid w:val="00854374"/>
    <w:rsid w:val="00855EF3"/>
    <w:rsid w:val="00861FC1"/>
    <w:rsid w:val="00864B26"/>
    <w:rsid w:val="008701A9"/>
    <w:rsid w:val="00870C96"/>
    <w:rsid w:val="008714AE"/>
    <w:rsid w:val="0087421E"/>
    <w:rsid w:val="00881403"/>
    <w:rsid w:val="00882B8A"/>
    <w:rsid w:val="008847AC"/>
    <w:rsid w:val="00886184"/>
    <w:rsid w:val="0089080C"/>
    <w:rsid w:val="00892B44"/>
    <w:rsid w:val="008931E6"/>
    <w:rsid w:val="00894906"/>
    <w:rsid w:val="00897562"/>
    <w:rsid w:val="008A40F1"/>
    <w:rsid w:val="008A46D5"/>
    <w:rsid w:val="008A57F9"/>
    <w:rsid w:val="008B0223"/>
    <w:rsid w:val="008B129F"/>
    <w:rsid w:val="008B55A0"/>
    <w:rsid w:val="008B5947"/>
    <w:rsid w:val="008B5955"/>
    <w:rsid w:val="008C2D3B"/>
    <w:rsid w:val="008D1C43"/>
    <w:rsid w:val="008D3AF2"/>
    <w:rsid w:val="008E1BEC"/>
    <w:rsid w:val="008E4472"/>
    <w:rsid w:val="008F32DD"/>
    <w:rsid w:val="009106B8"/>
    <w:rsid w:val="00913C45"/>
    <w:rsid w:val="00926089"/>
    <w:rsid w:val="00926FDC"/>
    <w:rsid w:val="009273CD"/>
    <w:rsid w:val="009276E5"/>
    <w:rsid w:val="00930F11"/>
    <w:rsid w:val="00934D16"/>
    <w:rsid w:val="00934FCD"/>
    <w:rsid w:val="009440D3"/>
    <w:rsid w:val="00951BDE"/>
    <w:rsid w:val="00952125"/>
    <w:rsid w:val="0095734F"/>
    <w:rsid w:val="00960ECA"/>
    <w:rsid w:val="00966808"/>
    <w:rsid w:val="0096690E"/>
    <w:rsid w:val="00975164"/>
    <w:rsid w:val="009758DA"/>
    <w:rsid w:val="00985352"/>
    <w:rsid w:val="00990077"/>
    <w:rsid w:val="00990355"/>
    <w:rsid w:val="009A235A"/>
    <w:rsid w:val="009A4073"/>
    <w:rsid w:val="009A5388"/>
    <w:rsid w:val="009B3280"/>
    <w:rsid w:val="009B61BA"/>
    <w:rsid w:val="009B6741"/>
    <w:rsid w:val="009B6B14"/>
    <w:rsid w:val="009B73DF"/>
    <w:rsid w:val="009B7A4A"/>
    <w:rsid w:val="009C0067"/>
    <w:rsid w:val="009C0308"/>
    <w:rsid w:val="009C0CE4"/>
    <w:rsid w:val="009C0F6E"/>
    <w:rsid w:val="009C6BCB"/>
    <w:rsid w:val="009C76DC"/>
    <w:rsid w:val="009E0653"/>
    <w:rsid w:val="009E1DAA"/>
    <w:rsid w:val="009E4090"/>
    <w:rsid w:val="009F0039"/>
    <w:rsid w:val="009F30DD"/>
    <w:rsid w:val="009F6280"/>
    <w:rsid w:val="00A004F8"/>
    <w:rsid w:val="00A01524"/>
    <w:rsid w:val="00A07E5E"/>
    <w:rsid w:val="00A1036F"/>
    <w:rsid w:val="00A10376"/>
    <w:rsid w:val="00A14F21"/>
    <w:rsid w:val="00A16707"/>
    <w:rsid w:val="00A20D38"/>
    <w:rsid w:val="00A21ECA"/>
    <w:rsid w:val="00A2475D"/>
    <w:rsid w:val="00A304E3"/>
    <w:rsid w:val="00A31A8A"/>
    <w:rsid w:val="00A37822"/>
    <w:rsid w:val="00A4338D"/>
    <w:rsid w:val="00A506BE"/>
    <w:rsid w:val="00A519FF"/>
    <w:rsid w:val="00A70755"/>
    <w:rsid w:val="00A7080E"/>
    <w:rsid w:val="00A732AF"/>
    <w:rsid w:val="00A81755"/>
    <w:rsid w:val="00A822F8"/>
    <w:rsid w:val="00A95DD4"/>
    <w:rsid w:val="00AA4ADD"/>
    <w:rsid w:val="00AA6164"/>
    <w:rsid w:val="00AB0C54"/>
    <w:rsid w:val="00AB1318"/>
    <w:rsid w:val="00AB4A99"/>
    <w:rsid w:val="00AB59BA"/>
    <w:rsid w:val="00AC0427"/>
    <w:rsid w:val="00AC141C"/>
    <w:rsid w:val="00AD051F"/>
    <w:rsid w:val="00AE3E51"/>
    <w:rsid w:val="00AF4E2F"/>
    <w:rsid w:val="00AF74B6"/>
    <w:rsid w:val="00B022E9"/>
    <w:rsid w:val="00B13ACE"/>
    <w:rsid w:val="00B151B4"/>
    <w:rsid w:val="00B32698"/>
    <w:rsid w:val="00B429F7"/>
    <w:rsid w:val="00B44FDA"/>
    <w:rsid w:val="00B501EB"/>
    <w:rsid w:val="00B51A9F"/>
    <w:rsid w:val="00B52424"/>
    <w:rsid w:val="00B5452D"/>
    <w:rsid w:val="00B54C62"/>
    <w:rsid w:val="00B5552C"/>
    <w:rsid w:val="00B571DF"/>
    <w:rsid w:val="00B61ACA"/>
    <w:rsid w:val="00B629AE"/>
    <w:rsid w:val="00B64C98"/>
    <w:rsid w:val="00B67C20"/>
    <w:rsid w:val="00B750C5"/>
    <w:rsid w:val="00B7623D"/>
    <w:rsid w:val="00B81723"/>
    <w:rsid w:val="00B8299C"/>
    <w:rsid w:val="00B84247"/>
    <w:rsid w:val="00B86512"/>
    <w:rsid w:val="00B91A4F"/>
    <w:rsid w:val="00B94404"/>
    <w:rsid w:val="00B958FE"/>
    <w:rsid w:val="00B96083"/>
    <w:rsid w:val="00BA3B79"/>
    <w:rsid w:val="00BA417E"/>
    <w:rsid w:val="00BB5374"/>
    <w:rsid w:val="00BB6C05"/>
    <w:rsid w:val="00BC1B40"/>
    <w:rsid w:val="00BD6C98"/>
    <w:rsid w:val="00BE74DF"/>
    <w:rsid w:val="00BF28E8"/>
    <w:rsid w:val="00BF3967"/>
    <w:rsid w:val="00BF4FCD"/>
    <w:rsid w:val="00BF64B1"/>
    <w:rsid w:val="00C00AE8"/>
    <w:rsid w:val="00C02C0D"/>
    <w:rsid w:val="00C034BA"/>
    <w:rsid w:val="00C044DA"/>
    <w:rsid w:val="00C132EF"/>
    <w:rsid w:val="00C17B2E"/>
    <w:rsid w:val="00C2361C"/>
    <w:rsid w:val="00C30EF8"/>
    <w:rsid w:val="00C3575D"/>
    <w:rsid w:val="00C377ED"/>
    <w:rsid w:val="00C52F30"/>
    <w:rsid w:val="00C540EC"/>
    <w:rsid w:val="00C55BC1"/>
    <w:rsid w:val="00C578A4"/>
    <w:rsid w:val="00C65027"/>
    <w:rsid w:val="00C66A7C"/>
    <w:rsid w:val="00C75395"/>
    <w:rsid w:val="00C76453"/>
    <w:rsid w:val="00C803B9"/>
    <w:rsid w:val="00C92A8E"/>
    <w:rsid w:val="00C9498E"/>
    <w:rsid w:val="00C96471"/>
    <w:rsid w:val="00CA360C"/>
    <w:rsid w:val="00CB0D54"/>
    <w:rsid w:val="00CB41BC"/>
    <w:rsid w:val="00CB56E1"/>
    <w:rsid w:val="00CC57AC"/>
    <w:rsid w:val="00CC70D7"/>
    <w:rsid w:val="00CC7962"/>
    <w:rsid w:val="00CE078C"/>
    <w:rsid w:val="00D116E7"/>
    <w:rsid w:val="00D13C96"/>
    <w:rsid w:val="00D1400E"/>
    <w:rsid w:val="00D17A63"/>
    <w:rsid w:val="00D21417"/>
    <w:rsid w:val="00D235D3"/>
    <w:rsid w:val="00D27C4F"/>
    <w:rsid w:val="00D303C1"/>
    <w:rsid w:val="00D37722"/>
    <w:rsid w:val="00D41AAD"/>
    <w:rsid w:val="00D447D4"/>
    <w:rsid w:val="00D45B0F"/>
    <w:rsid w:val="00D5200E"/>
    <w:rsid w:val="00D60499"/>
    <w:rsid w:val="00D609EC"/>
    <w:rsid w:val="00D60A15"/>
    <w:rsid w:val="00D61FAD"/>
    <w:rsid w:val="00D63217"/>
    <w:rsid w:val="00D64831"/>
    <w:rsid w:val="00D65076"/>
    <w:rsid w:val="00D65C7D"/>
    <w:rsid w:val="00D71278"/>
    <w:rsid w:val="00D71E8F"/>
    <w:rsid w:val="00D74990"/>
    <w:rsid w:val="00D930A2"/>
    <w:rsid w:val="00D9387B"/>
    <w:rsid w:val="00D93C74"/>
    <w:rsid w:val="00D97364"/>
    <w:rsid w:val="00DA2406"/>
    <w:rsid w:val="00DA3190"/>
    <w:rsid w:val="00DA3B8C"/>
    <w:rsid w:val="00DA6A7C"/>
    <w:rsid w:val="00DB5723"/>
    <w:rsid w:val="00DC0E51"/>
    <w:rsid w:val="00DC3675"/>
    <w:rsid w:val="00DC7E1C"/>
    <w:rsid w:val="00DC7EF3"/>
    <w:rsid w:val="00DD51EF"/>
    <w:rsid w:val="00DE094B"/>
    <w:rsid w:val="00DE48A3"/>
    <w:rsid w:val="00DF06BE"/>
    <w:rsid w:val="00E00883"/>
    <w:rsid w:val="00E02772"/>
    <w:rsid w:val="00E13C71"/>
    <w:rsid w:val="00E1573F"/>
    <w:rsid w:val="00E161CE"/>
    <w:rsid w:val="00E16517"/>
    <w:rsid w:val="00E179A3"/>
    <w:rsid w:val="00E17A47"/>
    <w:rsid w:val="00E22703"/>
    <w:rsid w:val="00E318CB"/>
    <w:rsid w:val="00E33E1D"/>
    <w:rsid w:val="00E4563D"/>
    <w:rsid w:val="00E45F48"/>
    <w:rsid w:val="00E47228"/>
    <w:rsid w:val="00E56BF9"/>
    <w:rsid w:val="00E5721C"/>
    <w:rsid w:val="00E60144"/>
    <w:rsid w:val="00E62A2C"/>
    <w:rsid w:val="00E64F90"/>
    <w:rsid w:val="00E67CA1"/>
    <w:rsid w:val="00E74979"/>
    <w:rsid w:val="00E76D2A"/>
    <w:rsid w:val="00E81AD4"/>
    <w:rsid w:val="00E87631"/>
    <w:rsid w:val="00E936C0"/>
    <w:rsid w:val="00E93B59"/>
    <w:rsid w:val="00E97AFD"/>
    <w:rsid w:val="00EA2974"/>
    <w:rsid w:val="00EA567C"/>
    <w:rsid w:val="00EA7C4B"/>
    <w:rsid w:val="00EB27F0"/>
    <w:rsid w:val="00EC3FA9"/>
    <w:rsid w:val="00EC45B0"/>
    <w:rsid w:val="00EC7DD4"/>
    <w:rsid w:val="00ED0546"/>
    <w:rsid w:val="00ED499A"/>
    <w:rsid w:val="00ED6EE7"/>
    <w:rsid w:val="00ED6F65"/>
    <w:rsid w:val="00EE30A2"/>
    <w:rsid w:val="00EE3811"/>
    <w:rsid w:val="00EF468D"/>
    <w:rsid w:val="00F127CA"/>
    <w:rsid w:val="00F15130"/>
    <w:rsid w:val="00F226E3"/>
    <w:rsid w:val="00F27620"/>
    <w:rsid w:val="00F3186C"/>
    <w:rsid w:val="00F35566"/>
    <w:rsid w:val="00F35B99"/>
    <w:rsid w:val="00F37134"/>
    <w:rsid w:val="00F37CA3"/>
    <w:rsid w:val="00F44243"/>
    <w:rsid w:val="00F46347"/>
    <w:rsid w:val="00F47FBE"/>
    <w:rsid w:val="00F51C87"/>
    <w:rsid w:val="00F52684"/>
    <w:rsid w:val="00F6048E"/>
    <w:rsid w:val="00F61646"/>
    <w:rsid w:val="00F623E0"/>
    <w:rsid w:val="00F62E71"/>
    <w:rsid w:val="00F6718E"/>
    <w:rsid w:val="00F83E3F"/>
    <w:rsid w:val="00F84B16"/>
    <w:rsid w:val="00F87A2C"/>
    <w:rsid w:val="00F9400D"/>
    <w:rsid w:val="00FA21FE"/>
    <w:rsid w:val="00FB0F49"/>
    <w:rsid w:val="00FB320D"/>
    <w:rsid w:val="00FB4515"/>
    <w:rsid w:val="00FC10AE"/>
    <w:rsid w:val="00FC5938"/>
    <w:rsid w:val="00FD0814"/>
    <w:rsid w:val="00FD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9AB1"/>
  <w15:docId w15:val="{EABF5CD4-6428-4B19-9802-7249630B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499"/>
  </w:style>
  <w:style w:type="paragraph" w:styleId="Heading1">
    <w:name w:val="heading 1"/>
    <w:basedOn w:val="Normal"/>
    <w:next w:val="Normal"/>
    <w:link w:val="Heading1Char"/>
    <w:uiPriority w:val="9"/>
    <w:qFormat/>
    <w:rsid w:val="00752811"/>
    <w:pPr>
      <w:spacing w:line="480" w:lineRule="auto"/>
      <w:outlineLvl w:val="0"/>
    </w:pPr>
    <w:rPr>
      <w:rFonts w:ascii="Garamond" w:hAnsi="Garamond"/>
      <w:b/>
      <w:u w:val="single"/>
    </w:rPr>
  </w:style>
  <w:style w:type="paragraph" w:styleId="Heading2">
    <w:name w:val="heading 2"/>
    <w:basedOn w:val="Normal"/>
    <w:next w:val="Normal"/>
    <w:link w:val="Heading2Char"/>
    <w:uiPriority w:val="9"/>
    <w:unhideWhenUsed/>
    <w:qFormat/>
    <w:rsid w:val="00752811"/>
    <w:pPr>
      <w:spacing w:line="480" w:lineRule="auto"/>
      <w:jc w:val="both"/>
      <w:outlineLvl w:val="1"/>
    </w:pPr>
    <w:rPr>
      <w:rFonts w:ascii="Garamond" w:hAnsi="Garamond"/>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811"/>
    <w:rPr>
      <w:rFonts w:ascii="Garamond" w:hAnsi="Garamond"/>
      <w:i/>
      <w:u w:val="single"/>
    </w:rPr>
  </w:style>
  <w:style w:type="paragraph" w:styleId="ListParagraph">
    <w:name w:val="List Paragraph"/>
    <w:basedOn w:val="Normal"/>
    <w:uiPriority w:val="34"/>
    <w:qFormat/>
    <w:rsid w:val="007173BA"/>
    <w:pPr>
      <w:ind w:left="720"/>
      <w:contextualSpacing/>
    </w:pPr>
  </w:style>
  <w:style w:type="paragraph" w:styleId="BalloonText">
    <w:name w:val="Balloon Text"/>
    <w:basedOn w:val="Normal"/>
    <w:link w:val="BalloonTextChar"/>
    <w:uiPriority w:val="99"/>
    <w:semiHidden/>
    <w:unhideWhenUsed/>
    <w:rsid w:val="00D97364"/>
    <w:rPr>
      <w:rFonts w:ascii="Tahoma" w:hAnsi="Tahoma" w:cs="Tahoma"/>
      <w:sz w:val="16"/>
      <w:szCs w:val="16"/>
    </w:rPr>
  </w:style>
  <w:style w:type="character" w:customStyle="1" w:styleId="BalloonTextChar">
    <w:name w:val="Balloon Text Char"/>
    <w:basedOn w:val="DefaultParagraphFont"/>
    <w:link w:val="BalloonText"/>
    <w:uiPriority w:val="99"/>
    <w:semiHidden/>
    <w:rsid w:val="00D97364"/>
    <w:rPr>
      <w:rFonts w:ascii="Tahoma" w:hAnsi="Tahoma" w:cs="Tahoma"/>
      <w:sz w:val="16"/>
      <w:szCs w:val="16"/>
    </w:rPr>
  </w:style>
  <w:style w:type="paragraph" w:styleId="FootnoteText">
    <w:name w:val="footnote text"/>
    <w:basedOn w:val="Normal"/>
    <w:link w:val="FootnoteTextChar"/>
    <w:uiPriority w:val="99"/>
    <w:unhideWhenUsed/>
    <w:rsid w:val="001113D6"/>
  </w:style>
  <w:style w:type="character" w:customStyle="1" w:styleId="FootnoteTextChar">
    <w:name w:val="Footnote Text Char"/>
    <w:basedOn w:val="DefaultParagraphFont"/>
    <w:link w:val="FootnoteText"/>
    <w:uiPriority w:val="99"/>
    <w:rsid w:val="001113D6"/>
  </w:style>
  <w:style w:type="character" w:styleId="FootnoteReference">
    <w:name w:val="footnote reference"/>
    <w:basedOn w:val="DefaultParagraphFont"/>
    <w:uiPriority w:val="99"/>
    <w:unhideWhenUsed/>
    <w:rsid w:val="001113D6"/>
    <w:rPr>
      <w:vertAlign w:val="superscript"/>
    </w:rPr>
  </w:style>
  <w:style w:type="paragraph" w:customStyle="1" w:styleId="p1">
    <w:name w:val="p1"/>
    <w:basedOn w:val="Normal"/>
    <w:rsid w:val="00E17A47"/>
    <w:rPr>
      <w:rFonts w:ascii="Helvetica" w:hAnsi="Helvetica" w:cs="Times New Roman"/>
      <w:sz w:val="17"/>
      <w:szCs w:val="17"/>
      <w:lang w:eastAsia="en-GB"/>
    </w:rPr>
  </w:style>
  <w:style w:type="character" w:customStyle="1" w:styleId="s1">
    <w:name w:val="s1"/>
    <w:basedOn w:val="DefaultParagraphFont"/>
    <w:rsid w:val="00E17A47"/>
    <w:rPr>
      <w:rFonts w:ascii="Helvetica" w:hAnsi="Helvetica" w:hint="default"/>
      <w:sz w:val="11"/>
      <w:szCs w:val="11"/>
    </w:rPr>
  </w:style>
  <w:style w:type="character" w:styleId="CommentReference">
    <w:name w:val="annotation reference"/>
    <w:basedOn w:val="DefaultParagraphFont"/>
    <w:uiPriority w:val="99"/>
    <w:semiHidden/>
    <w:unhideWhenUsed/>
    <w:rsid w:val="00DC7E1C"/>
    <w:rPr>
      <w:sz w:val="16"/>
      <w:szCs w:val="16"/>
    </w:rPr>
  </w:style>
  <w:style w:type="paragraph" w:styleId="CommentText">
    <w:name w:val="annotation text"/>
    <w:basedOn w:val="Normal"/>
    <w:link w:val="CommentTextChar"/>
    <w:uiPriority w:val="99"/>
    <w:semiHidden/>
    <w:unhideWhenUsed/>
    <w:rsid w:val="00DC7E1C"/>
    <w:rPr>
      <w:sz w:val="20"/>
      <w:szCs w:val="20"/>
    </w:rPr>
  </w:style>
  <w:style w:type="character" w:customStyle="1" w:styleId="CommentTextChar">
    <w:name w:val="Comment Text Char"/>
    <w:basedOn w:val="DefaultParagraphFont"/>
    <w:link w:val="CommentText"/>
    <w:uiPriority w:val="99"/>
    <w:semiHidden/>
    <w:rsid w:val="00DC7E1C"/>
    <w:rPr>
      <w:sz w:val="20"/>
      <w:szCs w:val="20"/>
    </w:rPr>
  </w:style>
  <w:style w:type="paragraph" w:styleId="CommentSubject">
    <w:name w:val="annotation subject"/>
    <w:basedOn w:val="CommentText"/>
    <w:next w:val="CommentText"/>
    <w:link w:val="CommentSubjectChar"/>
    <w:uiPriority w:val="99"/>
    <w:semiHidden/>
    <w:unhideWhenUsed/>
    <w:rsid w:val="00DC7E1C"/>
    <w:rPr>
      <w:b/>
      <w:bCs/>
    </w:rPr>
  </w:style>
  <w:style w:type="character" w:customStyle="1" w:styleId="CommentSubjectChar">
    <w:name w:val="Comment Subject Char"/>
    <w:basedOn w:val="CommentTextChar"/>
    <w:link w:val="CommentSubject"/>
    <w:uiPriority w:val="99"/>
    <w:semiHidden/>
    <w:rsid w:val="00DC7E1C"/>
    <w:rPr>
      <w:b/>
      <w:bCs/>
      <w:sz w:val="20"/>
      <w:szCs w:val="20"/>
    </w:rPr>
  </w:style>
  <w:style w:type="character" w:customStyle="1" w:styleId="Heading1Char">
    <w:name w:val="Heading 1 Char"/>
    <w:basedOn w:val="DefaultParagraphFont"/>
    <w:link w:val="Heading1"/>
    <w:uiPriority w:val="9"/>
    <w:rsid w:val="00752811"/>
    <w:rPr>
      <w:rFonts w:ascii="Garamond" w:hAnsi="Garamond"/>
      <w:b/>
      <w:u w:val="single"/>
    </w:rPr>
  </w:style>
  <w:style w:type="character" w:styleId="Hyperlink">
    <w:name w:val="Hyperlink"/>
    <w:basedOn w:val="DefaultParagraphFont"/>
    <w:uiPriority w:val="99"/>
    <w:unhideWhenUsed/>
    <w:rsid w:val="00F37CA3"/>
    <w:rPr>
      <w:color w:val="0563C1" w:themeColor="hyperlink"/>
      <w:u w:val="single"/>
    </w:rPr>
  </w:style>
  <w:style w:type="paragraph" w:styleId="EndnoteText">
    <w:name w:val="endnote text"/>
    <w:basedOn w:val="Normal"/>
    <w:link w:val="EndnoteTextChar"/>
    <w:uiPriority w:val="99"/>
    <w:unhideWhenUsed/>
    <w:rsid w:val="00D71E8F"/>
    <w:rPr>
      <w:sz w:val="20"/>
      <w:szCs w:val="20"/>
    </w:rPr>
  </w:style>
  <w:style w:type="character" w:customStyle="1" w:styleId="EndnoteTextChar">
    <w:name w:val="Endnote Text Char"/>
    <w:basedOn w:val="DefaultParagraphFont"/>
    <w:link w:val="EndnoteText"/>
    <w:uiPriority w:val="99"/>
    <w:rsid w:val="00D71E8F"/>
    <w:rPr>
      <w:sz w:val="20"/>
      <w:szCs w:val="20"/>
    </w:rPr>
  </w:style>
  <w:style w:type="character" w:styleId="EndnoteReference">
    <w:name w:val="endnote reference"/>
    <w:basedOn w:val="DefaultParagraphFont"/>
    <w:uiPriority w:val="99"/>
    <w:semiHidden/>
    <w:unhideWhenUsed/>
    <w:rsid w:val="00D71E8F"/>
    <w:rPr>
      <w:vertAlign w:val="superscript"/>
    </w:rPr>
  </w:style>
  <w:style w:type="paragraph" w:styleId="Header">
    <w:name w:val="header"/>
    <w:basedOn w:val="Normal"/>
    <w:link w:val="HeaderChar"/>
    <w:uiPriority w:val="99"/>
    <w:unhideWhenUsed/>
    <w:rsid w:val="0044200F"/>
    <w:pPr>
      <w:tabs>
        <w:tab w:val="center" w:pos="4513"/>
        <w:tab w:val="right" w:pos="9026"/>
      </w:tabs>
    </w:pPr>
  </w:style>
  <w:style w:type="character" w:customStyle="1" w:styleId="HeaderChar">
    <w:name w:val="Header Char"/>
    <w:basedOn w:val="DefaultParagraphFont"/>
    <w:link w:val="Header"/>
    <w:uiPriority w:val="99"/>
    <w:rsid w:val="0044200F"/>
  </w:style>
  <w:style w:type="paragraph" w:styleId="Footer">
    <w:name w:val="footer"/>
    <w:basedOn w:val="Normal"/>
    <w:link w:val="FooterChar"/>
    <w:uiPriority w:val="99"/>
    <w:unhideWhenUsed/>
    <w:rsid w:val="0044200F"/>
    <w:pPr>
      <w:tabs>
        <w:tab w:val="center" w:pos="4513"/>
        <w:tab w:val="right" w:pos="9026"/>
      </w:tabs>
    </w:pPr>
  </w:style>
  <w:style w:type="character" w:customStyle="1" w:styleId="FooterChar">
    <w:name w:val="Footer Char"/>
    <w:basedOn w:val="DefaultParagraphFont"/>
    <w:link w:val="Footer"/>
    <w:uiPriority w:val="99"/>
    <w:rsid w:val="0044200F"/>
  </w:style>
  <w:style w:type="paragraph" w:styleId="Revision">
    <w:name w:val="Revision"/>
    <w:hidden/>
    <w:uiPriority w:val="99"/>
    <w:semiHidden/>
    <w:rsid w:val="00DD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812">
      <w:bodyDiv w:val="1"/>
      <w:marLeft w:val="0"/>
      <w:marRight w:val="0"/>
      <w:marTop w:val="0"/>
      <w:marBottom w:val="0"/>
      <w:divBdr>
        <w:top w:val="none" w:sz="0" w:space="0" w:color="auto"/>
        <w:left w:val="none" w:sz="0" w:space="0" w:color="auto"/>
        <w:bottom w:val="none" w:sz="0" w:space="0" w:color="auto"/>
        <w:right w:val="none" w:sz="0" w:space="0" w:color="auto"/>
      </w:divBdr>
    </w:div>
    <w:div w:id="104468285">
      <w:bodyDiv w:val="1"/>
      <w:marLeft w:val="0"/>
      <w:marRight w:val="0"/>
      <w:marTop w:val="0"/>
      <w:marBottom w:val="0"/>
      <w:divBdr>
        <w:top w:val="none" w:sz="0" w:space="0" w:color="auto"/>
        <w:left w:val="none" w:sz="0" w:space="0" w:color="auto"/>
        <w:bottom w:val="none" w:sz="0" w:space="0" w:color="auto"/>
        <w:right w:val="none" w:sz="0" w:space="0" w:color="auto"/>
      </w:divBdr>
      <w:divsChild>
        <w:div w:id="495419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118108">
              <w:marLeft w:val="0"/>
              <w:marRight w:val="0"/>
              <w:marTop w:val="0"/>
              <w:marBottom w:val="0"/>
              <w:divBdr>
                <w:top w:val="none" w:sz="0" w:space="0" w:color="auto"/>
                <w:left w:val="none" w:sz="0" w:space="0" w:color="auto"/>
                <w:bottom w:val="none" w:sz="0" w:space="0" w:color="auto"/>
                <w:right w:val="none" w:sz="0" w:space="0" w:color="auto"/>
              </w:divBdr>
              <w:divsChild>
                <w:div w:id="3366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6329">
      <w:bodyDiv w:val="1"/>
      <w:marLeft w:val="0"/>
      <w:marRight w:val="0"/>
      <w:marTop w:val="0"/>
      <w:marBottom w:val="0"/>
      <w:divBdr>
        <w:top w:val="none" w:sz="0" w:space="0" w:color="auto"/>
        <w:left w:val="none" w:sz="0" w:space="0" w:color="auto"/>
        <w:bottom w:val="none" w:sz="0" w:space="0" w:color="auto"/>
        <w:right w:val="none" w:sz="0" w:space="0" w:color="auto"/>
      </w:divBdr>
    </w:div>
    <w:div w:id="339551100">
      <w:bodyDiv w:val="1"/>
      <w:marLeft w:val="0"/>
      <w:marRight w:val="0"/>
      <w:marTop w:val="0"/>
      <w:marBottom w:val="0"/>
      <w:divBdr>
        <w:top w:val="none" w:sz="0" w:space="0" w:color="auto"/>
        <w:left w:val="none" w:sz="0" w:space="0" w:color="auto"/>
        <w:bottom w:val="none" w:sz="0" w:space="0" w:color="auto"/>
        <w:right w:val="none" w:sz="0" w:space="0" w:color="auto"/>
      </w:divBdr>
      <w:divsChild>
        <w:div w:id="1804762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sChild>
                <w:div w:id="14372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8565">
      <w:bodyDiv w:val="1"/>
      <w:marLeft w:val="0"/>
      <w:marRight w:val="0"/>
      <w:marTop w:val="0"/>
      <w:marBottom w:val="0"/>
      <w:divBdr>
        <w:top w:val="none" w:sz="0" w:space="0" w:color="auto"/>
        <w:left w:val="none" w:sz="0" w:space="0" w:color="auto"/>
        <w:bottom w:val="none" w:sz="0" w:space="0" w:color="auto"/>
        <w:right w:val="none" w:sz="0" w:space="0" w:color="auto"/>
      </w:divBdr>
      <w:divsChild>
        <w:div w:id="506864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998225">
              <w:marLeft w:val="0"/>
              <w:marRight w:val="0"/>
              <w:marTop w:val="0"/>
              <w:marBottom w:val="0"/>
              <w:divBdr>
                <w:top w:val="none" w:sz="0" w:space="0" w:color="auto"/>
                <w:left w:val="none" w:sz="0" w:space="0" w:color="auto"/>
                <w:bottom w:val="none" w:sz="0" w:space="0" w:color="auto"/>
                <w:right w:val="none" w:sz="0" w:space="0" w:color="auto"/>
              </w:divBdr>
              <w:divsChild>
                <w:div w:id="16633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4748">
      <w:bodyDiv w:val="1"/>
      <w:marLeft w:val="0"/>
      <w:marRight w:val="0"/>
      <w:marTop w:val="0"/>
      <w:marBottom w:val="0"/>
      <w:divBdr>
        <w:top w:val="none" w:sz="0" w:space="0" w:color="auto"/>
        <w:left w:val="none" w:sz="0" w:space="0" w:color="auto"/>
        <w:bottom w:val="none" w:sz="0" w:space="0" w:color="auto"/>
        <w:right w:val="none" w:sz="0" w:space="0" w:color="auto"/>
      </w:divBdr>
    </w:div>
    <w:div w:id="944581624">
      <w:bodyDiv w:val="1"/>
      <w:marLeft w:val="0"/>
      <w:marRight w:val="0"/>
      <w:marTop w:val="0"/>
      <w:marBottom w:val="0"/>
      <w:divBdr>
        <w:top w:val="none" w:sz="0" w:space="0" w:color="auto"/>
        <w:left w:val="none" w:sz="0" w:space="0" w:color="auto"/>
        <w:bottom w:val="none" w:sz="0" w:space="0" w:color="auto"/>
        <w:right w:val="none" w:sz="0" w:space="0" w:color="auto"/>
      </w:divBdr>
    </w:div>
    <w:div w:id="959533121">
      <w:bodyDiv w:val="1"/>
      <w:marLeft w:val="0"/>
      <w:marRight w:val="0"/>
      <w:marTop w:val="0"/>
      <w:marBottom w:val="0"/>
      <w:divBdr>
        <w:top w:val="none" w:sz="0" w:space="0" w:color="auto"/>
        <w:left w:val="none" w:sz="0" w:space="0" w:color="auto"/>
        <w:bottom w:val="none" w:sz="0" w:space="0" w:color="auto"/>
        <w:right w:val="none" w:sz="0" w:space="0" w:color="auto"/>
      </w:divBdr>
    </w:div>
    <w:div w:id="1030764971">
      <w:bodyDiv w:val="1"/>
      <w:marLeft w:val="0"/>
      <w:marRight w:val="0"/>
      <w:marTop w:val="0"/>
      <w:marBottom w:val="0"/>
      <w:divBdr>
        <w:top w:val="none" w:sz="0" w:space="0" w:color="auto"/>
        <w:left w:val="none" w:sz="0" w:space="0" w:color="auto"/>
        <w:bottom w:val="none" w:sz="0" w:space="0" w:color="auto"/>
        <w:right w:val="none" w:sz="0" w:space="0" w:color="auto"/>
      </w:divBdr>
      <w:divsChild>
        <w:div w:id="104078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636618">
              <w:marLeft w:val="0"/>
              <w:marRight w:val="0"/>
              <w:marTop w:val="0"/>
              <w:marBottom w:val="0"/>
              <w:divBdr>
                <w:top w:val="none" w:sz="0" w:space="0" w:color="auto"/>
                <w:left w:val="none" w:sz="0" w:space="0" w:color="auto"/>
                <w:bottom w:val="none" w:sz="0" w:space="0" w:color="auto"/>
                <w:right w:val="none" w:sz="0" w:space="0" w:color="auto"/>
              </w:divBdr>
              <w:divsChild>
                <w:div w:id="9748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8076">
      <w:bodyDiv w:val="1"/>
      <w:marLeft w:val="0"/>
      <w:marRight w:val="0"/>
      <w:marTop w:val="0"/>
      <w:marBottom w:val="0"/>
      <w:divBdr>
        <w:top w:val="none" w:sz="0" w:space="0" w:color="auto"/>
        <w:left w:val="none" w:sz="0" w:space="0" w:color="auto"/>
        <w:bottom w:val="none" w:sz="0" w:space="0" w:color="auto"/>
        <w:right w:val="none" w:sz="0" w:space="0" w:color="auto"/>
      </w:divBdr>
    </w:div>
    <w:div w:id="1178041477">
      <w:bodyDiv w:val="1"/>
      <w:marLeft w:val="0"/>
      <w:marRight w:val="0"/>
      <w:marTop w:val="0"/>
      <w:marBottom w:val="0"/>
      <w:divBdr>
        <w:top w:val="none" w:sz="0" w:space="0" w:color="auto"/>
        <w:left w:val="none" w:sz="0" w:space="0" w:color="auto"/>
        <w:bottom w:val="none" w:sz="0" w:space="0" w:color="auto"/>
        <w:right w:val="none" w:sz="0" w:space="0" w:color="auto"/>
      </w:divBdr>
    </w:div>
    <w:div w:id="1228223667">
      <w:bodyDiv w:val="1"/>
      <w:marLeft w:val="0"/>
      <w:marRight w:val="0"/>
      <w:marTop w:val="0"/>
      <w:marBottom w:val="0"/>
      <w:divBdr>
        <w:top w:val="none" w:sz="0" w:space="0" w:color="auto"/>
        <w:left w:val="none" w:sz="0" w:space="0" w:color="auto"/>
        <w:bottom w:val="none" w:sz="0" w:space="0" w:color="auto"/>
        <w:right w:val="none" w:sz="0" w:space="0" w:color="auto"/>
      </w:divBdr>
    </w:div>
    <w:div w:id="1316764352">
      <w:bodyDiv w:val="1"/>
      <w:marLeft w:val="0"/>
      <w:marRight w:val="0"/>
      <w:marTop w:val="0"/>
      <w:marBottom w:val="0"/>
      <w:divBdr>
        <w:top w:val="none" w:sz="0" w:space="0" w:color="auto"/>
        <w:left w:val="none" w:sz="0" w:space="0" w:color="auto"/>
        <w:bottom w:val="none" w:sz="0" w:space="0" w:color="auto"/>
        <w:right w:val="none" w:sz="0" w:space="0" w:color="auto"/>
      </w:divBdr>
    </w:div>
    <w:div w:id="1424374522">
      <w:bodyDiv w:val="1"/>
      <w:marLeft w:val="0"/>
      <w:marRight w:val="0"/>
      <w:marTop w:val="0"/>
      <w:marBottom w:val="0"/>
      <w:divBdr>
        <w:top w:val="none" w:sz="0" w:space="0" w:color="auto"/>
        <w:left w:val="none" w:sz="0" w:space="0" w:color="auto"/>
        <w:bottom w:val="none" w:sz="0" w:space="0" w:color="auto"/>
        <w:right w:val="none" w:sz="0" w:space="0" w:color="auto"/>
      </w:divBdr>
    </w:div>
    <w:div w:id="1463234138">
      <w:bodyDiv w:val="1"/>
      <w:marLeft w:val="0"/>
      <w:marRight w:val="0"/>
      <w:marTop w:val="0"/>
      <w:marBottom w:val="0"/>
      <w:divBdr>
        <w:top w:val="none" w:sz="0" w:space="0" w:color="auto"/>
        <w:left w:val="none" w:sz="0" w:space="0" w:color="auto"/>
        <w:bottom w:val="none" w:sz="0" w:space="0" w:color="auto"/>
        <w:right w:val="none" w:sz="0" w:space="0" w:color="auto"/>
      </w:divBdr>
    </w:div>
    <w:div w:id="1542790873">
      <w:bodyDiv w:val="1"/>
      <w:marLeft w:val="0"/>
      <w:marRight w:val="0"/>
      <w:marTop w:val="0"/>
      <w:marBottom w:val="0"/>
      <w:divBdr>
        <w:top w:val="none" w:sz="0" w:space="0" w:color="auto"/>
        <w:left w:val="none" w:sz="0" w:space="0" w:color="auto"/>
        <w:bottom w:val="none" w:sz="0" w:space="0" w:color="auto"/>
        <w:right w:val="none" w:sz="0" w:space="0" w:color="auto"/>
      </w:divBdr>
    </w:div>
    <w:div w:id="1554930681">
      <w:bodyDiv w:val="1"/>
      <w:marLeft w:val="0"/>
      <w:marRight w:val="0"/>
      <w:marTop w:val="0"/>
      <w:marBottom w:val="0"/>
      <w:divBdr>
        <w:top w:val="none" w:sz="0" w:space="0" w:color="auto"/>
        <w:left w:val="none" w:sz="0" w:space="0" w:color="auto"/>
        <w:bottom w:val="none" w:sz="0" w:space="0" w:color="auto"/>
        <w:right w:val="none" w:sz="0" w:space="0" w:color="auto"/>
      </w:divBdr>
      <w:divsChild>
        <w:div w:id="106043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52090">
              <w:marLeft w:val="0"/>
              <w:marRight w:val="0"/>
              <w:marTop w:val="0"/>
              <w:marBottom w:val="0"/>
              <w:divBdr>
                <w:top w:val="none" w:sz="0" w:space="0" w:color="auto"/>
                <w:left w:val="none" w:sz="0" w:space="0" w:color="auto"/>
                <w:bottom w:val="none" w:sz="0" w:space="0" w:color="auto"/>
                <w:right w:val="none" w:sz="0" w:space="0" w:color="auto"/>
              </w:divBdr>
              <w:divsChild>
                <w:div w:id="4269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7123">
      <w:bodyDiv w:val="1"/>
      <w:marLeft w:val="0"/>
      <w:marRight w:val="0"/>
      <w:marTop w:val="0"/>
      <w:marBottom w:val="0"/>
      <w:divBdr>
        <w:top w:val="none" w:sz="0" w:space="0" w:color="auto"/>
        <w:left w:val="none" w:sz="0" w:space="0" w:color="auto"/>
        <w:bottom w:val="none" w:sz="0" w:space="0" w:color="auto"/>
        <w:right w:val="none" w:sz="0" w:space="0" w:color="auto"/>
      </w:divBdr>
      <w:divsChild>
        <w:div w:id="71243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949330">
              <w:marLeft w:val="0"/>
              <w:marRight w:val="0"/>
              <w:marTop w:val="0"/>
              <w:marBottom w:val="0"/>
              <w:divBdr>
                <w:top w:val="none" w:sz="0" w:space="0" w:color="auto"/>
                <w:left w:val="none" w:sz="0" w:space="0" w:color="auto"/>
                <w:bottom w:val="none" w:sz="0" w:space="0" w:color="auto"/>
                <w:right w:val="none" w:sz="0" w:space="0" w:color="auto"/>
              </w:divBdr>
              <w:divsChild>
                <w:div w:id="11137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1869">
      <w:bodyDiv w:val="1"/>
      <w:marLeft w:val="0"/>
      <w:marRight w:val="0"/>
      <w:marTop w:val="0"/>
      <w:marBottom w:val="0"/>
      <w:divBdr>
        <w:top w:val="none" w:sz="0" w:space="0" w:color="auto"/>
        <w:left w:val="none" w:sz="0" w:space="0" w:color="auto"/>
        <w:bottom w:val="none" w:sz="0" w:space="0" w:color="auto"/>
        <w:right w:val="none" w:sz="0" w:space="0" w:color="auto"/>
      </w:divBdr>
    </w:div>
    <w:div w:id="1916821851">
      <w:bodyDiv w:val="1"/>
      <w:marLeft w:val="0"/>
      <w:marRight w:val="0"/>
      <w:marTop w:val="0"/>
      <w:marBottom w:val="0"/>
      <w:divBdr>
        <w:top w:val="none" w:sz="0" w:space="0" w:color="auto"/>
        <w:left w:val="none" w:sz="0" w:space="0" w:color="auto"/>
        <w:bottom w:val="none" w:sz="0" w:space="0" w:color="auto"/>
        <w:right w:val="none" w:sz="0" w:space="0" w:color="auto"/>
      </w:divBdr>
      <w:divsChild>
        <w:div w:id="20237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112782">
              <w:marLeft w:val="0"/>
              <w:marRight w:val="0"/>
              <w:marTop w:val="0"/>
              <w:marBottom w:val="0"/>
              <w:divBdr>
                <w:top w:val="none" w:sz="0" w:space="0" w:color="auto"/>
                <w:left w:val="none" w:sz="0" w:space="0" w:color="auto"/>
                <w:bottom w:val="none" w:sz="0" w:space="0" w:color="auto"/>
                <w:right w:val="none" w:sz="0" w:space="0" w:color="auto"/>
              </w:divBdr>
              <w:divsChild>
                <w:div w:id="393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5971">
      <w:bodyDiv w:val="1"/>
      <w:marLeft w:val="0"/>
      <w:marRight w:val="0"/>
      <w:marTop w:val="0"/>
      <w:marBottom w:val="0"/>
      <w:divBdr>
        <w:top w:val="none" w:sz="0" w:space="0" w:color="auto"/>
        <w:left w:val="none" w:sz="0" w:space="0" w:color="auto"/>
        <w:bottom w:val="none" w:sz="0" w:space="0" w:color="auto"/>
        <w:right w:val="none" w:sz="0" w:space="0" w:color="auto"/>
      </w:divBdr>
    </w:div>
    <w:div w:id="211755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sadiq-khan-declare-london-independent-from-the-uk-and-apply-to-join-the-eu%20accessed%20January%202018" TargetMode="External"/><Relationship Id="rId3" Type="http://schemas.openxmlformats.org/officeDocument/2006/relationships/settings" Target="settings.xml"/><Relationship Id="rId7" Type="http://schemas.openxmlformats.org/officeDocument/2006/relationships/hyperlink" Target="https://www.gov.uk/government/publications/jobseekers-allowance-sanctions-leaflet/jobseekers-allowance-sanctions-how-to-keep-your-benefit-payment%20accessed%20January%20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93/jeg/lbs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8863</Words>
  <Characters>50522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Samuel</dc:creator>
  <cp:lastModifiedBy>Microsoft Office User</cp:lastModifiedBy>
  <cp:revision>5</cp:revision>
  <cp:lastPrinted>2018-07-18T10:17:00Z</cp:lastPrinted>
  <dcterms:created xsi:type="dcterms:W3CDTF">2019-02-04T11:48:00Z</dcterms:created>
  <dcterms:modified xsi:type="dcterms:W3CDTF">2019-02-04T12:00:00Z</dcterms:modified>
</cp:coreProperties>
</file>