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B097A" w14:textId="2F7565A6" w:rsidR="002F6A45" w:rsidRPr="005D705F" w:rsidRDefault="002F6A45" w:rsidP="008456EA">
      <w:pPr>
        <w:pStyle w:val="authors"/>
        <w:spacing w:before="240"/>
        <w:jc w:val="center"/>
        <w:rPr>
          <w:b/>
          <w:bCs/>
          <w:kern w:val="28"/>
          <w:sz w:val="28"/>
        </w:rPr>
      </w:pPr>
      <w:bookmarkStart w:id="0" w:name="_Toc487817608"/>
      <w:r w:rsidRPr="005D705F">
        <w:rPr>
          <w:b/>
          <w:bCs/>
          <w:kern w:val="28"/>
          <w:sz w:val="28"/>
        </w:rPr>
        <w:t xml:space="preserve">FINANCIAL VIABILITY OF LIQUID AIR ENERGY STORAGE </w:t>
      </w:r>
      <w:r w:rsidR="005312C9">
        <w:rPr>
          <w:b/>
          <w:bCs/>
          <w:kern w:val="28"/>
          <w:sz w:val="28"/>
        </w:rPr>
        <w:br/>
      </w:r>
      <w:r w:rsidRPr="005D705F">
        <w:rPr>
          <w:b/>
          <w:bCs/>
          <w:kern w:val="28"/>
          <w:sz w:val="28"/>
        </w:rPr>
        <w:t>APP</w:t>
      </w:r>
      <w:r w:rsidR="000D2F84">
        <w:rPr>
          <w:b/>
          <w:bCs/>
          <w:kern w:val="28"/>
          <w:sz w:val="28"/>
        </w:rPr>
        <w:t>LIED TO COLD STORAGE WAREHOUSES</w:t>
      </w:r>
    </w:p>
    <w:p w14:paraId="1C2C56CF" w14:textId="1B758C32" w:rsidR="0030675C" w:rsidRPr="005312C9" w:rsidRDefault="00877B1F" w:rsidP="00150BF9">
      <w:pPr>
        <w:jc w:val="center"/>
        <w:rPr>
          <w:b/>
          <w:kern w:val="28"/>
          <w:sz w:val="28"/>
          <w:szCs w:val="28"/>
        </w:rPr>
      </w:pPr>
      <w:r w:rsidRPr="005D705F">
        <w:rPr>
          <w:sz w:val="28"/>
          <w:szCs w:val="28"/>
        </w:rPr>
        <w:t xml:space="preserve">A </w:t>
      </w:r>
      <w:r w:rsidR="0030675C" w:rsidRPr="005D705F">
        <w:rPr>
          <w:sz w:val="28"/>
          <w:szCs w:val="28"/>
        </w:rPr>
        <w:t>Foster</w:t>
      </w:r>
      <w:r w:rsidR="006F6ABF" w:rsidRPr="006F6ABF">
        <w:rPr>
          <w:sz w:val="28"/>
          <w:szCs w:val="28"/>
          <w:vertAlign w:val="superscript"/>
        </w:rPr>
        <w:t>(a)</w:t>
      </w:r>
      <w:r w:rsidR="0030675C" w:rsidRPr="005D705F">
        <w:rPr>
          <w:sz w:val="28"/>
          <w:szCs w:val="28"/>
        </w:rPr>
        <w:t xml:space="preserve">, </w:t>
      </w:r>
      <w:r w:rsidRPr="005D705F">
        <w:rPr>
          <w:sz w:val="28"/>
          <w:szCs w:val="28"/>
        </w:rPr>
        <w:t>D</w:t>
      </w:r>
      <w:r w:rsidR="0030675C" w:rsidRPr="005D705F">
        <w:rPr>
          <w:sz w:val="28"/>
          <w:szCs w:val="28"/>
        </w:rPr>
        <w:t xml:space="preserve"> Negro</w:t>
      </w:r>
      <w:r w:rsidR="006F6ABF" w:rsidRPr="006F6ABF">
        <w:rPr>
          <w:sz w:val="28"/>
          <w:szCs w:val="28"/>
          <w:vertAlign w:val="superscript"/>
        </w:rPr>
        <w:t>(a)</w:t>
      </w:r>
      <w:r w:rsidR="005312C9">
        <w:rPr>
          <w:sz w:val="28"/>
          <w:szCs w:val="28"/>
        </w:rPr>
        <w:t xml:space="preserve">, </w:t>
      </w:r>
      <w:r w:rsidR="008A39A8" w:rsidRPr="00D41BE6">
        <w:rPr>
          <w:sz w:val="28"/>
          <w:szCs w:val="28"/>
        </w:rPr>
        <w:t>L Varga</w:t>
      </w:r>
      <w:r w:rsidR="006F6ABF">
        <w:rPr>
          <w:sz w:val="28"/>
          <w:szCs w:val="28"/>
          <w:vertAlign w:val="superscript"/>
        </w:rPr>
        <w:t>(b)</w:t>
      </w:r>
      <w:r w:rsidR="00CD246C">
        <w:rPr>
          <w:sz w:val="28"/>
          <w:szCs w:val="28"/>
        </w:rPr>
        <w:t xml:space="preserve">, </w:t>
      </w:r>
      <w:r w:rsidR="00817AF3">
        <w:rPr>
          <w:sz w:val="28"/>
          <w:szCs w:val="28"/>
        </w:rPr>
        <w:t>Y</w:t>
      </w:r>
      <w:r w:rsidR="00CD246C">
        <w:rPr>
          <w:sz w:val="28"/>
          <w:szCs w:val="28"/>
        </w:rPr>
        <w:t xml:space="preserve"> Hu</w:t>
      </w:r>
      <w:r w:rsidR="00817AF3">
        <w:rPr>
          <w:sz w:val="28"/>
          <w:szCs w:val="28"/>
          <w:vertAlign w:val="superscript"/>
        </w:rPr>
        <w:t>(b)</w:t>
      </w:r>
      <w:r w:rsidR="00817AF3">
        <w:rPr>
          <w:sz w:val="28"/>
          <w:szCs w:val="28"/>
        </w:rPr>
        <w:t xml:space="preserve">, </w:t>
      </w:r>
      <w:r w:rsidR="005312C9">
        <w:rPr>
          <w:sz w:val="28"/>
          <w:szCs w:val="28"/>
        </w:rPr>
        <w:t xml:space="preserve">K </w:t>
      </w:r>
      <w:proofErr w:type="spellStart"/>
      <w:r w:rsidR="005312C9">
        <w:rPr>
          <w:sz w:val="28"/>
          <w:szCs w:val="28"/>
        </w:rPr>
        <w:t>Fikiin</w:t>
      </w:r>
      <w:proofErr w:type="spellEnd"/>
      <w:r w:rsidR="005312C9">
        <w:rPr>
          <w:sz w:val="28"/>
          <w:szCs w:val="28"/>
          <w:vertAlign w:val="superscript"/>
        </w:rPr>
        <w:t>(c)</w:t>
      </w:r>
      <w:r w:rsidR="00817AF3">
        <w:rPr>
          <w:sz w:val="28"/>
          <w:szCs w:val="28"/>
        </w:rPr>
        <w:t xml:space="preserve"> and</w:t>
      </w:r>
      <w:r w:rsidR="00817AF3" w:rsidRPr="00817AF3">
        <w:rPr>
          <w:sz w:val="28"/>
          <w:szCs w:val="28"/>
        </w:rPr>
        <w:t xml:space="preserve"> </w:t>
      </w:r>
      <w:r w:rsidR="00817AF3" w:rsidRPr="005D705F">
        <w:rPr>
          <w:sz w:val="28"/>
          <w:szCs w:val="28"/>
        </w:rPr>
        <w:t xml:space="preserve">J </w:t>
      </w:r>
      <w:r w:rsidR="00817AF3">
        <w:rPr>
          <w:sz w:val="28"/>
          <w:szCs w:val="28"/>
        </w:rPr>
        <w:t>Evans</w:t>
      </w:r>
      <w:r w:rsidR="00817AF3" w:rsidRPr="006F6ABF">
        <w:rPr>
          <w:sz w:val="28"/>
          <w:szCs w:val="28"/>
          <w:vertAlign w:val="superscript"/>
        </w:rPr>
        <w:t>(a)</w:t>
      </w:r>
    </w:p>
    <w:p w14:paraId="6FA9EDEC" w14:textId="2ED53903" w:rsidR="005C584E" w:rsidRDefault="006F6ABF" w:rsidP="005B7985">
      <w:pPr>
        <w:pStyle w:val="address"/>
        <w:spacing w:after="0"/>
        <w:jc w:val="center"/>
        <w:rPr>
          <w:sz w:val="22"/>
          <w:szCs w:val="22"/>
        </w:rPr>
      </w:pPr>
      <w:r w:rsidRPr="006F6ABF">
        <w:rPr>
          <w:sz w:val="28"/>
          <w:szCs w:val="28"/>
          <w:vertAlign w:val="superscript"/>
        </w:rPr>
        <w:t>(</w:t>
      </w:r>
      <w:proofErr w:type="gramStart"/>
      <w:r w:rsidRPr="006F6ABF">
        <w:rPr>
          <w:sz w:val="28"/>
          <w:szCs w:val="28"/>
          <w:vertAlign w:val="superscript"/>
        </w:rPr>
        <w:t>a</w:t>
      </w:r>
      <w:proofErr w:type="gramEnd"/>
      <w:r w:rsidRPr="006F6ABF">
        <w:rPr>
          <w:sz w:val="28"/>
          <w:szCs w:val="28"/>
          <w:vertAlign w:val="superscript"/>
        </w:rPr>
        <w:t>)</w:t>
      </w:r>
      <w:r>
        <w:rPr>
          <w:sz w:val="28"/>
          <w:szCs w:val="28"/>
          <w:vertAlign w:val="superscript"/>
        </w:rPr>
        <w:t xml:space="preserve"> </w:t>
      </w:r>
      <w:r w:rsidR="00FE4777">
        <w:rPr>
          <w:sz w:val="22"/>
          <w:szCs w:val="22"/>
        </w:rPr>
        <w:t>London South Bank University</w:t>
      </w:r>
      <w:r w:rsidR="0030675C" w:rsidRPr="005D705F">
        <w:rPr>
          <w:sz w:val="22"/>
          <w:szCs w:val="22"/>
        </w:rPr>
        <w:t xml:space="preserve">, Langford, </w:t>
      </w:r>
      <w:r w:rsidR="00FE4777">
        <w:rPr>
          <w:sz w:val="22"/>
          <w:szCs w:val="22"/>
        </w:rPr>
        <w:t xml:space="preserve">BS40 5DU, </w:t>
      </w:r>
      <w:r w:rsidR="005C584E" w:rsidRPr="005D705F">
        <w:rPr>
          <w:sz w:val="22"/>
          <w:szCs w:val="22"/>
        </w:rPr>
        <w:t>UK</w:t>
      </w:r>
      <w:r w:rsidR="0030675C" w:rsidRPr="005D705F">
        <w:rPr>
          <w:sz w:val="22"/>
          <w:szCs w:val="22"/>
        </w:rPr>
        <w:t xml:space="preserve">, </w:t>
      </w:r>
    </w:p>
    <w:p w14:paraId="6C0B1159" w14:textId="66C1F011" w:rsidR="0030675C" w:rsidRDefault="007D3B1F" w:rsidP="005B7985">
      <w:pPr>
        <w:pStyle w:val="address"/>
        <w:spacing w:after="0"/>
        <w:jc w:val="center"/>
        <w:rPr>
          <w:sz w:val="22"/>
          <w:szCs w:val="22"/>
        </w:rPr>
      </w:pPr>
      <w:hyperlink r:id="rId9" w:history="1">
        <w:r w:rsidR="0030675C" w:rsidRPr="005D705F">
          <w:rPr>
            <w:rStyle w:val="Hyperlink"/>
            <w:sz w:val="22"/>
            <w:szCs w:val="22"/>
          </w:rPr>
          <w:t>alan.foster@lsbu.ac.uk</w:t>
        </w:r>
      </w:hyperlink>
      <w:r w:rsidR="005C584E" w:rsidRPr="005D705F">
        <w:rPr>
          <w:sz w:val="22"/>
          <w:szCs w:val="22"/>
        </w:rPr>
        <w:t>,</w:t>
      </w:r>
      <w:r w:rsidR="0030675C" w:rsidRPr="005D705F">
        <w:rPr>
          <w:sz w:val="22"/>
          <w:szCs w:val="22"/>
        </w:rPr>
        <w:t xml:space="preserve"> </w:t>
      </w:r>
      <w:r w:rsidR="00630D0A" w:rsidRPr="005D705F">
        <w:rPr>
          <w:sz w:val="22"/>
          <w:szCs w:val="22"/>
        </w:rPr>
        <w:t>Fax: +44(1117) 92892314</w:t>
      </w:r>
    </w:p>
    <w:p w14:paraId="012B9339" w14:textId="77777777" w:rsidR="005B7985" w:rsidRDefault="005B7985" w:rsidP="005B7985">
      <w:pPr>
        <w:pStyle w:val="address"/>
        <w:spacing w:after="0"/>
        <w:jc w:val="center"/>
        <w:rPr>
          <w:sz w:val="22"/>
          <w:szCs w:val="22"/>
        </w:rPr>
      </w:pPr>
      <w:r w:rsidRPr="005B7985">
        <w:rPr>
          <w:sz w:val="28"/>
          <w:szCs w:val="28"/>
          <w:vertAlign w:val="superscript"/>
        </w:rPr>
        <w:t>(b)</w:t>
      </w:r>
      <w:r>
        <w:rPr>
          <w:sz w:val="22"/>
          <w:szCs w:val="22"/>
          <w:vertAlign w:val="superscript"/>
        </w:rPr>
        <w:t xml:space="preserve"> </w:t>
      </w:r>
      <w:r>
        <w:rPr>
          <w:sz w:val="22"/>
          <w:szCs w:val="22"/>
        </w:rPr>
        <w:t>Complex Systems Research Centre, Cranfield University, Bedford, UK</w:t>
      </w:r>
    </w:p>
    <w:p w14:paraId="32451471" w14:textId="5D918CC7" w:rsidR="005312C9" w:rsidRPr="00F9628C" w:rsidRDefault="005312C9" w:rsidP="005B7985">
      <w:pPr>
        <w:pStyle w:val="address"/>
        <w:spacing w:after="0"/>
        <w:jc w:val="center"/>
        <w:rPr>
          <w:sz w:val="22"/>
          <w:szCs w:val="22"/>
        </w:rPr>
      </w:pPr>
      <w:r w:rsidRPr="00F9628C">
        <w:rPr>
          <w:sz w:val="28"/>
          <w:szCs w:val="28"/>
          <w:vertAlign w:val="superscript"/>
        </w:rPr>
        <w:t>(</w:t>
      </w:r>
      <w:proofErr w:type="gramStart"/>
      <w:r w:rsidRPr="00F9628C">
        <w:rPr>
          <w:sz w:val="28"/>
          <w:szCs w:val="28"/>
          <w:vertAlign w:val="superscript"/>
        </w:rPr>
        <w:t>c</w:t>
      </w:r>
      <w:proofErr w:type="gramEnd"/>
      <w:r w:rsidRPr="00F9628C">
        <w:rPr>
          <w:sz w:val="28"/>
          <w:szCs w:val="28"/>
          <w:vertAlign w:val="superscript"/>
        </w:rPr>
        <w:t>)</w:t>
      </w:r>
      <w:r w:rsidRPr="00B94934">
        <w:rPr>
          <w:sz w:val="22"/>
          <w:szCs w:val="22"/>
          <w:vertAlign w:val="superscript"/>
        </w:rPr>
        <w:t xml:space="preserve"> </w:t>
      </w:r>
      <w:r w:rsidR="00F9628C" w:rsidRPr="00B94934">
        <w:rPr>
          <w:sz w:val="22"/>
          <w:szCs w:val="22"/>
        </w:rPr>
        <w:t>Technical University of Sofia, Bulgaria</w:t>
      </w:r>
    </w:p>
    <w:p w14:paraId="0FF6CE9B" w14:textId="0A60D300" w:rsidR="00DA1BAF" w:rsidRPr="005D705F" w:rsidRDefault="00DA1BAF" w:rsidP="00DA1BAF">
      <w:pPr>
        <w:pStyle w:val="Heading1"/>
        <w:numPr>
          <w:ilvl w:val="0"/>
          <w:numId w:val="0"/>
        </w:numPr>
        <w:ind w:left="431" w:hanging="431"/>
        <w:rPr>
          <w:szCs w:val="22"/>
        </w:rPr>
      </w:pPr>
      <w:r w:rsidRPr="005D705F">
        <w:t>ABSTRACT</w:t>
      </w:r>
    </w:p>
    <w:p w14:paraId="7FA56E7A" w14:textId="7B340C82" w:rsidR="0030675C" w:rsidRPr="00D41BE6" w:rsidRDefault="00D41BE6" w:rsidP="0030675C">
      <w:r>
        <w:t>Cold stor</w:t>
      </w:r>
      <w:r w:rsidR="000D2F84">
        <w:t>age</w:t>
      </w:r>
      <w:r w:rsidRPr="005D705F">
        <w:t xml:space="preserve"> warehouses </w:t>
      </w:r>
      <w:r>
        <w:t xml:space="preserve">(CSWs) </w:t>
      </w:r>
      <w:r w:rsidRPr="005D705F">
        <w:t>are large energy consumers and account for a significant portion of the global energy demand</w:t>
      </w:r>
      <w:r>
        <w:t>.  CSWs are ideally suited</w:t>
      </w:r>
      <w:r w:rsidRPr="005D705F">
        <w:t xml:space="preserve"> for </w:t>
      </w:r>
      <w:r>
        <w:t xml:space="preserve">solar </w:t>
      </w:r>
      <w:r w:rsidRPr="005D705F">
        <w:t>renewable energy, as they general</w:t>
      </w:r>
      <w:r>
        <w:t>ly</w:t>
      </w:r>
      <w:r w:rsidRPr="005D705F">
        <w:t xml:space="preserve"> have large flat roofs and their peak demand can coincide with the sun shining</w:t>
      </w:r>
      <w:r>
        <w:t xml:space="preserve">.  </w:t>
      </w:r>
      <w:r w:rsidR="009F5CFC">
        <w:t xml:space="preserve">A challenge with </w:t>
      </w:r>
      <w:r w:rsidR="00352462">
        <w:t xml:space="preserve">fluctuating </w:t>
      </w:r>
      <w:r w:rsidR="009F5CFC">
        <w:t xml:space="preserve">renewables is their </w:t>
      </w:r>
      <w:r w:rsidR="00A4589C">
        <w:t>variability</w:t>
      </w:r>
      <w:r w:rsidR="00352462">
        <w:t>,</w:t>
      </w:r>
      <w:r w:rsidR="00A4589C">
        <w:t xml:space="preserve"> </w:t>
      </w:r>
      <w:r w:rsidR="009F5CFC">
        <w:t xml:space="preserve">which means generation </w:t>
      </w:r>
      <w:r w:rsidR="001A58B8">
        <w:t>may</w:t>
      </w:r>
      <w:r w:rsidR="009F5CFC">
        <w:t xml:space="preserve"> not coincide with demand. </w:t>
      </w:r>
      <w:r w:rsidR="009F5CFC" w:rsidRPr="005D705F">
        <w:t xml:space="preserve"> </w:t>
      </w:r>
      <w:r w:rsidR="00A4589C">
        <w:t xml:space="preserve">Liquid air energy storage (LAES) is a technology that stores electrical energy as a cryogenic liquid.  </w:t>
      </w:r>
      <w:r w:rsidR="009F5CFC">
        <w:t xml:space="preserve">This paper presents two strategies for </w:t>
      </w:r>
      <w:r w:rsidR="00A4589C">
        <w:t xml:space="preserve">using </w:t>
      </w:r>
      <w:r w:rsidR="009F5CFC">
        <w:t xml:space="preserve">LAES at CSWs, firstly to shift the import of energy from peak to off-peak tariffs and secondly to store on site renewable energy when there is a surplus and use when not.  </w:t>
      </w:r>
      <w:r w:rsidR="00BC5F46">
        <w:t>T</w:t>
      </w:r>
      <w:r w:rsidR="0030675C" w:rsidRPr="005D705F">
        <w:t xml:space="preserve">he financial viability of </w:t>
      </w:r>
      <w:r w:rsidR="009F5CFC">
        <w:t>these strategies</w:t>
      </w:r>
      <w:r w:rsidR="00BC5F46">
        <w:t xml:space="preserve"> is then investigated</w:t>
      </w:r>
      <w:r w:rsidR="009F5CFC">
        <w:t xml:space="preserve"> taking into account the capital cost of the LAES and the money th</w:t>
      </w:r>
      <w:r w:rsidR="001826F4">
        <w:t>a</w:t>
      </w:r>
      <w:r w:rsidR="009F5CFC">
        <w:t>t can be saved due to the differences in tariffs at different times.</w:t>
      </w:r>
    </w:p>
    <w:p w14:paraId="3C777141" w14:textId="06D5484C" w:rsidR="00CA295C" w:rsidRPr="005D705F" w:rsidRDefault="0030675C" w:rsidP="006B2A33">
      <w:r w:rsidRPr="007074F6">
        <w:t>Key words</w:t>
      </w:r>
      <w:r w:rsidR="00DA1BAF" w:rsidRPr="007074F6">
        <w:t>:</w:t>
      </w:r>
      <w:r w:rsidR="00DA1BAF" w:rsidRPr="005D705F">
        <w:t xml:space="preserve"> </w:t>
      </w:r>
      <w:r w:rsidRPr="005D705F">
        <w:t>Liquid air energy storage, renewable energy, cold storage</w:t>
      </w:r>
      <w:r w:rsidR="00DB2A50" w:rsidRPr="005D705F">
        <w:t>, finance.</w:t>
      </w:r>
    </w:p>
    <w:p w14:paraId="6002785A" w14:textId="2C8DF8B3" w:rsidR="00CA295C" w:rsidRPr="005D705F" w:rsidRDefault="00CA295C" w:rsidP="00CA295C">
      <w:pPr>
        <w:pStyle w:val="Heading1"/>
      </w:pPr>
      <w:r w:rsidRPr="005D705F">
        <w:t>INTRODUCTION</w:t>
      </w:r>
    </w:p>
    <w:p w14:paraId="5422A893" w14:textId="2E191749" w:rsidR="00C30ADC" w:rsidRPr="005D705F" w:rsidRDefault="00C30ADC" w:rsidP="00C30ADC">
      <w:r w:rsidRPr="005D705F">
        <w:t xml:space="preserve">Renewable energy sources (RES) have a </w:t>
      </w:r>
      <w:r w:rsidR="004D19FF">
        <w:t xml:space="preserve">much </w:t>
      </w:r>
      <w:r w:rsidRPr="005D705F">
        <w:t xml:space="preserve">lower carbon footprint than conventional electrical energy generating fuels (coal, gas, oil) and so have the potential to reduce carbon </w:t>
      </w:r>
      <w:r w:rsidR="00D15E53" w:rsidRPr="005D705F">
        <w:t xml:space="preserve">emissions if used effectively.  </w:t>
      </w:r>
      <w:r w:rsidRPr="005D705F">
        <w:t>The EU aims to generate 20% of the energy used in Europe from renewable sources by 2020 (Renewable Energy Directive</w:t>
      </w:r>
      <w:r w:rsidR="003951D6">
        <w:t>, 2009</w:t>
      </w:r>
      <w:r w:rsidRPr="005D705F">
        <w:t xml:space="preserve">).  As the EU and the rest of the world moves toward renewable energy, supply becomes more dependent on factors outside the control of the energy supplier, e.g. weather variations.  This provides an issue for grid </w:t>
      </w:r>
      <w:r w:rsidR="008E3C1A">
        <w:t>balancing</w:t>
      </w:r>
      <w:r w:rsidR="00C43C15">
        <w:t>,</w:t>
      </w:r>
      <w:r w:rsidR="008E3C1A">
        <w:t xml:space="preserve"> </w:t>
      </w:r>
      <w:r w:rsidRPr="005D705F">
        <w:t xml:space="preserve">as </w:t>
      </w:r>
      <w:r w:rsidR="008E3C1A">
        <w:t>electricity</w:t>
      </w:r>
      <w:r w:rsidR="008E3C1A" w:rsidRPr="005D705F">
        <w:t xml:space="preserve"> </w:t>
      </w:r>
      <w:r w:rsidR="003951D6">
        <w:t>generation</w:t>
      </w:r>
      <w:r w:rsidRPr="005D705F">
        <w:t xml:space="preserve"> is not easily controllable.</w:t>
      </w:r>
      <w:r w:rsidR="00720487">
        <w:t xml:space="preserve"> </w:t>
      </w:r>
    </w:p>
    <w:p w14:paraId="50A9E93E" w14:textId="159B3CEA" w:rsidR="00C30ADC" w:rsidRPr="001826F4" w:rsidRDefault="00C30ADC" w:rsidP="00C30ADC">
      <w:pPr>
        <w:rPr>
          <w:i/>
        </w:rPr>
      </w:pPr>
      <w:r w:rsidRPr="005D705F">
        <w:t xml:space="preserve">One method to balance </w:t>
      </w:r>
      <w:r w:rsidR="00BC5F46">
        <w:t>supply</w:t>
      </w:r>
      <w:r w:rsidRPr="005D705F">
        <w:t xml:space="preserve"> and demand </w:t>
      </w:r>
      <w:r w:rsidR="00BC5F46">
        <w:t xml:space="preserve">in power generation </w:t>
      </w:r>
      <w:r w:rsidRPr="005D705F">
        <w:t xml:space="preserve">is to store energy during periods of low demand and </w:t>
      </w:r>
      <w:r w:rsidR="00BC5F46">
        <w:t>re</w:t>
      </w:r>
      <w:r w:rsidRPr="005D705F">
        <w:t>use it at high de</w:t>
      </w:r>
      <w:r w:rsidR="00C53C49" w:rsidRPr="005D705F">
        <w:t>mand.  Lehmann et al</w:t>
      </w:r>
      <w:r w:rsidR="007009DF">
        <w:t>.</w:t>
      </w:r>
      <w:r w:rsidR="00C53C49" w:rsidRPr="005D705F">
        <w:t xml:space="preserve"> (2016) stated</w:t>
      </w:r>
      <w:r w:rsidRPr="005D705F">
        <w:t xml:space="preserve"> that </w:t>
      </w:r>
      <w:r w:rsidRPr="001826F4">
        <w:rPr>
          <w:i/>
        </w:rPr>
        <w:t>“The UK can realise significant cost savings if market arrangements for the electricity system allow for an efficient deployment and use of energy storage…”</w:t>
      </w:r>
    </w:p>
    <w:p w14:paraId="1C8ACFD0" w14:textId="1486DD74" w:rsidR="00954FB5" w:rsidRDefault="008C3A71" w:rsidP="00C30ADC">
      <w:r>
        <w:t>D</w:t>
      </w:r>
      <w:r w:rsidR="00954FB5">
        <w:t xml:space="preserve">emand and supply </w:t>
      </w:r>
      <w:r w:rsidR="00804973">
        <w:t>fluctuation</w:t>
      </w:r>
      <w:r w:rsidR="00C43C15">
        <w:t>s</w:t>
      </w:r>
      <w:r w:rsidR="00804973">
        <w:t xml:space="preserve"> </w:t>
      </w:r>
      <w:r w:rsidR="00954FB5">
        <w:t xml:space="preserve">leads to </w:t>
      </w:r>
      <w:r w:rsidR="00C43C15">
        <w:t xml:space="preserve">electricity </w:t>
      </w:r>
      <w:r w:rsidR="00954FB5">
        <w:t xml:space="preserve">prices which </w:t>
      </w:r>
      <w:r w:rsidR="00C43C15">
        <w:t>change in response</w:t>
      </w:r>
      <w:r w:rsidR="00954FB5">
        <w:t xml:space="preserve">.  This </w:t>
      </w:r>
      <w:r w:rsidR="00C43C15">
        <w:t xml:space="preserve">incentivises </w:t>
      </w:r>
      <w:r w:rsidR="00804973">
        <w:t xml:space="preserve">large </w:t>
      </w:r>
      <w:r w:rsidR="00954FB5">
        <w:t xml:space="preserve">energy consumers to vary their consumption and energy </w:t>
      </w:r>
      <w:r w:rsidR="00535230">
        <w:t>producers to vary the time they export energy</w:t>
      </w:r>
      <w:r w:rsidR="00C43C15">
        <w:t>, keeping the grid balanced</w:t>
      </w:r>
      <w:r w:rsidR="00535230">
        <w:t xml:space="preserve">. </w:t>
      </w:r>
    </w:p>
    <w:p w14:paraId="0D36DE99" w14:textId="67DA0AE0" w:rsidR="00535230" w:rsidRDefault="000D2F84" w:rsidP="00C30ADC">
      <w:r>
        <w:t>Cold storage</w:t>
      </w:r>
      <w:r w:rsidR="00535230" w:rsidRPr="005D705F">
        <w:t xml:space="preserve"> warehouses </w:t>
      </w:r>
      <w:r w:rsidR="00535230">
        <w:t xml:space="preserve">(CSWs) </w:t>
      </w:r>
      <w:r w:rsidR="00535230" w:rsidRPr="005D705F">
        <w:t xml:space="preserve">are </w:t>
      </w:r>
      <w:r w:rsidR="00BC5F46">
        <w:t xml:space="preserve">typical </w:t>
      </w:r>
      <w:r w:rsidR="00535230" w:rsidRPr="005D705F">
        <w:t>large energy consumers</w:t>
      </w:r>
      <w:r w:rsidR="00160B17">
        <w:t>,</w:t>
      </w:r>
      <w:r w:rsidR="00160B17" w:rsidRPr="00160B17">
        <w:t xml:space="preserve"> </w:t>
      </w:r>
      <w:r w:rsidR="00160B17">
        <w:t>while industrial refrigeration</w:t>
      </w:r>
      <w:r w:rsidR="00535230" w:rsidRPr="005D705F">
        <w:t xml:space="preserve"> account</w:t>
      </w:r>
      <w:r w:rsidR="00160B17">
        <w:t>s</w:t>
      </w:r>
      <w:r w:rsidR="00535230" w:rsidRPr="005D705F">
        <w:t xml:space="preserve"> for </w:t>
      </w:r>
      <w:r w:rsidR="00471166">
        <w:t xml:space="preserve">about 8% of the </w:t>
      </w:r>
      <w:r w:rsidR="00471166" w:rsidRPr="005D705F">
        <w:t>global</w:t>
      </w:r>
      <w:r w:rsidR="00471166">
        <w:t xml:space="preserve"> electrical </w:t>
      </w:r>
      <w:r w:rsidR="00535230" w:rsidRPr="005D705F">
        <w:t>demand (</w:t>
      </w:r>
      <w:proofErr w:type="spellStart"/>
      <w:r w:rsidR="00535230" w:rsidRPr="005D705F">
        <w:t>Fikiin</w:t>
      </w:r>
      <w:proofErr w:type="spellEnd"/>
      <w:r w:rsidR="00535230" w:rsidRPr="005D705F">
        <w:t xml:space="preserve"> and </w:t>
      </w:r>
      <w:proofErr w:type="spellStart"/>
      <w:r w:rsidR="00535230" w:rsidRPr="005D705F">
        <w:t>Stankov</w:t>
      </w:r>
      <w:proofErr w:type="spellEnd"/>
      <w:r w:rsidR="00535230" w:rsidRPr="005D705F">
        <w:t xml:space="preserve">, 2015).  </w:t>
      </w:r>
      <w:r w:rsidR="00535230">
        <w:t xml:space="preserve">Due to the </w:t>
      </w:r>
      <w:r w:rsidR="00A56E03">
        <w:t xml:space="preserve">substantial </w:t>
      </w:r>
      <w:r w:rsidR="00535230">
        <w:t>thermal capacity of frozen CSW</w:t>
      </w:r>
      <w:r w:rsidR="006B2A33">
        <w:t>s</w:t>
      </w:r>
      <w:r w:rsidR="00535230">
        <w:t xml:space="preserve">, it is common for </w:t>
      </w:r>
      <w:r w:rsidR="00BB082F">
        <w:t xml:space="preserve">CSW operators </w:t>
      </w:r>
      <w:r w:rsidR="00535230">
        <w:t xml:space="preserve">to vary </w:t>
      </w:r>
      <w:r w:rsidR="00AB526E">
        <w:t xml:space="preserve">CSW </w:t>
      </w:r>
      <w:r w:rsidR="00BC5F46">
        <w:t xml:space="preserve">electrical energy </w:t>
      </w:r>
      <w:r w:rsidR="00535230">
        <w:t>consumption to avoid using energy when the price is high</w:t>
      </w:r>
      <w:r w:rsidR="00A56E03">
        <w:t xml:space="preserve">, thereby </w:t>
      </w:r>
      <w:r w:rsidR="00BC5F46">
        <w:t xml:space="preserve">inevitably </w:t>
      </w:r>
      <w:r w:rsidR="00A56E03">
        <w:t>introducing some temperature fluctuations</w:t>
      </w:r>
      <w:r w:rsidR="00597EE5">
        <w:t>.</w:t>
      </w:r>
      <w:r w:rsidR="00535230">
        <w:t xml:space="preserve">  However, </w:t>
      </w:r>
      <w:r w:rsidR="00A56E03">
        <w:t xml:space="preserve">the strict </w:t>
      </w:r>
      <w:r w:rsidR="00535230">
        <w:t xml:space="preserve">temperature control of the </w:t>
      </w:r>
      <w:r w:rsidR="004F77AA">
        <w:t xml:space="preserve">refrigerated </w:t>
      </w:r>
      <w:r w:rsidR="00535230">
        <w:t>product is critical and therefore there is a limit to th</w:t>
      </w:r>
      <w:r w:rsidR="006B2A33">
        <w:t xml:space="preserve">e extent that </w:t>
      </w:r>
      <w:r w:rsidR="00BC5F46">
        <w:t>such</w:t>
      </w:r>
      <w:r w:rsidR="006B2A33">
        <w:t xml:space="preserve"> </w:t>
      </w:r>
      <w:r w:rsidR="00A56E03" w:rsidRPr="001826F4">
        <w:rPr>
          <w:i/>
        </w:rPr>
        <w:t>‘passive storage’</w:t>
      </w:r>
      <w:r w:rsidR="00A56E03">
        <w:t xml:space="preserve"> </w:t>
      </w:r>
      <w:r w:rsidR="00BC5F46">
        <w:t>strategy</w:t>
      </w:r>
      <w:r w:rsidR="00A56E03">
        <w:t xml:space="preserve"> </w:t>
      </w:r>
      <w:r w:rsidR="006B2A33">
        <w:t xml:space="preserve">can be </w:t>
      </w:r>
      <w:r w:rsidR="00A56E03">
        <w:t xml:space="preserve">implemented </w:t>
      </w:r>
      <w:r w:rsidR="00A56E03" w:rsidRPr="005D705F">
        <w:t>(</w:t>
      </w:r>
      <w:proofErr w:type="spellStart"/>
      <w:r w:rsidR="00A56E03" w:rsidRPr="005D705F">
        <w:t>Fikiin</w:t>
      </w:r>
      <w:proofErr w:type="spellEnd"/>
      <w:r w:rsidR="00A56E03" w:rsidRPr="005D705F">
        <w:t xml:space="preserve"> and </w:t>
      </w:r>
      <w:proofErr w:type="spellStart"/>
      <w:r w:rsidR="00A56E03" w:rsidRPr="005D705F">
        <w:t>Stankov</w:t>
      </w:r>
      <w:proofErr w:type="spellEnd"/>
      <w:r w:rsidR="00A56E03" w:rsidRPr="005D705F">
        <w:t>, 2015).</w:t>
      </w:r>
    </w:p>
    <w:p w14:paraId="4EA0ED0D" w14:textId="71099578" w:rsidR="00D152B3" w:rsidRDefault="00535230" w:rsidP="00954FB5">
      <w:r>
        <w:t xml:space="preserve">Storage of energy </w:t>
      </w:r>
      <w:r w:rsidR="00AB526E">
        <w:t xml:space="preserve">is a technology </w:t>
      </w:r>
      <w:r w:rsidR="006C1DA6">
        <w:t xml:space="preserve">that can </w:t>
      </w:r>
      <w:r>
        <w:t>make money from arbitrage</w:t>
      </w:r>
      <w:r w:rsidR="00A76798">
        <w:t xml:space="preserve"> (buy at one price and sell at a higher price)</w:t>
      </w:r>
      <w:r>
        <w:t xml:space="preserve">.  </w:t>
      </w:r>
      <w:r w:rsidR="00954FB5" w:rsidRPr="005D705F">
        <w:t xml:space="preserve">The difference in energy price between the time </w:t>
      </w:r>
      <w:r w:rsidR="00AB526E">
        <w:t>energy is</w:t>
      </w:r>
      <w:r w:rsidR="00954FB5" w:rsidRPr="005D705F">
        <w:t xml:space="preserve"> </w:t>
      </w:r>
      <w:r w:rsidR="006D4FD3">
        <w:t xml:space="preserve">bought, </w:t>
      </w:r>
      <w:r w:rsidR="00954FB5" w:rsidRPr="005D705F">
        <w:t xml:space="preserve">stored and </w:t>
      </w:r>
      <w:r w:rsidR="006D4FD3">
        <w:t xml:space="preserve">then </w:t>
      </w:r>
      <w:r w:rsidR="00954FB5" w:rsidRPr="005D705F">
        <w:t>discharged provides the income.</w:t>
      </w:r>
    </w:p>
    <w:p w14:paraId="17983C8F" w14:textId="458BB76E" w:rsidR="00954FB5" w:rsidRPr="00814625" w:rsidRDefault="0098560E" w:rsidP="00954FB5">
      <w:r>
        <w:t>CSWs</w:t>
      </w:r>
      <w:r w:rsidR="00954FB5">
        <w:t xml:space="preserve"> are ideally suited</w:t>
      </w:r>
      <w:r w:rsidR="00954FB5" w:rsidRPr="005D705F">
        <w:t xml:space="preserve"> for </w:t>
      </w:r>
      <w:r w:rsidR="00954FB5">
        <w:t xml:space="preserve">solar </w:t>
      </w:r>
      <w:r w:rsidR="00954FB5" w:rsidRPr="005D705F">
        <w:t xml:space="preserve">renewable energy, as they </w:t>
      </w:r>
      <w:r w:rsidR="006D4FD3" w:rsidRPr="005D705F">
        <w:t>general</w:t>
      </w:r>
      <w:r w:rsidR="006D4FD3">
        <w:t>ly</w:t>
      </w:r>
      <w:r w:rsidR="00954FB5" w:rsidRPr="005D705F">
        <w:t xml:space="preserve"> have large flat roofs and their peak demand can coincide with the sun shining</w:t>
      </w:r>
      <w:r w:rsidR="001826F4">
        <w:t xml:space="preserve">.  </w:t>
      </w:r>
      <w:r w:rsidR="00814625">
        <w:t xml:space="preserve">However, it is not possible to </w:t>
      </w:r>
      <w:r w:rsidR="00695075">
        <w:t xml:space="preserve">be grid independent </w:t>
      </w:r>
      <w:r w:rsidR="00F83DB2">
        <w:t>using</w:t>
      </w:r>
      <w:r w:rsidR="006D4FD3">
        <w:t xml:space="preserve"> </w:t>
      </w:r>
      <w:r w:rsidR="00695075">
        <w:t xml:space="preserve">only </w:t>
      </w:r>
      <w:r w:rsidR="00814625">
        <w:t>RES from solar and</w:t>
      </w:r>
      <w:r w:rsidR="00BC5F46">
        <w:t>/or</w:t>
      </w:r>
      <w:r w:rsidR="00814625">
        <w:t xml:space="preserve"> wind to power the CSW</w:t>
      </w:r>
      <w:r w:rsidR="00695075">
        <w:t>,</w:t>
      </w:r>
      <w:r w:rsidR="00814625">
        <w:t xml:space="preserve"> due to its intermittent nature.</w:t>
      </w:r>
      <w:r w:rsidR="00954FB5" w:rsidRPr="005D705F">
        <w:t xml:space="preserve">  </w:t>
      </w:r>
      <w:r w:rsidR="00851FA1">
        <w:t>Large-scale e</w:t>
      </w:r>
      <w:r w:rsidR="00F83DB2">
        <w:t xml:space="preserve">nergy storage </w:t>
      </w:r>
      <w:r w:rsidR="00851FA1">
        <w:lastRenderedPageBreak/>
        <w:t>that has low losses</w:t>
      </w:r>
      <w:r w:rsidR="00F83DB2">
        <w:t xml:space="preserve"> over several days is needed</w:t>
      </w:r>
      <w:r w:rsidR="00851FA1">
        <w:t xml:space="preserve"> alongside the RES</w:t>
      </w:r>
      <w:r w:rsidR="00F83DB2">
        <w:t xml:space="preserve">, </w:t>
      </w:r>
      <w:r w:rsidR="00E3289B">
        <w:t xml:space="preserve">while </w:t>
      </w:r>
      <w:r w:rsidR="00F83DB2">
        <w:t xml:space="preserve">conventional battery storage at this scale is not </w:t>
      </w:r>
      <w:r w:rsidR="00A05F8D">
        <w:t>commercially viable</w:t>
      </w:r>
      <w:r w:rsidR="00F83DB2">
        <w:t>.</w:t>
      </w:r>
    </w:p>
    <w:p w14:paraId="29A4A77A" w14:textId="2F55B53F" w:rsidR="006B2A33" w:rsidRDefault="00C30ADC" w:rsidP="00C30ADC">
      <w:r w:rsidRPr="005D705F">
        <w:t>Cryogenic energy storage (CES) makes use of low-temperature liquids as an energy storage and transfer medium. CES can provide large</w:t>
      </w:r>
      <w:r w:rsidR="00D03B50">
        <w:t>-</w:t>
      </w:r>
      <w:r w:rsidRPr="005D705F">
        <w:t>scale, long</w:t>
      </w:r>
      <w:r w:rsidR="00966C6E">
        <w:t>-</w:t>
      </w:r>
      <w:r w:rsidRPr="005D705F">
        <w:t>duration energy storage of 5-1000 MWh (Brett and Barnett, 2014)</w:t>
      </w:r>
      <w:r w:rsidR="006E5505">
        <w:t xml:space="preserve"> and can operate synergistically with a CSW (</w:t>
      </w:r>
      <w:proofErr w:type="spellStart"/>
      <w:r w:rsidR="006E5505">
        <w:t>Fikiin</w:t>
      </w:r>
      <w:proofErr w:type="spellEnd"/>
      <w:r w:rsidR="006E5505">
        <w:t xml:space="preserve"> et al., 2016</w:t>
      </w:r>
      <w:r w:rsidR="00BC4BC1">
        <w:t xml:space="preserve">), which is the focus of the EU </w:t>
      </w:r>
      <w:proofErr w:type="spellStart"/>
      <w:r w:rsidR="00BC4BC1">
        <w:t>CryoHub</w:t>
      </w:r>
      <w:proofErr w:type="spellEnd"/>
      <w:r w:rsidR="00BC4BC1">
        <w:t xml:space="preserve"> project (</w:t>
      </w:r>
      <w:proofErr w:type="spellStart"/>
      <w:r w:rsidR="00BC4BC1">
        <w:rPr>
          <w:rFonts w:cs="Times New Roman"/>
        </w:rPr>
        <w:t>CryoHub</w:t>
      </w:r>
      <w:proofErr w:type="spellEnd"/>
      <w:r w:rsidR="00BC4BC1">
        <w:rPr>
          <w:rFonts w:cs="Times New Roman"/>
        </w:rPr>
        <w:t>, 2016</w:t>
      </w:r>
      <w:r w:rsidR="00BC4BC1" w:rsidRPr="00046871">
        <w:rPr>
          <w:rFonts w:cs="Times New Roman"/>
        </w:rPr>
        <w:t>).</w:t>
      </w:r>
      <w:r w:rsidR="006B2A33">
        <w:t xml:space="preserve">  </w:t>
      </w:r>
    </w:p>
    <w:p w14:paraId="6FB3A74E" w14:textId="6753B5FD" w:rsidR="00885A5D" w:rsidRDefault="00F83DB2" w:rsidP="00C30ADC">
      <w:r>
        <w:t>The use of</w:t>
      </w:r>
      <w:r w:rsidRPr="005D705F">
        <w:t xml:space="preserve"> </w:t>
      </w:r>
      <w:r w:rsidR="00C30ADC" w:rsidRPr="005D705F">
        <w:t xml:space="preserve">liquid air to store energy, which can then be recovered as </w:t>
      </w:r>
      <w:r w:rsidR="00BC5F46">
        <w:t xml:space="preserve">mechanical </w:t>
      </w:r>
      <w:r w:rsidR="00C30ADC" w:rsidRPr="005D705F">
        <w:t>work, dates back to 1900, when the Tripler Liquid Air Com</w:t>
      </w:r>
      <w:r w:rsidR="003C2201">
        <w:t>pany developed a liquid air car</w:t>
      </w:r>
      <w:r w:rsidR="00C30ADC" w:rsidRPr="005D705F">
        <w:t xml:space="preserve">. </w:t>
      </w:r>
      <w:r w:rsidR="000A7A7C" w:rsidRPr="005D705F">
        <w:t xml:space="preserve">One of the current issues with CES is its low round trip efficiency </w:t>
      </w:r>
      <w:r w:rsidR="00E84CDC" w:rsidRPr="005D705F">
        <w:t>(</w:t>
      </w:r>
      <w:r>
        <w:t xml:space="preserve">RTE is </w:t>
      </w:r>
      <w:r w:rsidR="00E84CDC" w:rsidRPr="005D705F">
        <w:rPr>
          <w:rStyle w:val="st"/>
        </w:rPr>
        <w:t xml:space="preserve">the ratio of energy </w:t>
      </w:r>
      <w:r w:rsidR="00A96D3A" w:rsidRPr="005D705F">
        <w:rPr>
          <w:rStyle w:val="st"/>
        </w:rPr>
        <w:t xml:space="preserve">retrieved </w:t>
      </w:r>
      <w:r w:rsidR="00A96D3A">
        <w:rPr>
          <w:rStyle w:val="st"/>
        </w:rPr>
        <w:t xml:space="preserve">to what was </w:t>
      </w:r>
      <w:r w:rsidR="00E84CDC" w:rsidRPr="005D705F">
        <w:rPr>
          <w:rStyle w:val="st"/>
        </w:rPr>
        <w:t>put in</w:t>
      </w:r>
      <w:r w:rsidR="00E84CDC" w:rsidRPr="005D705F">
        <w:t xml:space="preserve">) </w:t>
      </w:r>
      <w:r w:rsidR="008733B9">
        <w:t xml:space="preserve">as </w:t>
      </w:r>
      <w:r w:rsidR="000A7A7C" w:rsidRPr="005D705F">
        <w:t xml:space="preserve">compared </w:t>
      </w:r>
      <w:r w:rsidR="008733B9">
        <w:t>with</w:t>
      </w:r>
      <w:r w:rsidR="008733B9" w:rsidRPr="005D705F">
        <w:t xml:space="preserve"> </w:t>
      </w:r>
      <w:r w:rsidR="008733B9" w:rsidRPr="008733B9">
        <w:t xml:space="preserve">pumped </w:t>
      </w:r>
      <w:r w:rsidR="00D04A2D">
        <w:t>hydro</w:t>
      </w:r>
      <w:r w:rsidR="008733B9" w:rsidRPr="008733B9">
        <w:t xml:space="preserve"> electrical storage</w:t>
      </w:r>
      <w:r w:rsidR="000A7A7C" w:rsidRPr="005D705F">
        <w:t xml:space="preserve">, </w:t>
      </w:r>
      <w:r w:rsidR="00A96D3A">
        <w:t xml:space="preserve">compressed air energy storage </w:t>
      </w:r>
      <w:r w:rsidR="000A7A7C" w:rsidRPr="005D705F">
        <w:t xml:space="preserve">and </w:t>
      </w:r>
      <w:r w:rsidR="00E84CDC" w:rsidRPr="005D705F">
        <w:t>L</w:t>
      </w:r>
      <w:r w:rsidR="000A7A7C" w:rsidRPr="005D705F">
        <w:t xml:space="preserve">i-ion batteries.  </w:t>
      </w:r>
      <w:r w:rsidR="00C30ADC" w:rsidRPr="005D705F">
        <w:t xml:space="preserve">A system has been demonstrated by </w:t>
      </w:r>
      <w:proofErr w:type="spellStart"/>
      <w:r w:rsidR="00C30ADC" w:rsidRPr="005D705F">
        <w:t>Highview</w:t>
      </w:r>
      <w:proofErr w:type="spellEnd"/>
      <w:r w:rsidR="00C30ADC" w:rsidRPr="005D705F">
        <w:t xml:space="preserve"> Power Storage </w:t>
      </w:r>
      <w:r w:rsidR="00120AD2">
        <w:t>(</w:t>
      </w:r>
      <w:r w:rsidR="00C30ADC" w:rsidRPr="005D705F">
        <w:t>Morgan et al</w:t>
      </w:r>
      <w:r w:rsidR="00120AD2">
        <w:t>.,</w:t>
      </w:r>
      <w:r w:rsidR="007009DF">
        <w:t xml:space="preserve"> </w:t>
      </w:r>
      <w:r w:rsidR="00C30ADC" w:rsidRPr="005D705F">
        <w:t>2015</w:t>
      </w:r>
      <w:r w:rsidR="00CB6E46" w:rsidRPr="002B1467">
        <w:t>)</w:t>
      </w:r>
      <w:r w:rsidR="00B42B58" w:rsidRPr="002B1467">
        <w:t xml:space="preserve">.  </w:t>
      </w:r>
      <w:r w:rsidR="00790488" w:rsidRPr="002B1467">
        <w:t xml:space="preserve">They showed that RTE could be greatly increased by recycling more of the cold from the </w:t>
      </w:r>
      <w:r w:rsidR="002B1467" w:rsidRPr="002B1467">
        <w:t>expansion</w:t>
      </w:r>
      <w:r w:rsidR="00790488" w:rsidRPr="002B1467">
        <w:t xml:space="preserve"> to the </w:t>
      </w:r>
      <w:r w:rsidR="002B1467" w:rsidRPr="002B1467">
        <w:t>liquefier</w:t>
      </w:r>
      <w:r w:rsidR="00C30ADC" w:rsidRPr="002B1467">
        <w:t>.</w:t>
      </w:r>
      <w:r w:rsidR="00C30ADC" w:rsidRPr="005D705F">
        <w:t xml:space="preserve"> Morgan et al</w:t>
      </w:r>
      <w:r w:rsidR="00120AD2">
        <w:t>.</w:t>
      </w:r>
      <w:r w:rsidR="00C30ADC" w:rsidRPr="005D705F">
        <w:t xml:space="preserve"> </w:t>
      </w:r>
      <w:r w:rsidR="002A2224">
        <w:t>(</w:t>
      </w:r>
      <w:r w:rsidR="006B2A33" w:rsidRPr="006B2A33">
        <w:t>2015</w:t>
      </w:r>
      <w:r w:rsidR="002A2224">
        <w:t xml:space="preserve">) </w:t>
      </w:r>
      <w:r w:rsidR="00C30ADC" w:rsidRPr="005D705F">
        <w:t>stated that a</w:t>
      </w:r>
      <w:r w:rsidR="00BC5F46">
        <w:t>n</w:t>
      </w:r>
      <w:r w:rsidR="00C30ADC" w:rsidRPr="005D705F">
        <w:t xml:space="preserve"> </w:t>
      </w:r>
      <w:r w:rsidR="00120AD2">
        <w:t>over</w:t>
      </w:r>
      <w:r w:rsidR="00C30ADC" w:rsidRPr="005D705F">
        <w:t xml:space="preserve"> 50% </w:t>
      </w:r>
      <w:r w:rsidR="00BC5F46">
        <w:t xml:space="preserve">RTE </w:t>
      </w:r>
      <w:r w:rsidR="00D24E4F">
        <w:t>would be</w:t>
      </w:r>
      <w:r w:rsidR="00D24E4F" w:rsidRPr="005D705F">
        <w:t xml:space="preserve"> </w:t>
      </w:r>
      <w:r w:rsidR="00C30ADC" w:rsidRPr="005D705F">
        <w:t xml:space="preserve">achievable </w:t>
      </w:r>
      <w:r w:rsidR="00120AD2">
        <w:t>if</w:t>
      </w:r>
      <w:r w:rsidR="00C30ADC" w:rsidRPr="005D705F">
        <w:t xml:space="preserve"> the </w:t>
      </w:r>
      <w:r w:rsidR="00120AD2">
        <w:t xml:space="preserve">percentage </w:t>
      </w:r>
      <w:r w:rsidR="00597EE5">
        <w:t xml:space="preserve">of cold recycling </w:t>
      </w:r>
      <w:r w:rsidR="00120AD2" w:rsidRPr="005D705F">
        <w:t>increase</w:t>
      </w:r>
      <w:r w:rsidR="00120AD2">
        <w:t>s</w:t>
      </w:r>
      <w:r w:rsidR="00120AD2" w:rsidRPr="005D705F">
        <w:t xml:space="preserve"> </w:t>
      </w:r>
      <w:r w:rsidR="00C30ADC" w:rsidRPr="005D705F">
        <w:t>from 51% to 91%</w:t>
      </w:r>
      <w:r w:rsidR="00CB6E46" w:rsidRPr="005D705F">
        <w:t xml:space="preserve">.  RTEs are also greatly enhanced by </w:t>
      </w:r>
      <w:r w:rsidR="00BC5F46">
        <w:t>air pre-</w:t>
      </w:r>
      <w:r w:rsidR="00CB6E46" w:rsidRPr="005D705F">
        <w:t>heating using waste heat and pumping t</w:t>
      </w:r>
      <w:r w:rsidR="00C068CA">
        <w:t>he liquid air to high pressures</w:t>
      </w:r>
      <w:r w:rsidR="002C7E32" w:rsidRPr="005D705F">
        <w:t>.</w:t>
      </w:r>
    </w:p>
    <w:p w14:paraId="7C91171B" w14:textId="4DAADD2F" w:rsidR="006D4FD3" w:rsidRPr="005D705F" w:rsidRDefault="00233582" w:rsidP="006D4FD3">
      <w:r>
        <w:t>Energy storage systems need to provide a return on investment. T</w:t>
      </w:r>
      <w:r w:rsidR="00C30ADC" w:rsidRPr="005D705F">
        <w:t xml:space="preserve">he main </w:t>
      </w:r>
      <w:r w:rsidR="00B60CE7">
        <w:t>capital expenditure (</w:t>
      </w:r>
      <w:r>
        <w:t>CAPEX</w:t>
      </w:r>
      <w:r w:rsidR="00B60CE7">
        <w:t>)</w:t>
      </w:r>
      <w:r w:rsidR="00C30ADC" w:rsidRPr="005D705F">
        <w:t xml:space="preserve"> of </w:t>
      </w:r>
      <w:r w:rsidR="00BC5F46">
        <w:t>liquid air energy storage (</w:t>
      </w:r>
      <w:r w:rsidR="00C30ADC" w:rsidRPr="005D705F">
        <w:t>LAES</w:t>
      </w:r>
      <w:r w:rsidR="00BC5F46">
        <w:t>)</w:t>
      </w:r>
      <w:r w:rsidR="00C30ADC" w:rsidRPr="005D705F">
        <w:t xml:space="preserve"> is the </w:t>
      </w:r>
      <w:r w:rsidR="00D60A48">
        <w:t>liquefaction plant</w:t>
      </w:r>
      <w:r w:rsidR="00E84CDC" w:rsidRPr="005D705F">
        <w:t xml:space="preserve"> </w:t>
      </w:r>
      <w:r w:rsidR="002A2224">
        <w:t>which</w:t>
      </w:r>
      <w:r w:rsidR="00E84CDC" w:rsidRPr="005D705F">
        <w:t xml:space="preserve"> accounts for </w:t>
      </w:r>
      <w:r w:rsidR="00C30ADC" w:rsidRPr="005D705F">
        <w:t xml:space="preserve">about 60% of the total cost.  The cost of the </w:t>
      </w:r>
      <w:r w:rsidR="0071781F">
        <w:t>liquefied</w:t>
      </w:r>
      <w:r w:rsidR="0071781F" w:rsidRPr="005D705F">
        <w:t xml:space="preserve"> </w:t>
      </w:r>
      <w:r w:rsidR="00C30ADC" w:rsidRPr="005D705F">
        <w:t xml:space="preserve">air and high grade cold </w:t>
      </w:r>
      <w:r w:rsidR="0071781F">
        <w:t xml:space="preserve">energy </w:t>
      </w:r>
      <w:r w:rsidR="00C30ADC" w:rsidRPr="005D705F">
        <w:t xml:space="preserve">store is only about 10% of the total system (Brett and Barnett (2014).  This means that the cost of LAES is </w:t>
      </w:r>
      <w:r w:rsidR="00A05F8D">
        <w:t>non-linear, with storag</w:t>
      </w:r>
      <w:r w:rsidR="00090598">
        <w:t>e capacity</w:t>
      </w:r>
      <w:r w:rsidR="00D60A48">
        <w:t>.</w:t>
      </w:r>
    </w:p>
    <w:p w14:paraId="653071CC" w14:textId="1B0AFC2D" w:rsidR="006D4FD3" w:rsidRPr="005D705F" w:rsidRDefault="006D4FD3" w:rsidP="006D4FD3">
      <w:r w:rsidRPr="005D705F">
        <w:t xml:space="preserve">This paper investigates </w:t>
      </w:r>
      <w:r w:rsidR="00504A51">
        <w:t>the financial</w:t>
      </w:r>
      <w:r w:rsidR="003E3FBE">
        <w:t xml:space="preserve"> viability o</w:t>
      </w:r>
      <w:r w:rsidRPr="005D705F">
        <w:t xml:space="preserve">f LAES for </w:t>
      </w:r>
      <w:r w:rsidR="003E3FBE">
        <w:t>CSWs</w:t>
      </w:r>
      <w:r w:rsidRPr="005D705F">
        <w:t xml:space="preserve"> operators</w:t>
      </w:r>
      <w:r w:rsidR="007419F3">
        <w:t xml:space="preserve"> as actors on the electricity market</w:t>
      </w:r>
      <w:r w:rsidR="00D57CF0">
        <w:t xml:space="preserve"> </w:t>
      </w:r>
      <w:r w:rsidR="00731D4F">
        <w:t>(</w:t>
      </w:r>
      <w:r w:rsidR="007419F3">
        <w:t>based on power import and export scenarios</w:t>
      </w:r>
      <w:r w:rsidR="0034685B">
        <w:t>,</w:t>
      </w:r>
      <w:r w:rsidR="007419F3">
        <w:t xml:space="preserve"> </w:t>
      </w:r>
      <w:r w:rsidR="00032897">
        <w:t>without</w:t>
      </w:r>
      <w:r w:rsidR="00FF78CF">
        <w:t xml:space="preserve"> considering</w:t>
      </w:r>
      <w:r w:rsidR="007419F3">
        <w:t xml:space="preserve">, at this stage, other possible </w:t>
      </w:r>
      <w:r w:rsidR="00731D4F">
        <w:t xml:space="preserve">off-grid </w:t>
      </w:r>
      <w:r w:rsidR="007419F3">
        <w:t>application</w:t>
      </w:r>
      <w:r w:rsidR="0034685B">
        <w:t>s</w:t>
      </w:r>
      <w:r w:rsidR="007419F3">
        <w:t xml:space="preserve"> of the cryogenic cold</w:t>
      </w:r>
      <w:r w:rsidR="00731D4F">
        <w:t>)</w:t>
      </w:r>
      <w:r w:rsidR="007419F3">
        <w:t>.</w:t>
      </w:r>
    </w:p>
    <w:p w14:paraId="5F79711B" w14:textId="50F50381" w:rsidR="002D0BFA" w:rsidRPr="005D705F" w:rsidRDefault="002D0BFA" w:rsidP="00D04A2D">
      <w:pPr>
        <w:pStyle w:val="Heading1"/>
        <w:tabs>
          <w:tab w:val="left" w:pos="284"/>
        </w:tabs>
        <w:ind w:left="0" w:hanging="5"/>
      </w:pPr>
      <w:r w:rsidRPr="005D705F">
        <w:t>Method</w:t>
      </w:r>
    </w:p>
    <w:p w14:paraId="6E445E44" w14:textId="34A2CBEA" w:rsidR="00307718" w:rsidRPr="005D705F" w:rsidRDefault="00B60CE7" w:rsidP="00C30ADC">
      <w:r>
        <w:t>In order</w:t>
      </w:r>
      <w:r w:rsidR="003D310D" w:rsidRPr="005D705F">
        <w:t xml:space="preserve"> to assess the financial viability of LAES </w:t>
      </w:r>
      <w:r>
        <w:t>for</w:t>
      </w:r>
      <w:r w:rsidRPr="005D705F">
        <w:t xml:space="preserve"> </w:t>
      </w:r>
      <w:r w:rsidR="003D310D" w:rsidRPr="005D705F">
        <w:t>CSWs</w:t>
      </w:r>
      <w:r w:rsidR="00384E06">
        <w:t>,</w:t>
      </w:r>
      <w:r w:rsidR="003D310D" w:rsidRPr="005D705F">
        <w:t xml:space="preserve"> </w:t>
      </w:r>
      <w:r w:rsidR="00186A39" w:rsidRPr="005D705F">
        <w:t>an understanding of electrical</w:t>
      </w:r>
      <w:r w:rsidR="003D310D" w:rsidRPr="005D705F">
        <w:t xml:space="preserve"> energy consumption and RES generation in CSWs</w:t>
      </w:r>
      <w:r w:rsidR="00F37EC0">
        <w:t xml:space="preserve"> is required</w:t>
      </w:r>
      <w:r w:rsidR="003D310D" w:rsidRPr="005D705F">
        <w:t>.</w:t>
      </w:r>
      <w:r w:rsidR="00024B66" w:rsidRPr="005D705F">
        <w:t xml:space="preserve">  </w:t>
      </w:r>
      <w:r w:rsidR="00F37EC0">
        <w:t>For that purpose</w:t>
      </w:r>
      <w:r w:rsidR="00856182">
        <w:t xml:space="preserve">, energy data from a CSW </w:t>
      </w:r>
      <w:r w:rsidR="00856182" w:rsidRPr="005D705F">
        <w:t>located in Belgium</w:t>
      </w:r>
      <w:r w:rsidR="00856182">
        <w:t xml:space="preserve"> </w:t>
      </w:r>
      <w:r w:rsidR="002D0BFA" w:rsidRPr="005D705F">
        <w:t>was gathered</w:t>
      </w:r>
      <w:r w:rsidR="00186A39" w:rsidRPr="005D705F">
        <w:t xml:space="preserve">. </w:t>
      </w:r>
      <w:r w:rsidR="00E56DC8" w:rsidRPr="005D705F">
        <w:t xml:space="preserve"> </w:t>
      </w:r>
      <w:r w:rsidR="00772498" w:rsidRPr="005D705F">
        <w:t xml:space="preserve">This </w:t>
      </w:r>
      <w:r w:rsidR="00772498">
        <w:t>CSW</w:t>
      </w:r>
      <w:r w:rsidR="00772498" w:rsidRPr="005D705F">
        <w:t xml:space="preserve"> has RES from solar </w:t>
      </w:r>
      <w:r w:rsidR="00B81C78">
        <w:t>PV</w:t>
      </w:r>
      <w:r w:rsidR="00772498" w:rsidRPr="005D705F">
        <w:t xml:space="preserve"> on the roof</w:t>
      </w:r>
      <w:r w:rsidR="00FA5BFA">
        <w:t xml:space="preserve"> (1 </w:t>
      </w:r>
      <w:proofErr w:type="spellStart"/>
      <w:r w:rsidR="00FA5BFA">
        <w:t>MW</w:t>
      </w:r>
      <w:r w:rsidR="00FA5BFA" w:rsidRPr="00FA5BFA">
        <w:rPr>
          <w:vertAlign w:val="subscript"/>
        </w:rPr>
        <w:t>p</w:t>
      </w:r>
      <w:proofErr w:type="spellEnd"/>
      <w:r w:rsidR="00FA5BFA">
        <w:t>)</w:t>
      </w:r>
      <w:r w:rsidR="00772498" w:rsidRPr="005D705F">
        <w:t>.</w:t>
      </w:r>
      <w:r w:rsidR="00772498">
        <w:rPr>
          <w:b/>
        </w:rPr>
        <w:t xml:space="preserve">  </w:t>
      </w:r>
      <w:r w:rsidR="00307718" w:rsidRPr="005D705F">
        <w:t xml:space="preserve">Electricity consumption and generation tariff </w:t>
      </w:r>
      <w:r w:rsidR="00024B66" w:rsidRPr="005D705F">
        <w:t>prices</w:t>
      </w:r>
      <w:r w:rsidR="00307718" w:rsidRPr="005D705F">
        <w:t xml:space="preserve"> for CSWs in Belgium</w:t>
      </w:r>
      <w:r w:rsidR="000C4BEC" w:rsidRPr="005D705F">
        <w:t>, the UK and Hungary</w:t>
      </w:r>
      <w:r w:rsidR="00307718" w:rsidRPr="005D705F">
        <w:t xml:space="preserve"> were </w:t>
      </w:r>
      <w:r w:rsidR="00E56DC8" w:rsidRPr="005D705F">
        <w:t xml:space="preserve">also </w:t>
      </w:r>
      <w:r w:rsidR="00307718" w:rsidRPr="005D705F">
        <w:t>obtained</w:t>
      </w:r>
      <w:r w:rsidR="00D917E2">
        <w:t xml:space="preserve"> to allow the results to be extrapolated to other locations.</w:t>
      </w:r>
    </w:p>
    <w:p w14:paraId="18FE2A72" w14:textId="50869962" w:rsidR="00186A39" w:rsidRDefault="00186A39" w:rsidP="00D04A2D">
      <w:pPr>
        <w:spacing w:after="160"/>
      </w:pPr>
      <w:r w:rsidRPr="005D705F">
        <w:t>The round trip effici</w:t>
      </w:r>
      <w:r w:rsidRPr="005C2602">
        <w:t>e</w:t>
      </w:r>
      <w:r w:rsidRPr="005D705F">
        <w:t>ncy (RTE) is defined as:</w:t>
      </w:r>
    </w:p>
    <w:p w14:paraId="3396D4B4" w14:textId="2FFF3447" w:rsidR="000E72B5" w:rsidRPr="00304428" w:rsidRDefault="0070425B" w:rsidP="00D04A2D">
      <w:pPr>
        <w:tabs>
          <w:tab w:val="center" w:pos="4820"/>
          <w:tab w:val="right" w:pos="9639"/>
        </w:tabs>
        <w:spacing w:after="160"/>
        <w:rPr>
          <w:rFonts w:eastAsiaTheme="minorEastAsia"/>
        </w:rPr>
      </w:pPr>
      <w:r>
        <w:tab/>
      </w:r>
      <m:oMath>
        <m:r>
          <w:rPr>
            <w:rFonts w:ascii="Cambria Math" w:hAnsi="Cambria Math"/>
          </w:rPr>
          <m:t>RTE</m:t>
        </m:r>
        <m:r>
          <m:rPr>
            <m:sty m:val="p"/>
          </m:rPr>
          <w:rPr>
            <w:rFonts w:ascii="Cambria Math" w:hAnsi="Cambria Math"/>
          </w:rPr>
          <m:t xml:space="preserve"> = </m:t>
        </m:r>
        <m:f>
          <m:fPr>
            <m:ctrlPr>
              <w:rPr>
                <w:rFonts w:ascii="Cambria Math" w:hAnsi="Cambria Math"/>
              </w:rPr>
            </m:ctrlPr>
          </m:fPr>
          <m:num>
            <m:r>
              <w:rPr>
                <w:rFonts w:ascii="Cambria Math" w:hAnsi="Cambria Math"/>
              </w:rPr>
              <m:t>Energy</m:t>
            </m:r>
            <m:r>
              <m:rPr>
                <m:sty m:val="p"/>
              </m:rPr>
              <w:rPr>
                <w:rFonts w:ascii="Cambria Math" w:hAnsi="Cambria Math"/>
              </w:rPr>
              <m:t xml:space="preserve"> </m:t>
            </m:r>
            <m:r>
              <w:rPr>
                <w:rFonts w:ascii="Cambria Math" w:hAnsi="Cambria Math"/>
              </w:rPr>
              <m:t>Recovered</m:t>
            </m:r>
          </m:num>
          <m:den>
            <m:r>
              <w:rPr>
                <w:rFonts w:ascii="Cambria Math" w:hAnsi="Cambria Math"/>
              </w:rPr>
              <m:t>Energy</m:t>
            </m:r>
            <m:r>
              <m:rPr>
                <m:sty m:val="p"/>
              </m:rPr>
              <w:rPr>
                <w:rFonts w:ascii="Cambria Math" w:hAnsi="Cambria Math"/>
              </w:rPr>
              <m:t xml:space="preserve"> </m:t>
            </m:r>
            <m:r>
              <w:rPr>
                <w:rFonts w:ascii="Cambria Math" w:hAnsi="Cambria Math"/>
              </w:rPr>
              <m:t>Used</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Liquefaction</m:t>
            </m:r>
          </m:den>
        </m:f>
      </m:oMath>
      <w:r w:rsidR="00304428">
        <w:rPr>
          <w:rFonts w:eastAsiaTheme="minorEastAsia"/>
        </w:rPr>
        <w:tab/>
      </w:r>
      <w:r>
        <w:rPr>
          <w:rFonts w:eastAsiaTheme="minorEastAsia"/>
        </w:rPr>
        <w:t>Eq.</w:t>
      </w:r>
      <w:r w:rsidR="00304428" w:rsidRPr="005D705F">
        <w:rPr>
          <w:rFonts w:eastAsiaTheme="minorEastAsia"/>
          <w:sz w:val="18"/>
        </w:rPr>
        <w:t xml:space="preserve"> </w:t>
      </w:r>
      <w:r w:rsidR="00304428" w:rsidRPr="005D705F">
        <w:rPr>
          <w:rFonts w:eastAsiaTheme="minorEastAsia"/>
          <w:sz w:val="24"/>
          <w:szCs w:val="24"/>
        </w:rPr>
        <w:t>(1)</w:t>
      </w:r>
    </w:p>
    <w:p w14:paraId="4D743256" w14:textId="7BF09F89" w:rsidR="00307718" w:rsidRPr="00D04A2D" w:rsidRDefault="000B3D91" w:rsidP="00C30ADC">
      <w:pPr>
        <w:rPr>
          <w:rFonts w:eastAsiaTheme="minorEastAsia"/>
        </w:rPr>
      </w:pPr>
      <w:r>
        <w:rPr>
          <w:rFonts w:eastAsiaTheme="minorEastAsia"/>
          <w:szCs w:val="22"/>
        </w:rPr>
        <w:t>RTE</w:t>
      </w:r>
      <w:r w:rsidR="00186A39" w:rsidRPr="005D705F">
        <w:rPr>
          <w:rFonts w:eastAsiaTheme="minorEastAsia"/>
          <w:szCs w:val="22"/>
        </w:rPr>
        <w:t xml:space="preserve"> is perhaps one of the most critical parameters in energy storage as it </w:t>
      </w:r>
      <w:r w:rsidR="00D917E2">
        <w:rPr>
          <w:rFonts w:eastAsiaTheme="minorEastAsia"/>
          <w:szCs w:val="22"/>
        </w:rPr>
        <w:t>reveals</w:t>
      </w:r>
      <w:r w:rsidR="00186A39" w:rsidRPr="005D705F">
        <w:rPr>
          <w:rFonts w:eastAsiaTheme="minorEastAsia"/>
          <w:szCs w:val="22"/>
        </w:rPr>
        <w:t xml:space="preserve"> the energy which is lost in storage and is therefore critical in the financial analysis.  Expected RTE from literature were investigated. </w:t>
      </w:r>
      <w:r w:rsidR="00D04A2D">
        <w:rPr>
          <w:rFonts w:eastAsiaTheme="minorEastAsia"/>
        </w:rPr>
        <w:t xml:space="preserve"> </w:t>
      </w:r>
      <w:r w:rsidR="00186A39" w:rsidRPr="005D705F">
        <w:rPr>
          <w:rFonts w:eastAsiaTheme="minorEastAsia"/>
          <w:szCs w:val="22"/>
        </w:rPr>
        <w:t>P</w:t>
      </w:r>
      <w:r w:rsidR="00307718" w:rsidRPr="005D705F">
        <w:t>ossible revenue from arbitrage was calculated for two scenarios</w:t>
      </w:r>
      <w:r w:rsidR="0070425B">
        <w:t>: (</w:t>
      </w:r>
      <w:r w:rsidR="00B60CE7">
        <w:t xml:space="preserve">a) </w:t>
      </w:r>
      <w:r w:rsidR="00307718" w:rsidRPr="005D705F">
        <w:t xml:space="preserve">with </w:t>
      </w:r>
      <w:r w:rsidR="00D07A51">
        <w:t>typical amount of</w:t>
      </w:r>
      <w:r w:rsidR="00E56DC8" w:rsidRPr="005D705F">
        <w:t xml:space="preserve"> RES</w:t>
      </w:r>
      <w:r w:rsidR="00575A86">
        <w:t xml:space="preserve"> (l</w:t>
      </w:r>
      <w:r w:rsidR="00575A86" w:rsidRPr="00575A86">
        <w:t>oad shift scenario</w:t>
      </w:r>
      <w:r w:rsidR="00575A86">
        <w:t>)</w:t>
      </w:r>
      <w:r w:rsidR="0070425B">
        <w:t>,</w:t>
      </w:r>
      <w:r w:rsidR="00307718" w:rsidRPr="005D705F">
        <w:t xml:space="preserve"> and </w:t>
      </w:r>
      <w:r w:rsidR="0070425B">
        <w:t>(</w:t>
      </w:r>
      <w:r w:rsidR="00B60CE7">
        <w:t xml:space="preserve">b) </w:t>
      </w:r>
      <w:r w:rsidR="00307718" w:rsidRPr="005D705F">
        <w:t>RES</w:t>
      </w:r>
      <w:r w:rsidR="00E56DC8" w:rsidRPr="005D705F">
        <w:t xml:space="preserve"> increased to equal on average the CSW energy consumption</w:t>
      </w:r>
      <w:r w:rsidR="00575A86">
        <w:t xml:space="preserve"> (a</w:t>
      </w:r>
      <w:r w:rsidR="00575A86" w:rsidRPr="00575A86">
        <w:t>voiding ‘feed in’ scenario)</w:t>
      </w:r>
      <w:r w:rsidR="00307718" w:rsidRPr="005D705F">
        <w:t xml:space="preserve">. </w:t>
      </w:r>
      <w:r w:rsidR="00D04A2D">
        <w:rPr>
          <w:rFonts w:eastAsiaTheme="minorEastAsia"/>
        </w:rPr>
        <w:t xml:space="preserve"> </w:t>
      </w:r>
      <w:r w:rsidR="00307718" w:rsidRPr="005D705F">
        <w:t xml:space="preserve">Capital cost of equipment was estimated using data from </w:t>
      </w:r>
      <w:proofErr w:type="spellStart"/>
      <w:r w:rsidR="00307718" w:rsidRPr="005D705F">
        <w:t>Highview</w:t>
      </w:r>
      <w:proofErr w:type="spellEnd"/>
      <w:r w:rsidR="00307718" w:rsidRPr="005D705F">
        <w:t xml:space="preserve"> </w:t>
      </w:r>
      <w:r w:rsidR="00E56DC8" w:rsidRPr="005D705F">
        <w:t>(</w:t>
      </w:r>
      <w:r w:rsidR="00C068CA" w:rsidRPr="00C068CA">
        <w:rPr>
          <w:rFonts w:cs="Times New Roman"/>
        </w:rPr>
        <w:t>2012</w:t>
      </w:r>
      <w:r w:rsidR="00E56DC8" w:rsidRPr="005D705F">
        <w:t xml:space="preserve">) </w:t>
      </w:r>
      <w:r w:rsidR="00307718" w:rsidRPr="005D705F">
        <w:t>and payback</w:t>
      </w:r>
      <w:r w:rsidR="00B60CE7">
        <w:t xml:space="preserve"> period</w:t>
      </w:r>
      <w:r w:rsidR="00307718" w:rsidRPr="005D705F">
        <w:t>s were calculated</w:t>
      </w:r>
      <w:r w:rsidR="00B60CE7">
        <w:t xml:space="preserve"> for each scenario</w:t>
      </w:r>
      <w:r w:rsidR="00307718" w:rsidRPr="005D705F">
        <w:t>.</w:t>
      </w:r>
      <w:r w:rsidR="00F37EC0">
        <w:t xml:space="preserve"> </w:t>
      </w:r>
      <w:r w:rsidR="00D04A2D">
        <w:rPr>
          <w:rFonts w:eastAsiaTheme="minorEastAsia"/>
        </w:rPr>
        <w:t xml:space="preserve"> </w:t>
      </w:r>
      <w:r w:rsidR="00307718" w:rsidRPr="005D705F">
        <w:t>Further possibilities to enhance financial viability were considered.</w:t>
      </w:r>
    </w:p>
    <w:p w14:paraId="64C73E5F" w14:textId="2605436F" w:rsidR="007F1BC7" w:rsidRPr="005D705F" w:rsidRDefault="007F1BC7" w:rsidP="00D04A2D">
      <w:pPr>
        <w:pStyle w:val="Heading1"/>
        <w:tabs>
          <w:tab w:val="left" w:pos="284"/>
        </w:tabs>
        <w:ind w:left="0" w:hanging="5"/>
      </w:pPr>
      <w:r w:rsidRPr="005D705F">
        <w:t>Results</w:t>
      </w:r>
    </w:p>
    <w:bookmarkEnd w:id="0"/>
    <w:p w14:paraId="41A8CE01" w14:textId="0A601F5B" w:rsidR="002E2C75" w:rsidRPr="005D705F" w:rsidRDefault="00BF3E20" w:rsidP="00CA295C">
      <w:pPr>
        <w:pStyle w:val="Heading2"/>
      </w:pPr>
      <w:r w:rsidRPr="005D705F">
        <w:t>Typical c</w:t>
      </w:r>
      <w:r w:rsidR="00D6415A" w:rsidRPr="005D705F">
        <w:t xml:space="preserve">old </w:t>
      </w:r>
      <w:r w:rsidR="003256D4" w:rsidRPr="005D705F">
        <w:t>stor</w:t>
      </w:r>
      <w:r w:rsidR="003256D4">
        <w:t>age</w:t>
      </w:r>
      <w:r w:rsidR="003256D4" w:rsidRPr="005D705F">
        <w:t xml:space="preserve"> </w:t>
      </w:r>
      <w:r w:rsidR="00D6415A" w:rsidRPr="005D705F">
        <w:t>warehouse electricity consumption and generation</w:t>
      </w:r>
    </w:p>
    <w:p w14:paraId="700C20A4" w14:textId="55D2980D" w:rsidR="00F12D47" w:rsidRDefault="00EA6B8D" w:rsidP="000775BB">
      <w:r w:rsidRPr="005D705F">
        <w:t>The e</w:t>
      </w:r>
      <w:r w:rsidR="00337B0D" w:rsidRPr="005D705F">
        <w:t xml:space="preserve">nergy consumption </w:t>
      </w:r>
      <w:r w:rsidR="006C5F16">
        <w:t xml:space="preserve">of the CSW </w:t>
      </w:r>
      <w:r w:rsidR="00337B0D" w:rsidRPr="005D705F">
        <w:t>(</w:t>
      </w:r>
      <w:r w:rsidR="00294B25" w:rsidRPr="005D705F">
        <w:t>every 15 min</w:t>
      </w:r>
      <w:r w:rsidR="00337B0D" w:rsidRPr="005D705F">
        <w:t xml:space="preserve">) </w:t>
      </w:r>
      <w:r w:rsidR="005132C9">
        <w:t xml:space="preserve">was recorded </w:t>
      </w:r>
      <w:r w:rsidR="0066345F">
        <w:t>over</w:t>
      </w:r>
      <w:r w:rsidR="005132C9">
        <w:t xml:space="preserve"> the period of a year.</w:t>
      </w:r>
      <w:r w:rsidR="00772498">
        <w:t xml:space="preserve">  </w:t>
      </w:r>
      <w:r w:rsidR="00F12D47" w:rsidRPr="005D705F">
        <w:t xml:space="preserve">The electrical consumption </w:t>
      </w:r>
      <w:r w:rsidR="005132C9">
        <w:t>was</w:t>
      </w:r>
      <w:r w:rsidR="00F12D47" w:rsidRPr="005D705F">
        <w:t xml:space="preserve"> very erratic</w:t>
      </w:r>
      <w:r w:rsidR="00772498">
        <w:t>,</w:t>
      </w:r>
      <w:r w:rsidR="00F12D47" w:rsidRPr="005D705F">
        <w:t xml:space="preserve"> rising and falling </w:t>
      </w:r>
      <w:r w:rsidR="002F4083">
        <w:t>in the range</w:t>
      </w:r>
      <w:r w:rsidR="002F4083" w:rsidRPr="005D705F">
        <w:t xml:space="preserve"> </w:t>
      </w:r>
      <w:r w:rsidR="00720083">
        <w:t xml:space="preserve">between </w:t>
      </w:r>
      <w:r w:rsidR="00F12D47" w:rsidRPr="005D705F">
        <w:t xml:space="preserve">100 and 800 </w:t>
      </w:r>
      <w:r w:rsidR="0066345F">
        <w:t>k</w:t>
      </w:r>
      <w:r w:rsidR="00F12D47" w:rsidRPr="005D705F">
        <w:t>W</w:t>
      </w:r>
      <w:r w:rsidR="002F4083" w:rsidRPr="002F4083">
        <w:t xml:space="preserve"> </w:t>
      </w:r>
      <w:r w:rsidR="002F4083" w:rsidRPr="005D705F">
        <w:t>approximately</w:t>
      </w:r>
      <w:r w:rsidR="00F12D47" w:rsidRPr="005D705F">
        <w:t xml:space="preserve">.  When the energy </w:t>
      </w:r>
      <w:r w:rsidR="002A4F83">
        <w:t xml:space="preserve">demand </w:t>
      </w:r>
      <w:r w:rsidR="005132C9">
        <w:t>was</w:t>
      </w:r>
      <w:r w:rsidR="00F12D47" w:rsidRPr="005D705F">
        <w:t xml:space="preserve"> averaged over a whole day (</w:t>
      </w:r>
      <w:r w:rsidR="001B1E25">
        <w:fldChar w:fldCharType="begin"/>
      </w:r>
      <w:r w:rsidR="001B1E25">
        <w:instrText xml:space="preserve"> REF _Ref500159760 \h </w:instrText>
      </w:r>
      <w:r w:rsidR="000775BB">
        <w:instrText xml:space="preserve"> \* MERGEFORMAT </w:instrText>
      </w:r>
      <w:r w:rsidR="001B1E25">
        <w:fldChar w:fldCharType="separate"/>
      </w:r>
      <w:r w:rsidR="0061553F">
        <w:t xml:space="preserve">Figure </w:t>
      </w:r>
      <w:r w:rsidR="0061553F">
        <w:rPr>
          <w:noProof/>
        </w:rPr>
        <w:t>1</w:t>
      </w:r>
      <w:r w:rsidR="001B1E25">
        <w:fldChar w:fldCharType="end"/>
      </w:r>
      <w:r w:rsidR="00F12D47" w:rsidRPr="005D705F">
        <w:t xml:space="preserve">) the energy consumption </w:t>
      </w:r>
      <w:r w:rsidR="002A4F83">
        <w:t>was</w:t>
      </w:r>
      <w:r w:rsidR="00F12D47" w:rsidRPr="005D705F">
        <w:t xml:space="preserve"> much less variable and more clearly shows the increase in consumption from winter (</w:t>
      </w:r>
      <w:r w:rsidR="006C5F16">
        <w:t>~</w:t>
      </w:r>
      <w:r w:rsidR="00F12D47" w:rsidRPr="005D705F">
        <w:t>500 kW) to summer (</w:t>
      </w:r>
      <w:r w:rsidR="006C5F16">
        <w:t>~</w:t>
      </w:r>
      <w:r w:rsidR="00F12D47" w:rsidRPr="005D705F">
        <w:t>700 kW).</w:t>
      </w:r>
    </w:p>
    <w:p w14:paraId="6DE2534B" w14:textId="70BC2E7F" w:rsidR="000775BB" w:rsidRDefault="000775BB" w:rsidP="000775BB">
      <w:r w:rsidRPr="005D705F">
        <w:t xml:space="preserve">To evaluate the applicability of an energy storage system, the electrical consumption over shorter </w:t>
      </w:r>
      <w:r>
        <w:t xml:space="preserve">time intervals needs to be known for a better </w:t>
      </w:r>
      <w:r w:rsidRPr="005D705F">
        <w:t xml:space="preserve">match </w:t>
      </w:r>
      <w:r>
        <w:t xml:space="preserve">of </w:t>
      </w:r>
      <w:r w:rsidRPr="005D705F">
        <w:t xml:space="preserve">the likely storage duration.  </w:t>
      </w:r>
      <w:r w:rsidR="001934D9">
        <w:t xml:space="preserve">As an example, </w:t>
      </w:r>
      <w:r w:rsidRPr="005D705F">
        <w:fldChar w:fldCharType="begin"/>
      </w:r>
      <w:r w:rsidRPr="005D705F">
        <w:instrText xml:space="preserve"> REF _Ref499552920 \h </w:instrText>
      </w:r>
      <w:r>
        <w:instrText xml:space="preserve"> \* MERGEFORMAT </w:instrText>
      </w:r>
      <w:r w:rsidRPr="005D705F">
        <w:fldChar w:fldCharType="separate"/>
      </w:r>
      <w:r w:rsidRPr="005D705F">
        <w:t xml:space="preserve">Figure </w:t>
      </w:r>
      <w:r>
        <w:rPr>
          <w:noProof/>
        </w:rPr>
        <w:t>2</w:t>
      </w:r>
      <w:r w:rsidRPr="005D705F">
        <w:fldChar w:fldCharType="end"/>
      </w:r>
      <w:r w:rsidRPr="005D705F">
        <w:t xml:space="preserve"> shows average daily consumption (mean day) and </w:t>
      </w:r>
      <w:r>
        <w:t xml:space="preserve">on </w:t>
      </w:r>
      <w:proofErr w:type="gramStart"/>
      <w:r w:rsidRPr="005D705F">
        <w:t>Spring</w:t>
      </w:r>
      <w:proofErr w:type="gramEnd"/>
      <w:r w:rsidRPr="005D705F">
        <w:t xml:space="preserve"> equinox </w:t>
      </w:r>
      <w:r>
        <w:t>(</w:t>
      </w:r>
      <w:r w:rsidRPr="005D705F">
        <w:t xml:space="preserve">a typical day). </w:t>
      </w:r>
    </w:p>
    <w:p w14:paraId="6E376B06" w14:textId="77777777" w:rsidR="00565BA3" w:rsidRDefault="00565BA3" w:rsidP="00D04A2D">
      <w:pPr>
        <w:spacing w:after="0"/>
      </w:pPr>
    </w:p>
    <w:p w14:paraId="7803931F" w14:textId="3737CAF3" w:rsidR="006C5F16" w:rsidRPr="005D705F" w:rsidRDefault="0056154B" w:rsidP="00D04A2D">
      <w:pPr>
        <w:spacing w:after="0" w:line="360" w:lineRule="auto"/>
        <w:jc w:val="center"/>
        <w:rPr>
          <w:szCs w:val="22"/>
        </w:rPr>
      </w:pPr>
      <w:r w:rsidRPr="005D705F">
        <w:rPr>
          <w:noProof/>
          <w:lang w:eastAsia="en-GB"/>
        </w:rPr>
        <w:drawing>
          <wp:inline distT="0" distB="0" distL="0" distR="0" wp14:anchorId="72719B40" wp14:editId="0E2B01DD">
            <wp:extent cx="2826000" cy="184320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6000" cy="1843200"/>
                    </a:xfrm>
                    <a:prstGeom prst="rect">
                      <a:avLst/>
                    </a:prstGeom>
                    <a:noFill/>
                    <a:ln>
                      <a:noFill/>
                    </a:ln>
                  </pic:spPr>
                </pic:pic>
              </a:graphicData>
            </a:graphic>
          </wp:inline>
        </w:drawing>
      </w:r>
    </w:p>
    <w:p w14:paraId="3C2FF3BD" w14:textId="249FA779" w:rsidR="006C5F16" w:rsidRDefault="001B1E25" w:rsidP="001B1E25">
      <w:pPr>
        <w:pStyle w:val="Caption"/>
        <w:rPr>
          <w:szCs w:val="22"/>
        </w:rPr>
      </w:pPr>
      <w:bookmarkStart w:id="1" w:name="_Ref500159760"/>
      <w:proofErr w:type="gramStart"/>
      <w:r>
        <w:t xml:space="preserve">Figure </w:t>
      </w:r>
      <w:fldSimple w:instr=" SEQ Figure \* ARABIC ">
        <w:r w:rsidR="0061553F">
          <w:rPr>
            <w:noProof/>
          </w:rPr>
          <w:t>1</w:t>
        </w:r>
      </w:fldSimple>
      <w:bookmarkEnd w:id="1"/>
      <w:r w:rsidR="006C5F16" w:rsidRPr="005D705F">
        <w:t>.</w:t>
      </w:r>
      <w:proofErr w:type="gramEnd"/>
      <w:r w:rsidR="006C5F16" w:rsidRPr="005D705F">
        <w:t xml:space="preserve">  E</w:t>
      </w:r>
      <w:r w:rsidR="006C5F16" w:rsidRPr="005D705F">
        <w:rPr>
          <w:szCs w:val="22"/>
        </w:rPr>
        <w:t xml:space="preserve">nergy consumption of a cold </w:t>
      </w:r>
      <w:r w:rsidR="0071781F" w:rsidRPr="005D705F">
        <w:rPr>
          <w:szCs w:val="22"/>
        </w:rPr>
        <w:t>stor</w:t>
      </w:r>
      <w:r w:rsidR="0071781F">
        <w:rPr>
          <w:szCs w:val="22"/>
        </w:rPr>
        <w:t>age</w:t>
      </w:r>
      <w:r w:rsidR="0071781F" w:rsidRPr="005D705F">
        <w:rPr>
          <w:szCs w:val="22"/>
        </w:rPr>
        <w:t xml:space="preserve"> </w:t>
      </w:r>
      <w:r w:rsidR="006C5F16" w:rsidRPr="005D705F">
        <w:rPr>
          <w:szCs w:val="22"/>
        </w:rPr>
        <w:t>warehouse in Belgium in 2015 averaged over a day.</w:t>
      </w:r>
    </w:p>
    <w:p w14:paraId="5099A57F" w14:textId="77777777" w:rsidR="00565BA3" w:rsidRPr="00565BA3" w:rsidRDefault="00565BA3" w:rsidP="00D04A2D">
      <w:pPr>
        <w:spacing w:after="0"/>
        <w:rPr>
          <w:lang w:eastAsia="en-US"/>
        </w:rPr>
      </w:pPr>
    </w:p>
    <w:p w14:paraId="3197CB6B" w14:textId="3E01942E" w:rsidR="003139F0" w:rsidRDefault="003139F0" w:rsidP="002E69AC">
      <w:pPr>
        <w:spacing w:after="240"/>
        <w:rPr>
          <w:szCs w:val="22"/>
        </w:rPr>
      </w:pPr>
      <w:r>
        <w:rPr>
          <w:szCs w:val="22"/>
        </w:rPr>
        <w:fldChar w:fldCharType="begin"/>
      </w:r>
      <w:r>
        <w:rPr>
          <w:szCs w:val="22"/>
        </w:rPr>
        <w:instrText xml:space="preserve"> REF _Ref499552920 \h </w:instrText>
      </w:r>
      <w:r>
        <w:rPr>
          <w:szCs w:val="22"/>
        </w:rPr>
      </w:r>
      <w:r>
        <w:rPr>
          <w:szCs w:val="22"/>
        </w:rPr>
        <w:fldChar w:fldCharType="separate"/>
      </w:r>
      <w:r w:rsidR="0061553F" w:rsidRPr="005D705F">
        <w:t xml:space="preserve">Figure </w:t>
      </w:r>
      <w:r w:rsidR="0061553F">
        <w:rPr>
          <w:noProof/>
        </w:rPr>
        <w:t>2</w:t>
      </w:r>
      <w:r>
        <w:rPr>
          <w:szCs w:val="22"/>
        </w:rPr>
        <w:fldChar w:fldCharType="end"/>
      </w:r>
      <w:r w:rsidRPr="005D705F">
        <w:rPr>
          <w:szCs w:val="22"/>
        </w:rPr>
        <w:t xml:space="preserve"> shows that energy consumption</w:t>
      </w:r>
      <w:r w:rsidR="002A4F83">
        <w:rPr>
          <w:szCs w:val="22"/>
        </w:rPr>
        <w:t xml:space="preserve"> for the mean day</w:t>
      </w:r>
      <w:r w:rsidRPr="005D705F">
        <w:rPr>
          <w:szCs w:val="22"/>
        </w:rPr>
        <w:t xml:space="preserve"> </w:t>
      </w:r>
      <w:r>
        <w:rPr>
          <w:szCs w:val="22"/>
        </w:rPr>
        <w:t>is lowest</w:t>
      </w:r>
      <w:r w:rsidRPr="005D705F">
        <w:rPr>
          <w:szCs w:val="22"/>
        </w:rPr>
        <w:t xml:space="preserve"> at 06:00 and </w:t>
      </w:r>
      <w:r>
        <w:rPr>
          <w:szCs w:val="22"/>
        </w:rPr>
        <w:t>in day-time hours</w:t>
      </w:r>
      <w:r w:rsidR="007C20F4">
        <w:rPr>
          <w:szCs w:val="22"/>
        </w:rPr>
        <w:t xml:space="preserve">, while it </w:t>
      </w:r>
      <w:r>
        <w:rPr>
          <w:szCs w:val="22"/>
        </w:rPr>
        <w:t>is greatest</w:t>
      </w:r>
      <w:r w:rsidRPr="005D705F">
        <w:rPr>
          <w:szCs w:val="22"/>
        </w:rPr>
        <w:t xml:space="preserve"> at 22:00</w:t>
      </w:r>
      <w:r>
        <w:rPr>
          <w:szCs w:val="22"/>
        </w:rPr>
        <w:t xml:space="preserve"> and over-night</w:t>
      </w:r>
      <w:r w:rsidRPr="005D705F">
        <w:rPr>
          <w:szCs w:val="22"/>
        </w:rPr>
        <w:t xml:space="preserve">.  This coincides with </w:t>
      </w:r>
      <w:r>
        <w:rPr>
          <w:szCs w:val="22"/>
        </w:rPr>
        <w:t xml:space="preserve">a </w:t>
      </w:r>
      <w:r w:rsidRPr="005D705F">
        <w:rPr>
          <w:szCs w:val="22"/>
        </w:rPr>
        <w:t xml:space="preserve">change between peak and off-peak tariff.  The reason for this is that the CSW reduces its </w:t>
      </w:r>
      <w:r w:rsidR="007C20F4">
        <w:rPr>
          <w:szCs w:val="22"/>
        </w:rPr>
        <w:t xml:space="preserve">consumption for </w:t>
      </w:r>
      <w:r w:rsidRPr="005D705F">
        <w:rPr>
          <w:szCs w:val="22"/>
        </w:rPr>
        <w:t>refrigeration at peak tariff times (by allowing the set</w:t>
      </w:r>
      <w:r w:rsidR="007C20F4">
        <w:rPr>
          <w:szCs w:val="22"/>
        </w:rPr>
        <w:t>-</w:t>
      </w:r>
      <w:r w:rsidRPr="005D705F">
        <w:rPr>
          <w:szCs w:val="22"/>
        </w:rPr>
        <w:t xml:space="preserve">point of the </w:t>
      </w:r>
      <w:r w:rsidR="007C20F4">
        <w:rPr>
          <w:szCs w:val="22"/>
        </w:rPr>
        <w:t>refrigerated rooms</w:t>
      </w:r>
      <w:r w:rsidR="007C20F4" w:rsidRPr="005D705F">
        <w:rPr>
          <w:szCs w:val="22"/>
        </w:rPr>
        <w:t xml:space="preserve"> </w:t>
      </w:r>
      <w:r w:rsidRPr="005D705F">
        <w:rPr>
          <w:szCs w:val="22"/>
        </w:rPr>
        <w:t xml:space="preserve">to increase) and increases the </w:t>
      </w:r>
      <w:r w:rsidR="007C20F4">
        <w:rPr>
          <w:szCs w:val="22"/>
        </w:rPr>
        <w:t>consumption</w:t>
      </w:r>
      <w:r w:rsidR="007C20F4" w:rsidRPr="005D705F">
        <w:rPr>
          <w:szCs w:val="22"/>
        </w:rPr>
        <w:t xml:space="preserve"> </w:t>
      </w:r>
      <w:r w:rsidRPr="005D705F">
        <w:rPr>
          <w:szCs w:val="22"/>
        </w:rPr>
        <w:t xml:space="preserve">at off-peak times (by </w:t>
      </w:r>
      <w:r w:rsidR="007C20F4">
        <w:rPr>
          <w:szCs w:val="22"/>
        </w:rPr>
        <w:t>reducing</w:t>
      </w:r>
      <w:r w:rsidRPr="005D705F">
        <w:rPr>
          <w:szCs w:val="22"/>
        </w:rPr>
        <w:t xml:space="preserve"> the set</w:t>
      </w:r>
      <w:r w:rsidR="007C20F4">
        <w:rPr>
          <w:szCs w:val="22"/>
        </w:rPr>
        <w:t>-</w:t>
      </w:r>
      <w:r w:rsidR="00384E06">
        <w:rPr>
          <w:szCs w:val="22"/>
        </w:rPr>
        <w:t>point</w:t>
      </w:r>
      <w:r w:rsidRPr="005D705F">
        <w:rPr>
          <w:szCs w:val="22"/>
        </w:rPr>
        <w:t xml:space="preserve">).  It can be seen that the typical day chosen </w:t>
      </w:r>
      <w:r>
        <w:rPr>
          <w:szCs w:val="22"/>
        </w:rPr>
        <w:t>was similar to the mean day</w:t>
      </w:r>
      <w:r w:rsidRPr="005D705F">
        <w:rPr>
          <w:szCs w:val="22"/>
        </w:rPr>
        <w:t xml:space="preserve">, but there was a greater level of variance.  </w:t>
      </w:r>
    </w:p>
    <w:p w14:paraId="3CF50F43" w14:textId="77777777" w:rsidR="00D152B3" w:rsidRPr="005D705F" w:rsidRDefault="00D152B3" w:rsidP="00474968">
      <w:pPr>
        <w:spacing w:after="0" w:line="360" w:lineRule="auto"/>
        <w:jc w:val="center"/>
        <w:rPr>
          <w:szCs w:val="22"/>
        </w:rPr>
      </w:pPr>
      <w:r w:rsidRPr="005D705F">
        <w:rPr>
          <w:noProof/>
          <w:lang w:eastAsia="en-GB"/>
        </w:rPr>
        <w:drawing>
          <wp:inline distT="0" distB="0" distL="0" distR="0" wp14:anchorId="51DDAFB3" wp14:editId="22F33BA7">
            <wp:extent cx="2754000" cy="1803600"/>
            <wp:effectExtent l="0" t="0" r="825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54000" cy="1803600"/>
                    </a:xfrm>
                    <a:prstGeom prst="rect">
                      <a:avLst/>
                    </a:prstGeom>
                  </pic:spPr>
                </pic:pic>
              </a:graphicData>
            </a:graphic>
          </wp:inline>
        </w:drawing>
      </w:r>
    </w:p>
    <w:p w14:paraId="20575828" w14:textId="0F5FA0E6" w:rsidR="00D152B3" w:rsidRDefault="00D152B3" w:rsidP="00D152B3">
      <w:pPr>
        <w:pStyle w:val="Caption"/>
        <w:rPr>
          <w:szCs w:val="22"/>
        </w:rPr>
      </w:pPr>
      <w:bookmarkStart w:id="2" w:name="_Ref499552920"/>
      <w:proofErr w:type="gramStart"/>
      <w:r w:rsidRPr="005D705F">
        <w:t xml:space="preserve">Figure </w:t>
      </w:r>
      <w:fldSimple w:instr=" SEQ Figure \* ARABIC ">
        <w:r w:rsidR="0061553F">
          <w:rPr>
            <w:noProof/>
          </w:rPr>
          <w:t>2</w:t>
        </w:r>
      </w:fldSimple>
      <w:bookmarkEnd w:id="2"/>
      <w:r w:rsidRPr="005D705F">
        <w:t>.</w:t>
      </w:r>
      <w:proofErr w:type="gramEnd"/>
      <w:r w:rsidRPr="005D705F">
        <w:t xml:space="preserve">  </w:t>
      </w:r>
      <w:proofErr w:type="gramStart"/>
      <w:r w:rsidRPr="005D705F">
        <w:t>E</w:t>
      </w:r>
      <w:r w:rsidRPr="005D705F">
        <w:rPr>
          <w:szCs w:val="22"/>
        </w:rPr>
        <w:t xml:space="preserve">nergy consumption of a cold </w:t>
      </w:r>
      <w:r w:rsidR="00577DAC" w:rsidRPr="005D705F">
        <w:rPr>
          <w:szCs w:val="22"/>
        </w:rPr>
        <w:t>stor</w:t>
      </w:r>
      <w:r w:rsidR="00577DAC">
        <w:rPr>
          <w:szCs w:val="22"/>
        </w:rPr>
        <w:t>age</w:t>
      </w:r>
      <w:r w:rsidR="00577DAC" w:rsidRPr="005D705F">
        <w:rPr>
          <w:szCs w:val="22"/>
        </w:rPr>
        <w:t xml:space="preserve"> </w:t>
      </w:r>
      <w:r w:rsidRPr="005D705F">
        <w:rPr>
          <w:szCs w:val="22"/>
        </w:rPr>
        <w:t>warehouse over 1 day.</w:t>
      </w:r>
      <w:proofErr w:type="gramEnd"/>
    </w:p>
    <w:p w14:paraId="37FFF69F" w14:textId="77777777" w:rsidR="00832352" w:rsidRDefault="00832352" w:rsidP="000775BB">
      <w:pPr>
        <w:rPr>
          <w:szCs w:val="22"/>
        </w:rPr>
      </w:pPr>
    </w:p>
    <w:p w14:paraId="375DE04F" w14:textId="759A4E1D" w:rsidR="000775BB" w:rsidRDefault="000775BB" w:rsidP="000775BB">
      <w:pPr>
        <w:rPr>
          <w:szCs w:val="22"/>
        </w:rPr>
      </w:pPr>
      <w:r>
        <w:rPr>
          <w:szCs w:val="22"/>
        </w:rPr>
        <w:fldChar w:fldCharType="begin"/>
      </w:r>
      <w:r>
        <w:rPr>
          <w:szCs w:val="22"/>
        </w:rPr>
        <w:instrText xml:space="preserve"> REF _Ref500159824 \h </w:instrText>
      </w:r>
      <w:r>
        <w:rPr>
          <w:szCs w:val="22"/>
        </w:rPr>
      </w:r>
      <w:r>
        <w:rPr>
          <w:szCs w:val="22"/>
        </w:rPr>
        <w:fldChar w:fldCharType="separate"/>
      </w:r>
      <w:r>
        <w:t xml:space="preserve">Figure </w:t>
      </w:r>
      <w:r>
        <w:rPr>
          <w:noProof/>
        </w:rPr>
        <w:t>3</w:t>
      </w:r>
      <w:r>
        <w:rPr>
          <w:szCs w:val="22"/>
        </w:rPr>
        <w:fldChar w:fldCharType="end"/>
      </w:r>
      <w:r w:rsidRPr="005D705F">
        <w:rPr>
          <w:szCs w:val="22"/>
        </w:rPr>
        <w:t xml:space="preserve"> shows mean daily power output </w:t>
      </w:r>
      <w:r>
        <w:rPr>
          <w:szCs w:val="22"/>
        </w:rPr>
        <w:t>from the photovoltaic (PV) panels</w:t>
      </w:r>
      <w:r w:rsidRPr="005D705F">
        <w:rPr>
          <w:szCs w:val="22"/>
        </w:rPr>
        <w:t xml:space="preserve"> on a typical day (same day as </w:t>
      </w:r>
      <w:r>
        <w:rPr>
          <w:szCs w:val="22"/>
        </w:rPr>
        <w:fldChar w:fldCharType="begin"/>
      </w:r>
      <w:r>
        <w:rPr>
          <w:szCs w:val="22"/>
        </w:rPr>
        <w:instrText xml:space="preserve"> REF _Ref499552920 \h </w:instrText>
      </w:r>
      <w:r>
        <w:rPr>
          <w:szCs w:val="22"/>
        </w:rPr>
      </w:r>
      <w:r>
        <w:rPr>
          <w:szCs w:val="22"/>
        </w:rPr>
        <w:fldChar w:fldCharType="separate"/>
      </w:r>
      <w:r w:rsidRPr="005D705F">
        <w:t xml:space="preserve">Figure </w:t>
      </w:r>
      <w:r>
        <w:rPr>
          <w:noProof/>
        </w:rPr>
        <w:t>2</w:t>
      </w:r>
      <w:r>
        <w:rPr>
          <w:szCs w:val="22"/>
        </w:rPr>
        <w:fldChar w:fldCharType="end"/>
      </w:r>
      <w:r w:rsidR="001934D9">
        <w:rPr>
          <w:szCs w:val="22"/>
        </w:rPr>
        <w:t>).</w:t>
      </w:r>
      <w:r w:rsidRPr="005D705F">
        <w:rPr>
          <w:szCs w:val="22"/>
        </w:rPr>
        <w:t xml:space="preserve">  Obviously</w:t>
      </w:r>
      <w:r w:rsidR="001934D9">
        <w:rPr>
          <w:szCs w:val="22"/>
        </w:rPr>
        <w:t>,</w:t>
      </w:r>
      <w:r w:rsidRPr="005D705F">
        <w:rPr>
          <w:szCs w:val="22"/>
        </w:rPr>
        <w:t xml:space="preserve"> PV ou</w:t>
      </w:r>
      <w:r w:rsidR="002A4F83">
        <w:rPr>
          <w:szCs w:val="22"/>
        </w:rPr>
        <w:t>tput is zero at night and highest at</w:t>
      </w:r>
      <w:r w:rsidRPr="005D705F">
        <w:rPr>
          <w:szCs w:val="22"/>
        </w:rPr>
        <w:t xml:space="preserve"> midday.  The typical day shown here is a cloudy day </w:t>
      </w:r>
      <w:r>
        <w:rPr>
          <w:szCs w:val="22"/>
        </w:rPr>
        <w:t>which</w:t>
      </w:r>
      <w:r w:rsidRPr="005D705F">
        <w:rPr>
          <w:szCs w:val="22"/>
        </w:rPr>
        <w:t xml:space="preserve"> does not match the mean day, unlike the next day (not shown) which matches </w:t>
      </w:r>
      <w:r>
        <w:rPr>
          <w:szCs w:val="22"/>
        </w:rPr>
        <w:t xml:space="preserve">it </w:t>
      </w:r>
      <w:r w:rsidRPr="005D705F">
        <w:rPr>
          <w:szCs w:val="22"/>
        </w:rPr>
        <w:t>quite well.  For this CSW, on average the PV output is lower than the electrical consumption even at mid-day.  In fact</w:t>
      </w:r>
      <w:r>
        <w:rPr>
          <w:szCs w:val="22"/>
        </w:rPr>
        <w:t>,</w:t>
      </w:r>
      <w:r w:rsidRPr="005D705F">
        <w:rPr>
          <w:szCs w:val="22"/>
        </w:rPr>
        <w:t xml:space="preserve"> the PV</w:t>
      </w:r>
      <w:r>
        <w:rPr>
          <w:szCs w:val="22"/>
        </w:rPr>
        <w:t xml:space="preserve"> power provided</w:t>
      </w:r>
      <w:r w:rsidRPr="005D705F">
        <w:rPr>
          <w:szCs w:val="22"/>
        </w:rPr>
        <w:t xml:space="preserve"> </w:t>
      </w:r>
      <w:r>
        <w:rPr>
          <w:szCs w:val="22"/>
        </w:rPr>
        <w:t>was</w:t>
      </w:r>
      <w:r w:rsidRPr="005D705F">
        <w:rPr>
          <w:szCs w:val="22"/>
        </w:rPr>
        <w:t xml:space="preserve"> only higher than the electrical consumption for 339 hours </w:t>
      </w:r>
      <w:r>
        <w:rPr>
          <w:szCs w:val="22"/>
        </w:rPr>
        <w:t>(3.9%)</w:t>
      </w:r>
      <w:r w:rsidRPr="005D705F">
        <w:rPr>
          <w:szCs w:val="22"/>
        </w:rPr>
        <w:t xml:space="preserve"> </w:t>
      </w:r>
      <w:r>
        <w:rPr>
          <w:szCs w:val="22"/>
        </w:rPr>
        <w:t>of</w:t>
      </w:r>
      <w:r w:rsidRPr="005D705F">
        <w:rPr>
          <w:szCs w:val="22"/>
        </w:rPr>
        <w:t xml:space="preserve"> the year</w:t>
      </w:r>
      <w:r>
        <w:rPr>
          <w:szCs w:val="22"/>
        </w:rPr>
        <w:t>.</w:t>
      </w:r>
    </w:p>
    <w:p w14:paraId="1A9DB4C3" w14:textId="77777777" w:rsidR="000775BB" w:rsidRPr="005D705F" w:rsidRDefault="000775BB" w:rsidP="000775BB">
      <w:pPr>
        <w:pStyle w:val="Heading2"/>
      </w:pPr>
      <w:r>
        <w:t>Round trip efficiency</w:t>
      </w:r>
    </w:p>
    <w:p w14:paraId="1F9C5401" w14:textId="660CF5FE" w:rsidR="000775BB" w:rsidRPr="004E04EC" w:rsidRDefault="000775BB" w:rsidP="000775BB">
      <w:r w:rsidRPr="004E04EC">
        <w:rPr>
          <w:rFonts w:eastAsiaTheme="minorEastAsia"/>
        </w:rPr>
        <w:t xml:space="preserve">As no storage system can be 100% efficient, not all of the energy consumed and stored is available for release at a later time.  The RTE is therefore an important factor in energy storage systems, as it is directly related to the potential </w:t>
      </w:r>
      <w:r w:rsidR="00C315E2">
        <w:rPr>
          <w:rFonts w:eastAsiaTheme="minorEastAsia"/>
        </w:rPr>
        <w:t>to generate revenue</w:t>
      </w:r>
      <w:r w:rsidRPr="004E04EC">
        <w:rPr>
          <w:rFonts w:eastAsiaTheme="minorEastAsia"/>
        </w:rPr>
        <w:t xml:space="preserve">.  There are a number of factors which affect RTEs reported in the literature (e.g. charging pressure, cold/hot energy recycle, </w:t>
      </w:r>
      <w:r w:rsidRPr="004E04EC">
        <w:t>turbine inlet temperature, size of system, etc.)</w:t>
      </w:r>
    </w:p>
    <w:p w14:paraId="006FB2BF" w14:textId="495CBB22" w:rsidR="000775BB" w:rsidRPr="000775BB" w:rsidRDefault="000775BB" w:rsidP="004E04EC">
      <w:pPr>
        <w:rPr>
          <w:rFonts w:eastAsiaTheme="minorHAnsi" w:cstheme="minorBidi"/>
          <w:b/>
          <w:bCs/>
          <w:sz w:val="20"/>
          <w:szCs w:val="18"/>
          <w:lang w:eastAsia="en-US"/>
        </w:rPr>
      </w:pPr>
      <w:r w:rsidRPr="004E04EC">
        <w:rPr>
          <w:rFonts w:eastAsiaTheme="minorEastAsia"/>
        </w:rPr>
        <w:fldChar w:fldCharType="begin"/>
      </w:r>
      <w:r w:rsidRPr="004E04EC">
        <w:rPr>
          <w:rFonts w:eastAsiaTheme="minorEastAsia"/>
        </w:rPr>
        <w:instrText xml:space="preserve"> REF _Ref499553134 \h  \* MERGEFORMAT </w:instrText>
      </w:r>
      <w:r w:rsidRPr="004E04EC">
        <w:rPr>
          <w:rFonts w:eastAsiaTheme="minorEastAsia"/>
        </w:rPr>
      </w:r>
      <w:r w:rsidRPr="004E04EC">
        <w:rPr>
          <w:rFonts w:eastAsiaTheme="minorEastAsia"/>
        </w:rPr>
        <w:fldChar w:fldCharType="separate"/>
      </w:r>
      <w:r w:rsidRPr="004E04EC">
        <w:t xml:space="preserve">Table </w:t>
      </w:r>
      <w:r w:rsidRPr="004E04EC">
        <w:rPr>
          <w:noProof/>
        </w:rPr>
        <w:t>1</w:t>
      </w:r>
      <w:r w:rsidRPr="004E04EC">
        <w:rPr>
          <w:rFonts w:eastAsiaTheme="minorEastAsia"/>
        </w:rPr>
        <w:fldChar w:fldCharType="end"/>
      </w:r>
      <w:r w:rsidRPr="004E04EC">
        <w:rPr>
          <w:rFonts w:eastAsiaTheme="minorEastAsia"/>
        </w:rPr>
        <w:t xml:space="preserve"> shows RTEs of LAESs reported in scientific literature.</w:t>
      </w:r>
      <w:r w:rsidRPr="004E04EC">
        <w:rPr>
          <w:rFonts w:eastAsiaTheme="minorHAnsi" w:cstheme="minorBidi"/>
          <w:b/>
          <w:bCs/>
          <w:sz w:val="20"/>
          <w:szCs w:val="18"/>
          <w:lang w:eastAsia="en-US"/>
        </w:rPr>
        <w:t xml:space="preserve">  </w:t>
      </w:r>
      <w:r w:rsidR="004E04EC">
        <w:rPr>
          <w:rFonts w:eastAsiaTheme="minorHAnsi" w:cstheme="minorBidi"/>
          <w:b/>
          <w:bCs/>
          <w:sz w:val="20"/>
          <w:szCs w:val="18"/>
          <w:lang w:eastAsia="en-US"/>
        </w:rPr>
        <w:t xml:space="preserve">  </w:t>
      </w:r>
      <w:r w:rsidRPr="004E04EC">
        <w:rPr>
          <w:rFonts w:eastAsiaTheme="minorEastAsia"/>
        </w:rPr>
        <w:t>There are two practical demonstrations of LAES technology found in the literature.  Mitsubishi built a system (</w:t>
      </w:r>
      <w:proofErr w:type="spellStart"/>
      <w:r w:rsidRPr="004E04EC">
        <w:rPr>
          <w:rFonts w:eastAsiaTheme="minorEastAsia"/>
        </w:rPr>
        <w:t>Kishimoto</w:t>
      </w:r>
      <w:proofErr w:type="spellEnd"/>
      <w:r w:rsidRPr="004E04EC">
        <w:rPr>
          <w:rFonts w:eastAsiaTheme="minorEastAsia"/>
        </w:rPr>
        <w:t xml:space="preserve"> et al</w:t>
      </w:r>
      <w:r w:rsidR="007009DF">
        <w:rPr>
          <w:rFonts w:eastAsiaTheme="minorEastAsia"/>
        </w:rPr>
        <w:t>.</w:t>
      </w:r>
      <w:r w:rsidRPr="004E04EC">
        <w:rPr>
          <w:rFonts w:eastAsiaTheme="minorEastAsia"/>
        </w:rPr>
        <w:t xml:space="preserve">, 1998) based on liquid rocket engine technology and with no RTE reported.  The </w:t>
      </w:r>
      <w:proofErr w:type="spellStart"/>
      <w:r w:rsidRPr="004E04EC">
        <w:rPr>
          <w:rFonts w:eastAsiaTheme="minorEastAsia"/>
        </w:rPr>
        <w:t>Highview</w:t>
      </w:r>
      <w:proofErr w:type="spellEnd"/>
      <w:r w:rsidRPr="004E04EC">
        <w:rPr>
          <w:rFonts w:eastAsiaTheme="minorEastAsia"/>
        </w:rPr>
        <w:t xml:space="preserve"> system reported a low RTE of 8% (</w:t>
      </w:r>
      <w:r w:rsidRPr="004E04EC">
        <w:t>Morgan et al</w:t>
      </w:r>
      <w:r w:rsidR="007009DF">
        <w:t>.</w:t>
      </w:r>
      <w:r w:rsidRPr="004E04EC">
        <w:t>, 2015)</w:t>
      </w:r>
      <w:r w:rsidRPr="004E04EC">
        <w:rPr>
          <w:rFonts w:eastAsiaTheme="minorEastAsia"/>
        </w:rPr>
        <w:t xml:space="preserve">, which is a consequence of </w:t>
      </w:r>
      <w:r w:rsidR="0006215C">
        <w:rPr>
          <w:rFonts w:eastAsiaTheme="minorEastAsia"/>
        </w:rPr>
        <w:t xml:space="preserve">the </w:t>
      </w:r>
      <w:r w:rsidRPr="004E04EC">
        <w:rPr>
          <w:rFonts w:eastAsiaTheme="minorEastAsia"/>
        </w:rPr>
        <w:t>small-scale</w:t>
      </w:r>
      <w:r w:rsidR="0006215C">
        <w:rPr>
          <w:rFonts w:eastAsiaTheme="minorEastAsia"/>
        </w:rPr>
        <w:t xml:space="preserve"> design</w:t>
      </w:r>
      <w:r w:rsidRPr="004E04EC">
        <w:rPr>
          <w:rFonts w:eastAsiaTheme="minorEastAsia"/>
        </w:rPr>
        <w:t xml:space="preserve">, </w:t>
      </w:r>
      <w:r w:rsidR="0006215C">
        <w:rPr>
          <w:rFonts w:eastAsiaTheme="minorEastAsia"/>
        </w:rPr>
        <w:t>low level of</w:t>
      </w:r>
      <w:r w:rsidR="0006215C" w:rsidRPr="004E04EC">
        <w:rPr>
          <w:rFonts w:eastAsiaTheme="minorEastAsia"/>
        </w:rPr>
        <w:t xml:space="preserve"> </w:t>
      </w:r>
      <w:r w:rsidRPr="004E04EC">
        <w:rPr>
          <w:rFonts w:eastAsiaTheme="minorEastAsia"/>
        </w:rPr>
        <w:t xml:space="preserve">cold recycle and no </w:t>
      </w:r>
      <w:r w:rsidR="0006215C">
        <w:rPr>
          <w:rFonts w:eastAsiaTheme="minorEastAsia"/>
        </w:rPr>
        <w:t xml:space="preserve">input from </w:t>
      </w:r>
      <w:r w:rsidRPr="004E04EC">
        <w:rPr>
          <w:rFonts w:eastAsiaTheme="minorEastAsia"/>
        </w:rPr>
        <w:t xml:space="preserve">waste heat.  However, </w:t>
      </w:r>
      <w:proofErr w:type="spellStart"/>
      <w:r w:rsidR="0006215C">
        <w:rPr>
          <w:rFonts w:eastAsiaTheme="minorEastAsia"/>
        </w:rPr>
        <w:t>Highview</w:t>
      </w:r>
      <w:proofErr w:type="spellEnd"/>
      <w:r w:rsidR="0006215C">
        <w:rPr>
          <w:rFonts w:eastAsiaTheme="minorEastAsia"/>
        </w:rPr>
        <w:t xml:space="preserve"> Power Storage is</w:t>
      </w:r>
      <w:r w:rsidRPr="004E04EC">
        <w:rPr>
          <w:rFonts w:eastAsiaTheme="minorEastAsia"/>
        </w:rPr>
        <w:t xml:space="preserve"> building a new demonstrator at a larger scale where they expect to recover up to 60% of all the waste heat energy input.  </w:t>
      </w:r>
    </w:p>
    <w:p w14:paraId="1CA20266" w14:textId="56DC4E9A" w:rsidR="00CC4882" w:rsidRPr="005D705F" w:rsidRDefault="00CC4882" w:rsidP="00CC4882">
      <w:pPr>
        <w:jc w:val="center"/>
        <w:rPr>
          <w:szCs w:val="22"/>
        </w:rPr>
      </w:pPr>
      <w:r w:rsidRPr="005D705F">
        <w:rPr>
          <w:noProof/>
          <w:lang w:eastAsia="en-GB"/>
        </w:rPr>
        <w:lastRenderedPageBreak/>
        <w:drawing>
          <wp:inline distT="0" distB="0" distL="0" distR="0" wp14:anchorId="3238BBDF" wp14:editId="68442A44">
            <wp:extent cx="2768400" cy="181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68400" cy="1810800"/>
                    </a:xfrm>
                    <a:prstGeom prst="rect">
                      <a:avLst/>
                    </a:prstGeom>
                  </pic:spPr>
                </pic:pic>
              </a:graphicData>
            </a:graphic>
          </wp:inline>
        </w:drawing>
      </w:r>
    </w:p>
    <w:p w14:paraId="0E42C2D2" w14:textId="62AC4303" w:rsidR="00CC4882" w:rsidRDefault="00CC4882" w:rsidP="00B039C0">
      <w:pPr>
        <w:pStyle w:val="Caption"/>
        <w:spacing w:after="240"/>
        <w:rPr>
          <w:szCs w:val="22"/>
        </w:rPr>
      </w:pPr>
      <w:bookmarkStart w:id="3" w:name="_Ref500159824"/>
      <w:proofErr w:type="gramStart"/>
      <w:r>
        <w:t xml:space="preserve">Figure </w:t>
      </w:r>
      <w:fldSimple w:instr=" SEQ Figure \* ARABIC ">
        <w:r w:rsidR="0061553F">
          <w:rPr>
            <w:noProof/>
          </w:rPr>
          <w:t>3</w:t>
        </w:r>
      </w:fldSimple>
      <w:bookmarkEnd w:id="3"/>
      <w:r w:rsidRPr="005D705F">
        <w:t>.</w:t>
      </w:r>
      <w:proofErr w:type="gramEnd"/>
      <w:r w:rsidRPr="005D705F">
        <w:t xml:space="preserve">  E</w:t>
      </w:r>
      <w:r w:rsidRPr="005D705F">
        <w:rPr>
          <w:szCs w:val="22"/>
        </w:rPr>
        <w:t xml:space="preserve">nergy generation of the PV panels of a cold </w:t>
      </w:r>
      <w:r w:rsidR="00577DAC" w:rsidRPr="005D705F">
        <w:rPr>
          <w:szCs w:val="22"/>
        </w:rPr>
        <w:t>stor</w:t>
      </w:r>
      <w:r w:rsidR="00577DAC">
        <w:rPr>
          <w:szCs w:val="22"/>
        </w:rPr>
        <w:t>age</w:t>
      </w:r>
      <w:r w:rsidR="00577DAC" w:rsidRPr="005D705F">
        <w:rPr>
          <w:szCs w:val="22"/>
        </w:rPr>
        <w:t xml:space="preserve"> </w:t>
      </w:r>
      <w:r w:rsidRPr="005D705F">
        <w:rPr>
          <w:szCs w:val="22"/>
        </w:rPr>
        <w:t>warehouse over 1 day.</w:t>
      </w:r>
    </w:p>
    <w:p w14:paraId="261538DB" w14:textId="4C59170C" w:rsidR="00043BC7" w:rsidRDefault="00043BC7">
      <w:pPr>
        <w:overflowPunct/>
        <w:autoSpaceDE/>
        <w:autoSpaceDN/>
        <w:adjustRightInd/>
        <w:spacing w:after="0"/>
        <w:jc w:val="left"/>
        <w:textAlignment w:val="auto"/>
        <w:rPr>
          <w:rFonts w:eastAsiaTheme="minorHAnsi" w:cstheme="minorBidi"/>
          <w:b/>
          <w:bCs/>
          <w:sz w:val="20"/>
          <w:szCs w:val="18"/>
          <w:lang w:eastAsia="en-US"/>
        </w:rPr>
      </w:pPr>
      <w:bookmarkStart w:id="4" w:name="_Ref499553134"/>
      <w:bookmarkStart w:id="5" w:name="_Ref499553110"/>
    </w:p>
    <w:p w14:paraId="5AF03AEB" w14:textId="478DCD99" w:rsidR="008A301F" w:rsidRPr="005D705F" w:rsidRDefault="00E23E98" w:rsidP="0071781F">
      <w:pPr>
        <w:pStyle w:val="Caption"/>
        <w:spacing w:after="120"/>
        <w:rPr>
          <w:rFonts w:eastAsiaTheme="minorEastAsia"/>
        </w:rPr>
      </w:pPr>
      <w:proofErr w:type="gramStart"/>
      <w:r w:rsidRPr="005D705F">
        <w:t xml:space="preserve">Table </w:t>
      </w:r>
      <w:fldSimple w:instr=" SEQ Table \* ARABIC ">
        <w:r w:rsidR="00623C28">
          <w:rPr>
            <w:noProof/>
          </w:rPr>
          <w:t>1</w:t>
        </w:r>
      </w:fldSimple>
      <w:bookmarkEnd w:id="4"/>
      <w:r w:rsidRPr="005D705F">
        <w:t>.</w:t>
      </w:r>
      <w:proofErr w:type="gramEnd"/>
      <w:r w:rsidRPr="005D705F">
        <w:rPr>
          <w:color w:val="FF0000"/>
        </w:rPr>
        <w:t xml:space="preserve"> </w:t>
      </w:r>
      <w:bookmarkEnd w:id="5"/>
      <w:r w:rsidR="003037E7" w:rsidRPr="005D705F">
        <w:rPr>
          <w:rFonts w:eastAsiaTheme="minorEastAsia"/>
        </w:rPr>
        <w:t>RTEs reported in scientific literature.</w:t>
      </w:r>
    </w:p>
    <w:tbl>
      <w:tblPr>
        <w:tblStyle w:val="TableGrid"/>
        <w:tblW w:w="0" w:type="auto"/>
        <w:jc w:val="center"/>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7"/>
        <w:gridCol w:w="1134"/>
        <w:gridCol w:w="1426"/>
        <w:gridCol w:w="4819"/>
      </w:tblGrid>
      <w:tr w:rsidR="008A301F" w:rsidRPr="00FF0C8D" w14:paraId="4309EDE8" w14:textId="77777777" w:rsidTr="00CD246C">
        <w:trPr>
          <w:jc w:val="center"/>
        </w:trPr>
        <w:tc>
          <w:tcPr>
            <w:tcW w:w="1857" w:type="dxa"/>
            <w:tcBorders>
              <w:top w:val="single" w:sz="4" w:space="0" w:color="auto"/>
              <w:bottom w:val="single" w:sz="4" w:space="0" w:color="auto"/>
            </w:tcBorders>
          </w:tcPr>
          <w:p w14:paraId="4D1140E2" w14:textId="77777777" w:rsidR="008A301F" w:rsidRPr="00FF0C8D" w:rsidRDefault="008A301F" w:rsidP="00310E65">
            <w:pPr>
              <w:spacing w:before="40" w:after="40"/>
              <w:jc w:val="left"/>
              <w:rPr>
                <w:b/>
                <w:szCs w:val="22"/>
              </w:rPr>
            </w:pPr>
            <w:r w:rsidRPr="00FF0C8D">
              <w:rPr>
                <w:b/>
                <w:szCs w:val="22"/>
              </w:rPr>
              <w:t>Reference</w:t>
            </w:r>
          </w:p>
        </w:tc>
        <w:tc>
          <w:tcPr>
            <w:tcW w:w="1134" w:type="dxa"/>
            <w:tcBorders>
              <w:top w:val="single" w:sz="4" w:space="0" w:color="auto"/>
              <w:bottom w:val="single" w:sz="4" w:space="0" w:color="auto"/>
            </w:tcBorders>
          </w:tcPr>
          <w:p w14:paraId="29F2ED14" w14:textId="77777777" w:rsidR="008A301F" w:rsidRPr="00FF0C8D" w:rsidRDefault="008A301F" w:rsidP="00310E65">
            <w:pPr>
              <w:spacing w:before="40" w:after="40"/>
              <w:jc w:val="center"/>
              <w:rPr>
                <w:b/>
                <w:szCs w:val="22"/>
              </w:rPr>
            </w:pPr>
            <w:r w:rsidRPr="00FF0C8D">
              <w:rPr>
                <w:b/>
                <w:szCs w:val="22"/>
              </w:rPr>
              <w:t>RTE (%)</w:t>
            </w:r>
          </w:p>
        </w:tc>
        <w:tc>
          <w:tcPr>
            <w:tcW w:w="1316" w:type="dxa"/>
            <w:tcBorders>
              <w:top w:val="single" w:sz="4" w:space="0" w:color="auto"/>
              <w:bottom w:val="single" w:sz="4" w:space="0" w:color="auto"/>
            </w:tcBorders>
          </w:tcPr>
          <w:p w14:paraId="677DDCF9" w14:textId="77777777" w:rsidR="008A301F" w:rsidRPr="00FF0C8D" w:rsidRDefault="008A301F" w:rsidP="00310E65">
            <w:pPr>
              <w:spacing w:before="40" w:after="40"/>
              <w:rPr>
                <w:b/>
                <w:szCs w:val="22"/>
              </w:rPr>
            </w:pPr>
            <w:r w:rsidRPr="00FF0C8D">
              <w:rPr>
                <w:b/>
                <w:szCs w:val="22"/>
              </w:rPr>
              <w:t>Basis</w:t>
            </w:r>
          </w:p>
        </w:tc>
        <w:tc>
          <w:tcPr>
            <w:tcW w:w="4819" w:type="dxa"/>
            <w:tcBorders>
              <w:top w:val="single" w:sz="4" w:space="0" w:color="auto"/>
              <w:bottom w:val="single" w:sz="4" w:space="0" w:color="auto"/>
            </w:tcBorders>
          </w:tcPr>
          <w:p w14:paraId="62932BF3" w14:textId="77777777" w:rsidR="008A301F" w:rsidRPr="00FF0C8D" w:rsidRDefault="008A301F" w:rsidP="00310E65">
            <w:pPr>
              <w:spacing w:before="40" w:after="40"/>
              <w:jc w:val="left"/>
              <w:rPr>
                <w:b/>
                <w:szCs w:val="22"/>
              </w:rPr>
            </w:pPr>
            <w:r w:rsidRPr="00FF0C8D">
              <w:rPr>
                <w:b/>
                <w:szCs w:val="22"/>
              </w:rPr>
              <w:t>Information</w:t>
            </w:r>
          </w:p>
        </w:tc>
      </w:tr>
      <w:tr w:rsidR="008A301F" w:rsidRPr="00FF0C8D" w14:paraId="547D4C32" w14:textId="77777777" w:rsidTr="00CD246C">
        <w:trPr>
          <w:jc w:val="center"/>
        </w:trPr>
        <w:tc>
          <w:tcPr>
            <w:tcW w:w="1857" w:type="dxa"/>
            <w:tcBorders>
              <w:top w:val="single" w:sz="4" w:space="0" w:color="auto"/>
            </w:tcBorders>
          </w:tcPr>
          <w:p w14:paraId="6EF8B4F2" w14:textId="0583F619" w:rsidR="008A301F" w:rsidRPr="00FF0C8D" w:rsidRDefault="008A301F" w:rsidP="00310E65">
            <w:pPr>
              <w:spacing w:before="40" w:after="40"/>
              <w:jc w:val="left"/>
              <w:rPr>
                <w:szCs w:val="22"/>
              </w:rPr>
            </w:pPr>
            <w:r w:rsidRPr="00FF0C8D">
              <w:rPr>
                <w:szCs w:val="22"/>
              </w:rPr>
              <w:t>Morgan et al</w:t>
            </w:r>
            <w:r w:rsidR="007009DF">
              <w:rPr>
                <w:szCs w:val="22"/>
              </w:rPr>
              <w:t>.</w:t>
            </w:r>
            <w:r w:rsidRPr="00FF0C8D">
              <w:rPr>
                <w:szCs w:val="22"/>
              </w:rPr>
              <w:t xml:space="preserve"> (2015)</w:t>
            </w:r>
          </w:p>
        </w:tc>
        <w:tc>
          <w:tcPr>
            <w:tcW w:w="1134" w:type="dxa"/>
            <w:tcBorders>
              <w:top w:val="single" w:sz="4" w:space="0" w:color="auto"/>
            </w:tcBorders>
          </w:tcPr>
          <w:p w14:paraId="564295AF" w14:textId="77777777" w:rsidR="008A301F" w:rsidRPr="00FF0C8D" w:rsidRDefault="008A301F" w:rsidP="00310E65">
            <w:pPr>
              <w:spacing w:before="40" w:after="40"/>
              <w:jc w:val="center"/>
              <w:rPr>
                <w:szCs w:val="22"/>
              </w:rPr>
            </w:pPr>
            <w:r w:rsidRPr="00FF0C8D">
              <w:rPr>
                <w:szCs w:val="22"/>
              </w:rPr>
              <w:t>8</w:t>
            </w:r>
          </w:p>
        </w:tc>
        <w:tc>
          <w:tcPr>
            <w:tcW w:w="1316" w:type="dxa"/>
            <w:tcBorders>
              <w:top w:val="single" w:sz="4" w:space="0" w:color="auto"/>
            </w:tcBorders>
          </w:tcPr>
          <w:p w14:paraId="53753875" w14:textId="77777777" w:rsidR="008A301F" w:rsidRPr="00FF0C8D" w:rsidRDefault="008A301F" w:rsidP="00310E65">
            <w:pPr>
              <w:spacing w:before="40" w:after="40"/>
              <w:rPr>
                <w:szCs w:val="22"/>
              </w:rPr>
            </w:pPr>
            <w:r w:rsidRPr="00FF0C8D">
              <w:rPr>
                <w:szCs w:val="22"/>
              </w:rPr>
              <w:t>Demonstrator</w:t>
            </w:r>
          </w:p>
        </w:tc>
        <w:tc>
          <w:tcPr>
            <w:tcW w:w="4819" w:type="dxa"/>
            <w:tcBorders>
              <w:top w:val="single" w:sz="4" w:space="0" w:color="auto"/>
            </w:tcBorders>
          </w:tcPr>
          <w:p w14:paraId="5303D132" w14:textId="77777777" w:rsidR="008A301F" w:rsidRPr="00FF0C8D" w:rsidRDefault="008A301F" w:rsidP="00310E65">
            <w:pPr>
              <w:spacing w:before="40" w:after="40"/>
              <w:jc w:val="left"/>
              <w:rPr>
                <w:szCs w:val="22"/>
              </w:rPr>
            </w:pPr>
            <w:proofErr w:type="spellStart"/>
            <w:r w:rsidRPr="00FF0C8D">
              <w:rPr>
                <w:szCs w:val="22"/>
              </w:rPr>
              <w:t>Highview</w:t>
            </w:r>
            <w:proofErr w:type="spellEnd"/>
            <w:r w:rsidRPr="00FF0C8D">
              <w:rPr>
                <w:szCs w:val="22"/>
              </w:rPr>
              <w:t xml:space="preserve"> power storage system pilot plant.  Cold recycle 51%.  Small size plant (10 times smaller than commercial scale liquefier).  No waste heat.</w:t>
            </w:r>
          </w:p>
        </w:tc>
      </w:tr>
      <w:tr w:rsidR="008A301F" w:rsidRPr="00FF0C8D" w14:paraId="6208C0F2" w14:textId="77777777" w:rsidTr="00CD246C">
        <w:trPr>
          <w:jc w:val="center"/>
        </w:trPr>
        <w:tc>
          <w:tcPr>
            <w:tcW w:w="1857" w:type="dxa"/>
          </w:tcPr>
          <w:p w14:paraId="65E0FC9E" w14:textId="3284E264" w:rsidR="008A301F" w:rsidRPr="00FF0C8D" w:rsidRDefault="008A301F" w:rsidP="00310E65">
            <w:pPr>
              <w:spacing w:before="40" w:after="40"/>
              <w:jc w:val="left"/>
              <w:rPr>
                <w:szCs w:val="22"/>
              </w:rPr>
            </w:pPr>
            <w:r w:rsidRPr="00FF0C8D">
              <w:rPr>
                <w:szCs w:val="22"/>
              </w:rPr>
              <w:t>Morgan et al</w:t>
            </w:r>
            <w:r w:rsidR="007009DF">
              <w:rPr>
                <w:szCs w:val="22"/>
              </w:rPr>
              <w:t>.</w:t>
            </w:r>
            <w:r w:rsidRPr="00FF0C8D">
              <w:rPr>
                <w:szCs w:val="22"/>
              </w:rPr>
              <w:t xml:space="preserve"> (2015)</w:t>
            </w:r>
          </w:p>
        </w:tc>
        <w:tc>
          <w:tcPr>
            <w:tcW w:w="1134" w:type="dxa"/>
          </w:tcPr>
          <w:p w14:paraId="03482D2B" w14:textId="77777777" w:rsidR="008A301F" w:rsidRPr="00FF0C8D" w:rsidRDefault="008A301F" w:rsidP="00310E65">
            <w:pPr>
              <w:spacing w:before="40" w:after="40"/>
              <w:jc w:val="center"/>
              <w:rPr>
                <w:szCs w:val="22"/>
              </w:rPr>
            </w:pPr>
            <w:r w:rsidRPr="00FF0C8D">
              <w:rPr>
                <w:szCs w:val="22"/>
              </w:rPr>
              <w:t>49</w:t>
            </w:r>
          </w:p>
        </w:tc>
        <w:tc>
          <w:tcPr>
            <w:tcW w:w="1316" w:type="dxa"/>
          </w:tcPr>
          <w:p w14:paraId="02F97017" w14:textId="77777777" w:rsidR="008A301F" w:rsidRPr="00FF0C8D" w:rsidRDefault="008A301F" w:rsidP="00310E65">
            <w:pPr>
              <w:spacing w:before="40" w:after="40"/>
              <w:rPr>
                <w:szCs w:val="22"/>
              </w:rPr>
            </w:pPr>
            <w:r w:rsidRPr="00FF0C8D">
              <w:rPr>
                <w:szCs w:val="22"/>
              </w:rPr>
              <w:t>Theory</w:t>
            </w:r>
          </w:p>
        </w:tc>
        <w:tc>
          <w:tcPr>
            <w:tcW w:w="4819" w:type="dxa"/>
          </w:tcPr>
          <w:p w14:paraId="364DCEF1" w14:textId="11EA0DE9" w:rsidR="008A301F" w:rsidRPr="00FF0C8D" w:rsidRDefault="008A301F" w:rsidP="00310E65">
            <w:pPr>
              <w:spacing w:before="40" w:after="40"/>
              <w:jc w:val="left"/>
              <w:rPr>
                <w:szCs w:val="22"/>
              </w:rPr>
            </w:pPr>
            <w:r w:rsidRPr="00FF0C8D">
              <w:rPr>
                <w:szCs w:val="22"/>
              </w:rPr>
              <w:t>Peak discharge pressure 200 b</w:t>
            </w:r>
            <w:r w:rsidR="00CB75A4" w:rsidRPr="00FF0C8D">
              <w:rPr>
                <w:szCs w:val="22"/>
              </w:rPr>
              <w:t>ar</w:t>
            </w:r>
            <w:r w:rsidRPr="00FF0C8D">
              <w:rPr>
                <w:szCs w:val="22"/>
              </w:rPr>
              <w:t xml:space="preserve">.  Warm recycle 373 K.  Liquefier size </w:t>
            </w:r>
            <w:r w:rsidR="00043BC7" w:rsidRPr="00FF0C8D">
              <w:rPr>
                <w:szCs w:val="22"/>
              </w:rPr>
              <w:t>~</w:t>
            </w:r>
            <w:r w:rsidRPr="00FF0C8D">
              <w:rPr>
                <w:szCs w:val="22"/>
              </w:rPr>
              <w:t>1000 tonnes per day.</w:t>
            </w:r>
          </w:p>
        </w:tc>
      </w:tr>
      <w:tr w:rsidR="008A301F" w:rsidRPr="00FF0C8D" w14:paraId="3C3B9BA0" w14:textId="77777777" w:rsidTr="00CD246C">
        <w:trPr>
          <w:jc w:val="center"/>
        </w:trPr>
        <w:tc>
          <w:tcPr>
            <w:tcW w:w="1857" w:type="dxa"/>
          </w:tcPr>
          <w:p w14:paraId="04DEEE77" w14:textId="2EEDF0D8" w:rsidR="008A301F" w:rsidRPr="00FF0C8D" w:rsidRDefault="008A301F" w:rsidP="00310E65">
            <w:pPr>
              <w:spacing w:before="40" w:after="40"/>
              <w:jc w:val="left"/>
              <w:rPr>
                <w:szCs w:val="22"/>
              </w:rPr>
            </w:pPr>
            <w:r w:rsidRPr="00FF0C8D">
              <w:rPr>
                <w:szCs w:val="22"/>
              </w:rPr>
              <w:t>Morgan et al</w:t>
            </w:r>
            <w:r w:rsidR="007009DF">
              <w:rPr>
                <w:szCs w:val="22"/>
              </w:rPr>
              <w:t>.</w:t>
            </w:r>
            <w:r w:rsidRPr="00FF0C8D">
              <w:rPr>
                <w:szCs w:val="22"/>
              </w:rPr>
              <w:t xml:space="preserve"> (2015)</w:t>
            </w:r>
          </w:p>
        </w:tc>
        <w:tc>
          <w:tcPr>
            <w:tcW w:w="1134" w:type="dxa"/>
          </w:tcPr>
          <w:p w14:paraId="776F09F1" w14:textId="77777777" w:rsidR="008A301F" w:rsidRPr="00FF0C8D" w:rsidRDefault="008A301F" w:rsidP="00310E65">
            <w:pPr>
              <w:spacing w:before="40" w:after="40"/>
              <w:jc w:val="center"/>
              <w:rPr>
                <w:szCs w:val="22"/>
              </w:rPr>
            </w:pPr>
            <w:r w:rsidRPr="00FF0C8D">
              <w:rPr>
                <w:szCs w:val="22"/>
              </w:rPr>
              <w:t>Up to 60</w:t>
            </w:r>
          </w:p>
        </w:tc>
        <w:tc>
          <w:tcPr>
            <w:tcW w:w="1316" w:type="dxa"/>
          </w:tcPr>
          <w:p w14:paraId="79DD6406" w14:textId="77777777" w:rsidR="008A301F" w:rsidRPr="00FF0C8D" w:rsidRDefault="008A301F" w:rsidP="00310E65">
            <w:pPr>
              <w:spacing w:before="40" w:after="40"/>
              <w:rPr>
                <w:szCs w:val="22"/>
              </w:rPr>
            </w:pPr>
            <w:r w:rsidRPr="00FF0C8D">
              <w:rPr>
                <w:szCs w:val="22"/>
              </w:rPr>
              <w:t>Theory</w:t>
            </w:r>
          </w:p>
        </w:tc>
        <w:tc>
          <w:tcPr>
            <w:tcW w:w="4819" w:type="dxa"/>
          </w:tcPr>
          <w:p w14:paraId="3D533596" w14:textId="5B246581" w:rsidR="008A301F" w:rsidRPr="00FF0C8D" w:rsidRDefault="008A301F" w:rsidP="00310E65">
            <w:pPr>
              <w:spacing w:before="40" w:after="40"/>
              <w:jc w:val="left"/>
              <w:rPr>
                <w:szCs w:val="22"/>
              </w:rPr>
            </w:pPr>
            <w:r w:rsidRPr="00FF0C8D">
              <w:rPr>
                <w:szCs w:val="22"/>
              </w:rPr>
              <w:t>Peak discharge pressure 200 b</w:t>
            </w:r>
            <w:r w:rsidR="00CB75A4" w:rsidRPr="00FF0C8D">
              <w:rPr>
                <w:szCs w:val="22"/>
              </w:rPr>
              <w:t>ar</w:t>
            </w:r>
            <w:r w:rsidRPr="00FF0C8D">
              <w:rPr>
                <w:szCs w:val="22"/>
              </w:rPr>
              <w:t xml:space="preserve">.  Warm recycle 448 K.  Liquefier size </w:t>
            </w:r>
            <w:r w:rsidR="00043BC7" w:rsidRPr="00FF0C8D">
              <w:rPr>
                <w:szCs w:val="22"/>
              </w:rPr>
              <w:t>~</w:t>
            </w:r>
            <w:r w:rsidRPr="00FF0C8D">
              <w:rPr>
                <w:szCs w:val="22"/>
              </w:rPr>
              <w:t>1000 tonnes per day.</w:t>
            </w:r>
          </w:p>
        </w:tc>
      </w:tr>
      <w:tr w:rsidR="008A301F" w:rsidRPr="00FF0C8D" w14:paraId="01E325EB" w14:textId="77777777" w:rsidTr="00CD246C">
        <w:trPr>
          <w:jc w:val="center"/>
        </w:trPr>
        <w:tc>
          <w:tcPr>
            <w:tcW w:w="1857" w:type="dxa"/>
            <w:tcBorders>
              <w:bottom w:val="single" w:sz="4" w:space="0" w:color="auto"/>
            </w:tcBorders>
          </w:tcPr>
          <w:p w14:paraId="12A5164A" w14:textId="793D5220" w:rsidR="008A301F" w:rsidRPr="00FF0C8D" w:rsidRDefault="008A301F" w:rsidP="00310E65">
            <w:pPr>
              <w:spacing w:before="40" w:after="40"/>
              <w:jc w:val="left"/>
              <w:rPr>
                <w:szCs w:val="22"/>
              </w:rPr>
            </w:pPr>
            <w:proofErr w:type="spellStart"/>
            <w:r w:rsidRPr="00FF0C8D">
              <w:rPr>
                <w:szCs w:val="22"/>
              </w:rPr>
              <w:t>Sciacovelli</w:t>
            </w:r>
            <w:proofErr w:type="spellEnd"/>
            <w:r w:rsidRPr="00FF0C8D">
              <w:rPr>
                <w:szCs w:val="22"/>
              </w:rPr>
              <w:t xml:space="preserve"> et al</w:t>
            </w:r>
            <w:r w:rsidR="007009DF">
              <w:rPr>
                <w:szCs w:val="22"/>
              </w:rPr>
              <w:t>.</w:t>
            </w:r>
            <w:r w:rsidRPr="00FF0C8D">
              <w:rPr>
                <w:szCs w:val="22"/>
              </w:rPr>
              <w:t xml:space="preserve"> (2017)</w:t>
            </w:r>
          </w:p>
        </w:tc>
        <w:tc>
          <w:tcPr>
            <w:tcW w:w="1134" w:type="dxa"/>
            <w:tcBorders>
              <w:bottom w:val="single" w:sz="4" w:space="0" w:color="auto"/>
            </w:tcBorders>
          </w:tcPr>
          <w:p w14:paraId="6254D458" w14:textId="77777777" w:rsidR="008A301F" w:rsidRPr="00FF0C8D" w:rsidRDefault="008A301F" w:rsidP="00310E65">
            <w:pPr>
              <w:spacing w:before="40" w:after="40"/>
              <w:jc w:val="center"/>
              <w:rPr>
                <w:szCs w:val="22"/>
              </w:rPr>
            </w:pPr>
            <w:r w:rsidRPr="00FF0C8D">
              <w:rPr>
                <w:szCs w:val="22"/>
              </w:rPr>
              <w:t>48</w:t>
            </w:r>
          </w:p>
        </w:tc>
        <w:tc>
          <w:tcPr>
            <w:tcW w:w="1316" w:type="dxa"/>
            <w:tcBorders>
              <w:bottom w:val="single" w:sz="4" w:space="0" w:color="auto"/>
            </w:tcBorders>
          </w:tcPr>
          <w:p w14:paraId="6B632E66" w14:textId="77777777" w:rsidR="008A301F" w:rsidRPr="00FF0C8D" w:rsidRDefault="008A301F" w:rsidP="00310E65">
            <w:pPr>
              <w:spacing w:before="40" w:after="40"/>
              <w:rPr>
                <w:szCs w:val="22"/>
              </w:rPr>
            </w:pPr>
            <w:r w:rsidRPr="00FF0C8D">
              <w:rPr>
                <w:szCs w:val="22"/>
              </w:rPr>
              <w:t>Theory</w:t>
            </w:r>
          </w:p>
        </w:tc>
        <w:tc>
          <w:tcPr>
            <w:tcW w:w="4819" w:type="dxa"/>
            <w:tcBorders>
              <w:bottom w:val="single" w:sz="4" w:space="0" w:color="auto"/>
            </w:tcBorders>
          </w:tcPr>
          <w:p w14:paraId="56F7F79D" w14:textId="48A9BF84" w:rsidR="008A301F" w:rsidRPr="00FF0C8D" w:rsidRDefault="008A301F" w:rsidP="00310E65">
            <w:pPr>
              <w:spacing w:before="40" w:after="40"/>
              <w:jc w:val="left"/>
              <w:rPr>
                <w:szCs w:val="22"/>
              </w:rPr>
            </w:pPr>
            <w:r w:rsidRPr="00FF0C8D">
              <w:rPr>
                <w:szCs w:val="22"/>
              </w:rPr>
              <w:t xml:space="preserve">Charging pressure of 185 </w:t>
            </w:r>
            <w:proofErr w:type="gramStart"/>
            <w:r w:rsidRPr="00FF0C8D">
              <w:rPr>
                <w:szCs w:val="22"/>
              </w:rPr>
              <w:t>b</w:t>
            </w:r>
            <w:r w:rsidR="00CB75A4" w:rsidRPr="00FF0C8D">
              <w:rPr>
                <w:szCs w:val="22"/>
              </w:rPr>
              <w:t>ar</w:t>
            </w:r>
            <w:proofErr w:type="gramEnd"/>
            <w:r w:rsidRPr="00FF0C8D">
              <w:rPr>
                <w:szCs w:val="22"/>
              </w:rPr>
              <w:t xml:space="preserve"> and 623 K turbine inlet temperature.  Waste heat from liquefaction compressors used and stored.</w:t>
            </w:r>
          </w:p>
        </w:tc>
      </w:tr>
    </w:tbl>
    <w:p w14:paraId="023260B9" w14:textId="77777777" w:rsidR="008A301F" w:rsidRPr="005D705F" w:rsidRDefault="008A301F" w:rsidP="00690B1C">
      <w:pPr>
        <w:spacing w:after="0"/>
        <w:rPr>
          <w:rFonts w:eastAsiaTheme="minorEastAsia"/>
        </w:rPr>
      </w:pPr>
    </w:p>
    <w:p w14:paraId="3C1ACDFE" w14:textId="408496A7" w:rsidR="008A301F" w:rsidRPr="005D705F" w:rsidRDefault="008A301F" w:rsidP="008A301F">
      <w:pPr>
        <w:rPr>
          <w:rFonts w:eastAsiaTheme="minorEastAsia"/>
        </w:rPr>
      </w:pPr>
      <w:proofErr w:type="spellStart"/>
      <w:r w:rsidRPr="005D705F">
        <w:t>Sciacovelli</w:t>
      </w:r>
      <w:proofErr w:type="spellEnd"/>
      <w:r w:rsidRPr="005D705F">
        <w:t xml:space="preserve"> et al</w:t>
      </w:r>
      <w:r w:rsidR="007009DF">
        <w:t>.</w:t>
      </w:r>
      <w:r w:rsidRPr="005D705F">
        <w:t xml:space="preserve"> (2017) modelled </w:t>
      </w:r>
      <w:r w:rsidR="00561084">
        <w:t>a LAES system</w:t>
      </w:r>
      <w:r w:rsidR="00637404">
        <w:t xml:space="preserve"> </w:t>
      </w:r>
      <w:r w:rsidR="00BD608D">
        <w:t xml:space="preserve">with a </w:t>
      </w:r>
      <w:r w:rsidR="00637404">
        <w:t xml:space="preserve">predicted </w:t>
      </w:r>
      <w:r w:rsidR="00637404" w:rsidRPr="005D705F">
        <w:t>RTE of 48%</w:t>
      </w:r>
      <w:r w:rsidR="00561084">
        <w:t>.  T</w:t>
      </w:r>
      <w:r w:rsidRPr="005D705F">
        <w:t>he</w:t>
      </w:r>
      <w:r w:rsidR="00637404">
        <w:t>y</w:t>
      </w:r>
      <w:r w:rsidRPr="005D705F">
        <w:t xml:space="preserve"> </w:t>
      </w:r>
      <w:r w:rsidR="00561084">
        <w:t xml:space="preserve">modelled the </w:t>
      </w:r>
      <w:r w:rsidRPr="005D705F">
        <w:t>dynamic cycling of the cold</w:t>
      </w:r>
      <w:r w:rsidR="00B57058" w:rsidRPr="005D705F">
        <w:t>/hot</w:t>
      </w:r>
      <w:r w:rsidRPr="005D705F">
        <w:t xml:space="preserve"> </w:t>
      </w:r>
      <w:r w:rsidR="00B57058" w:rsidRPr="005D705F">
        <w:t xml:space="preserve">energy </w:t>
      </w:r>
      <w:r w:rsidRPr="005D705F">
        <w:t>storage</w:t>
      </w:r>
      <w:r w:rsidR="00637404">
        <w:t>.</w:t>
      </w:r>
      <w:r w:rsidR="00B57058" w:rsidRPr="005D705F">
        <w:t xml:space="preserve"> </w:t>
      </w:r>
      <w:r w:rsidR="00637404">
        <w:t xml:space="preserve"> T</w:t>
      </w:r>
      <w:r w:rsidR="00561084">
        <w:t xml:space="preserve">he </w:t>
      </w:r>
      <w:r w:rsidR="00B57058" w:rsidRPr="005D705F">
        <w:t xml:space="preserve">hot storage </w:t>
      </w:r>
      <w:r w:rsidR="00BD608D">
        <w:t xml:space="preserve">used heat </w:t>
      </w:r>
      <w:r w:rsidR="00B57058" w:rsidRPr="005D705F">
        <w:t xml:space="preserve">from the compressors, rather than </w:t>
      </w:r>
      <w:r w:rsidRPr="005D705F">
        <w:t>waste heat f</w:t>
      </w:r>
      <w:r w:rsidR="00561084">
        <w:t xml:space="preserve">rom an external process.  </w:t>
      </w:r>
    </w:p>
    <w:p w14:paraId="0BF4DF0C" w14:textId="18E270A1" w:rsidR="0023795D" w:rsidRPr="005D705F" w:rsidRDefault="003E033A" w:rsidP="00690B1C">
      <w:pPr>
        <w:pStyle w:val="Heading2"/>
      </w:pPr>
      <w:r w:rsidRPr="005D705F">
        <w:t>Potential</w:t>
      </w:r>
      <w:r w:rsidR="0023795D" w:rsidRPr="005D705F">
        <w:t xml:space="preserve"> energy generation scenarios for </w:t>
      </w:r>
      <w:r w:rsidRPr="005D705F">
        <w:t xml:space="preserve">a </w:t>
      </w:r>
      <w:r w:rsidR="0023795D" w:rsidRPr="005D705F">
        <w:t xml:space="preserve">cold </w:t>
      </w:r>
      <w:r w:rsidR="00BD4A36">
        <w:t>storage</w:t>
      </w:r>
      <w:r w:rsidR="00BD4A36" w:rsidRPr="005D705F">
        <w:t xml:space="preserve"> </w:t>
      </w:r>
      <w:r w:rsidR="0023795D" w:rsidRPr="005D705F">
        <w:t>warehouse</w:t>
      </w:r>
    </w:p>
    <w:p w14:paraId="0424389E" w14:textId="42079619" w:rsidR="003D310D" w:rsidRPr="005D705F" w:rsidRDefault="003D310D" w:rsidP="003D310D">
      <w:r w:rsidRPr="005D705F">
        <w:t xml:space="preserve">Two scenarios </w:t>
      </w:r>
      <w:r w:rsidR="00CE679C">
        <w:t>were</w:t>
      </w:r>
      <w:r w:rsidRPr="005D705F">
        <w:t xml:space="preserve"> considered viable for </w:t>
      </w:r>
      <w:r w:rsidR="00295509">
        <w:t>any</w:t>
      </w:r>
      <w:r w:rsidR="00295509" w:rsidRPr="005D705F">
        <w:t xml:space="preserve"> </w:t>
      </w:r>
      <w:r w:rsidRPr="005D705F">
        <w:t>CSW operator</w:t>
      </w:r>
      <w:r w:rsidR="00C776F4">
        <w:t xml:space="preserve"> who purchase</w:t>
      </w:r>
      <w:r w:rsidR="00295509">
        <w:t>s</w:t>
      </w:r>
      <w:r w:rsidR="00C776F4">
        <w:t xml:space="preserve"> and sell</w:t>
      </w:r>
      <w:r w:rsidR="00295509">
        <w:t>s</w:t>
      </w:r>
      <w:r w:rsidR="00C776F4">
        <w:t xml:space="preserve"> energy using off</w:t>
      </w:r>
      <w:r w:rsidR="00BD608D">
        <w:t>-</w:t>
      </w:r>
      <w:r w:rsidR="00C776F4">
        <w:t>peak and peak tariffs</w:t>
      </w:r>
      <w:r w:rsidRPr="005D705F">
        <w:t xml:space="preserve">.  </w:t>
      </w:r>
    </w:p>
    <w:p w14:paraId="7C9CC29D" w14:textId="38160D1B" w:rsidR="003D310D" w:rsidRPr="005D705F" w:rsidRDefault="003D310D" w:rsidP="003D310D">
      <w:r w:rsidRPr="00690B1C">
        <w:rPr>
          <w:u w:val="single"/>
        </w:rPr>
        <w:t>1. Load shift scenario</w:t>
      </w:r>
      <w:r w:rsidRPr="005D705F">
        <w:t xml:space="preserve"> – This scenario is for the CSW operator who has no RES or the RES is so small that they </w:t>
      </w:r>
      <w:r w:rsidR="0030286D" w:rsidRPr="005D705F">
        <w:t>rarely</w:t>
      </w:r>
      <w:r w:rsidRPr="005D705F">
        <w:t xml:space="preserve"> export.</w:t>
      </w:r>
      <w:r w:rsidR="00CE679C">
        <w:t xml:space="preserve">  This appeared typical in the CSWs studied to date.</w:t>
      </w:r>
      <w:r w:rsidRPr="005D705F">
        <w:t xml:space="preserve">  </w:t>
      </w:r>
      <w:r w:rsidR="0030286D" w:rsidRPr="005D705F">
        <w:t>T</w:t>
      </w:r>
      <w:r w:rsidRPr="005D705F">
        <w:t>he storage system is designed to shift the electricity import from peak to off-peak</w:t>
      </w:r>
      <w:r w:rsidR="00030708" w:rsidRPr="005D705F">
        <w:t xml:space="preserve"> times</w:t>
      </w:r>
      <w:r w:rsidR="0030286D" w:rsidRPr="005D705F">
        <w:t xml:space="preserve">, </w:t>
      </w:r>
      <w:r w:rsidR="00BD608D">
        <w:t xml:space="preserve">thereby </w:t>
      </w:r>
      <w:r w:rsidR="0030286D" w:rsidRPr="005D705F">
        <w:t>saving money.</w:t>
      </w:r>
      <w:r w:rsidRPr="005D705F">
        <w:t xml:space="preserve"> </w:t>
      </w:r>
    </w:p>
    <w:p w14:paraId="4ABCAA48" w14:textId="7178A705" w:rsidR="00F62590" w:rsidRDefault="00F62590" w:rsidP="003D310D">
      <w:r w:rsidRPr="005D705F">
        <w:t xml:space="preserve">The </w:t>
      </w:r>
      <w:r w:rsidR="0066345F">
        <w:t>avoided costs</w:t>
      </w:r>
      <w:r w:rsidR="00BD608D">
        <w:t xml:space="preserve"> (</w:t>
      </w:r>
      <w:r w:rsidR="00694492">
        <w:t>call</w:t>
      </w:r>
      <w:r w:rsidR="00BD608D">
        <w:t>ed</w:t>
      </w:r>
      <w:r w:rsidR="00694492">
        <w:t xml:space="preserve"> revenue</w:t>
      </w:r>
      <w:r w:rsidR="00BD608D">
        <w:t>)</w:t>
      </w:r>
      <w:r w:rsidRPr="005D705F">
        <w:t xml:space="preserve"> </w:t>
      </w:r>
      <w:r w:rsidR="00951F25" w:rsidRPr="005D705F">
        <w:t xml:space="preserve">per unit of electrical energy </w:t>
      </w:r>
      <w:r w:rsidR="00C15E72" w:rsidRPr="005D705F">
        <w:t xml:space="preserve">stored </w:t>
      </w:r>
      <w:r w:rsidRPr="005D705F">
        <w:t>is the difference between the cost</w:t>
      </w:r>
      <w:r w:rsidR="000F3B22">
        <w:t>s</w:t>
      </w:r>
      <w:r w:rsidRPr="005D705F">
        <w:t xml:space="preserve"> of the energy imported at </w:t>
      </w:r>
      <w:r w:rsidRPr="00304428">
        <w:t>p</w:t>
      </w:r>
      <w:r w:rsidRPr="005D705F">
        <w:t xml:space="preserve">eak </w:t>
      </w:r>
      <w:r w:rsidR="000F3B22">
        <w:t xml:space="preserve">and </w:t>
      </w:r>
      <w:r w:rsidR="000F3B22" w:rsidRPr="005D705F">
        <w:t>off</w:t>
      </w:r>
      <w:r w:rsidR="000F3B22">
        <w:t>-</w:t>
      </w:r>
      <w:r w:rsidR="000F3B22" w:rsidRPr="005D705F">
        <w:t xml:space="preserve">peak </w:t>
      </w:r>
      <w:proofErr w:type="gramStart"/>
      <w:r w:rsidRPr="005D705F">
        <w:t>tariff</w:t>
      </w:r>
      <w:r w:rsidR="000F3B22">
        <w:t>s</w:t>
      </w:r>
      <w:r w:rsidRPr="005D705F">
        <w:t xml:space="preserve"> </w:t>
      </w:r>
      <w:r w:rsidR="00412B73">
        <w:t xml:space="preserve"> </w:t>
      </w:r>
      <w:r w:rsidR="00412B73" w:rsidRPr="005D705F">
        <w:t>(</w:t>
      </w:r>
      <w:proofErr w:type="gramEnd"/>
      <w:r w:rsidR="00412B73" w:rsidRPr="005D705F">
        <w:t>taking into account the storage losses)</w:t>
      </w:r>
      <w:r w:rsidR="00F37EC0">
        <w:t>:</w:t>
      </w:r>
    </w:p>
    <w:p w14:paraId="3B50AABA" w14:textId="77777777" w:rsidR="00690B1C" w:rsidRPr="005D705F" w:rsidRDefault="00690B1C" w:rsidP="003D310D"/>
    <w:p w14:paraId="54046B61" w14:textId="543BE70F" w:rsidR="00304428" w:rsidRPr="005D705F" w:rsidRDefault="00966C6E" w:rsidP="00690B1C">
      <w:pPr>
        <w:tabs>
          <w:tab w:val="center" w:pos="4820"/>
          <w:tab w:val="right" w:pos="9638"/>
        </w:tabs>
        <w:spacing w:after="240"/>
      </w:pPr>
      <w:r>
        <w:tab/>
      </w:r>
      <m:oMath>
        <m:r>
          <w:rPr>
            <w:rFonts w:ascii="Cambria Math" w:hAnsi="Cambria Math"/>
          </w:rPr>
          <m:t>R</m:t>
        </m:r>
        <m:r>
          <m:rPr>
            <m:sty m:val="p"/>
          </m:rPr>
          <w:rPr>
            <w:rFonts w:ascii="Cambria Math" w:hAnsi="Cambria Math"/>
          </w:rPr>
          <m:t xml:space="preserve">= </m:t>
        </m:r>
        <m:r>
          <w:rPr>
            <w:rFonts w:ascii="Cambria Math" w:hAnsi="Cambria Math"/>
          </w:rPr>
          <m:t>E</m:t>
        </m:r>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p</m:t>
            </m:r>
          </m:sub>
        </m:sSub>
        <m:r>
          <m:rPr>
            <m:sty m:val="p"/>
          </m:rPr>
          <w:rPr>
            <w:rFonts w:ascii="Cambria Math" w:hAnsi="Cambria Math"/>
          </w:rPr>
          <m:t>-</m:t>
        </m:r>
        <m:f>
          <m:fPr>
            <m:ctrlPr>
              <w:rPr>
                <w:rFonts w:ascii="Cambria Math" w:hAnsi="Cambria Math"/>
              </w:rPr>
            </m:ctrlPr>
          </m:fPr>
          <m:num>
            <m:r>
              <w:rPr>
                <w:rFonts w:ascii="Cambria Math" w:hAnsi="Cambria Math"/>
              </w:rPr>
              <m:t>E</m:t>
            </m:r>
          </m:num>
          <m:den>
            <m:r>
              <w:rPr>
                <w:rFonts w:ascii="Cambria Math" w:hAnsi="Cambria Math"/>
              </w:rPr>
              <m:t>RTE</m:t>
            </m:r>
          </m:den>
        </m:f>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o</m:t>
            </m:r>
          </m:sub>
        </m:sSub>
      </m:oMath>
      <w:r w:rsidR="00304428">
        <w:tab/>
      </w:r>
      <w:r w:rsidR="00304428" w:rsidRPr="005D705F">
        <w:rPr>
          <w:rFonts w:eastAsiaTheme="minorEastAsia"/>
          <w:szCs w:val="22"/>
        </w:rPr>
        <w:t>Eq.</w:t>
      </w:r>
      <w:r w:rsidR="00304428" w:rsidRPr="005D705F">
        <w:rPr>
          <w:rFonts w:eastAsiaTheme="minorEastAsia"/>
          <w:sz w:val="18"/>
        </w:rPr>
        <w:t xml:space="preserve"> </w:t>
      </w:r>
      <w:r w:rsidR="00304428" w:rsidRPr="005D705F">
        <w:t>(2)</w:t>
      </w:r>
    </w:p>
    <w:p w14:paraId="24D9FDDA" w14:textId="05472BA1" w:rsidR="00043BC7" w:rsidRPr="005D705F" w:rsidRDefault="00F62590" w:rsidP="003D310D">
      <w:r w:rsidRPr="005D705F">
        <w:t xml:space="preserve">The minimum value of RTE </w:t>
      </w:r>
      <w:r w:rsidR="0087103D" w:rsidRPr="005D705F">
        <w:t xml:space="preserve">to provide revenue is thus the ratio of </w:t>
      </w:r>
      <w:r w:rsidR="0051653A">
        <w:t>off</w:t>
      </w:r>
      <w:r w:rsidR="0051653A" w:rsidRPr="005D705F">
        <w:t xml:space="preserve"> </w:t>
      </w:r>
      <w:r w:rsidR="0087103D" w:rsidRPr="005D705F">
        <w:t xml:space="preserve">peak </w:t>
      </w:r>
      <w:r w:rsidR="0051653A">
        <w:t>to</w:t>
      </w:r>
      <w:r w:rsidR="0066345F">
        <w:t xml:space="preserve"> </w:t>
      </w:r>
      <w:r w:rsidR="0087103D" w:rsidRPr="005D705F">
        <w:t>peak tariffs</w:t>
      </w:r>
      <w:r w:rsidR="00F37EC0">
        <w:t>:</w:t>
      </w:r>
    </w:p>
    <w:p w14:paraId="6D26B732" w14:textId="6EFB48EF" w:rsidR="0087103D" w:rsidRPr="005D705F" w:rsidRDefault="009D64BD" w:rsidP="00690B1C">
      <w:pPr>
        <w:tabs>
          <w:tab w:val="center" w:pos="4820"/>
          <w:tab w:val="right" w:pos="9638"/>
        </w:tabs>
        <w:ind w:left="4320"/>
      </w:pPr>
      <w:r>
        <w:tab/>
      </w:r>
      <w:r w:rsidR="00690B1C">
        <w:br/>
      </w:r>
      <m:oMath>
        <m:sSub>
          <m:sSubPr>
            <m:ctrlPr>
              <w:rPr>
                <w:rFonts w:ascii="Cambria Math" w:hAnsi="Cambria Math"/>
                <w:i/>
              </w:rPr>
            </m:ctrlPr>
          </m:sSubPr>
          <m:e>
            <m:r>
              <w:rPr>
                <w:rFonts w:ascii="Cambria Math" w:hAnsi="Cambria Math"/>
              </w:rPr>
              <m:t>RTE</m:t>
            </m:r>
          </m:e>
          <m:sub>
            <m:r>
              <w:rPr>
                <w:rFonts w:ascii="Cambria Math" w:hAnsi="Cambria Math"/>
              </w:rPr>
              <m:t>min</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o</m:t>
                </m:r>
              </m:sub>
            </m:sSub>
          </m:num>
          <m:den>
            <m:sSub>
              <m:sSubPr>
                <m:ctrlPr>
                  <w:rPr>
                    <w:rFonts w:ascii="Cambria Math" w:hAnsi="Cambria Math"/>
                    <w:i/>
                  </w:rPr>
                </m:ctrlPr>
              </m:sSubPr>
              <m:e>
                <m:r>
                  <w:rPr>
                    <w:rFonts w:ascii="Cambria Math" w:hAnsi="Cambria Math"/>
                  </w:rPr>
                  <m:t>T</m:t>
                </m:r>
              </m:e>
              <m:sub>
                <m:r>
                  <w:rPr>
                    <w:rFonts w:ascii="Cambria Math" w:hAnsi="Cambria Math"/>
                  </w:rPr>
                  <m:t>p</m:t>
                </m:r>
              </m:sub>
            </m:sSub>
          </m:den>
        </m:f>
      </m:oMath>
      <w:r w:rsidR="00690B1C">
        <w:tab/>
      </w:r>
      <w:r w:rsidR="00DA1BAF" w:rsidRPr="005D705F">
        <w:rPr>
          <w:rFonts w:eastAsiaTheme="minorEastAsia"/>
          <w:szCs w:val="22"/>
        </w:rPr>
        <w:t>Eq.</w:t>
      </w:r>
      <w:r w:rsidR="00DA1BAF" w:rsidRPr="005D705F">
        <w:rPr>
          <w:rFonts w:eastAsiaTheme="minorEastAsia"/>
          <w:sz w:val="18"/>
        </w:rPr>
        <w:t xml:space="preserve"> </w:t>
      </w:r>
      <w:r w:rsidR="00936377" w:rsidRPr="005D705F">
        <w:t>(</w:t>
      </w:r>
      <w:r w:rsidR="00FE69EC">
        <w:t>3</w:t>
      </w:r>
      <w:r w:rsidR="00936377" w:rsidRPr="005D705F">
        <w:t>)</w:t>
      </w:r>
    </w:p>
    <w:p w14:paraId="4319554F" w14:textId="37971D6D" w:rsidR="00C66AC5" w:rsidRPr="005D705F" w:rsidRDefault="00C66AC5" w:rsidP="00C66AC5">
      <w:r w:rsidRPr="00690B1C">
        <w:rPr>
          <w:u w:val="single"/>
        </w:rPr>
        <w:t>2. Avoiding ‘feed in’ scenario</w:t>
      </w:r>
      <w:r w:rsidRPr="005D705F">
        <w:t xml:space="preserve"> – This scenario </w:t>
      </w:r>
      <w:r w:rsidR="0051653A">
        <w:t xml:space="preserve">applies </w:t>
      </w:r>
      <w:r w:rsidRPr="005D705F">
        <w:t>where the CSW has a large amount of RES and regularl</w:t>
      </w:r>
      <w:r w:rsidR="00C776F4">
        <w:t xml:space="preserve">y exports electricity.  For this </w:t>
      </w:r>
      <w:r w:rsidRPr="005D705F">
        <w:t xml:space="preserve">scenario the CSW would store </w:t>
      </w:r>
      <w:r w:rsidR="0051653A">
        <w:t xml:space="preserve">renewable energy </w:t>
      </w:r>
      <w:r w:rsidRPr="005D705F">
        <w:t xml:space="preserve">and use </w:t>
      </w:r>
      <w:r w:rsidR="00595B82">
        <w:t xml:space="preserve">it </w:t>
      </w:r>
      <w:r w:rsidRPr="005D705F">
        <w:t>later</w:t>
      </w:r>
      <w:r w:rsidR="00595B82">
        <w:t>,</w:t>
      </w:r>
      <w:r w:rsidRPr="005D705F">
        <w:t xml:space="preserve"> when required, rather than export energy, as the export tariff is </w:t>
      </w:r>
      <w:r w:rsidR="00043BC7">
        <w:t xml:space="preserve">generally </w:t>
      </w:r>
      <w:r w:rsidRPr="005D705F">
        <w:t xml:space="preserve">much lower than the import tariff.  </w:t>
      </w:r>
    </w:p>
    <w:p w14:paraId="5153E434" w14:textId="199200C3" w:rsidR="00C66AC5" w:rsidRPr="005D705F" w:rsidRDefault="00CE679C" w:rsidP="00C66AC5">
      <w:r>
        <w:lastRenderedPageBreak/>
        <w:t>W</w:t>
      </w:r>
      <w:r w:rsidR="00C66AC5" w:rsidRPr="005D705F">
        <w:t xml:space="preserve">ithout storage, energy would normally be both imported and exported </w:t>
      </w:r>
      <w:r w:rsidR="0051653A">
        <w:t xml:space="preserve">but </w:t>
      </w:r>
      <w:r w:rsidR="00C66AC5" w:rsidRPr="005D705F">
        <w:t>at different times, depend</w:t>
      </w:r>
      <w:r w:rsidR="0051653A">
        <w:t>e</w:t>
      </w:r>
      <w:r w:rsidR="00C66AC5" w:rsidRPr="005D705F">
        <w:t xml:space="preserve">nt on whether there is a deficit </w:t>
      </w:r>
      <w:r w:rsidR="0051653A">
        <w:t>or s</w:t>
      </w:r>
      <w:bookmarkStart w:id="6" w:name="_GoBack"/>
      <w:bookmarkEnd w:id="6"/>
      <w:r w:rsidR="0051653A">
        <w:t xml:space="preserve">urplus </w:t>
      </w:r>
      <w:r w:rsidR="00C66AC5" w:rsidRPr="005D705F">
        <w:t>in RES</w:t>
      </w:r>
      <w:r w:rsidR="0051653A">
        <w:t xml:space="preserve"> respectively</w:t>
      </w:r>
      <w:r w:rsidR="00C66AC5" w:rsidRPr="005D705F">
        <w:t xml:space="preserve">.  </w:t>
      </w:r>
      <w:proofErr w:type="gramStart"/>
      <w:r w:rsidR="00C66AC5" w:rsidRPr="005D705F">
        <w:t>When</w:t>
      </w:r>
      <w:r w:rsidR="00FE69EC">
        <w:t xml:space="preserve"> </w:t>
      </w:r>
      <w:proofErr w:type="gramEnd"/>
      <m:oMath>
        <m:sSub>
          <m:sSubPr>
            <m:ctrlPr>
              <w:rPr>
                <w:rFonts w:ascii="Cambria Math" w:hAnsi="Cambria Math"/>
                <w:i/>
              </w:rPr>
            </m:ctrlPr>
          </m:sSubPr>
          <m:e>
            <m:r>
              <w:rPr>
                <w:rFonts w:ascii="Cambria Math" w:hAnsi="Cambria Math"/>
              </w:rPr>
              <m:t>P</m:t>
            </m:r>
          </m:e>
          <m:sub>
            <m:r>
              <w:rPr>
                <w:rFonts w:ascii="Cambria Math" w:hAnsi="Cambria Math"/>
              </w:rPr>
              <m:t>CSW</m:t>
            </m:r>
          </m:sub>
        </m:sSub>
        <m:sSub>
          <m:sSubPr>
            <m:ctrlPr>
              <w:rPr>
                <w:rFonts w:ascii="Cambria Math" w:hAnsi="Cambria Math"/>
                <w:i/>
              </w:rPr>
            </m:ctrlPr>
          </m:sSubPr>
          <m:e>
            <m:r>
              <w:rPr>
                <w:rFonts w:ascii="Cambria Math" w:hAnsi="Cambria Math"/>
              </w:rPr>
              <m:t>&gt;P</m:t>
            </m:r>
          </m:e>
          <m:sub>
            <m:r>
              <w:rPr>
                <w:rFonts w:ascii="Cambria Math" w:hAnsi="Cambria Math"/>
              </w:rPr>
              <m:t>RES</m:t>
            </m:r>
          </m:sub>
        </m:sSub>
      </m:oMath>
      <w:r w:rsidR="00595B82">
        <w:t>,</w:t>
      </w:r>
      <w:r w:rsidR="00FE69EC">
        <w:t xml:space="preserve"> </w:t>
      </w:r>
      <w:r w:rsidR="00C66AC5" w:rsidRPr="005D705F">
        <w:t xml:space="preserve">the CSW would import energy.  </w:t>
      </w:r>
      <w:proofErr w:type="gramStart"/>
      <w:r w:rsidR="00C66AC5" w:rsidRPr="005D705F">
        <w:t xml:space="preserve">When </w:t>
      </w:r>
      <w:proofErr w:type="gramEnd"/>
      <m:oMath>
        <m:sSub>
          <m:sSubPr>
            <m:ctrlPr>
              <w:rPr>
                <w:rFonts w:ascii="Cambria Math" w:hAnsi="Cambria Math"/>
                <w:i/>
              </w:rPr>
            </m:ctrlPr>
          </m:sSubPr>
          <m:e>
            <m:r>
              <w:rPr>
                <w:rFonts w:ascii="Cambria Math" w:hAnsi="Cambria Math"/>
              </w:rPr>
              <m:t>P</m:t>
            </m:r>
          </m:e>
          <m:sub>
            <m:r>
              <w:rPr>
                <w:rFonts w:ascii="Cambria Math" w:hAnsi="Cambria Math"/>
              </w:rPr>
              <m:t>CSW</m:t>
            </m:r>
          </m:sub>
        </m:sSub>
        <m:sSub>
          <m:sSubPr>
            <m:ctrlPr>
              <w:rPr>
                <w:rFonts w:ascii="Cambria Math" w:hAnsi="Cambria Math"/>
                <w:i/>
              </w:rPr>
            </m:ctrlPr>
          </m:sSubPr>
          <m:e>
            <m:r>
              <w:rPr>
                <w:rFonts w:ascii="Cambria Math" w:hAnsi="Cambria Math"/>
              </w:rPr>
              <m:t>&lt;P</m:t>
            </m:r>
          </m:e>
          <m:sub>
            <m:r>
              <w:rPr>
                <w:rFonts w:ascii="Cambria Math" w:hAnsi="Cambria Math"/>
              </w:rPr>
              <m:t>RES</m:t>
            </m:r>
          </m:sub>
        </m:sSub>
      </m:oMath>
      <w:r w:rsidR="00595B82">
        <w:t>,</w:t>
      </w:r>
      <w:r w:rsidR="00FE69EC">
        <w:t xml:space="preserve"> </w:t>
      </w:r>
      <w:r w:rsidR="00C66AC5" w:rsidRPr="005D705F">
        <w:t>the CSW would export energy.</w:t>
      </w:r>
    </w:p>
    <w:p w14:paraId="66834301" w14:textId="3C80A66E" w:rsidR="00C66AC5" w:rsidRPr="005D705F" w:rsidRDefault="00C66AC5" w:rsidP="00F05E19">
      <w:pPr>
        <w:spacing w:after="240"/>
      </w:pPr>
      <w:r w:rsidRPr="005D705F">
        <w:t>The purpose of storage would be to use as much as possible of the RES generated energy</w:t>
      </w:r>
      <w:r w:rsidR="00CF78C9">
        <w:t xml:space="preserve"> on site</w:t>
      </w:r>
      <w:r w:rsidRPr="005D705F">
        <w:t xml:space="preserve">, instead of selling </w:t>
      </w:r>
      <w:r w:rsidR="00595B82">
        <w:t>or</w:t>
      </w:r>
      <w:r w:rsidR="00595B82" w:rsidRPr="005D705F">
        <w:t xml:space="preserve"> </w:t>
      </w:r>
      <w:r w:rsidRPr="005D705F">
        <w:t xml:space="preserve">purchasing </w:t>
      </w:r>
      <w:r w:rsidR="00CF78C9">
        <w:t>it</w:t>
      </w:r>
      <w:r w:rsidR="00F31E0B">
        <w:t xml:space="preserve">. </w:t>
      </w:r>
      <w:r w:rsidRPr="005D705F">
        <w:t>The revenue generated by energy storage is the instantaneous difference between the cost</w:t>
      </w:r>
      <w:r w:rsidR="00CF78C9">
        <w:t xml:space="preserve">s of imported and exported energy </w:t>
      </w:r>
      <w:r w:rsidRPr="005D705F">
        <w:t>when there is no storage, integrat</w:t>
      </w:r>
      <w:r w:rsidRPr="00304428">
        <w:t>e</w:t>
      </w:r>
      <w:r w:rsidRPr="005D705F">
        <w:t>d over time</w:t>
      </w:r>
      <w:r w:rsidR="00CF78C9">
        <w:t>:</w:t>
      </w:r>
      <w:r w:rsidR="00CF78C9" w:rsidRPr="005D705F">
        <w:t xml:space="preserve">  </w:t>
      </w:r>
    </w:p>
    <w:p w14:paraId="54AE5B19" w14:textId="259F9037" w:rsidR="00C66AC5" w:rsidRPr="005D705F" w:rsidRDefault="00797FDA" w:rsidP="00F05E19">
      <w:pPr>
        <w:tabs>
          <w:tab w:val="center" w:pos="4820"/>
          <w:tab w:val="right" w:pos="9638"/>
        </w:tabs>
        <w:ind w:left="2160"/>
        <w:jc w:val="left"/>
      </w:pPr>
      <w:r>
        <w:tab/>
      </w:r>
      <m:oMath>
        <m:r>
          <w:rPr>
            <w:rFonts w:ascii="Cambria Math" w:hAnsi="Cambria Math"/>
          </w:rPr>
          <m:t xml:space="preserve">R= </m:t>
        </m:r>
        <m:nary>
          <m:naryPr>
            <m:limLoc m:val="subSup"/>
            <m:ctrlPr>
              <w:rPr>
                <w:rFonts w:ascii="Cambria Math" w:hAnsi="Cambria Math"/>
                <w:i/>
              </w:rPr>
            </m:ctrlPr>
          </m:naryPr>
          <m:sub>
            <m:r>
              <w:rPr>
                <w:rFonts w:ascii="Cambria Math" w:hAnsi="Cambria Math"/>
              </w:rPr>
              <m:t>0</m:t>
            </m:r>
          </m:sub>
          <m:sup>
            <m:r>
              <w:rPr>
                <w:rFonts w:ascii="Cambria Math" w:hAnsi="Cambria Math"/>
              </w:rPr>
              <m:t>t</m:t>
            </m:r>
          </m:sup>
          <m:e>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i</m:t>
                </m:r>
              </m:sub>
            </m:sSub>
            <m:d>
              <m:dPr>
                <m:ctrlPr>
                  <w:rPr>
                    <w:rFonts w:ascii="Cambria Math" w:hAnsi="Cambria Math"/>
                    <w:i/>
                  </w:rPr>
                </m:ctrlPr>
              </m:dPr>
              <m:e>
                <m:r>
                  <w:rPr>
                    <w:rFonts w:ascii="Cambria Math" w:hAnsi="Cambria Math"/>
                  </w:rPr>
                  <m:t>t</m:t>
                </m:r>
              </m:e>
            </m:d>
            <m:r>
              <w:rPr>
                <w:rFonts w:ascii="Cambria Math" w:hAnsi="Cambria Math"/>
              </w:rPr>
              <m:t>∙</m:t>
            </m:r>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d>
              <m:dPr>
                <m:ctrlPr>
                  <w:rPr>
                    <w:rFonts w:ascii="Cambria Math" w:hAnsi="Cambria Math"/>
                    <w:i/>
                  </w:rPr>
                </m:ctrlPr>
              </m:dPr>
              <m:e>
                <m:r>
                  <w:rPr>
                    <w:rFonts w:ascii="Cambria Math" w:hAnsi="Cambria Math"/>
                  </w:rPr>
                  <m:t>t</m:t>
                </m:r>
              </m:e>
            </m:d>
          </m:e>
        </m:nary>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e</m:t>
            </m:r>
          </m:sub>
        </m:sSub>
        <m:d>
          <m:dPr>
            <m:ctrlPr>
              <w:rPr>
                <w:rFonts w:ascii="Cambria Math" w:hAnsi="Cambria Math"/>
                <w:i/>
              </w:rPr>
            </m:ctrlPr>
          </m:dPr>
          <m:e>
            <m:r>
              <w:rPr>
                <w:rFonts w:ascii="Cambria Math" w:hAnsi="Cambria Math"/>
              </w:rPr>
              <m:t>t</m:t>
            </m:r>
          </m:e>
        </m:d>
        <m:r>
          <w:rPr>
            <w:rFonts w:ascii="Cambria Math" w:hAnsi="Cambria Math"/>
          </w:rPr>
          <m:t xml:space="preserve"> </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i</m:t>
                </m:r>
              </m:sub>
            </m:sSub>
          </m:num>
          <m:den>
            <m:r>
              <w:rPr>
                <w:rFonts w:ascii="Cambria Math" w:hAnsi="Cambria Math"/>
              </w:rPr>
              <m:t>RTE</m:t>
            </m:r>
          </m:den>
        </m:f>
        <m:r>
          <w:rPr>
            <w:rFonts w:ascii="Cambria Math" w:hAnsi="Cambria Math"/>
          </w:rPr>
          <m:t>(t)] dt</m:t>
        </m:r>
      </m:oMath>
      <w:r w:rsidR="007D3B1F">
        <w:tab/>
      </w:r>
      <w:r w:rsidR="00DA1BAF" w:rsidRPr="005D705F">
        <w:rPr>
          <w:rFonts w:eastAsiaTheme="minorEastAsia"/>
          <w:szCs w:val="22"/>
        </w:rPr>
        <w:t>Eq.</w:t>
      </w:r>
      <w:r w:rsidR="00DA1BAF" w:rsidRPr="005D705F">
        <w:rPr>
          <w:rFonts w:eastAsiaTheme="minorEastAsia"/>
          <w:sz w:val="18"/>
        </w:rPr>
        <w:t xml:space="preserve"> </w:t>
      </w:r>
      <w:r w:rsidR="00936377" w:rsidRPr="005D705F">
        <w:t>(</w:t>
      </w:r>
      <w:r w:rsidR="00761680">
        <w:t>4</w:t>
      </w:r>
      <w:r w:rsidR="00936377" w:rsidRPr="005D705F">
        <w:t>)</w:t>
      </w:r>
    </w:p>
    <w:p w14:paraId="1521F35A" w14:textId="3C56CE6E" w:rsidR="00284EEA" w:rsidRPr="005D705F" w:rsidRDefault="00284EEA" w:rsidP="005D0973">
      <w:pPr>
        <w:pStyle w:val="Heading2"/>
      </w:pPr>
      <w:r w:rsidRPr="005D705F">
        <w:t>Tariffs</w:t>
      </w:r>
    </w:p>
    <w:p w14:paraId="5D76B8BA" w14:textId="591DF119" w:rsidR="007B1C72" w:rsidRPr="00B039C0" w:rsidRDefault="00B97842" w:rsidP="00B039C0">
      <w:pPr>
        <w:spacing w:after="240"/>
      </w:pPr>
      <w:r w:rsidRPr="005D0973">
        <w:t xml:space="preserve">Electricity import and export tariffs were gathered for </w:t>
      </w:r>
      <w:r w:rsidR="00F67133">
        <w:t xml:space="preserve">selected </w:t>
      </w:r>
      <w:r w:rsidRPr="005D0973">
        <w:t>CSWs in 3 countri</w:t>
      </w:r>
      <w:r w:rsidR="00030708" w:rsidRPr="005D0973">
        <w:t>es</w:t>
      </w:r>
      <w:r w:rsidR="00BD4A36">
        <w:t xml:space="preserve"> -</w:t>
      </w:r>
      <w:r w:rsidR="00030708" w:rsidRPr="005D0973">
        <w:t xml:space="preserve"> Belgium, UK and Hungary </w:t>
      </w:r>
      <w:r w:rsidR="00BD4A36" w:rsidRPr="00BD4A36">
        <w:t>(</w:t>
      </w:r>
      <w:r w:rsidR="007765B9" w:rsidRPr="007765B9">
        <w:t>Table 2</w:t>
      </w:r>
      <w:r w:rsidR="00030708" w:rsidRPr="00F11B7B">
        <w:t xml:space="preserve">). </w:t>
      </w:r>
      <w:r w:rsidR="00030708" w:rsidRPr="00AF2155">
        <w:t xml:space="preserve"> </w:t>
      </w:r>
      <w:r w:rsidR="0062502F" w:rsidRPr="00AF2155">
        <w:t xml:space="preserve">Two of the three </w:t>
      </w:r>
      <w:r w:rsidR="00FC00B4" w:rsidRPr="00AF2155">
        <w:t>CSWs</w:t>
      </w:r>
      <w:r w:rsidR="00B51DB6" w:rsidRPr="00AF2155">
        <w:t xml:space="preserve"> investigated</w:t>
      </w:r>
      <w:r w:rsidR="00284EEA" w:rsidRPr="00AF2155">
        <w:t xml:space="preserve"> </w:t>
      </w:r>
      <w:r w:rsidR="0062502F" w:rsidRPr="00AF2155">
        <w:t>had</w:t>
      </w:r>
      <w:r w:rsidR="00284EEA" w:rsidRPr="00AF2155">
        <w:t xml:space="preserve"> two energy tariff periods. </w:t>
      </w:r>
      <w:r w:rsidR="000D797C" w:rsidRPr="00AF2155">
        <w:t>Typically</w:t>
      </w:r>
      <w:r w:rsidR="00F67133">
        <w:t>,</w:t>
      </w:r>
      <w:r w:rsidR="000D797C" w:rsidRPr="00AF2155">
        <w:t xml:space="preserve"> off</w:t>
      </w:r>
      <w:r w:rsidR="00F67133">
        <w:t>-</w:t>
      </w:r>
      <w:r w:rsidR="000D797C" w:rsidRPr="005D0973">
        <w:t xml:space="preserve">peak tariff was between 10 </w:t>
      </w:r>
      <w:r w:rsidR="00570BA6" w:rsidRPr="005D0973">
        <w:t>p.m.</w:t>
      </w:r>
      <w:r w:rsidR="000D797C" w:rsidRPr="005D0973">
        <w:t xml:space="preserve"> and 6 a.m.  </w:t>
      </w:r>
      <w:r w:rsidR="0062502F" w:rsidRPr="005D0973">
        <w:t>T</w:t>
      </w:r>
      <w:r w:rsidR="001F1A5F" w:rsidRPr="005D0973">
        <w:t xml:space="preserve">he one in Hungary had a single tariff.  Only the Belgium site </w:t>
      </w:r>
      <w:r w:rsidR="002B2D46" w:rsidRPr="005D0973">
        <w:t>had a variable export tariff.  The e</w:t>
      </w:r>
      <w:r w:rsidR="001F1A5F" w:rsidRPr="005D0973">
        <w:t xml:space="preserve">xport </w:t>
      </w:r>
      <w:r w:rsidR="002B2D46" w:rsidRPr="005D0973">
        <w:t xml:space="preserve">tariff </w:t>
      </w:r>
      <w:r w:rsidR="001F1A5F" w:rsidRPr="005D0973">
        <w:t xml:space="preserve">was always lower than </w:t>
      </w:r>
      <w:r w:rsidR="002B2D46" w:rsidRPr="005D0973">
        <w:t xml:space="preserve">the </w:t>
      </w:r>
      <w:r w:rsidR="001F1A5F" w:rsidRPr="005D0973">
        <w:t xml:space="preserve">import </w:t>
      </w:r>
      <w:r w:rsidR="002B2D46" w:rsidRPr="005D0973">
        <w:t>tariff</w:t>
      </w:r>
      <w:r w:rsidR="001F1A5F" w:rsidRPr="005D0973">
        <w:t>.</w:t>
      </w:r>
    </w:p>
    <w:p w14:paraId="68518E6F" w14:textId="2FBFD6CE" w:rsidR="007B1C72" w:rsidRPr="0047019B" w:rsidRDefault="007B1C72" w:rsidP="007B1C72">
      <w:pPr>
        <w:spacing w:after="0"/>
        <w:jc w:val="center"/>
        <w:rPr>
          <w:b/>
          <w:lang w:eastAsia="en-US"/>
        </w:rPr>
      </w:pPr>
      <w:proofErr w:type="gramStart"/>
      <w:r w:rsidRPr="0047019B">
        <w:rPr>
          <w:b/>
        </w:rPr>
        <w:t xml:space="preserve">Table </w:t>
      </w:r>
      <w:r w:rsidRPr="0047019B">
        <w:rPr>
          <w:b/>
        </w:rPr>
        <w:fldChar w:fldCharType="begin"/>
      </w:r>
      <w:r w:rsidRPr="0047019B">
        <w:rPr>
          <w:b/>
        </w:rPr>
        <w:instrText xml:space="preserve"> SEQ Table \* ARABIC </w:instrText>
      </w:r>
      <w:r w:rsidRPr="0047019B">
        <w:rPr>
          <w:b/>
        </w:rPr>
        <w:fldChar w:fldCharType="separate"/>
      </w:r>
      <w:r w:rsidR="00623C28">
        <w:rPr>
          <w:b/>
          <w:noProof/>
        </w:rPr>
        <w:t>2</w:t>
      </w:r>
      <w:r w:rsidRPr="0047019B">
        <w:rPr>
          <w:b/>
          <w:noProof/>
        </w:rPr>
        <w:fldChar w:fldCharType="end"/>
      </w:r>
      <w:r w:rsidR="00CF60ED">
        <w:rPr>
          <w:b/>
          <w:noProof/>
        </w:rPr>
        <w:t>.</w:t>
      </w:r>
      <w:proofErr w:type="gramEnd"/>
      <w:r w:rsidRPr="0047019B">
        <w:rPr>
          <w:b/>
        </w:rPr>
        <w:t xml:space="preserve">  Electrical energy tariffs for the 3 regions.</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1040"/>
        <w:gridCol w:w="1276"/>
        <w:gridCol w:w="1275"/>
      </w:tblGrid>
      <w:tr w:rsidR="007B1C72" w:rsidRPr="007C3122" w14:paraId="02E2F9C6" w14:textId="77777777" w:rsidTr="004F7FF4">
        <w:trPr>
          <w:jc w:val="center"/>
        </w:trPr>
        <w:tc>
          <w:tcPr>
            <w:tcW w:w="2176" w:type="dxa"/>
            <w:tcBorders>
              <w:top w:val="single" w:sz="4" w:space="0" w:color="auto"/>
              <w:bottom w:val="single" w:sz="4" w:space="0" w:color="auto"/>
            </w:tcBorders>
          </w:tcPr>
          <w:p w14:paraId="1BD22606" w14:textId="77777777" w:rsidR="007B1C72" w:rsidRPr="007C3122" w:rsidRDefault="007B1C72" w:rsidP="004F7FF4">
            <w:pPr>
              <w:spacing w:before="40" w:after="40"/>
              <w:rPr>
                <w:b/>
                <w:szCs w:val="22"/>
              </w:rPr>
            </w:pPr>
            <w:r w:rsidRPr="007C3122">
              <w:rPr>
                <w:b/>
                <w:szCs w:val="22"/>
              </w:rPr>
              <w:t>Price per (€.kWh</w:t>
            </w:r>
            <w:r w:rsidRPr="007C3122">
              <w:rPr>
                <w:b/>
                <w:szCs w:val="22"/>
                <w:vertAlign w:val="superscript"/>
              </w:rPr>
              <w:t>-1</w:t>
            </w:r>
            <w:r w:rsidRPr="007C3122">
              <w:rPr>
                <w:b/>
                <w:szCs w:val="22"/>
              </w:rPr>
              <w:t xml:space="preserve">) </w:t>
            </w:r>
          </w:p>
        </w:tc>
        <w:tc>
          <w:tcPr>
            <w:tcW w:w="1040" w:type="dxa"/>
            <w:tcBorders>
              <w:top w:val="single" w:sz="4" w:space="0" w:color="auto"/>
              <w:bottom w:val="single" w:sz="4" w:space="0" w:color="auto"/>
            </w:tcBorders>
          </w:tcPr>
          <w:p w14:paraId="680964A8" w14:textId="77777777" w:rsidR="007B1C72" w:rsidRPr="007C3122" w:rsidRDefault="007B1C72" w:rsidP="004F7FF4">
            <w:pPr>
              <w:spacing w:before="40" w:after="40"/>
              <w:jc w:val="center"/>
              <w:rPr>
                <w:b/>
                <w:szCs w:val="22"/>
              </w:rPr>
            </w:pPr>
            <w:r w:rsidRPr="007C3122">
              <w:rPr>
                <w:b/>
                <w:szCs w:val="22"/>
              </w:rPr>
              <w:t>Belgium</w:t>
            </w:r>
          </w:p>
        </w:tc>
        <w:tc>
          <w:tcPr>
            <w:tcW w:w="1276" w:type="dxa"/>
            <w:tcBorders>
              <w:top w:val="single" w:sz="4" w:space="0" w:color="auto"/>
              <w:bottom w:val="single" w:sz="4" w:space="0" w:color="auto"/>
            </w:tcBorders>
          </w:tcPr>
          <w:p w14:paraId="4B676EE0" w14:textId="77777777" w:rsidR="007B1C72" w:rsidRPr="007C3122" w:rsidRDefault="007B1C72" w:rsidP="004F7FF4">
            <w:pPr>
              <w:spacing w:before="40" w:after="40"/>
              <w:jc w:val="center"/>
              <w:rPr>
                <w:b/>
                <w:szCs w:val="22"/>
              </w:rPr>
            </w:pPr>
            <w:r w:rsidRPr="007C3122">
              <w:rPr>
                <w:b/>
                <w:szCs w:val="22"/>
              </w:rPr>
              <w:t>UK</w:t>
            </w:r>
          </w:p>
        </w:tc>
        <w:tc>
          <w:tcPr>
            <w:tcW w:w="1275" w:type="dxa"/>
            <w:tcBorders>
              <w:top w:val="single" w:sz="4" w:space="0" w:color="auto"/>
              <w:bottom w:val="single" w:sz="4" w:space="0" w:color="auto"/>
            </w:tcBorders>
          </w:tcPr>
          <w:p w14:paraId="5A156C27" w14:textId="77777777" w:rsidR="007B1C72" w:rsidRPr="007C3122" w:rsidRDefault="007B1C72" w:rsidP="004F7FF4">
            <w:pPr>
              <w:spacing w:before="40" w:after="40"/>
              <w:jc w:val="center"/>
              <w:rPr>
                <w:b/>
                <w:szCs w:val="22"/>
              </w:rPr>
            </w:pPr>
            <w:r w:rsidRPr="007C3122">
              <w:rPr>
                <w:b/>
                <w:szCs w:val="22"/>
              </w:rPr>
              <w:t>Hungary</w:t>
            </w:r>
          </w:p>
        </w:tc>
      </w:tr>
      <w:tr w:rsidR="007B1C72" w:rsidRPr="007C3122" w14:paraId="1CBFC9AE" w14:textId="77777777" w:rsidTr="004F7FF4">
        <w:trPr>
          <w:jc w:val="center"/>
        </w:trPr>
        <w:tc>
          <w:tcPr>
            <w:tcW w:w="2176" w:type="dxa"/>
            <w:tcBorders>
              <w:top w:val="single" w:sz="4" w:space="0" w:color="auto"/>
            </w:tcBorders>
          </w:tcPr>
          <w:p w14:paraId="5894E018" w14:textId="77777777" w:rsidR="007B1C72" w:rsidRPr="007C3122" w:rsidRDefault="007B1C72" w:rsidP="004F7FF4">
            <w:pPr>
              <w:spacing w:before="40" w:after="40"/>
              <w:rPr>
                <w:szCs w:val="22"/>
              </w:rPr>
            </w:pPr>
            <w:r w:rsidRPr="007C3122">
              <w:rPr>
                <w:szCs w:val="22"/>
              </w:rPr>
              <w:t>Import off peak</w:t>
            </w:r>
          </w:p>
        </w:tc>
        <w:tc>
          <w:tcPr>
            <w:tcW w:w="1040" w:type="dxa"/>
            <w:tcBorders>
              <w:top w:val="single" w:sz="4" w:space="0" w:color="auto"/>
            </w:tcBorders>
          </w:tcPr>
          <w:p w14:paraId="6265D747" w14:textId="77777777" w:rsidR="007B1C72" w:rsidRPr="007C3122" w:rsidRDefault="007B1C72" w:rsidP="004F7FF4">
            <w:pPr>
              <w:spacing w:before="40" w:after="40"/>
              <w:jc w:val="center"/>
              <w:rPr>
                <w:szCs w:val="22"/>
              </w:rPr>
            </w:pPr>
            <w:r w:rsidRPr="007C3122">
              <w:rPr>
                <w:szCs w:val="22"/>
              </w:rPr>
              <w:t>0.0861</w:t>
            </w:r>
          </w:p>
        </w:tc>
        <w:tc>
          <w:tcPr>
            <w:tcW w:w="1276" w:type="dxa"/>
            <w:tcBorders>
              <w:top w:val="single" w:sz="4" w:space="0" w:color="auto"/>
            </w:tcBorders>
          </w:tcPr>
          <w:p w14:paraId="7800B879" w14:textId="77777777" w:rsidR="007B1C72" w:rsidRPr="007C3122" w:rsidRDefault="007B1C72" w:rsidP="004F7FF4">
            <w:pPr>
              <w:spacing w:before="40" w:after="40"/>
              <w:jc w:val="center"/>
              <w:rPr>
                <w:szCs w:val="22"/>
              </w:rPr>
            </w:pPr>
            <w:r w:rsidRPr="007C3122">
              <w:rPr>
                <w:szCs w:val="22"/>
              </w:rPr>
              <w:t>0.0741912</w:t>
            </w:r>
          </w:p>
        </w:tc>
        <w:tc>
          <w:tcPr>
            <w:tcW w:w="1275" w:type="dxa"/>
            <w:tcBorders>
              <w:top w:val="single" w:sz="4" w:space="0" w:color="auto"/>
            </w:tcBorders>
          </w:tcPr>
          <w:p w14:paraId="4EB1F98F" w14:textId="77777777" w:rsidR="007B1C72" w:rsidRPr="007C3122" w:rsidRDefault="007B1C72" w:rsidP="004F7FF4">
            <w:pPr>
              <w:spacing w:before="40" w:after="40"/>
              <w:jc w:val="center"/>
              <w:rPr>
                <w:szCs w:val="22"/>
              </w:rPr>
            </w:pPr>
            <w:r w:rsidRPr="007C3122">
              <w:rPr>
                <w:szCs w:val="22"/>
              </w:rPr>
              <w:t>0.074778</w:t>
            </w:r>
          </w:p>
        </w:tc>
      </w:tr>
      <w:tr w:rsidR="007B1C72" w:rsidRPr="007C3122" w14:paraId="09830800" w14:textId="77777777" w:rsidTr="004F7FF4">
        <w:trPr>
          <w:jc w:val="center"/>
        </w:trPr>
        <w:tc>
          <w:tcPr>
            <w:tcW w:w="2176" w:type="dxa"/>
          </w:tcPr>
          <w:p w14:paraId="04A8CCD1" w14:textId="77777777" w:rsidR="007B1C72" w:rsidRPr="007C3122" w:rsidRDefault="007B1C72" w:rsidP="004F7FF4">
            <w:pPr>
              <w:spacing w:before="40" w:after="40"/>
              <w:rPr>
                <w:szCs w:val="22"/>
              </w:rPr>
            </w:pPr>
            <w:r w:rsidRPr="007C3122">
              <w:rPr>
                <w:szCs w:val="22"/>
              </w:rPr>
              <w:t>Import peak</w:t>
            </w:r>
          </w:p>
        </w:tc>
        <w:tc>
          <w:tcPr>
            <w:tcW w:w="1040" w:type="dxa"/>
          </w:tcPr>
          <w:p w14:paraId="5AC60EAB" w14:textId="77777777" w:rsidR="007B1C72" w:rsidRPr="007C3122" w:rsidRDefault="007B1C72" w:rsidP="004F7FF4">
            <w:pPr>
              <w:spacing w:before="40" w:after="40"/>
              <w:jc w:val="center"/>
              <w:rPr>
                <w:szCs w:val="22"/>
              </w:rPr>
            </w:pPr>
            <w:r w:rsidRPr="007C3122">
              <w:rPr>
                <w:szCs w:val="22"/>
              </w:rPr>
              <w:t>0.10545</w:t>
            </w:r>
          </w:p>
        </w:tc>
        <w:tc>
          <w:tcPr>
            <w:tcW w:w="1276" w:type="dxa"/>
          </w:tcPr>
          <w:p w14:paraId="7B2D9E6B" w14:textId="77777777" w:rsidR="007B1C72" w:rsidRPr="007C3122" w:rsidRDefault="007B1C72" w:rsidP="004F7FF4">
            <w:pPr>
              <w:spacing w:before="40" w:after="40"/>
              <w:jc w:val="center"/>
              <w:rPr>
                <w:szCs w:val="22"/>
              </w:rPr>
            </w:pPr>
            <w:r w:rsidRPr="007C3122">
              <w:rPr>
                <w:szCs w:val="22"/>
              </w:rPr>
              <w:t>0.1176936</w:t>
            </w:r>
          </w:p>
        </w:tc>
        <w:tc>
          <w:tcPr>
            <w:tcW w:w="1275" w:type="dxa"/>
          </w:tcPr>
          <w:p w14:paraId="20236915" w14:textId="77777777" w:rsidR="007B1C72" w:rsidRPr="007C3122" w:rsidRDefault="007B1C72" w:rsidP="004F7FF4">
            <w:pPr>
              <w:spacing w:before="40" w:after="40"/>
              <w:jc w:val="center"/>
              <w:rPr>
                <w:szCs w:val="22"/>
              </w:rPr>
            </w:pPr>
            <w:r w:rsidRPr="007C3122">
              <w:rPr>
                <w:szCs w:val="22"/>
              </w:rPr>
              <w:t>0.074778</w:t>
            </w:r>
          </w:p>
        </w:tc>
      </w:tr>
      <w:tr w:rsidR="007B1C72" w:rsidRPr="007C3122" w14:paraId="47C12014" w14:textId="77777777" w:rsidTr="004F7FF4">
        <w:trPr>
          <w:jc w:val="center"/>
        </w:trPr>
        <w:tc>
          <w:tcPr>
            <w:tcW w:w="2176" w:type="dxa"/>
          </w:tcPr>
          <w:p w14:paraId="02D6926A" w14:textId="77777777" w:rsidR="007B1C72" w:rsidRPr="007C3122" w:rsidRDefault="007B1C72" w:rsidP="004F7FF4">
            <w:pPr>
              <w:spacing w:before="40" w:after="40"/>
              <w:rPr>
                <w:szCs w:val="22"/>
              </w:rPr>
            </w:pPr>
            <w:r w:rsidRPr="007C3122">
              <w:rPr>
                <w:szCs w:val="22"/>
              </w:rPr>
              <w:t>Export night</w:t>
            </w:r>
          </w:p>
        </w:tc>
        <w:tc>
          <w:tcPr>
            <w:tcW w:w="1040" w:type="dxa"/>
          </w:tcPr>
          <w:p w14:paraId="7CBB98A3" w14:textId="77777777" w:rsidR="007B1C72" w:rsidRPr="007C3122" w:rsidRDefault="007B1C72" w:rsidP="004F7FF4">
            <w:pPr>
              <w:spacing w:before="40" w:after="40"/>
              <w:jc w:val="center"/>
              <w:rPr>
                <w:szCs w:val="22"/>
              </w:rPr>
            </w:pPr>
            <w:r w:rsidRPr="007C3122">
              <w:rPr>
                <w:szCs w:val="22"/>
              </w:rPr>
              <w:t>0.01865</w:t>
            </w:r>
          </w:p>
        </w:tc>
        <w:tc>
          <w:tcPr>
            <w:tcW w:w="1276" w:type="dxa"/>
          </w:tcPr>
          <w:p w14:paraId="43DBA4E5" w14:textId="77777777" w:rsidR="007B1C72" w:rsidRPr="007C3122" w:rsidRDefault="007B1C72" w:rsidP="004F7FF4">
            <w:pPr>
              <w:spacing w:before="40" w:after="40"/>
              <w:jc w:val="center"/>
              <w:rPr>
                <w:szCs w:val="22"/>
              </w:rPr>
            </w:pPr>
            <w:r w:rsidRPr="007C3122">
              <w:rPr>
                <w:szCs w:val="22"/>
              </w:rPr>
              <w:t>0.04332</w:t>
            </w:r>
          </w:p>
        </w:tc>
        <w:tc>
          <w:tcPr>
            <w:tcW w:w="1275" w:type="dxa"/>
          </w:tcPr>
          <w:p w14:paraId="5C51C360" w14:textId="77777777" w:rsidR="007B1C72" w:rsidRPr="007C3122" w:rsidRDefault="007B1C72" w:rsidP="004F7FF4">
            <w:pPr>
              <w:spacing w:before="40" w:after="40"/>
              <w:jc w:val="center"/>
              <w:rPr>
                <w:szCs w:val="22"/>
              </w:rPr>
            </w:pPr>
            <w:r w:rsidRPr="007C3122">
              <w:rPr>
                <w:szCs w:val="22"/>
              </w:rPr>
              <w:t>0.049852</w:t>
            </w:r>
          </w:p>
        </w:tc>
      </w:tr>
      <w:tr w:rsidR="007B1C72" w:rsidRPr="007C3122" w14:paraId="1CE0B8FD" w14:textId="77777777" w:rsidTr="004F7FF4">
        <w:trPr>
          <w:jc w:val="center"/>
        </w:trPr>
        <w:tc>
          <w:tcPr>
            <w:tcW w:w="2176" w:type="dxa"/>
          </w:tcPr>
          <w:p w14:paraId="56F86FD0" w14:textId="77777777" w:rsidR="007B1C72" w:rsidRPr="007C3122" w:rsidRDefault="007B1C72" w:rsidP="004F7FF4">
            <w:pPr>
              <w:spacing w:before="40" w:after="40"/>
              <w:rPr>
                <w:szCs w:val="22"/>
              </w:rPr>
            </w:pPr>
            <w:r w:rsidRPr="007C3122">
              <w:rPr>
                <w:szCs w:val="22"/>
              </w:rPr>
              <w:t>Export day</w:t>
            </w:r>
          </w:p>
        </w:tc>
        <w:tc>
          <w:tcPr>
            <w:tcW w:w="1040" w:type="dxa"/>
          </w:tcPr>
          <w:p w14:paraId="13E66285" w14:textId="77777777" w:rsidR="007B1C72" w:rsidRPr="007C3122" w:rsidRDefault="007B1C72" w:rsidP="004F7FF4">
            <w:pPr>
              <w:spacing w:before="40" w:after="40"/>
              <w:jc w:val="center"/>
              <w:rPr>
                <w:szCs w:val="22"/>
              </w:rPr>
            </w:pPr>
            <w:r w:rsidRPr="007C3122">
              <w:rPr>
                <w:szCs w:val="22"/>
              </w:rPr>
              <w:t>0.03195</w:t>
            </w:r>
          </w:p>
        </w:tc>
        <w:tc>
          <w:tcPr>
            <w:tcW w:w="1276" w:type="dxa"/>
          </w:tcPr>
          <w:p w14:paraId="085E47A2" w14:textId="77777777" w:rsidR="007B1C72" w:rsidRPr="007C3122" w:rsidRDefault="007B1C72" w:rsidP="004F7FF4">
            <w:pPr>
              <w:spacing w:before="40" w:after="40"/>
              <w:jc w:val="center"/>
              <w:rPr>
                <w:szCs w:val="22"/>
              </w:rPr>
            </w:pPr>
            <w:r w:rsidRPr="007C3122">
              <w:rPr>
                <w:szCs w:val="22"/>
              </w:rPr>
              <w:t>0.04332</w:t>
            </w:r>
          </w:p>
        </w:tc>
        <w:tc>
          <w:tcPr>
            <w:tcW w:w="1275" w:type="dxa"/>
          </w:tcPr>
          <w:p w14:paraId="23EED7FD" w14:textId="77777777" w:rsidR="007B1C72" w:rsidRPr="007C3122" w:rsidRDefault="007B1C72" w:rsidP="004F7FF4">
            <w:pPr>
              <w:spacing w:before="40" w:after="40"/>
              <w:jc w:val="center"/>
              <w:rPr>
                <w:szCs w:val="22"/>
              </w:rPr>
            </w:pPr>
            <w:r w:rsidRPr="007C3122">
              <w:rPr>
                <w:szCs w:val="22"/>
              </w:rPr>
              <w:t>0.049852</w:t>
            </w:r>
          </w:p>
        </w:tc>
      </w:tr>
    </w:tbl>
    <w:p w14:paraId="6662FE51" w14:textId="77777777" w:rsidR="00416544" w:rsidRDefault="00416544" w:rsidP="00F90359">
      <w:pPr>
        <w:pStyle w:val="Heading2"/>
        <w:spacing w:before="240"/>
      </w:pPr>
      <w:r w:rsidRPr="005D705F">
        <w:t xml:space="preserve">Potential revenue from </w:t>
      </w:r>
      <w:r>
        <w:t>two</w:t>
      </w:r>
      <w:r w:rsidRPr="005D705F">
        <w:t xml:space="preserve"> scenario</w:t>
      </w:r>
      <w:r>
        <w:t>s</w:t>
      </w:r>
    </w:p>
    <w:p w14:paraId="18CB0930" w14:textId="2354B4CE" w:rsidR="007B1C72" w:rsidRDefault="003139F0" w:rsidP="00B039C0">
      <w:pPr>
        <w:spacing w:after="240"/>
      </w:pPr>
      <w:r w:rsidRPr="005D705F">
        <w:t>For the Belgium store, which is typical of many CSWs, the warehouse is generally always importing electricity.  Therefore</w:t>
      </w:r>
      <w:r w:rsidR="00F31E0B">
        <w:t>,</w:t>
      </w:r>
      <w:r w:rsidRPr="005D705F">
        <w:t xml:space="preserve"> the </w:t>
      </w:r>
      <w:r w:rsidR="00E263B0" w:rsidRPr="005D705F">
        <w:t>load</w:t>
      </w:r>
      <w:r w:rsidR="00E263B0">
        <w:t>-</w:t>
      </w:r>
      <w:r w:rsidRPr="005D705F">
        <w:t xml:space="preserve">shift </w:t>
      </w:r>
      <w:r>
        <w:t>strategy</w:t>
      </w:r>
      <w:r w:rsidRPr="005D705F">
        <w:t xml:space="preserve"> is currently the most appropriate method to </w:t>
      </w:r>
      <w:r w:rsidR="00F31E0B">
        <w:t xml:space="preserve">reduce </w:t>
      </w:r>
      <w:r>
        <w:t>energy costs.</w:t>
      </w:r>
      <w:bookmarkStart w:id="7" w:name="_Ref499797586"/>
    </w:p>
    <w:p w14:paraId="4FC8AA57" w14:textId="6A02A097" w:rsidR="007B1C72" w:rsidRPr="00083668" w:rsidRDefault="00623C28" w:rsidP="00623C28">
      <w:pPr>
        <w:pStyle w:val="Caption"/>
        <w:keepNext/>
        <w:rPr>
          <w:sz w:val="22"/>
          <w:szCs w:val="22"/>
        </w:rPr>
      </w:pPr>
      <w:bookmarkStart w:id="8" w:name="_Ref500843951"/>
      <w:proofErr w:type="gramStart"/>
      <w:r w:rsidRPr="00623C28">
        <w:rPr>
          <w:sz w:val="22"/>
          <w:szCs w:val="22"/>
        </w:rPr>
        <w:t xml:space="preserve">Table </w:t>
      </w:r>
      <w:r w:rsidRPr="00623C28">
        <w:rPr>
          <w:sz w:val="22"/>
          <w:szCs w:val="22"/>
        </w:rPr>
        <w:fldChar w:fldCharType="begin"/>
      </w:r>
      <w:r w:rsidRPr="00623C28">
        <w:rPr>
          <w:sz w:val="22"/>
          <w:szCs w:val="22"/>
        </w:rPr>
        <w:instrText xml:space="preserve"> SEQ Table \* ARABIC </w:instrText>
      </w:r>
      <w:r w:rsidRPr="00623C28">
        <w:rPr>
          <w:sz w:val="22"/>
          <w:szCs w:val="22"/>
        </w:rPr>
        <w:fldChar w:fldCharType="separate"/>
      </w:r>
      <w:r w:rsidRPr="00623C28">
        <w:rPr>
          <w:noProof/>
          <w:sz w:val="22"/>
          <w:szCs w:val="22"/>
        </w:rPr>
        <w:t>3</w:t>
      </w:r>
      <w:r w:rsidRPr="00623C28">
        <w:rPr>
          <w:sz w:val="22"/>
          <w:szCs w:val="22"/>
        </w:rPr>
        <w:fldChar w:fldCharType="end"/>
      </w:r>
      <w:bookmarkEnd w:id="8"/>
      <w:r w:rsidRPr="00623C28">
        <w:rPr>
          <w:sz w:val="22"/>
          <w:szCs w:val="22"/>
        </w:rPr>
        <w:t>.</w:t>
      </w:r>
      <w:proofErr w:type="gramEnd"/>
      <w:r w:rsidR="007B1C72" w:rsidRPr="00083668">
        <w:rPr>
          <w:sz w:val="22"/>
          <w:szCs w:val="22"/>
        </w:rPr>
        <w:t xml:space="preserve">  Minimum RTE and revenue generated for different scenarios for the 3 regions.</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276"/>
        <w:gridCol w:w="1276"/>
        <w:gridCol w:w="1275"/>
      </w:tblGrid>
      <w:tr w:rsidR="007B1C72" w:rsidRPr="00083668" w14:paraId="4054D099" w14:textId="77777777" w:rsidTr="004F7FF4">
        <w:trPr>
          <w:jc w:val="center"/>
        </w:trPr>
        <w:tc>
          <w:tcPr>
            <w:tcW w:w="2605" w:type="dxa"/>
          </w:tcPr>
          <w:p w14:paraId="603B9CAD" w14:textId="77777777" w:rsidR="007B1C72" w:rsidRPr="00083668" w:rsidRDefault="007B1C72" w:rsidP="004F7FF4">
            <w:pPr>
              <w:spacing w:before="40" w:after="40"/>
              <w:jc w:val="center"/>
              <w:rPr>
                <w:szCs w:val="22"/>
                <w:u w:val="single"/>
              </w:rPr>
            </w:pPr>
          </w:p>
        </w:tc>
        <w:tc>
          <w:tcPr>
            <w:tcW w:w="1276" w:type="dxa"/>
            <w:tcBorders>
              <w:top w:val="single" w:sz="4" w:space="0" w:color="auto"/>
              <w:bottom w:val="single" w:sz="4" w:space="0" w:color="auto"/>
            </w:tcBorders>
          </w:tcPr>
          <w:p w14:paraId="69F68737" w14:textId="77777777" w:rsidR="007B1C72" w:rsidRPr="00083668" w:rsidRDefault="007B1C72" w:rsidP="004F7FF4">
            <w:pPr>
              <w:spacing w:before="40" w:after="40"/>
              <w:jc w:val="center"/>
              <w:rPr>
                <w:b/>
                <w:szCs w:val="22"/>
                <w:u w:val="single"/>
              </w:rPr>
            </w:pPr>
            <w:r w:rsidRPr="00083668">
              <w:rPr>
                <w:b/>
                <w:szCs w:val="22"/>
              </w:rPr>
              <w:t>Belgium</w:t>
            </w:r>
          </w:p>
        </w:tc>
        <w:tc>
          <w:tcPr>
            <w:tcW w:w="1276" w:type="dxa"/>
            <w:tcBorders>
              <w:top w:val="single" w:sz="4" w:space="0" w:color="auto"/>
              <w:bottom w:val="single" w:sz="4" w:space="0" w:color="auto"/>
            </w:tcBorders>
          </w:tcPr>
          <w:p w14:paraId="31AE382D" w14:textId="77777777" w:rsidR="007B1C72" w:rsidRPr="00083668" w:rsidRDefault="007B1C72" w:rsidP="004F7FF4">
            <w:pPr>
              <w:spacing w:before="40" w:after="40"/>
              <w:jc w:val="center"/>
              <w:rPr>
                <w:b/>
                <w:szCs w:val="22"/>
                <w:u w:val="single"/>
              </w:rPr>
            </w:pPr>
            <w:r w:rsidRPr="00083668">
              <w:rPr>
                <w:b/>
                <w:szCs w:val="22"/>
              </w:rPr>
              <w:t>UK</w:t>
            </w:r>
          </w:p>
        </w:tc>
        <w:tc>
          <w:tcPr>
            <w:tcW w:w="1275" w:type="dxa"/>
            <w:tcBorders>
              <w:top w:val="single" w:sz="4" w:space="0" w:color="auto"/>
              <w:bottom w:val="single" w:sz="4" w:space="0" w:color="auto"/>
            </w:tcBorders>
          </w:tcPr>
          <w:p w14:paraId="03ADDF1B" w14:textId="77777777" w:rsidR="007B1C72" w:rsidRPr="00083668" w:rsidRDefault="007B1C72" w:rsidP="004F7FF4">
            <w:pPr>
              <w:spacing w:before="40" w:after="40"/>
              <w:jc w:val="center"/>
              <w:rPr>
                <w:b/>
                <w:szCs w:val="22"/>
                <w:u w:val="single"/>
              </w:rPr>
            </w:pPr>
            <w:r w:rsidRPr="00083668">
              <w:rPr>
                <w:b/>
                <w:szCs w:val="22"/>
              </w:rPr>
              <w:t>Hungary</w:t>
            </w:r>
          </w:p>
        </w:tc>
      </w:tr>
      <w:tr w:rsidR="007B1C72" w:rsidRPr="00083668" w14:paraId="13D0FE4F" w14:textId="77777777" w:rsidTr="004F7FF4">
        <w:trPr>
          <w:jc w:val="center"/>
        </w:trPr>
        <w:tc>
          <w:tcPr>
            <w:tcW w:w="6432" w:type="dxa"/>
            <w:gridSpan w:val="4"/>
          </w:tcPr>
          <w:p w14:paraId="10D3437E" w14:textId="77777777" w:rsidR="007B1C72" w:rsidRPr="00083668" w:rsidRDefault="007B1C72" w:rsidP="004F7FF4">
            <w:pPr>
              <w:spacing w:before="40" w:after="40"/>
              <w:jc w:val="left"/>
              <w:rPr>
                <w:b/>
                <w:i/>
                <w:szCs w:val="22"/>
              </w:rPr>
            </w:pPr>
            <w:r w:rsidRPr="00083668">
              <w:rPr>
                <w:b/>
                <w:i/>
                <w:szCs w:val="22"/>
              </w:rPr>
              <w:t>Load-shift scenario</w:t>
            </w:r>
          </w:p>
        </w:tc>
      </w:tr>
      <w:tr w:rsidR="007B1C72" w:rsidRPr="00083668" w14:paraId="1F0D8894" w14:textId="77777777" w:rsidTr="004F7FF4">
        <w:trPr>
          <w:jc w:val="center"/>
        </w:trPr>
        <w:tc>
          <w:tcPr>
            <w:tcW w:w="2605" w:type="dxa"/>
          </w:tcPr>
          <w:p w14:paraId="53B8E5C1" w14:textId="77777777" w:rsidR="007B1C72" w:rsidRPr="00083668" w:rsidRDefault="007B1C72" w:rsidP="004F7FF4">
            <w:pPr>
              <w:spacing w:before="40" w:after="40"/>
              <w:rPr>
                <w:b/>
                <w:szCs w:val="22"/>
              </w:rPr>
            </w:pPr>
            <w:r w:rsidRPr="00083668">
              <w:rPr>
                <w:b/>
                <w:szCs w:val="22"/>
              </w:rPr>
              <w:t>Minimum RTE</w:t>
            </w:r>
          </w:p>
        </w:tc>
        <w:tc>
          <w:tcPr>
            <w:tcW w:w="1276" w:type="dxa"/>
          </w:tcPr>
          <w:p w14:paraId="7752FAC5" w14:textId="77777777" w:rsidR="007B1C72" w:rsidRPr="00083668" w:rsidRDefault="007B1C72" w:rsidP="004F7FF4">
            <w:pPr>
              <w:spacing w:before="40" w:after="40"/>
              <w:jc w:val="center"/>
              <w:rPr>
                <w:szCs w:val="22"/>
              </w:rPr>
            </w:pPr>
            <w:r w:rsidRPr="00083668">
              <w:rPr>
                <w:szCs w:val="22"/>
              </w:rPr>
              <w:t>0.817</w:t>
            </w:r>
          </w:p>
        </w:tc>
        <w:tc>
          <w:tcPr>
            <w:tcW w:w="1276" w:type="dxa"/>
          </w:tcPr>
          <w:p w14:paraId="456B59B8" w14:textId="77777777" w:rsidR="007B1C72" w:rsidRPr="00083668" w:rsidRDefault="007B1C72" w:rsidP="004F7FF4">
            <w:pPr>
              <w:spacing w:before="40" w:after="40"/>
              <w:jc w:val="center"/>
              <w:rPr>
                <w:szCs w:val="22"/>
              </w:rPr>
            </w:pPr>
            <w:r w:rsidRPr="00083668">
              <w:rPr>
                <w:szCs w:val="22"/>
              </w:rPr>
              <w:t>0.630</w:t>
            </w:r>
          </w:p>
        </w:tc>
        <w:tc>
          <w:tcPr>
            <w:tcW w:w="1275" w:type="dxa"/>
          </w:tcPr>
          <w:p w14:paraId="425DAEF3" w14:textId="77777777" w:rsidR="007B1C72" w:rsidRPr="00083668" w:rsidRDefault="007B1C72" w:rsidP="004F7FF4">
            <w:pPr>
              <w:spacing w:before="40" w:after="40"/>
              <w:jc w:val="center"/>
              <w:rPr>
                <w:szCs w:val="22"/>
              </w:rPr>
            </w:pPr>
            <w:r w:rsidRPr="00083668">
              <w:rPr>
                <w:szCs w:val="22"/>
              </w:rPr>
              <w:t>1</w:t>
            </w:r>
          </w:p>
        </w:tc>
      </w:tr>
      <w:tr w:rsidR="007B1C72" w:rsidRPr="00083668" w14:paraId="36008961" w14:textId="77777777" w:rsidTr="004F7FF4">
        <w:trPr>
          <w:jc w:val="center"/>
        </w:trPr>
        <w:tc>
          <w:tcPr>
            <w:tcW w:w="2605" w:type="dxa"/>
          </w:tcPr>
          <w:p w14:paraId="653D699C" w14:textId="77777777" w:rsidR="007B1C72" w:rsidRPr="00083668" w:rsidRDefault="007B1C72" w:rsidP="004F7FF4">
            <w:pPr>
              <w:spacing w:before="40" w:after="40"/>
              <w:rPr>
                <w:b/>
                <w:szCs w:val="22"/>
              </w:rPr>
            </w:pPr>
            <w:r w:rsidRPr="00083668">
              <w:rPr>
                <w:b/>
                <w:szCs w:val="22"/>
              </w:rPr>
              <w:t>Revenue* (€.kWh</w:t>
            </w:r>
            <w:r w:rsidRPr="00083668">
              <w:rPr>
                <w:b/>
                <w:szCs w:val="22"/>
                <w:vertAlign w:val="superscript"/>
              </w:rPr>
              <w:t>-1</w:t>
            </w:r>
            <w:r w:rsidRPr="00083668">
              <w:rPr>
                <w:b/>
                <w:szCs w:val="22"/>
              </w:rPr>
              <w:t>)</w:t>
            </w:r>
          </w:p>
        </w:tc>
        <w:tc>
          <w:tcPr>
            <w:tcW w:w="1276" w:type="dxa"/>
          </w:tcPr>
          <w:p w14:paraId="00096955" w14:textId="27FC3D7F" w:rsidR="007B1C72" w:rsidRPr="00DF7AAE" w:rsidRDefault="00B523D8" w:rsidP="00B523D8">
            <w:pPr>
              <w:spacing w:before="40" w:after="40"/>
              <w:jc w:val="center"/>
              <w:rPr>
                <w:szCs w:val="22"/>
              </w:rPr>
            </w:pPr>
            <w:r w:rsidRPr="00DF7AAE">
              <w:rPr>
                <w:szCs w:val="22"/>
              </w:rPr>
              <w:t>-</w:t>
            </w:r>
            <w:r w:rsidR="007B1C72" w:rsidRPr="00DF7AAE">
              <w:rPr>
                <w:szCs w:val="22"/>
              </w:rPr>
              <w:t>0.0</w:t>
            </w:r>
            <w:r w:rsidRPr="00DF7AAE">
              <w:rPr>
                <w:szCs w:val="22"/>
              </w:rPr>
              <w:t>02</w:t>
            </w:r>
          </w:p>
        </w:tc>
        <w:tc>
          <w:tcPr>
            <w:tcW w:w="1276" w:type="dxa"/>
          </w:tcPr>
          <w:p w14:paraId="041A8553" w14:textId="4EC9B274" w:rsidR="007B1C72" w:rsidRPr="00DF7AAE" w:rsidRDefault="007B1C72" w:rsidP="00B523D8">
            <w:pPr>
              <w:spacing w:before="40" w:after="40"/>
              <w:jc w:val="center"/>
              <w:rPr>
                <w:szCs w:val="22"/>
              </w:rPr>
            </w:pPr>
            <w:r w:rsidRPr="00DF7AAE">
              <w:rPr>
                <w:szCs w:val="22"/>
              </w:rPr>
              <w:t>0.0</w:t>
            </w:r>
            <w:r w:rsidR="00B523D8" w:rsidRPr="00DF7AAE">
              <w:rPr>
                <w:szCs w:val="22"/>
              </w:rPr>
              <w:t>2</w:t>
            </w:r>
            <w:r w:rsidRPr="00DF7AAE">
              <w:rPr>
                <w:szCs w:val="22"/>
              </w:rPr>
              <w:t>5</w:t>
            </w:r>
          </w:p>
        </w:tc>
        <w:tc>
          <w:tcPr>
            <w:tcW w:w="1275" w:type="dxa"/>
          </w:tcPr>
          <w:p w14:paraId="08797169" w14:textId="05C1F3D5" w:rsidR="007B1C72" w:rsidRPr="00DF7AAE" w:rsidRDefault="00B523D8" w:rsidP="004F7FF4">
            <w:pPr>
              <w:spacing w:before="40" w:after="40"/>
              <w:jc w:val="center"/>
              <w:rPr>
                <w:szCs w:val="22"/>
              </w:rPr>
            </w:pPr>
            <w:r w:rsidRPr="00DF7AAE">
              <w:rPr>
                <w:szCs w:val="22"/>
              </w:rPr>
              <w:t>-0.019</w:t>
            </w:r>
          </w:p>
        </w:tc>
      </w:tr>
      <w:tr w:rsidR="007B1C72" w:rsidRPr="00083668" w14:paraId="042CB496" w14:textId="77777777" w:rsidTr="004F7FF4">
        <w:trPr>
          <w:jc w:val="center"/>
        </w:trPr>
        <w:tc>
          <w:tcPr>
            <w:tcW w:w="6432" w:type="dxa"/>
            <w:gridSpan w:val="4"/>
            <w:tcBorders>
              <w:bottom w:val="nil"/>
            </w:tcBorders>
          </w:tcPr>
          <w:p w14:paraId="4DA3136A" w14:textId="77777777" w:rsidR="007B1C72" w:rsidRPr="00083668" w:rsidRDefault="007B1C72" w:rsidP="004F7FF4">
            <w:pPr>
              <w:spacing w:before="40" w:after="40"/>
              <w:jc w:val="left"/>
              <w:rPr>
                <w:b/>
                <w:i/>
                <w:szCs w:val="22"/>
              </w:rPr>
            </w:pPr>
            <w:r w:rsidRPr="00083668">
              <w:rPr>
                <w:b/>
                <w:bCs/>
                <w:i/>
                <w:szCs w:val="22"/>
                <w:lang w:eastAsia="en-GB"/>
              </w:rPr>
              <w:t>Avoiding ‘feed in’ scenario</w:t>
            </w:r>
          </w:p>
        </w:tc>
      </w:tr>
      <w:tr w:rsidR="007B1C72" w:rsidRPr="00083668" w14:paraId="2E02A6E2" w14:textId="77777777" w:rsidTr="004F7FF4">
        <w:trPr>
          <w:jc w:val="center"/>
        </w:trPr>
        <w:tc>
          <w:tcPr>
            <w:tcW w:w="2605" w:type="dxa"/>
            <w:tcBorders>
              <w:top w:val="nil"/>
              <w:bottom w:val="single" w:sz="4" w:space="0" w:color="auto"/>
            </w:tcBorders>
          </w:tcPr>
          <w:p w14:paraId="42188142" w14:textId="77777777" w:rsidR="007B1C72" w:rsidRPr="00083668" w:rsidRDefault="007B1C72" w:rsidP="004F7FF4">
            <w:pPr>
              <w:spacing w:before="40" w:after="40"/>
              <w:rPr>
                <w:b/>
                <w:szCs w:val="22"/>
              </w:rPr>
            </w:pPr>
            <w:r w:rsidRPr="00083668">
              <w:rPr>
                <w:b/>
                <w:szCs w:val="22"/>
              </w:rPr>
              <w:t>Revenue* (€.kWh</w:t>
            </w:r>
            <w:r w:rsidRPr="00083668">
              <w:rPr>
                <w:b/>
                <w:szCs w:val="22"/>
                <w:vertAlign w:val="superscript"/>
              </w:rPr>
              <w:t>-1</w:t>
            </w:r>
            <w:r w:rsidRPr="00083668">
              <w:rPr>
                <w:b/>
                <w:szCs w:val="22"/>
              </w:rPr>
              <w:t>)</w:t>
            </w:r>
          </w:p>
        </w:tc>
        <w:tc>
          <w:tcPr>
            <w:tcW w:w="1276" w:type="dxa"/>
            <w:tcBorders>
              <w:top w:val="nil"/>
              <w:bottom w:val="single" w:sz="4" w:space="0" w:color="auto"/>
            </w:tcBorders>
          </w:tcPr>
          <w:p w14:paraId="4123A59B" w14:textId="29CC5E20" w:rsidR="007B1C72" w:rsidRPr="00DF7AAE" w:rsidRDefault="00D70546" w:rsidP="004F7FF4">
            <w:pPr>
              <w:spacing w:before="40" w:after="40"/>
              <w:jc w:val="center"/>
              <w:rPr>
                <w:szCs w:val="22"/>
              </w:rPr>
            </w:pPr>
            <w:r w:rsidRPr="00DF7AAE">
              <w:rPr>
                <w:szCs w:val="22"/>
              </w:rPr>
              <w:t>0.043</w:t>
            </w:r>
          </w:p>
        </w:tc>
        <w:tc>
          <w:tcPr>
            <w:tcW w:w="1276" w:type="dxa"/>
            <w:tcBorders>
              <w:top w:val="nil"/>
              <w:bottom w:val="single" w:sz="4" w:space="0" w:color="auto"/>
            </w:tcBorders>
          </w:tcPr>
          <w:p w14:paraId="0F9502FA" w14:textId="0F97E9A6" w:rsidR="007B1C72" w:rsidRPr="00DF7AAE" w:rsidRDefault="00D70546" w:rsidP="004F7FF4">
            <w:pPr>
              <w:spacing w:before="40" w:after="40"/>
              <w:jc w:val="center"/>
              <w:rPr>
                <w:szCs w:val="22"/>
              </w:rPr>
            </w:pPr>
            <w:r w:rsidRPr="00DF7AAE">
              <w:rPr>
                <w:szCs w:val="22"/>
              </w:rPr>
              <w:t>0.025</w:t>
            </w:r>
          </w:p>
        </w:tc>
        <w:tc>
          <w:tcPr>
            <w:tcW w:w="1275" w:type="dxa"/>
            <w:tcBorders>
              <w:top w:val="nil"/>
              <w:bottom w:val="single" w:sz="4" w:space="0" w:color="auto"/>
            </w:tcBorders>
          </w:tcPr>
          <w:p w14:paraId="629FF83A" w14:textId="77777777" w:rsidR="007B1C72" w:rsidRPr="00DF7AAE" w:rsidRDefault="007B1C72" w:rsidP="004F7FF4">
            <w:pPr>
              <w:spacing w:before="40" w:after="40"/>
              <w:jc w:val="center"/>
              <w:rPr>
                <w:szCs w:val="22"/>
              </w:rPr>
            </w:pPr>
            <w:r w:rsidRPr="00DF7AAE">
              <w:rPr>
                <w:szCs w:val="22"/>
              </w:rPr>
              <w:t>0.020</w:t>
            </w:r>
          </w:p>
        </w:tc>
      </w:tr>
      <w:tr w:rsidR="007B1C72" w:rsidRPr="00083668" w14:paraId="45F9BCC1" w14:textId="77777777" w:rsidTr="004F7FF4">
        <w:trPr>
          <w:jc w:val="center"/>
        </w:trPr>
        <w:tc>
          <w:tcPr>
            <w:tcW w:w="2605" w:type="dxa"/>
            <w:tcBorders>
              <w:top w:val="single" w:sz="4" w:space="0" w:color="auto"/>
              <w:bottom w:val="nil"/>
            </w:tcBorders>
          </w:tcPr>
          <w:p w14:paraId="36C8EF77" w14:textId="77777777" w:rsidR="007B1C72" w:rsidRPr="007B1C72" w:rsidRDefault="007B1C72" w:rsidP="004F7FF4">
            <w:pPr>
              <w:spacing w:before="40" w:after="40"/>
              <w:rPr>
                <w:sz w:val="20"/>
              </w:rPr>
            </w:pPr>
            <w:r w:rsidRPr="007B1C72">
              <w:rPr>
                <w:sz w:val="20"/>
              </w:rPr>
              <w:t>* assuming an RTE of 0.8</w:t>
            </w:r>
          </w:p>
        </w:tc>
        <w:tc>
          <w:tcPr>
            <w:tcW w:w="1276" w:type="dxa"/>
            <w:tcBorders>
              <w:top w:val="single" w:sz="4" w:space="0" w:color="auto"/>
              <w:bottom w:val="nil"/>
            </w:tcBorders>
          </w:tcPr>
          <w:p w14:paraId="55976705" w14:textId="77777777" w:rsidR="007B1C72" w:rsidRPr="00083668" w:rsidRDefault="007B1C72" w:rsidP="004F7FF4">
            <w:pPr>
              <w:spacing w:before="40" w:after="40"/>
              <w:jc w:val="center"/>
              <w:rPr>
                <w:szCs w:val="22"/>
              </w:rPr>
            </w:pPr>
          </w:p>
        </w:tc>
        <w:tc>
          <w:tcPr>
            <w:tcW w:w="1276" w:type="dxa"/>
            <w:tcBorders>
              <w:top w:val="single" w:sz="4" w:space="0" w:color="auto"/>
              <w:bottom w:val="nil"/>
            </w:tcBorders>
          </w:tcPr>
          <w:p w14:paraId="2C580CE6" w14:textId="77777777" w:rsidR="007B1C72" w:rsidRPr="00083668" w:rsidRDefault="007B1C72" w:rsidP="004F7FF4">
            <w:pPr>
              <w:spacing w:before="40" w:after="40"/>
              <w:jc w:val="center"/>
              <w:rPr>
                <w:szCs w:val="22"/>
              </w:rPr>
            </w:pPr>
          </w:p>
        </w:tc>
        <w:tc>
          <w:tcPr>
            <w:tcW w:w="1275" w:type="dxa"/>
            <w:tcBorders>
              <w:top w:val="single" w:sz="4" w:space="0" w:color="auto"/>
              <w:bottom w:val="nil"/>
            </w:tcBorders>
          </w:tcPr>
          <w:p w14:paraId="48F3A47A" w14:textId="77777777" w:rsidR="007B1C72" w:rsidRPr="00083668" w:rsidRDefault="007B1C72" w:rsidP="004F7FF4">
            <w:pPr>
              <w:spacing w:before="40" w:after="40"/>
              <w:jc w:val="center"/>
              <w:rPr>
                <w:szCs w:val="22"/>
              </w:rPr>
            </w:pPr>
          </w:p>
        </w:tc>
      </w:tr>
    </w:tbl>
    <w:bookmarkEnd w:id="7"/>
    <w:p w14:paraId="3D21FFD2" w14:textId="173D1EBC" w:rsidR="007C5518" w:rsidRPr="00280D64" w:rsidRDefault="00565BA3" w:rsidP="00F05E19">
      <w:pPr>
        <w:spacing w:before="240"/>
        <w:rPr>
          <w:lang w:eastAsia="en-US"/>
        </w:rPr>
      </w:pPr>
      <w:r w:rsidRPr="002F7984">
        <w:t xml:space="preserve">As the RTE of the storage system is less than one, the energy released from storage would be less than that imported from the grid.  The minimum RTE of </w:t>
      </w:r>
      <w:r w:rsidR="00EB733D" w:rsidRPr="002F7984">
        <w:t xml:space="preserve">a profitable </w:t>
      </w:r>
      <w:r w:rsidR="00E52B34">
        <w:t>CES</w:t>
      </w:r>
      <w:r w:rsidR="00E52B34" w:rsidRPr="002F7984">
        <w:t xml:space="preserve"> </w:t>
      </w:r>
      <w:r w:rsidRPr="002F7984">
        <w:t xml:space="preserve">system </w:t>
      </w:r>
      <w:r w:rsidR="00AC021E">
        <w:t>should</w:t>
      </w:r>
      <w:r w:rsidR="00AC021E" w:rsidRPr="002F7984">
        <w:t xml:space="preserve"> </w:t>
      </w:r>
      <w:r w:rsidRPr="002F7984">
        <w:t>be equal to the ratio of the tariffs between peak and off peak (</w:t>
      </w:r>
      <w:r w:rsidR="00280D64">
        <w:t xml:space="preserve">see Eq. (3) and </w:t>
      </w:r>
      <w:r w:rsidR="007B1C72">
        <w:fldChar w:fldCharType="begin"/>
      </w:r>
      <w:r w:rsidR="007B1C72">
        <w:instrText xml:space="preserve"> REF _Ref500505529 \h </w:instrText>
      </w:r>
      <w:r w:rsidR="007B1C72">
        <w:fldChar w:fldCharType="separate"/>
      </w:r>
      <w:r w:rsidR="007B1C72" w:rsidRPr="00FF0C8D">
        <w:rPr>
          <w:szCs w:val="22"/>
        </w:rPr>
        <w:t xml:space="preserve">Table </w:t>
      </w:r>
      <w:r w:rsidR="007B1C72" w:rsidRPr="00FF0C8D">
        <w:rPr>
          <w:noProof/>
          <w:szCs w:val="22"/>
        </w:rPr>
        <w:t>3</w:t>
      </w:r>
      <w:r w:rsidR="007B1C72">
        <w:fldChar w:fldCharType="end"/>
      </w:r>
      <w:r w:rsidR="00280D64">
        <w:t>).</w:t>
      </w:r>
    </w:p>
    <w:p w14:paraId="3244D7DF" w14:textId="39945644" w:rsidR="00083668" w:rsidRDefault="003139F0" w:rsidP="007B1C72">
      <w:pPr>
        <w:rPr>
          <w:szCs w:val="22"/>
        </w:rPr>
      </w:pPr>
      <w:r w:rsidRPr="005D705F">
        <w:rPr>
          <w:szCs w:val="22"/>
        </w:rPr>
        <w:t>For Belgium, the minimum RTE need</w:t>
      </w:r>
      <w:r w:rsidR="00AC021E">
        <w:rPr>
          <w:szCs w:val="22"/>
        </w:rPr>
        <w:t>s</w:t>
      </w:r>
      <w:r w:rsidRPr="005D705F">
        <w:rPr>
          <w:szCs w:val="22"/>
        </w:rPr>
        <w:t xml:space="preserve"> to be 0.82 and for the UK, 0.63. The minimum RTE for the UK is of a similar order to that which Morgan et al</w:t>
      </w:r>
      <w:r w:rsidR="007009DF">
        <w:rPr>
          <w:szCs w:val="22"/>
        </w:rPr>
        <w:t>.</w:t>
      </w:r>
      <w:r w:rsidRPr="005D705F">
        <w:rPr>
          <w:szCs w:val="22"/>
        </w:rPr>
        <w:t xml:space="preserve"> (2015) suggest for a commercial system with waste cold and recovery and high temperature waste heat (0.6).  The </w:t>
      </w:r>
      <w:r w:rsidR="002D169F">
        <w:rPr>
          <w:szCs w:val="22"/>
        </w:rPr>
        <w:t>figure</w:t>
      </w:r>
      <w:r w:rsidRPr="005D705F">
        <w:rPr>
          <w:szCs w:val="22"/>
        </w:rPr>
        <w:t xml:space="preserve"> for Belgium is</w:t>
      </w:r>
      <w:r w:rsidR="001B0F58">
        <w:rPr>
          <w:szCs w:val="22"/>
        </w:rPr>
        <w:t xml:space="preserve"> higher than is realistically possible</w:t>
      </w:r>
      <w:r w:rsidRPr="005D705F">
        <w:rPr>
          <w:szCs w:val="22"/>
        </w:rPr>
        <w:t>.  For Hungary</w:t>
      </w:r>
      <w:r w:rsidR="002D169F">
        <w:rPr>
          <w:szCs w:val="22"/>
        </w:rPr>
        <w:t>,</w:t>
      </w:r>
      <w:r w:rsidRPr="005D705F">
        <w:rPr>
          <w:szCs w:val="22"/>
        </w:rPr>
        <w:t xml:space="preserve"> there is no difference between the tariffs</w:t>
      </w:r>
      <w:r w:rsidR="002D169F">
        <w:rPr>
          <w:szCs w:val="22"/>
        </w:rPr>
        <w:t>,</w:t>
      </w:r>
      <w:r w:rsidRPr="005D705F">
        <w:rPr>
          <w:szCs w:val="22"/>
        </w:rPr>
        <w:t xml:space="preserve"> so there is no benefit </w:t>
      </w:r>
      <w:r>
        <w:rPr>
          <w:szCs w:val="22"/>
        </w:rPr>
        <w:t>for this scenario.</w:t>
      </w:r>
    </w:p>
    <w:p w14:paraId="68BCE4C3" w14:textId="11B745F8" w:rsidR="003139F0" w:rsidRDefault="003139F0" w:rsidP="00083668">
      <w:r w:rsidRPr="00A135B2">
        <w:t>The revenue generated (</w:t>
      </w:r>
      <w:r w:rsidR="002D169F" w:rsidRPr="00A135B2">
        <w:t>Eq</w:t>
      </w:r>
      <w:r w:rsidRPr="00A135B2">
        <w:t>. 2</w:t>
      </w:r>
      <w:r w:rsidR="00E4057B" w:rsidRPr="00A135B2">
        <w:t xml:space="preserve"> and </w:t>
      </w:r>
      <w:r w:rsidR="00E4057B" w:rsidRPr="00A135B2">
        <w:fldChar w:fldCharType="begin"/>
      </w:r>
      <w:r w:rsidR="00E4057B" w:rsidRPr="00A135B2">
        <w:instrText xml:space="preserve"> REF _Ref500843951 \h </w:instrText>
      </w:r>
      <w:r w:rsidR="00B96954" w:rsidRPr="00A135B2">
        <w:instrText xml:space="preserve"> \* MERGEFORMAT </w:instrText>
      </w:r>
      <w:r w:rsidR="00E4057B" w:rsidRPr="00A135B2">
        <w:fldChar w:fldCharType="separate"/>
      </w:r>
      <w:r w:rsidR="00E4057B" w:rsidRPr="00A135B2">
        <w:rPr>
          <w:szCs w:val="22"/>
        </w:rPr>
        <w:t xml:space="preserve">Table </w:t>
      </w:r>
      <w:r w:rsidR="00E4057B" w:rsidRPr="00A135B2">
        <w:rPr>
          <w:noProof/>
          <w:szCs w:val="22"/>
        </w:rPr>
        <w:t>3</w:t>
      </w:r>
      <w:r w:rsidR="00E4057B" w:rsidRPr="00A135B2">
        <w:fldChar w:fldCharType="end"/>
      </w:r>
      <w:r w:rsidRPr="00A135B2">
        <w:t>)</w:t>
      </w:r>
      <w:r w:rsidR="00E4057B" w:rsidRPr="00A135B2">
        <w:t xml:space="preserve"> f</w:t>
      </w:r>
      <w:r w:rsidRPr="00A135B2">
        <w:t>or Belgium</w:t>
      </w:r>
      <w:r w:rsidR="00E4057B" w:rsidRPr="00A135B2">
        <w:t xml:space="preserve"> and Hungary</w:t>
      </w:r>
      <w:r w:rsidR="002D169F" w:rsidRPr="00A135B2">
        <w:t>,</w:t>
      </w:r>
      <w:r w:rsidRPr="00A135B2">
        <w:t xml:space="preserve"> would </w:t>
      </w:r>
      <w:r w:rsidR="00E4057B" w:rsidRPr="00A135B2">
        <w:t xml:space="preserve">be negative, </w:t>
      </w:r>
      <w:r w:rsidRPr="00A135B2">
        <w:t>but for the UK 0.0</w:t>
      </w:r>
      <w:r w:rsidR="00E4057B" w:rsidRPr="00A135B2">
        <w:t>2</w:t>
      </w:r>
      <w:r w:rsidRPr="00A135B2">
        <w:t>5 €.kWh</w:t>
      </w:r>
      <w:r w:rsidRPr="00A135B2">
        <w:rPr>
          <w:vertAlign w:val="superscript"/>
        </w:rPr>
        <w:t>-1</w:t>
      </w:r>
      <w:r w:rsidR="00E4057B" w:rsidRPr="00A135B2">
        <w:t xml:space="preserve"> revenue could be generated</w:t>
      </w:r>
      <w:r w:rsidRPr="00A135B2">
        <w:t>, assuming an RTE of 0.8.</w:t>
      </w:r>
    </w:p>
    <w:p w14:paraId="769EA65B" w14:textId="1D945A42" w:rsidR="00565BA3" w:rsidRDefault="00CC3752" w:rsidP="009C1B63">
      <w:pPr>
        <w:spacing w:after="0"/>
        <w:rPr>
          <w:szCs w:val="22"/>
        </w:rPr>
      </w:pPr>
      <w:r w:rsidRPr="005D705F">
        <w:rPr>
          <w:lang w:eastAsia="en-US"/>
        </w:rPr>
        <w:t>The largest differences and ratios are between exporting and importing</w:t>
      </w:r>
      <w:r w:rsidR="00037C71" w:rsidRPr="00037C71">
        <w:rPr>
          <w:lang w:eastAsia="en-US"/>
        </w:rPr>
        <w:t xml:space="preserve"> </w:t>
      </w:r>
      <w:r w:rsidR="00037C71" w:rsidRPr="005D705F">
        <w:rPr>
          <w:lang w:eastAsia="en-US"/>
        </w:rPr>
        <w:t>tariffs</w:t>
      </w:r>
      <w:r w:rsidRPr="005D705F">
        <w:rPr>
          <w:lang w:eastAsia="en-US"/>
        </w:rPr>
        <w:t>.  Export tariffs are</w:t>
      </w:r>
      <w:r w:rsidR="00B433EA">
        <w:rPr>
          <w:lang w:eastAsia="en-US"/>
        </w:rPr>
        <w:t xml:space="preserve"> lower than import tariffs</w:t>
      </w:r>
      <w:r w:rsidRPr="005D705F">
        <w:rPr>
          <w:lang w:eastAsia="en-US"/>
        </w:rPr>
        <w:t xml:space="preserve">.  Energy storage </w:t>
      </w:r>
      <w:r w:rsidR="00D86AD4">
        <w:rPr>
          <w:lang w:eastAsia="en-US"/>
        </w:rPr>
        <w:t>creates</w:t>
      </w:r>
      <w:r w:rsidR="00D86AD4" w:rsidRPr="005D705F">
        <w:rPr>
          <w:lang w:eastAsia="en-US"/>
        </w:rPr>
        <w:t xml:space="preserve"> </w:t>
      </w:r>
      <w:r w:rsidRPr="005D705F">
        <w:rPr>
          <w:lang w:eastAsia="en-US"/>
        </w:rPr>
        <w:t>the potential to over</w:t>
      </w:r>
      <w:r w:rsidR="00B433EA">
        <w:rPr>
          <w:lang w:eastAsia="en-US"/>
        </w:rPr>
        <w:t>-</w:t>
      </w:r>
      <w:r w:rsidRPr="005D705F">
        <w:rPr>
          <w:lang w:eastAsia="en-US"/>
        </w:rPr>
        <w:t>generate electricity</w:t>
      </w:r>
      <w:r w:rsidR="00D86AD4">
        <w:rPr>
          <w:lang w:eastAsia="en-US"/>
        </w:rPr>
        <w:t>,</w:t>
      </w:r>
      <w:r w:rsidR="00C44722">
        <w:rPr>
          <w:lang w:eastAsia="en-US"/>
        </w:rPr>
        <w:t xml:space="preserve"> </w:t>
      </w:r>
      <w:r w:rsidRPr="005D705F">
        <w:rPr>
          <w:lang w:eastAsia="en-US"/>
        </w:rPr>
        <w:t>store and t</w:t>
      </w:r>
      <w:r w:rsidR="00D007A2">
        <w:rPr>
          <w:lang w:eastAsia="en-US"/>
        </w:rPr>
        <w:t xml:space="preserve">hen utilise </w:t>
      </w:r>
      <w:r w:rsidR="00677D9D">
        <w:rPr>
          <w:lang w:eastAsia="en-US"/>
        </w:rPr>
        <w:t xml:space="preserve">it </w:t>
      </w:r>
      <w:r w:rsidR="006C2753">
        <w:rPr>
          <w:lang w:eastAsia="en-US"/>
        </w:rPr>
        <w:t>when RES is in deficit</w:t>
      </w:r>
      <w:r w:rsidR="006C3402">
        <w:rPr>
          <w:lang w:eastAsia="en-US"/>
        </w:rPr>
        <w:t>.</w:t>
      </w:r>
      <w:r w:rsidR="00C44722">
        <w:rPr>
          <w:lang w:eastAsia="en-US"/>
        </w:rPr>
        <w:t xml:space="preserve"> </w:t>
      </w:r>
      <w:r w:rsidR="00C44722">
        <w:rPr>
          <w:lang w:eastAsia="en-US"/>
        </w:rPr>
        <w:fldChar w:fldCharType="begin"/>
      </w:r>
      <w:r w:rsidR="00C44722">
        <w:rPr>
          <w:lang w:eastAsia="en-US"/>
        </w:rPr>
        <w:instrText xml:space="preserve"> REF _Ref500505529 \h </w:instrText>
      </w:r>
      <w:r w:rsidR="00C44722">
        <w:rPr>
          <w:lang w:eastAsia="en-US"/>
        </w:rPr>
      </w:r>
      <w:r w:rsidR="00C44722">
        <w:rPr>
          <w:lang w:eastAsia="en-US"/>
        </w:rPr>
        <w:fldChar w:fldCharType="separate"/>
      </w:r>
      <w:r w:rsidR="0061553F">
        <w:t xml:space="preserve">Table </w:t>
      </w:r>
      <w:r w:rsidR="0061553F">
        <w:rPr>
          <w:noProof/>
        </w:rPr>
        <w:t>3</w:t>
      </w:r>
      <w:r w:rsidR="00C44722">
        <w:rPr>
          <w:lang w:eastAsia="en-US"/>
        </w:rPr>
        <w:fldChar w:fldCharType="end"/>
      </w:r>
      <w:r w:rsidR="009701ED" w:rsidRPr="005D705F">
        <w:rPr>
          <w:lang w:eastAsia="en-US"/>
        </w:rPr>
        <w:t xml:space="preserve"> </w:t>
      </w:r>
      <w:r w:rsidR="006B4859">
        <w:rPr>
          <w:lang w:eastAsia="en-US"/>
        </w:rPr>
        <w:t xml:space="preserve">also </w:t>
      </w:r>
      <w:r w:rsidRPr="005D705F">
        <w:rPr>
          <w:lang w:eastAsia="en-US"/>
        </w:rPr>
        <w:t xml:space="preserve">shows the </w:t>
      </w:r>
      <w:r w:rsidR="005C722F">
        <w:rPr>
          <w:lang w:eastAsia="en-US"/>
        </w:rPr>
        <w:t xml:space="preserve">annual </w:t>
      </w:r>
      <w:r w:rsidRPr="005D705F">
        <w:rPr>
          <w:lang w:eastAsia="en-US"/>
        </w:rPr>
        <w:t xml:space="preserve">revenue </w:t>
      </w:r>
      <w:r w:rsidR="003B7E9F">
        <w:rPr>
          <w:lang w:eastAsia="en-US"/>
        </w:rPr>
        <w:t>which</w:t>
      </w:r>
      <w:r w:rsidR="003B7E9F" w:rsidRPr="005D705F">
        <w:rPr>
          <w:lang w:eastAsia="en-US"/>
        </w:rPr>
        <w:t xml:space="preserve"> </w:t>
      </w:r>
      <w:r w:rsidR="001E1D03" w:rsidRPr="005D705F">
        <w:rPr>
          <w:lang w:eastAsia="en-US"/>
        </w:rPr>
        <w:t xml:space="preserve">could be generated by storing RES and using </w:t>
      </w:r>
      <w:r w:rsidR="001E1D03" w:rsidRPr="005D705F">
        <w:rPr>
          <w:lang w:eastAsia="en-US"/>
        </w:rPr>
        <w:lastRenderedPageBreak/>
        <w:t>this energy when RES is not being generated</w:t>
      </w:r>
      <w:r w:rsidR="00524748" w:rsidRPr="005D705F">
        <w:rPr>
          <w:lang w:eastAsia="en-US"/>
        </w:rPr>
        <w:t xml:space="preserve"> at an RTE of 0.8</w:t>
      </w:r>
      <w:r w:rsidR="001E1D03" w:rsidRPr="005D705F">
        <w:rPr>
          <w:lang w:eastAsia="en-US"/>
        </w:rPr>
        <w:t>.  For solar panels</w:t>
      </w:r>
      <w:r w:rsidR="006B4859">
        <w:rPr>
          <w:lang w:eastAsia="en-US"/>
        </w:rPr>
        <w:t>,</w:t>
      </w:r>
      <w:r w:rsidR="001E1D03" w:rsidRPr="005D705F">
        <w:rPr>
          <w:lang w:eastAsia="en-US"/>
        </w:rPr>
        <w:t xml:space="preserve"> this would require storing energy during the day (peak times) and </w:t>
      </w:r>
      <w:r w:rsidR="009207F9">
        <w:rPr>
          <w:lang w:eastAsia="en-US"/>
        </w:rPr>
        <w:t>releasing</w:t>
      </w:r>
      <w:r w:rsidR="001E1D03" w:rsidRPr="005D705F">
        <w:rPr>
          <w:lang w:eastAsia="en-US"/>
        </w:rPr>
        <w:t xml:space="preserve"> </w:t>
      </w:r>
      <w:r w:rsidR="009701ED" w:rsidRPr="005D705F">
        <w:rPr>
          <w:lang w:eastAsia="en-US"/>
        </w:rPr>
        <w:t>at night (</w:t>
      </w:r>
      <w:r w:rsidR="00677D9D" w:rsidRPr="005D705F">
        <w:rPr>
          <w:lang w:eastAsia="en-US"/>
        </w:rPr>
        <w:t>off</w:t>
      </w:r>
      <w:r w:rsidR="00677D9D">
        <w:rPr>
          <w:lang w:eastAsia="en-US"/>
        </w:rPr>
        <w:t>-</w:t>
      </w:r>
      <w:r w:rsidR="001E1D03" w:rsidRPr="005D705F">
        <w:rPr>
          <w:lang w:eastAsia="en-US"/>
        </w:rPr>
        <w:t xml:space="preserve">peak times).  For this scenario all </w:t>
      </w:r>
      <w:r w:rsidR="004475C7" w:rsidRPr="005D705F">
        <w:rPr>
          <w:lang w:eastAsia="en-US"/>
        </w:rPr>
        <w:t>warehouses</w:t>
      </w:r>
      <w:r w:rsidR="001E1D03" w:rsidRPr="005D705F">
        <w:rPr>
          <w:lang w:eastAsia="en-US"/>
        </w:rPr>
        <w:t xml:space="preserve"> can </w:t>
      </w:r>
      <w:r w:rsidR="006805E1">
        <w:rPr>
          <w:lang w:eastAsia="en-US"/>
        </w:rPr>
        <w:t xml:space="preserve">potentially </w:t>
      </w:r>
      <w:r w:rsidR="001E1D03" w:rsidRPr="005D705F">
        <w:rPr>
          <w:lang w:eastAsia="en-US"/>
        </w:rPr>
        <w:t>generate revenue.</w:t>
      </w:r>
      <w:r w:rsidR="00B27CE4" w:rsidRPr="005D705F">
        <w:rPr>
          <w:lang w:eastAsia="en-US"/>
        </w:rPr>
        <w:t xml:space="preserve">  </w:t>
      </w:r>
      <w:r w:rsidR="004475C7" w:rsidRPr="00A135B2">
        <w:rPr>
          <w:lang w:eastAsia="en-US"/>
        </w:rPr>
        <w:t xml:space="preserve">The largest revenue </w:t>
      </w:r>
      <w:r w:rsidR="00030E45" w:rsidRPr="00A135B2">
        <w:rPr>
          <w:lang w:eastAsia="en-US"/>
        </w:rPr>
        <w:t xml:space="preserve">appears </w:t>
      </w:r>
      <w:r w:rsidR="004475C7" w:rsidRPr="00A135B2">
        <w:rPr>
          <w:lang w:eastAsia="en-US"/>
        </w:rPr>
        <w:t xml:space="preserve">for </w:t>
      </w:r>
      <w:r w:rsidR="001E1D03" w:rsidRPr="00A135B2">
        <w:rPr>
          <w:lang w:eastAsia="en-US"/>
        </w:rPr>
        <w:t>the Belgium warehouse</w:t>
      </w:r>
      <w:r w:rsidR="004475C7" w:rsidRPr="00A135B2">
        <w:rPr>
          <w:lang w:eastAsia="en-US"/>
        </w:rPr>
        <w:t xml:space="preserve"> </w:t>
      </w:r>
      <w:r w:rsidR="006805E1" w:rsidRPr="00A135B2">
        <w:rPr>
          <w:lang w:eastAsia="en-US"/>
        </w:rPr>
        <w:br/>
      </w:r>
      <w:r w:rsidR="004475C7" w:rsidRPr="00A135B2">
        <w:rPr>
          <w:lang w:eastAsia="en-US"/>
        </w:rPr>
        <w:t>(</w:t>
      </w:r>
      <w:r w:rsidR="001D7E56" w:rsidRPr="00A135B2">
        <w:rPr>
          <w:szCs w:val="22"/>
        </w:rPr>
        <w:t>0</w:t>
      </w:r>
      <w:r w:rsidR="006805E1" w:rsidRPr="00A135B2">
        <w:rPr>
          <w:szCs w:val="22"/>
        </w:rPr>
        <w:t>.043</w:t>
      </w:r>
      <w:r w:rsidR="001D7E56" w:rsidRPr="00A135B2">
        <w:rPr>
          <w:szCs w:val="22"/>
        </w:rPr>
        <w:t xml:space="preserve"> €.</w:t>
      </w:r>
      <w:r w:rsidR="004475C7" w:rsidRPr="00A135B2">
        <w:rPr>
          <w:szCs w:val="22"/>
        </w:rPr>
        <w:t>kWh</w:t>
      </w:r>
      <w:r w:rsidR="001D7E56" w:rsidRPr="00A135B2">
        <w:rPr>
          <w:vertAlign w:val="superscript"/>
        </w:rPr>
        <w:t>-1</w:t>
      </w:r>
      <w:r w:rsidR="004475C7" w:rsidRPr="00A135B2">
        <w:rPr>
          <w:szCs w:val="22"/>
        </w:rPr>
        <w:t>)</w:t>
      </w:r>
      <w:r w:rsidR="001E1D03" w:rsidRPr="00A135B2">
        <w:rPr>
          <w:lang w:eastAsia="en-US"/>
        </w:rPr>
        <w:t>.</w:t>
      </w:r>
      <w:r w:rsidR="00911914" w:rsidRPr="005D705F">
        <w:rPr>
          <w:lang w:eastAsia="en-US"/>
        </w:rPr>
        <w:t xml:space="preserve">  </w:t>
      </w:r>
      <w:r w:rsidR="00911914" w:rsidRPr="005D705F">
        <w:rPr>
          <w:szCs w:val="22"/>
        </w:rPr>
        <w:t xml:space="preserve">However, this requires much </w:t>
      </w:r>
      <w:r w:rsidR="004210F9">
        <w:rPr>
          <w:szCs w:val="22"/>
        </w:rPr>
        <w:t>more powerful</w:t>
      </w:r>
      <w:r w:rsidR="004210F9" w:rsidRPr="005D705F">
        <w:rPr>
          <w:szCs w:val="22"/>
        </w:rPr>
        <w:t xml:space="preserve"> </w:t>
      </w:r>
      <w:r w:rsidR="00911914" w:rsidRPr="005D705F">
        <w:rPr>
          <w:szCs w:val="22"/>
        </w:rPr>
        <w:t xml:space="preserve">RES than </w:t>
      </w:r>
      <w:r w:rsidR="004210F9">
        <w:rPr>
          <w:szCs w:val="22"/>
        </w:rPr>
        <w:t>commonly</w:t>
      </w:r>
      <w:r w:rsidR="00677D9D">
        <w:rPr>
          <w:szCs w:val="22"/>
        </w:rPr>
        <w:t xml:space="preserve"> available</w:t>
      </w:r>
      <w:r w:rsidR="004210F9">
        <w:rPr>
          <w:szCs w:val="22"/>
        </w:rPr>
        <w:t xml:space="preserve"> </w:t>
      </w:r>
      <w:r w:rsidR="00911914" w:rsidRPr="005D705F">
        <w:rPr>
          <w:szCs w:val="22"/>
        </w:rPr>
        <w:t xml:space="preserve">on </w:t>
      </w:r>
      <w:r w:rsidR="00677D9D">
        <w:rPr>
          <w:szCs w:val="22"/>
        </w:rPr>
        <w:t xml:space="preserve">a </w:t>
      </w:r>
      <w:r w:rsidR="00911914" w:rsidRPr="005D705F">
        <w:rPr>
          <w:szCs w:val="22"/>
        </w:rPr>
        <w:t>typical CSW</w:t>
      </w:r>
      <w:r w:rsidR="00B9706C">
        <w:rPr>
          <w:szCs w:val="22"/>
        </w:rPr>
        <w:t>.</w:t>
      </w:r>
    </w:p>
    <w:p w14:paraId="3C3C2B27" w14:textId="77777777" w:rsidR="009C1B63" w:rsidRDefault="009C1B63" w:rsidP="009C1B63">
      <w:pPr>
        <w:spacing w:after="0"/>
        <w:rPr>
          <w:szCs w:val="22"/>
        </w:rPr>
      </w:pPr>
    </w:p>
    <w:p w14:paraId="6DB3DFE6" w14:textId="000A9B35" w:rsidR="00C614A7" w:rsidRPr="00C614A7" w:rsidDel="009C1B63" w:rsidRDefault="00EC42A2" w:rsidP="00420D30">
      <w:pPr>
        <w:pStyle w:val="Heading2"/>
        <w:ind w:left="576" w:hanging="576"/>
      </w:pPr>
      <w:r w:rsidRPr="005D705F" w:rsidDel="009C1B63">
        <w:t xml:space="preserve">Capital </w:t>
      </w:r>
      <w:r w:rsidR="00B27CE4" w:rsidRPr="005D705F" w:rsidDel="009C1B63">
        <w:t>costs and payback</w:t>
      </w:r>
      <w:r w:rsidR="007F53D2" w:rsidRPr="005D705F" w:rsidDel="009C1B63">
        <w:t xml:space="preserve"> of LAES</w:t>
      </w:r>
    </w:p>
    <w:p w14:paraId="62E2336E" w14:textId="45330AFC" w:rsidR="00850AE6" w:rsidRDefault="00D44555" w:rsidP="00B039C0">
      <w:pPr>
        <w:spacing w:after="240"/>
      </w:pPr>
      <w:bookmarkStart w:id="9" w:name="_Ref489456462"/>
      <w:r>
        <w:t>While the</w:t>
      </w:r>
      <w:r w:rsidRPr="005D705F">
        <w:t xml:space="preserve"> </w:t>
      </w:r>
      <w:r w:rsidR="003139F0">
        <w:t>previous</w:t>
      </w:r>
      <w:r w:rsidR="003139F0" w:rsidRPr="005D705F">
        <w:t xml:space="preserve"> evaluation</w:t>
      </w:r>
      <w:r w:rsidR="003139F0">
        <w:t>s</w:t>
      </w:r>
      <w:r w:rsidR="003139F0" w:rsidRPr="005D705F">
        <w:t xml:space="preserve"> </w:t>
      </w:r>
      <w:r w:rsidR="003139F0">
        <w:t>were</w:t>
      </w:r>
      <w:r w:rsidR="003139F0" w:rsidRPr="005D705F">
        <w:t xml:space="preserve"> based solely on revenue</w:t>
      </w:r>
      <w:r>
        <w:t>, the</w:t>
      </w:r>
      <w:r w:rsidR="003139F0" w:rsidRPr="005D705F">
        <w:t xml:space="preserve"> following assessment includes capital cost and payback. The capital costs (CAPEX) were based on the </w:t>
      </w:r>
      <w:proofErr w:type="spellStart"/>
      <w:r w:rsidR="003139F0" w:rsidRPr="005D705F">
        <w:t>Highview</w:t>
      </w:r>
      <w:proofErr w:type="spellEnd"/>
      <w:r w:rsidR="003139F0" w:rsidRPr="005D705F">
        <w:t xml:space="preserve"> system (</w:t>
      </w:r>
      <w:proofErr w:type="spellStart"/>
      <w:r w:rsidR="003139F0" w:rsidRPr="005D705F">
        <w:t>Highview</w:t>
      </w:r>
      <w:proofErr w:type="spellEnd"/>
      <w:r w:rsidR="003139F0" w:rsidRPr="005D705F">
        <w:t xml:space="preserve">, 2012).  They assume a 4 MW liquefaction system, a 10 MW power recovery unit (PRU) and 4 hours of storage.  The unit is assumed to charge in 10 hours and discharge in 4 hours every day.  This provides a 40 MWh capacity.  This is a larger system than needed for the CSW </w:t>
      </w:r>
      <w:r w:rsidR="00E51A4F">
        <w:t>mentioned</w:t>
      </w:r>
      <w:r w:rsidR="00E51A4F" w:rsidRPr="005D705F">
        <w:t xml:space="preserve"> </w:t>
      </w:r>
      <w:r w:rsidR="003139F0">
        <w:t>here</w:t>
      </w:r>
      <w:r w:rsidR="003139F0" w:rsidRPr="005D705F">
        <w:t xml:space="preserve">, but </w:t>
      </w:r>
      <w:r w:rsidR="00E51A4F">
        <w:t xml:space="preserve">it is of </w:t>
      </w:r>
      <w:r w:rsidR="003139F0" w:rsidRPr="005D705F">
        <w:t>the same order of magnitude</w:t>
      </w:r>
      <w:r w:rsidR="00E51A4F">
        <w:t>, thereby offering</w:t>
      </w:r>
      <w:r w:rsidR="003139F0" w:rsidRPr="005D705F">
        <w:t xml:space="preserve"> an appropriate size for some very large CSWs. The CAPEX of the LAES system for the 10 MW PRU and larger versions is given in </w:t>
      </w:r>
      <w:r w:rsidR="003139F0">
        <w:fldChar w:fldCharType="begin"/>
      </w:r>
      <w:r w:rsidR="003139F0">
        <w:instrText xml:space="preserve"> REF _Ref500505529 \h  \* MERGEFORMAT </w:instrText>
      </w:r>
      <w:r w:rsidR="003139F0">
        <w:fldChar w:fldCharType="separate"/>
      </w:r>
      <w:r w:rsidR="00850AE6" w:rsidRPr="00850AE6">
        <w:t xml:space="preserve">Table </w:t>
      </w:r>
      <w:r w:rsidR="00850AE6" w:rsidRPr="00850AE6">
        <w:rPr>
          <w:noProof/>
        </w:rPr>
        <w:t>4</w:t>
      </w:r>
      <w:r w:rsidR="003139F0">
        <w:fldChar w:fldCharType="end"/>
      </w:r>
      <w:r w:rsidR="003139F0" w:rsidRPr="005D705F">
        <w:t xml:space="preserve"> as well as the cost for 1st of kind (</w:t>
      </w:r>
      <w:proofErr w:type="spellStart"/>
      <w:r w:rsidR="003139F0" w:rsidRPr="005D705F">
        <w:t>FoK</w:t>
      </w:r>
      <w:proofErr w:type="spellEnd"/>
      <w:r w:rsidR="003139F0" w:rsidRPr="005D705F">
        <w:t>), 10</w:t>
      </w:r>
      <w:r w:rsidR="003139F0" w:rsidRPr="005D705F">
        <w:rPr>
          <w:vertAlign w:val="superscript"/>
        </w:rPr>
        <w:t>th</w:t>
      </w:r>
      <w:r w:rsidR="003139F0" w:rsidRPr="005D705F">
        <w:t xml:space="preserve"> of kind (OK) and 100</w:t>
      </w:r>
      <w:r w:rsidR="003139F0" w:rsidRPr="005D705F">
        <w:rPr>
          <w:vertAlign w:val="superscript"/>
        </w:rPr>
        <w:t>th</w:t>
      </w:r>
      <w:r w:rsidR="003139F0" w:rsidRPr="005D705F">
        <w:t xml:space="preserve"> OK.  A factor of 0.6 was used to scale the systems (meaning a 20 MW unit would cost (20/10)</w:t>
      </w:r>
      <w:r w:rsidR="003139F0" w:rsidRPr="005D705F">
        <w:rPr>
          <w:vertAlign w:val="superscript"/>
        </w:rPr>
        <w:t>0.6</w:t>
      </w:r>
      <w:r w:rsidR="003139F0" w:rsidRPr="005D705F">
        <w:t xml:space="preserve"> as much as the 10 MW unit.  A learning rate of 17.5% was used</w:t>
      </w:r>
      <w:r w:rsidR="00DE5DEE">
        <w:t xml:space="preserve"> </w:t>
      </w:r>
      <w:r w:rsidR="00DE5DEE" w:rsidRPr="005D705F">
        <w:t>(</w:t>
      </w:r>
      <w:proofErr w:type="spellStart"/>
      <w:r w:rsidR="00DE5DEE" w:rsidRPr="005D705F">
        <w:t>Highview</w:t>
      </w:r>
      <w:proofErr w:type="spellEnd"/>
      <w:r w:rsidR="00DE5DEE" w:rsidRPr="005D705F">
        <w:t>, 2012)</w:t>
      </w:r>
      <w:r w:rsidR="003139F0" w:rsidRPr="005D705F">
        <w:t>, meaning costs reduced by 17.5% each time the number of units was doubled.</w:t>
      </w:r>
    </w:p>
    <w:p w14:paraId="398448D4" w14:textId="77777777" w:rsidR="00850AE6" w:rsidRPr="00FF0C8D" w:rsidRDefault="00850AE6" w:rsidP="00850AE6">
      <w:pPr>
        <w:pStyle w:val="Caption"/>
        <w:spacing w:after="120"/>
        <w:rPr>
          <w:sz w:val="22"/>
          <w:szCs w:val="22"/>
        </w:rPr>
      </w:pPr>
      <w:bookmarkStart w:id="10" w:name="_Ref500505529"/>
      <w:proofErr w:type="gramStart"/>
      <w:r w:rsidRPr="00FF0C8D">
        <w:rPr>
          <w:sz w:val="22"/>
          <w:szCs w:val="22"/>
        </w:rPr>
        <w:t xml:space="preserve">Table </w:t>
      </w:r>
      <w:r w:rsidRPr="00FF0C8D">
        <w:rPr>
          <w:sz w:val="22"/>
          <w:szCs w:val="22"/>
        </w:rPr>
        <w:fldChar w:fldCharType="begin"/>
      </w:r>
      <w:r w:rsidRPr="00FF0C8D">
        <w:rPr>
          <w:sz w:val="22"/>
          <w:szCs w:val="22"/>
        </w:rPr>
        <w:instrText xml:space="preserve"> SEQ Table \* ARABIC </w:instrText>
      </w:r>
      <w:r w:rsidRPr="00FF0C8D">
        <w:rPr>
          <w:sz w:val="22"/>
          <w:szCs w:val="22"/>
        </w:rPr>
        <w:fldChar w:fldCharType="separate"/>
      </w:r>
      <w:r>
        <w:rPr>
          <w:noProof/>
          <w:sz w:val="22"/>
          <w:szCs w:val="22"/>
        </w:rPr>
        <w:t>4</w:t>
      </w:r>
      <w:r w:rsidRPr="00FF0C8D">
        <w:rPr>
          <w:noProof/>
          <w:sz w:val="22"/>
          <w:szCs w:val="22"/>
        </w:rPr>
        <w:fldChar w:fldCharType="end"/>
      </w:r>
      <w:bookmarkEnd w:id="10"/>
      <w:r w:rsidRPr="00FF0C8D">
        <w:rPr>
          <w:sz w:val="22"/>
          <w:szCs w:val="22"/>
        </w:rPr>
        <w:t>.</w:t>
      </w:r>
      <w:proofErr w:type="gramEnd"/>
      <w:r w:rsidRPr="00FF0C8D">
        <w:rPr>
          <w:sz w:val="22"/>
          <w:szCs w:val="22"/>
        </w:rPr>
        <w:t xml:space="preserve">  CAPEX for different size and number of LAES systems (</w:t>
      </w:r>
      <w:proofErr w:type="spellStart"/>
      <w:r w:rsidRPr="00FF0C8D">
        <w:rPr>
          <w:sz w:val="22"/>
          <w:szCs w:val="22"/>
        </w:rPr>
        <w:t>Highview</w:t>
      </w:r>
      <w:proofErr w:type="spellEnd"/>
      <w:r w:rsidRPr="00FF0C8D">
        <w:rPr>
          <w:sz w:val="22"/>
          <w:szCs w:val="22"/>
        </w:rPr>
        <w:t>, 2012)</w:t>
      </w:r>
    </w:p>
    <w:tbl>
      <w:tblPr>
        <w:tblStyle w:val="LightList-Accent3"/>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43"/>
        <w:gridCol w:w="1843"/>
        <w:gridCol w:w="2126"/>
        <w:gridCol w:w="1985"/>
      </w:tblGrid>
      <w:tr w:rsidR="00850AE6" w:rsidRPr="00FF0C8D" w14:paraId="575D18C1" w14:textId="77777777" w:rsidTr="004D7A4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bottom w:val="single" w:sz="4" w:space="0" w:color="auto"/>
            </w:tcBorders>
            <w:shd w:val="clear" w:color="auto" w:fill="auto"/>
          </w:tcPr>
          <w:p w14:paraId="22EAB267" w14:textId="77777777" w:rsidR="00850AE6" w:rsidRPr="00FF0C8D" w:rsidRDefault="00850AE6" w:rsidP="004D7A49">
            <w:pPr>
              <w:spacing w:before="40" w:after="40"/>
              <w:jc w:val="center"/>
              <w:rPr>
                <w:rFonts w:ascii="Times New Roman" w:hAnsi="Times New Roman" w:cs="Times New Roman"/>
                <w:b w:val="0"/>
                <w:color w:val="auto"/>
              </w:rPr>
            </w:pPr>
            <w:r w:rsidRPr="00FF0C8D">
              <w:rPr>
                <w:rFonts w:ascii="Times New Roman" w:hAnsi="Times New Roman" w:cs="Times New Roman"/>
                <w:color w:val="auto"/>
              </w:rPr>
              <w:t>PRU (MW)</w:t>
            </w:r>
          </w:p>
        </w:tc>
        <w:tc>
          <w:tcPr>
            <w:tcW w:w="1843" w:type="dxa"/>
            <w:tcBorders>
              <w:top w:val="single" w:sz="4" w:space="0" w:color="auto"/>
              <w:bottom w:val="single" w:sz="4" w:space="0" w:color="auto"/>
            </w:tcBorders>
            <w:shd w:val="clear" w:color="auto" w:fill="auto"/>
          </w:tcPr>
          <w:p w14:paraId="20CAD48A" w14:textId="77777777" w:rsidR="00850AE6" w:rsidRPr="00FF0C8D" w:rsidRDefault="00850AE6" w:rsidP="004D7A49">
            <w:pPr>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proofErr w:type="spellStart"/>
            <w:r w:rsidRPr="00FF0C8D">
              <w:rPr>
                <w:rFonts w:ascii="Times New Roman" w:hAnsi="Times New Roman" w:cs="Times New Roman"/>
                <w:color w:val="auto"/>
              </w:rPr>
              <w:t>FoK</w:t>
            </w:r>
            <w:proofErr w:type="spellEnd"/>
            <w:r w:rsidRPr="00FF0C8D">
              <w:rPr>
                <w:rFonts w:ascii="Times New Roman" w:hAnsi="Times New Roman" w:cs="Times New Roman"/>
                <w:color w:val="auto"/>
              </w:rPr>
              <w:t xml:space="preserve"> </w:t>
            </w:r>
          </w:p>
        </w:tc>
        <w:tc>
          <w:tcPr>
            <w:tcW w:w="2126" w:type="dxa"/>
            <w:tcBorders>
              <w:top w:val="single" w:sz="4" w:space="0" w:color="auto"/>
              <w:bottom w:val="single" w:sz="4" w:space="0" w:color="auto"/>
            </w:tcBorders>
            <w:shd w:val="clear" w:color="auto" w:fill="auto"/>
          </w:tcPr>
          <w:p w14:paraId="204871AD" w14:textId="77777777" w:rsidR="00850AE6" w:rsidRPr="00FF0C8D" w:rsidRDefault="00850AE6" w:rsidP="004D7A49">
            <w:pPr>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FF0C8D">
              <w:rPr>
                <w:rFonts w:ascii="Times New Roman" w:hAnsi="Times New Roman" w:cs="Times New Roman"/>
                <w:color w:val="auto"/>
              </w:rPr>
              <w:t xml:space="preserve">10th OK </w:t>
            </w:r>
          </w:p>
        </w:tc>
        <w:tc>
          <w:tcPr>
            <w:tcW w:w="1985" w:type="dxa"/>
            <w:tcBorders>
              <w:top w:val="single" w:sz="4" w:space="0" w:color="auto"/>
              <w:bottom w:val="single" w:sz="4" w:space="0" w:color="auto"/>
            </w:tcBorders>
            <w:shd w:val="clear" w:color="auto" w:fill="auto"/>
          </w:tcPr>
          <w:p w14:paraId="163DAE86" w14:textId="77777777" w:rsidR="00850AE6" w:rsidRPr="00FF0C8D" w:rsidRDefault="00850AE6" w:rsidP="004D7A49">
            <w:pPr>
              <w:spacing w:before="40" w:after="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FF0C8D">
              <w:rPr>
                <w:rFonts w:ascii="Times New Roman" w:hAnsi="Times New Roman" w:cs="Times New Roman"/>
                <w:color w:val="auto"/>
              </w:rPr>
              <w:t>100th OK</w:t>
            </w:r>
          </w:p>
        </w:tc>
      </w:tr>
      <w:tr w:rsidR="00850AE6" w:rsidRPr="00FF0C8D" w14:paraId="1F58AA5E" w14:textId="77777777" w:rsidTr="004D7A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none" w:sz="0" w:space="0" w:color="auto"/>
              <w:bottom w:val="none" w:sz="0" w:space="0" w:color="auto"/>
            </w:tcBorders>
            <w:shd w:val="clear" w:color="auto" w:fill="auto"/>
          </w:tcPr>
          <w:p w14:paraId="298B884B" w14:textId="77777777" w:rsidR="00850AE6" w:rsidRPr="00FF0C8D" w:rsidRDefault="00850AE6" w:rsidP="004D7A49">
            <w:pPr>
              <w:spacing w:before="40" w:after="40"/>
              <w:jc w:val="center"/>
              <w:rPr>
                <w:rFonts w:ascii="Times New Roman" w:hAnsi="Times New Roman" w:cs="Times New Roman"/>
                <w:b w:val="0"/>
              </w:rPr>
            </w:pPr>
          </w:p>
        </w:tc>
        <w:tc>
          <w:tcPr>
            <w:tcW w:w="5954" w:type="dxa"/>
            <w:gridSpan w:val="3"/>
            <w:tcBorders>
              <w:top w:val="single" w:sz="4" w:space="0" w:color="auto"/>
              <w:bottom w:val="none" w:sz="0" w:space="0" w:color="auto"/>
              <w:right w:val="none" w:sz="0" w:space="0" w:color="auto"/>
            </w:tcBorders>
            <w:shd w:val="clear" w:color="auto" w:fill="auto"/>
          </w:tcPr>
          <w:p w14:paraId="68F87977" w14:textId="77777777" w:rsidR="00850AE6" w:rsidRPr="00FF0C8D" w:rsidRDefault="00850AE6" w:rsidP="004D7A49">
            <w:pPr>
              <w:tabs>
                <w:tab w:val="decimal" w:pos="898"/>
              </w:tabs>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F0C8D">
              <w:rPr>
                <w:rFonts w:ascii="Times New Roman" w:hAnsi="Times New Roman" w:cs="Times New Roman"/>
              </w:rPr>
              <w:t>CAPEX (M€)</w:t>
            </w:r>
          </w:p>
        </w:tc>
      </w:tr>
      <w:tr w:rsidR="00850AE6" w:rsidRPr="00FF0C8D" w14:paraId="52B305CF" w14:textId="77777777" w:rsidTr="004D7A49">
        <w:trPr>
          <w:jc w:val="center"/>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278C8D59" w14:textId="77777777" w:rsidR="00850AE6" w:rsidRPr="00FF0C8D" w:rsidRDefault="00850AE6" w:rsidP="004D7A49">
            <w:pPr>
              <w:spacing w:before="40" w:after="40"/>
              <w:jc w:val="center"/>
              <w:rPr>
                <w:rFonts w:ascii="Times New Roman" w:hAnsi="Times New Roman" w:cs="Times New Roman"/>
                <w:b w:val="0"/>
              </w:rPr>
            </w:pPr>
            <w:r w:rsidRPr="00FF0C8D">
              <w:rPr>
                <w:rFonts w:ascii="Times New Roman" w:hAnsi="Times New Roman" w:cs="Times New Roman"/>
                <w:b w:val="0"/>
              </w:rPr>
              <w:t>10</w:t>
            </w:r>
          </w:p>
        </w:tc>
        <w:tc>
          <w:tcPr>
            <w:tcW w:w="1843" w:type="dxa"/>
            <w:shd w:val="clear" w:color="auto" w:fill="auto"/>
          </w:tcPr>
          <w:p w14:paraId="561767D2" w14:textId="77777777" w:rsidR="00850AE6" w:rsidRPr="00FF0C8D" w:rsidRDefault="00850AE6" w:rsidP="004D7A49">
            <w:pPr>
              <w:pStyle w:val="Header"/>
              <w:tabs>
                <w:tab w:val="decimal" w:pos="898"/>
              </w:tabs>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0C8D">
              <w:rPr>
                <w:rFonts w:ascii="Times New Roman" w:hAnsi="Times New Roman" w:cs="Times New Roman"/>
              </w:rPr>
              <w:t>25.4</w:t>
            </w:r>
          </w:p>
        </w:tc>
        <w:tc>
          <w:tcPr>
            <w:tcW w:w="2126" w:type="dxa"/>
            <w:shd w:val="clear" w:color="auto" w:fill="auto"/>
          </w:tcPr>
          <w:p w14:paraId="5AF6D0FC" w14:textId="77777777" w:rsidR="00850AE6" w:rsidRPr="00FF0C8D" w:rsidRDefault="00850AE6" w:rsidP="004D7A49">
            <w:pPr>
              <w:tabs>
                <w:tab w:val="decimal" w:pos="673"/>
              </w:tabs>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0C8D">
              <w:rPr>
                <w:rFonts w:ascii="Times New Roman" w:hAnsi="Times New Roman" w:cs="Times New Roman"/>
              </w:rPr>
              <w:t>13.4</w:t>
            </w:r>
          </w:p>
        </w:tc>
        <w:tc>
          <w:tcPr>
            <w:tcW w:w="1985" w:type="dxa"/>
            <w:shd w:val="clear" w:color="auto" w:fill="auto"/>
          </w:tcPr>
          <w:p w14:paraId="49BC2A63" w14:textId="77777777" w:rsidR="00850AE6" w:rsidRPr="00FF0C8D" w:rsidRDefault="00850AE6" w:rsidP="004D7A49">
            <w:pPr>
              <w:tabs>
                <w:tab w:val="decimal" w:pos="673"/>
              </w:tabs>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0C8D">
              <w:rPr>
                <w:rFonts w:ascii="Times New Roman" w:hAnsi="Times New Roman" w:cs="Times New Roman"/>
              </w:rPr>
              <w:t>7.1</w:t>
            </w:r>
          </w:p>
        </w:tc>
      </w:tr>
      <w:tr w:rsidR="00850AE6" w:rsidRPr="00FF0C8D" w14:paraId="0144E0BD" w14:textId="77777777" w:rsidTr="004D7A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tcBorders>
            <w:shd w:val="clear" w:color="auto" w:fill="auto"/>
          </w:tcPr>
          <w:p w14:paraId="38F2BAFB" w14:textId="77777777" w:rsidR="00850AE6" w:rsidRPr="00FF0C8D" w:rsidRDefault="00850AE6" w:rsidP="004D7A49">
            <w:pPr>
              <w:spacing w:before="40" w:after="40"/>
              <w:jc w:val="center"/>
              <w:rPr>
                <w:rFonts w:ascii="Times New Roman" w:hAnsi="Times New Roman" w:cs="Times New Roman"/>
                <w:b w:val="0"/>
              </w:rPr>
            </w:pPr>
            <w:r w:rsidRPr="00FF0C8D">
              <w:rPr>
                <w:rFonts w:ascii="Times New Roman" w:hAnsi="Times New Roman" w:cs="Times New Roman"/>
                <w:b w:val="0"/>
              </w:rPr>
              <w:t>50</w:t>
            </w:r>
          </w:p>
        </w:tc>
        <w:tc>
          <w:tcPr>
            <w:tcW w:w="1843" w:type="dxa"/>
            <w:tcBorders>
              <w:top w:val="none" w:sz="0" w:space="0" w:color="auto"/>
              <w:bottom w:val="none" w:sz="0" w:space="0" w:color="auto"/>
            </w:tcBorders>
            <w:shd w:val="clear" w:color="auto" w:fill="auto"/>
          </w:tcPr>
          <w:p w14:paraId="52FBEE6C" w14:textId="77777777" w:rsidR="00850AE6" w:rsidRPr="00FF0C8D" w:rsidRDefault="00850AE6" w:rsidP="004D7A49">
            <w:pPr>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F0C8D">
              <w:rPr>
                <w:rFonts w:ascii="Times New Roman" w:hAnsi="Times New Roman" w:cs="Times New Roman"/>
              </w:rPr>
              <w:t>70.7</w:t>
            </w:r>
          </w:p>
        </w:tc>
        <w:tc>
          <w:tcPr>
            <w:tcW w:w="2126" w:type="dxa"/>
            <w:tcBorders>
              <w:top w:val="none" w:sz="0" w:space="0" w:color="auto"/>
              <w:bottom w:val="none" w:sz="0" w:space="0" w:color="auto"/>
            </w:tcBorders>
            <w:shd w:val="clear" w:color="auto" w:fill="auto"/>
          </w:tcPr>
          <w:p w14:paraId="25F68AC4" w14:textId="77777777" w:rsidR="00850AE6" w:rsidRPr="00FF0C8D" w:rsidRDefault="00850AE6" w:rsidP="004D7A49">
            <w:pPr>
              <w:tabs>
                <w:tab w:val="decimal" w:pos="673"/>
              </w:tabs>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F0C8D">
              <w:rPr>
                <w:rFonts w:ascii="Times New Roman" w:hAnsi="Times New Roman" w:cs="Times New Roman"/>
              </w:rPr>
              <w:t>37.3</w:t>
            </w:r>
          </w:p>
        </w:tc>
        <w:tc>
          <w:tcPr>
            <w:tcW w:w="1985" w:type="dxa"/>
            <w:tcBorders>
              <w:top w:val="none" w:sz="0" w:space="0" w:color="auto"/>
              <w:bottom w:val="none" w:sz="0" w:space="0" w:color="auto"/>
              <w:right w:val="none" w:sz="0" w:space="0" w:color="auto"/>
            </w:tcBorders>
            <w:shd w:val="clear" w:color="auto" w:fill="auto"/>
          </w:tcPr>
          <w:p w14:paraId="7E363965" w14:textId="77777777" w:rsidR="00850AE6" w:rsidRPr="00FF0C8D" w:rsidRDefault="00850AE6" w:rsidP="004D7A49">
            <w:pPr>
              <w:tabs>
                <w:tab w:val="decimal" w:pos="673"/>
              </w:tabs>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F0C8D">
              <w:rPr>
                <w:rFonts w:ascii="Times New Roman" w:hAnsi="Times New Roman" w:cs="Times New Roman"/>
              </w:rPr>
              <w:t>19.7</w:t>
            </w:r>
          </w:p>
        </w:tc>
      </w:tr>
      <w:tr w:rsidR="00850AE6" w:rsidRPr="00FF0C8D" w14:paraId="4922F79C" w14:textId="77777777" w:rsidTr="004D7A49">
        <w:trPr>
          <w:jc w:val="center"/>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4A6E6EAD" w14:textId="77777777" w:rsidR="00850AE6" w:rsidRPr="00FF0C8D" w:rsidRDefault="00850AE6" w:rsidP="004D7A49">
            <w:pPr>
              <w:spacing w:before="40" w:after="40"/>
              <w:jc w:val="center"/>
              <w:rPr>
                <w:rFonts w:ascii="Times New Roman" w:hAnsi="Times New Roman" w:cs="Times New Roman"/>
                <w:b w:val="0"/>
              </w:rPr>
            </w:pPr>
            <w:r w:rsidRPr="00FF0C8D">
              <w:rPr>
                <w:rFonts w:ascii="Times New Roman" w:hAnsi="Times New Roman" w:cs="Times New Roman"/>
                <w:b w:val="0"/>
              </w:rPr>
              <w:t>200</w:t>
            </w:r>
          </w:p>
        </w:tc>
        <w:tc>
          <w:tcPr>
            <w:tcW w:w="1843" w:type="dxa"/>
            <w:shd w:val="clear" w:color="auto" w:fill="auto"/>
          </w:tcPr>
          <w:p w14:paraId="0998CFA6" w14:textId="77777777" w:rsidR="00850AE6" w:rsidRPr="00FF0C8D" w:rsidRDefault="00850AE6" w:rsidP="004D7A49">
            <w:pPr>
              <w:tabs>
                <w:tab w:val="decimal" w:pos="898"/>
              </w:tabs>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0C8D">
              <w:rPr>
                <w:rFonts w:ascii="Times New Roman" w:hAnsi="Times New Roman" w:cs="Times New Roman"/>
              </w:rPr>
              <w:t>174.4</w:t>
            </w:r>
          </w:p>
        </w:tc>
        <w:tc>
          <w:tcPr>
            <w:tcW w:w="2126" w:type="dxa"/>
            <w:shd w:val="clear" w:color="auto" w:fill="auto"/>
          </w:tcPr>
          <w:p w14:paraId="4662C85B" w14:textId="77777777" w:rsidR="00850AE6" w:rsidRPr="00FF0C8D" w:rsidRDefault="00850AE6" w:rsidP="004D7A49">
            <w:pPr>
              <w:tabs>
                <w:tab w:val="decimal" w:pos="673"/>
              </w:tabs>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0C8D">
              <w:rPr>
                <w:rFonts w:ascii="Times New Roman" w:hAnsi="Times New Roman" w:cs="Times New Roman"/>
              </w:rPr>
              <w:t>92.1</w:t>
            </w:r>
          </w:p>
        </w:tc>
        <w:tc>
          <w:tcPr>
            <w:tcW w:w="1985" w:type="dxa"/>
            <w:shd w:val="clear" w:color="auto" w:fill="auto"/>
          </w:tcPr>
          <w:p w14:paraId="56AD159C" w14:textId="77777777" w:rsidR="00850AE6" w:rsidRPr="00FF0C8D" w:rsidRDefault="00850AE6" w:rsidP="004D7A49">
            <w:pPr>
              <w:tabs>
                <w:tab w:val="decimal" w:pos="673"/>
              </w:tabs>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0C8D">
              <w:rPr>
                <w:rFonts w:ascii="Times New Roman" w:hAnsi="Times New Roman" w:cs="Times New Roman"/>
              </w:rPr>
              <w:t>48.6</w:t>
            </w:r>
          </w:p>
        </w:tc>
      </w:tr>
      <w:tr w:rsidR="00850AE6" w:rsidRPr="00FF0C8D" w14:paraId="651C5932" w14:textId="77777777" w:rsidTr="004D7A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tcBorders>
            <w:shd w:val="clear" w:color="auto" w:fill="auto"/>
          </w:tcPr>
          <w:p w14:paraId="5D81F1C3" w14:textId="77777777" w:rsidR="00850AE6" w:rsidRPr="00FF0C8D" w:rsidRDefault="00850AE6" w:rsidP="004D7A49">
            <w:pPr>
              <w:spacing w:before="40" w:after="40"/>
              <w:jc w:val="center"/>
              <w:rPr>
                <w:rFonts w:ascii="Times New Roman" w:hAnsi="Times New Roman" w:cs="Times New Roman"/>
                <w:b w:val="0"/>
              </w:rPr>
            </w:pPr>
          </w:p>
        </w:tc>
        <w:tc>
          <w:tcPr>
            <w:tcW w:w="5954" w:type="dxa"/>
            <w:gridSpan w:val="3"/>
            <w:tcBorders>
              <w:top w:val="none" w:sz="0" w:space="0" w:color="auto"/>
              <w:bottom w:val="none" w:sz="0" w:space="0" w:color="auto"/>
              <w:right w:val="none" w:sz="0" w:space="0" w:color="auto"/>
            </w:tcBorders>
            <w:shd w:val="clear" w:color="auto" w:fill="auto"/>
          </w:tcPr>
          <w:p w14:paraId="5D24BABA" w14:textId="77777777" w:rsidR="00850AE6" w:rsidRPr="00FF0C8D" w:rsidRDefault="00850AE6" w:rsidP="004D7A49">
            <w:pPr>
              <w:tabs>
                <w:tab w:val="decimal" w:pos="673"/>
              </w:tabs>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F0C8D">
              <w:rPr>
                <w:rFonts w:ascii="Times New Roman" w:hAnsi="Times New Roman" w:cs="Times New Roman"/>
              </w:rPr>
              <w:t>Revenue</w:t>
            </w:r>
            <w:r>
              <w:rPr>
                <w:rFonts w:ascii="Times New Roman" w:hAnsi="Times New Roman" w:cs="Times New Roman"/>
              </w:rPr>
              <w:t xml:space="preserve"> per year</w:t>
            </w:r>
            <w:r w:rsidRPr="00FF0C8D">
              <w:rPr>
                <w:rFonts w:ascii="Times New Roman" w:hAnsi="Times New Roman" w:cs="Times New Roman"/>
              </w:rPr>
              <w:t xml:space="preserve"> (M€)</w:t>
            </w:r>
          </w:p>
        </w:tc>
      </w:tr>
      <w:tr w:rsidR="00850AE6" w:rsidRPr="00FF0C8D" w14:paraId="5D0961F5" w14:textId="77777777" w:rsidTr="004D7A49">
        <w:trPr>
          <w:jc w:val="center"/>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0B96B506" w14:textId="77777777" w:rsidR="00850AE6" w:rsidRPr="00FF0C8D" w:rsidRDefault="00850AE6" w:rsidP="004D7A49">
            <w:pPr>
              <w:spacing w:before="40" w:after="40"/>
              <w:jc w:val="center"/>
              <w:rPr>
                <w:rFonts w:ascii="Times New Roman" w:hAnsi="Times New Roman" w:cs="Times New Roman"/>
                <w:b w:val="0"/>
              </w:rPr>
            </w:pPr>
            <w:r w:rsidRPr="00FF0C8D">
              <w:rPr>
                <w:rFonts w:ascii="Times New Roman" w:hAnsi="Times New Roman" w:cs="Times New Roman"/>
                <w:b w:val="0"/>
              </w:rPr>
              <w:t>10</w:t>
            </w:r>
          </w:p>
        </w:tc>
        <w:tc>
          <w:tcPr>
            <w:tcW w:w="5954" w:type="dxa"/>
            <w:gridSpan w:val="3"/>
            <w:shd w:val="clear" w:color="auto" w:fill="auto"/>
          </w:tcPr>
          <w:p w14:paraId="2FAB6333" w14:textId="19A2CAAD" w:rsidR="00850AE6" w:rsidRPr="00763B86" w:rsidRDefault="00A135B2" w:rsidP="004D7A49">
            <w:pPr>
              <w:tabs>
                <w:tab w:val="decimal" w:pos="673"/>
              </w:tabs>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3B86">
              <w:rPr>
                <w:rFonts w:ascii="Times New Roman" w:hAnsi="Times New Roman" w:cs="Times New Roman"/>
              </w:rPr>
              <w:t>0.63</w:t>
            </w:r>
          </w:p>
        </w:tc>
      </w:tr>
      <w:tr w:rsidR="00850AE6" w:rsidRPr="00FF0C8D" w14:paraId="5952D1EB" w14:textId="77777777" w:rsidTr="004D7A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tcBorders>
            <w:shd w:val="clear" w:color="auto" w:fill="auto"/>
          </w:tcPr>
          <w:p w14:paraId="4BFFEA51" w14:textId="77777777" w:rsidR="00850AE6" w:rsidRPr="00FF0C8D" w:rsidRDefault="00850AE6" w:rsidP="004D7A49">
            <w:pPr>
              <w:spacing w:before="40" w:after="40"/>
              <w:jc w:val="center"/>
              <w:rPr>
                <w:rFonts w:ascii="Times New Roman" w:hAnsi="Times New Roman" w:cs="Times New Roman"/>
                <w:b w:val="0"/>
              </w:rPr>
            </w:pPr>
            <w:r w:rsidRPr="00FF0C8D">
              <w:rPr>
                <w:rFonts w:ascii="Times New Roman" w:hAnsi="Times New Roman" w:cs="Times New Roman"/>
                <w:b w:val="0"/>
              </w:rPr>
              <w:t>50</w:t>
            </w:r>
          </w:p>
        </w:tc>
        <w:tc>
          <w:tcPr>
            <w:tcW w:w="5954" w:type="dxa"/>
            <w:gridSpan w:val="3"/>
            <w:tcBorders>
              <w:top w:val="none" w:sz="0" w:space="0" w:color="auto"/>
              <w:bottom w:val="none" w:sz="0" w:space="0" w:color="auto"/>
              <w:right w:val="none" w:sz="0" w:space="0" w:color="auto"/>
            </w:tcBorders>
            <w:shd w:val="clear" w:color="auto" w:fill="auto"/>
          </w:tcPr>
          <w:p w14:paraId="33CCF7FF" w14:textId="3D2A2BD5" w:rsidR="00850AE6" w:rsidRPr="00763B86" w:rsidRDefault="00A135B2" w:rsidP="004D7A49">
            <w:pPr>
              <w:tabs>
                <w:tab w:val="decimal" w:pos="673"/>
              </w:tabs>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63B86">
              <w:rPr>
                <w:rFonts w:ascii="Times New Roman" w:hAnsi="Times New Roman" w:cs="Times New Roman"/>
              </w:rPr>
              <w:t>3.16</w:t>
            </w:r>
          </w:p>
        </w:tc>
      </w:tr>
      <w:tr w:rsidR="00850AE6" w:rsidRPr="00FF0C8D" w14:paraId="4CF3766C" w14:textId="77777777" w:rsidTr="004D7A49">
        <w:trPr>
          <w:jc w:val="center"/>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594C0DDE" w14:textId="77777777" w:rsidR="00850AE6" w:rsidRPr="00FF0C8D" w:rsidRDefault="00850AE6" w:rsidP="004D7A49">
            <w:pPr>
              <w:spacing w:before="40" w:after="40"/>
              <w:jc w:val="center"/>
              <w:rPr>
                <w:rFonts w:ascii="Times New Roman" w:hAnsi="Times New Roman" w:cs="Times New Roman"/>
                <w:b w:val="0"/>
              </w:rPr>
            </w:pPr>
            <w:r w:rsidRPr="00FF0C8D">
              <w:rPr>
                <w:rFonts w:ascii="Times New Roman" w:hAnsi="Times New Roman" w:cs="Times New Roman"/>
                <w:b w:val="0"/>
              </w:rPr>
              <w:t>200</w:t>
            </w:r>
          </w:p>
        </w:tc>
        <w:tc>
          <w:tcPr>
            <w:tcW w:w="5954" w:type="dxa"/>
            <w:gridSpan w:val="3"/>
            <w:shd w:val="clear" w:color="auto" w:fill="auto"/>
          </w:tcPr>
          <w:p w14:paraId="55BCF442" w14:textId="3918CB1D" w:rsidR="00850AE6" w:rsidRPr="00763B86" w:rsidRDefault="00A135B2" w:rsidP="004D7A49">
            <w:pPr>
              <w:tabs>
                <w:tab w:val="decimal" w:pos="673"/>
              </w:tabs>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3B86">
              <w:rPr>
                <w:rFonts w:ascii="Times New Roman" w:hAnsi="Times New Roman" w:cs="Times New Roman"/>
              </w:rPr>
              <w:t>12.65</w:t>
            </w:r>
          </w:p>
        </w:tc>
      </w:tr>
      <w:tr w:rsidR="00850AE6" w:rsidRPr="00FF0C8D" w14:paraId="71969471" w14:textId="77777777" w:rsidTr="004D7A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tcBorders>
            <w:shd w:val="clear" w:color="auto" w:fill="auto"/>
          </w:tcPr>
          <w:p w14:paraId="3312DD09" w14:textId="77777777" w:rsidR="00850AE6" w:rsidRPr="00FF0C8D" w:rsidRDefault="00850AE6" w:rsidP="004D7A49">
            <w:pPr>
              <w:spacing w:before="40" w:after="40"/>
              <w:jc w:val="center"/>
              <w:rPr>
                <w:rFonts w:ascii="Times New Roman" w:hAnsi="Times New Roman" w:cs="Times New Roman"/>
                <w:b w:val="0"/>
              </w:rPr>
            </w:pPr>
          </w:p>
        </w:tc>
        <w:tc>
          <w:tcPr>
            <w:tcW w:w="5954" w:type="dxa"/>
            <w:gridSpan w:val="3"/>
            <w:tcBorders>
              <w:top w:val="none" w:sz="0" w:space="0" w:color="auto"/>
              <w:bottom w:val="none" w:sz="0" w:space="0" w:color="auto"/>
              <w:right w:val="none" w:sz="0" w:space="0" w:color="auto"/>
            </w:tcBorders>
            <w:shd w:val="clear" w:color="auto" w:fill="auto"/>
          </w:tcPr>
          <w:p w14:paraId="75B666E7" w14:textId="77777777" w:rsidR="00850AE6" w:rsidRPr="00FF0C8D" w:rsidRDefault="00850AE6" w:rsidP="004D7A49">
            <w:pPr>
              <w:tabs>
                <w:tab w:val="decimal" w:pos="673"/>
              </w:tabs>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F0C8D">
              <w:rPr>
                <w:rFonts w:ascii="Times New Roman" w:hAnsi="Times New Roman" w:cs="Times New Roman"/>
              </w:rPr>
              <w:t>Payback (years)</w:t>
            </w:r>
          </w:p>
        </w:tc>
      </w:tr>
      <w:tr w:rsidR="00A135B2" w:rsidRPr="00FF0C8D" w14:paraId="3404A2EB" w14:textId="77777777" w:rsidTr="004D7A49">
        <w:trPr>
          <w:jc w:val="center"/>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38C99BE0" w14:textId="77777777" w:rsidR="00A135B2" w:rsidRPr="00FF0C8D" w:rsidRDefault="00A135B2" w:rsidP="004D7A49">
            <w:pPr>
              <w:spacing w:before="40" w:after="40"/>
              <w:jc w:val="center"/>
              <w:rPr>
                <w:rFonts w:ascii="Times New Roman" w:hAnsi="Times New Roman" w:cs="Times New Roman"/>
                <w:b w:val="0"/>
              </w:rPr>
            </w:pPr>
            <w:r w:rsidRPr="00FF0C8D">
              <w:rPr>
                <w:rFonts w:ascii="Times New Roman" w:hAnsi="Times New Roman" w:cs="Times New Roman"/>
                <w:b w:val="0"/>
              </w:rPr>
              <w:t>10</w:t>
            </w:r>
          </w:p>
        </w:tc>
        <w:tc>
          <w:tcPr>
            <w:tcW w:w="1843" w:type="dxa"/>
            <w:shd w:val="clear" w:color="auto" w:fill="auto"/>
          </w:tcPr>
          <w:p w14:paraId="296DBEB6" w14:textId="19B2DC94" w:rsidR="00A135B2" w:rsidRPr="00763B86" w:rsidRDefault="00A135B2" w:rsidP="004D7A49">
            <w:pPr>
              <w:tabs>
                <w:tab w:val="decimal" w:pos="898"/>
              </w:tabs>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3B86">
              <w:rPr>
                <w:rFonts w:ascii="Times New Roman" w:hAnsi="Times New Roman" w:cs="Times New Roman"/>
              </w:rPr>
              <w:t>40.2</w:t>
            </w:r>
          </w:p>
        </w:tc>
        <w:tc>
          <w:tcPr>
            <w:tcW w:w="2126" w:type="dxa"/>
            <w:shd w:val="clear" w:color="auto" w:fill="auto"/>
          </w:tcPr>
          <w:p w14:paraId="723A19E4" w14:textId="05528F0C" w:rsidR="00A135B2" w:rsidRPr="00763B86" w:rsidRDefault="00A135B2" w:rsidP="004D7A49">
            <w:pPr>
              <w:tabs>
                <w:tab w:val="decimal" w:pos="673"/>
              </w:tabs>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3B86">
              <w:rPr>
                <w:rFonts w:ascii="Times New Roman" w:hAnsi="Times New Roman" w:cs="Times New Roman"/>
              </w:rPr>
              <w:t>21.2</w:t>
            </w:r>
          </w:p>
        </w:tc>
        <w:tc>
          <w:tcPr>
            <w:tcW w:w="1985" w:type="dxa"/>
            <w:shd w:val="clear" w:color="auto" w:fill="auto"/>
          </w:tcPr>
          <w:p w14:paraId="3A002E7F" w14:textId="6A6AF97F" w:rsidR="00A135B2" w:rsidRPr="00763B86" w:rsidRDefault="00A135B2" w:rsidP="004D7A49">
            <w:pPr>
              <w:tabs>
                <w:tab w:val="decimal" w:pos="673"/>
              </w:tabs>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3B86">
              <w:rPr>
                <w:rFonts w:ascii="Times New Roman" w:hAnsi="Times New Roman" w:cs="Times New Roman"/>
              </w:rPr>
              <w:t>11.2</w:t>
            </w:r>
          </w:p>
        </w:tc>
      </w:tr>
      <w:tr w:rsidR="00A135B2" w:rsidRPr="00FF0C8D" w14:paraId="757667CA" w14:textId="77777777" w:rsidTr="00D31D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tcBorders>
            <w:shd w:val="clear" w:color="auto" w:fill="auto"/>
          </w:tcPr>
          <w:p w14:paraId="30EAD09D" w14:textId="77777777" w:rsidR="00A135B2" w:rsidRPr="00FF0C8D" w:rsidRDefault="00A135B2" w:rsidP="004D7A49">
            <w:pPr>
              <w:spacing w:before="40" w:after="40"/>
              <w:jc w:val="center"/>
              <w:rPr>
                <w:rFonts w:ascii="Times New Roman" w:hAnsi="Times New Roman" w:cs="Times New Roman"/>
                <w:b w:val="0"/>
              </w:rPr>
            </w:pPr>
            <w:r w:rsidRPr="00FF0C8D">
              <w:rPr>
                <w:rFonts w:ascii="Times New Roman" w:hAnsi="Times New Roman" w:cs="Times New Roman"/>
                <w:b w:val="0"/>
              </w:rPr>
              <w:t>50</w:t>
            </w:r>
          </w:p>
        </w:tc>
        <w:tc>
          <w:tcPr>
            <w:tcW w:w="1843" w:type="dxa"/>
            <w:tcBorders>
              <w:top w:val="none" w:sz="0" w:space="0" w:color="auto"/>
              <w:bottom w:val="none" w:sz="0" w:space="0" w:color="auto"/>
            </w:tcBorders>
            <w:shd w:val="clear" w:color="auto" w:fill="auto"/>
          </w:tcPr>
          <w:p w14:paraId="3B51D633" w14:textId="028EE903" w:rsidR="00A135B2" w:rsidRPr="00763B86" w:rsidRDefault="00A135B2" w:rsidP="004D7A49">
            <w:pPr>
              <w:tabs>
                <w:tab w:val="decimal" w:pos="898"/>
              </w:tabs>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63B86">
              <w:rPr>
                <w:rFonts w:ascii="Times New Roman" w:hAnsi="Times New Roman" w:cs="Times New Roman"/>
              </w:rPr>
              <w:t>22.4</w:t>
            </w:r>
          </w:p>
        </w:tc>
        <w:tc>
          <w:tcPr>
            <w:tcW w:w="2126" w:type="dxa"/>
            <w:tcBorders>
              <w:top w:val="none" w:sz="0" w:space="0" w:color="auto"/>
              <w:bottom w:val="none" w:sz="0" w:space="0" w:color="auto"/>
            </w:tcBorders>
            <w:shd w:val="clear" w:color="auto" w:fill="auto"/>
          </w:tcPr>
          <w:p w14:paraId="4D934116" w14:textId="3AE1ACB7" w:rsidR="00A135B2" w:rsidRPr="00763B86" w:rsidRDefault="00A135B2" w:rsidP="004D7A49">
            <w:pPr>
              <w:tabs>
                <w:tab w:val="decimal" w:pos="673"/>
              </w:tabs>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63B86">
              <w:rPr>
                <w:rFonts w:ascii="Times New Roman" w:hAnsi="Times New Roman" w:cs="Times New Roman"/>
              </w:rPr>
              <w:t>11.8</w:t>
            </w:r>
          </w:p>
        </w:tc>
        <w:tc>
          <w:tcPr>
            <w:tcW w:w="1985" w:type="dxa"/>
            <w:tcBorders>
              <w:top w:val="none" w:sz="0" w:space="0" w:color="auto"/>
              <w:bottom w:val="none" w:sz="0" w:space="0" w:color="auto"/>
              <w:right w:val="none" w:sz="0" w:space="0" w:color="auto"/>
            </w:tcBorders>
            <w:shd w:val="clear" w:color="auto" w:fill="auto"/>
          </w:tcPr>
          <w:p w14:paraId="2534CBAD" w14:textId="2008216B" w:rsidR="00A135B2" w:rsidRPr="00763B86" w:rsidRDefault="00A135B2" w:rsidP="004D7A49">
            <w:pPr>
              <w:tabs>
                <w:tab w:val="decimal" w:pos="673"/>
              </w:tabs>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63B86">
              <w:rPr>
                <w:rFonts w:ascii="Times New Roman" w:hAnsi="Times New Roman" w:cs="Times New Roman"/>
              </w:rPr>
              <w:t>6.2</w:t>
            </w:r>
          </w:p>
        </w:tc>
      </w:tr>
      <w:tr w:rsidR="00A135B2" w:rsidRPr="00FF0C8D" w14:paraId="5FCD0179" w14:textId="77777777" w:rsidTr="00D31D4A">
        <w:trPr>
          <w:jc w:val="center"/>
        </w:trPr>
        <w:tc>
          <w:tcPr>
            <w:cnfStyle w:val="001000000000" w:firstRow="0" w:lastRow="0" w:firstColumn="1" w:lastColumn="0" w:oddVBand="0" w:evenVBand="0" w:oddHBand="0" w:evenHBand="0" w:firstRowFirstColumn="0" w:firstRowLastColumn="0" w:lastRowFirstColumn="0" w:lastRowLastColumn="0"/>
            <w:tcW w:w="1843" w:type="dxa"/>
            <w:tcBorders>
              <w:bottom w:val="single" w:sz="4" w:space="0" w:color="auto"/>
            </w:tcBorders>
            <w:shd w:val="clear" w:color="auto" w:fill="auto"/>
          </w:tcPr>
          <w:p w14:paraId="5A789636" w14:textId="77777777" w:rsidR="00A135B2" w:rsidRPr="00FF0C8D" w:rsidRDefault="00A135B2" w:rsidP="004D7A49">
            <w:pPr>
              <w:spacing w:before="40" w:after="40"/>
              <w:jc w:val="center"/>
              <w:rPr>
                <w:rFonts w:ascii="Times New Roman" w:hAnsi="Times New Roman" w:cs="Times New Roman"/>
                <w:b w:val="0"/>
              </w:rPr>
            </w:pPr>
            <w:r w:rsidRPr="00FF0C8D">
              <w:rPr>
                <w:rFonts w:ascii="Times New Roman" w:hAnsi="Times New Roman" w:cs="Times New Roman"/>
                <w:b w:val="0"/>
              </w:rPr>
              <w:t>200</w:t>
            </w:r>
          </w:p>
        </w:tc>
        <w:tc>
          <w:tcPr>
            <w:tcW w:w="1843" w:type="dxa"/>
            <w:tcBorders>
              <w:bottom w:val="single" w:sz="4" w:space="0" w:color="auto"/>
            </w:tcBorders>
            <w:shd w:val="clear" w:color="auto" w:fill="auto"/>
          </w:tcPr>
          <w:p w14:paraId="5F2769C3" w14:textId="00258681" w:rsidR="00A135B2" w:rsidRPr="00763B86" w:rsidRDefault="00A135B2" w:rsidP="004D7A49">
            <w:pPr>
              <w:tabs>
                <w:tab w:val="decimal" w:pos="898"/>
              </w:tabs>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3B86">
              <w:rPr>
                <w:rFonts w:ascii="Times New Roman" w:hAnsi="Times New Roman" w:cs="Times New Roman"/>
              </w:rPr>
              <w:t>13.8</w:t>
            </w:r>
          </w:p>
        </w:tc>
        <w:tc>
          <w:tcPr>
            <w:tcW w:w="2126" w:type="dxa"/>
            <w:tcBorders>
              <w:bottom w:val="single" w:sz="4" w:space="0" w:color="auto"/>
            </w:tcBorders>
            <w:shd w:val="clear" w:color="auto" w:fill="auto"/>
          </w:tcPr>
          <w:p w14:paraId="06113702" w14:textId="0405E5A0" w:rsidR="00A135B2" w:rsidRPr="00763B86" w:rsidRDefault="00A135B2" w:rsidP="004D7A49">
            <w:pPr>
              <w:tabs>
                <w:tab w:val="decimal" w:pos="673"/>
              </w:tabs>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3B86">
              <w:rPr>
                <w:rFonts w:ascii="Times New Roman" w:hAnsi="Times New Roman" w:cs="Times New Roman"/>
              </w:rPr>
              <w:t>7.3</w:t>
            </w:r>
          </w:p>
        </w:tc>
        <w:tc>
          <w:tcPr>
            <w:tcW w:w="1985" w:type="dxa"/>
            <w:tcBorders>
              <w:bottom w:val="single" w:sz="4" w:space="0" w:color="auto"/>
            </w:tcBorders>
            <w:shd w:val="clear" w:color="auto" w:fill="auto"/>
          </w:tcPr>
          <w:p w14:paraId="5D78010C" w14:textId="470A494A" w:rsidR="00A135B2" w:rsidRPr="00763B86" w:rsidRDefault="00A135B2" w:rsidP="004D7A49">
            <w:pPr>
              <w:tabs>
                <w:tab w:val="decimal" w:pos="673"/>
              </w:tabs>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3B86">
              <w:rPr>
                <w:rFonts w:ascii="Times New Roman" w:hAnsi="Times New Roman" w:cs="Times New Roman"/>
              </w:rPr>
              <w:t>3.8</w:t>
            </w:r>
          </w:p>
        </w:tc>
      </w:tr>
    </w:tbl>
    <w:p w14:paraId="53DC8499" w14:textId="672CDC31" w:rsidR="00410BF4" w:rsidRDefault="00FC7974" w:rsidP="00F05E19">
      <w:pPr>
        <w:spacing w:before="240"/>
      </w:pPr>
      <w:r w:rsidRPr="002F3771">
        <w:t xml:space="preserve">The revenue for these systems for the best </w:t>
      </w:r>
      <w:r w:rsidR="00847A5A" w:rsidRPr="002F3771">
        <w:t>strategy</w:t>
      </w:r>
      <w:r w:rsidRPr="002F3771">
        <w:t xml:space="preserve"> (Net zero import and export, Belgium) is shown in </w:t>
      </w:r>
      <w:r w:rsidR="00850AE6">
        <w:br/>
      </w:r>
      <w:r w:rsidR="00E179F2" w:rsidRPr="002F3771">
        <w:rPr>
          <w:spacing w:val="-2"/>
        </w:rPr>
        <w:fldChar w:fldCharType="begin"/>
      </w:r>
      <w:r w:rsidR="00E179F2" w:rsidRPr="002F3771">
        <w:instrText xml:space="preserve"> REF _Ref500505529 \h </w:instrText>
      </w:r>
      <w:r w:rsidR="0092068A" w:rsidRPr="002F3771">
        <w:instrText xml:space="preserve"> \* MERGEFORMAT </w:instrText>
      </w:r>
      <w:r w:rsidR="00E179F2" w:rsidRPr="002F3771">
        <w:rPr>
          <w:spacing w:val="-2"/>
        </w:rPr>
      </w:r>
      <w:r w:rsidR="00E179F2" w:rsidRPr="002F3771">
        <w:rPr>
          <w:spacing w:val="-2"/>
        </w:rPr>
        <w:fldChar w:fldCharType="separate"/>
      </w:r>
      <w:r w:rsidR="00850AE6" w:rsidRPr="00850AE6">
        <w:t xml:space="preserve">Table </w:t>
      </w:r>
      <w:r w:rsidR="00850AE6" w:rsidRPr="00850AE6">
        <w:rPr>
          <w:noProof/>
        </w:rPr>
        <w:t>4</w:t>
      </w:r>
      <w:r w:rsidR="00E179F2" w:rsidRPr="002F3771">
        <w:rPr>
          <w:spacing w:val="-2"/>
        </w:rPr>
        <w:fldChar w:fldCharType="end"/>
      </w:r>
      <w:r w:rsidRPr="002F3771">
        <w:t>.  It is based on storing 40 MWh of energy, every day and an RTE of 0.8.</w:t>
      </w:r>
      <w:bookmarkStart w:id="11" w:name="_Ref499647885"/>
      <w:r w:rsidR="003B428C" w:rsidRPr="002F3771">
        <w:t xml:space="preserve">  </w:t>
      </w:r>
      <w:r w:rsidRPr="002F3771">
        <w:t xml:space="preserve">A simple payback period has been calculated by dividing the CAPEX by the yearly revenue </w:t>
      </w:r>
      <w:r w:rsidR="003B428C" w:rsidRPr="002F3771">
        <w:t>(</w:t>
      </w:r>
      <w:r w:rsidR="0092068A" w:rsidRPr="002F3771">
        <w:fldChar w:fldCharType="begin"/>
      </w:r>
      <w:r w:rsidR="0092068A" w:rsidRPr="002F3771">
        <w:instrText xml:space="preserve"> REF _Ref500505529 \h  \* MERGEFORMAT </w:instrText>
      </w:r>
      <w:r w:rsidR="0092068A" w:rsidRPr="002F3771">
        <w:fldChar w:fldCharType="separate"/>
      </w:r>
      <w:r w:rsidR="007339CE" w:rsidRPr="002F3771">
        <w:t xml:space="preserve">Table </w:t>
      </w:r>
      <w:r w:rsidR="007339CE" w:rsidRPr="002F3771">
        <w:rPr>
          <w:noProof/>
        </w:rPr>
        <w:t>4</w:t>
      </w:r>
      <w:r w:rsidR="0092068A" w:rsidRPr="002F3771">
        <w:fldChar w:fldCharType="end"/>
      </w:r>
      <w:r w:rsidR="003B428C" w:rsidRPr="002F3771">
        <w:t>)</w:t>
      </w:r>
      <w:r w:rsidRPr="002F3771">
        <w:t>.</w:t>
      </w:r>
      <w:bookmarkEnd w:id="9"/>
      <w:bookmarkEnd w:id="11"/>
      <w:r w:rsidR="0092068A" w:rsidRPr="002F3771">
        <w:t xml:space="preserve">  </w:t>
      </w:r>
      <w:r w:rsidR="00270502" w:rsidRPr="00A135B2">
        <w:t>It should be noted that a 40 MWh.day</w:t>
      </w:r>
      <w:r w:rsidR="00270502" w:rsidRPr="00A135B2">
        <w:rPr>
          <w:vertAlign w:val="superscript"/>
        </w:rPr>
        <w:t>-1</w:t>
      </w:r>
      <w:r w:rsidR="00270502" w:rsidRPr="00A135B2">
        <w:t xml:space="preserve"> PV system at an average load factor of 10% is 17 </w:t>
      </w:r>
      <w:proofErr w:type="spellStart"/>
      <w:proofErr w:type="gramStart"/>
      <w:r w:rsidR="00270502" w:rsidRPr="00A135B2">
        <w:t>MWp</w:t>
      </w:r>
      <w:proofErr w:type="spellEnd"/>
      <w:r w:rsidR="00270502" w:rsidRPr="00A135B2">
        <w:t>,</w:t>
      </w:r>
      <w:proofErr w:type="gramEnd"/>
      <w:r w:rsidR="00270502" w:rsidRPr="00A135B2">
        <w:t xml:space="preserve"> this would amount to about 85 acres of space.  It should also be noted </w:t>
      </w:r>
      <w:r w:rsidR="002F3771" w:rsidRPr="00A135B2">
        <w:t xml:space="preserve">that </w:t>
      </w:r>
      <w:r w:rsidR="00410BF4" w:rsidRPr="00A135B2">
        <w:t>the liquefaction system would therefore need to be larger to capture the energy in summer and would be oversized in winter.</w:t>
      </w:r>
    </w:p>
    <w:p w14:paraId="0A32A50F" w14:textId="7F2CB637" w:rsidR="00304428" w:rsidRDefault="00A5017E" w:rsidP="002F3771">
      <w:r>
        <w:t>P</w:t>
      </w:r>
      <w:r w:rsidR="00847A5A">
        <w:t xml:space="preserve">revious </w:t>
      </w:r>
      <w:r w:rsidR="00CF446A">
        <w:t>assessments</w:t>
      </w:r>
      <w:r>
        <w:t xml:space="preserve"> were over</w:t>
      </w:r>
      <w:r w:rsidR="00847A5A">
        <w:t>optimistic as they ignore</w:t>
      </w:r>
      <w:r>
        <w:t>d</w:t>
      </w:r>
      <w:r w:rsidR="00847A5A">
        <w:t xml:space="preserve"> the difference in the value of cash with time.  </w:t>
      </w:r>
      <w:r>
        <w:t>When considering</w:t>
      </w:r>
      <w:r w:rsidR="00304428" w:rsidRPr="005D705F">
        <w:t xml:space="preserve"> a net present value (NPV) assessment on a 10</w:t>
      </w:r>
      <w:r w:rsidR="00304428" w:rsidRPr="005D705F">
        <w:rPr>
          <w:vertAlign w:val="superscript"/>
        </w:rPr>
        <w:t>th</w:t>
      </w:r>
      <w:r w:rsidR="00304428" w:rsidRPr="005D705F">
        <w:t xml:space="preserve"> OK system at 10 MW PRU, assuming </w:t>
      </w:r>
      <w:r>
        <w:t>an absence of</w:t>
      </w:r>
      <w:r w:rsidR="00304428" w:rsidRPr="005D705F">
        <w:t xml:space="preserve"> operational and maintenance costs and a 4% discount rate, </w:t>
      </w:r>
      <w:r>
        <w:t xml:space="preserve">the result is </w:t>
      </w:r>
      <w:r w:rsidR="00304428" w:rsidRPr="005D705F">
        <w:t xml:space="preserve">a payback period </w:t>
      </w:r>
      <w:r w:rsidR="00304428" w:rsidRPr="00763B86">
        <w:t xml:space="preserve">of </w:t>
      </w:r>
      <w:r w:rsidR="00F25EEC" w:rsidRPr="00763B86">
        <w:t>4</w:t>
      </w:r>
      <w:r w:rsidR="00304428" w:rsidRPr="00763B86">
        <w:t>9 years and for 100</w:t>
      </w:r>
      <w:r w:rsidR="00304428" w:rsidRPr="00763B86">
        <w:rPr>
          <w:vertAlign w:val="superscript"/>
        </w:rPr>
        <w:t>th</w:t>
      </w:r>
      <w:r w:rsidR="00304428" w:rsidRPr="00763B86">
        <w:t xml:space="preserve"> OK of </w:t>
      </w:r>
      <w:r w:rsidR="00F25EEC" w:rsidRPr="00763B86">
        <w:t>15</w:t>
      </w:r>
      <w:r w:rsidR="00304428" w:rsidRPr="00763B86">
        <w:t xml:space="preserve"> years.  Therefore the economic justification </w:t>
      </w:r>
      <w:r w:rsidR="007024C0" w:rsidRPr="00763B86">
        <w:t xml:space="preserve">of </w:t>
      </w:r>
      <w:r w:rsidR="00304428" w:rsidRPr="00763B86">
        <w:t>the smaller (10</w:t>
      </w:r>
      <w:r w:rsidR="00F25EEC" w:rsidRPr="00763B86">
        <w:t xml:space="preserve"> </w:t>
      </w:r>
      <w:r w:rsidR="00304428" w:rsidRPr="00763B86">
        <w:t xml:space="preserve">MW PRU) system is challenging, unless the number of units </w:t>
      </w:r>
      <w:r w:rsidRPr="00763B86">
        <w:t xml:space="preserve">is </w:t>
      </w:r>
      <w:r w:rsidR="00304428" w:rsidRPr="00763B86">
        <w:t xml:space="preserve">very large.  Whereas a </w:t>
      </w:r>
      <w:proofErr w:type="spellStart"/>
      <w:r w:rsidR="00304428" w:rsidRPr="00763B86">
        <w:t>FoK</w:t>
      </w:r>
      <w:proofErr w:type="spellEnd"/>
      <w:r w:rsidR="00304428" w:rsidRPr="00763B86">
        <w:t xml:space="preserve"> system at the large scale (200 MW) would </w:t>
      </w:r>
      <w:proofErr w:type="spellStart"/>
      <w:r w:rsidR="00304428" w:rsidRPr="00763B86">
        <w:t>payback</w:t>
      </w:r>
      <w:proofErr w:type="spellEnd"/>
      <w:r w:rsidR="00304428" w:rsidRPr="00763B86">
        <w:t xml:space="preserve"> in </w:t>
      </w:r>
      <w:r w:rsidR="00F25EEC" w:rsidRPr="00763B86">
        <w:t>2</w:t>
      </w:r>
      <w:r w:rsidR="00304428" w:rsidRPr="00763B86">
        <w:t>1 years</w:t>
      </w:r>
      <w:r w:rsidR="00847A5A" w:rsidRPr="00763B86">
        <w:t xml:space="preserve"> (NPV)</w:t>
      </w:r>
      <w:r w:rsidR="00304428" w:rsidRPr="00763B86">
        <w:t>.  This indicates that</w:t>
      </w:r>
      <w:r w:rsidRPr="00763B86">
        <w:t xml:space="preserve">, in the current situation, LAES is </w:t>
      </w:r>
      <w:r w:rsidR="004B1FC7" w:rsidRPr="00763B86">
        <w:t xml:space="preserve">still </w:t>
      </w:r>
      <w:r w:rsidRPr="00763B86">
        <w:t xml:space="preserve">economically </w:t>
      </w:r>
      <w:r w:rsidR="004B1FC7" w:rsidRPr="00763B86">
        <w:t xml:space="preserve">much </w:t>
      </w:r>
      <w:r w:rsidRPr="00763B86">
        <w:t>more f</w:t>
      </w:r>
      <w:r w:rsidR="004B1FC7" w:rsidRPr="00763B86">
        <w:t xml:space="preserve">easible for large grid-scale systems </w:t>
      </w:r>
      <w:r w:rsidR="00F25EEC" w:rsidRPr="00763B86">
        <w:t xml:space="preserve">or large numbers </w:t>
      </w:r>
      <w:r w:rsidR="001E784B" w:rsidRPr="00763B86">
        <w:t xml:space="preserve">of </w:t>
      </w:r>
      <w:r w:rsidR="00F25EEC" w:rsidRPr="00763B86">
        <w:t>systems</w:t>
      </w:r>
      <w:r w:rsidR="004B1FC7" w:rsidRPr="00763B86">
        <w:t>.</w:t>
      </w:r>
      <w:r w:rsidR="004B1FC7">
        <w:t xml:space="preserve">  </w:t>
      </w:r>
    </w:p>
    <w:p w14:paraId="57FE8020" w14:textId="13E413CE" w:rsidR="00B317AA" w:rsidRPr="005D705F" w:rsidRDefault="00E30F31" w:rsidP="00CF446A">
      <w:pPr>
        <w:pStyle w:val="Heading2"/>
      </w:pPr>
      <w:r w:rsidRPr="005D705F">
        <w:lastRenderedPageBreak/>
        <w:t>Grid services</w:t>
      </w:r>
    </w:p>
    <w:p w14:paraId="1962B359" w14:textId="0D6F39A8" w:rsidR="00554404" w:rsidRPr="005D705F" w:rsidRDefault="00CC54D0" w:rsidP="0014087F">
      <w:r>
        <w:rPr>
          <w:szCs w:val="22"/>
        </w:rPr>
        <w:t>T</w:t>
      </w:r>
      <w:r w:rsidR="009177F1" w:rsidRPr="005D705F">
        <w:rPr>
          <w:szCs w:val="22"/>
        </w:rPr>
        <w:t xml:space="preserve">here are benefits to the </w:t>
      </w:r>
      <w:r w:rsidR="00160590" w:rsidRPr="005D705F">
        <w:rPr>
          <w:szCs w:val="22"/>
        </w:rPr>
        <w:t>electric</w:t>
      </w:r>
      <w:r w:rsidR="00160590">
        <w:rPr>
          <w:szCs w:val="22"/>
        </w:rPr>
        <w:t>al</w:t>
      </w:r>
      <w:r w:rsidR="00160590" w:rsidRPr="005D705F">
        <w:rPr>
          <w:szCs w:val="22"/>
        </w:rPr>
        <w:t xml:space="preserve"> </w:t>
      </w:r>
      <w:r w:rsidR="009177F1" w:rsidRPr="005D705F">
        <w:rPr>
          <w:szCs w:val="22"/>
        </w:rPr>
        <w:t xml:space="preserve">grid (grid services) </w:t>
      </w:r>
      <w:r w:rsidR="00160590">
        <w:rPr>
          <w:szCs w:val="22"/>
        </w:rPr>
        <w:t>for</w:t>
      </w:r>
      <w:r w:rsidR="00160590" w:rsidRPr="005D705F">
        <w:rPr>
          <w:szCs w:val="22"/>
        </w:rPr>
        <w:t xml:space="preserve"> </w:t>
      </w:r>
      <w:r w:rsidR="009177F1" w:rsidRPr="005D705F">
        <w:rPr>
          <w:szCs w:val="22"/>
        </w:rPr>
        <w:t xml:space="preserve">which the </w:t>
      </w:r>
      <w:r w:rsidR="00160590">
        <w:rPr>
          <w:szCs w:val="22"/>
        </w:rPr>
        <w:t xml:space="preserve">grid </w:t>
      </w:r>
      <w:r w:rsidR="009177F1" w:rsidRPr="005D705F">
        <w:rPr>
          <w:szCs w:val="22"/>
        </w:rPr>
        <w:t>operator pay</w:t>
      </w:r>
      <w:r w:rsidR="00160590">
        <w:rPr>
          <w:szCs w:val="22"/>
        </w:rPr>
        <w:t>s</w:t>
      </w:r>
      <w:r w:rsidR="003328E4">
        <w:rPr>
          <w:szCs w:val="22"/>
        </w:rPr>
        <w:t xml:space="preserve"> the consumer</w:t>
      </w:r>
      <w:r w:rsidR="009177F1" w:rsidRPr="005D705F">
        <w:rPr>
          <w:szCs w:val="22"/>
        </w:rPr>
        <w:t xml:space="preserve">.  </w:t>
      </w:r>
      <w:r w:rsidR="009177F1" w:rsidRPr="005D705F">
        <w:t>These mechanisms or services are designed to balance differences between supply and demand of the energy supply grid over a range of timescales from seconds to hours.</w:t>
      </w:r>
      <w:r w:rsidR="003328E4">
        <w:t xml:space="preserve"> </w:t>
      </w:r>
      <w:r w:rsidR="009177F1" w:rsidRPr="005D705F">
        <w:t xml:space="preserve"> </w:t>
      </w:r>
      <w:r w:rsidR="00554404" w:rsidRPr="005D705F">
        <w:t xml:space="preserve">Due to the thermal </w:t>
      </w:r>
      <w:r w:rsidR="00160590">
        <w:t>capacity</w:t>
      </w:r>
      <w:r w:rsidR="00160590" w:rsidRPr="005D705F">
        <w:t xml:space="preserve"> </w:t>
      </w:r>
      <w:r w:rsidR="00554404" w:rsidRPr="005D705F">
        <w:t>and inertia of an LAES system</w:t>
      </w:r>
      <w:r w:rsidR="003328E4">
        <w:t>,</w:t>
      </w:r>
      <w:r w:rsidR="00554404" w:rsidRPr="005D705F">
        <w:t xml:space="preserve"> fast grid services are better carried out by electronic storage </w:t>
      </w:r>
      <w:r w:rsidR="00BA4F54">
        <w:t>(</w:t>
      </w:r>
      <w:r w:rsidR="00554404" w:rsidRPr="005D705F">
        <w:t>e.g. batteries</w:t>
      </w:r>
      <w:r w:rsidR="00BA4F54">
        <w:t>)</w:t>
      </w:r>
      <w:r w:rsidR="00554404" w:rsidRPr="005D705F">
        <w:t>.</w:t>
      </w:r>
    </w:p>
    <w:p w14:paraId="15AFADBD" w14:textId="4A209027" w:rsidR="0014087F" w:rsidRPr="005D705F" w:rsidRDefault="00554404" w:rsidP="0014087F">
      <w:r w:rsidRPr="005D705F">
        <w:rPr>
          <w:szCs w:val="22"/>
        </w:rPr>
        <w:t xml:space="preserve">Services such as the UK national grid </w:t>
      </w:r>
      <w:r w:rsidR="009413B5">
        <w:rPr>
          <w:szCs w:val="22"/>
        </w:rPr>
        <w:t>S</w:t>
      </w:r>
      <w:r w:rsidR="0014087F" w:rsidRPr="005D705F">
        <w:rPr>
          <w:szCs w:val="22"/>
        </w:rPr>
        <w:t xml:space="preserve">hort </w:t>
      </w:r>
      <w:r w:rsidR="009413B5">
        <w:rPr>
          <w:szCs w:val="22"/>
        </w:rPr>
        <w:t>T</w:t>
      </w:r>
      <w:r w:rsidR="009413B5" w:rsidRPr="005D705F">
        <w:rPr>
          <w:szCs w:val="22"/>
        </w:rPr>
        <w:t xml:space="preserve">erm </w:t>
      </w:r>
      <w:r w:rsidR="009413B5">
        <w:rPr>
          <w:szCs w:val="22"/>
        </w:rPr>
        <w:t>O</w:t>
      </w:r>
      <w:r w:rsidR="009413B5" w:rsidRPr="005D705F">
        <w:rPr>
          <w:szCs w:val="22"/>
        </w:rPr>
        <w:t xml:space="preserve">perating </w:t>
      </w:r>
      <w:r w:rsidR="009413B5">
        <w:rPr>
          <w:szCs w:val="22"/>
        </w:rPr>
        <w:t>R</w:t>
      </w:r>
      <w:r w:rsidR="009413B5" w:rsidRPr="005D705F">
        <w:rPr>
          <w:szCs w:val="22"/>
        </w:rPr>
        <w:t xml:space="preserve">eserve </w:t>
      </w:r>
      <w:r w:rsidR="0014087F" w:rsidRPr="005D705F">
        <w:rPr>
          <w:szCs w:val="22"/>
        </w:rPr>
        <w:t>(STOR)</w:t>
      </w:r>
      <w:r w:rsidRPr="005D705F">
        <w:rPr>
          <w:szCs w:val="22"/>
        </w:rPr>
        <w:t xml:space="preserve"> are </w:t>
      </w:r>
      <w:r w:rsidR="00EC780B">
        <w:rPr>
          <w:szCs w:val="22"/>
        </w:rPr>
        <w:t>relevant</w:t>
      </w:r>
      <w:r w:rsidRPr="005D705F">
        <w:rPr>
          <w:szCs w:val="22"/>
        </w:rPr>
        <w:t xml:space="preserve"> to LAES.  STOR</w:t>
      </w:r>
      <w:r w:rsidR="0014087F" w:rsidRPr="005D705F">
        <w:rPr>
          <w:szCs w:val="22"/>
        </w:rPr>
        <w:t xml:space="preserve"> is required to provide </w:t>
      </w:r>
      <w:r w:rsidR="0014087F" w:rsidRPr="005D705F">
        <w:t xml:space="preserve">reserve power in the form of either generation or demand reduction to deal with actual demand being greater than forecast demand and/or plant unavailability.  </w:t>
      </w:r>
      <w:r w:rsidR="00160590">
        <w:t>T</w:t>
      </w:r>
      <w:r w:rsidR="0014087F" w:rsidRPr="005D705F">
        <w:t xml:space="preserve">he minimum power required </w:t>
      </w:r>
      <w:r w:rsidR="00160590">
        <w:t xml:space="preserve">for STOR </w:t>
      </w:r>
      <w:r w:rsidR="0014087F" w:rsidRPr="005D705F">
        <w:t>is 3 MW to be delivered within 4 hours or less</w:t>
      </w:r>
      <w:r w:rsidR="00BB4235">
        <w:t>,</w:t>
      </w:r>
      <w:r w:rsidR="0014087F" w:rsidRPr="005D705F">
        <w:t xml:space="preserve"> for at least 2 hours.  This servic</w:t>
      </w:r>
      <w:r w:rsidR="003328E4">
        <w:t xml:space="preserve">e is ideal for LAES and provides a payment for </w:t>
      </w:r>
      <w:r w:rsidR="00160590">
        <w:t xml:space="preserve">both </w:t>
      </w:r>
      <w:r w:rsidR="003328E4">
        <w:t>service</w:t>
      </w:r>
      <w:r w:rsidR="00160590">
        <w:t>s</w:t>
      </w:r>
      <w:r w:rsidR="003328E4">
        <w:t xml:space="preserve"> being available and used.  </w:t>
      </w:r>
    </w:p>
    <w:p w14:paraId="1845935B" w14:textId="792DDF4E" w:rsidR="009177F1" w:rsidRPr="005D705F" w:rsidRDefault="009177F1" w:rsidP="00CF446A">
      <w:pPr>
        <w:pStyle w:val="Heading2"/>
      </w:pPr>
      <w:r w:rsidRPr="005D705F">
        <w:t>Cryogenic hub</w:t>
      </w:r>
    </w:p>
    <w:p w14:paraId="6FDCAFB7" w14:textId="509D1351" w:rsidR="009177F1" w:rsidRPr="005D705F" w:rsidRDefault="00166689" w:rsidP="00E90C73">
      <w:r w:rsidRPr="005D705F">
        <w:t>T</w:t>
      </w:r>
      <w:r w:rsidR="00A74F22">
        <w:t>oday, t</w:t>
      </w:r>
      <w:r w:rsidR="00F75643" w:rsidRPr="005D705F">
        <w:t>he high capital cost of a liquefaction system</w:t>
      </w:r>
      <w:r w:rsidRPr="005D705F">
        <w:t xml:space="preserve"> makes it difficult to fin</w:t>
      </w:r>
      <w:r w:rsidR="00BB4235">
        <w:t>an</w:t>
      </w:r>
      <w:r w:rsidRPr="005D705F">
        <w:t>c</w:t>
      </w:r>
      <w:r w:rsidR="00BB4235">
        <w:t>i</w:t>
      </w:r>
      <w:r w:rsidRPr="005D705F">
        <w:t xml:space="preserve">ally justify a LAES for a </w:t>
      </w:r>
      <w:r w:rsidR="00476386">
        <w:t xml:space="preserve">common </w:t>
      </w:r>
      <w:r w:rsidRPr="005D705F">
        <w:t xml:space="preserve">CSW. However, if </w:t>
      </w:r>
      <w:r w:rsidR="009177F1" w:rsidRPr="005D705F">
        <w:t xml:space="preserve">this capital cost could be shared </w:t>
      </w:r>
      <w:r w:rsidR="00476386">
        <w:t>in a way</w:t>
      </w:r>
      <w:r w:rsidR="00476386" w:rsidRPr="005D705F">
        <w:t xml:space="preserve"> </w:t>
      </w:r>
      <w:r w:rsidR="009177F1" w:rsidRPr="005D705F">
        <w:t xml:space="preserve">that the </w:t>
      </w:r>
      <w:r w:rsidR="00BB4235">
        <w:t xml:space="preserve">liquid air or liquid nitrogen from LAES </w:t>
      </w:r>
      <w:r w:rsidR="00476386">
        <w:t>are</w:t>
      </w:r>
      <w:r w:rsidR="00476386" w:rsidRPr="005D705F">
        <w:t xml:space="preserve"> </w:t>
      </w:r>
      <w:r w:rsidR="009177F1" w:rsidRPr="005D705F">
        <w:t>used in areas</w:t>
      </w:r>
      <w:r w:rsidR="00476386">
        <w:t xml:space="preserve"> outside the electrical grid</w:t>
      </w:r>
      <w:r w:rsidR="009177F1" w:rsidRPr="005D705F">
        <w:t>, the price of the energy storage could be reduced.</w:t>
      </w:r>
    </w:p>
    <w:p w14:paraId="4E086925" w14:textId="14E40516" w:rsidR="00E90C73" w:rsidRPr="005D705F" w:rsidRDefault="00A74F22" w:rsidP="00E90C73">
      <w:r>
        <w:t>When a</w:t>
      </w:r>
      <w:r w:rsidR="00166689" w:rsidRPr="005D705F">
        <w:t xml:space="preserve"> CSW </w:t>
      </w:r>
      <w:r>
        <w:t>employs</w:t>
      </w:r>
      <w:r w:rsidRPr="005D705F">
        <w:t xml:space="preserve"> </w:t>
      </w:r>
      <w:r w:rsidR="00166689" w:rsidRPr="005D705F">
        <w:t xml:space="preserve">cryogenic fast food freezing processes, </w:t>
      </w:r>
      <w:r w:rsidR="00C94B28">
        <w:t xml:space="preserve">as an alternative to </w:t>
      </w:r>
      <w:r w:rsidR="00166689" w:rsidRPr="005D705F">
        <w:t xml:space="preserve">purchasing </w:t>
      </w:r>
      <w:r w:rsidR="00E90C73" w:rsidRPr="005D705F">
        <w:t>the cryogen</w:t>
      </w:r>
      <w:r w:rsidR="00166689" w:rsidRPr="005D705F">
        <w:t xml:space="preserve"> from a</w:t>
      </w:r>
      <w:r w:rsidR="00C94B28">
        <w:t>n external</w:t>
      </w:r>
      <w:r w:rsidR="00166689" w:rsidRPr="005D705F">
        <w:t xml:space="preserve"> supplier, </w:t>
      </w:r>
      <w:r w:rsidR="00CB3456" w:rsidRPr="005D705F">
        <w:t>l</w:t>
      </w:r>
      <w:r w:rsidR="00E90C73" w:rsidRPr="005D705F">
        <w:t>iquid air</w:t>
      </w:r>
      <w:r w:rsidR="00166689" w:rsidRPr="005D705F">
        <w:t xml:space="preserve"> or </w:t>
      </w:r>
      <w:r w:rsidR="00E90C73" w:rsidRPr="005D705F">
        <w:t>liquid nitrogen</w:t>
      </w:r>
      <w:r w:rsidR="00166689" w:rsidRPr="005D705F">
        <w:t xml:space="preserve"> from LAES </w:t>
      </w:r>
      <w:r>
        <w:t xml:space="preserve">could be used </w:t>
      </w:r>
      <w:r w:rsidR="00E90C73" w:rsidRPr="005D705F">
        <w:t xml:space="preserve">instead.  A surplus of </w:t>
      </w:r>
      <w:r w:rsidR="00BB4235">
        <w:t>liquid air or liquid nitrogen</w:t>
      </w:r>
      <w:r w:rsidR="00BB4235" w:rsidRPr="005D705F">
        <w:t xml:space="preserve"> </w:t>
      </w:r>
      <w:r w:rsidR="00E90C73" w:rsidRPr="005D705F">
        <w:t>could be generated to supply both the electricity generation and fast food freezing</w:t>
      </w:r>
      <w:r w:rsidR="00C94B28">
        <w:t>.</w:t>
      </w:r>
      <w:r w:rsidR="00E90C73" w:rsidRPr="005D705F">
        <w:t xml:space="preserve"> </w:t>
      </w:r>
      <w:r w:rsidR="00C94B28">
        <w:t>Thus</w:t>
      </w:r>
      <w:r w:rsidR="00C94B28" w:rsidRPr="005D705F">
        <w:t xml:space="preserve"> </w:t>
      </w:r>
      <w:r w:rsidR="00E90C73" w:rsidRPr="005D705F">
        <w:t xml:space="preserve">the </w:t>
      </w:r>
      <w:r w:rsidR="00C94B28">
        <w:t xml:space="preserve">high </w:t>
      </w:r>
      <w:r w:rsidR="00E90C73" w:rsidRPr="005D705F">
        <w:t xml:space="preserve">CAPEX of the liquefaction plant would be offset by ‘free’ cryogen </w:t>
      </w:r>
      <w:r w:rsidR="00C94B28">
        <w:t>for</w:t>
      </w:r>
      <w:r w:rsidR="00C94B28" w:rsidRPr="005D705F">
        <w:t xml:space="preserve"> </w:t>
      </w:r>
      <w:r w:rsidR="00E90C73" w:rsidRPr="005D705F">
        <w:t xml:space="preserve">the fast freezing </w:t>
      </w:r>
      <w:r w:rsidR="00C94B28">
        <w:t>technologies.</w:t>
      </w:r>
    </w:p>
    <w:p w14:paraId="11CCF3F2" w14:textId="4A942C0D" w:rsidR="00A43925" w:rsidRDefault="00A74F22" w:rsidP="00CF446A">
      <w:r>
        <w:t xml:space="preserve">Furthermore, </w:t>
      </w:r>
      <w:r w:rsidR="00E90C73" w:rsidRPr="005D705F">
        <w:t>CSW</w:t>
      </w:r>
      <w:r w:rsidR="009177F1" w:rsidRPr="005D705F">
        <w:t xml:space="preserve">s </w:t>
      </w:r>
      <w:r w:rsidR="00561136">
        <w:t>form part of the continuous and ubiquitous cold chain which commonly uses</w:t>
      </w:r>
      <w:r w:rsidR="00E90C73" w:rsidRPr="005D705F">
        <w:t xml:space="preserve"> </w:t>
      </w:r>
      <w:r w:rsidR="009177F1" w:rsidRPr="005D705F">
        <w:t xml:space="preserve">food transport vehicles to transport refrigerated </w:t>
      </w:r>
      <w:r w:rsidR="00B04E13">
        <w:t>product</w:t>
      </w:r>
      <w:r w:rsidR="00561136">
        <w:t>s</w:t>
      </w:r>
      <w:r w:rsidR="00B04E13">
        <w:t xml:space="preserve">.  If </w:t>
      </w:r>
      <w:r w:rsidR="00E90C73" w:rsidRPr="005D705F">
        <w:t xml:space="preserve">cryogenically </w:t>
      </w:r>
      <w:r w:rsidR="00561136">
        <w:t>refrigerated</w:t>
      </w:r>
      <w:r w:rsidR="00561136" w:rsidRPr="005D705F">
        <w:t xml:space="preserve"> </w:t>
      </w:r>
      <w:r w:rsidR="009177F1" w:rsidRPr="005D705F">
        <w:t xml:space="preserve">food transport vehicles </w:t>
      </w:r>
      <w:r w:rsidR="00561136">
        <w:t>are</w:t>
      </w:r>
      <w:r w:rsidR="00561136" w:rsidRPr="005D705F">
        <w:t xml:space="preserve"> </w:t>
      </w:r>
      <w:r w:rsidR="009177F1" w:rsidRPr="005D705F">
        <w:t>used,</w:t>
      </w:r>
      <w:r w:rsidR="00F75643" w:rsidRPr="005D705F">
        <w:t xml:space="preserve"> </w:t>
      </w:r>
      <w:r w:rsidR="00F552CB" w:rsidRPr="005D705F">
        <w:t xml:space="preserve">the </w:t>
      </w:r>
      <w:r w:rsidR="00BB4235">
        <w:t>liquid air or liquid nitrogen</w:t>
      </w:r>
      <w:r w:rsidR="00BB4235" w:rsidRPr="005D705F">
        <w:t xml:space="preserve"> </w:t>
      </w:r>
      <w:r w:rsidR="00F552CB" w:rsidRPr="005D705F">
        <w:t>f</w:t>
      </w:r>
      <w:r w:rsidR="00E90C73" w:rsidRPr="005D705F">
        <w:t>r</w:t>
      </w:r>
      <w:r w:rsidR="00F552CB" w:rsidRPr="005D705F">
        <w:t>o</w:t>
      </w:r>
      <w:r w:rsidR="00E90C73" w:rsidRPr="005D705F">
        <w:t xml:space="preserve">m LAES </w:t>
      </w:r>
      <w:r w:rsidR="00561136">
        <w:t>can be harnessed to reduce</w:t>
      </w:r>
      <w:r w:rsidR="00561136" w:rsidRPr="005D705F">
        <w:t xml:space="preserve"> </w:t>
      </w:r>
      <w:r w:rsidR="009177F1" w:rsidRPr="005D705F">
        <w:t>the cost of cooling the</w:t>
      </w:r>
      <w:r w:rsidR="00554404" w:rsidRPr="005D705F">
        <w:t xml:space="preserve">se vehicles.  Cryogenic transport vehicles offer many benefits over diesel powered conventional systems.  For example, zero emissions at </w:t>
      </w:r>
      <w:r w:rsidR="001B0F58">
        <w:t>point of use</w:t>
      </w:r>
      <w:r w:rsidR="00554404" w:rsidRPr="005D705F">
        <w:t xml:space="preserve">, quiet running, fast pull down and no need </w:t>
      </w:r>
      <w:r w:rsidR="00561136">
        <w:t>to run</w:t>
      </w:r>
      <w:r w:rsidR="00561136" w:rsidRPr="005D705F">
        <w:t xml:space="preserve"> </w:t>
      </w:r>
      <w:r w:rsidR="00554404" w:rsidRPr="005D705F">
        <w:t>engine</w:t>
      </w:r>
      <w:r w:rsidR="00561136">
        <w:t>s</w:t>
      </w:r>
      <w:r w:rsidR="00554404" w:rsidRPr="005D705F">
        <w:t xml:space="preserve"> </w:t>
      </w:r>
      <w:r w:rsidR="00561136">
        <w:t>for</w:t>
      </w:r>
      <w:r w:rsidR="00554404" w:rsidRPr="005D705F">
        <w:t xml:space="preserve"> maintain</w:t>
      </w:r>
      <w:r w:rsidR="00561136">
        <w:t>ing</w:t>
      </w:r>
      <w:r w:rsidR="00554404" w:rsidRPr="005D705F">
        <w:t xml:space="preserve"> </w:t>
      </w:r>
      <w:r w:rsidR="00561136">
        <w:t>low temperatures</w:t>
      </w:r>
      <w:r w:rsidR="00554404" w:rsidRPr="005D705F">
        <w:t>.</w:t>
      </w:r>
      <w:r w:rsidR="00DF6133">
        <w:t xml:space="preserve">  </w:t>
      </w:r>
    </w:p>
    <w:p w14:paraId="66CE9A3D" w14:textId="0ABE4121" w:rsidR="00DF6133" w:rsidRDefault="005F51B4" w:rsidP="00CF446A">
      <w:r w:rsidRPr="005D705F">
        <w:t xml:space="preserve">Surplus </w:t>
      </w:r>
      <w:r w:rsidR="00BB4235">
        <w:t>liquid air or liquid nitrogen</w:t>
      </w:r>
      <w:r w:rsidR="00BB4235" w:rsidRPr="005D705F">
        <w:t xml:space="preserve"> </w:t>
      </w:r>
      <w:r w:rsidRPr="005D705F">
        <w:t>c</w:t>
      </w:r>
      <w:r w:rsidR="009177F1" w:rsidRPr="005D705F">
        <w:t>ould</w:t>
      </w:r>
      <w:r w:rsidRPr="005D705F">
        <w:t xml:space="preserve"> </w:t>
      </w:r>
      <w:r w:rsidR="009177F1" w:rsidRPr="005D705F">
        <w:t xml:space="preserve">also </w:t>
      </w:r>
      <w:r w:rsidRPr="005D705F">
        <w:t>be used to power automobiles (</w:t>
      </w:r>
      <w:proofErr w:type="spellStart"/>
      <w:r w:rsidRPr="005D705F">
        <w:t>Knowlen</w:t>
      </w:r>
      <w:proofErr w:type="spellEnd"/>
      <w:r w:rsidR="00B04E13">
        <w:t xml:space="preserve"> </w:t>
      </w:r>
      <w:r w:rsidRPr="005D705F">
        <w:t>et al</w:t>
      </w:r>
      <w:r w:rsidR="007009DF">
        <w:t>.</w:t>
      </w:r>
      <w:r w:rsidRPr="005D705F">
        <w:t xml:space="preserve">, 1998). Dearman </w:t>
      </w:r>
      <w:r w:rsidR="00226BF3" w:rsidRPr="005D705F">
        <w:t xml:space="preserve">(2015) </w:t>
      </w:r>
      <w:r w:rsidRPr="005D705F">
        <w:t xml:space="preserve">are developing this technology </w:t>
      </w:r>
      <w:r w:rsidR="00337F29">
        <w:t>for</w:t>
      </w:r>
      <w:r w:rsidR="00337F29" w:rsidRPr="005D705F">
        <w:t xml:space="preserve"> </w:t>
      </w:r>
      <w:r w:rsidR="00337F29">
        <w:t>both engine propulsion</w:t>
      </w:r>
      <w:r w:rsidR="00337F29" w:rsidRPr="005D705F">
        <w:t xml:space="preserve"> </w:t>
      </w:r>
      <w:r w:rsidR="00337F29">
        <w:t xml:space="preserve">and </w:t>
      </w:r>
      <w:r w:rsidR="00337F29" w:rsidRPr="005D705F">
        <w:t xml:space="preserve">container </w:t>
      </w:r>
      <w:r w:rsidR="00226BF3" w:rsidRPr="005D705F">
        <w:t>refrigerat</w:t>
      </w:r>
      <w:r w:rsidR="00337F29">
        <w:t xml:space="preserve">ion. </w:t>
      </w:r>
      <w:bookmarkStart w:id="12" w:name="_Toc487817637"/>
      <w:bookmarkStart w:id="13" w:name="_Toc466027439"/>
    </w:p>
    <w:p w14:paraId="5BD7DF79" w14:textId="3837EB29" w:rsidR="00DF6133" w:rsidRPr="005D705F" w:rsidRDefault="00DF6133" w:rsidP="00DF6133">
      <w:pPr>
        <w:pStyle w:val="Heading1"/>
      </w:pPr>
      <w:r w:rsidRPr="00DF6133">
        <w:t>CONCLUSIONS AND RECOMMENDATIONS</w:t>
      </w:r>
    </w:p>
    <w:bookmarkEnd w:id="12"/>
    <w:bookmarkEnd w:id="13"/>
    <w:p w14:paraId="115B3BC5" w14:textId="4053B527" w:rsidR="00A50717" w:rsidRPr="005D705F" w:rsidRDefault="00A50717" w:rsidP="00A50717">
      <w:r w:rsidRPr="005D705F">
        <w:t xml:space="preserve">Using </w:t>
      </w:r>
      <w:r w:rsidR="00D04430">
        <w:t>LAES</w:t>
      </w:r>
      <w:r w:rsidR="00D04430" w:rsidRPr="005D705F">
        <w:t xml:space="preserve"> </w:t>
      </w:r>
      <w:r w:rsidRPr="005D705F">
        <w:t>to load shift b</w:t>
      </w:r>
      <w:r w:rsidR="00554404" w:rsidRPr="005D705F">
        <w:t xml:space="preserve">etween peak and </w:t>
      </w:r>
      <w:r w:rsidR="00D04430" w:rsidRPr="005D705F">
        <w:t>off</w:t>
      </w:r>
      <w:r w:rsidR="00D04430">
        <w:t>-</w:t>
      </w:r>
      <w:r w:rsidR="00554404" w:rsidRPr="005D705F">
        <w:t xml:space="preserve">peak </w:t>
      </w:r>
      <w:r w:rsidR="00D04430">
        <w:t xml:space="preserve">electricity </w:t>
      </w:r>
      <w:r w:rsidR="00554404" w:rsidRPr="005D705F">
        <w:t>tariff</w:t>
      </w:r>
      <w:r w:rsidR="00D04430">
        <w:t>s</w:t>
      </w:r>
      <w:r w:rsidR="00554404" w:rsidRPr="005D705F">
        <w:t xml:space="preserve"> </w:t>
      </w:r>
      <w:r w:rsidR="00D04430">
        <w:t>was</w:t>
      </w:r>
      <w:r w:rsidR="00554404" w:rsidRPr="005D705F">
        <w:t xml:space="preserve"> not economically viable for the CSWs studied</w:t>
      </w:r>
      <w:r w:rsidR="00D04430">
        <w:t>,</w:t>
      </w:r>
      <w:r w:rsidRPr="005D705F">
        <w:t xml:space="preserve"> </w:t>
      </w:r>
      <w:r w:rsidR="00D04430">
        <w:t>because</w:t>
      </w:r>
      <w:r w:rsidRPr="005D705F">
        <w:t xml:space="preserve"> the ratio between </w:t>
      </w:r>
      <w:r w:rsidR="00BB4235">
        <w:t xml:space="preserve">off-peak and peak </w:t>
      </w:r>
      <w:r w:rsidRPr="005D705F">
        <w:t xml:space="preserve">tariffs </w:t>
      </w:r>
      <w:r w:rsidR="00D04430">
        <w:t xml:space="preserve">was </w:t>
      </w:r>
      <w:r w:rsidRPr="005D705F">
        <w:t>highe</w:t>
      </w:r>
      <w:r w:rsidR="00BD7D93">
        <w:t>r than RTE</w:t>
      </w:r>
      <w:r w:rsidR="00BD7D93" w:rsidRPr="005D705F">
        <w:t xml:space="preserve">.  </w:t>
      </w:r>
    </w:p>
    <w:p w14:paraId="7C71B8D2" w14:textId="5F576314" w:rsidR="00735A8A" w:rsidRPr="005D705F" w:rsidRDefault="00D04430" w:rsidP="00A43925">
      <w:r>
        <w:t xml:space="preserve">Employing CES </w:t>
      </w:r>
      <w:r w:rsidR="00A50717" w:rsidRPr="005D705F">
        <w:t xml:space="preserve">to avoid exporting energy is </w:t>
      </w:r>
      <w:r>
        <w:t xml:space="preserve">currently </w:t>
      </w:r>
      <w:r w:rsidR="00A50717" w:rsidRPr="005D705F">
        <w:t xml:space="preserve">much more economically viable.  However, due to the large capital cost of a liquefaction system at small scale, </w:t>
      </w:r>
      <w:r>
        <w:t>LAES</w:t>
      </w:r>
      <w:r w:rsidR="00A50717" w:rsidRPr="005D705F">
        <w:t xml:space="preserve"> is only likely to provide an acceptable payback at large scale (~200 MW) and at reasonably large economies of scale (10 to 100 units</w:t>
      </w:r>
      <w:r w:rsidR="001B0F58">
        <w:t xml:space="preserve"> per year</w:t>
      </w:r>
      <w:r w:rsidR="00A50717" w:rsidRPr="005D705F">
        <w:t xml:space="preserve">).  </w:t>
      </w:r>
      <w:r w:rsidR="005A57BA" w:rsidRPr="005D705F">
        <w:t xml:space="preserve">It is unlikely that any CSW </w:t>
      </w:r>
      <w:r>
        <w:t>can</w:t>
      </w:r>
      <w:r w:rsidRPr="005D705F">
        <w:t xml:space="preserve"> </w:t>
      </w:r>
      <w:r w:rsidR="005A57BA" w:rsidRPr="005D705F">
        <w:t xml:space="preserve">have the electrical consumption or RES production </w:t>
      </w:r>
      <w:r w:rsidR="00D37CB0" w:rsidRPr="005D705F">
        <w:t xml:space="preserve">at a large enough scale </w:t>
      </w:r>
      <w:r w:rsidR="005A57BA" w:rsidRPr="005D705F">
        <w:t>to make LAES cost effective</w:t>
      </w:r>
      <w:r w:rsidR="007B4144" w:rsidRPr="005D705F">
        <w:t xml:space="preserve"> at the moment</w:t>
      </w:r>
      <w:r w:rsidR="005A57BA" w:rsidRPr="005D705F">
        <w:t xml:space="preserve">. </w:t>
      </w:r>
      <w:r w:rsidR="00A43925">
        <w:t xml:space="preserve">The </w:t>
      </w:r>
      <w:r w:rsidR="00445A04">
        <w:t>lack of</w:t>
      </w:r>
      <w:r w:rsidR="00735A8A" w:rsidRPr="005D705F">
        <w:t xml:space="preserve"> </w:t>
      </w:r>
      <w:r w:rsidR="00445A04">
        <w:t xml:space="preserve">a competitive </w:t>
      </w:r>
      <w:r w:rsidR="00735A8A" w:rsidRPr="005D705F">
        <w:t>market for small scale liquefaction systems</w:t>
      </w:r>
      <w:r>
        <w:t xml:space="preserve"> </w:t>
      </w:r>
      <w:r w:rsidRPr="005D705F">
        <w:t>mak</w:t>
      </w:r>
      <w:r>
        <w:t>es</w:t>
      </w:r>
      <w:r w:rsidRPr="005D705F">
        <w:t xml:space="preserve"> </w:t>
      </w:r>
      <w:r w:rsidR="00735A8A" w:rsidRPr="005D705F">
        <w:t>them prohibitively expensive.</w:t>
      </w:r>
      <w:r w:rsidR="00B04E13">
        <w:t xml:space="preserve"> This is somewhat of a </w:t>
      </w:r>
      <w:r w:rsidR="00A43925">
        <w:t>‘</w:t>
      </w:r>
      <w:r w:rsidR="00B04E13">
        <w:t>chicken and egg</w:t>
      </w:r>
      <w:r w:rsidR="00A43925">
        <w:t xml:space="preserve">’ </w:t>
      </w:r>
      <w:r w:rsidR="00B04E13">
        <w:t xml:space="preserve">situation, as LAES </w:t>
      </w:r>
      <w:r w:rsidR="00A43925">
        <w:t>may</w:t>
      </w:r>
      <w:r w:rsidR="00B04E13">
        <w:t xml:space="preserve"> </w:t>
      </w:r>
      <w:r w:rsidR="00C47DF8">
        <w:t xml:space="preserve">successfully </w:t>
      </w:r>
      <w:r w:rsidR="00B04E13">
        <w:t>provide the market if the technology was cheaper.</w:t>
      </w:r>
    </w:p>
    <w:p w14:paraId="2D45490F" w14:textId="52B440BB" w:rsidR="003E7C48" w:rsidRDefault="00735A8A" w:rsidP="00735A8A">
      <w:r w:rsidRPr="005D705F">
        <w:t>Sharing the cost of the liquefaction system by using it for cryogenic cooling, transport or sharing with other sites make</w:t>
      </w:r>
      <w:r w:rsidR="00C47DF8">
        <w:t>s</w:t>
      </w:r>
      <w:r w:rsidRPr="005D705F">
        <w:t xml:space="preserve"> LAES more financially viable</w:t>
      </w:r>
      <w:r w:rsidR="00C47DF8">
        <w:t xml:space="preserve"> and this is the focus of further research of the authors</w:t>
      </w:r>
      <w:r w:rsidR="00A43925">
        <w:t>.</w:t>
      </w:r>
      <w:r w:rsidRPr="005D705F">
        <w:t xml:space="preserve">  </w:t>
      </w:r>
    </w:p>
    <w:p w14:paraId="3DACD6AE" w14:textId="06355390" w:rsidR="00735A8A" w:rsidRPr="005D705F" w:rsidRDefault="003E7C48" w:rsidP="00735A8A">
      <w:r w:rsidRPr="003E7C48">
        <w:t>Increased volatility in the electricity market, driving a larger difference in energy prices, could improve financial viability.</w:t>
      </w:r>
      <w:r w:rsidR="00E118FA">
        <w:t xml:space="preserve"> </w:t>
      </w:r>
      <w:r w:rsidR="00E56386">
        <w:t>Furthermore, g</w:t>
      </w:r>
      <w:r w:rsidR="00735A8A" w:rsidRPr="005D705F">
        <w:t xml:space="preserve">overnment incentives for </w:t>
      </w:r>
      <w:r w:rsidR="00E118FA">
        <w:t xml:space="preserve">energy </w:t>
      </w:r>
      <w:r w:rsidR="00735A8A" w:rsidRPr="005D705F">
        <w:t>storage</w:t>
      </w:r>
      <w:r w:rsidR="001B0F58">
        <w:t xml:space="preserve"> </w:t>
      </w:r>
      <w:r w:rsidR="00C47DF8">
        <w:t>(such as</w:t>
      </w:r>
      <w:r w:rsidR="00C47DF8" w:rsidRPr="005D705F">
        <w:t xml:space="preserve"> </w:t>
      </w:r>
      <w:r w:rsidR="00735A8A" w:rsidRPr="005D705F">
        <w:t xml:space="preserve">the feed in tariffs for renewable </w:t>
      </w:r>
      <w:r w:rsidR="00E118FA">
        <w:t>power</w:t>
      </w:r>
      <w:r w:rsidR="00E118FA" w:rsidRPr="005D705F">
        <w:t xml:space="preserve"> </w:t>
      </w:r>
      <w:r w:rsidR="00735A8A" w:rsidRPr="005D705F">
        <w:t>generation</w:t>
      </w:r>
      <w:r w:rsidR="00C47DF8">
        <w:t>)</w:t>
      </w:r>
      <w:r w:rsidR="00735A8A" w:rsidRPr="005D705F">
        <w:t xml:space="preserve"> could drive down costs and increase efficiency </w:t>
      </w:r>
      <w:r w:rsidR="00B9706C">
        <w:t xml:space="preserve">(as </w:t>
      </w:r>
      <w:r w:rsidR="00C47DF8">
        <w:t xml:space="preserve">it </w:t>
      </w:r>
      <w:r w:rsidR="00116B31">
        <w:t xml:space="preserve">previously </w:t>
      </w:r>
      <w:r w:rsidR="00C47DF8">
        <w:t>happened with the</w:t>
      </w:r>
      <w:r w:rsidR="007B4144" w:rsidRPr="005D705F">
        <w:t xml:space="preserve"> solar panels</w:t>
      </w:r>
      <w:r w:rsidR="00C47DF8">
        <w:t>)</w:t>
      </w:r>
      <w:r w:rsidR="007B4144" w:rsidRPr="005D705F">
        <w:t xml:space="preserve">, </w:t>
      </w:r>
      <w:r w:rsidR="00C47DF8">
        <w:t>thereby</w:t>
      </w:r>
      <w:r w:rsidR="00C47DF8" w:rsidRPr="005D705F">
        <w:t xml:space="preserve"> </w:t>
      </w:r>
      <w:r w:rsidR="007B4144" w:rsidRPr="005D705F">
        <w:t xml:space="preserve">making LAES for CSWs </w:t>
      </w:r>
      <w:r w:rsidR="00C47DF8">
        <w:t>potentially</w:t>
      </w:r>
      <w:r w:rsidR="00C47DF8" w:rsidRPr="005D705F">
        <w:t xml:space="preserve"> </w:t>
      </w:r>
      <w:r w:rsidR="007B4144" w:rsidRPr="005D705F">
        <w:t xml:space="preserve">viable in the </w:t>
      </w:r>
      <w:r w:rsidR="00116B31">
        <w:t xml:space="preserve">near </w:t>
      </w:r>
      <w:r w:rsidR="007B4144" w:rsidRPr="005D705F">
        <w:t>future.</w:t>
      </w:r>
    </w:p>
    <w:p w14:paraId="60B28499" w14:textId="7D298E89" w:rsidR="00DA1BAF" w:rsidRPr="005D705F" w:rsidRDefault="00DA1BAF">
      <w:pPr>
        <w:pStyle w:val="Heading1"/>
        <w:numPr>
          <w:ilvl w:val="0"/>
          <w:numId w:val="0"/>
        </w:numPr>
      </w:pPr>
      <w:r w:rsidRPr="005D705F">
        <w:lastRenderedPageBreak/>
        <w:t>ACKNOWLEDGEMENTS</w:t>
      </w:r>
    </w:p>
    <w:p w14:paraId="589125CA" w14:textId="42FAA672" w:rsidR="005D705F" w:rsidRPr="005D705F" w:rsidRDefault="00D03B50" w:rsidP="005D705F">
      <w:r>
        <w:t xml:space="preserve">The </w:t>
      </w:r>
      <w:proofErr w:type="spellStart"/>
      <w:r>
        <w:t>CryoHub</w:t>
      </w:r>
      <w:proofErr w:type="spellEnd"/>
      <w:r w:rsidRPr="005D705F">
        <w:t xml:space="preserve"> </w:t>
      </w:r>
      <w:r w:rsidR="005D705F" w:rsidRPr="005D705F">
        <w:t>project has received funding from the European Union’s Horizon 2020 Research and Innovation Programme under Grant Agreement No 691761.</w:t>
      </w:r>
    </w:p>
    <w:p w14:paraId="2C8B535B" w14:textId="72997848" w:rsidR="00AF0D2C" w:rsidRPr="005D705F" w:rsidRDefault="00AF0D2C" w:rsidP="00604EBD">
      <w:pPr>
        <w:pStyle w:val="Heading1"/>
        <w:numPr>
          <w:ilvl w:val="0"/>
          <w:numId w:val="0"/>
        </w:numPr>
        <w:spacing w:before="120"/>
        <w:ind w:left="431" w:hanging="431"/>
      </w:pPr>
      <w:r w:rsidRPr="005D705F">
        <w:t>Nomenclature</w:t>
      </w:r>
    </w:p>
    <w:p w14:paraId="5081B388" w14:textId="77777777" w:rsidR="005324C2" w:rsidRDefault="005324C2" w:rsidP="005324C2">
      <w:pPr>
        <w:spacing w:after="0"/>
        <w:sectPr w:rsidR="005324C2" w:rsidSect="00735D97">
          <w:headerReference w:type="default" r:id="rId13"/>
          <w:footerReference w:type="default" r:id="rId14"/>
          <w:pgSz w:w="11906" w:h="16838" w:code="9"/>
          <w:pgMar w:top="1134" w:right="1134" w:bottom="1418" w:left="1134" w:header="680" w:footer="709" w:gutter="0"/>
          <w:cols w:space="720"/>
          <w:docGrid w:linePitch="272"/>
        </w:sectPr>
      </w:pPr>
    </w:p>
    <w:p w14:paraId="53E526EA" w14:textId="2E76B420" w:rsidR="001645E6" w:rsidRPr="00604EBD" w:rsidRDefault="001645E6" w:rsidP="005324C2">
      <w:pPr>
        <w:spacing w:after="0"/>
        <w:rPr>
          <w:sz w:val="20"/>
        </w:rPr>
      </w:pPr>
      <w:r w:rsidRPr="00604EBD">
        <w:rPr>
          <w:sz w:val="20"/>
        </w:rPr>
        <w:lastRenderedPageBreak/>
        <w:t>E</w:t>
      </w:r>
      <w:r w:rsidRPr="00604EBD">
        <w:rPr>
          <w:sz w:val="20"/>
        </w:rPr>
        <w:tab/>
      </w:r>
      <w:r w:rsidR="00BE3757" w:rsidRPr="00604EBD">
        <w:rPr>
          <w:sz w:val="20"/>
        </w:rPr>
        <w:t xml:space="preserve">Electrical Energy </w:t>
      </w:r>
      <w:r w:rsidRPr="00604EBD">
        <w:rPr>
          <w:sz w:val="20"/>
        </w:rPr>
        <w:t>(kWh)</w:t>
      </w:r>
    </w:p>
    <w:p w14:paraId="78098998" w14:textId="77F4D938" w:rsidR="00AF0D2C" w:rsidRPr="00604EBD" w:rsidRDefault="00C66AC5" w:rsidP="005324C2">
      <w:pPr>
        <w:spacing w:after="0"/>
        <w:rPr>
          <w:sz w:val="20"/>
        </w:rPr>
      </w:pPr>
      <w:r w:rsidRPr="00604EBD">
        <w:rPr>
          <w:sz w:val="20"/>
        </w:rPr>
        <w:t>P</w:t>
      </w:r>
      <w:r w:rsidRPr="00604EBD">
        <w:rPr>
          <w:sz w:val="20"/>
        </w:rPr>
        <w:tab/>
      </w:r>
      <w:r w:rsidR="00BE3757" w:rsidRPr="00604EBD">
        <w:rPr>
          <w:sz w:val="20"/>
        </w:rPr>
        <w:t xml:space="preserve">Electrical Power </w:t>
      </w:r>
      <w:r w:rsidRPr="00604EBD">
        <w:rPr>
          <w:sz w:val="20"/>
        </w:rPr>
        <w:t>(kW)</w:t>
      </w:r>
    </w:p>
    <w:p w14:paraId="195EFAAA" w14:textId="2FD6BA23" w:rsidR="009D64BD" w:rsidRPr="00604EBD" w:rsidRDefault="009D64BD" w:rsidP="005324C2">
      <w:pPr>
        <w:spacing w:after="0"/>
        <w:rPr>
          <w:sz w:val="20"/>
        </w:rPr>
      </w:pPr>
      <w:r w:rsidRPr="00604EBD">
        <w:rPr>
          <w:sz w:val="20"/>
        </w:rPr>
        <w:t>R</w:t>
      </w:r>
      <w:r w:rsidRPr="00604EBD">
        <w:rPr>
          <w:sz w:val="20"/>
        </w:rPr>
        <w:tab/>
        <w:t>Revenue (</w:t>
      </w:r>
      <w:r w:rsidR="00854B5D" w:rsidRPr="00604EBD">
        <w:rPr>
          <w:sz w:val="20"/>
        </w:rPr>
        <w:t>€.kWh</w:t>
      </w:r>
      <w:r w:rsidR="00854B5D" w:rsidRPr="00604EBD">
        <w:rPr>
          <w:sz w:val="20"/>
          <w:vertAlign w:val="superscript"/>
        </w:rPr>
        <w:t>-1</w:t>
      </w:r>
      <w:r w:rsidRPr="00604EBD">
        <w:rPr>
          <w:sz w:val="20"/>
        </w:rPr>
        <w:t>)</w:t>
      </w:r>
    </w:p>
    <w:p w14:paraId="0018F9B0" w14:textId="6ECA30CF" w:rsidR="001645E6" w:rsidRPr="00604EBD" w:rsidRDefault="001645E6" w:rsidP="005324C2">
      <w:pPr>
        <w:spacing w:after="0"/>
        <w:rPr>
          <w:sz w:val="20"/>
        </w:rPr>
      </w:pPr>
      <w:r w:rsidRPr="00604EBD">
        <w:rPr>
          <w:sz w:val="20"/>
        </w:rPr>
        <w:t>RTE</w:t>
      </w:r>
      <w:r w:rsidRPr="00604EBD">
        <w:rPr>
          <w:sz w:val="20"/>
        </w:rPr>
        <w:tab/>
      </w:r>
      <w:r w:rsidR="00BE3757" w:rsidRPr="00604EBD">
        <w:rPr>
          <w:sz w:val="20"/>
        </w:rPr>
        <w:t xml:space="preserve">Round Trip Efficiency </w:t>
      </w:r>
      <w:r w:rsidRPr="00604EBD">
        <w:rPr>
          <w:sz w:val="20"/>
        </w:rPr>
        <w:t>(</w:t>
      </w:r>
      <w:r w:rsidR="00FE7504" w:rsidRPr="00604EBD">
        <w:rPr>
          <w:sz w:val="20"/>
        </w:rPr>
        <w:t>dimensionless</w:t>
      </w:r>
      <w:r w:rsidRPr="00604EBD">
        <w:rPr>
          <w:sz w:val="20"/>
        </w:rPr>
        <w:t>)</w:t>
      </w:r>
    </w:p>
    <w:p w14:paraId="1B9A6FD6" w14:textId="0C1A8227" w:rsidR="00F05E19" w:rsidRPr="00604EBD" w:rsidRDefault="00F05E19" w:rsidP="005324C2">
      <w:pPr>
        <w:spacing w:after="0"/>
        <w:rPr>
          <w:sz w:val="20"/>
        </w:rPr>
      </w:pPr>
      <w:proofErr w:type="gramStart"/>
      <w:r w:rsidRPr="00604EBD">
        <w:rPr>
          <w:sz w:val="20"/>
        </w:rPr>
        <w:t>t</w:t>
      </w:r>
      <w:proofErr w:type="gramEnd"/>
      <w:r w:rsidRPr="00604EBD">
        <w:rPr>
          <w:sz w:val="20"/>
        </w:rPr>
        <w:tab/>
      </w:r>
      <w:r w:rsidR="00FE439D">
        <w:rPr>
          <w:sz w:val="20"/>
        </w:rPr>
        <w:t>T</w:t>
      </w:r>
      <w:r w:rsidRPr="00604EBD">
        <w:rPr>
          <w:sz w:val="20"/>
        </w:rPr>
        <w:t>ime</w:t>
      </w:r>
      <w:r w:rsidR="00160B17">
        <w:rPr>
          <w:sz w:val="20"/>
        </w:rPr>
        <w:t xml:space="preserve"> (hours)</w:t>
      </w:r>
    </w:p>
    <w:p w14:paraId="4775DAE9" w14:textId="102B1A17" w:rsidR="00AF0D2C" w:rsidRPr="00604EBD" w:rsidRDefault="00AF0D2C" w:rsidP="005324C2">
      <w:pPr>
        <w:spacing w:after="0"/>
        <w:rPr>
          <w:sz w:val="20"/>
        </w:rPr>
      </w:pPr>
      <w:r w:rsidRPr="00604EBD">
        <w:rPr>
          <w:sz w:val="20"/>
        </w:rPr>
        <w:t>T</w:t>
      </w:r>
      <w:r w:rsidRPr="00604EBD">
        <w:rPr>
          <w:sz w:val="20"/>
        </w:rPr>
        <w:tab/>
      </w:r>
      <w:r w:rsidR="00BE3757" w:rsidRPr="00604EBD">
        <w:rPr>
          <w:sz w:val="20"/>
        </w:rPr>
        <w:t xml:space="preserve">Tariff </w:t>
      </w:r>
      <w:r w:rsidRPr="00604EBD">
        <w:rPr>
          <w:sz w:val="20"/>
        </w:rPr>
        <w:t>(€)</w:t>
      </w:r>
    </w:p>
    <w:p w14:paraId="433E7781" w14:textId="77777777" w:rsidR="006267F8" w:rsidRPr="00604EBD" w:rsidRDefault="006267F8" w:rsidP="005324C2">
      <w:pPr>
        <w:spacing w:after="0"/>
        <w:rPr>
          <w:sz w:val="20"/>
        </w:rPr>
      </w:pPr>
    </w:p>
    <w:p w14:paraId="58A3C6D8" w14:textId="77777777" w:rsidR="00AF0D2C" w:rsidRPr="00604EBD" w:rsidRDefault="00AF0D2C" w:rsidP="007074F6">
      <w:pPr>
        <w:rPr>
          <w:b/>
          <w:sz w:val="20"/>
        </w:rPr>
      </w:pPr>
      <w:r w:rsidRPr="00604EBD">
        <w:rPr>
          <w:b/>
          <w:sz w:val="20"/>
        </w:rPr>
        <w:t>Subscripts</w:t>
      </w:r>
    </w:p>
    <w:p w14:paraId="0ED0B986" w14:textId="77777777" w:rsidR="001645E6" w:rsidRPr="00604EBD" w:rsidRDefault="001645E6" w:rsidP="005324C2">
      <w:pPr>
        <w:spacing w:after="0"/>
        <w:rPr>
          <w:sz w:val="20"/>
        </w:rPr>
      </w:pPr>
      <w:proofErr w:type="gramStart"/>
      <w:r w:rsidRPr="00604EBD">
        <w:rPr>
          <w:sz w:val="20"/>
        </w:rPr>
        <w:t>e</w:t>
      </w:r>
      <w:proofErr w:type="gramEnd"/>
      <w:r w:rsidRPr="00604EBD">
        <w:rPr>
          <w:sz w:val="20"/>
        </w:rPr>
        <w:tab/>
        <w:t>export</w:t>
      </w:r>
    </w:p>
    <w:p w14:paraId="0248EF63" w14:textId="77777777" w:rsidR="001645E6" w:rsidRPr="00604EBD" w:rsidRDefault="001645E6" w:rsidP="005324C2">
      <w:pPr>
        <w:spacing w:after="0"/>
        <w:rPr>
          <w:sz w:val="20"/>
        </w:rPr>
      </w:pPr>
      <w:proofErr w:type="spellStart"/>
      <w:proofErr w:type="gramStart"/>
      <w:r w:rsidRPr="00604EBD">
        <w:rPr>
          <w:sz w:val="20"/>
        </w:rPr>
        <w:t>i</w:t>
      </w:r>
      <w:proofErr w:type="spellEnd"/>
      <w:proofErr w:type="gramEnd"/>
      <w:r w:rsidRPr="00604EBD">
        <w:rPr>
          <w:sz w:val="20"/>
        </w:rPr>
        <w:tab/>
        <w:t>import</w:t>
      </w:r>
    </w:p>
    <w:p w14:paraId="46D37036" w14:textId="3884AA99" w:rsidR="00B9706C" w:rsidRPr="00604EBD" w:rsidRDefault="00B9706C" w:rsidP="005324C2">
      <w:pPr>
        <w:spacing w:after="0"/>
        <w:rPr>
          <w:sz w:val="20"/>
        </w:rPr>
      </w:pPr>
      <w:proofErr w:type="gramStart"/>
      <w:r w:rsidRPr="00604EBD">
        <w:rPr>
          <w:sz w:val="20"/>
        </w:rPr>
        <w:t>min</w:t>
      </w:r>
      <w:proofErr w:type="gramEnd"/>
      <w:r w:rsidRPr="00604EBD">
        <w:rPr>
          <w:sz w:val="20"/>
        </w:rPr>
        <w:tab/>
      </w:r>
      <w:proofErr w:type="spellStart"/>
      <w:r w:rsidRPr="00604EBD">
        <w:rPr>
          <w:sz w:val="20"/>
        </w:rPr>
        <w:t>minumum</w:t>
      </w:r>
      <w:proofErr w:type="spellEnd"/>
    </w:p>
    <w:p w14:paraId="7FB246A5" w14:textId="1FCB3E57" w:rsidR="001645E6" w:rsidRPr="00604EBD" w:rsidRDefault="001645E6" w:rsidP="005324C2">
      <w:pPr>
        <w:spacing w:after="0"/>
        <w:rPr>
          <w:sz w:val="20"/>
        </w:rPr>
      </w:pPr>
      <w:proofErr w:type="gramStart"/>
      <w:r w:rsidRPr="00604EBD">
        <w:rPr>
          <w:sz w:val="20"/>
        </w:rPr>
        <w:t>o</w:t>
      </w:r>
      <w:proofErr w:type="gramEnd"/>
      <w:r w:rsidRPr="00604EBD">
        <w:rPr>
          <w:sz w:val="20"/>
        </w:rPr>
        <w:tab/>
        <w:t>off peak</w:t>
      </w:r>
    </w:p>
    <w:p w14:paraId="14D1EA77" w14:textId="77777777" w:rsidR="00BE3757" w:rsidRPr="00604EBD" w:rsidRDefault="00AF0D2C" w:rsidP="005324C2">
      <w:pPr>
        <w:spacing w:after="0"/>
        <w:rPr>
          <w:sz w:val="20"/>
        </w:rPr>
      </w:pPr>
      <w:proofErr w:type="gramStart"/>
      <w:r w:rsidRPr="00604EBD">
        <w:rPr>
          <w:sz w:val="20"/>
        </w:rPr>
        <w:t>p</w:t>
      </w:r>
      <w:proofErr w:type="gramEnd"/>
      <w:r w:rsidRPr="00604EBD">
        <w:rPr>
          <w:sz w:val="20"/>
        </w:rPr>
        <w:tab/>
        <w:t>peak</w:t>
      </w:r>
    </w:p>
    <w:p w14:paraId="487B84F5" w14:textId="541C992B" w:rsidR="00BE3757" w:rsidRPr="00A43925" w:rsidRDefault="00BE3757" w:rsidP="007074F6">
      <w:pPr>
        <w:rPr>
          <w:b/>
        </w:rPr>
      </w:pPr>
      <w:r w:rsidRPr="00A43925">
        <w:rPr>
          <w:b/>
        </w:rPr>
        <w:lastRenderedPageBreak/>
        <w:t>Acronyms</w:t>
      </w:r>
    </w:p>
    <w:p w14:paraId="54DD3667" w14:textId="0E17D476" w:rsidR="006267F8" w:rsidRPr="00604EBD" w:rsidRDefault="006267F8" w:rsidP="006267F8">
      <w:pPr>
        <w:tabs>
          <w:tab w:val="left" w:pos="851"/>
        </w:tabs>
        <w:spacing w:after="0"/>
        <w:rPr>
          <w:sz w:val="20"/>
        </w:rPr>
      </w:pPr>
      <w:r w:rsidRPr="00604EBD">
        <w:rPr>
          <w:sz w:val="20"/>
        </w:rPr>
        <w:t>CAPEX</w:t>
      </w:r>
      <w:r w:rsidRPr="00604EBD">
        <w:rPr>
          <w:sz w:val="20"/>
        </w:rPr>
        <w:tab/>
        <w:t>Capital Expenditure</w:t>
      </w:r>
    </w:p>
    <w:p w14:paraId="72195823" w14:textId="154AFBF1" w:rsidR="00BE3757" w:rsidRPr="00604EBD" w:rsidRDefault="00BE3757" w:rsidP="006267F8">
      <w:pPr>
        <w:tabs>
          <w:tab w:val="left" w:pos="851"/>
        </w:tabs>
        <w:spacing w:after="0"/>
        <w:rPr>
          <w:sz w:val="20"/>
        </w:rPr>
      </w:pPr>
      <w:r w:rsidRPr="00604EBD">
        <w:rPr>
          <w:sz w:val="20"/>
        </w:rPr>
        <w:t>CES</w:t>
      </w:r>
      <w:r w:rsidRPr="00604EBD">
        <w:rPr>
          <w:sz w:val="20"/>
        </w:rPr>
        <w:tab/>
        <w:t>Cryogenic Energy Storage</w:t>
      </w:r>
    </w:p>
    <w:p w14:paraId="16CB6A21" w14:textId="7D2AA7C2" w:rsidR="00BE3757" w:rsidRPr="00604EBD" w:rsidRDefault="00BE3757" w:rsidP="006267F8">
      <w:pPr>
        <w:tabs>
          <w:tab w:val="left" w:pos="851"/>
        </w:tabs>
        <w:spacing w:after="0"/>
        <w:rPr>
          <w:sz w:val="20"/>
        </w:rPr>
      </w:pPr>
      <w:r w:rsidRPr="00604EBD">
        <w:rPr>
          <w:sz w:val="20"/>
        </w:rPr>
        <w:t>CSW</w:t>
      </w:r>
      <w:r w:rsidRPr="00604EBD">
        <w:rPr>
          <w:sz w:val="20"/>
        </w:rPr>
        <w:tab/>
        <w:t>Cold Storage Warehouse</w:t>
      </w:r>
    </w:p>
    <w:p w14:paraId="30A189CA" w14:textId="26BEC1B2" w:rsidR="00BA03FA" w:rsidRPr="00604EBD" w:rsidRDefault="00BA03FA" w:rsidP="006267F8">
      <w:pPr>
        <w:tabs>
          <w:tab w:val="left" w:pos="851"/>
        </w:tabs>
        <w:spacing w:after="0"/>
        <w:rPr>
          <w:sz w:val="20"/>
        </w:rPr>
      </w:pPr>
      <w:proofErr w:type="spellStart"/>
      <w:r w:rsidRPr="00604EBD">
        <w:rPr>
          <w:sz w:val="20"/>
        </w:rPr>
        <w:t>FoK</w:t>
      </w:r>
      <w:proofErr w:type="spellEnd"/>
      <w:r w:rsidRPr="00604EBD">
        <w:rPr>
          <w:sz w:val="20"/>
        </w:rPr>
        <w:tab/>
        <w:t xml:space="preserve">1st </w:t>
      </w:r>
      <w:proofErr w:type="gramStart"/>
      <w:r w:rsidRPr="00604EBD">
        <w:rPr>
          <w:sz w:val="20"/>
        </w:rPr>
        <w:t>Of</w:t>
      </w:r>
      <w:proofErr w:type="gramEnd"/>
      <w:r w:rsidRPr="00604EBD">
        <w:rPr>
          <w:sz w:val="20"/>
        </w:rPr>
        <w:t xml:space="preserve"> Kind </w:t>
      </w:r>
    </w:p>
    <w:p w14:paraId="78AFFD1A" w14:textId="128DC343" w:rsidR="00BE3757" w:rsidRPr="00604EBD" w:rsidRDefault="00BE3757" w:rsidP="006267F8">
      <w:pPr>
        <w:tabs>
          <w:tab w:val="left" w:pos="851"/>
        </w:tabs>
        <w:spacing w:after="0"/>
        <w:rPr>
          <w:sz w:val="20"/>
        </w:rPr>
      </w:pPr>
      <w:r w:rsidRPr="00604EBD">
        <w:rPr>
          <w:sz w:val="20"/>
        </w:rPr>
        <w:t>LAES</w:t>
      </w:r>
      <w:r w:rsidRPr="00604EBD">
        <w:rPr>
          <w:sz w:val="20"/>
        </w:rPr>
        <w:tab/>
        <w:t>Liquid Air Energy Storage</w:t>
      </w:r>
    </w:p>
    <w:p w14:paraId="4476D203" w14:textId="0CFAD8E1" w:rsidR="00BA41F8" w:rsidRPr="00604EBD" w:rsidRDefault="00BA41F8" w:rsidP="006267F8">
      <w:pPr>
        <w:tabs>
          <w:tab w:val="left" w:pos="851"/>
        </w:tabs>
        <w:spacing w:after="0"/>
        <w:rPr>
          <w:sz w:val="20"/>
        </w:rPr>
      </w:pPr>
      <w:r w:rsidRPr="00604EBD">
        <w:rPr>
          <w:sz w:val="20"/>
        </w:rPr>
        <w:t>NPV</w:t>
      </w:r>
      <w:r w:rsidRPr="00604EBD">
        <w:rPr>
          <w:sz w:val="20"/>
        </w:rPr>
        <w:tab/>
        <w:t>Net Present Value</w:t>
      </w:r>
    </w:p>
    <w:p w14:paraId="28BD351F" w14:textId="4B286658" w:rsidR="00BA03FA" w:rsidRPr="00604EBD" w:rsidRDefault="00BA03FA" w:rsidP="00BA03FA">
      <w:pPr>
        <w:tabs>
          <w:tab w:val="left" w:pos="851"/>
        </w:tabs>
        <w:spacing w:after="0"/>
        <w:rPr>
          <w:sz w:val="20"/>
        </w:rPr>
      </w:pPr>
      <w:r w:rsidRPr="00604EBD">
        <w:rPr>
          <w:sz w:val="20"/>
        </w:rPr>
        <w:t>OK</w:t>
      </w:r>
      <w:r w:rsidRPr="00604EBD">
        <w:rPr>
          <w:sz w:val="20"/>
        </w:rPr>
        <w:tab/>
        <w:t xml:space="preserve">Of Kind </w:t>
      </w:r>
    </w:p>
    <w:p w14:paraId="3F4F5D5A" w14:textId="0AA7F8D8" w:rsidR="007246F9" w:rsidRPr="00604EBD" w:rsidRDefault="007246F9" w:rsidP="00BA03FA">
      <w:pPr>
        <w:tabs>
          <w:tab w:val="left" w:pos="851"/>
        </w:tabs>
        <w:spacing w:after="0"/>
        <w:rPr>
          <w:sz w:val="20"/>
        </w:rPr>
      </w:pPr>
      <w:r w:rsidRPr="00604EBD">
        <w:rPr>
          <w:sz w:val="20"/>
        </w:rPr>
        <w:t xml:space="preserve">PRU </w:t>
      </w:r>
      <w:r w:rsidRPr="00604EBD">
        <w:rPr>
          <w:sz w:val="20"/>
        </w:rPr>
        <w:tab/>
        <w:t>Power Recovery Unit</w:t>
      </w:r>
    </w:p>
    <w:p w14:paraId="0F9B8220" w14:textId="4928DA13" w:rsidR="002D084C" w:rsidRPr="00604EBD" w:rsidRDefault="002D084C" w:rsidP="006267F8">
      <w:pPr>
        <w:tabs>
          <w:tab w:val="left" w:pos="851"/>
        </w:tabs>
        <w:spacing w:after="0"/>
        <w:rPr>
          <w:sz w:val="20"/>
        </w:rPr>
      </w:pPr>
      <w:r w:rsidRPr="00604EBD">
        <w:rPr>
          <w:sz w:val="20"/>
        </w:rPr>
        <w:t>PV</w:t>
      </w:r>
      <w:r w:rsidRPr="00604EBD">
        <w:rPr>
          <w:sz w:val="20"/>
        </w:rPr>
        <w:tab/>
      </w:r>
      <w:proofErr w:type="spellStart"/>
      <w:r w:rsidRPr="00604EBD">
        <w:rPr>
          <w:sz w:val="20"/>
        </w:rPr>
        <w:t>PhotoVoltaic</w:t>
      </w:r>
      <w:proofErr w:type="spellEnd"/>
    </w:p>
    <w:p w14:paraId="2C680658" w14:textId="6872C877" w:rsidR="00A36902" w:rsidRPr="00604EBD" w:rsidRDefault="00A36902" w:rsidP="006267F8">
      <w:pPr>
        <w:tabs>
          <w:tab w:val="left" w:pos="851"/>
        </w:tabs>
        <w:spacing w:after="0"/>
        <w:rPr>
          <w:sz w:val="20"/>
        </w:rPr>
      </w:pPr>
      <w:r w:rsidRPr="00604EBD">
        <w:rPr>
          <w:sz w:val="20"/>
        </w:rPr>
        <w:t>RES</w:t>
      </w:r>
      <w:r w:rsidRPr="00604EBD">
        <w:rPr>
          <w:sz w:val="20"/>
        </w:rPr>
        <w:tab/>
        <w:t xml:space="preserve">Renewable </w:t>
      </w:r>
      <w:r w:rsidR="00BE3757" w:rsidRPr="00604EBD">
        <w:rPr>
          <w:sz w:val="20"/>
        </w:rPr>
        <w:t>Energy Source</w:t>
      </w:r>
    </w:p>
    <w:p w14:paraId="5878A489" w14:textId="2430E828" w:rsidR="00C030F5" w:rsidRPr="00604EBD" w:rsidRDefault="00C030F5" w:rsidP="006267F8">
      <w:pPr>
        <w:tabs>
          <w:tab w:val="left" w:pos="851"/>
        </w:tabs>
        <w:spacing w:after="0"/>
        <w:rPr>
          <w:sz w:val="20"/>
        </w:rPr>
      </w:pPr>
      <w:r w:rsidRPr="00604EBD">
        <w:rPr>
          <w:sz w:val="20"/>
        </w:rPr>
        <w:t>STOR</w:t>
      </w:r>
      <w:r w:rsidRPr="00604EBD">
        <w:rPr>
          <w:sz w:val="20"/>
        </w:rPr>
        <w:tab/>
        <w:t>Short Term Operating Reserve</w:t>
      </w:r>
    </w:p>
    <w:p w14:paraId="04335204" w14:textId="77777777" w:rsidR="00BE3757" w:rsidRDefault="00BE3757" w:rsidP="00A43925"/>
    <w:p w14:paraId="4D2B6516" w14:textId="77777777" w:rsidR="002F7984" w:rsidRPr="00A43925" w:rsidRDefault="002F7984" w:rsidP="00A43925">
      <w:pPr>
        <w:sectPr w:rsidR="002F7984" w:rsidRPr="00A43925" w:rsidSect="005324C2">
          <w:type w:val="continuous"/>
          <w:pgSz w:w="11906" w:h="16838" w:code="9"/>
          <w:pgMar w:top="1134" w:right="1134" w:bottom="1418" w:left="1134" w:header="680" w:footer="709" w:gutter="0"/>
          <w:cols w:num="2" w:space="720"/>
          <w:docGrid w:linePitch="272"/>
        </w:sectPr>
      </w:pPr>
    </w:p>
    <w:p w14:paraId="64EFDDEE" w14:textId="4554C156" w:rsidR="00552878" w:rsidRPr="005D705F" w:rsidRDefault="00604EBD" w:rsidP="00604EBD">
      <w:pPr>
        <w:pStyle w:val="Heading1"/>
        <w:numPr>
          <w:ilvl w:val="0"/>
          <w:numId w:val="0"/>
        </w:numPr>
        <w:tabs>
          <w:tab w:val="left" w:pos="3975"/>
          <w:tab w:val="center" w:pos="4819"/>
        </w:tabs>
        <w:spacing w:before="120"/>
        <w:ind w:left="431" w:hanging="431"/>
        <w:jc w:val="left"/>
      </w:pPr>
      <w:r>
        <w:lastRenderedPageBreak/>
        <w:tab/>
      </w:r>
      <w:r>
        <w:tab/>
      </w:r>
      <w:r w:rsidR="00066A61" w:rsidRPr="005D705F">
        <w:t>References</w:t>
      </w:r>
    </w:p>
    <w:p w14:paraId="62352CF8" w14:textId="23195617" w:rsidR="00046871" w:rsidRPr="00046871" w:rsidRDefault="00605B5F" w:rsidP="001B0F58">
      <w:pPr>
        <w:rPr>
          <w:rFonts w:cs="Times New Roman"/>
        </w:rPr>
      </w:pPr>
      <w:proofErr w:type="spellStart"/>
      <w:proofErr w:type="gramStart"/>
      <w:r>
        <w:rPr>
          <w:rFonts w:cs="Times New Roman"/>
        </w:rPr>
        <w:t>CryoHub</w:t>
      </w:r>
      <w:proofErr w:type="spellEnd"/>
      <w:r>
        <w:rPr>
          <w:rFonts w:cs="Times New Roman"/>
        </w:rPr>
        <w:t xml:space="preserve"> (2016</w:t>
      </w:r>
      <w:r w:rsidR="00046871" w:rsidRPr="00046871">
        <w:rPr>
          <w:rFonts w:cs="Times New Roman"/>
        </w:rPr>
        <w:t>).</w:t>
      </w:r>
      <w:proofErr w:type="gramEnd"/>
      <w:r w:rsidR="00046871" w:rsidRPr="00046871">
        <w:rPr>
          <w:rFonts w:cs="Times New Roman"/>
        </w:rPr>
        <w:t xml:space="preserve"> </w:t>
      </w:r>
      <w:r w:rsidR="00BC4BC1">
        <w:rPr>
          <w:rFonts w:cs="Times New Roman"/>
        </w:rPr>
        <w:t xml:space="preserve"> </w:t>
      </w:r>
      <w:r w:rsidR="00046871" w:rsidRPr="00046871">
        <w:rPr>
          <w:rFonts w:cs="Times New Roman"/>
        </w:rPr>
        <w:t>Horizon 2020 Project No. 691761 “Developing Cryogenic Energy Stor</w:t>
      </w:r>
      <w:r w:rsidR="00864510">
        <w:rPr>
          <w:rFonts w:cs="Times New Roman"/>
        </w:rPr>
        <w:t xml:space="preserve">age at </w:t>
      </w:r>
      <w:r w:rsidR="00BC4BC1">
        <w:rPr>
          <w:rFonts w:cs="Times New Roman"/>
        </w:rPr>
        <w:t>Refrigerated Warehouses</w:t>
      </w:r>
      <w:r w:rsidR="00864510">
        <w:rPr>
          <w:rFonts w:cs="Times New Roman"/>
        </w:rPr>
        <w:t xml:space="preserve"> as </w:t>
      </w:r>
      <w:r w:rsidR="00046871" w:rsidRPr="00046871">
        <w:rPr>
          <w:rFonts w:cs="Times New Roman"/>
        </w:rPr>
        <w:t xml:space="preserve">an </w:t>
      </w:r>
      <w:r w:rsidR="00864510">
        <w:rPr>
          <w:rFonts w:cs="Times New Roman"/>
        </w:rPr>
        <w:t xml:space="preserve">Interactive Hub to Integrate Renewable Energy in </w:t>
      </w:r>
      <w:r w:rsidR="00046871" w:rsidRPr="00046871">
        <w:rPr>
          <w:rFonts w:cs="Times New Roman"/>
        </w:rPr>
        <w:t>Industrial</w:t>
      </w:r>
      <w:r w:rsidR="00864510">
        <w:rPr>
          <w:rFonts w:cs="Times New Roman"/>
        </w:rPr>
        <w:t xml:space="preserve"> </w:t>
      </w:r>
      <w:r w:rsidR="00046871" w:rsidRPr="00046871">
        <w:rPr>
          <w:rFonts w:cs="Times New Roman"/>
        </w:rPr>
        <w:t>Food Refrigeration and to Enhance Power Grid Sustainability</w:t>
      </w:r>
      <w:r w:rsidR="00864510">
        <w:rPr>
          <w:rFonts w:cs="Times New Roman"/>
        </w:rPr>
        <w:t xml:space="preserve"> </w:t>
      </w:r>
      <w:r w:rsidR="00046871" w:rsidRPr="00046871">
        <w:rPr>
          <w:rFonts w:cs="Times New Roman"/>
        </w:rPr>
        <w:t xml:space="preserve">– </w:t>
      </w:r>
      <w:proofErr w:type="spellStart"/>
      <w:r w:rsidR="00046871" w:rsidRPr="00046871">
        <w:rPr>
          <w:rFonts w:cs="Times New Roman"/>
        </w:rPr>
        <w:t>CryoHub</w:t>
      </w:r>
      <w:proofErr w:type="spellEnd"/>
      <w:r w:rsidR="00046871" w:rsidRPr="00046871">
        <w:rPr>
          <w:rFonts w:cs="Times New Roman"/>
        </w:rPr>
        <w:t xml:space="preserve">”. www.cryohub.eu </w:t>
      </w:r>
    </w:p>
    <w:p w14:paraId="456A6BCA" w14:textId="2AD7A118" w:rsidR="00226BF3" w:rsidRDefault="00CF4AC8" w:rsidP="001B0F58">
      <w:pPr>
        <w:rPr>
          <w:rFonts w:cs="Times New Roman"/>
        </w:rPr>
      </w:pPr>
      <w:proofErr w:type="gramStart"/>
      <w:r w:rsidRPr="00C068CA">
        <w:rPr>
          <w:rFonts w:cs="Times New Roman"/>
        </w:rPr>
        <w:t>Dearman, 2015</w:t>
      </w:r>
      <w:r w:rsidR="00226BF3" w:rsidRPr="00C068CA">
        <w:rPr>
          <w:rFonts w:cs="Times New Roman"/>
        </w:rPr>
        <w:t>.</w:t>
      </w:r>
      <w:proofErr w:type="gramEnd"/>
      <w:r w:rsidR="00226BF3" w:rsidRPr="00C068CA">
        <w:rPr>
          <w:rFonts w:cs="Times New Roman"/>
        </w:rPr>
        <w:t xml:space="preserve">  Liquid Air on the European Highway - The economic and environmental impact of zero-emission tran</w:t>
      </w:r>
      <w:r w:rsidR="00FC7974">
        <w:rPr>
          <w:rFonts w:cs="Times New Roman"/>
        </w:rPr>
        <w:t xml:space="preserve">sport refrigeration. </w:t>
      </w:r>
      <w:proofErr w:type="gramStart"/>
      <w:r w:rsidR="00FC7974">
        <w:rPr>
          <w:rFonts w:cs="Times New Roman"/>
        </w:rPr>
        <w:t>Dearman.</w:t>
      </w:r>
      <w:proofErr w:type="gramEnd"/>
      <w:r w:rsidR="00FC7974">
        <w:rPr>
          <w:rFonts w:cs="Times New Roman"/>
        </w:rPr>
        <w:t xml:space="preserve"> </w:t>
      </w:r>
    </w:p>
    <w:p w14:paraId="683A384C" w14:textId="43FB8490" w:rsidR="00CF040B" w:rsidRDefault="00CF040B" w:rsidP="001B0F58">
      <w:pPr>
        <w:rPr>
          <w:rFonts w:cs="Times New Roman"/>
        </w:rPr>
      </w:pPr>
      <w:proofErr w:type="spellStart"/>
      <w:r>
        <w:rPr>
          <w:rFonts w:cs="Times New Roman"/>
        </w:rPr>
        <w:t>Fikiin</w:t>
      </w:r>
      <w:proofErr w:type="spellEnd"/>
      <w:r>
        <w:rPr>
          <w:rFonts w:cs="Times New Roman"/>
        </w:rPr>
        <w:t xml:space="preserve"> K.A., </w:t>
      </w:r>
      <w:proofErr w:type="spellStart"/>
      <w:r>
        <w:rPr>
          <w:rFonts w:cs="Times New Roman"/>
        </w:rPr>
        <w:t>Stankov</w:t>
      </w:r>
      <w:proofErr w:type="spellEnd"/>
      <w:r>
        <w:rPr>
          <w:rFonts w:cs="Times New Roman"/>
        </w:rPr>
        <w:t xml:space="preserve"> B.N., 2015</w:t>
      </w:r>
      <w:r w:rsidRPr="00CF040B">
        <w:rPr>
          <w:rFonts w:cs="Times New Roman"/>
        </w:rPr>
        <w:t xml:space="preserve">. </w:t>
      </w:r>
      <w:r w:rsidR="00BC4BC1">
        <w:rPr>
          <w:rFonts w:cs="Times New Roman"/>
        </w:rPr>
        <w:t xml:space="preserve"> </w:t>
      </w:r>
      <w:proofErr w:type="gramStart"/>
      <w:r w:rsidRPr="00CF040B">
        <w:rPr>
          <w:rFonts w:cs="Times New Roman"/>
        </w:rPr>
        <w:t>Integration of renewable energy in refrigerated warehouses.</w:t>
      </w:r>
      <w:proofErr w:type="gramEnd"/>
      <w:r w:rsidRPr="00CF040B">
        <w:rPr>
          <w:rFonts w:cs="Times New Roman"/>
        </w:rPr>
        <w:t xml:space="preserve"> </w:t>
      </w:r>
      <w:proofErr w:type="gramStart"/>
      <w:r w:rsidRPr="00CF040B">
        <w:rPr>
          <w:rFonts w:cs="Times New Roman"/>
        </w:rPr>
        <w:t>Chapter 22, In Handbook of Research on Advances and Applications in Refrigeration Systems and Technologies.</w:t>
      </w:r>
      <w:proofErr w:type="gramEnd"/>
      <w:r w:rsidRPr="00CF040B">
        <w:rPr>
          <w:rFonts w:cs="Times New Roman"/>
        </w:rPr>
        <w:t xml:space="preserve"> </w:t>
      </w:r>
      <w:proofErr w:type="spellStart"/>
      <w:r w:rsidRPr="00CF040B">
        <w:rPr>
          <w:rFonts w:cs="Times New Roman"/>
        </w:rPr>
        <w:t>Eds</w:t>
      </w:r>
      <w:proofErr w:type="spellEnd"/>
      <w:r w:rsidRPr="00CF040B">
        <w:rPr>
          <w:rFonts w:cs="Times New Roman"/>
        </w:rPr>
        <w:t>: Gaspar P.D. and da Silva P.D., 1st edition, Engineering Books, IGI Global, Pennsylvania, USA, pp. 803-853.</w:t>
      </w:r>
    </w:p>
    <w:p w14:paraId="096C9C5D" w14:textId="4111647D" w:rsidR="006E5505" w:rsidRPr="006E5505" w:rsidRDefault="00A1128A" w:rsidP="001B0F58">
      <w:pPr>
        <w:rPr>
          <w:rFonts w:cs="Times New Roman"/>
        </w:rPr>
      </w:pPr>
      <w:proofErr w:type="spellStart"/>
      <w:r>
        <w:rPr>
          <w:rFonts w:cs="Times New Roman"/>
        </w:rPr>
        <w:t>Fikiin</w:t>
      </w:r>
      <w:proofErr w:type="spellEnd"/>
      <w:r>
        <w:rPr>
          <w:rFonts w:cs="Times New Roman"/>
        </w:rPr>
        <w:t xml:space="preserve">, K., </w:t>
      </w:r>
      <w:proofErr w:type="spellStart"/>
      <w:r w:rsidR="00A31044">
        <w:rPr>
          <w:rFonts w:cs="Times New Roman"/>
        </w:rPr>
        <w:t>Stankov</w:t>
      </w:r>
      <w:proofErr w:type="spellEnd"/>
      <w:r w:rsidR="00A31044">
        <w:rPr>
          <w:rFonts w:cs="Times New Roman"/>
        </w:rPr>
        <w:t xml:space="preserve">, </w:t>
      </w:r>
      <w:r>
        <w:rPr>
          <w:rFonts w:cs="Times New Roman"/>
        </w:rPr>
        <w:t xml:space="preserve">B., Evans, J., Maidment G., Foster, A., Brown, T., Radcliffe, </w:t>
      </w:r>
      <w:r w:rsidR="006E5505" w:rsidRPr="006E5505">
        <w:rPr>
          <w:rFonts w:cs="Times New Roman"/>
        </w:rPr>
        <w:t>J.,</w:t>
      </w:r>
      <w:r w:rsidR="00A31044">
        <w:rPr>
          <w:rFonts w:cs="Times New Roman"/>
        </w:rPr>
        <w:t xml:space="preserve"> </w:t>
      </w:r>
      <w:proofErr w:type="spellStart"/>
      <w:r w:rsidR="006E5505" w:rsidRPr="006E5505">
        <w:rPr>
          <w:rFonts w:cs="Times New Roman"/>
        </w:rPr>
        <w:t>Youbi-Idrissi</w:t>
      </w:r>
      <w:proofErr w:type="spellEnd"/>
      <w:r w:rsidR="006E5505" w:rsidRPr="006E5505">
        <w:rPr>
          <w:rFonts w:cs="Times New Roman"/>
        </w:rPr>
        <w:t>, M., Alford, A., Varga, L., Alvarez, G., Ivanov, I. Evg., Bond, C., Colombo, I.,</w:t>
      </w:r>
      <w:r>
        <w:rPr>
          <w:rFonts w:cs="Times New Roman"/>
        </w:rPr>
        <w:t xml:space="preserve"> </w:t>
      </w:r>
      <w:r w:rsidR="006E5505" w:rsidRPr="006E5505">
        <w:rPr>
          <w:rFonts w:cs="Times New Roman"/>
        </w:rPr>
        <w:t>Garcia-Naveda, G., Ivanov, I., Hattori</w:t>
      </w:r>
      <w:r>
        <w:rPr>
          <w:rFonts w:cs="Times New Roman"/>
        </w:rPr>
        <w:t xml:space="preserve">, K., </w:t>
      </w:r>
      <w:proofErr w:type="spellStart"/>
      <w:r>
        <w:rPr>
          <w:rFonts w:cs="Times New Roman"/>
        </w:rPr>
        <w:t>Umeki</w:t>
      </w:r>
      <w:proofErr w:type="spellEnd"/>
      <w:r>
        <w:rPr>
          <w:rFonts w:cs="Times New Roman"/>
        </w:rPr>
        <w:t xml:space="preserve">, D., </w:t>
      </w:r>
      <w:proofErr w:type="spellStart"/>
      <w:r>
        <w:rPr>
          <w:rFonts w:cs="Times New Roman"/>
        </w:rPr>
        <w:t>Bojkov</w:t>
      </w:r>
      <w:proofErr w:type="spellEnd"/>
      <w:r>
        <w:rPr>
          <w:rFonts w:cs="Times New Roman"/>
        </w:rPr>
        <w:t xml:space="preserve">, </w:t>
      </w:r>
      <w:proofErr w:type="spellStart"/>
      <w:r>
        <w:rPr>
          <w:rFonts w:cs="Times New Roman"/>
        </w:rPr>
        <w:t>Ts</w:t>
      </w:r>
      <w:proofErr w:type="spellEnd"/>
      <w:r>
        <w:rPr>
          <w:rFonts w:cs="Times New Roman"/>
        </w:rPr>
        <w:t xml:space="preserve">., </w:t>
      </w:r>
      <w:proofErr w:type="spellStart"/>
      <w:r w:rsidR="006E5505" w:rsidRPr="006E5505">
        <w:rPr>
          <w:rFonts w:cs="Times New Roman"/>
        </w:rPr>
        <w:t>Kaloyanov</w:t>
      </w:r>
      <w:proofErr w:type="spellEnd"/>
      <w:r w:rsidR="006E5505" w:rsidRPr="006E5505">
        <w:rPr>
          <w:rFonts w:cs="Times New Roman"/>
        </w:rPr>
        <w:t>, N. (2017).</w:t>
      </w:r>
      <w:r w:rsidR="006E5505">
        <w:rPr>
          <w:rFonts w:cs="Times New Roman"/>
        </w:rPr>
        <w:t xml:space="preserve"> </w:t>
      </w:r>
      <w:r w:rsidR="00BC4BC1">
        <w:rPr>
          <w:rFonts w:cs="Times New Roman"/>
        </w:rPr>
        <w:t xml:space="preserve"> </w:t>
      </w:r>
      <w:proofErr w:type="gramStart"/>
      <w:r w:rsidRPr="006E5505">
        <w:rPr>
          <w:rFonts w:cs="Times New Roman"/>
        </w:rPr>
        <w:t>Refrigerated warehouses</w:t>
      </w:r>
      <w:r w:rsidR="006E5505" w:rsidRPr="006E5505">
        <w:rPr>
          <w:rFonts w:cs="Times New Roman"/>
        </w:rPr>
        <w:t xml:space="preserve"> as intelligent hubs to integrate renewable energy in industrial food</w:t>
      </w:r>
      <w:r w:rsidR="006E5505">
        <w:rPr>
          <w:rFonts w:cs="Times New Roman"/>
        </w:rPr>
        <w:t xml:space="preserve"> </w:t>
      </w:r>
      <w:r w:rsidR="006E5505" w:rsidRPr="006E5505">
        <w:rPr>
          <w:rFonts w:cs="Times New Roman"/>
        </w:rPr>
        <w:t>refrigeration and to enhance power grid sustainability.</w:t>
      </w:r>
      <w:proofErr w:type="gramEnd"/>
      <w:r w:rsidR="006E5505" w:rsidRPr="006E5505">
        <w:rPr>
          <w:rFonts w:cs="Times New Roman"/>
        </w:rPr>
        <w:t xml:space="preserve"> </w:t>
      </w:r>
      <w:r w:rsidR="00A43925">
        <w:rPr>
          <w:rFonts w:cs="Times New Roman"/>
        </w:rPr>
        <w:t>Trends</w:t>
      </w:r>
      <w:r w:rsidR="006E5505" w:rsidRPr="00A43925">
        <w:rPr>
          <w:rFonts w:cs="Times New Roman"/>
        </w:rPr>
        <w:t xml:space="preserve"> </w:t>
      </w:r>
      <w:r w:rsidR="00A43925">
        <w:rPr>
          <w:rFonts w:cs="Times New Roman"/>
        </w:rPr>
        <w:t>Food Sci. Tech.</w:t>
      </w:r>
      <w:r w:rsidR="006E5505" w:rsidRPr="00A43925">
        <w:rPr>
          <w:rFonts w:cs="Times New Roman"/>
        </w:rPr>
        <w:t>,</w:t>
      </w:r>
      <w:r w:rsidR="006E5505">
        <w:rPr>
          <w:rFonts w:cs="Times New Roman"/>
        </w:rPr>
        <w:t xml:space="preserve"> </w:t>
      </w:r>
      <w:r w:rsidR="00A43925">
        <w:rPr>
          <w:rFonts w:cs="Times New Roman"/>
        </w:rPr>
        <w:t>60,</w:t>
      </w:r>
      <w:r>
        <w:rPr>
          <w:rFonts w:cs="Times New Roman"/>
        </w:rPr>
        <w:t xml:space="preserve"> 96-103</w:t>
      </w:r>
    </w:p>
    <w:p w14:paraId="5CD1367C" w14:textId="33E27059" w:rsidR="00C068CA" w:rsidRPr="00C068CA" w:rsidRDefault="00C068CA" w:rsidP="007074F6">
      <w:pPr>
        <w:rPr>
          <w:rFonts w:cs="Times New Roman"/>
        </w:rPr>
      </w:pPr>
      <w:proofErr w:type="spellStart"/>
      <w:proofErr w:type="gramStart"/>
      <w:r w:rsidRPr="00C068CA">
        <w:rPr>
          <w:rFonts w:cs="Times New Roman"/>
        </w:rPr>
        <w:t>Highview</w:t>
      </w:r>
      <w:proofErr w:type="spellEnd"/>
      <w:r w:rsidRPr="00C068CA">
        <w:rPr>
          <w:rFonts w:cs="Times New Roman"/>
        </w:rPr>
        <w:t>, 2012.</w:t>
      </w:r>
      <w:proofErr w:type="gramEnd"/>
      <w:r w:rsidRPr="00C068CA">
        <w:rPr>
          <w:rFonts w:cs="Times New Roman"/>
        </w:rPr>
        <w:t xml:space="preserve">  Technology and performance review.  </w:t>
      </w:r>
      <w:proofErr w:type="spellStart"/>
      <w:proofErr w:type="gramStart"/>
      <w:r w:rsidRPr="00C068CA">
        <w:rPr>
          <w:rFonts w:cs="Times New Roman"/>
        </w:rPr>
        <w:t>Highview</w:t>
      </w:r>
      <w:proofErr w:type="spellEnd"/>
      <w:r w:rsidRPr="00C068CA">
        <w:rPr>
          <w:rFonts w:cs="Times New Roman"/>
        </w:rPr>
        <w:t xml:space="preserve"> Power Storage.</w:t>
      </w:r>
      <w:proofErr w:type="gramEnd"/>
    </w:p>
    <w:p w14:paraId="187CA817" w14:textId="152B02CA" w:rsidR="004C4353" w:rsidRPr="00C068CA" w:rsidRDefault="004C4353" w:rsidP="007074F6">
      <w:pPr>
        <w:rPr>
          <w:rFonts w:cs="Times New Roman"/>
        </w:rPr>
      </w:pPr>
      <w:proofErr w:type="spellStart"/>
      <w:proofErr w:type="gramStart"/>
      <w:r w:rsidRPr="00C068CA">
        <w:rPr>
          <w:rFonts w:cs="Times New Roman"/>
        </w:rPr>
        <w:t>Kishimot</w:t>
      </w:r>
      <w:r w:rsidR="00CF4AC8" w:rsidRPr="00C068CA">
        <w:rPr>
          <w:rFonts w:cs="Times New Roman"/>
        </w:rPr>
        <w:t>o</w:t>
      </w:r>
      <w:proofErr w:type="spellEnd"/>
      <w:r w:rsidR="00CF4AC8" w:rsidRPr="00C068CA">
        <w:rPr>
          <w:rFonts w:cs="Times New Roman"/>
        </w:rPr>
        <w:t>, K., Hasegawa, K, Asano, T., 1998</w:t>
      </w:r>
      <w:r w:rsidRPr="00C068CA">
        <w:rPr>
          <w:rFonts w:cs="Times New Roman"/>
        </w:rPr>
        <w:t>.</w:t>
      </w:r>
      <w:proofErr w:type="gramEnd"/>
      <w:r w:rsidRPr="00C068CA">
        <w:rPr>
          <w:rFonts w:cs="Times New Roman"/>
        </w:rPr>
        <w:t xml:space="preserve">  </w:t>
      </w:r>
      <w:proofErr w:type="gramStart"/>
      <w:r w:rsidRPr="00C068CA">
        <w:rPr>
          <w:rFonts w:cs="Times New Roman"/>
        </w:rPr>
        <w:t>Development of generator of liquid air storage energy system.</w:t>
      </w:r>
      <w:proofErr w:type="gramEnd"/>
      <w:r w:rsidRPr="00C068CA">
        <w:rPr>
          <w:rFonts w:cs="Times New Roman"/>
        </w:rPr>
        <w:t xml:space="preserve">  Mitsubishi Heav</w:t>
      </w:r>
      <w:r w:rsidR="007818A9" w:rsidRPr="00C068CA">
        <w:rPr>
          <w:rFonts w:cs="Times New Roman"/>
        </w:rPr>
        <w:t>y</w:t>
      </w:r>
      <w:r w:rsidRPr="00C068CA">
        <w:rPr>
          <w:rFonts w:cs="Times New Roman"/>
        </w:rPr>
        <w:t xml:space="preserve"> Indust</w:t>
      </w:r>
      <w:r w:rsidR="002D2854" w:rsidRPr="00C068CA">
        <w:rPr>
          <w:rFonts w:cs="Times New Roman"/>
        </w:rPr>
        <w:t xml:space="preserve">ries Ltd.  </w:t>
      </w:r>
      <w:proofErr w:type="gramStart"/>
      <w:r w:rsidR="002D2854" w:rsidRPr="00C068CA">
        <w:rPr>
          <w:rFonts w:cs="Times New Roman"/>
        </w:rPr>
        <w:t>Technical Review 35(</w:t>
      </w:r>
      <w:r w:rsidRPr="00C068CA">
        <w:rPr>
          <w:rFonts w:cs="Times New Roman"/>
        </w:rPr>
        <w:t>3</w:t>
      </w:r>
      <w:r w:rsidR="002D2854" w:rsidRPr="00C068CA">
        <w:rPr>
          <w:rFonts w:cs="Times New Roman"/>
        </w:rPr>
        <w:t>)</w:t>
      </w:r>
      <w:r w:rsidRPr="00C068CA">
        <w:rPr>
          <w:rFonts w:cs="Times New Roman"/>
        </w:rPr>
        <w:t>.</w:t>
      </w:r>
      <w:proofErr w:type="gramEnd"/>
    </w:p>
    <w:p w14:paraId="48188D4F" w14:textId="14320574" w:rsidR="00EB1C67" w:rsidRDefault="00CF4AC8" w:rsidP="007074F6">
      <w:pPr>
        <w:rPr>
          <w:rFonts w:cs="Times New Roman"/>
        </w:rPr>
      </w:pPr>
      <w:proofErr w:type="spellStart"/>
      <w:r w:rsidRPr="00C068CA">
        <w:rPr>
          <w:rFonts w:cs="Times New Roman"/>
        </w:rPr>
        <w:t>Knowlen</w:t>
      </w:r>
      <w:proofErr w:type="spellEnd"/>
      <w:r w:rsidRPr="00C068CA">
        <w:rPr>
          <w:rFonts w:cs="Times New Roman"/>
        </w:rPr>
        <w:t xml:space="preserve">, C., </w:t>
      </w:r>
      <w:proofErr w:type="spellStart"/>
      <w:r w:rsidRPr="00C068CA">
        <w:rPr>
          <w:rFonts w:cs="Times New Roman"/>
        </w:rPr>
        <w:t>Mattick</w:t>
      </w:r>
      <w:proofErr w:type="spellEnd"/>
      <w:r w:rsidRPr="00C068CA">
        <w:rPr>
          <w:rFonts w:cs="Times New Roman"/>
        </w:rPr>
        <w:t>, A., Bruckner, A., Hertzberg, A., 1998</w:t>
      </w:r>
      <w:r w:rsidR="00EB1C67" w:rsidRPr="00C068CA">
        <w:rPr>
          <w:rFonts w:cs="Times New Roman"/>
        </w:rPr>
        <w:t xml:space="preserve">. </w:t>
      </w:r>
      <w:proofErr w:type="gramStart"/>
      <w:r w:rsidR="00EB1C67" w:rsidRPr="00C068CA">
        <w:rPr>
          <w:rFonts w:cs="Times New Roman"/>
        </w:rPr>
        <w:t>High efficiency energy conversion systems for liquid nitrogen automobiles (No. 981898).</w:t>
      </w:r>
      <w:proofErr w:type="gramEnd"/>
      <w:r w:rsidR="00EB1C67" w:rsidRPr="00C068CA">
        <w:rPr>
          <w:rFonts w:cs="Times New Roman"/>
        </w:rPr>
        <w:t xml:space="preserve"> </w:t>
      </w:r>
      <w:proofErr w:type="gramStart"/>
      <w:r w:rsidR="00EB1C67" w:rsidRPr="00C068CA">
        <w:rPr>
          <w:rFonts w:cs="Times New Roman"/>
        </w:rPr>
        <w:t>SAE Technical Paper.</w:t>
      </w:r>
      <w:proofErr w:type="gramEnd"/>
    </w:p>
    <w:p w14:paraId="06EB95D7" w14:textId="1B1AC102" w:rsidR="00CF040B" w:rsidRPr="00C068CA" w:rsidRDefault="00CF040B" w:rsidP="007074F6">
      <w:pPr>
        <w:rPr>
          <w:rFonts w:cs="Times New Roman"/>
        </w:rPr>
      </w:pPr>
      <w:proofErr w:type="gramStart"/>
      <w:r w:rsidRPr="00CF040B">
        <w:rPr>
          <w:rFonts w:cs="Times New Roman"/>
        </w:rPr>
        <w:t xml:space="preserve">Lehmann, N., Lever, </w:t>
      </w:r>
      <w:r>
        <w:rPr>
          <w:rFonts w:cs="Times New Roman"/>
        </w:rPr>
        <w:t xml:space="preserve">A., Sanders, D., </w:t>
      </w:r>
      <w:proofErr w:type="spellStart"/>
      <w:r>
        <w:rPr>
          <w:rFonts w:cs="Times New Roman"/>
        </w:rPr>
        <w:t>Ravishankar</w:t>
      </w:r>
      <w:proofErr w:type="spellEnd"/>
      <w:r>
        <w:rPr>
          <w:rFonts w:cs="Times New Roman"/>
        </w:rPr>
        <w:t>, M, Ashcroft, M., 2016</w:t>
      </w:r>
      <w:r w:rsidRPr="00CF040B">
        <w:rPr>
          <w:rFonts w:cs="Times New Roman"/>
        </w:rPr>
        <w:t>.</w:t>
      </w:r>
      <w:proofErr w:type="gramEnd"/>
      <w:r w:rsidRPr="00CF040B">
        <w:rPr>
          <w:rFonts w:cs="Times New Roman"/>
        </w:rPr>
        <w:t xml:space="preserve">  Can storage help reduce the cost of a future UK electricity system.  </w:t>
      </w:r>
      <w:proofErr w:type="gramStart"/>
      <w:r w:rsidRPr="00CF040B">
        <w:rPr>
          <w:rFonts w:cs="Times New Roman"/>
        </w:rPr>
        <w:t>The Carbon Trust.</w:t>
      </w:r>
      <w:proofErr w:type="gramEnd"/>
      <w:r w:rsidRPr="00CF040B">
        <w:rPr>
          <w:rFonts w:cs="Times New Roman"/>
        </w:rPr>
        <w:t xml:space="preserve">  </w:t>
      </w:r>
    </w:p>
    <w:p w14:paraId="19433C03" w14:textId="57FD984E" w:rsidR="00066A61" w:rsidRDefault="00066A61" w:rsidP="007074F6">
      <w:pPr>
        <w:rPr>
          <w:rFonts w:cs="Times New Roman"/>
        </w:rPr>
      </w:pPr>
      <w:proofErr w:type="gramStart"/>
      <w:r w:rsidRPr="00C068CA">
        <w:rPr>
          <w:rFonts w:cs="Times New Roman"/>
        </w:rPr>
        <w:t>Morga</w:t>
      </w:r>
      <w:r w:rsidR="00CF4AC8" w:rsidRPr="00C068CA">
        <w:rPr>
          <w:rFonts w:cs="Times New Roman"/>
        </w:rPr>
        <w:t xml:space="preserve">n, R., </w:t>
      </w:r>
      <w:proofErr w:type="spellStart"/>
      <w:r w:rsidR="00CF4AC8" w:rsidRPr="00C068CA">
        <w:rPr>
          <w:rFonts w:cs="Times New Roman"/>
        </w:rPr>
        <w:t>Nelmes</w:t>
      </w:r>
      <w:proofErr w:type="spellEnd"/>
      <w:r w:rsidR="00CF4AC8" w:rsidRPr="00C068CA">
        <w:rPr>
          <w:rFonts w:cs="Times New Roman"/>
        </w:rPr>
        <w:t>, S., Gibson, E., Brett, G., 2015</w:t>
      </w:r>
      <w:r w:rsidRPr="00C068CA">
        <w:rPr>
          <w:rFonts w:cs="Times New Roman"/>
        </w:rPr>
        <w:t>.</w:t>
      </w:r>
      <w:proofErr w:type="gramEnd"/>
      <w:r w:rsidRPr="00C068CA">
        <w:rPr>
          <w:rFonts w:cs="Times New Roman"/>
        </w:rPr>
        <w:t xml:space="preserve"> Liquid air energy storage–analysis and first results from a pilot scale demonstration plant. </w:t>
      </w:r>
      <w:r w:rsidR="004E080F" w:rsidRPr="00C068CA">
        <w:rPr>
          <w:rFonts w:cs="Times New Roman"/>
          <w:iCs/>
        </w:rPr>
        <w:t>Appl.</w:t>
      </w:r>
      <w:r w:rsidRPr="00C068CA">
        <w:rPr>
          <w:rFonts w:cs="Times New Roman"/>
          <w:iCs/>
        </w:rPr>
        <w:t xml:space="preserve"> </w:t>
      </w:r>
      <w:proofErr w:type="spellStart"/>
      <w:r w:rsidR="004E080F" w:rsidRPr="00C068CA">
        <w:rPr>
          <w:rFonts w:cs="Times New Roman"/>
          <w:iCs/>
        </w:rPr>
        <w:t>Energ</w:t>
      </w:r>
      <w:proofErr w:type="spellEnd"/>
      <w:r w:rsidR="004E080F" w:rsidRPr="00C068CA">
        <w:rPr>
          <w:rFonts w:cs="Times New Roman"/>
          <w:iCs/>
        </w:rPr>
        <w:t>.</w:t>
      </w:r>
      <w:r w:rsidRPr="00C068CA">
        <w:rPr>
          <w:rFonts w:cs="Times New Roman"/>
        </w:rPr>
        <w:t xml:space="preserve">, </w:t>
      </w:r>
      <w:r w:rsidRPr="00C068CA">
        <w:rPr>
          <w:rFonts w:cs="Times New Roman"/>
          <w:iCs/>
        </w:rPr>
        <w:t>137</w:t>
      </w:r>
      <w:r w:rsidRPr="00C068CA">
        <w:rPr>
          <w:rFonts w:cs="Times New Roman"/>
        </w:rPr>
        <w:t>, 845-853.</w:t>
      </w:r>
    </w:p>
    <w:p w14:paraId="7CBDBD12" w14:textId="139C2354" w:rsidR="003951D6" w:rsidRPr="00C068CA" w:rsidRDefault="003951D6" w:rsidP="007074F6">
      <w:pPr>
        <w:rPr>
          <w:rFonts w:cs="Times New Roman"/>
        </w:rPr>
      </w:pPr>
      <w:proofErr w:type="gramStart"/>
      <w:r w:rsidRPr="005D705F">
        <w:t>Renewable Energy Directive</w:t>
      </w:r>
      <w:r>
        <w:t>, 2009.</w:t>
      </w:r>
      <w:proofErr w:type="gramEnd"/>
      <w:r>
        <w:t xml:space="preserve"> </w:t>
      </w:r>
      <w:r>
        <w:rPr>
          <w:rFonts w:cs="Times New Roman"/>
        </w:rPr>
        <w:t>Directive 2009/28/EC</w:t>
      </w:r>
      <w:r w:rsidRPr="003951D6">
        <w:rPr>
          <w:rFonts w:cs="Times New Roman"/>
        </w:rPr>
        <w:t xml:space="preserve"> of the </w:t>
      </w:r>
      <w:r>
        <w:rPr>
          <w:rFonts w:cs="Times New Roman"/>
        </w:rPr>
        <w:t>E</w:t>
      </w:r>
      <w:r w:rsidRPr="003951D6">
        <w:rPr>
          <w:rFonts w:cs="Times New Roman"/>
        </w:rPr>
        <w:t>uropea</w:t>
      </w:r>
      <w:r>
        <w:rPr>
          <w:rFonts w:cs="Times New Roman"/>
        </w:rPr>
        <w:t xml:space="preserve">n parliament and of the council of 23 April 2009 </w:t>
      </w:r>
      <w:r w:rsidRPr="003951D6">
        <w:rPr>
          <w:rFonts w:cs="Times New Roman"/>
        </w:rPr>
        <w:t>on the promotion of the use of energy from renewable sources and amending and subsequently repealing Directives 2001/77/EC and 2003/30/EC</w:t>
      </w:r>
      <w:r>
        <w:rPr>
          <w:rFonts w:cs="Times New Roman"/>
        </w:rPr>
        <w:t xml:space="preserve">.  </w:t>
      </w:r>
      <w:proofErr w:type="gramStart"/>
      <w:r>
        <w:t>Official Journal of the European Union.</w:t>
      </w:r>
      <w:proofErr w:type="gramEnd"/>
    </w:p>
    <w:p w14:paraId="2E1E7430" w14:textId="5F401B1C" w:rsidR="00825A43" w:rsidRPr="00825A43" w:rsidRDefault="00791EFE" w:rsidP="007074F6">
      <w:pPr>
        <w:rPr>
          <w:rFonts w:cs="Times New Roman"/>
          <w:szCs w:val="22"/>
        </w:rPr>
      </w:pPr>
      <w:proofErr w:type="spellStart"/>
      <w:proofErr w:type="gramStart"/>
      <w:r w:rsidRPr="00C068CA">
        <w:rPr>
          <w:rFonts w:cs="Times New Roman"/>
          <w:szCs w:val="22"/>
        </w:rPr>
        <w:t>Scia</w:t>
      </w:r>
      <w:r w:rsidR="002D2854" w:rsidRPr="00C068CA">
        <w:rPr>
          <w:rFonts w:cs="Times New Roman"/>
          <w:szCs w:val="22"/>
        </w:rPr>
        <w:t>covelli</w:t>
      </w:r>
      <w:proofErr w:type="spellEnd"/>
      <w:r w:rsidR="002D2854" w:rsidRPr="00C068CA">
        <w:rPr>
          <w:rFonts w:cs="Times New Roman"/>
          <w:szCs w:val="22"/>
        </w:rPr>
        <w:t xml:space="preserve">, A, </w:t>
      </w:r>
      <w:proofErr w:type="spellStart"/>
      <w:r w:rsidR="002D2854" w:rsidRPr="00C068CA">
        <w:rPr>
          <w:rFonts w:cs="Times New Roman"/>
          <w:szCs w:val="22"/>
        </w:rPr>
        <w:t>Vecchi</w:t>
      </w:r>
      <w:proofErr w:type="spellEnd"/>
      <w:r w:rsidR="002D2854" w:rsidRPr="00C068CA">
        <w:rPr>
          <w:rFonts w:cs="Times New Roman"/>
          <w:szCs w:val="22"/>
        </w:rPr>
        <w:t>, A, Ding, Y., 2017.</w:t>
      </w:r>
      <w:proofErr w:type="gramEnd"/>
      <w:r w:rsidR="00CF4AC8" w:rsidRPr="00C068CA">
        <w:rPr>
          <w:rFonts w:cs="Times New Roman"/>
          <w:szCs w:val="22"/>
        </w:rPr>
        <w:t xml:space="preserve"> </w:t>
      </w:r>
      <w:proofErr w:type="gramStart"/>
      <w:r w:rsidRPr="00C068CA">
        <w:rPr>
          <w:rFonts w:cs="Times New Roman"/>
          <w:szCs w:val="22"/>
        </w:rPr>
        <w:t>Liquid air energy storage (LAES) with packed bed cold thermal storage - From component to system level performance throu</w:t>
      </w:r>
      <w:r w:rsidR="004E080F" w:rsidRPr="00C068CA">
        <w:rPr>
          <w:rFonts w:cs="Times New Roman"/>
          <w:szCs w:val="22"/>
        </w:rPr>
        <w:t xml:space="preserve">gh dynamic modelling, Appl. </w:t>
      </w:r>
      <w:proofErr w:type="spellStart"/>
      <w:r w:rsidR="004E080F" w:rsidRPr="00C068CA">
        <w:rPr>
          <w:rFonts w:cs="Times New Roman"/>
          <w:szCs w:val="22"/>
        </w:rPr>
        <w:t>Energ</w:t>
      </w:r>
      <w:proofErr w:type="spellEnd"/>
      <w:r w:rsidR="004E080F" w:rsidRPr="00C068CA">
        <w:rPr>
          <w:rFonts w:cs="Times New Roman"/>
          <w:szCs w:val="22"/>
        </w:rPr>
        <w:t xml:space="preserve">., </w:t>
      </w:r>
      <w:r w:rsidR="002D2854" w:rsidRPr="00C068CA">
        <w:rPr>
          <w:rFonts w:cs="Times New Roman"/>
          <w:szCs w:val="22"/>
        </w:rPr>
        <w:t>190, P</w:t>
      </w:r>
      <w:r w:rsidRPr="00C068CA">
        <w:rPr>
          <w:rFonts w:cs="Times New Roman"/>
          <w:szCs w:val="22"/>
        </w:rPr>
        <w:t>84-98</w:t>
      </w:r>
      <w:r w:rsidR="002D2854" w:rsidRPr="00C068CA">
        <w:rPr>
          <w:rFonts w:cs="Times New Roman"/>
          <w:szCs w:val="22"/>
        </w:rPr>
        <w:t>.</w:t>
      </w:r>
      <w:proofErr w:type="gramEnd"/>
    </w:p>
    <w:sectPr w:rsidR="00825A43" w:rsidRPr="00825A43" w:rsidSect="005324C2">
      <w:type w:val="continuous"/>
      <w:pgSz w:w="11906" w:h="16838" w:code="9"/>
      <w:pgMar w:top="1134" w:right="1134" w:bottom="1418" w:left="1134" w:header="680" w:footer="709" w:gutter="0"/>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B71B62" w15:done="0"/>
  <w15:commentEx w15:paraId="79BC33E1" w15:done="0"/>
  <w15:commentEx w15:paraId="638F742D" w15:done="0"/>
  <w15:commentEx w15:paraId="7BA0713C" w15:done="0"/>
  <w15:commentEx w15:paraId="2545CC68" w15:done="0"/>
  <w15:commentEx w15:paraId="0BFAC70A" w15:done="0"/>
  <w15:commentEx w15:paraId="75E52A72" w15:done="0"/>
  <w15:commentEx w15:paraId="62F4416A" w15:done="0"/>
  <w15:commentEx w15:paraId="0BC93339" w15:done="0"/>
  <w15:commentEx w15:paraId="3DC98347" w15:done="0"/>
  <w15:commentEx w15:paraId="7F6F5292" w15:done="0"/>
  <w15:commentEx w15:paraId="0AB69858" w15:done="0"/>
  <w15:commentEx w15:paraId="744E98C9" w15:done="0"/>
  <w15:commentEx w15:paraId="742F7FEB" w15:done="0"/>
  <w15:commentEx w15:paraId="13C49F8C" w15:done="0"/>
  <w15:commentEx w15:paraId="3CE882B5" w15:done="0"/>
  <w15:commentEx w15:paraId="12902E0D" w15:done="0"/>
  <w15:commentEx w15:paraId="61E57AFB" w15:done="0"/>
  <w15:commentEx w15:paraId="1D4218D0" w15:done="0"/>
  <w15:commentEx w15:paraId="38CF90F0" w15:done="0"/>
  <w15:commentEx w15:paraId="7A244AD2" w15:done="0"/>
  <w15:commentEx w15:paraId="4B24DDA6" w15:done="0"/>
  <w15:commentEx w15:paraId="10668F9C" w15:done="0"/>
  <w15:commentEx w15:paraId="04333785" w15:done="0"/>
  <w15:commentEx w15:paraId="3FB088F8" w15:done="0"/>
  <w15:commentEx w15:paraId="03C4E564" w15:done="0"/>
  <w15:commentEx w15:paraId="56889C0E" w15:done="0"/>
  <w15:commentEx w15:paraId="47EC52D9" w15:done="0"/>
  <w15:commentEx w15:paraId="7ECB75A1" w15:done="0"/>
  <w15:commentEx w15:paraId="5BAB3FD3" w15:done="0"/>
  <w15:commentEx w15:paraId="4234764C" w15:done="0"/>
  <w15:commentEx w15:paraId="1F31508F" w15:done="0"/>
  <w15:commentEx w15:paraId="1A18EECB" w15:done="0"/>
  <w15:commentEx w15:paraId="4F5DC7AF" w15:done="0"/>
  <w15:commentEx w15:paraId="5A23AC99" w15:done="0"/>
  <w15:commentEx w15:paraId="5D538322" w15:done="0"/>
  <w15:commentEx w15:paraId="5BBC564D" w15:done="0"/>
  <w15:commentEx w15:paraId="34914D0E" w15:done="0"/>
  <w15:commentEx w15:paraId="22EB223E" w15:done="0"/>
  <w15:commentEx w15:paraId="67340E66" w15:done="0"/>
  <w15:commentEx w15:paraId="50F0A237" w15:done="0"/>
  <w15:commentEx w15:paraId="04BC75A6" w15:done="0"/>
  <w15:commentEx w15:paraId="14D88BD1" w15:done="0"/>
  <w15:commentEx w15:paraId="4E99CA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C80F3" w14:textId="77777777" w:rsidR="002F7984" w:rsidRDefault="002F7984">
      <w:r>
        <w:separator/>
      </w:r>
    </w:p>
  </w:endnote>
  <w:endnote w:type="continuationSeparator" w:id="0">
    <w:p w14:paraId="15D2AAE9" w14:textId="77777777" w:rsidR="002F7984" w:rsidRDefault="002F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7A9C8" w14:textId="0C411947" w:rsidR="002F7984" w:rsidRPr="00BE59EB" w:rsidRDefault="002F7984" w:rsidP="002D0205">
    <w:pPr>
      <w:jc w:val="center"/>
      <w:rPr>
        <w:szCs w:val="22"/>
      </w:rPr>
    </w:pPr>
    <w:r w:rsidRPr="00BE59EB">
      <w:rPr>
        <w:szCs w:val="22"/>
      </w:rPr>
      <w:t>5</w:t>
    </w:r>
    <w:r w:rsidRPr="00BE59EB">
      <w:rPr>
        <w:szCs w:val="22"/>
        <w:vertAlign w:val="superscript"/>
      </w:rPr>
      <w:t>th</w:t>
    </w:r>
    <w:r w:rsidRPr="00BE59EB">
      <w:rPr>
        <w:szCs w:val="22"/>
      </w:rPr>
      <w:t xml:space="preserve"> IIR Conference on Sustainability and the Cold Chain, Beijing, China,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CBFD2" w14:textId="77777777" w:rsidR="002F7984" w:rsidRDefault="002F7984">
      <w:r>
        <w:separator/>
      </w:r>
    </w:p>
  </w:footnote>
  <w:footnote w:type="continuationSeparator" w:id="0">
    <w:p w14:paraId="579A73F0" w14:textId="77777777" w:rsidR="002F7984" w:rsidRDefault="002F7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3336B" w14:textId="13382691" w:rsidR="002F7984" w:rsidRDefault="002F7984">
    <w:pPr>
      <w:pStyle w:val="Header"/>
      <w:jc w:val="right"/>
    </w:pPr>
    <w:r>
      <w:t>NN-</w:t>
    </w:r>
    <w:sdt>
      <w:sdtPr>
        <w:id w:val="-141616304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D3B1F">
          <w:rPr>
            <w:noProof/>
          </w:rPr>
          <w:t>5</w:t>
        </w:r>
        <w:r>
          <w:rPr>
            <w:noProof/>
          </w:rPr>
          <w:fldChar w:fldCharType="end"/>
        </w:r>
      </w:sdtContent>
    </w:sdt>
  </w:p>
  <w:p w14:paraId="24B2D6BB" w14:textId="5BF1C5EE" w:rsidR="002F7984" w:rsidRDefault="002F79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69F8"/>
    <w:multiLevelType w:val="hybridMultilevel"/>
    <w:tmpl w:val="1846B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DC6871"/>
    <w:multiLevelType w:val="hybridMultilevel"/>
    <w:tmpl w:val="272C4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FD7785"/>
    <w:multiLevelType w:val="multilevel"/>
    <w:tmpl w:val="0194E032"/>
    <w:styleLink w:val="Alansheadings"/>
    <w:lvl w:ilvl="0">
      <w:start w:val="1"/>
      <w:numFmt w:val="decimal"/>
      <w:lvlText w:val="%1"/>
      <w:lvlJc w:val="left"/>
      <w:pPr>
        <w:ind w:left="0" w:firstLine="0"/>
      </w:pPr>
      <w:rPr>
        <w:rFonts w:hint="default"/>
      </w:rPr>
    </w:lvl>
    <w:lvl w:ilvl="1">
      <w:start w:val="1"/>
      <w:numFmt w:val="decimal"/>
      <w:lvlText w:val="%2.%1"/>
      <w:lvlJc w:val="left"/>
      <w:pPr>
        <w:ind w:left="0" w:firstLine="1080"/>
      </w:pPr>
      <w:rPr>
        <w:rFonts w:hint="default"/>
      </w:rPr>
    </w:lvl>
    <w:lvl w:ilvl="2">
      <w:start w:val="1"/>
      <w:numFmt w:val="none"/>
      <w:lvlText w:val=""/>
      <w:lvlJc w:val="right"/>
      <w:pPr>
        <w:ind w:left="0" w:firstLine="19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666F0609"/>
    <w:multiLevelType w:val="hybridMultilevel"/>
    <w:tmpl w:val="8664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7E56A6"/>
    <w:multiLevelType w:val="multilevel"/>
    <w:tmpl w:val="9E72FB4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4"/>
  </w:num>
  <w:num w:numId="3">
    <w:abstractNumId w:val="3"/>
  </w:num>
  <w:num w:numId="4">
    <w:abstractNumId w:val="0"/>
  </w:num>
  <w:num w:numId="5">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rga, Liz">
    <w15:presenceInfo w15:providerId="AD" w15:userId="S-1-5-21-330784629-399117050-176895030-434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hyphenationZone w:val="425"/>
  <w:doNotHyphenateCaps/>
  <w:drawingGridHorizontalSpacing w:val="100"/>
  <w:drawingGridVerticalSpacing w:val="120"/>
  <w:displayHorizontalDrawingGridEvery w:val="2"/>
  <w:displayVerticalDrawingGridEvery w:val="0"/>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BA3"/>
    <w:rsid w:val="000031F2"/>
    <w:rsid w:val="00004B81"/>
    <w:rsid w:val="00005D96"/>
    <w:rsid w:val="00011D3C"/>
    <w:rsid w:val="00011DBA"/>
    <w:rsid w:val="000126D1"/>
    <w:rsid w:val="00012D75"/>
    <w:rsid w:val="00013B45"/>
    <w:rsid w:val="00013E8F"/>
    <w:rsid w:val="00014406"/>
    <w:rsid w:val="000231EF"/>
    <w:rsid w:val="00023C9F"/>
    <w:rsid w:val="00024B66"/>
    <w:rsid w:val="0002562D"/>
    <w:rsid w:val="00030708"/>
    <w:rsid w:val="00030E45"/>
    <w:rsid w:val="00032897"/>
    <w:rsid w:val="00036CA1"/>
    <w:rsid w:val="00037901"/>
    <w:rsid w:val="00037C71"/>
    <w:rsid w:val="000428DA"/>
    <w:rsid w:val="00042D93"/>
    <w:rsid w:val="00043BC7"/>
    <w:rsid w:val="0004490D"/>
    <w:rsid w:val="00046871"/>
    <w:rsid w:val="000556F9"/>
    <w:rsid w:val="0006215C"/>
    <w:rsid w:val="00064AF7"/>
    <w:rsid w:val="00065617"/>
    <w:rsid w:val="00066A61"/>
    <w:rsid w:val="00067F81"/>
    <w:rsid w:val="00073841"/>
    <w:rsid w:val="00075E85"/>
    <w:rsid w:val="000775BB"/>
    <w:rsid w:val="000803AF"/>
    <w:rsid w:val="00081C77"/>
    <w:rsid w:val="000828C9"/>
    <w:rsid w:val="00083668"/>
    <w:rsid w:val="000853D2"/>
    <w:rsid w:val="000865F7"/>
    <w:rsid w:val="00090483"/>
    <w:rsid w:val="00090598"/>
    <w:rsid w:val="0009110C"/>
    <w:rsid w:val="0009612F"/>
    <w:rsid w:val="000A0931"/>
    <w:rsid w:val="000A1947"/>
    <w:rsid w:val="000A1D4C"/>
    <w:rsid w:val="000A401B"/>
    <w:rsid w:val="000A4624"/>
    <w:rsid w:val="000A571A"/>
    <w:rsid w:val="000A6E16"/>
    <w:rsid w:val="000A7A7C"/>
    <w:rsid w:val="000A7C54"/>
    <w:rsid w:val="000B3D91"/>
    <w:rsid w:val="000B43B0"/>
    <w:rsid w:val="000B513B"/>
    <w:rsid w:val="000B552A"/>
    <w:rsid w:val="000B79BF"/>
    <w:rsid w:val="000C10C1"/>
    <w:rsid w:val="000C3E1F"/>
    <w:rsid w:val="000C4BEC"/>
    <w:rsid w:val="000D2F84"/>
    <w:rsid w:val="000D797C"/>
    <w:rsid w:val="000D7B2E"/>
    <w:rsid w:val="000E33EE"/>
    <w:rsid w:val="000E6E7C"/>
    <w:rsid w:val="000E72B5"/>
    <w:rsid w:val="000F1A83"/>
    <w:rsid w:val="000F3B22"/>
    <w:rsid w:val="000F3F80"/>
    <w:rsid w:val="000F6749"/>
    <w:rsid w:val="00100AC6"/>
    <w:rsid w:val="00101502"/>
    <w:rsid w:val="00104E61"/>
    <w:rsid w:val="001143E2"/>
    <w:rsid w:val="001148C7"/>
    <w:rsid w:val="0011683E"/>
    <w:rsid w:val="00116B31"/>
    <w:rsid w:val="00120AD2"/>
    <w:rsid w:val="00122C26"/>
    <w:rsid w:val="00125795"/>
    <w:rsid w:val="00127845"/>
    <w:rsid w:val="00131A5F"/>
    <w:rsid w:val="00131CD3"/>
    <w:rsid w:val="00132DA9"/>
    <w:rsid w:val="001335DE"/>
    <w:rsid w:val="00134854"/>
    <w:rsid w:val="0014087F"/>
    <w:rsid w:val="00146B34"/>
    <w:rsid w:val="00150BF9"/>
    <w:rsid w:val="00151EEE"/>
    <w:rsid w:val="0015265C"/>
    <w:rsid w:val="00153F72"/>
    <w:rsid w:val="00155178"/>
    <w:rsid w:val="00155B77"/>
    <w:rsid w:val="00160590"/>
    <w:rsid w:val="00160A9B"/>
    <w:rsid w:val="00160B17"/>
    <w:rsid w:val="0016271E"/>
    <w:rsid w:val="0016385B"/>
    <w:rsid w:val="001645E6"/>
    <w:rsid w:val="00166689"/>
    <w:rsid w:val="001708A1"/>
    <w:rsid w:val="0017094A"/>
    <w:rsid w:val="00173B17"/>
    <w:rsid w:val="00175A61"/>
    <w:rsid w:val="00175B38"/>
    <w:rsid w:val="001826F4"/>
    <w:rsid w:val="00182F4B"/>
    <w:rsid w:val="00184465"/>
    <w:rsid w:val="00186A39"/>
    <w:rsid w:val="00190B33"/>
    <w:rsid w:val="001934D9"/>
    <w:rsid w:val="00193775"/>
    <w:rsid w:val="001A58B8"/>
    <w:rsid w:val="001B0F58"/>
    <w:rsid w:val="001B1243"/>
    <w:rsid w:val="001B1E25"/>
    <w:rsid w:val="001B2BDC"/>
    <w:rsid w:val="001B3BDA"/>
    <w:rsid w:val="001B5CFE"/>
    <w:rsid w:val="001C7139"/>
    <w:rsid w:val="001C719C"/>
    <w:rsid w:val="001C73FF"/>
    <w:rsid w:val="001D10A9"/>
    <w:rsid w:val="001D18F3"/>
    <w:rsid w:val="001D1923"/>
    <w:rsid w:val="001D2C14"/>
    <w:rsid w:val="001D4E45"/>
    <w:rsid w:val="001D6D0A"/>
    <w:rsid w:val="001D7E56"/>
    <w:rsid w:val="001E1D03"/>
    <w:rsid w:val="001E784B"/>
    <w:rsid w:val="001E7E5B"/>
    <w:rsid w:val="001F04B4"/>
    <w:rsid w:val="001F1583"/>
    <w:rsid w:val="001F1A5F"/>
    <w:rsid w:val="001F2019"/>
    <w:rsid w:val="001F4C67"/>
    <w:rsid w:val="001F6CA7"/>
    <w:rsid w:val="001F6FAA"/>
    <w:rsid w:val="00201A16"/>
    <w:rsid w:val="0020387A"/>
    <w:rsid w:val="00205E4E"/>
    <w:rsid w:val="002078CE"/>
    <w:rsid w:val="00211556"/>
    <w:rsid w:val="002123CC"/>
    <w:rsid w:val="00216A88"/>
    <w:rsid w:val="00226BF3"/>
    <w:rsid w:val="00230C4C"/>
    <w:rsid w:val="002311B4"/>
    <w:rsid w:val="00233582"/>
    <w:rsid w:val="002345D4"/>
    <w:rsid w:val="00236862"/>
    <w:rsid w:val="00237374"/>
    <w:rsid w:val="0023795D"/>
    <w:rsid w:val="00237A37"/>
    <w:rsid w:val="00240BE1"/>
    <w:rsid w:val="00241427"/>
    <w:rsid w:val="00242A1E"/>
    <w:rsid w:val="00243260"/>
    <w:rsid w:val="00246B72"/>
    <w:rsid w:val="00252E00"/>
    <w:rsid w:val="002532E2"/>
    <w:rsid w:val="002564AD"/>
    <w:rsid w:val="00257E21"/>
    <w:rsid w:val="00263674"/>
    <w:rsid w:val="00263F03"/>
    <w:rsid w:val="0026599C"/>
    <w:rsid w:val="00270502"/>
    <w:rsid w:val="002772E0"/>
    <w:rsid w:val="0027794D"/>
    <w:rsid w:val="00280AD5"/>
    <w:rsid w:val="00280D64"/>
    <w:rsid w:val="002815B1"/>
    <w:rsid w:val="00284EEA"/>
    <w:rsid w:val="002850CD"/>
    <w:rsid w:val="002934F3"/>
    <w:rsid w:val="002941B4"/>
    <w:rsid w:val="00294B25"/>
    <w:rsid w:val="00295509"/>
    <w:rsid w:val="002A0D76"/>
    <w:rsid w:val="002A2224"/>
    <w:rsid w:val="002A3170"/>
    <w:rsid w:val="002A4F83"/>
    <w:rsid w:val="002A5D1E"/>
    <w:rsid w:val="002A7E35"/>
    <w:rsid w:val="002B1467"/>
    <w:rsid w:val="002B2D46"/>
    <w:rsid w:val="002C09E0"/>
    <w:rsid w:val="002C2263"/>
    <w:rsid w:val="002C2696"/>
    <w:rsid w:val="002C2CE5"/>
    <w:rsid w:val="002C6961"/>
    <w:rsid w:val="002C6A63"/>
    <w:rsid w:val="002C7E32"/>
    <w:rsid w:val="002D0205"/>
    <w:rsid w:val="002D084C"/>
    <w:rsid w:val="002D0BFA"/>
    <w:rsid w:val="002D169F"/>
    <w:rsid w:val="002D2854"/>
    <w:rsid w:val="002D452F"/>
    <w:rsid w:val="002D4780"/>
    <w:rsid w:val="002D65BA"/>
    <w:rsid w:val="002D7FB9"/>
    <w:rsid w:val="002E03D8"/>
    <w:rsid w:val="002E163A"/>
    <w:rsid w:val="002E1FD7"/>
    <w:rsid w:val="002E2C75"/>
    <w:rsid w:val="002E5B2D"/>
    <w:rsid w:val="002E69AC"/>
    <w:rsid w:val="002E770C"/>
    <w:rsid w:val="002F203E"/>
    <w:rsid w:val="002F3771"/>
    <w:rsid w:val="002F387F"/>
    <w:rsid w:val="002F3BEF"/>
    <w:rsid w:val="002F4083"/>
    <w:rsid w:val="002F46BC"/>
    <w:rsid w:val="002F5004"/>
    <w:rsid w:val="002F6A45"/>
    <w:rsid w:val="002F743B"/>
    <w:rsid w:val="002F7984"/>
    <w:rsid w:val="00301358"/>
    <w:rsid w:val="0030286D"/>
    <w:rsid w:val="00302B2D"/>
    <w:rsid w:val="003037E7"/>
    <w:rsid w:val="00304428"/>
    <w:rsid w:val="00304EAB"/>
    <w:rsid w:val="0030675C"/>
    <w:rsid w:val="00307718"/>
    <w:rsid w:val="00310E65"/>
    <w:rsid w:val="003127EA"/>
    <w:rsid w:val="00312F54"/>
    <w:rsid w:val="003139F0"/>
    <w:rsid w:val="00322416"/>
    <w:rsid w:val="003256D4"/>
    <w:rsid w:val="003316E1"/>
    <w:rsid w:val="00332238"/>
    <w:rsid w:val="003328E4"/>
    <w:rsid w:val="00333955"/>
    <w:rsid w:val="00334D9F"/>
    <w:rsid w:val="00337B0D"/>
    <w:rsid w:val="00337F29"/>
    <w:rsid w:val="00340374"/>
    <w:rsid w:val="003403C8"/>
    <w:rsid w:val="003433F1"/>
    <w:rsid w:val="00345009"/>
    <w:rsid w:val="0034685B"/>
    <w:rsid w:val="00351185"/>
    <w:rsid w:val="00352462"/>
    <w:rsid w:val="0035507D"/>
    <w:rsid w:val="003610B4"/>
    <w:rsid w:val="00362388"/>
    <w:rsid w:val="00363541"/>
    <w:rsid w:val="00364BE8"/>
    <w:rsid w:val="003654D6"/>
    <w:rsid w:val="00365556"/>
    <w:rsid w:val="00365DCB"/>
    <w:rsid w:val="00365E63"/>
    <w:rsid w:val="003663CA"/>
    <w:rsid w:val="00371FEF"/>
    <w:rsid w:val="00382D78"/>
    <w:rsid w:val="00384E06"/>
    <w:rsid w:val="0038718F"/>
    <w:rsid w:val="00390775"/>
    <w:rsid w:val="00393CAF"/>
    <w:rsid w:val="003951D6"/>
    <w:rsid w:val="00395436"/>
    <w:rsid w:val="00396778"/>
    <w:rsid w:val="00396ECD"/>
    <w:rsid w:val="003A1A37"/>
    <w:rsid w:val="003A306A"/>
    <w:rsid w:val="003A47AC"/>
    <w:rsid w:val="003A6051"/>
    <w:rsid w:val="003B428C"/>
    <w:rsid w:val="003B44C0"/>
    <w:rsid w:val="003B55BB"/>
    <w:rsid w:val="003B7E9F"/>
    <w:rsid w:val="003C2201"/>
    <w:rsid w:val="003C40F0"/>
    <w:rsid w:val="003C44A0"/>
    <w:rsid w:val="003C462B"/>
    <w:rsid w:val="003C4DE7"/>
    <w:rsid w:val="003C51A7"/>
    <w:rsid w:val="003C65E8"/>
    <w:rsid w:val="003C66C9"/>
    <w:rsid w:val="003C7F3F"/>
    <w:rsid w:val="003D2ACC"/>
    <w:rsid w:val="003D310D"/>
    <w:rsid w:val="003D4F49"/>
    <w:rsid w:val="003D69EC"/>
    <w:rsid w:val="003D7E54"/>
    <w:rsid w:val="003D7FD9"/>
    <w:rsid w:val="003E033A"/>
    <w:rsid w:val="003E1E2A"/>
    <w:rsid w:val="003E201D"/>
    <w:rsid w:val="003E3FBE"/>
    <w:rsid w:val="003E6604"/>
    <w:rsid w:val="003E68C5"/>
    <w:rsid w:val="003E7C48"/>
    <w:rsid w:val="003F76DC"/>
    <w:rsid w:val="0040256A"/>
    <w:rsid w:val="00404A95"/>
    <w:rsid w:val="004078AB"/>
    <w:rsid w:val="00410BF4"/>
    <w:rsid w:val="00412B73"/>
    <w:rsid w:val="00416544"/>
    <w:rsid w:val="00420D30"/>
    <w:rsid w:val="004210F9"/>
    <w:rsid w:val="0042346C"/>
    <w:rsid w:val="004243A9"/>
    <w:rsid w:val="00424D9C"/>
    <w:rsid w:val="00427AD0"/>
    <w:rsid w:val="004430A8"/>
    <w:rsid w:val="00444FCC"/>
    <w:rsid w:val="00445A04"/>
    <w:rsid w:val="004475C7"/>
    <w:rsid w:val="0045375E"/>
    <w:rsid w:val="00457106"/>
    <w:rsid w:val="00457C24"/>
    <w:rsid w:val="0046281F"/>
    <w:rsid w:val="00463BBE"/>
    <w:rsid w:val="004641EB"/>
    <w:rsid w:val="00464227"/>
    <w:rsid w:val="0046694A"/>
    <w:rsid w:val="00471166"/>
    <w:rsid w:val="00474968"/>
    <w:rsid w:val="00476386"/>
    <w:rsid w:val="00483043"/>
    <w:rsid w:val="0048322A"/>
    <w:rsid w:val="0048365F"/>
    <w:rsid w:val="00487F6C"/>
    <w:rsid w:val="00492F3E"/>
    <w:rsid w:val="00493578"/>
    <w:rsid w:val="00497C89"/>
    <w:rsid w:val="004A24FF"/>
    <w:rsid w:val="004A5D8B"/>
    <w:rsid w:val="004A6497"/>
    <w:rsid w:val="004B1FC7"/>
    <w:rsid w:val="004B3168"/>
    <w:rsid w:val="004B373F"/>
    <w:rsid w:val="004B6E4C"/>
    <w:rsid w:val="004B7253"/>
    <w:rsid w:val="004C4353"/>
    <w:rsid w:val="004C7F46"/>
    <w:rsid w:val="004D19FF"/>
    <w:rsid w:val="004D27E8"/>
    <w:rsid w:val="004D27EA"/>
    <w:rsid w:val="004D2C75"/>
    <w:rsid w:val="004D4CA7"/>
    <w:rsid w:val="004D683B"/>
    <w:rsid w:val="004E04EC"/>
    <w:rsid w:val="004E080F"/>
    <w:rsid w:val="004E0925"/>
    <w:rsid w:val="004F0A71"/>
    <w:rsid w:val="004F3D1E"/>
    <w:rsid w:val="004F44C8"/>
    <w:rsid w:val="004F77AA"/>
    <w:rsid w:val="00500808"/>
    <w:rsid w:val="00502665"/>
    <w:rsid w:val="00504A51"/>
    <w:rsid w:val="00505FD3"/>
    <w:rsid w:val="00507BBB"/>
    <w:rsid w:val="00512D3D"/>
    <w:rsid w:val="00513093"/>
    <w:rsid w:val="005132C9"/>
    <w:rsid w:val="00514F45"/>
    <w:rsid w:val="0051523B"/>
    <w:rsid w:val="0051653A"/>
    <w:rsid w:val="00516FB6"/>
    <w:rsid w:val="005231B6"/>
    <w:rsid w:val="00524748"/>
    <w:rsid w:val="00525315"/>
    <w:rsid w:val="005260F4"/>
    <w:rsid w:val="005269C5"/>
    <w:rsid w:val="00527371"/>
    <w:rsid w:val="005312C9"/>
    <w:rsid w:val="005313E8"/>
    <w:rsid w:val="005324C2"/>
    <w:rsid w:val="00533137"/>
    <w:rsid w:val="00534BDA"/>
    <w:rsid w:val="00535230"/>
    <w:rsid w:val="00535DD1"/>
    <w:rsid w:val="00536611"/>
    <w:rsid w:val="005405E3"/>
    <w:rsid w:val="00540F76"/>
    <w:rsid w:val="00541417"/>
    <w:rsid w:val="00541EEA"/>
    <w:rsid w:val="00542028"/>
    <w:rsid w:val="005420F3"/>
    <w:rsid w:val="00542165"/>
    <w:rsid w:val="00543BA3"/>
    <w:rsid w:val="00544915"/>
    <w:rsid w:val="005466B8"/>
    <w:rsid w:val="00550908"/>
    <w:rsid w:val="0055204F"/>
    <w:rsid w:val="00552878"/>
    <w:rsid w:val="00553ADF"/>
    <w:rsid w:val="00554404"/>
    <w:rsid w:val="00557AD3"/>
    <w:rsid w:val="00561084"/>
    <w:rsid w:val="00561136"/>
    <w:rsid w:val="0056154B"/>
    <w:rsid w:val="0056183F"/>
    <w:rsid w:val="0056255E"/>
    <w:rsid w:val="005644D9"/>
    <w:rsid w:val="00565BA3"/>
    <w:rsid w:val="00570BA6"/>
    <w:rsid w:val="00573E83"/>
    <w:rsid w:val="00574B03"/>
    <w:rsid w:val="00575A86"/>
    <w:rsid w:val="00577AEB"/>
    <w:rsid w:val="00577B73"/>
    <w:rsid w:val="00577CD4"/>
    <w:rsid w:val="00577DAC"/>
    <w:rsid w:val="00580919"/>
    <w:rsid w:val="00581498"/>
    <w:rsid w:val="00581524"/>
    <w:rsid w:val="00581C50"/>
    <w:rsid w:val="00582237"/>
    <w:rsid w:val="00582689"/>
    <w:rsid w:val="00584C64"/>
    <w:rsid w:val="0058737C"/>
    <w:rsid w:val="00590A14"/>
    <w:rsid w:val="00594519"/>
    <w:rsid w:val="00595B82"/>
    <w:rsid w:val="00597EE5"/>
    <w:rsid w:val="005A4A75"/>
    <w:rsid w:val="005A57BA"/>
    <w:rsid w:val="005A60A8"/>
    <w:rsid w:val="005B0DF9"/>
    <w:rsid w:val="005B2071"/>
    <w:rsid w:val="005B275E"/>
    <w:rsid w:val="005B2F14"/>
    <w:rsid w:val="005B46B3"/>
    <w:rsid w:val="005B59AB"/>
    <w:rsid w:val="005B640A"/>
    <w:rsid w:val="005B6653"/>
    <w:rsid w:val="005B7924"/>
    <w:rsid w:val="005B7985"/>
    <w:rsid w:val="005C067A"/>
    <w:rsid w:val="005C2602"/>
    <w:rsid w:val="005C584E"/>
    <w:rsid w:val="005C722F"/>
    <w:rsid w:val="005D0973"/>
    <w:rsid w:val="005D1791"/>
    <w:rsid w:val="005D25F8"/>
    <w:rsid w:val="005D4AAF"/>
    <w:rsid w:val="005D705F"/>
    <w:rsid w:val="005D7816"/>
    <w:rsid w:val="005E5490"/>
    <w:rsid w:val="005F0694"/>
    <w:rsid w:val="005F2D90"/>
    <w:rsid w:val="005F38D8"/>
    <w:rsid w:val="005F51B4"/>
    <w:rsid w:val="005F776A"/>
    <w:rsid w:val="00601240"/>
    <w:rsid w:val="00601D87"/>
    <w:rsid w:val="00604379"/>
    <w:rsid w:val="00604EBD"/>
    <w:rsid w:val="00605B5F"/>
    <w:rsid w:val="00606560"/>
    <w:rsid w:val="00613664"/>
    <w:rsid w:val="00613D2E"/>
    <w:rsid w:val="00614931"/>
    <w:rsid w:val="0061553F"/>
    <w:rsid w:val="00616D04"/>
    <w:rsid w:val="00617B37"/>
    <w:rsid w:val="00622A70"/>
    <w:rsid w:val="00623C28"/>
    <w:rsid w:val="0062502F"/>
    <w:rsid w:val="006260DD"/>
    <w:rsid w:val="006267F8"/>
    <w:rsid w:val="00630D0A"/>
    <w:rsid w:val="00632F05"/>
    <w:rsid w:val="00635AB2"/>
    <w:rsid w:val="00637137"/>
    <w:rsid w:val="00637404"/>
    <w:rsid w:val="0064100F"/>
    <w:rsid w:val="0064157A"/>
    <w:rsid w:val="00644471"/>
    <w:rsid w:val="00650C31"/>
    <w:rsid w:val="006527AF"/>
    <w:rsid w:val="00653B26"/>
    <w:rsid w:val="006553D1"/>
    <w:rsid w:val="00655884"/>
    <w:rsid w:val="00657486"/>
    <w:rsid w:val="0066287F"/>
    <w:rsid w:val="0066345F"/>
    <w:rsid w:val="00667607"/>
    <w:rsid w:val="00673D06"/>
    <w:rsid w:val="006742A6"/>
    <w:rsid w:val="00677D9D"/>
    <w:rsid w:val="006805E1"/>
    <w:rsid w:val="006818D1"/>
    <w:rsid w:val="00684D4B"/>
    <w:rsid w:val="00684E4E"/>
    <w:rsid w:val="00690B1B"/>
    <w:rsid w:val="00690B1C"/>
    <w:rsid w:val="00691003"/>
    <w:rsid w:val="00693128"/>
    <w:rsid w:val="00694492"/>
    <w:rsid w:val="00695075"/>
    <w:rsid w:val="006959C0"/>
    <w:rsid w:val="006979B1"/>
    <w:rsid w:val="006A3129"/>
    <w:rsid w:val="006A5AF5"/>
    <w:rsid w:val="006B00E8"/>
    <w:rsid w:val="006B2A33"/>
    <w:rsid w:val="006B2FE7"/>
    <w:rsid w:val="006B3950"/>
    <w:rsid w:val="006B46C1"/>
    <w:rsid w:val="006B4859"/>
    <w:rsid w:val="006B5173"/>
    <w:rsid w:val="006B6B78"/>
    <w:rsid w:val="006C1DA6"/>
    <w:rsid w:val="006C2753"/>
    <w:rsid w:val="006C3402"/>
    <w:rsid w:val="006C5F16"/>
    <w:rsid w:val="006D12DA"/>
    <w:rsid w:val="006D447D"/>
    <w:rsid w:val="006D4FD3"/>
    <w:rsid w:val="006E1BA7"/>
    <w:rsid w:val="006E5505"/>
    <w:rsid w:val="006E7C98"/>
    <w:rsid w:val="006F166B"/>
    <w:rsid w:val="006F26FE"/>
    <w:rsid w:val="006F4A0A"/>
    <w:rsid w:val="006F6ABF"/>
    <w:rsid w:val="007009DF"/>
    <w:rsid w:val="007024C0"/>
    <w:rsid w:val="007029D7"/>
    <w:rsid w:val="0070425B"/>
    <w:rsid w:val="0070633E"/>
    <w:rsid w:val="0070717C"/>
    <w:rsid w:val="007074F6"/>
    <w:rsid w:val="00711F14"/>
    <w:rsid w:val="00713061"/>
    <w:rsid w:val="0071781F"/>
    <w:rsid w:val="00720083"/>
    <w:rsid w:val="00720487"/>
    <w:rsid w:val="007246F9"/>
    <w:rsid w:val="007303D7"/>
    <w:rsid w:val="00730EF3"/>
    <w:rsid w:val="00731D4F"/>
    <w:rsid w:val="00732C4D"/>
    <w:rsid w:val="007339CE"/>
    <w:rsid w:val="00735A8A"/>
    <w:rsid w:val="00735D97"/>
    <w:rsid w:val="00741965"/>
    <w:rsid w:val="007419F3"/>
    <w:rsid w:val="00742AD2"/>
    <w:rsid w:val="00752F42"/>
    <w:rsid w:val="00752FC7"/>
    <w:rsid w:val="00754C45"/>
    <w:rsid w:val="00754DCE"/>
    <w:rsid w:val="00761680"/>
    <w:rsid w:val="00761AF7"/>
    <w:rsid w:val="007620D5"/>
    <w:rsid w:val="00762C02"/>
    <w:rsid w:val="00763B86"/>
    <w:rsid w:val="00764899"/>
    <w:rsid w:val="00772498"/>
    <w:rsid w:val="007765B9"/>
    <w:rsid w:val="00777BD4"/>
    <w:rsid w:val="00780CD2"/>
    <w:rsid w:val="007818A9"/>
    <w:rsid w:val="00786A7B"/>
    <w:rsid w:val="00790488"/>
    <w:rsid w:val="00790A20"/>
    <w:rsid w:val="00791EFE"/>
    <w:rsid w:val="007924F0"/>
    <w:rsid w:val="007939AB"/>
    <w:rsid w:val="00794E2F"/>
    <w:rsid w:val="00797FDA"/>
    <w:rsid w:val="007A4D17"/>
    <w:rsid w:val="007A6811"/>
    <w:rsid w:val="007B043A"/>
    <w:rsid w:val="007B1C72"/>
    <w:rsid w:val="007B2EE4"/>
    <w:rsid w:val="007B2FDA"/>
    <w:rsid w:val="007B4144"/>
    <w:rsid w:val="007B6515"/>
    <w:rsid w:val="007C1E89"/>
    <w:rsid w:val="007C20F4"/>
    <w:rsid w:val="007C3122"/>
    <w:rsid w:val="007C5518"/>
    <w:rsid w:val="007C6190"/>
    <w:rsid w:val="007D048D"/>
    <w:rsid w:val="007D0C02"/>
    <w:rsid w:val="007D3B1F"/>
    <w:rsid w:val="007E6862"/>
    <w:rsid w:val="007F0052"/>
    <w:rsid w:val="007F0090"/>
    <w:rsid w:val="007F1A49"/>
    <w:rsid w:val="007F1BC7"/>
    <w:rsid w:val="007F53D2"/>
    <w:rsid w:val="008029AE"/>
    <w:rsid w:val="0080321A"/>
    <w:rsid w:val="00804973"/>
    <w:rsid w:val="00810288"/>
    <w:rsid w:val="008114EE"/>
    <w:rsid w:val="00812315"/>
    <w:rsid w:val="00814625"/>
    <w:rsid w:val="00817AF3"/>
    <w:rsid w:val="00825A43"/>
    <w:rsid w:val="00832352"/>
    <w:rsid w:val="00832B5D"/>
    <w:rsid w:val="00835106"/>
    <w:rsid w:val="008378A5"/>
    <w:rsid w:val="008400AC"/>
    <w:rsid w:val="008429A2"/>
    <w:rsid w:val="008429DC"/>
    <w:rsid w:val="00842F69"/>
    <w:rsid w:val="0084479F"/>
    <w:rsid w:val="008456EA"/>
    <w:rsid w:val="00846353"/>
    <w:rsid w:val="00847A5A"/>
    <w:rsid w:val="00850AE6"/>
    <w:rsid w:val="00851FA1"/>
    <w:rsid w:val="00854B5D"/>
    <w:rsid w:val="00856182"/>
    <w:rsid w:val="008608CC"/>
    <w:rsid w:val="00860D4F"/>
    <w:rsid w:val="008615FE"/>
    <w:rsid w:val="008620C3"/>
    <w:rsid w:val="00863CF2"/>
    <w:rsid w:val="00864510"/>
    <w:rsid w:val="00864C37"/>
    <w:rsid w:val="0086560F"/>
    <w:rsid w:val="00865CC3"/>
    <w:rsid w:val="0087103D"/>
    <w:rsid w:val="008733B9"/>
    <w:rsid w:val="00873453"/>
    <w:rsid w:val="00873AC8"/>
    <w:rsid w:val="00877A1B"/>
    <w:rsid w:val="00877B1F"/>
    <w:rsid w:val="0088109C"/>
    <w:rsid w:val="0088459D"/>
    <w:rsid w:val="00885A5D"/>
    <w:rsid w:val="00890B33"/>
    <w:rsid w:val="00891AB7"/>
    <w:rsid w:val="00893B8C"/>
    <w:rsid w:val="008977BF"/>
    <w:rsid w:val="008A301F"/>
    <w:rsid w:val="008A39A8"/>
    <w:rsid w:val="008A4FC5"/>
    <w:rsid w:val="008A64CE"/>
    <w:rsid w:val="008B2C0D"/>
    <w:rsid w:val="008B4FC6"/>
    <w:rsid w:val="008B66F4"/>
    <w:rsid w:val="008B7C9D"/>
    <w:rsid w:val="008C127A"/>
    <w:rsid w:val="008C2D1D"/>
    <w:rsid w:val="008C31C0"/>
    <w:rsid w:val="008C399B"/>
    <w:rsid w:val="008C3A71"/>
    <w:rsid w:val="008C3F8F"/>
    <w:rsid w:val="008C7B42"/>
    <w:rsid w:val="008D08ED"/>
    <w:rsid w:val="008D2823"/>
    <w:rsid w:val="008D374C"/>
    <w:rsid w:val="008D4162"/>
    <w:rsid w:val="008D49EA"/>
    <w:rsid w:val="008D73D7"/>
    <w:rsid w:val="008E3C1A"/>
    <w:rsid w:val="008E4168"/>
    <w:rsid w:val="008E58C3"/>
    <w:rsid w:val="008E60F4"/>
    <w:rsid w:val="008F048B"/>
    <w:rsid w:val="008F6AC6"/>
    <w:rsid w:val="0090342A"/>
    <w:rsid w:val="009062E5"/>
    <w:rsid w:val="00911914"/>
    <w:rsid w:val="00913BF2"/>
    <w:rsid w:val="00916B9A"/>
    <w:rsid w:val="009177F1"/>
    <w:rsid w:val="0092068A"/>
    <w:rsid w:val="009207F9"/>
    <w:rsid w:val="009219A8"/>
    <w:rsid w:val="00922D5B"/>
    <w:rsid w:val="00926954"/>
    <w:rsid w:val="00935927"/>
    <w:rsid w:val="00936377"/>
    <w:rsid w:val="009366E0"/>
    <w:rsid w:val="00937D68"/>
    <w:rsid w:val="00937E83"/>
    <w:rsid w:val="00941150"/>
    <w:rsid w:val="009413B5"/>
    <w:rsid w:val="009450F2"/>
    <w:rsid w:val="009465CD"/>
    <w:rsid w:val="00951F25"/>
    <w:rsid w:val="00952FF6"/>
    <w:rsid w:val="00953713"/>
    <w:rsid w:val="00954FB5"/>
    <w:rsid w:val="0095531F"/>
    <w:rsid w:val="00955842"/>
    <w:rsid w:val="00956645"/>
    <w:rsid w:val="00960059"/>
    <w:rsid w:val="0096130C"/>
    <w:rsid w:val="00961CA6"/>
    <w:rsid w:val="0096680C"/>
    <w:rsid w:val="009669FE"/>
    <w:rsid w:val="00966C6E"/>
    <w:rsid w:val="009701ED"/>
    <w:rsid w:val="0097039E"/>
    <w:rsid w:val="009711F5"/>
    <w:rsid w:val="009721B9"/>
    <w:rsid w:val="00973501"/>
    <w:rsid w:val="00974D12"/>
    <w:rsid w:val="0097611A"/>
    <w:rsid w:val="009763FD"/>
    <w:rsid w:val="00976609"/>
    <w:rsid w:val="0098560E"/>
    <w:rsid w:val="0099005E"/>
    <w:rsid w:val="00992D45"/>
    <w:rsid w:val="009934E9"/>
    <w:rsid w:val="0099484C"/>
    <w:rsid w:val="009955B9"/>
    <w:rsid w:val="009958D0"/>
    <w:rsid w:val="0099791C"/>
    <w:rsid w:val="00997F45"/>
    <w:rsid w:val="009A1075"/>
    <w:rsid w:val="009A596E"/>
    <w:rsid w:val="009B1100"/>
    <w:rsid w:val="009B1DAF"/>
    <w:rsid w:val="009B3BF1"/>
    <w:rsid w:val="009B6E71"/>
    <w:rsid w:val="009C1B63"/>
    <w:rsid w:val="009C1BDC"/>
    <w:rsid w:val="009C2EFA"/>
    <w:rsid w:val="009C2EFC"/>
    <w:rsid w:val="009C6624"/>
    <w:rsid w:val="009D07BC"/>
    <w:rsid w:val="009D1DE9"/>
    <w:rsid w:val="009D3504"/>
    <w:rsid w:val="009D44B9"/>
    <w:rsid w:val="009D4EDF"/>
    <w:rsid w:val="009D63C2"/>
    <w:rsid w:val="009D64BD"/>
    <w:rsid w:val="009D74F9"/>
    <w:rsid w:val="009D7D98"/>
    <w:rsid w:val="009D7E08"/>
    <w:rsid w:val="009E26ED"/>
    <w:rsid w:val="009E7CA8"/>
    <w:rsid w:val="009E7EE4"/>
    <w:rsid w:val="009F5CFC"/>
    <w:rsid w:val="00A04D63"/>
    <w:rsid w:val="00A05F8D"/>
    <w:rsid w:val="00A06443"/>
    <w:rsid w:val="00A065C7"/>
    <w:rsid w:val="00A07719"/>
    <w:rsid w:val="00A1128A"/>
    <w:rsid w:val="00A11572"/>
    <w:rsid w:val="00A135B2"/>
    <w:rsid w:val="00A14D72"/>
    <w:rsid w:val="00A162FE"/>
    <w:rsid w:val="00A20D63"/>
    <w:rsid w:val="00A21A3E"/>
    <w:rsid w:val="00A220DC"/>
    <w:rsid w:val="00A230F6"/>
    <w:rsid w:val="00A24A2E"/>
    <w:rsid w:val="00A31044"/>
    <w:rsid w:val="00A3264A"/>
    <w:rsid w:val="00A330C3"/>
    <w:rsid w:val="00A359E3"/>
    <w:rsid w:val="00A36902"/>
    <w:rsid w:val="00A36D58"/>
    <w:rsid w:val="00A41F5D"/>
    <w:rsid w:val="00A43925"/>
    <w:rsid w:val="00A4589C"/>
    <w:rsid w:val="00A46FE1"/>
    <w:rsid w:val="00A4746D"/>
    <w:rsid w:val="00A5017E"/>
    <w:rsid w:val="00A50717"/>
    <w:rsid w:val="00A52835"/>
    <w:rsid w:val="00A56E03"/>
    <w:rsid w:val="00A619B1"/>
    <w:rsid w:val="00A646DE"/>
    <w:rsid w:val="00A675EA"/>
    <w:rsid w:val="00A743D4"/>
    <w:rsid w:val="00A74F22"/>
    <w:rsid w:val="00A75503"/>
    <w:rsid w:val="00A76798"/>
    <w:rsid w:val="00A8460E"/>
    <w:rsid w:val="00A84AA9"/>
    <w:rsid w:val="00A87957"/>
    <w:rsid w:val="00A944EC"/>
    <w:rsid w:val="00A96D3A"/>
    <w:rsid w:val="00A97D86"/>
    <w:rsid w:val="00AA0848"/>
    <w:rsid w:val="00AA51D9"/>
    <w:rsid w:val="00AA7A0B"/>
    <w:rsid w:val="00AB1587"/>
    <w:rsid w:val="00AB3C17"/>
    <w:rsid w:val="00AB526E"/>
    <w:rsid w:val="00AB6EA4"/>
    <w:rsid w:val="00AB7DD6"/>
    <w:rsid w:val="00AC021E"/>
    <w:rsid w:val="00AC69BF"/>
    <w:rsid w:val="00AC7632"/>
    <w:rsid w:val="00AD5226"/>
    <w:rsid w:val="00AD5485"/>
    <w:rsid w:val="00AD5E11"/>
    <w:rsid w:val="00AD5E12"/>
    <w:rsid w:val="00AE284C"/>
    <w:rsid w:val="00AE2A55"/>
    <w:rsid w:val="00AE2F86"/>
    <w:rsid w:val="00AF0D2C"/>
    <w:rsid w:val="00AF2155"/>
    <w:rsid w:val="00AF44EE"/>
    <w:rsid w:val="00AF6009"/>
    <w:rsid w:val="00AF7BCC"/>
    <w:rsid w:val="00B039C0"/>
    <w:rsid w:val="00B04E13"/>
    <w:rsid w:val="00B14B24"/>
    <w:rsid w:val="00B15D56"/>
    <w:rsid w:val="00B171E7"/>
    <w:rsid w:val="00B2145F"/>
    <w:rsid w:val="00B22A87"/>
    <w:rsid w:val="00B25EAC"/>
    <w:rsid w:val="00B261E5"/>
    <w:rsid w:val="00B264CC"/>
    <w:rsid w:val="00B27CE4"/>
    <w:rsid w:val="00B3004D"/>
    <w:rsid w:val="00B317AA"/>
    <w:rsid w:val="00B32C5A"/>
    <w:rsid w:val="00B32F03"/>
    <w:rsid w:val="00B3611E"/>
    <w:rsid w:val="00B36E69"/>
    <w:rsid w:val="00B37E9C"/>
    <w:rsid w:val="00B4030A"/>
    <w:rsid w:val="00B42B58"/>
    <w:rsid w:val="00B433EA"/>
    <w:rsid w:val="00B44647"/>
    <w:rsid w:val="00B4646B"/>
    <w:rsid w:val="00B4755B"/>
    <w:rsid w:val="00B475FE"/>
    <w:rsid w:val="00B50FBF"/>
    <w:rsid w:val="00B51DB6"/>
    <w:rsid w:val="00B523D8"/>
    <w:rsid w:val="00B532B5"/>
    <w:rsid w:val="00B5487D"/>
    <w:rsid w:val="00B57058"/>
    <w:rsid w:val="00B60444"/>
    <w:rsid w:val="00B60CE7"/>
    <w:rsid w:val="00B636BF"/>
    <w:rsid w:val="00B65AF7"/>
    <w:rsid w:val="00B719BD"/>
    <w:rsid w:val="00B7582A"/>
    <w:rsid w:val="00B77774"/>
    <w:rsid w:val="00B80050"/>
    <w:rsid w:val="00B81350"/>
    <w:rsid w:val="00B81C78"/>
    <w:rsid w:val="00B86BE2"/>
    <w:rsid w:val="00B93CD0"/>
    <w:rsid w:val="00B94934"/>
    <w:rsid w:val="00B96954"/>
    <w:rsid w:val="00B9706C"/>
    <w:rsid w:val="00B97842"/>
    <w:rsid w:val="00B97A5C"/>
    <w:rsid w:val="00BA03FA"/>
    <w:rsid w:val="00BA275C"/>
    <w:rsid w:val="00BA32C0"/>
    <w:rsid w:val="00BA41F8"/>
    <w:rsid w:val="00BA47CD"/>
    <w:rsid w:val="00BA4F54"/>
    <w:rsid w:val="00BA4F79"/>
    <w:rsid w:val="00BA741F"/>
    <w:rsid w:val="00BA7988"/>
    <w:rsid w:val="00BB082F"/>
    <w:rsid w:val="00BB0BAB"/>
    <w:rsid w:val="00BB11FE"/>
    <w:rsid w:val="00BB1AB6"/>
    <w:rsid w:val="00BB4235"/>
    <w:rsid w:val="00BB5DF6"/>
    <w:rsid w:val="00BB6A1F"/>
    <w:rsid w:val="00BC1255"/>
    <w:rsid w:val="00BC414E"/>
    <w:rsid w:val="00BC4BC1"/>
    <w:rsid w:val="00BC5F46"/>
    <w:rsid w:val="00BC780F"/>
    <w:rsid w:val="00BC7B7D"/>
    <w:rsid w:val="00BD330B"/>
    <w:rsid w:val="00BD4A36"/>
    <w:rsid w:val="00BD4AEE"/>
    <w:rsid w:val="00BD608D"/>
    <w:rsid w:val="00BD7D93"/>
    <w:rsid w:val="00BE1033"/>
    <w:rsid w:val="00BE1C6A"/>
    <w:rsid w:val="00BE2392"/>
    <w:rsid w:val="00BE3502"/>
    <w:rsid w:val="00BE3757"/>
    <w:rsid w:val="00BE51CC"/>
    <w:rsid w:val="00BE59EB"/>
    <w:rsid w:val="00BF0284"/>
    <w:rsid w:val="00BF3E20"/>
    <w:rsid w:val="00BF6216"/>
    <w:rsid w:val="00BF6578"/>
    <w:rsid w:val="00BF6DAA"/>
    <w:rsid w:val="00BF7C99"/>
    <w:rsid w:val="00C030F5"/>
    <w:rsid w:val="00C03D31"/>
    <w:rsid w:val="00C04C66"/>
    <w:rsid w:val="00C060E1"/>
    <w:rsid w:val="00C068CA"/>
    <w:rsid w:val="00C10AD7"/>
    <w:rsid w:val="00C1537F"/>
    <w:rsid w:val="00C15E72"/>
    <w:rsid w:val="00C17AFC"/>
    <w:rsid w:val="00C20ECD"/>
    <w:rsid w:val="00C240DA"/>
    <w:rsid w:val="00C30ADC"/>
    <w:rsid w:val="00C315E2"/>
    <w:rsid w:val="00C35B9D"/>
    <w:rsid w:val="00C433E7"/>
    <w:rsid w:val="00C43C15"/>
    <w:rsid w:val="00C44722"/>
    <w:rsid w:val="00C47DF8"/>
    <w:rsid w:val="00C522BC"/>
    <w:rsid w:val="00C53C49"/>
    <w:rsid w:val="00C614A7"/>
    <w:rsid w:val="00C6225C"/>
    <w:rsid w:val="00C654C4"/>
    <w:rsid w:val="00C66AC5"/>
    <w:rsid w:val="00C70778"/>
    <w:rsid w:val="00C723EE"/>
    <w:rsid w:val="00C73B08"/>
    <w:rsid w:val="00C776F4"/>
    <w:rsid w:val="00C7796B"/>
    <w:rsid w:val="00C821AB"/>
    <w:rsid w:val="00C931A9"/>
    <w:rsid w:val="00C94708"/>
    <w:rsid w:val="00C94B28"/>
    <w:rsid w:val="00C94D39"/>
    <w:rsid w:val="00CA295C"/>
    <w:rsid w:val="00CA3F4E"/>
    <w:rsid w:val="00CA6F1A"/>
    <w:rsid w:val="00CB07DD"/>
    <w:rsid w:val="00CB11AD"/>
    <w:rsid w:val="00CB3456"/>
    <w:rsid w:val="00CB3F9C"/>
    <w:rsid w:val="00CB5809"/>
    <w:rsid w:val="00CB6E46"/>
    <w:rsid w:val="00CB71FC"/>
    <w:rsid w:val="00CB74BD"/>
    <w:rsid w:val="00CB75A4"/>
    <w:rsid w:val="00CB780B"/>
    <w:rsid w:val="00CC1388"/>
    <w:rsid w:val="00CC18DD"/>
    <w:rsid w:val="00CC1DDC"/>
    <w:rsid w:val="00CC3314"/>
    <w:rsid w:val="00CC3752"/>
    <w:rsid w:val="00CC4882"/>
    <w:rsid w:val="00CC54D0"/>
    <w:rsid w:val="00CC58B5"/>
    <w:rsid w:val="00CC7252"/>
    <w:rsid w:val="00CD0E48"/>
    <w:rsid w:val="00CD1F58"/>
    <w:rsid w:val="00CD246C"/>
    <w:rsid w:val="00CD3AC8"/>
    <w:rsid w:val="00CD6570"/>
    <w:rsid w:val="00CD7516"/>
    <w:rsid w:val="00CD760D"/>
    <w:rsid w:val="00CD7744"/>
    <w:rsid w:val="00CE293A"/>
    <w:rsid w:val="00CE414E"/>
    <w:rsid w:val="00CE679C"/>
    <w:rsid w:val="00CE6D69"/>
    <w:rsid w:val="00CF0356"/>
    <w:rsid w:val="00CF040B"/>
    <w:rsid w:val="00CF446A"/>
    <w:rsid w:val="00CF4A7E"/>
    <w:rsid w:val="00CF4AC8"/>
    <w:rsid w:val="00CF60ED"/>
    <w:rsid w:val="00CF7389"/>
    <w:rsid w:val="00CF78C9"/>
    <w:rsid w:val="00D007A2"/>
    <w:rsid w:val="00D023DC"/>
    <w:rsid w:val="00D03B50"/>
    <w:rsid w:val="00D03B8F"/>
    <w:rsid w:val="00D03E10"/>
    <w:rsid w:val="00D04430"/>
    <w:rsid w:val="00D04609"/>
    <w:rsid w:val="00D04A2D"/>
    <w:rsid w:val="00D055E8"/>
    <w:rsid w:val="00D072F4"/>
    <w:rsid w:val="00D07A51"/>
    <w:rsid w:val="00D137C0"/>
    <w:rsid w:val="00D143C6"/>
    <w:rsid w:val="00D152B3"/>
    <w:rsid w:val="00D15E53"/>
    <w:rsid w:val="00D16D97"/>
    <w:rsid w:val="00D21734"/>
    <w:rsid w:val="00D2260D"/>
    <w:rsid w:val="00D23337"/>
    <w:rsid w:val="00D24E4F"/>
    <w:rsid w:val="00D26095"/>
    <w:rsid w:val="00D31D4A"/>
    <w:rsid w:val="00D32B71"/>
    <w:rsid w:val="00D35645"/>
    <w:rsid w:val="00D368CD"/>
    <w:rsid w:val="00D37362"/>
    <w:rsid w:val="00D37CB0"/>
    <w:rsid w:val="00D41BE6"/>
    <w:rsid w:val="00D43615"/>
    <w:rsid w:val="00D43C1E"/>
    <w:rsid w:val="00D44555"/>
    <w:rsid w:val="00D46373"/>
    <w:rsid w:val="00D47641"/>
    <w:rsid w:val="00D5432D"/>
    <w:rsid w:val="00D57CF0"/>
    <w:rsid w:val="00D60A48"/>
    <w:rsid w:val="00D61085"/>
    <w:rsid w:val="00D63767"/>
    <w:rsid w:val="00D6415A"/>
    <w:rsid w:val="00D70546"/>
    <w:rsid w:val="00D71C9D"/>
    <w:rsid w:val="00D7582B"/>
    <w:rsid w:val="00D759AE"/>
    <w:rsid w:val="00D770AE"/>
    <w:rsid w:val="00D7770F"/>
    <w:rsid w:val="00D83B3A"/>
    <w:rsid w:val="00D842E0"/>
    <w:rsid w:val="00D86AD4"/>
    <w:rsid w:val="00D87599"/>
    <w:rsid w:val="00D903E9"/>
    <w:rsid w:val="00D917E2"/>
    <w:rsid w:val="00D91E6F"/>
    <w:rsid w:val="00D96067"/>
    <w:rsid w:val="00D96281"/>
    <w:rsid w:val="00DA1BAF"/>
    <w:rsid w:val="00DA1F6D"/>
    <w:rsid w:val="00DA4F91"/>
    <w:rsid w:val="00DA6EE3"/>
    <w:rsid w:val="00DB2A50"/>
    <w:rsid w:val="00DC1964"/>
    <w:rsid w:val="00DC24A0"/>
    <w:rsid w:val="00DC3ADE"/>
    <w:rsid w:val="00DD0730"/>
    <w:rsid w:val="00DD421B"/>
    <w:rsid w:val="00DE2BB1"/>
    <w:rsid w:val="00DE5DEE"/>
    <w:rsid w:val="00DE7A90"/>
    <w:rsid w:val="00DF45FF"/>
    <w:rsid w:val="00DF5802"/>
    <w:rsid w:val="00DF5B91"/>
    <w:rsid w:val="00DF6133"/>
    <w:rsid w:val="00DF7328"/>
    <w:rsid w:val="00DF7AAE"/>
    <w:rsid w:val="00E04D3B"/>
    <w:rsid w:val="00E118FA"/>
    <w:rsid w:val="00E120C7"/>
    <w:rsid w:val="00E16857"/>
    <w:rsid w:val="00E179F2"/>
    <w:rsid w:val="00E229DE"/>
    <w:rsid w:val="00E23E98"/>
    <w:rsid w:val="00E25832"/>
    <w:rsid w:val="00E25A8C"/>
    <w:rsid w:val="00E263B0"/>
    <w:rsid w:val="00E30F31"/>
    <w:rsid w:val="00E319A7"/>
    <w:rsid w:val="00E31A69"/>
    <w:rsid w:val="00E3289B"/>
    <w:rsid w:val="00E366E1"/>
    <w:rsid w:val="00E36EEE"/>
    <w:rsid w:val="00E4057B"/>
    <w:rsid w:val="00E42399"/>
    <w:rsid w:val="00E42FF3"/>
    <w:rsid w:val="00E43792"/>
    <w:rsid w:val="00E43A7B"/>
    <w:rsid w:val="00E51A4F"/>
    <w:rsid w:val="00E51F06"/>
    <w:rsid w:val="00E52B34"/>
    <w:rsid w:val="00E5320E"/>
    <w:rsid w:val="00E54331"/>
    <w:rsid w:val="00E56386"/>
    <w:rsid w:val="00E56DC8"/>
    <w:rsid w:val="00E617D0"/>
    <w:rsid w:val="00E61C75"/>
    <w:rsid w:val="00E73329"/>
    <w:rsid w:val="00E7557A"/>
    <w:rsid w:val="00E76F77"/>
    <w:rsid w:val="00E80B55"/>
    <w:rsid w:val="00E84313"/>
    <w:rsid w:val="00E84CDC"/>
    <w:rsid w:val="00E84FC4"/>
    <w:rsid w:val="00E90C73"/>
    <w:rsid w:val="00E913A9"/>
    <w:rsid w:val="00E91474"/>
    <w:rsid w:val="00E91590"/>
    <w:rsid w:val="00E92FDD"/>
    <w:rsid w:val="00E967F6"/>
    <w:rsid w:val="00EA6B8D"/>
    <w:rsid w:val="00EA7E2D"/>
    <w:rsid w:val="00EB195C"/>
    <w:rsid w:val="00EB1A44"/>
    <w:rsid w:val="00EB1C67"/>
    <w:rsid w:val="00EB2081"/>
    <w:rsid w:val="00EB6A30"/>
    <w:rsid w:val="00EB6C9C"/>
    <w:rsid w:val="00EB733D"/>
    <w:rsid w:val="00EC42A2"/>
    <w:rsid w:val="00EC495C"/>
    <w:rsid w:val="00EC780B"/>
    <w:rsid w:val="00ED3407"/>
    <w:rsid w:val="00ED366D"/>
    <w:rsid w:val="00EE292C"/>
    <w:rsid w:val="00EE35F3"/>
    <w:rsid w:val="00EE4FBC"/>
    <w:rsid w:val="00EF3944"/>
    <w:rsid w:val="00EF4851"/>
    <w:rsid w:val="00F02D73"/>
    <w:rsid w:val="00F03D6D"/>
    <w:rsid w:val="00F05B8B"/>
    <w:rsid w:val="00F05E19"/>
    <w:rsid w:val="00F10B5A"/>
    <w:rsid w:val="00F11B7B"/>
    <w:rsid w:val="00F12C08"/>
    <w:rsid w:val="00F12D47"/>
    <w:rsid w:val="00F14235"/>
    <w:rsid w:val="00F17500"/>
    <w:rsid w:val="00F20F76"/>
    <w:rsid w:val="00F24267"/>
    <w:rsid w:val="00F24369"/>
    <w:rsid w:val="00F24F09"/>
    <w:rsid w:val="00F25EEC"/>
    <w:rsid w:val="00F30E11"/>
    <w:rsid w:val="00F31E0B"/>
    <w:rsid w:val="00F32B71"/>
    <w:rsid w:val="00F350FF"/>
    <w:rsid w:val="00F35B50"/>
    <w:rsid w:val="00F37EC0"/>
    <w:rsid w:val="00F40879"/>
    <w:rsid w:val="00F42064"/>
    <w:rsid w:val="00F42B1D"/>
    <w:rsid w:val="00F42D0C"/>
    <w:rsid w:val="00F43EB9"/>
    <w:rsid w:val="00F458DB"/>
    <w:rsid w:val="00F45AFA"/>
    <w:rsid w:val="00F46A6A"/>
    <w:rsid w:val="00F521BC"/>
    <w:rsid w:val="00F552CB"/>
    <w:rsid w:val="00F601BB"/>
    <w:rsid w:val="00F6035C"/>
    <w:rsid w:val="00F60392"/>
    <w:rsid w:val="00F62498"/>
    <w:rsid w:val="00F62590"/>
    <w:rsid w:val="00F65B50"/>
    <w:rsid w:val="00F67133"/>
    <w:rsid w:val="00F672AA"/>
    <w:rsid w:val="00F700BC"/>
    <w:rsid w:val="00F75643"/>
    <w:rsid w:val="00F75976"/>
    <w:rsid w:val="00F76C3B"/>
    <w:rsid w:val="00F7790C"/>
    <w:rsid w:val="00F830F0"/>
    <w:rsid w:val="00F83DB2"/>
    <w:rsid w:val="00F90359"/>
    <w:rsid w:val="00F9247A"/>
    <w:rsid w:val="00F9628C"/>
    <w:rsid w:val="00FA1E02"/>
    <w:rsid w:val="00FA5BFA"/>
    <w:rsid w:val="00FB0C6E"/>
    <w:rsid w:val="00FB208D"/>
    <w:rsid w:val="00FB31BC"/>
    <w:rsid w:val="00FB3ABC"/>
    <w:rsid w:val="00FB478E"/>
    <w:rsid w:val="00FC00B4"/>
    <w:rsid w:val="00FC0FE1"/>
    <w:rsid w:val="00FC1563"/>
    <w:rsid w:val="00FC1C83"/>
    <w:rsid w:val="00FC2761"/>
    <w:rsid w:val="00FC7974"/>
    <w:rsid w:val="00FD082C"/>
    <w:rsid w:val="00FD2D3E"/>
    <w:rsid w:val="00FE21D8"/>
    <w:rsid w:val="00FE297C"/>
    <w:rsid w:val="00FE439D"/>
    <w:rsid w:val="00FE469F"/>
    <w:rsid w:val="00FE4777"/>
    <w:rsid w:val="00FE69EC"/>
    <w:rsid w:val="00FE7504"/>
    <w:rsid w:val="00FF0C8D"/>
    <w:rsid w:val="00FF1A1F"/>
    <w:rsid w:val="00FF1FD5"/>
    <w:rsid w:val="00FF3679"/>
    <w:rsid w:val="00FF581D"/>
    <w:rsid w:val="00FF6211"/>
    <w:rsid w:val="00FF7381"/>
    <w:rsid w:val="00FF7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79E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lsdException w:name="heading 5"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B1DAF"/>
    <w:pPr>
      <w:overflowPunct w:val="0"/>
      <w:autoSpaceDE w:val="0"/>
      <w:autoSpaceDN w:val="0"/>
      <w:adjustRightInd w:val="0"/>
      <w:spacing w:after="120"/>
      <w:jc w:val="both"/>
      <w:textAlignment w:val="baseline"/>
    </w:pPr>
    <w:rPr>
      <w:rFonts w:cs="Arial"/>
      <w:sz w:val="22"/>
      <w:lang w:eastAsia="fr-BE"/>
    </w:rPr>
  </w:style>
  <w:style w:type="paragraph" w:styleId="Heading1">
    <w:name w:val="heading 1"/>
    <w:aliases w:val="Del Level 1"/>
    <w:next w:val="Normal"/>
    <w:link w:val="Heading1Char"/>
    <w:uiPriority w:val="9"/>
    <w:qFormat/>
    <w:rsid w:val="00CC3314"/>
    <w:pPr>
      <w:keepNext/>
      <w:numPr>
        <w:numId w:val="2"/>
      </w:numPr>
      <w:spacing w:before="240" w:after="240"/>
      <w:ind w:left="431" w:hanging="431"/>
      <w:jc w:val="center"/>
      <w:outlineLvl w:val="0"/>
    </w:pPr>
    <w:rPr>
      <w:rFonts w:cs="Arial"/>
      <w:b/>
      <w:bCs/>
      <w:caps/>
      <w:kern w:val="28"/>
      <w:sz w:val="22"/>
      <w:szCs w:val="28"/>
      <w:lang w:eastAsia="fr-BE"/>
    </w:rPr>
  </w:style>
  <w:style w:type="paragraph" w:styleId="Heading2">
    <w:name w:val="heading 2"/>
    <w:aliases w:val="Del Level 2"/>
    <w:basedOn w:val="Heading1"/>
    <w:next w:val="Normal"/>
    <w:link w:val="Heading2Char"/>
    <w:uiPriority w:val="9"/>
    <w:qFormat/>
    <w:rsid w:val="00CC3314"/>
    <w:pPr>
      <w:numPr>
        <w:ilvl w:val="1"/>
      </w:numPr>
      <w:spacing w:before="0" w:after="120"/>
      <w:ind w:left="578" w:hanging="578"/>
      <w:jc w:val="left"/>
      <w:outlineLvl w:val="1"/>
    </w:pPr>
    <w:rPr>
      <w:bCs w:val="0"/>
      <w:iCs/>
      <w:caps w:val="0"/>
      <w:szCs w:val="24"/>
    </w:rPr>
  </w:style>
  <w:style w:type="paragraph" w:styleId="Heading3">
    <w:name w:val="heading 3"/>
    <w:aliases w:val="Del Level 3"/>
    <w:basedOn w:val="Heading2"/>
    <w:next w:val="Normal"/>
    <w:link w:val="Heading3Char"/>
    <w:uiPriority w:val="9"/>
    <w:qFormat/>
    <w:rsid w:val="00CC3314"/>
    <w:pPr>
      <w:numPr>
        <w:ilvl w:val="2"/>
      </w:numPr>
      <w:spacing w:before="120"/>
      <w:outlineLvl w:val="2"/>
    </w:pPr>
    <w:rPr>
      <w:rFonts w:cs="Times New Roman"/>
      <w:b w:val="0"/>
      <w:bCs/>
    </w:rPr>
  </w:style>
  <w:style w:type="paragraph" w:styleId="Heading4">
    <w:name w:val="heading 4"/>
    <w:basedOn w:val="Normal"/>
    <w:next w:val="Normal"/>
    <w:link w:val="Heading4Char"/>
    <w:uiPriority w:val="99"/>
    <w:rsid w:val="002B7498"/>
    <w:pPr>
      <w:keepNext/>
      <w:numPr>
        <w:ilvl w:val="3"/>
        <w:numId w:val="2"/>
      </w:numPr>
      <w:spacing w:before="240" w:after="60"/>
      <w:outlineLvl w:val="3"/>
    </w:pPr>
    <w:rPr>
      <w:rFonts w:cs="Times New Roman"/>
      <w:b/>
      <w:bCs/>
      <w:i/>
      <w:iCs/>
      <w:sz w:val="24"/>
      <w:szCs w:val="24"/>
    </w:rPr>
  </w:style>
  <w:style w:type="paragraph" w:styleId="Heading5">
    <w:name w:val="heading 5"/>
    <w:basedOn w:val="Normal"/>
    <w:next w:val="Normal"/>
    <w:link w:val="Heading5Char"/>
    <w:uiPriority w:val="99"/>
    <w:rsid w:val="002B7498"/>
    <w:pPr>
      <w:numPr>
        <w:ilvl w:val="4"/>
        <w:numId w:val="2"/>
      </w:numPr>
      <w:spacing w:before="240" w:after="60"/>
      <w:outlineLvl w:val="4"/>
    </w:pPr>
    <w:rPr>
      <w:szCs w:val="22"/>
    </w:rPr>
  </w:style>
  <w:style w:type="paragraph" w:styleId="Heading6">
    <w:name w:val="heading 6"/>
    <w:basedOn w:val="Normal"/>
    <w:next w:val="Normal"/>
    <w:link w:val="Heading6Char"/>
    <w:uiPriority w:val="99"/>
    <w:rsid w:val="002B7498"/>
    <w:pPr>
      <w:numPr>
        <w:ilvl w:val="5"/>
        <w:numId w:val="2"/>
      </w:numPr>
      <w:spacing w:before="240" w:after="60"/>
      <w:outlineLvl w:val="5"/>
    </w:pPr>
    <w:rPr>
      <w:i/>
      <w:iCs/>
      <w:szCs w:val="22"/>
    </w:rPr>
  </w:style>
  <w:style w:type="paragraph" w:styleId="Heading7">
    <w:name w:val="heading 7"/>
    <w:basedOn w:val="Normal"/>
    <w:next w:val="Normal"/>
    <w:link w:val="Heading7Char"/>
    <w:uiPriority w:val="99"/>
    <w:rsid w:val="002B7498"/>
    <w:pPr>
      <w:numPr>
        <w:ilvl w:val="6"/>
        <w:numId w:val="2"/>
      </w:numPr>
      <w:spacing w:before="240" w:after="60"/>
      <w:outlineLvl w:val="6"/>
    </w:pPr>
  </w:style>
  <w:style w:type="paragraph" w:styleId="Heading8">
    <w:name w:val="heading 8"/>
    <w:basedOn w:val="Normal"/>
    <w:next w:val="Normal"/>
    <w:link w:val="Heading8Char"/>
    <w:uiPriority w:val="99"/>
    <w:rsid w:val="002B7498"/>
    <w:pPr>
      <w:numPr>
        <w:ilvl w:val="7"/>
        <w:numId w:val="2"/>
      </w:numPr>
      <w:spacing w:before="240" w:after="60"/>
      <w:outlineLvl w:val="7"/>
    </w:pPr>
    <w:rPr>
      <w:i/>
      <w:iCs/>
    </w:rPr>
  </w:style>
  <w:style w:type="paragraph" w:styleId="Heading9">
    <w:name w:val="heading 9"/>
    <w:basedOn w:val="Normal"/>
    <w:next w:val="Normal"/>
    <w:link w:val="Heading9Char"/>
    <w:uiPriority w:val="99"/>
    <w:rsid w:val="002B7498"/>
    <w:pPr>
      <w:numPr>
        <w:ilvl w:val="8"/>
        <w:numId w:val="2"/>
      </w:num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el Level 1 Char"/>
    <w:link w:val="Heading1"/>
    <w:uiPriority w:val="9"/>
    <w:rsid w:val="00CC3314"/>
    <w:rPr>
      <w:rFonts w:cs="Arial"/>
      <w:b/>
      <w:bCs/>
      <w:caps/>
      <w:kern w:val="28"/>
      <w:sz w:val="22"/>
      <w:szCs w:val="28"/>
      <w:lang w:eastAsia="fr-BE"/>
    </w:rPr>
  </w:style>
  <w:style w:type="character" w:customStyle="1" w:styleId="Heading2Char">
    <w:name w:val="Heading 2 Char"/>
    <w:aliases w:val="Del Level 2 Char"/>
    <w:link w:val="Heading2"/>
    <w:uiPriority w:val="9"/>
    <w:rsid w:val="00CC3314"/>
    <w:rPr>
      <w:rFonts w:cs="Arial"/>
      <w:b/>
      <w:iCs/>
      <w:kern w:val="28"/>
      <w:sz w:val="22"/>
      <w:szCs w:val="24"/>
      <w:lang w:eastAsia="fr-BE"/>
    </w:rPr>
  </w:style>
  <w:style w:type="character" w:customStyle="1" w:styleId="Heading3Char">
    <w:name w:val="Heading 3 Char"/>
    <w:aliases w:val="Del Level 3 Char"/>
    <w:link w:val="Heading3"/>
    <w:uiPriority w:val="9"/>
    <w:rsid w:val="00CC3314"/>
    <w:rPr>
      <w:bCs/>
      <w:iCs/>
      <w:kern w:val="28"/>
      <w:sz w:val="22"/>
      <w:szCs w:val="24"/>
      <w:lang w:eastAsia="fr-BE"/>
    </w:rPr>
  </w:style>
  <w:style w:type="character" w:customStyle="1" w:styleId="Heading4Char">
    <w:name w:val="Heading 4 Char"/>
    <w:link w:val="Heading4"/>
    <w:uiPriority w:val="99"/>
    <w:rsid w:val="009A4BA4"/>
    <w:rPr>
      <w:b/>
      <w:bCs/>
      <w:i/>
      <w:iCs/>
      <w:sz w:val="24"/>
      <w:szCs w:val="24"/>
      <w:lang w:eastAsia="fr-BE"/>
    </w:rPr>
  </w:style>
  <w:style w:type="character" w:customStyle="1" w:styleId="Heading5Char">
    <w:name w:val="Heading 5 Char"/>
    <w:link w:val="Heading5"/>
    <w:uiPriority w:val="99"/>
    <w:rsid w:val="009A4BA4"/>
    <w:rPr>
      <w:rFonts w:ascii="Arial" w:hAnsi="Arial" w:cs="Arial"/>
      <w:sz w:val="22"/>
      <w:szCs w:val="22"/>
      <w:lang w:eastAsia="fr-BE"/>
    </w:rPr>
  </w:style>
  <w:style w:type="character" w:customStyle="1" w:styleId="Heading6Char">
    <w:name w:val="Heading 6 Char"/>
    <w:link w:val="Heading6"/>
    <w:uiPriority w:val="99"/>
    <w:rsid w:val="009A4BA4"/>
    <w:rPr>
      <w:rFonts w:ascii="Arial" w:hAnsi="Arial" w:cs="Arial"/>
      <w:i/>
      <w:iCs/>
      <w:sz w:val="22"/>
      <w:szCs w:val="22"/>
      <w:lang w:eastAsia="fr-BE"/>
    </w:rPr>
  </w:style>
  <w:style w:type="character" w:customStyle="1" w:styleId="Heading7Char">
    <w:name w:val="Heading 7 Char"/>
    <w:link w:val="Heading7"/>
    <w:uiPriority w:val="99"/>
    <w:rsid w:val="009A4BA4"/>
    <w:rPr>
      <w:rFonts w:ascii="Arial" w:hAnsi="Arial" w:cs="Arial"/>
      <w:sz w:val="22"/>
      <w:lang w:eastAsia="fr-BE"/>
    </w:rPr>
  </w:style>
  <w:style w:type="character" w:customStyle="1" w:styleId="Heading8Char">
    <w:name w:val="Heading 8 Char"/>
    <w:link w:val="Heading8"/>
    <w:uiPriority w:val="99"/>
    <w:rsid w:val="009A4BA4"/>
    <w:rPr>
      <w:rFonts w:ascii="Arial" w:hAnsi="Arial" w:cs="Arial"/>
      <w:i/>
      <w:iCs/>
      <w:sz w:val="22"/>
      <w:lang w:eastAsia="fr-BE"/>
    </w:rPr>
  </w:style>
  <w:style w:type="character" w:customStyle="1" w:styleId="Heading9Char">
    <w:name w:val="Heading 9 Char"/>
    <w:link w:val="Heading9"/>
    <w:uiPriority w:val="99"/>
    <w:rsid w:val="009A4BA4"/>
    <w:rPr>
      <w:rFonts w:ascii="Arial" w:hAnsi="Arial" w:cs="Arial"/>
      <w:i/>
      <w:iCs/>
      <w:sz w:val="18"/>
      <w:szCs w:val="18"/>
      <w:lang w:eastAsia="fr-BE"/>
    </w:rPr>
  </w:style>
  <w:style w:type="paragraph" w:styleId="Header">
    <w:name w:val="header"/>
    <w:basedOn w:val="Normal"/>
    <w:link w:val="HeaderChar"/>
    <w:uiPriority w:val="99"/>
    <w:rsid w:val="002B7498"/>
    <w:pPr>
      <w:tabs>
        <w:tab w:val="center" w:pos="4153"/>
        <w:tab w:val="right" w:pos="8306"/>
      </w:tabs>
    </w:pPr>
  </w:style>
  <w:style w:type="character" w:customStyle="1" w:styleId="HeaderChar">
    <w:name w:val="Header Char"/>
    <w:link w:val="Header"/>
    <w:uiPriority w:val="99"/>
    <w:rsid w:val="009A4BA4"/>
    <w:rPr>
      <w:rFonts w:ascii="Arial" w:hAnsi="Arial" w:cs="Arial"/>
      <w:sz w:val="20"/>
      <w:szCs w:val="20"/>
      <w:lang w:val="en-GB"/>
    </w:rPr>
  </w:style>
  <w:style w:type="paragraph" w:styleId="Footer">
    <w:name w:val="footer"/>
    <w:basedOn w:val="Normal"/>
    <w:link w:val="FooterChar"/>
    <w:uiPriority w:val="99"/>
    <w:rsid w:val="002B7498"/>
    <w:pPr>
      <w:tabs>
        <w:tab w:val="center" w:pos="4153"/>
        <w:tab w:val="right" w:pos="8306"/>
      </w:tabs>
    </w:pPr>
  </w:style>
  <w:style w:type="character" w:customStyle="1" w:styleId="FooterChar">
    <w:name w:val="Footer Char"/>
    <w:link w:val="Footer"/>
    <w:uiPriority w:val="99"/>
    <w:rsid w:val="009A4BA4"/>
    <w:rPr>
      <w:rFonts w:ascii="Arial" w:hAnsi="Arial" w:cs="Arial"/>
      <w:sz w:val="20"/>
      <w:szCs w:val="20"/>
      <w:lang w:val="en-GB"/>
    </w:rPr>
  </w:style>
  <w:style w:type="paragraph" w:styleId="TOC1">
    <w:name w:val="toc 1"/>
    <w:basedOn w:val="Normal"/>
    <w:next w:val="Normal"/>
    <w:autoRedefine/>
    <w:uiPriority w:val="39"/>
    <w:rsid w:val="00A84AA9"/>
    <w:pPr>
      <w:tabs>
        <w:tab w:val="right" w:leader="dot" w:pos="8312"/>
      </w:tabs>
    </w:pPr>
    <w:rPr>
      <w:sz w:val="24"/>
    </w:rPr>
  </w:style>
  <w:style w:type="paragraph" w:styleId="TOC2">
    <w:name w:val="toc 2"/>
    <w:basedOn w:val="Normal"/>
    <w:next w:val="Normal"/>
    <w:autoRedefine/>
    <w:uiPriority w:val="39"/>
    <w:rsid w:val="002B7498"/>
    <w:pPr>
      <w:tabs>
        <w:tab w:val="right" w:leader="dot" w:pos="8312"/>
      </w:tabs>
      <w:ind w:left="200"/>
    </w:pPr>
  </w:style>
  <w:style w:type="paragraph" w:styleId="TOC3">
    <w:name w:val="toc 3"/>
    <w:basedOn w:val="Normal"/>
    <w:next w:val="Normal"/>
    <w:autoRedefine/>
    <w:uiPriority w:val="39"/>
    <w:rsid w:val="000E6E7C"/>
    <w:pPr>
      <w:tabs>
        <w:tab w:val="left" w:pos="1200"/>
        <w:tab w:val="right" w:leader="dot" w:pos="8312"/>
      </w:tabs>
      <w:ind w:left="200"/>
    </w:pPr>
    <w:rPr>
      <w:sz w:val="16"/>
    </w:rPr>
  </w:style>
  <w:style w:type="paragraph" w:styleId="TOC4">
    <w:name w:val="toc 4"/>
    <w:basedOn w:val="Normal"/>
    <w:next w:val="Normal"/>
    <w:autoRedefine/>
    <w:uiPriority w:val="99"/>
    <w:semiHidden/>
    <w:rsid w:val="002B7498"/>
    <w:pPr>
      <w:tabs>
        <w:tab w:val="right" w:leader="dot" w:pos="8312"/>
      </w:tabs>
      <w:ind w:left="600"/>
    </w:pPr>
  </w:style>
  <w:style w:type="paragraph" w:styleId="TOC5">
    <w:name w:val="toc 5"/>
    <w:basedOn w:val="Normal"/>
    <w:next w:val="Normal"/>
    <w:autoRedefine/>
    <w:uiPriority w:val="99"/>
    <w:semiHidden/>
    <w:rsid w:val="002B7498"/>
    <w:pPr>
      <w:tabs>
        <w:tab w:val="right" w:leader="dot" w:pos="8312"/>
      </w:tabs>
      <w:ind w:left="800"/>
    </w:pPr>
  </w:style>
  <w:style w:type="paragraph" w:styleId="TOC6">
    <w:name w:val="toc 6"/>
    <w:basedOn w:val="Normal"/>
    <w:next w:val="Normal"/>
    <w:autoRedefine/>
    <w:uiPriority w:val="99"/>
    <w:semiHidden/>
    <w:rsid w:val="002B7498"/>
    <w:pPr>
      <w:tabs>
        <w:tab w:val="right" w:leader="dot" w:pos="8312"/>
      </w:tabs>
      <w:ind w:left="1000"/>
    </w:pPr>
  </w:style>
  <w:style w:type="paragraph" w:styleId="TOC7">
    <w:name w:val="toc 7"/>
    <w:basedOn w:val="Normal"/>
    <w:next w:val="Normal"/>
    <w:autoRedefine/>
    <w:uiPriority w:val="99"/>
    <w:semiHidden/>
    <w:rsid w:val="002B7498"/>
    <w:pPr>
      <w:tabs>
        <w:tab w:val="right" w:leader="dot" w:pos="8312"/>
      </w:tabs>
      <w:ind w:left="1200"/>
    </w:pPr>
  </w:style>
  <w:style w:type="paragraph" w:styleId="TOC8">
    <w:name w:val="toc 8"/>
    <w:basedOn w:val="Normal"/>
    <w:next w:val="Normal"/>
    <w:autoRedefine/>
    <w:uiPriority w:val="99"/>
    <w:semiHidden/>
    <w:rsid w:val="002B7498"/>
    <w:pPr>
      <w:tabs>
        <w:tab w:val="right" w:leader="dot" w:pos="8312"/>
      </w:tabs>
      <w:ind w:left="1400"/>
    </w:pPr>
  </w:style>
  <w:style w:type="paragraph" w:styleId="TOC9">
    <w:name w:val="toc 9"/>
    <w:basedOn w:val="Normal"/>
    <w:next w:val="Normal"/>
    <w:autoRedefine/>
    <w:uiPriority w:val="99"/>
    <w:semiHidden/>
    <w:rsid w:val="002B7498"/>
    <w:pPr>
      <w:tabs>
        <w:tab w:val="right" w:leader="dot" w:pos="8312"/>
      </w:tabs>
      <w:ind w:left="1600"/>
    </w:pPr>
  </w:style>
  <w:style w:type="paragraph" w:styleId="BodyTextIndent2">
    <w:name w:val="Body Text Indent 2"/>
    <w:basedOn w:val="Normal"/>
    <w:link w:val="BodyTextIndent2Char"/>
    <w:uiPriority w:val="99"/>
    <w:rsid w:val="002B7498"/>
    <w:pPr>
      <w:tabs>
        <w:tab w:val="left" w:pos="0"/>
        <w:tab w:val="left" w:pos="510"/>
        <w:tab w:val="left" w:pos="1077"/>
        <w:tab w:val="left" w:pos="1588"/>
        <w:tab w:val="left" w:pos="1984"/>
        <w:tab w:val="left" w:pos="2381"/>
        <w:tab w:val="left" w:pos="2891"/>
      </w:tabs>
      <w:ind w:left="510"/>
    </w:pPr>
    <w:rPr>
      <w:rFonts w:cs="Times New Roman"/>
      <w:spacing w:val="-3"/>
      <w:szCs w:val="22"/>
    </w:rPr>
  </w:style>
  <w:style w:type="character" w:customStyle="1" w:styleId="BodyTextIndent2Char">
    <w:name w:val="Body Text Indent 2 Char"/>
    <w:link w:val="BodyTextIndent2"/>
    <w:uiPriority w:val="99"/>
    <w:semiHidden/>
    <w:rsid w:val="009A4BA4"/>
    <w:rPr>
      <w:rFonts w:ascii="Arial" w:hAnsi="Arial" w:cs="Arial"/>
      <w:sz w:val="20"/>
      <w:szCs w:val="20"/>
      <w:lang w:val="en-GB"/>
    </w:rPr>
  </w:style>
  <w:style w:type="paragraph" w:customStyle="1" w:styleId="aictextecourant">
    <w:name w:val="aic:texte courant"/>
    <w:basedOn w:val="Normal"/>
    <w:uiPriority w:val="99"/>
    <w:rsid w:val="002B7498"/>
    <w:pPr>
      <w:spacing w:line="480" w:lineRule="auto"/>
      <w:ind w:firstLine="284"/>
    </w:pPr>
    <w:rPr>
      <w:rFonts w:cs="Times New Roman"/>
      <w:szCs w:val="22"/>
      <w:lang w:val="fr-FR"/>
    </w:rPr>
  </w:style>
  <w:style w:type="paragraph" w:styleId="CommentText">
    <w:name w:val="annotation text"/>
    <w:basedOn w:val="Normal"/>
    <w:link w:val="CommentTextChar"/>
    <w:uiPriority w:val="99"/>
    <w:rsid w:val="002B7498"/>
    <w:rPr>
      <w:rFonts w:cs="Times New Roman"/>
      <w:lang w:val="en-US"/>
    </w:rPr>
  </w:style>
  <w:style w:type="character" w:customStyle="1" w:styleId="CommentTextChar">
    <w:name w:val="Comment Text Char"/>
    <w:link w:val="CommentText"/>
    <w:uiPriority w:val="99"/>
    <w:rsid w:val="009A4BA4"/>
    <w:rPr>
      <w:rFonts w:ascii="Arial" w:hAnsi="Arial" w:cs="Arial"/>
      <w:sz w:val="20"/>
      <w:szCs w:val="20"/>
      <w:lang w:val="en-GB"/>
    </w:rPr>
  </w:style>
  <w:style w:type="paragraph" w:styleId="BodyText3">
    <w:name w:val="Body Text 3"/>
    <w:basedOn w:val="Normal"/>
    <w:link w:val="BodyText3Char"/>
    <w:rsid w:val="002B7498"/>
    <w:pPr>
      <w:jc w:val="center"/>
    </w:pPr>
    <w:rPr>
      <w:rFonts w:cs="Times New Roman"/>
      <w:b/>
      <w:bCs/>
      <w:sz w:val="48"/>
      <w:szCs w:val="48"/>
    </w:rPr>
  </w:style>
  <w:style w:type="character" w:customStyle="1" w:styleId="BodyText3Char">
    <w:name w:val="Body Text 3 Char"/>
    <w:link w:val="BodyText3"/>
    <w:uiPriority w:val="99"/>
    <w:semiHidden/>
    <w:rsid w:val="009A4BA4"/>
    <w:rPr>
      <w:rFonts w:ascii="Arial" w:hAnsi="Arial" w:cs="Arial"/>
      <w:sz w:val="16"/>
      <w:szCs w:val="16"/>
      <w:lang w:val="en-GB"/>
    </w:rPr>
  </w:style>
  <w:style w:type="character" w:styleId="Hyperlink">
    <w:name w:val="Hyperlink"/>
    <w:uiPriority w:val="99"/>
    <w:rsid w:val="002B7498"/>
    <w:rPr>
      <w:color w:val="0000FF"/>
      <w:u w:val="single"/>
    </w:rPr>
  </w:style>
  <w:style w:type="paragraph" w:styleId="Title">
    <w:name w:val="Title"/>
    <w:basedOn w:val="Normal"/>
    <w:link w:val="TitleChar"/>
    <w:uiPriority w:val="99"/>
    <w:rsid w:val="002B7498"/>
    <w:pPr>
      <w:jc w:val="center"/>
    </w:pPr>
    <w:rPr>
      <w:rFonts w:cs="Times New Roman"/>
      <w:b/>
      <w:bCs/>
      <w:sz w:val="32"/>
      <w:szCs w:val="32"/>
    </w:rPr>
  </w:style>
  <w:style w:type="character" w:customStyle="1" w:styleId="TitleChar">
    <w:name w:val="Title Char"/>
    <w:link w:val="Title"/>
    <w:uiPriority w:val="10"/>
    <w:rsid w:val="009A4BA4"/>
    <w:rPr>
      <w:rFonts w:ascii="Cambria" w:eastAsia="Times New Roman" w:hAnsi="Cambria" w:cs="Times New Roman"/>
      <w:b/>
      <w:bCs/>
      <w:kern w:val="28"/>
      <w:sz w:val="32"/>
      <w:szCs w:val="32"/>
      <w:lang w:val="en-GB"/>
    </w:rPr>
  </w:style>
  <w:style w:type="character" w:styleId="FollowedHyperlink">
    <w:name w:val="FollowedHyperlink"/>
    <w:uiPriority w:val="99"/>
    <w:rsid w:val="002B7498"/>
    <w:rPr>
      <w:color w:val="800080"/>
      <w:u w:val="single"/>
    </w:rPr>
  </w:style>
  <w:style w:type="character" w:styleId="PageNumber">
    <w:name w:val="page number"/>
    <w:basedOn w:val="DefaultParagraphFont"/>
    <w:uiPriority w:val="99"/>
    <w:semiHidden/>
    <w:rsid w:val="002B7498"/>
  </w:style>
  <w:style w:type="paragraph" w:styleId="DocumentMap">
    <w:name w:val="Document Map"/>
    <w:basedOn w:val="Normal"/>
    <w:link w:val="DocumentMapChar"/>
    <w:uiPriority w:val="99"/>
    <w:semiHidden/>
    <w:unhideWhenUsed/>
    <w:rsid w:val="004C4FD4"/>
    <w:rPr>
      <w:rFonts w:ascii="Tahoma" w:hAnsi="Tahoma" w:cs="Tahoma"/>
      <w:sz w:val="16"/>
      <w:szCs w:val="16"/>
    </w:rPr>
  </w:style>
  <w:style w:type="character" w:customStyle="1" w:styleId="DocumentMapChar">
    <w:name w:val="Document Map Char"/>
    <w:link w:val="DocumentMap"/>
    <w:uiPriority w:val="99"/>
    <w:semiHidden/>
    <w:rsid w:val="004C4FD4"/>
    <w:rPr>
      <w:rFonts w:ascii="Tahoma" w:hAnsi="Tahoma" w:cs="Tahoma"/>
      <w:sz w:val="16"/>
      <w:szCs w:val="16"/>
      <w:lang w:val="en-GB"/>
    </w:rPr>
  </w:style>
  <w:style w:type="paragraph" w:styleId="BalloonText">
    <w:name w:val="Balloon Text"/>
    <w:basedOn w:val="Normal"/>
    <w:link w:val="BalloonTextChar"/>
    <w:uiPriority w:val="99"/>
    <w:semiHidden/>
    <w:unhideWhenUsed/>
    <w:rsid w:val="001B4914"/>
    <w:rPr>
      <w:rFonts w:ascii="Tahoma" w:hAnsi="Tahoma" w:cs="Tahoma"/>
      <w:sz w:val="16"/>
      <w:szCs w:val="16"/>
    </w:rPr>
  </w:style>
  <w:style w:type="character" w:customStyle="1" w:styleId="BalloonTextChar">
    <w:name w:val="Balloon Text Char"/>
    <w:link w:val="BalloonText"/>
    <w:uiPriority w:val="99"/>
    <w:semiHidden/>
    <w:rsid w:val="001B4914"/>
    <w:rPr>
      <w:rFonts w:ascii="Tahoma" w:hAnsi="Tahoma" w:cs="Tahoma"/>
      <w:sz w:val="16"/>
      <w:szCs w:val="16"/>
      <w:lang w:val="en-GB"/>
    </w:rPr>
  </w:style>
  <w:style w:type="character" w:styleId="CommentReference">
    <w:name w:val="annotation reference"/>
    <w:uiPriority w:val="99"/>
    <w:semiHidden/>
    <w:rsid w:val="00C6409A"/>
    <w:rPr>
      <w:sz w:val="16"/>
      <w:szCs w:val="16"/>
    </w:rPr>
  </w:style>
  <w:style w:type="paragraph" w:styleId="CommentSubject">
    <w:name w:val="annotation subject"/>
    <w:basedOn w:val="CommentText"/>
    <w:next w:val="CommentText"/>
    <w:link w:val="CommentSubjectChar"/>
    <w:uiPriority w:val="99"/>
    <w:semiHidden/>
    <w:rsid w:val="00C6409A"/>
    <w:rPr>
      <w:rFonts w:ascii="Arial" w:hAnsi="Arial" w:cs="Arial"/>
      <w:b/>
      <w:bCs/>
      <w:lang w:val="en-GB"/>
    </w:rPr>
  </w:style>
  <w:style w:type="table" w:styleId="TableGrid">
    <w:name w:val="Table Grid"/>
    <w:basedOn w:val="TableNormal"/>
    <w:uiPriority w:val="39"/>
    <w:rsid w:val="003A30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dex1">
    <w:name w:val="index 1"/>
    <w:basedOn w:val="Normal"/>
    <w:next w:val="Normal"/>
    <w:autoRedefine/>
    <w:uiPriority w:val="99"/>
    <w:semiHidden/>
    <w:unhideWhenUsed/>
    <w:rsid w:val="00961CA6"/>
    <w:pPr>
      <w:ind w:left="200" w:hanging="200"/>
    </w:pPr>
  </w:style>
  <w:style w:type="paragraph" w:styleId="IndexHeading">
    <w:name w:val="index heading"/>
    <w:basedOn w:val="Normal"/>
    <w:next w:val="Index1"/>
    <w:uiPriority w:val="99"/>
    <w:rsid w:val="00961CA6"/>
    <w:pPr>
      <w:overflowPunct/>
      <w:autoSpaceDE/>
      <w:autoSpaceDN/>
      <w:adjustRightInd/>
      <w:textAlignment w:val="auto"/>
    </w:pPr>
    <w:rPr>
      <w:rFonts w:cs="Times New Roman"/>
      <w:lang w:eastAsia="fr-FR"/>
    </w:rPr>
  </w:style>
  <w:style w:type="paragraph" w:styleId="ListParagraph">
    <w:name w:val="List Paragraph"/>
    <w:basedOn w:val="Normal"/>
    <w:uiPriority w:val="34"/>
    <w:qFormat/>
    <w:rsid w:val="003E1E2A"/>
    <w:pPr>
      <w:ind w:left="720"/>
      <w:contextualSpacing/>
    </w:pPr>
  </w:style>
  <w:style w:type="paragraph" w:styleId="TOCHeading">
    <w:name w:val="TOC Heading"/>
    <w:basedOn w:val="Heading1"/>
    <w:next w:val="Normal"/>
    <w:uiPriority w:val="39"/>
    <w:unhideWhenUsed/>
    <w:qFormat/>
    <w:rsid w:val="00013B45"/>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character" w:customStyle="1" w:styleId="apple-converted-space">
    <w:name w:val="apple-converted-space"/>
    <w:basedOn w:val="DefaultParagraphFont"/>
    <w:rsid w:val="00B532B5"/>
  </w:style>
  <w:style w:type="paragraph" w:styleId="NormalWeb">
    <w:name w:val="Normal (Web)"/>
    <w:basedOn w:val="Normal"/>
    <w:uiPriority w:val="99"/>
    <w:unhideWhenUsed/>
    <w:rsid w:val="00B532B5"/>
    <w:pPr>
      <w:overflowPunct/>
      <w:autoSpaceDE/>
      <w:autoSpaceDN/>
      <w:adjustRightInd/>
      <w:spacing w:before="100" w:beforeAutospacing="1" w:after="100" w:afterAutospacing="1"/>
      <w:jc w:val="left"/>
      <w:textAlignment w:val="auto"/>
    </w:pPr>
    <w:rPr>
      <w:rFonts w:cs="Times New Roman"/>
      <w:sz w:val="24"/>
      <w:szCs w:val="24"/>
      <w:lang w:eastAsia="en-GB"/>
    </w:rPr>
  </w:style>
  <w:style w:type="character" w:styleId="Strong">
    <w:name w:val="Strong"/>
    <w:basedOn w:val="DefaultParagraphFont"/>
    <w:uiPriority w:val="22"/>
    <w:qFormat/>
    <w:rsid w:val="00B532B5"/>
    <w:rPr>
      <w:b/>
      <w:bCs/>
    </w:rPr>
  </w:style>
  <w:style w:type="paragraph" w:styleId="BodyTextIndent">
    <w:name w:val="Body Text Indent"/>
    <w:basedOn w:val="Normal"/>
    <w:link w:val="BodyTextIndentChar"/>
    <w:unhideWhenUsed/>
    <w:rsid w:val="003C66C9"/>
    <w:pPr>
      <w:overflowPunct/>
      <w:autoSpaceDE/>
      <w:autoSpaceDN/>
      <w:adjustRightInd/>
      <w:spacing w:line="276" w:lineRule="auto"/>
      <w:ind w:left="283"/>
      <w:jc w:val="left"/>
      <w:textAlignment w:val="auto"/>
    </w:pPr>
    <w:rPr>
      <w:rFonts w:asciiTheme="minorHAnsi" w:eastAsiaTheme="minorEastAsia" w:hAnsiTheme="minorHAnsi" w:cstheme="minorBidi"/>
      <w:szCs w:val="22"/>
      <w:lang w:eastAsia="bg-BG"/>
    </w:rPr>
  </w:style>
  <w:style w:type="character" w:customStyle="1" w:styleId="BodyTextIndentChar">
    <w:name w:val="Body Text Indent Char"/>
    <w:basedOn w:val="DefaultParagraphFont"/>
    <w:link w:val="BodyTextIndent"/>
    <w:rsid w:val="003C66C9"/>
    <w:rPr>
      <w:rFonts w:asciiTheme="minorHAnsi" w:eastAsiaTheme="minorEastAsia" w:hAnsiTheme="minorHAnsi" w:cstheme="minorBidi"/>
      <w:sz w:val="22"/>
      <w:szCs w:val="22"/>
      <w:lang w:eastAsia="bg-BG"/>
    </w:rPr>
  </w:style>
  <w:style w:type="table" w:customStyle="1" w:styleId="LightList-Accent117">
    <w:name w:val="Light List - Accent 117"/>
    <w:basedOn w:val="TableNormal"/>
    <w:uiPriority w:val="61"/>
    <w:rsid w:val="003C66C9"/>
    <w:rPr>
      <w:rFonts w:asciiTheme="minorHAnsi" w:eastAsiaTheme="minorHAnsi" w:hAnsiTheme="minorHAnsi" w:cstheme="minorBidi"/>
      <w:sz w:val="22"/>
      <w:szCs w:val="22"/>
      <w:lang w:val="en-US"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apple-tab-span">
    <w:name w:val="apple-tab-span"/>
    <w:basedOn w:val="DefaultParagraphFont"/>
    <w:rsid w:val="00F75643"/>
  </w:style>
  <w:style w:type="character" w:styleId="Emphasis">
    <w:name w:val="Emphasis"/>
    <w:basedOn w:val="DefaultParagraphFont"/>
    <w:uiPriority w:val="20"/>
    <w:qFormat/>
    <w:rsid w:val="00F75643"/>
    <w:rPr>
      <w:i/>
      <w:iCs/>
    </w:rPr>
  </w:style>
  <w:style w:type="character" w:customStyle="1" w:styleId="Mention1">
    <w:name w:val="Mention1"/>
    <w:basedOn w:val="DefaultParagraphFont"/>
    <w:uiPriority w:val="99"/>
    <w:semiHidden/>
    <w:unhideWhenUsed/>
    <w:rsid w:val="00F75643"/>
    <w:rPr>
      <w:color w:val="2B579A"/>
      <w:shd w:val="clear" w:color="auto" w:fill="E6E6E6"/>
    </w:rPr>
  </w:style>
  <w:style w:type="paragraph" w:styleId="Caption">
    <w:name w:val="caption"/>
    <w:basedOn w:val="Normal"/>
    <w:next w:val="Normal"/>
    <w:uiPriority w:val="35"/>
    <w:unhideWhenUsed/>
    <w:qFormat/>
    <w:rsid w:val="005F38D8"/>
    <w:pPr>
      <w:overflowPunct/>
      <w:autoSpaceDE/>
      <w:autoSpaceDN/>
      <w:adjustRightInd/>
      <w:spacing w:after="0"/>
      <w:jc w:val="center"/>
      <w:textAlignment w:val="auto"/>
    </w:pPr>
    <w:rPr>
      <w:rFonts w:eastAsiaTheme="minorHAnsi" w:cstheme="minorBidi"/>
      <w:b/>
      <w:bCs/>
      <w:sz w:val="20"/>
      <w:szCs w:val="18"/>
      <w:lang w:eastAsia="en-US"/>
    </w:rPr>
  </w:style>
  <w:style w:type="character" w:customStyle="1" w:styleId="CommentSubjectChar">
    <w:name w:val="Comment Subject Char"/>
    <w:basedOn w:val="CommentTextChar"/>
    <w:link w:val="CommentSubject"/>
    <w:uiPriority w:val="99"/>
    <w:semiHidden/>
    <w:rsid w:val="00F75643"/>
    <w:rPr>
      <w:rFonts w:ascii="Arial" w:hAnsi="Arial" w:cs="Arial"/>
      <w:b/>
      <w:bCs/>
      <w:sz w:val="20"/>
      <w:szCs w:val="20"/>
      <w:lang w:val="en-GB" w:eastAsia="fr-BE"/>
    </w:rPr>
  </w:style>
  <w:style w:type="paragraph" w:styleId="NoSpacing">
    <w:name w:val="No Spacing"/>
    <w:uiPriority w:val="1"/>
    <w:qFormat/>
    <w:rsid w:val="00F75643"/>
    <w:rPr>
      <w:rFonts w:asciiTheme="minorHAnsi" w:eastAsiaTheme="minorHAnsi" w:hAnsiTheme="minorHAnsi" w:cstheme="minorBidi"/>
      <w:sz w:val="22"/>
      <w:szCs w:val="22"/>
      <w:lang w:eastAsia="en-US"/>
    </w:rPr>
  </w:style>
  <w:style w:type="table" w:styleId="LightList-Accent3">
    <w:name w:val="Light List Accent 3"/>
    <w:basedOn w:val="TableNormal"/>
    <w:uiPriority w:val="61"/>
    <w:rsid w:val="00F75643"/>
    <w:rPr>
      <w:rFonts w:asciiTheme="minorHAnsi" w:eastAsiaTheme="minorHAnsi" w:hAnsiTheme="minorHAnsi" w:cstheme="minorBidi"/>
      <w:sz w:val="22"/>
      <w:szCs w:val="22"/>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Bibliography">
    <w:name w:val="Bibliography"/>
    <w:basedOn w:val="Normal"/>
    <w:next w:val="Normal"/>
    <w:uiPriority w:val="37"/>
    <w:unhideWhenUsed/>
    <w:rsid w:val="00CC58B5"/>
    <w:pPr>
      <w:overflowPunct/>
      <w:autoSpaceDE/>
      <w:autoSpaceDN/>
      <w:adjustRightInd/>
      <w:spacing w:after="200" w:line="276" w:lineRule="auto"/>
      <w:jc w:val="left"/>
      <w:textAlignment w:val="auto"/>
    </w:pPr>
    <w:rPr>
      <w:rFonts w:asciiTheme="minorHAnsi" w:eastAsiaTheme="minorEastAsia" w:hAnsiTheme="minorHAnsi" w:cstheme="minorBidi"/>
      <w:szCs w:val="22"/>
      <w:lang w:eastAsia="bg-BG"/>
    </w:rPr>
  </w:style>
  <w:style w:type="table" w:styleId="MediumShading1-Accent3">
    <w:name w:val="Medium Shading 1 Accent 3"/>
    <w:basedOn w:val="TableNormal"/>
    <w:uiPriority w:val="63"/>
    <w:rsid w:val="00F43EB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7F53D2"/>
  </w:style>
  <w:style w:type="character" w:customStyle="1" w:styleId="FootnoteTextChar">
    <w:name w:val="Footnote Text Char"/>
    <w:basedOn w:val="DefaultParagraphFont"/>
    <w:link w:val="FootnoteText"/>
    <w:uiPriority w:val="99"/>
    <w:semiHidden/>
    <w:rsid w:val="007F53D2"/>
    <w:rPr>
      <w:rFonts w:ascii="Arial" w:hAnsi="Arial" w:cs="Arial"/>
      <w:lang w:eastAsia="fr-BE"/>
    </w:rPr>
  </w:style>
  <w:style w:type="character" w:styleId="FootnoteReference">
    <w:name w:val="footnote reference"/>
    <w:basedOn w:val="DefaultParagraphFont"/>
    <w:uiPriority w:val="99"/>
    <w:semiHidden/>
    <w:unhideWhenUsed/>
    <w:rsid w:val="007F53D2"/>
    <w:rPr>
      <w:vertAlign w:val="superscript"/>
    </w:rPr>
  </w:style>
  <w:style w:type="paragraph" w:styleId="EndnoteText">
    <w:name w:val="endnote text"/>
    <w:basedOn w:val="Normal"/>
    <w:link w:val="EndnoteTextChar"/>
    <w:uiPriority w:val="99"/>
    <w:semiHidden/>
    <w:unhideWhenUsed/>
    <w:rsid w:val="002F203E"/>
  </w:style>
  <w:style w:type="character" w:customStyle="1" w:styleId="EndnoteTextChar">
    <w:name w:val="Endnote Text Char"/>
    <w:basedOn w:val="DefaultParagraphFont"/>
    <w:link w:val="EndnoteText"/>
    <w:uiPriority w:val="99"/>
    <w:semiHidden/>
    <w:rsid w:val="002F203E"/>
    <w:rPr>
      <w:rFonts w:ascii="Arial" w:hAnsi="Arial" w:cs="Arial"/>
      <w:lang w:eastAsia="fr-BE"/>
    </w:rPr>
  </w:style>
  <w:style w:type="character" w:styleId="EndnoteReference">
    <w:name w:val="endnote reference"/>
    <w:basedOn w:val="DefaultParagraphFont"/>
    <w:uiPriority w:val="99"/>
    <w:semiHidden/>
    <w:unhideWhenUsed/>
    <w:rsid w:val="002F203E"/>
    <w:rPr>
      <w:vertAlign w:val="superscript"/>
    </w:rPr>
  </w:style>
  <w:style w:type="paragraph" w:styleId="Revision">
    <w:name w:val="Revision"/>
    <w:hidden/>
    <w:uiPriority w:val="99"/>
    <w:semiHidden/>
    <w:rsid w:val="00573E83"/>
    <w:rPr>
      <w:rFonts w:ascii="Arial" w:hAnsi="Arial" w:cs="Arial"/>
      <w:lang w:eastAsia="fr-BE"/>
    </w:rPr>
  </w:style>
  <w:style w:type="character" w:customStyle="1" w:styleId="st">
    <w:name w:val="st"/>
    <w:basedOn w:val="DefaultParagraphFont"/>
    <w:rsid w:val="00E84CDC"/>
  </w:style>
  <w:style w:type="character" w:customStyle="1" w:styleId="sr-only">
    <w:name w:val="sr-only"/>
    <w:basedOn w:val="DefaultParagraphFont"/>
    <w:rsid w:val="00A3264A"/>
  </w:style>
  <w:style w:type="character" w:customStyle="1" w:styleId="text">
    <w:name w:val="text"/>
    <w:basedOn w:val="DefaultParagraphFont"/>
    <w:rsid w:val="00A3264A"/>
  </w:style>
  <w:style w:type="character" w:customStyle="1" w:styleId="author-ref">
    <w:name w:val="author-ref"/>
    <w:basedOn w:val="DefaultParagraphFont"/>
    <w:rsid w:val="00A3264A"/>
  </w:style>
  <w:style w:type="numbering" w:customStyle="1" w:styleId="Alansheadings">
    <w:name w:val="Alan's headings"/>
    <w:uiPriority w:val="99"/>
    <w:rsid w:val="00581524"/>
    <w:pPr>
      <w:numPr>
        <w:numId w:val="1"/>
      </w:numPr>
    </w:pPr>
  </w:style>
  <w:style w:type="character" w:styleId="PlaceholderText">
    <w:name w:val="Placeholder Text"/>
    <w:basedOn w:val="DefaultParagraphFont"/>
    <w:uiPriority w:val="99"/>
    <w:semiHidden/>
    <w:rsid w:val="00F62590"/>
    <w:rPr>
      <w:color w:val="808080"/>
    </w:rPr>
  </w:style>
  <w:style w:type="paragraph" w:customStyle="1" w:styleId="authors">
    <w:name w:val="authors"/>
    <w:basedOn w:val="Normal"/>
    <w:rsid w:val="0030675C"/>
    <w:pPr>
      <w:overflowPunct/>
      <w:autoSpaceDE/>
      <w:autoSpaceDN/>
      <w:adjustRightInd/>
      <w:spacing w:after="240"/>
      <w:jc w:val="left"/>
      <w:textAlignment w:val="auto"/>
    </w:pPr>
    <w:rPr>
      <w:rFonts w:cs="Times New Roman"/>
      <w:sz w:val="24"/>
      <w:lang w:eastAsia="en-US"/>
    </w:rPr>
  </w:style>
  <w:style w:type="paragraph" w:customStyle="1" w:styleId="address">
    <w:name w:val="address"/>
    <w:basedOn w:val="Normal"/>
    <w:rsid w:val="0030675C"/>
    <w:pPr>
      <w:overflowPunct/>
      <w:autoSpaceDE/>
      <w:autoSpaceDN/>
      <w:adjustRightInd/>
      <w:jc w:val="left"/>
      <w:textAlignment w:val="auto"/>
    </w:pPr>
    <w:rPr>
      <w:rFonts w:cs="Times New Roman"/>
      <w:sz w:val="24"/>
      <w:lang w:eastAsia="en-US"/>
    </w:rPr>
  </w:style>
  <w:style w:type="paragraph" w:customStyle="1" w:styleId="Equation">
    <w:name w:val="Equation"/>
    <w:basedOn w:val="Normal"/>
    <w:link w:val="EquationChar"/>
    <w:qFormat/>
    <w:rsid w:val="006D447D"/>
    <w:pPr>
      <w:spacing w:before="120" w:after="0"/>
    </w:pPr>
    <w:rPr>
      <w:rFonts w:ascii="Cambria Math" w:hAnsi="Cambria Math"/>
      <w:i/>
    </w:rPr>
  </w:style>
  <w:style w:type="character" w:customStyle="1" w:styleId="EquationChar">
    <w:name w:val="Equation Char"/>
    <w:basedOn w:val="DefaultParagraphFont"/>
    <w:link w:val="Equation"/>
    <w:rsid w:val="006D447D"/>
    <w:rPr>
      <w:rFonts w:ascii="Cambria Math" w:hAnsi="Cambria Math" w:cs="Arial"/>
      <w:i/>
      <w:sz w:val="22"/>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lsdException w:name="heading 5"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B1DAF"/>
    <w:pPr>
      <w:overflowPunct w:val="0"/>
      <w:autoSpaceDE w:val="0"/>
      <w:autoSpaceDN w:val="0"/>
      <w:adjustRightInd w:val="0"/>
      <w:spacing w:after="120"/>
      <w:jc w:val="both"/>
      <w:textAlignment w:val="baseline"/>
    </w:pPr>
    <w:rPr>
      <w:rFonts w:cs="Arial"/>
      <w:sz w:val="22"/>
      <w:lang w:eastAsia="fr-BE"/>
    </w:rPr>
  </w:style>
  <w:style w:type="paragraph" w:styleId="Heading1">
    <w:name w:val="heading 1"/>
    <w:aliases w:val="Del Level 1"/>
    <w:next w:val="Normal"/>
    <w:link w:val="Heading1Char"/>
    <w:uiPriority w:val="9"/>
    <w:qFormat/>
    <w:rsid w:val="00CC3314"/>
    <w:pPr>
      <w:keepNext/>
      <w:numPr>
        <w:numId w:val="2"/>
      </w:numPr>
      <w:spacing w:before="240" w:after="240"/>
      <w:ind w:left="431" w:hanging="431"/>
      <w:jc w:val="center"/>
      <w:outlineLvl w:val="0"/>
    </w:pPr>
    <w:rPr>
      <w:rFonts w:cs="Arial"/>
      <w:b/>
      <w:bCs/>
      <w:caps/>
      <w:kern w:val="28"/>
      <w:sz w:val="22"/>
      <w:szCs w:val="28"/>
      <w:lang w:eastAsia="fr-BE"/>
    </w:rPr>
  </w:style>
  <w:style w:type="paragraph" w:styleId="Heading2">
    <w:name w:val="heading 2"/>
    <w:aliases w:val="Del Level 2"/>
    <w:basedOn w:val="Heading1"/>
    <w:next w:val="Normal"/>
    <w:link w:val="Heading2Char"/>
    <w:uiPriority w:val="9"/>
    <w:qFormat/>
    <w:rsid w:val="00CC3314"/>
    <w:pPr>
      <w:numPr>
        <w:ilvl w:val="1"/>
      </w:numPr>
      <w:spacing w:before="0" w:after="120"/>
      <w:ind w:left="578" w:hanging="578"/>
      <w:jc w:val="left"/>
      <w:outlineLvl w:val="1"/>
    </w:pPr>
    <w:rPr>
      <w:bCs w:val="0"/>
      <w:iCs/>
      <w:caps w:val="0"/>
      <w:szCs w:val="24"/>
    </w:rPr>
  </w:style>
  <w:style w:type="paragraph" w:styleId="Heading3">
    <w:name w:val="heading 3"/>
    <w:aliases w:val="Del Level 3"/>
    <w:basedOn w:val="Heading2"/>
    <w:next w:val="Normal"/>
    <w:link w:val="Heading3Char"/>
    <w:uiPriority w:val="9"/>
    <w:qFormat/>
    <w:rsid w:val="00CC3314"/>
    <w:pPr>
      <w:numPr>
        <w:ilvl w:val="2"/>
      </w:numPr>
      <w:spacing w:before="120"/>
      <w:outlineLvl w:val="2"/>
    </w:pPr>
    <w:rPr>
      <w:rFonts w:cs="Times New Roman"/>
      <w:b w:val="0"/>
      <w:bCs/>
    </w:rPr>
  </w:style>
  <w:style w:type="paragraph" w:styleId="Heading4">
    <w:name w:val="heading 4"/>
    <w:basedOn w:val="Normal"/>
    <w:next w:val="Normal"/>
    <w:link w:val="Heading4Char"/>
    <w:uiPriority w:val="99"/>
    <w:rsid w:val="002B7498"/>
    <w:pPr>
      <w:keepNext/>
      <w:numPr>
        <w:ilvl w:val="3"/>
        <w:numId w:val="2"/>
      </w:numPr>
      <w:spacing w:before="240" w:after="60"/>
      <w:outlineLvl w:val="3"/>
    </w:pPr>
    <w:rPr>
      <w:rFonts w:cs="Times New Roman"/>
      <w:b/>
      <w:bCs/>
      <w:i/>
      <w:iCs/>
      <w:sz w:val="24"/>
      <w:szCs w:val="24"/>
    </w:rPr>
  </w:style>
  <w:style w:type="paragraph" w:styleId="Heading5">
    <w:name w:val="heading 5"/>
    <w:basedOn w:val="Normal"/>
    <w:next w:val="Normal"/>
    <w:link w:val="Heading5Char"/>
    <w:uiPriority w:val="99"/>
    <w:rsid w:val="002B7498"/>
    <w:pPr>
      <w:numPr>
        <w:ilvl w:val="4"/>
        <w:numId w:val="2"/>
      </w:numPr>
      <w:spacing w:before="240" w:after="60"/>
      <w:outlineLvl w:val="4"/>
    </w:pPr>
    <w:rPr>
      <w:szCs w:val="22"/>
    </w:rPr>
  </w:style>
  <w:style w:type="paragraph" w:styleId="Heading6">
    <w:name w:val="heading 6"/>
    <w:basedOn w:val="Normal"/>
    <w:next w:val="Normal"/>
    <w:link w:val="Heading6Char"/>
    <w:uiPriority w:val="99"/>
    <w:rsid w:val="002B7498"/>
    <w:pPr>
      <w:numPr>
        <w:ilvl w:val="5"/>
        <w:numId w:val="2"/>
      </w:numPr>
      <w:spacing w:before="240" w:after="60"/>
      <w:outlineLvl w:val="5"/>
    </w:pPr>
    <w:rPr>
      <w:i/>
      <w:iCs/>
      <w:szCs w:val="22"/>
    </w:rPr>
  </w:style>
  <w:style w:type="paragraph" w:styleId="Heading7">
    <w:name w:val="heading 7"/>
    <w:basedOn w:val="Normal"/>
    <w:next w:val="Normal"/>
    <w:link w:val="Heading7Char"/>
    <w:uiPriority w:val="99"/>
    <w:rsid w:val="002B7498"/>
    <w:pPr>
      <w:numPr>
        <w:ilvl w:val="6"/>
        <w:numId w:val="2"/>
      </w:numPr>
      <w:spacing w:before="240" w:after="60"/>
      <w:outlineLvl w:val="6"/>
    </w:pPr>
  </w:style>
  <w:style w:type="paragraph" w:styleId="Heading8">
    <w:name w:val="heading 8"/>
    <w:basedOn w:val="Normal"/>
    <w:next w:val="Normal"/>
    <w:link w:val="Heading8Char"/>
    <w:uiPriority w:val="99"/>
    <w:rsid w:val="002B7498"/>
    <w:pPr>
      <w:numPr>
        <w:ilvl w:val="7"/>
        <w:numId w:val="2"/>
      </w:numPr>
      <w:spacing w:before="240" w:after="60"/>
      <w:outlineLvl w:val="7"/>
    </w:pPr>
    <w:rPr>
      <w:i/>
      <w:iCs/>
    </w:rPr>
  </w:style>
  <w:style w:type="paragraph" w:styleId="Heading9">
    <w:name w:val="heading 9"/>
    <w:basedOn w:val="Normal"/>
    <w:next w:val="Normal"/>
    <w:link w:val="Heading9Char"/>
    <w:uiPriority w:val="99"/>
    <w:rsid w:val="002B7498"/>
    <w:pPr>
      <w:numPr>
        <w:ilvl w:val="8"/>
        <w:numId w:val="2"/>
      </w:num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el Level 1 Char"/>
    <w:link w:val="Heading1"/>
    <w:uiPriority w:val="9"/>
    <w:rsid w:val="00CC3314"/>
    <w:rPr>
      <w:rFonts w:cs="Arial"/>
      <w:b/>
      <w:bCs/>
      <w:caps/>
      <w:kern w:val="28"/>
      <w:sz w:val="22"/>
      <w:szCs w:val="28"/>
      <w:lang w:eastAsia="fr-BE"/>
    </w:rPr>
  </w:style>
  <w:style w:type="character" w:customStyle="1" w:styleId="Heading2Char">
    <w:name w:val="Heading 2 Char"/>
    <w:aliases w:val="Del Level 2 Char"/>
    <w:link w:val="Heading2"/>
    <w:uiPriority w:val="9"/>
    <w:rsid w:val="00CC3314"/>
    <w:rPr>
      <w:rFonts w:cs="Arial"/>
      <w:b/>
      <w:iCs/>
      <w:kern w:val="28"/>
      <w:sz w:val="22"/>
      <w:szCs w:val="24"/>
      <w:lang w:eastAsia="fr-BE"/>
    </w:rPr>
  </w:style>
  <w:style w:type="character" w:customStyle="1" w:styleId="Heading3Char">
    <w:name w:val="Heading 3 Char"/>
    <w:aliases w:val="Del Level 3 Char"/>
    <w:link w:val="Heading3"/>
    <w:uiPriority w:val="9"/>
    <w:rsid w:val="00CC3314"/>
    <w:rPr>
      <w:bCs/>
      <w:iCs/>
      <w:kern w:val="28"/>
      <w:sz w:val="22"/>
      <w:szCs w:val="24"/>
      <w:lang w:eastAsia="fr-BE"/>
    </w:rPr>
  </w:style>
  <w:style w:type="character" w:customStyle="1" w:styleId="Heading4Char">
    <w:name w:val="Heading 4 Char"/>
    <w:link w:val="Heading4"/>
    <w:uiPriority w:val="99"/>
    <w:rsid w:val="009A4BA4"/>
    <w:rPr>
      <w:b/>
      <w:bCs/>
      <w:i/>
      <w:iCs/>
      <w:sz w:val="24"/>
      <w:szCs w:val="24"/>
      <w:lang w:eastAsia="fr-BE"/>
    </w:rPr>
  </w:style>
  <w:style w:type="character" w:customStyle="1" w:styleId="Heading5Char">
    <w:name w:val="Heading 5 Char"/>
    <w:link w:val="Heading5"/>
    <w:uiPriority w:val="99"/>
    <w:rsid w:val="009A4BA4"/>
    <w:rPr>
      <w:rFonts w:ascii="Arial" w:hAnsi="Arial" w:cs="Arial"/>
      <w:sz w:val="22"/>
      <w:szCs w:val="22"/>
      <w:lang w:eastAsia="fr-BE"/>
    </w:rPr>
  </w:style>
  <w:style w:type="character" w:customStyle="1" w:styleId="Heading6Char">
    <w:name w:val="Heading 6 Char"/>
    <w:link w:val="Heading6"/>
    <w:uiPriority w:val="99"/>
    <w:rsid w:val="009A4BA4"/>
    <w:rPr>
      <w:rFonts w:ascii="Arial" w:hAnsi="Arial" w:cs="Arial"/>
      <w:i/>
      <w:iCs/>
      <w:sz w:val="22"/>
      <w:szCs w:val="22"/>
      <w:lang w:eastAsia="fr-BE"/>
    </w:rPr>
  </w:style>
  <w:style w:type="character" w:customStyle="1" w:styleId="Heading7Char">
    <w:name w:val="Heading 7 Char"/>
    <w:link w:val="Heading7"/>
    <w:uiPriority w:val="99"/>
    <w:rsid w:val="009A4BA4"/>
    <w:rPr>
      <w:rFonts w:ascii="Arial" w:hAnsi="Arial" w:cs="Arial"/>
      <w:sz w:val="22"/>
      <w:lang w:eastAsia="fr-BE"/>
    </w:rPr>
  </w:style>
  <w:style w:type="character" w:customStyle="1" w:styleId="Heading8Char">
    <w:name w:val="Heading 8 Char"/>
    <w:link w:val="Heading8"/>
    <w:uiPriority w:val="99"/>
    <w:rsid w:val="009A4BA4"/>
    <w:rPr>
      <w:rFonts w:ascii="Arial" w:hAnsi="Arial" w:cs="Arial"/>
      <w:i/>
      <w:iCs/>
      <w:sz w:val="22"/>
      <w:lang w:eastAsia="fr-BE"/>
    </w:rPr>
  </w:style>
  <w:style w:type="character" w:customStyle="1" w:styleId="Heading9Char">
    <w:name w:val="Heading 9 Char"/>
    <w:link w:val="Heading9"/>
    <w:uiPriority w:val="99"/>
    <w:rsid w:val="009A4BA4"/>
    <w:rPr>
      <w:rFonts w:ascii="Arial" w:hAnsi="Arial" w:cs="Arial"/>
      <w:i/>
      <w:iCs/>
      <w:sz w:val="18"/>
      <w:szCs w:val="18"/>
      <w:lang w:eastAsia="fr-BE"/>
    </w:rPr>
  </w:style>
  <w:style w:type="paragraph" w:styleId="Header">
    <w:name w:val="header"/>
    <w:basedOn w:val="Normal"/>
    <w:link w:val="HeaderChar"/>
    <w:uiPriority w:val="99"/>
    <w:rsid w:val="002B7498"/>
    <w:pPr>
      <w:tabs>
        <w:tab w:val="center" w:pos="4153"/>
        <w:tab w:val="right" w:pos="8306"/>
      </w:tabs>
    </w:pPr>
  </w:style>
  <w:style w:type="character" w:customStyle="1" w:styleId="HeaderChar">
    <w:name w:val="Header Char"/>
    <w:link w:val="Header"/>
    <w:uiPriority w:val="99"/>
    <w:rsid w:val="009A4BA4"/>
    <w:rPr>
      <w:rFonts w:ascii="Arial" w:hAnsi="Arial" w:cs="Arial"/>
      <w:sz w:val="20"/>
      <w:szCs w:val="20"/>
      <w:lang w:val="en-GB"/>
    </w:rPr>
  </w:style>
  <w:style w:type="paragraph" w:styleId="Footer">
    <w:name w:val="footer"/>
    <w:basedOn w:val="Normal"/>
    <w:link w:val="FooterChar"/>
    <w:uiPriority w:val="99"/>
    <w:rsid w:val="002B7498"/>
    <w:pPr>
      <w:tabs>
        <w:tab w:val="center" w:pos="4153"/>
        <w:tab w:val="right" w:pos="8306"/>
      </w:tabs>
    </w:pPr>
  </w:style>
  <w:style w:type="character" w:customStyle="1" w:styleId="FooterChar">
    <w:name w:val="Footer Char"/>
    <w:link w:val="Footer"/>
    <w:uiPriority w:val="99"/>
    <w:rsid w:val="009A4BA4"/>
    <w:rPr>
      <w:rFonts w:ascii="Arial" w:hAnsi="Arial" w:cs="Arial"/>
      <w:sz w:val="20"/>
      <w:szCs w:val="20"/>
      <w:lang w:val="en-GB"/>
    </w:rPr>
  </w:style>
  <w:style w:type="paragraph" w:styleId="TOC1">
    <w:name w:val="toc 1"/>
    <w:basedOn w:val="Normal"/>
    <w:next w:val="Normal"/>
    <w:autoRedefine/>
    <w:uiPriority w:val="39"/>
    <w:rsid w:val="00A84AA9"/>
    <w:pPr>
      <w:tabs>
        <w:tab w:val="right" w:leader="dot" w:pos="8312"/>
      </w:tabs>
    </w:pPr>
    <w:rPr>
      <w:sz w:val="24"/>
    </w:rPr>
  </w:style>
  <w:style w:type="paragraph" w:styleId="TOC2">
    <w:name w:val="toc 2"/>
    <w:basedOn w:val="Normal"/>
    <w:next w:val="Normal"/>
    <w:autoRedefine/>
    <w:uiPriority w:val="39"/>
    <w:rsid w:val="002B7498"/>
    <w:pPr>
      <w:tabs>
        <w:tab w:val="right" w:leader="dot" w:pos="8312"/>
      </w:tabs>
      <w:ind w:left="200"/>
    </w:pPr>
  </w:style>
  <w:style w:type="paragraph" w:styleId="TOC3">
    <w:name w:val="toc 3"/>
    <w:basedOn w:val="Normal"/>
    <w:next w:val="Normal"/>
    <w:autoRedefine/>
    <w:uiPriority w:val="39"/>
    <w:rsid w:val="000E6E7C"/>
    <w:pPr>
      <w:tabs>
        <w:tab w:val="left" w:pos="1200"/>
        <w:tab w:val="right" w:leader="dot" w:pos="8312"/>
      </w:tabs>
      <w:ind w:left="200"/>
    </w:pPr>
    <w:rPr>
      <w:sz w:val="16"/>
    </w:rPr>
  </w:style>
  <w:style w:type="paragraph" w:styleId="TOC4">
    <w:name w:val="toc 4"/>
    <w:basedOn w:val="Normal"/>
    <w:next w:val="Normal"/>
    <w:autoRedefine/>
    <w:uiPriority w:val="99"/>
    <w:semiHidden/>
    <w:rsid w:val="002B7498"/>
    <w:pPr>
      <w:tabs>
        <w:tab w:val="right" w:leader="dot" w:pos="8312"/>
      </w:tabs>
      <w:ind w:left="600"/>
    </w:pPr>
  </w:style>
  <w:style w:type="paragraph" w:styleId="TOC5">
    <w:name w:val="toc 5"/>
    <w:basedOn w:val="Normal"/>
    <w:next w:val="Normal"/>
    <w:autoRedefine/>
    <w:uiPriority w:val="99"/>
    <w:semiHidden/>
    <w:rsid w:val="002B7498"/>
    <w:pPr>
      <w:tabs>
        <w:tab w:val="right" w:leader="dot" w:pos="8312"/>
      </w:tabs>
      <w:ind w:left="800"/>
    </w:pPr>
  </w:style>
  <w:style w:type="paragraph" w:styleId="TOC6">
    <w:name w:val="toc 6"/>
    <w:basedOn w:val="Normal"/>
    <w:next w:val="Normal"/>
    <w:autoRedefine/>
    <w:uiPriority w:val="99"/>
    <w:semiHidden/>
    <w:rsid w:val="002B7498"/>
    <w:pPr>
      <w:tabs>
        <w:tab w:val="right" w:leader="dot" w:pos="8312"/>
      </w:tabs>
      <w:ind w:left="1000"/>
    </w:pPr>
  </w:style>
  <w:style w:type="paragraph" w:styleId="TOC7">
    <w:name w:val="toc 7"/>
    <w:basedOn w:val="Normal"/>
    <w:next w:val="Normal"/>
    <w:autoRedefine/>
    <w:uiPriority w:val="99"/>
    <w:semiHidden/>
    <w:rsid w:val="002B7498"/>
    <w:pPr>
      <w:tabs>
        <w:tab w:val="right" w:leader="dot" w:pos="8312"/>
      </w:tabs>
      <w:ind w:left="1200"/>
    </w:pPr>
  </w:style>
  <w:style w:type="paragraph" w:styleId="TOC8">
    <w:name w:val="toc 8"/>
    <w:basedOn w:val="Normal"/>
    <w:next w:val="Normal"/>
    <w:autoRedefine/>
    <w:uiPriority w:val="99"/>
    <w:semiHidden/>
    <w:rsid w:val="002B7498"/>
    <w:pPr>
      <w:tabs>
        <w:tab w:val="right" w:leader="dot" w:pos="8312"/>
      </w:tabs>
      <w:ind w:left="1400"/>
    </w:pPr>
  </w:style>
  <w:style w:type="paragraph" w:styleId="TOC9">
    <w:name w:val="toc 9"/>
    <w:basedOn w:val="Normal"/>
    <w:next w:val="Normal"/>
    <w:autoRedefine/>
    <w:uiPriority w:val="99"/>
    <w:semiHidden/>
    <w:rsid w:val="002B7498"/>
    <w:pPr>
      <w:tabs>
        <w:tab w:val="right" w:leader="dot" w:pos="8312"/>
      </w:tabs>
      <w:ind w:left="1600"/>
    </w:pPr>
  </w:style>
  <w:style w:type="paragraph" w:styleId="BodyTextIndent2">
    <w:name w:val="Body Text Indent 2"/>
    <w:basedOn w:val="Normal"/>
    <w:link w:val="BodyTextIndent2Char"/>
    <w:uiPriority w:val="99"/>
    <w:rsid w:val="002B7498"/>
    <w:pPr>
      <w:tabs>
        <w:tab w:val="left" w:pos="0"/>
        <w:tab w:val="left" w:pos="510"/>
        <w:tab w:val="left" w:pos="1077"/>
        <w:tab w:val="left" w:pos="1588"/>
        <w:tab w:val="left" w:pos="1984"/>
        <w:tab w:val="left" w:pos="2381"/>
        <w:tab w:val="left" w:pos="2891"/>
      </w:tabs>
      <w:ind w:left="510"/>
    </w:pPr>
    <w:rPr>
      <w:rFonts w:cs="Times New Roman"/>
      <w:spacing w:val="-3"/>
      <w:szCs w:val="22"/>
    </w:rPr>
  </w:style>
  <w:style w:type="character" w:customStyle="1" w:styleId="BodyTextIndent2Char">
    <w:name w:val="Body Text Indent 2 Char"/>
    <w:link w:val="BodyTextIndent2"/>
    <w:uiPriority w:val="99"/>
    <w:semiHidden/>
    <w:rsid w:val="009A4BA4"/>
    <w:rPr>
      <w:rFonts w:ascii="Arial" w:hAnsi="Arial" w:cs="Arial"/>
      <w:sz w:val="20"/>
      <w:szCs w:val="20"/>
      <w:lang w:val="en-GB"/>
    </w:rPr>
  </w:style>
  <w:style w:type="paragraph" w:customStyle="1" w:styleId="aictextecourant">
    <w:name w:val="aic:texte courant"/>
    <w:basedOn w:val="Normal"/>
    <w:uiPriority w:val="99"/>
    <w:rsid w:val="002B7498"/>
    <w:pPr>
      <w:spacing w:line="480" w:lineRule="auto"/>
      <w:ind w:firstLine="284"/>
    </w:pPr>
    <w:rPr>
      <w:rFonts w:cs="Times New Roman"/>
      <w:szCs w:val="22"/>
      <w:lang w:val="fr-FR"/>
    </w:rPr>
  </w:style>
  <w:style w:type="paragraph" w:styleId="CommentText">
    <w:name w:val="annotation text"/>
    <w:basedOn w:val="Normal"/>
    <w:link w:val="CommentTextChar"/>
    <w:uiPriority w:val="99"/>
    <w:rsid w:val="002B7498"/>
    <w:rPr>
      <w:rFonts w:cs="Times New Roman"/>
      <w:lang w:val="en-US"/>
    </w:rPr>
  </w:style>
  <w:style w:type="character" w:customStyle="1" w:styleId="CommentTextChar">
    <w:name w:val="Comment Text Char"/>
    <w:link w:val="CommentText"/>
    <w:uiPriority w:val="99"/>
    <w:rsid w:val="009A4BA4"/>
    <w:rPr>
      <w:rFonts w:ascii="Arial" w:hAnsi="Arial" w:cs="Arial"/>
      <w:sz w:val="20"/>
      <w:szCs w:val="20"/>
      <w:lang w:val="en-GB"/>
    </w:rPr>
  </w:style>
  <w:style w:type="paragraph" w:styleId="BodyText3">
    <w:name w:val="Body Text 3"/>
    <w:basedOn w:val="Normal"/>
    <w:link w:val="BodyText3Char"/>
    <w:rsid w:val="002B7498"/>
    <w:pPr>
      <w:jc w:val="center"/>
    </w:pPr>
    <w:rPr>
      <w:rFonts w:cs="Times New Roman"/>
      <w:b/>
      <w:bCs/>
      <w:sz w:val="48"/>
      <w:szCs w:val="48"/>
    </w:rPr>
  </w:style>
  <w:style w:type="character" w:customStyle="1" w:styleId="BodyText3Char">
    <w:name w:val="Body Text 3 Char"/>
    <w:link w:val="BodyText3"/>
    <w:uiPriority w:val="99"/>
    <w:semiHidden/>
    <w:rsid w:val="009A4BA4"/>
    <w:rPr>
      <w:rFonts w:ascii="Arial" w:hAnsi="Arial" w:cs="Arial"/>
      <w:sz w:val="16"/>
      <w:szCs w:val="16"/>
      <w:lang w:val="en-GB"/>
    </w:rPr>
  </w:style>
  <w:style w:type="character" w:styleId="Hyperlink">
    <w:name w:val="Hyperlink"/>
    <w:uiPriority w:val="99"/>
    <w:rsid w:val="002B7498"/>
    <w:rPr>
      <w:color w:val="0000FF"/>
      <w:u w:val="single"/>
    </w:rPr>
  </w:style>
  <w:style w:type="paragraph" w:styleId="Title">
    <w:name w:val="Title"/>
    <w:basedOn w:val="Normal"/>
    <w:link w:val="TitleChar"/>
    <w:uiPriority w:val="99"/>
    <w:rsid w:val="002B7498"/>
    <w:pPr>
      <w:jc w:val="center"/>
    </w:pPr>
    <w:rPr>
      <w:rFonts w:cs="Times New Roman"/>
      <w:b/>
      <w:bCs/>
      <w:sz w:val="32"/>
      <w:szCs w:val="32"/>
    </w:rPr>
  </w:style>
  <w:style w:type="character" w:customStyle="1" w:styleId="TitleChar">
    <w:name w:val="Title Char"/>
    <w:link w:val="Title"/>
    <w:uiPriority w:val="10"/>
    <w:rsid w:val="009A4BA4"/>
    <w:rPr>
      <w:rFonts w:ascii="Cambria" w:eastAsia="Times New Roman" w:hAnsi="Cambria" w:cs="Times New Roman"/>
      <w:b/>
      <w:bCs/>
      <w:kern w:val="28"/>
      <w:sz w:val="32"/>
      <w:szCs w:val="32"/>
      <w:lang w:val="en-GB"/>
    </w:rPr>
  </w:style>
  <w:style w:type="character" w:styleId="FollowedHyperlink">
    <w:name w:val="FollowedHyperlink"/>
    <w:uiPriority w:val="99"/>
    <w:rsid w:val="002B7498"/>
    <w:rPr>
      <w:color w:val="800080"/>
      <w:u w:val="single"/>
    </w:rPr>
  </w:style>
  <w:style w:type="character" w:styleId="PageNumber">
    <w:name w:val="page number"/>
    <w:basedOn w:val="DefaultParagraphFont"/>
    <w:uiPriority w:val="99"/>
    <w:semiHidden/>
    <w:rsid w:val="002B7498"/>
  </w:style>
  <w:style w:type="paragraph" w:styleId="DocumentMap">
    <w:name w:val="Document Map"/>
    <w:basedOn w:val="Normal"/>
    <w:link w:val="DocumentMapChar"/>
    <w:uiPriority w:val="99"/>
    <w:semiHidden/>
    <w:unhideWhenUsed/>
    <w:rsid w:val="004C4FD4"/>
    <w:rPr>
      <w:rFonts w:ascii="Tahoma" w:hAnsi="Tahoma" w:cs="Tahoma"/>
      <w:sz w:val="16"/>
      <w:szCs w:val="16"/>
    </w:rPr>
  </w:style>
  <w:style w:type="character" w:customStyle="1" w:styleId="DocumentMapChar">
    <w:name w:val="Document Map Char"/>
    <w:link w:val="DocumentMap"/>
    <w:uiPriority w:val="99"/>
    <w:semiHidden/>
    <w:rsid w:val="004C4FD4"/>
    <w:rPr>
      <w:rFonts w:ascii="Tahoma" w:hAnsi="Tahoma" w:cs="Tahoma"/>
      <w:sz w:val="16"/>
      <w:szCs w:val="16"/>
      <w:lang w:val="en-GB"/>
    </w:rPr>
  </w:style>
  <w:style w:type="paragraph" w:styleId="BalloonText">
    <w:name w:val="Balloon Text"/>
    <w:basedOn w:val="Normal"/>
    <w:link w:val="BalloonTextChar"/>
    <w:uiPriority w:val="99"/>
    <w:semiHidden/>
    <w:unhideWhenUsed/>
    <w:rsid w:val="001B4914"/>
    <w:rPr>
      <w:rFonts w:ascii="Tahoma" w:hAnsi="Tahoma" w:cs="Tahoma"/>
      <w:sz w:val="16"/>
      <w:szCs w:val="16"/>
    </w:rPr>
  </w:style>
  <w:style w:type="character" w:customStyle="1" w:styleId="BalloonTextChar">
    <w:name w:val="Balloon Text Char"/>
    <w:link w:val="BalloonText"/>
    <w:uiPriority w:val="99"/>
    <w:semiHidden/>
    <w:rsid w:val="001B4914"/>
    <w:rPr>
      <w:rFonts w:ascii="Tahoma" w:hAnsi="Tahoma" w:cs="Tahoma"/>
      <w:sz w:val="16"/>
      <w:szCs w:val="16"/>
      <w:lang w:val="en-GB"/>
    </w:rPr>
  </w:style>
  <w:style w:type="character" w:styleId="CommentReference">
    <w:name w:val="annotation reference"/>
    <w:uiPriority w:val="99"/>
    <w:semiHidden/>
    <w:rsid w:val="00C6409A"/>
    <w:rPr>
      <w:sz w:val="16"/>
      <w:szCs w:val="16"/>
    </w:rPr>
  </w:style>
  <w:style w:type="paragraph" w:styleId="CommentSubject">
    <w:name w:val="annotation subject"/>
    <w:basedOn w:val="CommentText"/>
    <w:next w:val="CommentText"/>
    <w:link w:val="CommentSubjectChar"/>
    <w:uiPriority w:val="99"/>
    <w:semiHidden/>
    <w:rsid w:val="00C6409A"/>
    <w:rPr>
      <w:rFonts w:ascii="Arial" w:hAnsi="Arial" w:cs="Arial"/>
      <w:b/>
      <w:bCs/>
      <w:lang w:val="en-GB"/>
    </w:rPr>
  </w:style>
  <w:style w:type="table" w:styleId="TableGrid">
    <w:name w:val="Table Grid"/>
    <w:basedOn w:val="TableNormal"/>
    <w:uiPriority w:val="39"/>
    <w:rsid w:val="003A30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dex1">
    <w:name w:val="index 1"/>
    <w:basedOn w:val="Normal"/>
    <w:next w:val="Normal"/>
    <w:autoRedefine/>
    <w:uiPriority w:val="99"/>
    <w:semiHidden/>
    <w:unhideWhenUsed/>
    <w:rsid w:val="00961CA6"/>
    <w:pPr>
      <w:ind w:left="200" w:hanging="200"/>
    </w:pPr>
  </w:style>
  <w:style w:type="paragraph" w:styleId="IndexHeading">
    <w:name w:val="index heading"/>
    <w:basedOn w:val="Normal"/>
    <w:next w:val="Index1"/>
    <w:uiPriority w:val="99"/>
    <w:rsid w:val="00961CA6"/>
    <w:pPr>
      <w:overflowPunct/>
      <w:autoSpaceDE/>
      <w:autoSpaceDN/>
      <w:adjustRightInd/>
      <w:textAlignment w:val="auto"/>
    </w:pPr>
    <w:rPr>
      <w:rFonts w:cs="Times New Roman"/>
      <w:lang w:eastAsia="fr-FR"/>
    </w:rPr>
  </w:style>
  <w:style w:type="paragraph" w:styleId="ListParagraph">
    <w:name w:val="List Paragraph"/>
    <w:basedOn w:val="Normal"/>
    <w:uiPriority w:val="34"/>
    <w:qFormat/>
    <w:rsid w:val="003E1E2A"/>
    <w:pPr>
      <w:ind w:left="720"/>
      <w:contextualSpacing/>
    </w:pPr>
  </w:style>
  <w:style w:type="paragraph" w:styleId="TOCHeading">
    <w:name w:val="TOC Heading"/>
    <w:basedOn w:val="Heading1"/>
    <w:next w:val="Normal"/>
    <w:uiPriority w:val="39"/>
    <w:unhideWhenUsed/>
    <w:qFormat/>
    <w:rsid w:val="00013B45"/>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character" w:customStyle="1" w:styleId="apple-converted-space">
    <w:name w:val="apple-converted-space"/>
    <w:basedOn w:val="DefaultParagraphFont"/>
    <w:rsid w:val="00B532B5"/>
  </w:style>
  <w:style w:type="paragraph" w:styleId="NormalWeb">
    <w:name w:val="Normal (Web)"/>
    <w:basedOn w:val="Normal"/>
    <w:uiPriority w:val="99"/>
    <w:unhideWhenUsed/>
    <w:rsid w:val="00B532B5"/>
    <w:pPr>
      <w:overflowPunct/>
      <w:autoSpaceDE/>
      <w:autoSpaceDN/>
      <w:adjustRightInd/>
      <w:spacing w:before="100" w:beforeAutospacing="1" w:after="100" w:afterAutospacing="1"/>
      <w:jc w:val="left"/>
      <w:textAlignment w:val="auto"/>
    </w:pPr>
    <w:rPr>
      <w:rFonts w:cs="Times New Roman"/>
      <w:sz w:val="24"/>
      <w:szCs w:val="24"/>
      <w:lang w:eastAsia="en-GB"/>
    </w:rPr>
  </w:style>
  <w:style w:type="character" w:styleId="Strong">
    <w:name w:val="Strong"/>
    <w:basedOn w:val="DefaultParagraphFont"/>
    <w:uiPriority w:val="22"/>
    <w:qFormat/>
    <w:rsid w:val="00B532B5"/>
    <w:rPr>
      <w:b/>
      <w:bCs/>
    </w:rPr>
  </w:style>
  <w:style w:type="paragraph" w:styleId="BodyTextIndent">
    <w:name w:val="Body Text Indent"/>
    <w:basedOn w:val="Normal"/>
    <w:link w:val="BodyTextIndentChar"/>
    <w:unhideWhenUsed/>
    <w:rsid w:val="003C66C9"/>
    <w:pPr>
      <w:overflowPunct/>
      <w:autoSpaceDE/>
      <w:autoSpaceDN/>
      <w:adjustRightInd/>
      <w:spacing w:line="276" w:lineRule="auto"/>
      <w:ind w:left="283"/>
      <w:jc w:val="left"/>
      <w:textAlignment w:val="auto"/>
    </w:pPr>
    <w:rPr>
      <w:rFonts w:asciiTheme="minorHAnsi" w:eastAsiaTheme="minorEastAsia" w:hAnsiTheme="minorHAnsi" w:cstheme="minorBidi"/>
      <w:szCs w:val="22"/>
      <w:lang w:eastAsia="bg-BG"/>
    </w:rPr>
  </w:style>
  <w:style w:type="character" w:customStyle="1" w:styleId="BodyTextIndentChar">
    <w:name w:val="Body Text Indent Char"/>
    <w:basedOn w:val="DefaultParagraphFont"/>
    <w:link w:val="BodyTextIndent"/>
    <w:rsid w:val="003C66C9"/>
    <w:rPr>
      <w:rFonts w:asciiTheme="minorHAnsi" w:eastAsiaTheme="minorEastAsia" w:hAnsiTheme="minorHAnsi" w:cstheme="minorBidi"/>
      <w:sz w:val="22"/>
      <w:szCs w:val="22"/>
      <w:lang w:eastAsia="bg-BG"/>
    </w:rPr>
  </w:style>
  <w:style w:type="table" w:customStyle="1" w:styleId="LightList-Accent117">
    <w:name w:val="Light List - Accent 117"/>
    <w:basedOn w:val="TableNormal"/>
    <w:uiPriority w:val="61"/>
    <w:rsid w:val="003C66C9"/>
    <w:rPr>
      <w:rFonts w:asciiTheme="minorHAnsi" w:eastAsiaTheme="minorHAnsi" w:hAnsiTheme="minorHAnsi" w:cstheme="minorBidi"/>
      <w:sz w:val="22"/>
      <w:szCs w:val="22"/>
      <w:lang w:val="en-US"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apple-tab-span">
    <w:name w:val="apple-tab-span"/>
    <w:basedOn w:val="DefaultParagraphFont"/>
    <w:rsid w:val="00F75643"/>
  </w:style>
  <w:style w:type="character" w:styleId="Emphasis">
    <w:name w:val="Emphasis"/>
    <w:basedOn w:val="DefaultParagraphFont"/>
    <w:uiPriority w:val="20"/>
    <w:qFormat/>
    <w:rsid w:val="00F75643"/>
    <w:rPr>
      <w:i/>
      <w:iCs/>
    </w:rPr>
  </w:style>
  <w:style w:type="character" w:customStyle="1" w:styleId="Mention1">
    <w:name w:val="Mention1"/>
    <w:basedOn w:val="DefaultParagraphFont"/>
    <w:uiPriority w:val="99"/>
    <w:semiHidden/>
    <w:unhideWhenUsed/>
    <w:rsid w:val="00F75643"/>
    <w:rPr>
      <w:color w:val="2B579A"/>
      <w:shd w:val="clear" w:color="auto" w:fill="E6E6E6"/>
    </w:rPr>
  </w:style>
  <w:style w:type="paragraph" w:styleId="Caption">
    <w:name w:val="caption"/>
    <w:basedOn w:val="Normal"/>
    <w:next w:val="Normal"/>
    <w:uiPriority w:val="35"/>
    <w:unhideWhenUsed/>
    <w:qFormat/>
    <w:rsid w:val="005F38D8"/>
    <w:pPr>
      <w:overflowPunct/>
      <w:autoSpaceDE/>
      <w:autoSpaceDN/>
      <w:adjustRightInd/>
      <w:spacing w:after="0"/>
      <w:jc w:val="center"/>
      <w:textAlignment w:val="auto"/>
    </w:pPr>
    <w:rPr>
      <w:rFonts w:eastAsiaTheme="minorHAnsi" w:cstheme="minorBidi"/>
      <w:b/>
      <w:bCs/>
      <w:sz w:val="20"/>
      <w:szCs w:val="18"/>
      <w:lang w:eastAsia="en-US"/>
    </w:rPr>
  </w:style>
  <w:style w:type="character" w:customStyle="1" w:styleId="CommentSubjectChar">
    <w:name w:val="Comment Subject Char"/>
    <w:basedOn w:val="CommentTextChar"/>
    <w:link w:val="CommentSubject"/>
    <w:uiPriority w:val="99"/>
    <w:semiHidden/>
    <w:rsid w:val="00F75643"/>
    <w:rPr>
      <w:rFonts w:ascii="Arial" w:hAnsi="Arial" w:cs="Arial"/>
      <w:b/>
      <w:bCs/>
      <w:sz w:val="20"/>
      <w:szCs w:val="20"/>
      <w:lang w:val="en-GB" w:eastAsia="fr-BE"/>
    </w:rPr>
  </w:style>
  <w:style w:type="paragraph" w:styleId="NoSpacing">
    <w:name w:val="No Spacing"/>
    <w:uiPriority w:val="1"/>
    <w:qFormat/>
    <w:rsid w:val="00F75643"/>
    <w:rPr>
      <w:rFonts w:asciiTheme="minorHAnsi" w:eastAsiaTheme="minorHAnsi" w:hAnsiTheme="minorHAnsi" w:cstheme="minorBidi"/>
      <w:sz w:val="22"/>
      <w:szCs w:val="22"/>
      <w:lang w:eastAsia="en-US"/>
    </w:rPr>
  </w:style>
  <w:style w:type="table" w:styleId="LightList-Accent3">
    <w:name w:val="Light List Accent 3"/>
    <w:basedOn w:val="TableNormal"/>
    <w:uiPriority w:val="61"/>
    <w:rsid w:val="00F75643"/>
    <w:rPr>
      <w:rFonts w:asciiTheme="minorHAnsi" w:eastAsiaTheme="minorHAnsi" w:hAnsiTheme="minorHAnsi" w:cstheme="minorBidi"/>
      <w:sz w:val="22"/>
      <w:szCs w:val="22"/>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Bibliography">
    <w:name w:val="Bibliography"/>
    <w:basedOn w:val="Normal"/>
    <w:next w:val="Normal"/>
    <w:uiPriority w:val="37"/>
    <w:unhideWhenUsed/>
    <w:rsid w:val="00CC58B5"/>
    <w:pPr>
      <w:overflowPunct/>
      <w:autoSpaceDE/>
      <w:autoSpaceDN/>
      <w:adjustRightInd/>
      <w:spacing w:after="200" w:line="276" w:lineRule="auto"/>
      <w:jc w:val="left"/>
      <w:textAlignment w:val="auto"/>
    </w:pPr>
    <w:rPr>
      <w:rFonts w:asciiTheme="minorHAnsi" w:eastAsiaTheme="minorEastAsia" w:hAnsiTheme="minorHAnsi" w:cstheme="minorBidi"/>
      <w:szCs w:val="22"/>
      <w:lang w:eastAsia="bg-BG"/>
    </w:rPr>
  </w:style>
  <w:style w:type="table" w:styleId="MediumShading1-Accent3">
    <w:name w:val="Medium Shading 1 Accent 3"/>
    <w:basedOn w:val="TableNormal"/>
    <w:uiPriority w:val="63"/>
    <w:rsid w:val="00F43EB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7F53D2"/>
  </w:style>
  <w:style w:type="character" w:customStyle="1" w:styleId="FootnoteTextChar">
    <w:name w:val="Footnote Text Char"/>
    <w:basedOn w:val="DefaultParagraphFont"/>
    <w:link w:val="FootnoteText"/>
    <w:uiPriority w:val="99"/>
    <w:semiHidden/>
    <w:rsid w:val="007F53D2"/>
    <w:rPr>
      <w:rFonts w:ascii="Arial" w:hAnsi="Arial" w:cs="Arial"/>
      <w:lang w:eastAsia="fr-BE"/>
    </w:rPr>
  </w:style>
  <w:style w:type="character" w:styleId="FootnoteReference">
    <w:name w:val="footnote reference"/>
    <w:basedOn w:val="DefaultParagraphFont"/>
    <w:uiPriority w:val="99"/>
    <w:semiHidden/>
    <w:unhideWhenUsed/>
    <w:rsid w:val="007F53D2"/>
    <w:rPr>
      <w:vertAlign w:val="superscript"/>
    </w:rPr>
  </w:style>
  <w:style w:type="paragraph" w:styleId="EndnoteText">
    <w:name w:val="endnote text"/>
    <w:basedOn w:val="Normal"/>
    <w:link w:val="EndnoteTextChar"/>
    <w:uiPriority w:val="99"/>
    <w:semiHidden/>
    <w:unhideWhenUsed/>
    <w:rsid w:val="002F203E"/>
  </w:style>
  <w:style w:type="character" w:customStyle="1" w:styleId="EndnoteTextChar">
    <w:name w:val="Endnote Text Char"/>
    <w:basedOn w:val="DefaultParagraphFont"/>
    <w:link w:val="EndnoteText"/>
    <w:uiPriority w:val="99"/>
    <w:semiHidden/>
    <w:rsid w:val="002F203E"/>
    <w:rPr>
      <w:rFonts w:ascii="Arial" w:hAnsi="Arial" w:cs="Arial"/>
      <w:lang w:eastAsia="fr-BE"/>
    </w:rPr>
  </w:style>
  <w:style w:type="character" w:styleId="EndnoteReference">
    <w:name w:val="endnote reference"/>
    <w:basedOn w:val="DefaultParagraphFont"/>
    <w:uiPriority w:val="99"/>
    <w:semiHidden/>
    <w:unhideWhenUsed/>
    <w:rsid w:val="002F203E"/>
    <w:rPr>
      <w:vertAlign w:val="superscript"/>
    </w:rPr>
  </w:style>
  <w:style w:type="paragraph" w:styleId="Revision">
    <w:name w:val="Revision"/>
    <w:hidden/>
    <w:uiPriority w:val="99"/>
    <w:semiHidden/>
    <w:rsid w:val="00573E83"/>
    <w:rPr>
      <w:rFonts w:ascii="Arial" w:hAnsi="Arial" w:cs="Arial"/>
      <w:lang w:eastAsia="fr-BE"/>
    </w:rPr>
  </w:style>
  <w:style w:type="character" w:customStyle="1" w:styleId="st">
    <w:name w:val="st"/>
    <w:basedOn w:val="DefaultParagraphFont"/>
    <w:rsid w:val="00E84CDC"/>
  </w:style>
  <w:style w:type="character" w:customStyle="1" w:styleId="sr-only">
    <w:name w:val="sr-only"/>
    <w:basedOn w:val="DefaultParagraphFont"/>
    <w:rsid w:val="00A3264A"/>
  </w:style>
  <w:style w:type="character" w:customStyle="1" w:styleId="text">
    <w:name w:val="text"/>
    <w:basedOn w:val="DefaultParagraphFont"/>
    <w:rsid w:val="00A3264A"/>
  </w:style>
  <w:style w:type="character" w:customStyle="1" w:styleId="author-ref">
    <w:name w:val="author-ref"/>
    <w:basedOn w:val="DefaultParagraphFont"/>
    <w:rsid w:val="00A3264A"/>
  </w:style>
  <w:style w:type="numbering" w:customStyle="1" w:styleId="Alansheadings">
    <w:name w:val="Alan's headings"/>
    <w:uiPriority w:val="99"/>
    <w:rsid w:val="00581524"/>
    <w:pPr>
      <w:numPr>
        <w:numId w:val="1"/>
      </w:numPr>
    </w:pPr>
  </w:style>
  <w:style w:type="character" w:styleId="PlaceholderText">
    <w:name w:val="Placeholder Text"/>
    <w:basedOn w:val="DefaultParagraphFont"/>
    <w:uiPriority w:val="99"/>
    <w:semiHidden/>
    <w:rsid w:val="00F62590"/>
    <w:rPr>
      <w:color w:val="808080"/>
    </w:rPr>
  </w:style>
  <w:style w:type="paragraph" w:customStyle="1" w:styleId="authors">
    <w:name w:val="authors"/>
    <w:basedOn w:val="Normal"/>
    <w:rsid w:val="0030675C"/>
    <w:pPr>
      <w:overflowPunct/>
      <w:autoSpaceDE/>
      <w:autoSpaceDN/>
      <w:adjustRightInd/>
      <w:spacing w:after="240"/>
      <w:jc w:val="left"/>
      <w:textAlignment w:val="auto"/>
    </w:pPr>
    <w:rPr>
      <w:rFonts w:cs="Times New Roman"/>
      <w:sz w:val="24"/>
      <w:lang w:eastAsia="en-US"/>
    </w:rPr>
  </w:style>
  <w:style w:type="paragraph" w:customStyle="1" w:styleId="address">
    <w:name w:val="address"/>
    <w:basedOn w:val="Normal"/>
    <w:rsid w:val="0030675C"/>
    <w:pPr>
      <w:overflowPunct/>
      <w:autoSpaceDE/>
      <w:autoSpaceDN/>
      <w:adjustRightInd/>
      <w:jc w:val="left"/>
      <w:textAlignment w:val="auto"/>
    </w:pPr>
    <w:rPr>
      <w:rFonts w:cs="Times New Roman"/>
      <w:sz w:val="24"/>
      <w:lang w:eastAsia="en-US"/>
    </w:rPr>
  </w:style>
  <w:style w:type="paragraph" w:customStyle="1" w:styleId="Equation">
    <w:name w:val="Equation"/>
    <w:basedOn w:val="Normal"/>
    <w:link w:val="EquationChar"/>
    <w:qFormat/>
    <w:rsid w:val="006D447D"/>
    <w:pPr>
      <w:spacing w:before="120" w:after="0"/>
    </w:pPr>
    <w:rPr>
      <w:rFonts w:ascii="Cambria Math" w:hAnsi="Cambria Math"/>
      <w:i/>
    </w:rPr>
  </w:style>
  <w:style w:type="character" w:customStyle="1" w:styleId="EquationChar">
    <w:name w:val="Equation Char"/>
    <w:basedOn w:val="DefaultParagraphFont"/>
    <w:link w:val="Equation"/>
    <w:rsid w:val="006D447D"/>
    <w:rPr>
      <w:rFonts w:ascii="Cambria Math" w:hAnsi="Cambria Math" w:cs="Arial"/>
      <w:i/>
      <w:sz w:val="22"/>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5481">
      <w:bodyDiv w:val="1"/>
      <w:marLeft w:val="0"/>
      <w:marRight w:val="0"/>
      <w:marTop w:val="0"/>
      <w:marBottom w:val="0"/>
      <w:divBdr>
        <w:top w:val="none" w:sz="0" w:space="0" w:color="auto"/>
        <w:left w:val="none" w:sz="0" w:space="0" w:color="auto"/>
        <w:bottom w:val="none" w:sz="0" w:space="0" w:color="auto"/>
        <w:right w:val="none" w:sz="0" w:space="0" w:color="auto"/>
      </w:divBdr>
    </w:div>
    <w:div w:id="208150964">
      <w:bodyDiv w:val="1"/>
      <w:marLeft w:val="0"/>
      <w:marRight w:val="0"/>
      <w:marTop w:val="0"/>
      <w:marBottom w:val="0"/>
      <w:divBdr>
        <w:top w:val="none" w:sz="0" w:space="0" w:color="auto"/>
        <w:left w:val="none" w:sz="0" w:space="0" w:color="auto"/>
        <w:bottom w:val="none" w:sz="0" w:space="0" w:color="auto"/>
        <w:right w:val="none" w:sz="0" w:space="0" w:color="auto"/>
      </w:divBdr>
    </w:div>
    <w:div w:id="288751810">
      <w:bodyDiv w:val="1"/>
      <w:marLeft w:val="0"/>
      <w:marRight w:val="0"/>
      <w:marTop w:val="0"/>
      <w:marBottom w:val="0"/>
      <w:divBdr>
        <w:top w:val="none" w:sz="0" w:space="0" w:color="auto"/>
        <w:left w:val="none" w:sz="0" w:space="0" w:color="auto"/>
        <w:bottom w:val="none" w:sz="0" w:space="0" w:color="auto"/>
        <w:right w:val="none" w:sz="0" w:space="0" w:color="auto"/>
      </w:divBdr>
      <w:divsChild>
        <w:div w:id="1585066264">
          <w:marLeft w:val="0"/>
          <w:marRight w:val="0"/>
          <w:marTop w:val="0"/>
          <w:marBottom w:val="0"/>
          <w:divBdr>
            <w:top w:val="none" w:sz="0" w:space="0" w:color="auto"/>
            <w:left w:val="none" w:sz="0" w:space="0" w:color="auto"/>
            <w:bottom w:val="none" w:sz="0" w:space="0" w:color="auto"/>
            <w:right w:val="none" w:sz="0" w:space="0" w:color="auto"/>
          </w:divBdr>
        </w:div>
        <w:div w:id="1849634561">
          <w:marLeft w:val="0"/>
          <w:marRight w:val="0"/>
          <w:marTop w:val="0"/>
          <w:marBottom w:val="0"/>
          <w:divBdr>
            <w:top w:val="none" w:sz="0" w:space="0" w:color="auto"/>
            <w:left w:val="none" w:sz="0" w:space="0" w:color="auto"/>
            <w:bottom w:val="none" w:sz="0" w:space="0" w:color="auto"/>
            <w:right w:val="none" w:sz="0" w:space="0" w:color="auto"/>
          </w:divBdr>
        </w:div>
        <w:div w:id="1258563428">
          <w:marLeft w:val="0"/>
          <w:marRight w:val="0"/>
          <w:marTop w:val="0"/>
          <w:marBottom w:val="0"/>
          <w:divBdr>
            <w:top w:val="none" w:sz="0" w:space="0" w:color="auto"/>
            <w:left w:val="none" w:sz="0" w:space="0" w:color="auto"/>
            <w:bottom w:val="none" w:sz="0" w:space="0" w:color="auto"/>
            <w:right w:val="none" w:sz="0" w:space="0" w:color="auto"/>
          </w:divBdr>
        </w:div>
        <w:div w:id="1289429100">
          <w:marLeft w:val="0"/>
          <w:marRight w:val="0"/>
          <w:marTop w:val="0"/>
          <w:marBottom w:val="0"/>
          <w:divBdr>
            <w:top w:val="none" w:sz="0" w:space="0" w:color="auto"/>
            <w:left w:val="none" w:sz="0" w:space="0" w:color="auto"/>
            <w:bottom w:val="none" w:sz="0" w:space="0" w:color="auto"/>
            <w:right w:val="none" w:sz="0" w:space="0" w:color="auto"/>
          </w:divBdr>
        </w:div>
        <w:div w:id="1411199931">
          <w:marLeft w:val="0"/>
          <w:marRight w:val="0"/>
          <w:marTop w:val="0"/>
          <w:marBottom w:val="0"/>
          <w:divBdr>
            <w:top w:val="none" w:sz="0" w:space="0" w:color="auto"/>
            <w:left w:val="none" w:sz="0" w:space="0" w:color="auto"/>
            <w:bottom w:val="none" w:sz="0" w:space="0" w:color="auto"/>
            <w:right w:val="none" w:sz="0" w:space="0" w:color="auto"/>
          </w:divBdr>
        </w:div>
      </w:divsChild>
    </w:div>
    <w:div w:id="289438369">
      <w:bodyDiv w:val="1"/>
      <w:marLeft w:val="0"/>
      <w:marRight w:val="0"/>
      <w:marTop w:val="0"/>
      <w:marBottom w:val="0"/>
      <w:divBdr>
        <w:top w:val="none" w:sz="0" w:space="0" w:color="auto"/>
        <w:left w:val="none" w:sz="0" w:space="0" w:color="auto"/>
        <w:bottom w:val="none" w:sz="0" w:space="0" w:color="auto"/>
        <w:right w:val="none" w:sz="0" w:space="0" w:color="auto"/>
      </w:divBdr>
      <w:divsChild>
        <w:div w:id="481971817">
          <w:marLeft w:val="0"/>
          <w:marRight w:val="0"/>
          <w:marTop w:val="0"/>
          <w:marBottom w:val="0"/>
          <w:divBdr>
            <w:top w:val="none" w:sz="0" w:space="0" w:color="auto"/>
            <w:left w:val="none" w:sz="0" w:space="0" w:color="auto"/>
            <w:bottom w:val="none" w:sz="0" w:space="0" w:color="auto"/>
            <w:right w:val="none" w:sz="0" w:space="0" w:color="auto"/>
          </w:divBdr>
        </w:div>
        <w:div w:id="1710759932">
          <w:marLeft w:val="0"/>
          <w:marRight w:val="0"/>
          <w:marTop w:val="0"/>
          <w:marBottom w:val="0"/>
          <w:divBdr>
            <w:top w:val="none" w:sz="0" w:space="0" w:color="auto"/>
            <w:left w:val="none" w:sz="0" w:space="0" w:color="auto"/>
            <w:bottom w:val="none" w:sz="0" w:space="0" w:color="auto"/>
            <w:right w:val="none" w:sz="0" w:space="0" w:color="auto"/>
          </w:divBdr>
          <w:divsChild>
            <w:div w:id="418529734">
              <w:marLeft w:val="0"/>
              <w:marRight w:val="0"/>
              <w:marTop w:val="0"/>
              <w:marBottom w:val="0"/>
              <w:divBdr>
                <w:top w:val="none" w:sz="0" w:space="0" w:color="auto"/>
                <w:left w:val="none" w:sz="0" w:space="0" w:color="auto"/>
                <w:bottom w:val="none" w:sz="0" w:space="0" w:color="auto"/>
                <w:right w:val="none" w:sz="0" w:space="0" w:color="auto"/>
              </w:divBdr>
              <w:divsChild>
                <w:div w:id="1383795897">
                  <w:marLeft w:val="0"/>
                  <w:marRight w:val="0"/>
                  <w:marTop w:val="0"/>
                  <w:marBottom w:val="0"/>
                  <w:divBdr>
                    <w:top w:val="none" w:sz="0" w:space="0" w:color="auto"/>
                    <w:left w:val="none" w:sz="0" w:space="0" w:color="auto"/>
                    <w:bottom w:val="none" w:sz="0" w:space="0" w:color="auto"/>
                    <w:right w:val="none" w:sz="0" w:space="0" w:color="auto"/>
                  </w:divBdr>
                  <w:divsChild>
                    <w:div w:id="55242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9040">
      <w:bodyDiv w:val="1"/>
      <w:marLeft w:val="0"/>
      <w:marRight w:val="0"/>
      <w:marTop w:val="0"/>
      <w:marBottom w:val="0"/>
      <w:divBdr>
        <w:top w:val="none" w:sz="0" w:space="0" w:color="auto"/>
        <w:left w:val="none" w:sz="0" w:space="0" w:color="auto"/>
        <w:bottom w:val="none" w:sz="0" w:space="0" w:color="auto"/>
        <w:right w:val="none" w:sz="0" w:space="0" w:color="auto"/>
      </w:divBdr>
    </w:div>
    <w:div w:id="395051502">
      <w:bodyDiv w:val="1"/>
      <w:marLeft w:val="0"/>
      <w:marRight w:val="0"/>
      <w:marTop w:val="0"/>
      <w:marBottom w:val="0"/>
      <w:divBdr>
        <w:top w:val="none" w:sz="0" w:space="0" w:color="auto"/>
        <w:left w:val="none" w:sz="0" w:space="0" w:color="auto"/>
        <w:bottom w:val="none" w:sz="0" w:space="0" w:color="auto"/>
        <w:right w:val="none" w:sz="0" w:space="0" w:color="auto"/>
      </w:divBdr>
    </w:div>
    <w:div w:id="496113434">
      <w:bodyDiv w:val="1"/>
      <w:marLeft w:val="0"/>
      <w:marRight w:val="0"/>
      <w:marTop w:val="0"/>
      <w:marBottom w:val="0"/>
      <w:divBdr>
        <w:top w:val="none" w:sz="0" w:space="0" w:color="auto"/>
        <w:left w:val="none" w:sz="0" w:space="0" w:color="auto"/>
        <w:bottom w:val="none" w:sz="0" w:space="0" w:color="auto"/>
        <w:right w:val="none" w:sz="0" w:space="0" w:color="auto"/>
      </w:divBdr>
      <w:divsChild>
        <w:div w:id="1372607757">
          <w:marLeft w:val="0"/>
          <w:marRight w:val="0"/>
          <w:marTop w:val="0"/>
          <w:marBottom w:val="0"/>
          <w:divBdr>
            <w:top w:val="none" w:sz="0" w:space="0" w:color="auto"/>
            <w:left w:val="none" w:sz="0" w:space="0" w:color="auto"/>
            <w:bottom w:val="none" w:sz="0" w:space="0" w:color="auto"/>
            <w:right w:val="none" w:sz="0" w:space="0" w:color="auto"/>
          </w:divBdr>
        </w:div>
        <w:div w:id="80176459">
          <w:marLeft w:val="0"/>
          <w:marRight w:val="0"/>
          <w:marTop w:val="0"/>
          <w:marBottom w:val="0"/>
          <w:divBdr>
            <w:top w:val="none" w:sz="0" w:space="0" w:color="auto"/>
            <w:left w:val="none" w:sz="0" w:space="0" w:color="auto"/>
            <w:bottom w:val="none" w:sz="0" w:space="0" w:color="auto"/>
            <w:right w:val="none" w:sz="0" w:space="0" w:color="auto"/>
          </w:divBdr>
        </w:div>
      </w:divsChild>
    </w:div>
    <w:div w:id="692145545">
      <w:bodyDiv w:val="1"/>
      <w:marLeft w:val="0"/>
      <w:marRight w:val="0"/>
      <w:marTop w:val="0"/>
      <w:marBottom w:val="0"/>
      <w:divBdr>
        <w:top w:val="none" w:sz="0" w:space="0" w:color="auto"/>
        <w:left w:val="none" w:sz="0" w:space="0" w:color="auto"/>
        <w:bottom w:val="none" w:sz="0" w:space="0" w:color="auto"/>
        <w:right w:val="none" w:sz="0" w:space="0" w:color="auto"/>
      </w:divBdr>
      <w:divsChild>
        <w:div w:id="1258367977">
          <w:marLeft w:val="0"/>
          <w:marRight w:val="0"/>
          <w:marTop w:val="0"/>
          <w:marBottom w:val="0"/>
          <w:divBdr>
            <w:top w:val="none" w:sz="0" w:space="0" w:color="auto"/>
            <w:left w:val="none" w:sz="0" w:space="0" w:color="auto"/>
            <w:bottom w:val="none" w:sz="0" w:space="0" w:color="auto"/>
            <w:right w:val="none" w:sz="0" w:space="0" w:color="auto"/>
          </w:divBdr>
        </w:div>
        <w:div w:id="213934715">
          <w:marLeft w:val="0"/>
          <w:marRight w:val="0"/>
          <w:marTop w:val="0"/>
          <w:marBottom w:val="0"/>
          <w:divBdr>
            <w:top w:val="none" w:sz="0" w:space="0" w:color="auto"/>
            <w:left w:val="none" w:sz="0" w:space="0" w:color="auto"/>
            <w:bottom w:val="none" w:sz="0" w:space="0" w:color="auto"/>
            <w:right w:val="none" w:sz="0" w:space="0" w:color="auto"/>
          </w:divBdr>
        </w:div>
      </w:divsChild>
    </w:div>
    <w:div w:id="712004530">
      <w:bodyDiv w:val="1"/>
      <w:marLeft w:val="0"/>
      <w:marRight w:val="0"/>
      <w:marTop w:val="0"/>
      <w:marBottom w:val="0"/>
      <w:divBdr>
        <w:top w:val="none" w:sz="0" w:space="0" w:color="auto"/>
        <w:left w:val="none" w:sz="0" w:space="0" w:color="auto"/>
        <w:bottom w:val="none" w:sz="0" w:space="0" w:color="auto"/>
        <w:right w:val="none" w:sz="0" w:space="0" w:color="auto"/>
      </w:divBdr>
    </w:div>
    <w:div w:id="728919939">
      <w:bodyDiv w:val="1"/>
      <w:marLeft w:val="0"/>
      <w:marRight w:val="0"/>
      <w:marTop w:val="0"/>
      <w:marBottom w:val="0"/>
      <w:divBdr>
        <w:top w:val="none" w:sz="0" w:space="0" w:color="auto"/>
        <w:left w:val="none" w:sz="0" w:space="0" w:color="auto"/>
        <w:bottom w:val="none" w:sz="0" w:space="0" w:color="auto"/>
        <w:right w:val="none" w:sz="0" w:space="0" w:color="auto"/>
      </w:divBdr>
      <w:divsChild>
        <w:div w:id="405567659">
          <w:marLeft w:val="0"/>
          <w:marRight w:val="0"/>
          <w:marTop w:val="0"/>
          <w:marBottom w:val="0"/>
          <w:divBdr>
            <w:top w:val="none" w:sz="0" w:space="0" w:color="auto"/>
            <w:left w:val="none" w:sz="0" w:space="0" w:color="auto"/>
            <w:bottom w:val="none" w:sz="0" w:space="0" w:color="auto"/>
            <w:right w:val="none" w:sz="0" w:space="0" w:color="auto"/>
          </w:divBdr>
        </w:div>
        <w:div w:id="405961918">
          <w:marLeft w:val="0"/>
          <w:marRight w:val="0"/>
          <w:marTop w:val="0"/>
          <w:marBottom w:val="0"/>
          <w:divBdr>
            <w:top w:val="none" w:sz="0" w:space="0" w:color="auto"/>
            <w:left w:val="none" w:sz="0" w:space="0" w:color="auto"/>
            <w:bottom w:val="none" w:sz="0" w:space="0" w:color="auto"/>
            <w:right w:val="none" w:sz="0" w:space="0" w:color="auto"/>
          </w:divBdr>
          <w:divsChild>
            <w:div w:id="1645741557">
              <w:marLeft w:val="0"/>
              <w:marRight w:val="0"/>
              <w:marTop w:val="0"/>
              <w:marBottom w:val="0"/>
              <w:divBdr>
                <w:top w:val="none" w:sz="0" w:space="0" w:color="auto"/>
                <w:left w:val="none" w:sz="0" w:space="0" w:color="auto"/>
                <w:bottom w:val="none" w:sz="0" w:space="0" w:color="auto"/>
                <w:right w:val="none" w:sz="0" w:space="0" w:color="auto"/>
              </w:divBdr>
              <w:divsChild>
                <w:div w:id="714355251">
                  <w:marLeft w:val="0"/>
                  <w:marRight w:val="0"/>
                  <w:marTop w:val="0"/>
                  <w:marBottom w:val="0"/>
                  <w:divBdr>
                    <w:top w:val="none" w:sz="0" w:space="0" w:color="auto"/>
                    <w:left w:val="none" w:sz="0" w:space="0" w:color="auto"/>
                    <w:bottom w:val="none" w:sz="0" w:space="0" w:color="auto"/>
                    <w:right w:val="none" w:sz="0" w:space="0" w:color="auto"/>
                  </w:divBdr>
                  <w:divsChild>
                    <w:div w:id="17493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737476">
      <w:bodyDiv w:val="1"/>
      <w:marLeft w:val="0"/>
      <w:marRight w:val="0"/>
      <w:marTop w:val="0"/>
      <w:marBottom w:val="0"/>
      <w:divBdr>
        <w:top w:val="none" w:sz="0" w:space="0" w:color="auto"/>
        <w:left w:val="none" w:sz="0" w:space="0" w:color="auto"/>
        <w:bottom w:val="none" w:sz="0" w:space="0" w:color="auto"/>
        <w:right w:val="none" w:sz="0" w:space="0" w:color="auto"/>
      </w:divBdr>
      <w:divsChild>
        <w:div w:id="707338981">
          <w:marLeft w:val="0"/>
          <w:marRight w:val="0"/>
          <w:marTop w:val="0"/>
          <w:marBottom w:val="0"/>
          <w:divBdr>
            <w:top w:val="none" w:sz="0" w:space="0" w:color="auto"/>
            <w:left w:val="none" w:sz="0" w:space="0" w:color="auto"/>
            <w:bottom w:val="none" w:sz="0" w:space="0" w:color="auto"/>
            <w:right w:val="none" w:sz="0" w:space="0" w:color="auto"/>
          </w:divBdr>
        </w:div>
        <w:div w:id="933635651">
          <w:marLeft w:val="0"/>
          <w:marRight w:val="0"/>
          <w:marTop w:val="0"/>
          <w:marBottom w:val="0"/>
          <w:divBdr>
            <w:top w:val="none" w:sz="0" w:space="0" w:color="auto"/>
            <w:left w:val="none" w:sz="0" w:space="0" w:color="auto"/>
            <w:bottom w:val="none" w:sz="0" w:space="0" w:color="auto"/>
            <w:right w:val="none" w:sz="0" w:space="0" w:color="auto"/>
          </w:divBdr>
        </w:div>
        <w:div w:id="2033067149">
          <w:marLeft w:val="0"/>
          <w:marRight w:val="0"/>
          <w:marTop w:val="0"/>
          <w:marBottom w:val="0"/>
          <w:divBdr>
            <w:top w:val="none" w:sz="0" w:space="0" w:color="auto"/>
            <w:left w:val="none" w:sz="0" w:space="0" w:color="auto"/>
            <w:bottom w:val="none" w:sz="0" w:space="0" w:color="auto"/>
            <w:right w:val="none" w:sz="0" w:space="0" w:color="auto"/>
          </w:divBdr>
        </w:div>
      </w:divsChild>
    </w:div>
    <w:div w:id="1164007722">
      <w:bodyDiv w:val="1"/>
      <w:marLeft w:val="0"/>
      <w:marRight w:val="0"/>
      <w:marTop w:val="0"/>
      <w:marBottom w:val="0"/>
      <w:divBdr>
        <w:top w:val="none" w:sz="0" w:space="0" w:color="auto"/>
        <w:left w:val="none" w:sz="0" w:space="0" w:color="auto"/>
        <w:bottom w:val="none" w:sz="0" w:space="0" w:color="auto"/>
        <w:right w:val="none" w:sz="0" w:space="0" w:color="auto"/>
      </w:divBdr>
    </w:div>
    <w:div w:id="1216503349">
      <w:bodyDiv w:val="1"/>
      <w:marLeft w:val="0"/>
      <w:marRight w:val="0"/>
      <w:marTop w:val="0"/>
      <w:marBottom w:val="0"/>
      <w:divBdr>
        <w:top w:val="none" w:sz="0" w:space="0" w:color="auto"/>
        <w:left w:val="none" w:sz="0" w:space="0" w:color="auto"/>
        <w:bottom w:val="none" w:sz="0" w:space="0" w:color="auto"/>
        <w:right w:val="none" w:sz="0" w:space="0" w:color="auto"/>
      </w:divBdr>
    </w:div>
    <w:div w:id="1318799722">
      <w:bodyDiv w:val="1"/>
      <w:marLeft w:val="0"/>
      <w:marRight w:val="0"/>
      <w:marTop w:val="0"/>
      <w:marBottom w:val="0"/>
      <w:divBdr>
        <w:top w:val="none" w:sz="0" w:space="0" w:color="auto"/>
        <w:left w:val="none" w:sz="0" w:space="0" w:color="auto"/>
        <w:bottom w:val="none" w:sz="0" w:space="0" w:color="auto"/>
        <w:right w:val="none" w:sz="0" w:space="0" w:color="auto"/>
      </w:divBdr>
    </w:div>
    <w:div w:id="1411587019">
      <w:bodyDiv w:val="1"/>
      <w:marLeft w:val="0"/>
      <w:marRight w:val="0"/>
      <w:marTop w:val="0"/>
      <w:marBottom w:val="0"/>
      <w:divBdr>
        <w:top w:val="none" w:sz="0" w:space="0" w:color="auto"/>
        <w:left w:val="none" w:sz="0" w:space="0" w:color="auto"/>
        <w:bottom w:val="none" w:sz="0" w:space="0" w:color="auto"/>
        <w:right w:val="none" w:sz="0" w:space="0" w:color="auto"/>
      </w:divBdr>
      <w:divsChild>
        <w:div w:id="908266833">
          <w:marLeft w:val="1800"/>
          <w:marRight w:val="0"/>
          <w:marTop w:val="115"/>
          <w:marBottom w:val="0"/>
          <w:divBdr>
            <w:top w:val="none" w:sz="0" w:space="0" w:color="auto"/>
            <w:left w:val="none" w:sz="0" w:space="0" w:color="auto"/>
            <w:bottom w:val="none" w:sz="0" w:space="0" w:color="auto"/>
            <w:right w:val="none" w:sz="0" w:space="0" w:color="auto"/>
          </w:divBdr>
        </w:div>
        <w:div w:id="1303464927">
          <w:marLeft w:val="1800"/>
          <w:marRight w:val="0"/>
          <w:marTop w:val="115"/>
          <w:marBottom w:val="0"/>
          <w:divBdr>
            <w:top w:val="none" w:sz="0" w:space="0" w:color="auto"/>
            <w:left w:val="none" w:sz="0" w:space="0" w:color="auto"/>
            <w:bottom w:val="none" w:sz="0" w:space="0" w:color="auto"/>
            <w:right w:val="none" w:sz="0" w:space="0" w:color="auto"/>
          </w:divBdr>
        </w:div>
        <w:div w:id="2056661988">
          <w:marLeft w:val="1800"/>
          <w:marRight w:val="0"/>
          <w:marTop w:val="115"/>
          <w:marBottom w:val="0"/>
          <w:divBdr>
            <w:top w:val="none" w:sz="0" w:space="0" w:color="auto"/>
            <w:left w:val="none" w:sz="0" w:space="0" w:color="auto"/>
            <w:bottom w:val="none" w:sz="0" w:space="0" w:color="auto"/>
            <w:right w:val="none" w:sz="0" w:space="0" w:color="auto"/>
          </w:divBdr>
        </w:div>
      </w:divsChild>
    </w:div>
    <w:div w:id="1528131278">
      <w:bodyDiv w:val="1"/>
      <w:marLeft w:val="0"/>
      <w:marRight w:val="0"/>
      <w:marTop w:val="0"/>
      <w:marBottom w:val="0"/>
      <w:divBdr>
        <w:top w:val="none" w:sz="0" w:space="0" w:color="auto"/>
        <w:left w:val="none" w:sz="0" w:space="0" w:color="auto"/>
        <w:bottom w:val="none" w:sz="0" w:space="0" w:color="auto"/>
        <w:right w:val="none" w:sz="0" w:space="0" w:color="auto"/>
      </w:divBdr>
      <w:divsChild>
        <w:div w:id="277882532">
          <w:marLeft w:val="0"/>
          <w:marRight w:val="0"/>
          <w:marTop w:val="0"/>
          <w:marBottom w:val="0"/>
          <w:divBdr>
            <w:top w:val="none" w:sz="0" w:space="0" w:color="auto"/>
            <w:left w:val="none" w:sz="0" w:space="0" w:color="auto"/>
            <w:bottom w:val="none" w:sz="0" w:space="0" w:color="auto"/>
            <w:right w:val="none" w:sz="0" w:space="0" w:color="auto"/>
          </w:divBdr>
        </w:div>
        <w:div w:id="1681158581">
          <w:marLeft w:val="0"/>
          <w:marRight w:val="0"/>
          <w:marTop w:val="0"/>
          <w:marBottom w:val="0"/>
          <w:divBdr>
            <w:top w:val="none" w:sz="0" w:space="0" w:color="auto"/>
            <w:left w:val="none" w:sz="0" w:space="0" w:color="auto"/>
            <w:bottom w:val="none" w:sz="0" w:space="0" w:color="auto"/>
            <w:right w:val="none" w:sz="0" w:space="0" w:color="auto"/>
          </w:divBdr>
        </w:div>
      </w:divsChild>
    </w:div>
    <w:div w:id="1560435748">
      <w:bodyDiv w:val="1"/>
      <w:marLeft w:val="0"/>
      <w:marRight w:val="0"/>
      <w:marTop w:val="0"/>
      <w:marBottom w:val="0"/>
      <w:divBdr>
        <w:top w:val="none" w:sz="0" w:space="0" w:color="auto"/>
        <w:left w:val="none" w:sz="0" w:space="0" w:color="auto"/>
        <w:bottom w:val="none" w:sz="0" w:space="0" w:color="auto"/>
        <w:right w:val="none" w:sz="0" w:space="0" w:color="auto"/>
      </w:divBdr>
      <w:divsChild>
        <w:div w:id="1900676753">
          <w:marLeft w:val="0"/>
          <w:marRight w:val="0"/>
          <w:marTop w:val="0"/>
          <w:marBottom w:val="0"/>
          <w:divBdr>
            <w:top w:val="none" w:sz="0" w:space="0" w:color="auto"/>
            <w:left w:val="none" w:sz="0" w:space="0" w:color="auto"/>
            <w:bottom w:val="none" w:sz="0" w:space="0" w:color="auto"/>
            <w:right w:val="none" w:sz="0" w:space="0" w:color="auto"/>
          </w:divBdr>
        </w:div>
        <w:div w:id="1743407462">
          <w:marLeft w:val="0"/>
          <w:marRight w:val="0"/>
          <w:marTop w:val="0"/>
          <w:marBottom w:val="0"/>
          <w:divBdr>
            <w:top w:val="none" w:sz="0" w:space="0" w:color="auto"/>
            <w:left w:val="none" w:sz="0" w:space="0" w:color="auto"/>
            <w:bottom w:val="none" w:sz="0" w:space="0" w:color="auto"/>
            <w:right w:val="none" w:sz="0" w:space="0" w:color="auto"/>
          </w:divBdr>
        </w:div>
      </w:divsChild>
    </w:div>
    <w:div w:id="1827437319">
      <w:bodyDiv w:val="1"/>
      <w:marLeft w:val="0"/>
      <w:marRight w:val="0"/>
      <w:marTop w:val="0"/>
      <w:marBottom w:val="0"/>
      <w:divBdr>
        <w:top w:val="none" w:sz="0" w:space="0" w:color="auto"/>
        <w:left w:val="none" w:sz="0" w:space="0" w:color="auto"/>
        <w:bottom w:val="none" w:sz="0" w:space="0" w:color="auto"/>
        <w:right w:val="none" w:sz="0" w:space="0" w:color="auto"/>
      </w:divBdr>
    </w:div>
    <w:div w:id="2090230032">
      <w:bodyDiv w:val="1"/>
      <w:marLeft w:val="0"/>
      <w:marRight w:val="0"/>
      <w:marTop w:val="0"/>
      <w:marBottom w:val="0"/>
      <w:divBdr>
        <w:top w:val="none" w:sz="0" w:space="0" w:color="auto"/>
        <w:left w:val="none" w:sz="0" w:space="0" w:color="auto"/>
        <w:bottom w:val="none" w:sz="0" w:space="0" w:color="auto"/>
        <w:right w:val="none" w:sz="0" w:space="0" w:color="auto"/>
      </w:divBdr>
    </w:div>
    <w:div w:id="210522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alan.foster@lsbu.ac.u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2635\AppData\Local\Microsoft\Windows\Temporary%20Internet%20Files\Content.IE5\7W470XHR\CryoHub+deliverable+template+V1606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E5CA9-B7E2-4A68-8304-FB4311CF7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CryoHub+deliverable+template+V160610.dotx</Template>
  <TotalTime>6</TotalTime>
  <Pages>8</Pages>
  <Words>4124</Words>
  <Characters>22046</Characters>
  <Application>Microsoft Office Word</Application>
  <DocSecurity>0</DocSecurity>
  <Lines>183</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ISO 9000-3 Contents</vt:lpstr>
      <vt:lpstr>ISO 9000-3 Contents</vt:lpstr>
    </vt:vector>
  </TitlesOfParts>
  <Company>PSUtec</Company>
  <LinksUpToDate>false</LinksUpToDate>
  <CharactersWithSpaces>26118</CharactersWithSpaces>
  <SharedDoc>false</SharedDoc>
  <HLinks>
    <vt:vector size="36" baseType="variant">
      <vt:variant>
        <vt:i4>4653162</vt:i4>
      </vt:variant>
      <vt:variant>
        <vt:i4>330</vt:i4>
      </vt:variant>
      <vt:variant>
        <vt:i4>0</vt:i4>
      </vt:variant>
      <vt:variant>
        <vt:i4>5</vt:i4>
      </vt:variant>
      <vt:variant>
        <vt:lpwstr>mailto:info@psutec.com</vt:lpwstr>
      </vt:variant>
      <vt:variant>
        <vt:lpwstr/>
      </vt:variant>
      <vt:variant>
        <vt:i4>655453</vt:i4>
      </vt:variant>
      <vt:variant>
        <vt:i4>318</vt:i4>
      </vt:variant>
      <vt:variant>
        <vt:i4>0</vt:i4>
      </vt:variant>
      <vt:variant>
        <vt:i4>5</vt:i4>
      </vt:variant>
      <vt:variant>
        <vt:lpwstr>http://www.doodle.ch/</vt:lpwstr>
      </vt:variant>
      <vt:variant>
        <vt:lpwstr/>
      </vt:variant>
      <vt:variant>
        <vt:i4>3932263</vt:i4>
      </vt:variant>
      <vt:variant>
        <vt:i4>315</vt:i4>
      </vt:variant>
      <vt:variant>
        <vt:i4>0</vt:i4>
      </vt:variant>
      <vt:variant>
        <vt:i4>5</vt:i4>
      </vt:variant>
      <vt:variant>
        <vt:lpwstr>http://www.skype.com/intl/en/home/)</vt:lpwstr>
      </vt:variant>
      <vt:variant>
        <vt:lpwstr/>
      </vt:variant>
      <vt:variant>
        <vt:i4>4718659</vt:i4>
      </vt:variant>
      <vt:variant>
        <vt:i4>309</vt:i4>
      </vt:variant>
      <vt:variant>
        <vt:i4>0</vt:i4>
      </vt:variant>
      <vt:variant>
        <vt:i4>5</vt:i4>
      </vt:variant>
      <vt:variant>
        <vt:lpwstr>http://www.projects-gateway.com/frisbee/</vt:lpwstr>
      </vt:variant>
      <vt:variant>
        <vt:lpwstr/>
      </vt:variant>
      <vt:variant>
        <vt:i4>6750265</vt:i4>
      </vt:variant>
      <vt:variant>
        <vt:i4>306</vt:i4>
      </vt:variant>
      <vt:variant>
        <vt:i4>0</vt:i4>
      </vt:variant>
      <vt:variant>
        <vt:i4>5</vt:i4>
      </vt:variant>
      <vt:variant>
        <vt:lpwstr>http://www.frisbee-project.eu/</vt:lpwstr>
      </vt:variant>
      <vt:variant>
        <vt:lpwstr/>
      </vt:variant>
      <vt:variant>
        <vt:i4>6750265</vt:i4>
      </vt:variant>
      <vt:variant>
        <vt:i4>303</vt:i4>
      </vt:variant>
      <vt:variant>
        <vt:i4>0</vt:i4>
      </vt:variant>
      <vt:variant>
        <vt:i4>5</vt:i4>
      </vt:variant>
      <vt:variant>
        <vt:lpwstr>http://www.frisbee-project.eu/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9000-3 Contents</dc:title>
  <dc:creator>Varga, Liz</dc:creator>
  <cp:lastModifiedBy>alan</cp:lastModifiedBy>
  <cp:revision>3</cp:revision>
  <cp:lastPrinted>2017-12-05T14:22:00Z</cp:lastPrinted>
  <dcterms:created xsi:type="dcterms:W3CDTF">2018-03-12T14:01:00Z</dcterms:created>
  <dcterms:modified xsi:type="dcterms:W3CDTF">2018-03-12T14:03:00Z</dcterms:modified>
</cp:coreProperties>
</file>