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803E2" w:rsidRDefault="007A215B" w:rsidP="00AC6536">
      <w:pPr>
        <w:pStyle w:val="Body"/>
        <w:rPr>
          <w:rFonts w:ascii="Arial" w:eastAsia="Arial" w:hAnsi="Arial" w:cs="Arial"/>
          <w:b/>
          <w:bCs/>
        </w:rPr>
      </w:pPr>
      <w:bookmarkStart w:id="0" w:name="_GoBack"/>
      <w:bookmarkEnd w:id="0"/>
      <w:r>
        <w:rPr>
          <w:rFonts w:ascii="Arial" w:hAnsi="Arial"/>
          <w:b/>
          <w:bCs/>
        </w:rPr>
        <w:t xml:space="preserve">Legal Education Future(s) </w:t>
      </w:r>
      <w:r>
        <w:rPr>
          <w:rFonts w:ascii="Arial" w:hAnsi="Arial"/>
          <w:b/>
          <w:bCs/>
          <w:lang w:val="en-US"/>
        </w:rPr>
        <w:t>– The Changing Relationship between Law Schools and the Legal Profession</w:t>
      </w:r>
    </w:p>
    <w:p w:rsidR="003803E2" w:rsidRDefault="007A215B">
      <w:pPr>
        <w:pStyle w:val="Body"/>
        <w:rPr>
          <w:rFonts w:ascii="Arial" w:hAnsi="Arial"/>
          <w:b/>
          <w:bCs/>
        </w:rPr>
      </w:pPr>
      <w:r>
        <w:rPr>
          <w:rFonts w:ascii="Arial" w:hAnsi="Arial"/>
          <w:b/>
          <w:bCs/>
        </w:rPr>
        <w:t>Andy Unger</w:t>
      </w:r>
      <w:r w:rsidR="00CD65BE">
        <w:rPr>
          <w:rFonts w:ascii="Arial" w:hAnsi="Arial"/>
          <w:b/>
          <w:bCs/>
        </w:rPr>
        <w:t>, Associate Professor of Law, London South Bank University</w:t>
      </w:r>
    </w:p>
    <w:p w:rsidR="00CD65BE" w:rsidRDefault="00CD65BE">
      <w:pPr>
        <w:pStyle w:val="Body"/>
        <w:rPr>
          <w:rFonts w:ascii="Arial" w:hAnsi="Arial" w:cs="Arial"/>
          <w:b/>
          <w:bCs/>
        </w:rPr>
      </w:pPr>
    </w:p>
    <w:p w:rsidR="00A3764F" w:rsidRPr="00A3764F" w:rsidRDefault="00A3764F">
      <w:pPr>
        <w:pStyle w:val="Body"/>
        <w:rPr>
          <w:rFonts w:ascii="Arial" w:hAnsi="Arial" w:cs="Arial"/>
          <w:b/>
          <w:bCs/>
        </w:rPr>
      </w:pPr>
      <w:r w:rsidRPr="00A3764F">
        <w:rPr>
          <w:rFonts w:ascii="Arial" w:hAnsi="Arial" w:cs="Arial"/>
          <w:b/>
          <w:bCs/>
        </w:rPr>
        <w:t>Introduction</w:t>
      </w:r>
    </w:p>
    <w:p w:rsidR="003975A2" w:rsidRPr="00A3764F" w:rsidRDefault="003975A2" w:rsidP="003975A2">
      <w:pPr>
        <w:rPr>
          <w:rFonts w:ascii="Arial" w:hAnsi="Arial" w:cs="Arial"/>
          <w:sz w:val="22"/>
          <w:szCs w:val="22"/>
          <w:lang w:val="en-GB"/>
        </w:rPr>
      </w:pPr>
      <w:r w:rsidRPr="00A3764F">
        <w:rPr>
          <w:rFonts w:ascii="Arial" w:hAnsi="Arial" w:cs="Arial"/>
          <w:sz w:val="22"/>
          <w:szCs w:val="22"/>
          <w:lang w:val="en-GB"/>
        </w:rPr>
        <w:t>At first glance, it would appear that since law schools in China are operating in the context of a very different political system to those in England</w:t>
      </w:r>
      <w:r w:rsidR="00A3764F">
        <w:rPr>
          <w:rFonts w:ascii="Arial" w:hAnsi="Arial" w:cs="Arial"/>
          <w:sz w:val="22"/>
          <w:szCs w:val="22"/>
          <w:lang w:val="en-GB"/>
        </w:rPr>
        <w:t xml:space="preserve"> and Wales</w:t>
      </w:r>
      <w:r w:rsidRPr="00A3764F">
        <w:rPr>
          <w:rFonts w:ascii="Arial" w:hAnsi="Arial" w:cs="Arial"/>
          <w:sz w:val="22"/>
          <w:szCs w:val="22"/>
          <w:lang w:val="en-GB"/>
        </w:rPr>
        <w:t xml:space="preserve">, they would not have much in common when it came to a consideration of the pressures exerted upon legal education by </w:t>
      </w:r>
      <w:r w:rsidR="00436B1A">
        <w:rPr>
          <w:rFonts w:ascii="Arial" w:hAnsi="Arial" w:cs="Arial"/>
          <w:sz w:val="22"/>
          <w:szCs w:val="22"/>
          <w:lang w:val="en-GB"/>
        </w:rPr>
        <w:t xml:space="preserve">external </w:t>
      </w:r>
      <w:r w:rsidRPr="00A3764F">
        <w:rPr>
          <w:rFonts w:ascii="Arial" w:hAnsi="Arial" w:cs="Arial"/>
          <w:sz w:val="22"/>
          <w:szCs w:val="22"/>
          <w:lang w:val="en-GB"/>
        </w:rPr>
        <w:t>actors. However, in broad terms, law schools in both jurisdictions are faced with pressures to change the education they deliver in order to satisfy the agendas of political actors outside their immediate environment. As Zhou and Palmer comment in their analysis of Chinese legal education in the following chapter:</w:t>
      </w:r>
    </w:p>
    <w:p w:rsidR="003975A2" w:rsidRPr="00A3764F" w:rsidRDefault="003975A2" w:rsidP="003975A2">
      <w:pPr>
        <w:rPr>
          <w:rFonts w:ascii="Arial" w:hAnsi="Arial" w:cs="Arial"/>
          <w:sz w:val="22"/>
          <w:szCs w:val="22"/>
          <w:lang w:val="en-GB"/>
        </w:rPr>
      </w:pPr>
    </w:p>
    <w:p w:rsidR="003975A2" w:rsidRPr="00A3764F" w:rsidRDefault="003975A2" w:rsidP="003975A2">
      <w:pPr>
        <w:ind w:left="720"/>
        <w:rPr>
          <w:rFonts w:ascii="Arial" w:hAnsi="Arial" w:cs="Arial"/>
          <w:sz w:val="22"/>
          <w:szCs w:val="22"/>
          <w:lang w:val="en-GB"/>
        </w:rPr>
      </w:pPr>
      <w:r w:rsidRPr="00A3764F">
        <w:rPr>
          <w:rFonts w:ascii="Arial" w:hAnsi="Arial" w:cs="Arial"/>
          <w:sz w:val="22"/>
          <w:szCs w:val="22"/>
          <w:lang w:val="en-GB"/>
        </w:rPr>
        <w:t>“</w:t>
      </w:r>
      <w:r w:rsidRPr="00A3764F">
        <w:rPr>
          <w:rFonts w:ascii="Arial" w:hAnsi="Arial" w:cs="Arial"/>
          <w:sz w:val="22"/>
          <w:szCs w:val="22"/>
        </w:rPr>
        <w:t>it is perhaps better to see China as possessing a ‘political-legal’ culture—rather than a legal culture</w:t>
      </w:r>
      <w:r w:rsidRPr="00A3764F">
        <w:rPr>
          <w:rFonts w:ascii="Arial" w:hAnsi="Arial" w:cs="Arial"/>
          <w:sz w:val="22"/>
          <w:szCs w:val="22"/>
          <w:lang w:val="en-GB"/>
        </w:rPr>
        <w:t xml:space="preserve"> …</w:t>
      </w:r>
      <w:r w:rsidRPr="00A3764F">
        <w:rPr>
          <w:rFonts w:ascii="Arial" w:hAnsi="Arial" w:cs="Arial"/>
          <w:sz w:val="22"/>
          <w:szCs w:val="22"/>
        </w:rPr>
        <w:t>The continuing traditional influence of strong government, and the dominant position of the Chinese Communist Party in the administration of justice, mean that law and the legal system have strongly political and administrative dimensions.” (Zhou and Palmer PAGE)</w:t>
      </w:r>
    </w:p>
    <w:p w:rsidR="003975A2" w:rsidRPr="00A3764F" w:rsidRDefault="003975A2" w:rsidP="003975A2">
      <w:pPr>
        <w:rPr>
          <w:rFonts w:ascii="Arial" w:hAnsi="Arial" w:cs="Arial"/>
          <w:sz w:val="22"/>
          <w:szCs w:val="22"/>
          <w:lang w:val="en-GB"/>
        </w:rPr>
      </w:pPr>
    </w:p>
    <w:p w:rsidR="00A3764F" w:rsidRDefault="003975A2">
      <w:pPr>
        <w:pStyle w:val="Body"/>
        <w:rPr>
          <w:rFonts w:ascii="Arial" w:hAnsi="Arial" w:cs="Arial"/>
        </w:rPr>
      </w:pPr>
      <w:r w:rsidRPr="00A3764F">
        <w:rPr>
          <w:rFonts w:ascii="Arial" w:hAnsi="Arial" w:cs="Arial"/>
        </w:rPr>
        <w:t>In England</w:t>
      </w:r>
      <w:r w:rsidR="00A3764F">
        <w:rPr>
          <w:rFonts w:ascii="Arial" w:hAnsi="Arial" w:cs="Arial"/>
        </w:rPr>
        <w:t xml:space="preserve"> and Wales</w:t>
      </w:r>
      <w:r w:rsidRPr="00A3764F">
        <w:rPr>
          <w:rFonts w:ascii="Arial" w:hAnsi="Arial" w:cs="Arial"/>
        </w:rPr>
        <w:t>, the pressures on law schools to deliver outcomes specified by external players, while not exactly the same as those felt by Chinese law schools, are nevertheless numerous.</w:t>
      </w:r>
    </w:p>
    <w:p w:rsidR="00CD1C14" w:rsidRDefault="00CD1C14" w:rsidP="00CD1C14">
      <w:pPr>
        <w:pStyle w:val="Body"/>
        <w:rPr>
          <w:rFonts w:ascii="Arial" w:eastAsia="Arial" w:hAnsi="Arial" w:cs="Arial"/>
          <w:b/>
          <w:bCs/>
        </w:rPr>
      </w:pPr>
      <w:r>
        <w:rPr>
          <w:rFonts w:ascii="Arial" w:hAnsi="Arial"/>
          <w:b/>
          <w:bCs/>
          <w:lang w:val="en-US"/>
        </w:rPr>
        <w:t>The Changing Relationship between Law Schools and the Legal Profession</w:t>
      </w:r>
    </w:p>
    <w:p w:rsidR="0094470B" w:rsidRDefault="00C10658">
      <w:pPr>
        <w:pStyle w:val="Body"/>
        <w:rPr>
          <w:rFonts w:ascii="Arial" w:hAnsi="Arial"/>
          <w:lang w:val="en-US"/>
        </w:rPr>
      </w:pPr>
      <w:r>
        <w:rPr>
          <w:rFonts w:ascii="Arial" w:hAnsi="Arial"/>
          <w:lang w:val="en-US"/>
        </w:rPr>
        <w:t xml:space="preserve">Both higher education and the legal profession are </w:t>
      </w:r>
      <w:r w:rsidR="007A215B">
        <w:rPr>
          <w:rFonts w:ascii="Arial" w:hAnsi="Arial"/>
          <w:lang w:val="en-US"/>
        </w:rPr>
        <w:t>undergoing a shift away fro</w:t>
      </w:r>
      <w:r w:rsidR="005A3842">
        <w:rPr>
          <w:rFonts w:ascii="Arial" w:hAnsi="Arial"/>
          <w:lang w:val="en-US"/>
        </w:rPr>
        <w:t>m traditional professional self-</w:t>
      </w:r>
      <w:r w:rsidR="007A215B">
        <w:rPr>
          <w:rFonts w:ascii="Arial" w:hAnsi="Arial"/>
          <w:lang w:val="en-US"/>
        </w:rPr>
        <w:t>regulation towards regul</w:t>
      </w:r>
      <w:r w:rsidR="00A46E21">
        <w:rPr>
          <w:rFonts w:ascii="Arial" w:hAnsi="Arial"/>
          <w:lang w:val="en-US"/>
        </w:rPr>
        <w:t>ation by market forces</w:t>
      </w:r>
      <w:r w:rsidR="00F97280">
        <w:rPr>
          <w:rFonts w:ascii="Arial" w:hAnsi="Arial"/>
          <w:lang w:val="en-US"/>
        </w:rPr>
        <w:t xml:space="preserve">. </w:t>
      </w:r>
      <w:r w:rsidR="007A215B">
        <w:rPr>
          <w:rFonts w:ascii="Arial" w:hAnsi="Arial"/>
          <w:lang w:val="en-US"/>
        </w:rPr>
        <w:t>The legal profession has seen the los</w:t>
      </w:r>
      <w:r w:rsidR="00645D35">
        <w:rPr>
          <w:rFonts w:ascii="Arial" w:hAnsi="Arial"/>
          <w:lang w:val="en-US"/>
        </w:rPr>
        <w:t xml:space="preserve">s of traditional monopolies, </w:t>
      </w:r>
      <w:r w:rsidR="007A215B">
        <w:rPr>
          <w:rFonts w:ascii="Arial" w:hAnsi="Arial"/>
          <w:lang w:val="en-US"/>
        </w:rPr>
        <w:t>the introduction of competition and the loss of much of the Legal Aid system</w:t>
      </w:r>
      <w:r w:rsidR="00645D35">
        <w:rPr>
          <w:rFonts w:ascii="Arial" w:hAnsi="Arial"/>
          <w:lang w:val="en-US"/>
        </w:rPr>
        <w:t xml:space="preserve"> (Ab</w:t>
      </w:r>
      <w:r w:rsidR="0094470B">
        <w:rPr>
          <w:rFonts w:ascii="Arial" w:hAnsi="Arial"/>
          <w:lang w:val="en-US"/>
        </w:rPr>
        <w:t xml:space="preserve">el </w:t>
      </w:r>
      <w:r w:rsidR="00645D35">
        <w:rPr>
          <w:rFonts w:ascii="Arial" w:hAnsi="Arial"/>
          <w:lang w:val="en-US"/>
        </w:rPr>
        <w:t>1988 &amp; 2003</w:t>
      </w:r>
      <w:r w:rsidR="0094470B">
        <w:rPr>
          <w:rFonts w:ascii="Arial" w:hAnsi="Arial"/>
          <w:lang w:val="en-US"/>
        </w:rPr>
        <w:t xml:space="preserve">, </w:t>
      </w:r>
      <w:r w:rsidR="00E34013">
        <w:rPr>
          <w:rFonts w:ascii="Arial" w:hAnsi="Arial"/>
          <w:lang w:val="en-US"/>
        </w:rPr>
        <w:t>Green &amp; Sandbach 2016)</w:t>
      </w:r>
      <w:r w:rsidR="007A215B">
        <w:rPr>
          <w:rFonts w:ascii="Arial" w:hAnsi="Arial"/>
          <w:lang w:val="en-US"/>
        </w:rPr>
        <w:t>. Higher education has undergone a process of massification with rates of part</w:t>
      </w:r>
      <w:r w:rsidR="00A46E21">
        <w:rPr>
          <w:rFonts w:ascii="Arial" w:hAnsi="Arial"/>
          <w:lang w:val="en-US"/>
        </w:rPr>
        <w:t>icipation rising from around 1/5 to nearly 1/2</w:t>
      </w:r>
      <w:r w:rsidR="007A215B">
        <w:rPr>
          <w:rFonts w:ascii="Arial" w:hAnsi="Arial"/>
          <w:lang w:val="en-US"/>
        </w:rPr>
        <w:t xml:space="preserve"> in the last thirty years. </w:t>
      </w:r>
      <w:r w:rsidR="00645D35" w:rsidRPr="009F3865">
        <w:rPr>
          <w:rFonts w:ascii="Arial" w:hAnsi="Arial"/>
        </w:rPr>
        <w:t xml:space="preserve">The </w:t>
      </w:r>
      <w:r w:rsidR="00BD2AF2">
        <w:rPr>
          <w:rFonts w:ascii="Arial" w:hAnsi="Arial"/>
        </w:rPr>
        <w:t>proportion</w:t>
      </w:r>
      <w:r w:rsidR="00645D35" w:rsidRPr="009F3865">
        <w:rPr>
          <w:rFonts w:ascii="Arial" w:hAnsi="Arial"/>
        </w:rPr>
        <w:t xml:space="preserve"> of school-leavers going on to some form of higher education is currently 49</w:t>
      </w:r>
      <w:r w:rsidR="00B75C6D">
        <w:rPr>
          <w:rFonts w:ascii="Arial" w:hAnsi="Arial"/>
        </w:rPr>
        <w:t>.8% (Department of Education, 2018</w:t>
      </w:r>
      <w:r w:rsidR="00A46E21">
        <w:rPr>
          <w:rFonts w:ascii="Arial" w:hAnsi="Arial"/>
        </w:rPr>
        <w:t>)</w:t>
      </w:r>
      <w:r w:rsidR="00645D35" w:rsidRPr="009F3865">
        <w:rPr>
          <w:rFonts w:ascii="Arial" w:hAnsi="Arial"/>
        </w:rPr>
        <w:t xml:space="preserve">. </w:t>
      </w:r>
      <w:r w:rsidR="006172B7">
        <w:rPr>
          <w:rFonts w:ascii="Arial" w:hAnsi="Arial"/>
          <w:lang w:val="en-US"/>
        </w:rPr>
        <w:t>The benefits of that expansion in terms of diversity and social inclusion are obvious</w:t>
      </w:r>
      <w:r w:rsidR="0094470B">
        <w:rPr>
          <w:rFonts w:ascii="Arial" w:hAnsi="Arial"/>
          <w:lang w:val="en-US"/>
        </w:rPr>
        <w:t xml:space="preserve">, </w:t>
      </w:r>
      <w:r w:rsidR="006172B7">
        <w:rPr>
          <w:rFonts w:ascii="Arial" w:hAnsi="Arial"/>
          <w:lang w:val="en-US"/>
        </w:rPr>
        <w:t>but there have also been significant drawbacks. The increasing number of students going to university has raised the question of who should pay for higher education and the answer in England and Wales has been the students themselves, with university fees rising to full cost at £9,250 and the Government introducing a student loan scheme hoping to ensure that all students can afford their education (Student Finance England, 2019). The question of value for money has in turn led to two further developments. The first is an increased emphasis on employability as the object of higher education, rather than the wider liberal education goals articulated by Robb</w:t>
      </w:r>
      <w:r w:rsidR="00A46E21">
        <w:rPr>
          <w:rFonts w:ascii="Arial" w:hAnsi="Arial"/>
          <w:lang w:val="en-US"/>
        </w:rPr>
        <w:t>ins (Robbins 1963</w:t>
      </w:r>
      <w:r w:rsidR="006172B7">
        <w:rPr>
          <w:rFonts w:ascii="Arial" w:hAnsi="Arial"/>
          <w:lang w:val="en-US"/>
        </w:rPr>
        <w:t>). The second has been the introduction of business management techniques to ensure quality of provision</w:t>
      </w:r>
      <w:r w:rsidR="00436B1A">
        <w:rPr>
          <w:rFonts w:ascii="Arial" w:hAnsi="Arial"/>
          <w:lang w:val="en-US"/>
        </w:rPr>
        <w:t>,</w:t>
      </w:r>
      <w:r w:rsidR="006172B7">
        <w:rPr>
          <w:rFonts w:ascii="Arial" w:hAnsi="Arial"/>
          <w:lang w:val="en-US"/>
        </w:rPr>
        <w:t xml:space="preserve"> so that we are all now familiar with </w:t>
      </w:r>
      <w:r w:rsidR="0094470B">
        <w:rPr>
          <w:rFonts w:ascii="Arial" w:hAnsi="Arial"/>
          <w:lang w:val="en-US"/>
        </w:rPr>
        <w:t xml:space="preserve">concepts such as </w:t>
      </w:r>
      <w:r w:rsidR="006172B7">
        <w:rPr>
          <w:rFonts w:ascii="Arial" w:hAnsi="Arial"/>
          <w:lang w:val="en-US"/>
        </w:rPr>
        <w:t>outcomes</w:t>
      </w:r>
      <w:r w:rsidR="0094470B">
        <w:rPr>
          <w:rFonts w:ascii="Arial" w:hAnsi="Arial"/>
          <w:lang w:val="en-US"/>
        </w:rPr>
        <w:t>-</w:t>
      </w:r>
      <w:r w:rsidR="006172B7">
        <w:rPr>
          <w:rFonts w:ascii="Arial" w:hAnsi="Arial"/>
          <w:lang w:val="en-US"/>
        </w:rPr>
        <w:t>focused course design</w:t>
      </w:r>
      <w:r w:rsidR="00436B1A">
        <w:rPr>
          <w:rFonts w:ascii="Arial" w:hAnsi="Arial"/>
          <w:lang w:val="en-US"/>
        </w:rPr>
        <w:t xml:space="preserve"> </w:t>
      </w:r>
      <w:r w:rsidR="006172B7">
        <w:rPr>
          <w:rFonts w:ascii="Arial" w:hAnsi="Arial"/>
          <w:lang w:val="en-US"/>
        </w:rPr>
        <w:t>and the idea of academic freedom has been tempered by the ‘reasonable management request</w:t>
      </w:r>
      <w:r w:rsidR="00BD2AF2">
        <w:rPr>
          <w:rFonts w:ascii="Arial" w:hAnsi="Arial"/>
          <w:lang w:val="en-US"/>
        </w:rPr>
        <w:t>’</w:t>
      </w:r>
      <w:r w:rsidR="006172B7">
        <w:rPr>
          <w:rFonts w:ascii="Arial" w:hAnsi="Arial"/>
          <w:lang w:val="en-US"/>
        </w:rPr>
        <w:t xml:space="preserve">. </w:t>
      </w:r>
    </w:p>
    <w:p w:rsidR="0094470B" w:rsidRDefault="006172B7">
      <w:pPr>
        <w:pStyle w:val="Body"/>
        <w:rPr>
          <w:rFonts w:ascii="Arial" w:hAnsi="Arial"/>
          <w:lang w:val="en-US"/>
        </w:rPr>
      </w:pPr>
      <w:r>
        <w:rPr>
          <w:rFonts w:ascii="Arial" w:hAnsi="Arial"/>
          <w:lang w:val="en-US"/>
        </w:rPr>
        <w:t xml:space="preserve">The result </w:t>
      </w:r>
      <w:r w:rsidR="0094470B">
        <w:rPr>
          <w:rFonts w:ascii="Arial" w:hAnsi="Arial"/>
          <w:lang w:val="en-US"/>
        </w:rPr>
        <w:t xml:space="preserve">of these changes </w:t>
      </w:r>
      <w:r>
        <w:rPr>
          <w:rFonts w:ascii="Arial" w:hAnsi="Arial"/>
          <w:lang w:val="en-US"/>
        </w:rPr>
        <w:t>ha</w:t>
      </w:r>
      <w:r w:rsidR="0046065C">
        <w:rPr>
          <w:rFonts w:ascii="Arial" w:hAnsi="Arial"/>
          <w:lang w:val="en-US"/>
        </w:rPr>
        <w:t>s</w:t>
      </w:r>
      <w:r>
        <w:rPr>
          <w:rFonts w:ascii="Arial" w:hAnsi="Arial"/>
          <w:lang w:val="en-US"/>
        </w:rPr>
        <w:t xml:space="preserve"> been the marketisation of higher education in England and Wales with employers and students encouraged to make informed choices based on key sources of data such as the National Student Survey, the Destination of Leavers of Higher Education Survey and now </w:t>
      </w:r>
      <w:r w:rsidR="00A46E21">
        <w:rPr>
          <w:rFonts w:ascii="Arial" w:hAnsi="Arial"/>
          <w:lang w:val="en-US"/>
        </w:rPr>
        <w:t>the</w:t>
      </w:r>
      <w:r>
        <w:rPr>
          <w:rFonts w:ascii="Arial" w:hAnsi="Arial"/>
          <w:lang w:val="en-US"/>
        </w:rPr>
        <w:t xml:space="preserve"> new Teaching Excellence Framework</w:t>
      </w:r>
      <w:r w:rsidR="0094470B">
        <w:rPr>
          <w:rFonts w:ascii="Arial" w:hAnsi="Arial"/>
          <w:lang w:val="en-US"/>
        </w:rPr>
        <w:t xml:space="preserve"> (TEF) </w:t>
      </w:r>
      <w:r>
        <w:rPr>
          <w:rFonts w:ascii="Arial" w:hAnsi="Arial"/>
          <w:lang w:val="en-US"/>
        </w:rPr>
        <w:t>(Office for Students, 2019) to compl</w:t>
      </w:r>
      <w:r w:rsidR="0094470B">
        <w:rPr>
          <w:rFonts w:ascii="Arial" w:hAnsi="Arial"/>
          <w:lang w:val="en-US"/>
        </w:rPr>
        <w:t>e</w:t>
      </w:r>
      <w:r>
        <w:rPr>
          <w:rFonts w:ascii="Arial" w:hAnsi="Arial"/>
          <w:lang w:val="en-US"/>
        </w:rPr>
        <w:t>ment the longstandin</w:t>
      </w:r>
      <w:r w:rsidR="0046065C">
        <w:rPr>
          <w:rFonts w:ascii="Arial" w:hAnsi="Arial"/>
          <w:lang w:val="en-US"/>
        </w:rPr>
        <w:t>g Research Excellence Framework</w:t>
      </w:r>
      <w:r w:rsidR="00436B1A">
        <w:rPr>
          <w:rFonts w:ascii="Arial" w:hAnsi="Arial"/>
          <w:lang w:val="en-US"/>
        </w:rPr>
        <w:t xml:space="preserve"> (</w:t>
      </w:r>
      <w:r w:rsidR="0094470B">
        <w:rPr>
          <w:rFonts w:ascii="Arial" w:hAnsi="Arial"/>
          <w:lang w:val="en-US"/>
        </w:rPr>
        <w:t>REF</w:t>
      </w:r>
      <w:r w:rsidR="00436B1A">
        <w:rPr>
          <w:rFonts w:ascii="Arial" w:hAnsi="Arial"/>
          <w:lang w:val="en-US"/>
        </w:rPr>
        <w:t>)</w:t>
      </w:r>
      <w:r w:rsidR="0046065C">
        <w:rPr>
          <w:rFonts w:ascii="Arial" w:hAnsi="Arial"/>
          <w:lang w:val="en-US"/>
        </w:rPr>
        <w:t xml:space="preserve">. </w:t>
      </w:r>
      <w:r>
        <w:rPr>
          <w:rFonts w:ascii="Arial" w:hAnsi="Arial"/>
          <w:lang w:val="en-US"/>
        </w:rPr>
        <w:t>TEF rankings</w:t>
      </w:r>
      <w:r w:rsidR="0094470B">
        <w:rPr>
          <w:rFonts w:ascii="Arial" w:hAnsi="Arial"/>
          <w:lang w:val="en-US"/>
        </w:rPr>
        <w:t xml:space="preserve"> of teaching quality in institutions as </w:t>
      </w:r>
      <w:r>
        <w:rPr>
          <w:rFonts w:ascii="Arial" w:hAnsi="Arial"/>
          <w:lang w:val="en-US"/>
        </w:rPr>
        <w:t>Gold, Silver</w:t>
      </w:r>
      <w:r w:rsidR="0094470B">
        <w:rPr>
          <w:rFonts w:ascii="Arial" w:hAnsi="Arial"/>
          <w:lang w:val="en-US"/>
        </w:rPr>
        <w:t xml:space="preserve"> or</w:t>
      </w:r>
      <w:r>
        <w:rPr>
          <w:rFonts w:ascii="Arial" w:hAnsi="Arial"/>
          <w:lang w:val="en-US"/>
        </w:rPr>
        <w:t xml:space="preserve"> Bronze are drawn from</w:t>
      </w:r>
      <w:r w:rsidR="0094470B">
        <w:rPr>
          <w:rFonts w:ascii="Arial" w:hAnsi="Arial"/>
          <w:lang w:val="en-US"/>
        </w:rPr>
        <w:t xml:space="preserve"> a </w:t>
      </w:r>
      <w:r w:rsidR="0094470B">
        <w:rPr>
          <w:rFonts w:ascii="Arial" w:hAnsi="Arial"/>
          <w:lang w:val="en-US"/>
        </w:rPr>
        <w:lastRenderedPageBreak/>
        <w:t>range of data, including</w:t>
      </w:r>
      <w:r>
        <w:rPr>
          <w:rFonts w:ascii="Arial" w:hAnsi="Arial"/>
          <w:lang w:val="en-US"/>
        </w:rPr>
        <w:t xml:space="preserve"> course completion, </w:t>
      </w:r>
      <w:r w:rsidR="0094470B">
        <w:rPr>
          <w:rFonts w:ascii="Arial" w:hAnsi="Arial"/>
          <w:lang w:val="en-US"/>
        </w:rPr>
        <w:t xml:space="preserve">the </w:t>
      </w:r>
      <w:r>
        <w:rPr>
          <w:rFonts w:ascii="Arial" w:hAnsi="Arial"/>
          <w:lang w:val="en-US"/>
        </w:rPr>
        <w:t>N</w:t>
      </w:r>
      <w:r w:rsidR="0094470B">
        <w:rPr>
          <w:rFonts w:ascii="Arial" w:hAnsi="Arial"/>
          <w:lang w:val="en-US"/>
        </w:rPr>
        <w:t xml:space="preserve">ational </w:t>
      </w:r>
      <w:r>
        <w:rPr>
          <w:rFonts w:ascii="Arial" w:hAnsi="Arial"/>
          <w:lang w:val="en-US"/>
        </w:rPr>
        <w:t>S</w:t>
      </w:r>
      <w:r w:rsidR="0094470B">
        <w:rPr>
          <w:rFonts w:ascii="Arial" w:hAnsi="Arial"/>
          <w:lang w:val="en-US"/>
        </w:rPr>
        <w:t xml:space="preserve">tudent </w:t>
      </w:r>
      <w:r>
        <w:rPr>
          <w:rFonts w:ascii="Arial" w:hAnsi="Arial"/>
          <w:lang w:val="en-US"/>
        </w:rPr>
        <w:t>S</w:t>
      </w:r>
      <w:r w:rsidR="0094470B">
        <w:rPr>
          <w:rFonts w:ascii="Arial" w:hAnsi="Arial"/>
          <w:lang w:val="en-US"/>
        </w:rPr>
        <w:t>urvey</w:t>
      </w:r>
      <w:r>
        <w:rPr>
          <w:rFonts w:ascii="Arial" w:hAnsi="Arial"/>
          <w:lang w:val="en-US"/>
        </w:rPr>
        <w:t xml:space="preserve"> and</w:t>
      </w:r>
      <w:r w:rsidR="00BD2AF2">
        <w:rPr>
          <w:rFonts w:ascii="Arial" w:hAnsi="Arial"/>
          <w:lang w:val="en-US"/>
        </w:rPr>
        <w:t xml:space="preserve"> D</w:t>
      </w:r>
      <w:r w:rsidR="0094470B">
        <w:rPr>
          <w:rFonts w:ascii="Arial" w:hAnsi="Arial"/>
          <w:lang w:val="en-US"/>
        </w:rPr>
        <w:t xml:space="preserve">estination of </w:t>
      </w:r>
      <w:r w:rsidR="00BD2AF2">
        <w:rPr>
          <w:rFonts w:ascii="Arial" w:hAnsi="Arial"/>
          <w:lang w:val="en-US"/>
        </w:rPr>
        <w:t>L</w:t>
      </w:r>
      <w:r w:rsidR="0094470B">
        <w:rPr>
          <w:rFonts w:ascii="Arial" w:hAnsi="Arial"/>
          <w:lang w:val="en-US"/>
        </w:rPr>
        <w:t xml:space="preserve">eavers in </w:t>
      </w:r>
      <w:r w:rsidR="00BD2AF2">
        <w:rPr>
          <w:rFonts w:ascii="Arial" w:hAnsi="Arial"/>
          <w:lang w:val="en-US"/>
        </w:rPr>
        <w:t>H</w:t>
      </w:r>
      <w:r w:rsidR="0094470B">
        <w:rPr>
          <w:rFonts w:ascii="Arial" w:hAnsi="Arial"/>
          <w:lang w:val="en-US"/>
        </w:rPr>
        <w:t xml:space="preserve">igher </w:t>
      </w:r>
      <w:r w:rsidR="00BD2AF2">
        <w:rPr>
          <w:rFonts w:ascii="Arial" w:hAnsi="Arial"/>
          <w:lang w:val="en-US"/>
        </w:rPr>
        <w:t>E</w:t>
      </w:r>
      <w:r w:rsidR="0094470B">
        <w:rPr>
          <w:rFonts w:ascii="Arial" w:hAnsi="Arial"/>
          <w:lang w:val="en-US"/>
        </w:rPr>
        <w:t>ducation</w:t>
      </w:r>
      <w:r w:rsidR="00BD2AF2">
        <w:rPr>
          <w:rFonts w:ascii="Arial" w:hAnsi="Arial"/>
          <w:lang w:val="en-US"/>
        </w:rPr>
        <w:t xml:space="preserve"> and </w:t>
      </w:r>
      <w:r w:rsidR="0094470B">
        <w:rPr>
          <w:rFonts w:ascii="Arial" w:hAnsi="Arial"/>
          <w:lang w:val="en-US"/>
        </w:rPr>
        <w:t xml:space="preserve">they </w:t>
      </w:r>
      <w:r w:rsidR="00BD2AF2">
        <w:rPr>
          <w:rFonts w:ascii="Arial" w:hAnsi="Arial"/>
          <w:lang w:val="en-US"/>
        </w:rPr>
        <w:t>may</w:t>
      </w:r>
      <w:r>
        <w:rPr>
          <w:rFonts w:ascii="Arial" w:hAnsi="Arial"/>
          <w:lang w:val="en-US"/>
        </w:rPr>
        <w:t xml:space="preserve"> soon impact on the level of fees that universities can charge for their courses. This data</w:t>
      </w:r>
      <w:r w:rsidR="00A46E21">
        <w:rPr>
          <w:rFonts w:ascii="Arial" w:hAnsi="Arial"/>
          <w:lang w:val="en-US"/>
        </w:rPr>
        <w:t xml:space="preserve">, </w:t>
      </w:r>
      <w:r>
        <w:rPr>
          <w:rFonts w:ascii="Arial" w:hAnsi="Arial"/>
          <w:lang w:val="en-US"/>
        </w:rPr>
        <w:t>compiled into league table</w:t>
      </w:r>
      <w:r w:rsidR="0094470B">
        <w:rPr>
          <w:rFonts w:ascii="Arial" w:hAnsi="Arial"/>
          <w:lang w:val="en-US"/>
        </w:rPr>
        <w:t>s</w:t>
      </w:r>
      <w:r>
        <w:rPr>
          <w:rFonts w:ascii="Arial" w:hAnsi="Arial"/>
          <w:lang w:val="en-US"/>
        </w:rPr>
        <w:t xml:space="preserve"> for universities and individu</w:t>
      </w:r>
      <w:r w:rsidR="00B75C6D">
        <w:rPr>
          <w:rFonts w:ascii="Arial" w:hAnsi="Arial"/>
          <w:lang w:val="en-US"/>
        </w:rPr>
        <w:t>al courses</w:t>
      </w:r>
      <w:r w:rsidR="0094470B">
        <w:rPr>
          <w:rFonts w:ascii="Arial" w:hAnsi="Arial"/>
          <w:lang w:val="en-US"/>
        </w:rPr>
        <w:t>,</w:t>
      </w:r>
      <w:r w:rsidR="00B75C6D">
        <w:rPr>
          <w:rFonts w:ascii="Arial" w:hAnsi="Arial"/>
          <w:lang w:val="en-US"/>
        </w:rPr>
        <w:t xml:space="preserve"> can have measurable, but generally modest, </w:t>
      </w:r>
      <w:r>
        <w:rPr>
          <w:rFonts w:ascii="Arial" w:hAnsi="Arial"/>
          <w:lang w:val="en-US"/>
        </w:rPr>
        <w:t xml:space="preserve">impacts on student recruitment </w:t>
      </w:r>
      <w:r w:rsidR="00A46E21">
        <w:rPr>
          <w:rFonts w:ascii="Arial" w:hAnsi="Arial"/>
          <w:lang w:val="en-US"/>
        </w:rPr>
        <w:t xml:space="preserve">when rankings change </w:t>
      </w:r>
      <w:r>
        <w:rPr>
          <w:rFonts w:ascii="Arial" w:hAnsi="Arial"/>
          <w:lang w:val="en-US"/>
        </w:rPr>
        <w:t>(Broecke, 2015)</w:t>
      </w:r>
      <w:r w:rsidR="00B75C6D">
        <w:rPr>
          <w:rFonts w:ascii="Arial" w:hAnsi="Arial"/>
          <w:lang w:val="en-US"/>
        </w:rPr>
        <w:t xml:space="preserve">. Regardless of the degree of their impact </w:t>
      </w:r>
      <w:r w:rsidR="00EC50C4">
        <w:rPr>
          <w:rFonts w:ascii="Arial" w:hAnsi="Arial"/>
          <w:lang w:val="en-US"/>
        </w:rPr>
        <w:t>and even if</w:t>
      </w:r>
      <w:r w:rsidR="00B75C6D">
        <w:rPr>
          <w:rFonts w:ascii="Arial" w:hAnsi="Arial"/>
          <w:lang w:val="en-US"/>
        </w:rPr>
        <w:t xml:space="preserve"> other factors are more significant, league table rankings</w:t>
      </w:r>
      <w:r>
        <w:rPr>
          <w:rFonts w:ascii="Arial" w:hAnsi="Arial"/>
          <w:lang w:val="en-US"/>
        </w:rPr>
        <w:t xml:space="preserve"> certainly </w:t>
      </w:r>
      <w:r w:rsidR="00B75C6D">
        <w:rPr>
          <w:rFonts w:ascii="Arial" w:hAnsi="Arial"/>
          <w:lang w:val="en-US"/>
        </w:rPr>
        <w:t xml:space="preserve">inform </w:t>
      </w:r>
      <w:r>
        <w:rPr>
          <w:rFonts w:ascii="Arial" w:hAnsi="Arial"/>
          <w:lang w:val="en-US"/>
        </w:rPr>
        <w:t>management strategy in many English and Welsh universities</w:t>
      </w:r>
      <w:r w:rsidR="008B4D1C">
        <w:rPr>
          <w:rFonts w:ascii="Arial" w:hAnsi="Arial"/>
          <w:lang w:val="en-US"/>
        </w:rPr>
        <w:t xml:space="preserve"> (Catcheside, 2012).</w:t>
      </w:r>
      <w:r w:rsidR="006127C9">
        <w:rPr>
          <w:rFonts w:ascii="Arial" w:hAnsi="Arial"/>
          <w:lang w:val="en-US"/>
        </w:rPr>
        <w:t xml:space="preserve"> </w:t>
      </w:r>
    </w:p>
    <w:p w:rsidR="00D64F77" w:rsidRDefault="00DB4035">
      <w:pPr>
        <w:pStyle w:val="Body"/>
        <w:rPr>
          <w:rFonts w:ascii="Arial" w:hAnsi="Arial"/>
        </w:rPr>
      </w:pPr>
      <w:r>
        <w:rPr>
          <w:rFonts w:ascii="Arial" w:hAnsi="Arial"/>
          <w:lang w:val="en-US"/>
        </w:rPr>
        <w:t>The legal p</w:t>
      </w:r>
      <w:r w:rsidR="00A46E21">
        <w:rPr>
          <w:rFonts w:ascii="Arial" w:hAnsi="Arial"/>
          <w:lang w:val="en-US"/>
        </w:rPr>
        <w:t>rofession has also been</w:t>
      </w:r>
      <w:r w:rsidR="0087563B">
        <w:rPr>
          <w:rFonts w:ascii="Arial" w:hAnsi="Arial"/>
          <w:lang w:val="en-US"/>
        </w:rPr>
        <w:t xml:space="preserve"> introduced to c</w:t>
      </w:r>
      <w:r w:rsidR="00BD2AF2">
        <w:rPr>
          <w:rFonts w:ascii="Arial" w:hAnsi="Arial"/>
          <w:lang w:val="en-US"/>
        </w:rPr>
        <w:t>o</w:t>
      </w:r>
      <w:r w:rsidR="0087563B">
        <w:rPr>
          <w:rFonts w:ascii="Arial" w:hAnsi="Arial"/>
          <w:lang w:val="en-US"/>
        </w:rPr>
        <w:t>mpe</w:t>
      </w:r>
      <w:r w:rsidR="00BD2AF2">
        <w:rPr>
          <w:rFonts w:ascii="Arial" w:hAnsi="Arial"/>
          <w:lang w:val="en-US"/>
        </w:rPr>
        <w:t>ti</w:t>
      </w:r>
      <w:r w:rsidR="0087563B">
        <w:rPr>
          <w:rFonts w:ascii="Arial" w:hAnsi="Arial"/>
          <w:lang w:val="en-US"/>
        </w:rPr>
        <w:t>tion</w:t>
      </w:r>
      <w:r w:rsidR="0025141A">
        <w:rPr>
          <w:rFonts w:ascii="Arial" w:hAnsi="Arial"/>
          <w:lang w:val="en-US"/>
        </w:rPr>
        <w:t xml:space="preserve"> and external quality controls</w:t>
      </w:r>
      <w:r w:rsidR="006127C9">
        <w:rPr>
          <w:rFonts w:ascii="Arial" w:hAnsi="Arial"/>
          <w:lang w:val="en-US"/>
        </w:rPr>
        <w:t xml:space="preserve"> by the Legal Services Act 2007 (Boon, 2010)</w:t>
      </w:r>
      <w:r w:rsidR="0025141A">
        <w:rPr>
          <w:rFonts w:ascii="Arial" w:hAnsi="Arial"/>
          <w:lang w:val="en-US"/>
        </w:rPr>
        <w:t>.</w:t>
      </w:r>
      <w:r w:rsidR="006E408C">
        <w:rPr>
          <w:rFonts w:ascii="Arial" w:hAnsi="Arial"/>
          <w:lang w:val="en-US"/>
        </w:rPr>
        <w:t xml:space="preserve"> In its first year of operation, the</w:t>
      </w:r>
      <w:r w:rsidR="00D64F77">
        <w:rPr>
          <w:rFonts w:ascii="Arial" w:hAnsi="Arial"/>
          <w:lang w:val="en-US"/>
        </w:rPr>
        <w:t xml:space="preserve"> Legal Services Board, </w:t>
      </w:r>
      <w:r w:rsidR="006127C9">
        <w:rPr>
          <w:rFonts w:ascii="Arial" w:hAnsi="Arial"/>
        </w:rPr>
        <w:t xml:space="preserve">established by </w:t>
      </w:r>
      <w:r w:rsidR="0094629D">
        <w:rPr>
          <w:rFonts w:ascii="Arial" w:hAnsi="Arial"/>
        </w:rPr>
        <w:t xml:space="preserve">the </w:t>
      </w:r>
      <w:r w:rsidR="00D64F77" w:rsidRPr="00893C72">
        <w:rPr>
          <w:rFonts w:ascii="Arial" w:hAnsi="Arial"/>
        </w:rPr>
        <w:t>Ac</w:t>
      </w:r>
      <w:r w:rsidR="00D64F77">
        <w:rPr>
          <w:rFonts w:ascii="Arial" w:hAnsi="Arial"/>
        </w:rPr>
        <w:t xml:space="preserve">t </w:t>
      </w:r>
      <w:r w:rsidR="00645D35">
        <w:rPr>
          <w:rFonts w:ascii="Arial" w:hAnsi="Arial"/>
        </w:rPr>
        <w:t xml:space="preserve">to </w:t>
      </w:r>
      <w:r w:rsidR="00D64F77" w:rsidRPr="00893C72">
        <w:rPr>
          <w:rFonts w:ascii="Arial" w:hAnsi="Arial"/>
        </w:rPr>
        <w:t>oversee the regulation of all legal services by the respective ‘Approved Regulators</w:t>
      </w:r>
      <w:r w:rsidR="00D64F77">
        <w:rPr>
          <w:rFonts w:ascii="Arial" w:hAnsi="Arial"/>
        </w:rPr>
        <w:t xml:space="preserve"> (</w:t>
      </w:r>
      <w:r w:rsidR="00D64F77" w:rsidRPr="00893C72">
        <w:rPr>
          <w:rFonts w:ascii="Arial" w:hAnsi="Arial"/>
        </w:rPr>
        <w:t>includ</w:t>
      </w:r>
      <w:r w:rsidR="00D64F77">
        <w:rPr>
          <w:rFonts w:ascii="Arial" w:hAnsi="Arial"/>
        </w:rPr>
        <w:t>ing</w:t>
      </w:r>
      <w:r w:rsidR="00D64F77" w:rsidRPr="00893C72">
        <w:rPr>
          <w:rFonts w:ascii="Arial" w:hAnsi="Arial"/>
        </w:rPr>
        <w:t xml:space="preserve"> the Bar Council</w:t>
      </w:r>
      <w:r w:rsidR="00D64F77">
        <w:rPr>
          <w:rFonts w:ascii="Arial" w:hAnsi="Arial"/>
        </w:rPr>
        <w:t>,</w:t>
      </w:r>
      <w:r w:rsidR="00D64F77" w:rsidRPr="00893C72">
        <w:rPr>
          <w:rFonts w:ascii="Arial" w:hAnsi="Arial"/>
        </w:rPr>
        <w:t xml:space="preserve"> </w:t>
      </w:r>
      <w:r w:rsidR="00D64F77">
        <w:rPr>
          <w:rFonts w:ascii="Arial" w:hAnsi="Arial"/>
        </w:rPr>
        <w:t xml:space="preserve">the </w:t>
      </w:r>
      <w:r w:rsidR="00D64F77" w:rsidRPr="00893C72">
        <w:rPr>
          <w:rFonts w:ascii="Arial" w:hAnsi="Arial"/>
        </w:rPr>
        <w:t xml:space="preserve">Chartered Institute of Legal Executives, </w:t>
      </w:r>
      <w:r w:rsidR="00D64F77">
        <w:rPr>
          <w:rFonts w:ascii="Arial" w:hAnsi="Arial"/>
        </w:rPr>
        <w:t xml:space="preserve">the </w:t>
      </w:r>
      <w:r w:rsidR="00D64F77" w:rsidRPr="00893C72">
        <w:rPr>
          <w:rFonts w:ascii="Arial" w:hAnsi="Arial"/>
        </w:rPr>
        <w:t xml:space="preserve">Council for Licensed </w:t>
      </w:r>
      <w:r w:rsidR="00D64F77" w:rsidRPr="0072583C">
        <w:rPr>
          <w:rFonts w:ascii="Arial" w:hAnsi="Arial"/>
        </w:rPr>
        <w:t>Conveyancers and the Solicitors Regulation Authority)</w:t>
      </w:r>
      <w:r w:rsidR="006127C9">
        <w:rPr>
          <w:rFonts w:ascii="Arial" w:hAnsi="Arial"/>
        </w:rPr>
        <w:t>,</w:t>
      </w:r>
      <w:r w:rsidR="00645D35">
        <w:rPr>
          <w:rFonts w:ascii="Arial" w:hAnsi="Arial"/>
        </w:rPr>
        <w:t xml:space="preserve"> </w:t>
      </w:r>
      <w:r w:rsidR="006E408C">
        <w:rPr>
          <w:rFonts w:ascii="Arial" w:hAnsi="Arial"/>
        </w:rPr>
        <w:t>described</w:t>
      </w:r>
      <w:r w:rsidR="00D64F77" w:rsidRPr="0072583C">
        <w:rPr>
          <w:rFonts w:ascii="Arial" w:hAnsi="Arial"/>
        </w:rPr>
        <w:t xml:space="preserve"> itself as “… the independent body responsible for overseeing the regulation of lawyers in England and Wales. Our goal is to reform and modernise the legal services market place by putting the interests of consumers at the heart of the system, reflecting the objectives of the statute that created us, the Legal Services Act 2007</w:t>
      </w:r>
      <w:r w:rsidR="0094629D">
        <w:rPr>
          <w:rFonts w:ascii="Arial" w:hAnsi="Arial"/>
        </w:rPr>
        <w:t>” (Legal Services Board, 2011</w:t>
      </w:r>
      <w:r w:rsidR="00BD2AF2">
        <w:rPr>
          <w:rFonts w:ascii="Arial" w:hAnsi="Arial"/>
        </w:rPr>
        <w:t>).</w:t>
      </w:r>
    </w:p>
    <w:p w:rsidR="00CD1C14" w:rsidRPr="00CD1C14" w:rsidRDefault="00CD1C14">
      <w:pPr>
        <w:pStyle w:val="Body"/>
        <w:rPr>
          <w:rFonts w:ascii="Arial" w:hAnsi="Arial"/>
          <w:b/>
          <w:lang w:val="en-US"/>
        </w:rPr>
      </w:pPr>
      <w:r w:rsidRPr="00CD1C14">
        <w:rPr>
          <w:rFonts w:ascii="Arial" w:hAnsi="Arial"/>
          <w:b/>
        </w:rPr>
        <w:t>The Solicitors Qualifying Examination</w:t>
      </w:r>
    </w:p>
    <w:p w:rsidR="003673CB" w:rsidRDefault="0025141A" w:rsidP="006172B7">
      <w:pPr>
        <w:pStyle w:val="Body"/>
        <w:rPr>
          <w:rFonts w:ascii="Arial" w:hAnsi="Arial"/>
          <w:lang w:val="en-US"/>
        </w:rPr>
      </w:pPr>
      <w:r>
        <w:rPr>
          <w:rFonts w:ascii="Arial" w:hAnsi="Arial"/>
          <w:lang w:val="en-US"/>
        </w:rPr>
        <w:t xml:space="preserve">It is in this context that the Solicitors Regulation Authority (SRA) have </w:t>
      </w:r>
      <w:r w:rsidR="00EC50C4">
        <w:rPr>
          <w:rFonts w:ascii="Arial" w:hAnsi="Arial"/>
          <w:lang w:val="en-US"/>
        </w:rPr>
        <w:t xml:space="preserve">outlined </w:t>
      </w:r>
      <w:r>
        <w:rPr>
          <w:rFonts w:ascii="Arial" w:hAnsi="Arial"/>
          <w:lang w:val="en-US"/>
        </w:rPr>
        <w:t xml:space="preserve">radical changes to </w:t>
      </w:r>
      <w:r w:rsidR="0094470B">
        <w:rPr>
          <w:rFonts w:ascii="Arial" w:hAnsi="Arial"/>
          <w:lang w:val="en-US"/>
        </w:rPr>
        <w:t>the way in which s</w:t>
      </w:r>
      <w:r>
        <w:rPr>
          <w:rFonts w:ascii="Arial" w:hAnsi="Arial"/>
          <w:lang w:val="en-US"/>
        </w:rPr>
        <w:t xml:space="preserve">olicitors </w:t>
      </w:r>
      <w:r w:rsidR="00D64F77">
        <w:rPr>
          <w:rFonts w:ascii="Arial" w:hAnsi="Arial"/>
          <w:lang w:val="en-US"/>
        </w:rPr>
        <w:t>wil</w:t>
      </w:r>
      <w:r w:rsidR="00B75C6D">
        <w:rPr>
          <w:rFonts w:ascii="Arial" w:hAnsi="Arial"/>
          <w:lang w:val="en-US"/>
        </w:rPr>
        <w:t xml:space="preserve">l qualify from September 2021, proposing the introduction of </w:t>
      </w:r>
      <w:r w:rsidR="00D64F77">
        <w:rPr>
          <w:rFonts w:ascii="Arial" w:hAnsi="Arial"/>
          <w:lang w:val="en-US"/>
        </w:rPr>
        <w:t>centrally set and assessed examinations of legal knowledge and procedure, ethics and legal skills</w:t>
      </w:r>
      <w:r w:rsidR="0094470B">
        <w:rPr>
          <w:rFonts w:ascii="Arial" w:hAnsi="Arial"/>
          <w:lang w:val="en-US"/>
        </w:rPr>
        <w:t>,</w:t>
      </w:r>
      <w:r w:rsidR="00D64F77">
        <w:rPr>
          <w:rFonts w:ascii="Arial" w:hAnsi="Arial"/>
          <w:lang w:val="en-US"/>
        </w:rPr>
        <w:t xml:space="preserve"> to be known as the Solicitors Qualifying Examination (SQE).</w:t>
      </w:r>
      <w:r w:rsidR="00645D35">
        <w:rPr>
          <w:rFonts w:ascii="Arial" w:hAnsi="Arial"/>
          <w:lang w:val="en-US"/>
        </w:rPr>
        <w:t xml:space="preserve"> </w:t>
      </w:r>
      <w:r w:rsidR="00B0607D">
        <w:rPr>
          <w:rFonts w:ascii="Arial" w:hAnsi="Arial"/>
          <w:lang w:val="en-US"/>
        </w:rPr>
        <w:t xml:space="preserve">The framework for the proposal has already been approved </w:t>
      </w:r>
      <w:r w:rsidR="00CD1C14">
        <w:rPr>
          <w:rFonts w:ascii="Arial" w:hAnsi="Arial"/>
          <w:lang w:val="en-US"/>
        </w:rPr>
        <w:t xml:space="preserve">(LSB, 2018) </w:t>
      </w:r>
      <w:r w:rsidR="00B0607D">
        <w:rPr>
          <w:rFonts w:ascii="Arial" w:hAnsi="Arial"/>
          <w:lang w:val="en-US"/>
        </w:rPr>
        <w:t xml:space="preserve">and, although final approval is still outstanding, the general expectation is that SQE will go ahead from </w:t>
      </w:r>
      <w:r w:rsidR="00E229A0">
        <w:rPr>
          <w:rFonts w:ascii="Arial" w:hAnsi="Arial"/>
          <w:lang w:val="en-US"/>
        </w:rPr>
        <w:t xml:space="preserve">Autumn </w:t>
      </w:r>
      <w:r w:rsidR="00B0607D">
        <w:rPr>
          <w:rFonts w:ascii="Arial" w:hAnsi="Arial"/>
          <w:lang w:val="en-US"/>
        </w:rPr>
        <w:t xml:space="preserve">2021. </w:t>
      </w:r>
      <w:r w:rsidR="007A215B">
        <w:rPr>
          <w:rFonts w:ascii="Arial" w:hAnsi="Arial"/>
          <w:lang w:val="en-US"/>
        </w:rPr>
        <w:t xml:space="preserve">Few </w:t>
      </w:r>
      <w:r w:rsidR="00436B1A">
        <w:rPr>
          <w:rFonts w:ascii="Arial" w:hAnsi="Arial"/>
          <w:lang w:val="en-US"/>
        </w:rPr>
        <w:t xml:space="preserve">UK </w:t>
      </w:r>
      <w:r w:rsidR="007A215B">
        <w:rPr>
          <w:rFonts w:ascii="Arial" w:hAnsi="Arial"/>
          <w:lang w:val="en-US"/>
        </w:rPr>
        <w:t>law schools can afford to ignore these changes.</w:t>
      </w:r>
      <w:r w:rsidR="00645D35" w:rsidRPr="00645D35">
        <w:rPr>
          <w:rFonts w:ascii="Arial" w:hAnsi="Arial"/>
          <w:lang w:val="en-US"/>
        </w:rPr>
        <w:t xml:space="preserve"> </w:t>
      </w:r>
    </w:p>
    <w:p w:rsidR="00233917" w:rsidRDefault="007A215B" w:rsidP="006172B7">
      <w:pPr>
        <w:pStyle w:val="Body"/>
        <w:rPr>
          <w:rFonts w:ascii="Arial" w:hAnsi="Arial"/>
          <w:lang w:val="en-US"/>
        </w:rPr>
      </w:pPr>
      <w:r w:rsidRPr="006172B7">
        <w:rPr>
          <w:rFonts w:ascii="Arial" w:hAnsi="Arial"/>
          <w:lang w:val="en-US"/>
        </w:rPr>
        <w:t xml:space="preserve">The Bar Standards Board are introducing </w:t>
      </w:r>
      <w:r w:rsidR="005A3842">
        <w:rPr>
          <w:rFonts w:ascii="Arial" w:hAnsi="Arial"/>
          <w:lang w:val="en-US"/>
        </w:rPr>
        <w:t xml:space="preserve">similar </w:t>
      </w:r>
      <w:r w:rsidRPr="006172B7">
        <w:rPr>
          <w:rFonts w:ascii="Arial" w:hAnsi="Arial"/>
          <w:lang w:val="en-US"/>
        </w:rPr>
        <w:t xml:space="preserve">changes </w:t>
      </w:r>
      <w:r w:rsidR="00B0607D">
        <w:rPr>
          <w:rFonts w:ascii="Arial" w:hAnsi="Arial"/>
          <w:lang w:val="en-US"/>
        </w:rPr>
        <w:t xml:space="preserve">for Barristers </w:t>
      </w:r>
      <w:r w:rsidR="0087563B" w:rsidRPr="006172B7">
        <w:rPr>
          <w:rFonts w:ascii="Arial" w:hAnsi="Arial"/>
        </w:rPr>
        <w:t>(Bar Standards Board, 2019)</w:t>
      </w:r>
      <w:r w:rsidR="00BD2AF2">
        <w:rPr>
          <w:rFonts w:ascii="Arial" w:hAnsi="Arial"/>
        </w:rPr>
        <w:t xml:space="preserve">, </w:t>
      </w:r>
      <w:r w:rsidR="00BD2AF2">
        <w:rPr>
          <w:rFonts w:ascii="Arial" w:hAnsi="Arial"/>
          <w:lang w:val="en-US"/>
        </w:rPr>
        <w:t xml:space="preserve">but </w:t>
      </w:r>
      <w:r w:rsidRPr="006172B7">
        <w:rPr>
          <w:rFonts w:ascii="Arial" w:hAnsi="Arial"/>
          <w:lang w:val="en-US"/>
        </w:rPr>
        <w:t xml:space="preserve">they are less radical </w:t>
      </w:r>
      <w:r w:rsidR="00F157BC">
        <w:rPr>
          <w:rFonts w:ascii="Arial" w:hAnsi="Arial"/>
          <w:lang w:val="en-US"/>
        </w:rPr>
        <w:t xml:space="preserve">and </w:t>
      </w:r>
      <w:r w:rsidRPr="006172B7">
        <w:rPr>
          <w:rFonts w:ascii="Arial" w:hAnsi="Arial"/>
          <w:lang w:val="en-US"/>
        </w:rPr>
        <w:t>retain the existing stages of qualification</w:t>
      </w:r>
      <w:r w:rsidR="005A3842" w:rsidRPr="006172B7">
        <w:rPr>
          <w:rFonts w:ascii="Arial" w:hAnsi="Arial"/>
        </w:rPr>
        <w:t xml:space="preserve"> </w:t>
      </w:r>
      <w:r w:rsidR="0087563B" w:rsidRPr="006172B7">
        <w:rPr>
          <w:rFonts w:ascii="Arial" w:hAnsi="Arial"/>
          <w:lang w:val="en-US"/>
        </w:rPr>
        <w:t xml:space="preserve">envisaged by </w:t>
      </w:r>
      <w:r w:rsidR="00F157BC">
        <w:rPr>
          <w:rFonts w:ascii="Arial" w:hAnsi="Arial"/>
          <w:lang w:val="en-US"/>
        </w:rPr>
        <w:t>the</w:t>
      </w:r>
      <w:r w:rsidR="0087563B">
        <w:rPr>
          <w:rFonts w:ascii="Arial" w:hAnsi="Arial"/>
          <w:lang w:val="en-US"/>
        </w:rPr>
        <w:t xml:space="preserve"> </w:t>
      </w:r>
      <w:r w:rsidR="0087563B" w:rsidRPr="006172B7">
        <w:rPr>
          <w:rFonts w:ascii="Arial" w:hAnsi="Arial"/>
          <w:lang w:val="en-US"/>
        </w:rPr>
        <w:t>Ormrod</w:t>
      </w:r>
      <w:r w:rsidR="0087563B">
        <w:rPr>
          <w:rFonts w:ascii="Arial" w:hAnsi="Arial"/>
          <w:lang w:val="en-US"/>
        </w:rPr>
        <w:t xml:space="preserve"> Report</w:t>
      </w:r>
      <w:r w:rsidR="005A3842">
        <w:rPr>
          <w:rFonts w:ascii="Arial" w:hAnsi="Arial"/>
        </w:rPr>
        <w:t>;</w:t>
      </w:r>
      <w:r w:rsidR="005A3842">
        <w:rPr>
          <w:rFonts w:ascii="Arial" w:hAnsi="Arial"/>
          <w:lang w:val="en-US"/>
        </w:rPr>
        <w:t xml:space="preserve"> </w:t>
      </w:r>
      <w:r w:rsidR="005A3842" w:rsidRPr="006172B7">
        <w:rPr>
          <w:rFonts w:ascii="Arial" w:hAnsi="Arial"/>
        </w:rPr>
        <w:t xml:space="preserve">academic, professional (comprising institutional training and ‘in-training’) and continuing education or training </w:t>
      </w:r>
      <w:r w:rsidR="006172B7" w:rsidRPr="006172B7">
        <w:rPr>
          <w:rFonts w:ascii="Arial" w:hAnsi="Arial"/>
        </w:rPr>
        <w:t>(Ormrod, 1971, para 185).</w:t>
      </w:r>
      <w:r w:rsidR="005C4EEF">
        <w:rPr>
          <w:rFonts w:ascii="Arial" w:hAnsi="Arial"/>
        </w:rPr>
        <w:t xml:space="preserve"> </w:t>
      </w:r>
      <w:r w:rsidR="006172B7">
        <w:rPr>
          <w:rFonts w:ascii="Arial" w:hAnsi="Arial"/>
          <w:lang w:val="en-US"/>
        </w:rPr>
        <w:t xml:space="preserve">The Ormrod requirement for a graduate profession led to the establishment of what </w:t>
      </w:r>
      <w:r w:rsidR="00F157BC">
        <w:rPr>
          <w:rFonts w:ascii="Arial" w:hAnsi="Arial"/>
          <w:lang w:val="en-US"/>
        </w:rPr>
        <w:t>has beco</w:t>
      </w:r>
      <w:r w:rsidR="006172B7">
        <w:rPr>
          <w:rFonts w:ascii="Arial" w:hAnsi="Arial"/>
          <w:lang w:val="en-US"/>
        </w:rPr>
        <w:t xml:space="preserve">me known as the Qualifying Law Degree as the first stage of qualification for Barristers or Solicitors. Law Schools are free to offer any law syllabus they choose, taught and assessed as they see fit, provided the degree has been validated as required within their University and the wider HE sector. But </w:t>
      </w:r>
      <w:r w:rsidR="00C27D48">
        <w:rPr>
          <w:rFonts w:ascii="Arial" w:hAnsi="Arial"/>
          <w:lang w:val="en-US"/>
        </w:rPr>
        <w:t xml:space="preserve">for the course </w:t>
      </w:r>
      <w:r w:rsidR="006172B7">
        <w:rPr>
          <w:rFonts w:ascii="Arial" w:hAnsi="Arial"/>
          <w:lang w:val="en-US"/>
        </w:rPr>
        <w:t>to be recognised for the purposes of professional qualification it must meet the professions’ stated requirements for a Qualifying Law Degree</w:t>
      </w:r>
      <w:r w:rsidR="00BD2AF2">
        <w:rPr>
          <w:rFonts w:ascii="Arial" w:hAnsi="Arial"/>
          <w:lang w:val="en-US"/>
        </w:rPr>
        <w:t xml:space="preserve">, </w:t>
      </w:r>
      <w:r w:rsidR="00EC50C4">
        <w:rPr>
          <w:rFonts w:ascii="Arial" w:hAnsi="Arial"/>
          <w:lang w:val="en-US"/>
        </w:rPr>
        <w:t xml:space="preserve">which were </w:t>
      </w:r>
      <w:r w:rsidR="00BD2AF2">
        <w:rPr>
          <w:rFonts w:ascii="Arial" w:hAnsi="Arial"/>
          <w:lang w:val="en-US"/>
        </w:rPr>
        <w:t>until recently articulated in a Joint Statement (Joint Academic Stage Board, 2012)</w:t>
      </w:r>
      <w:r w:rsidR="006172B7">
        <w:rPr>
          <w:rFonts w:ascii="Arial" w:hAnsi="Arial"/>
          <w:lang w:val="en-US"/>
        </w:rPr>
        <w:t xml:space="preserve">. </w:t>
      </w:r>
      <w:r w:rsidR="005A3842">
        <w:rPr>
          <w:rFonts w:ascii="Arial" w:hAnsi="Arial"/>
          <w:lang w:val="en-US"/>
        </w:rPr>
        <w:t>At present,</w:t>
      </w:r>
      <w:r w:rsidR="00BD2AF2">
        <w:rPr>
          <w:rFonts w:ascii="Arial" w:hAnsi="Arial"/>
          <w:lang w:val="en-US"/>
        </w:rPr>
        <w:t xml:space="preserve"> </w:t>
      </w:r>
      <w:r w:rsidR="003C32C4">
        <w:rPr>
          <w:rFonts w:ascii="Arial" w:hAnsi="Arial"/>
          <w:lang w:val="en-US"/>
        </w:rPr>
        <w:t xml:space="preserve">aspiring Barristers and Solicitors </w:t>
      </w:r>
      <w:r w:rsidR="00BD2AF2">
        <w:rPr>
          <w:rFonts w:ascii="Arial" w:hAnsi="Arial"/>
          <w:lang w:val="en-US"/>
        </w:rPr>
        <w:t>go on to take the Bar Professional Training Course or the Legal Practice Cour</w:t>
      </w:r>
      <w:r w:rsidR="003C32C4">
        <w:rPr>
          <w:rFonts w:ascii="Arial" w:hAnsi="Arial"/>
          <w:lang w:val="en-US"/>
        </w:rPr>
        <w:t>se to be taught and assessed in the legal knowledge, procedure</w:t>
      </w:r>
      <w:r w:rsidR="005154CE">
        <w:rPr>
          <w:rFonts w:ascii="Arial" w:hAnsi="Arial"/>
          <w:lang w:val="en-US"/>
        </w:rPr>
        <w:t>, ethics</w:t>
      </w:r>
      <w:r w:rsidR="003C32C4">
        <w:rPr>
          <w:rFonts w:ascii="Arial" w:hAnsi="Arial"/>
          <w:lang w:val="en-US"/>
        </w:rPr>
        <w:t xml:space="preserve"> and skills appropriate to their chosen branch of the profession</w:t>
      </w:r>
      <w:r w:rsidR="00B0607D">
        <w:rPr>
          <w:rFonts w:ascii="Arial" w:hAnsi="Arial"/>
          <w:lang w:val="en-US"/>
        </w:rPr>
        <w:t xml:space="preserve">. </w:t>
      </w:r>
      <w:r w:rsidR="003C32C4">
        <w:rPr>
          <w:rFonts w:ascii="Arial" w:hAnsi="Arial"/>
          <w:lang w:val="en-US"/>
        </w:rPr>
        <w:t>Finally, candidates undertake supervised work experience as Pupil Barristers or Trainee Solicitors to complete their initial professional training.</w:t>
      </w:r>
      <w:r w:rsidR="003673CB">
        <w:rPr>
          <w:rFonts w:ascii="Arial" w:hAnsi="Arial"/>
          <w:lang w:val="en-US"/>
        </w:rPr>
        <w:t xml:space="preserve"> </w:t>
      </w:r>
      <w:r w:rsidR="003673CB" w:rsidRPr="006172B7">
        <w:rPr>
          <w:rFonts w:ascii="Arial" w:hAnsi="Arial"/>
          <w:lang w:val="en-US"/>
        </w:rPr>
        <w:t xml:space="preserve">This chapter will focus on the </w:t>
      </w:r>
      <w:r w:rsidR="003673CB">
        <w:rPr>
          <w:rFonts w:ascii="Arial" w:hAnsi="Arial"/>
          <w:lang w:val="en-US"/>
        </w:rPr>
        <w:t>changes to the way in which solicitors will qualify in the future (SRA 2017).</w:t>
      </w:r>
    </w:p>
    <w:p w:rsidR="003803E2" w:rsidRDefault="006172B7" w:rsidP="005C4EEF">
      <w:pPr>
        <w:pStyle w:val="Body"/>
        <w:shd w:val="clear" w:color="auto" w:fill="FFFFFF" w:themeFill="background1"/>
        <w:rPr>
          <w:rFonts w:ascii="Arial" w:hAnsi="Arial"/>
          <w:lang w:val="en-US"/>
        </w:rPr>
      </w:pPr>
      <w:r>
        <w:rPr>
          <w:rFonts w:ascii="Arial" w:hAnsi="Arial"/>
          <w:lang w:val="en-US"/>
        </w:rPr>
        <w:t>The SRA</w:t>
      </w:r>
      <w:r w:rsidR="007A215B">
        <w:rPr>
          <w:rFonts w:ascii="Arial" w:hAnsi="Arial"/>
          <w:lang w:val="en-US"/>
        </w:rPr>
        <w:t xml:space="preserve"> proposals abandon the requirements for a qualifying law degree, the Legal Practice Course and a </w:t>
      </w:r>
      <w:r w:rsidR="003673CB">
        <w:rPr>
          <w:rFonts w:ascii="Arial" w:hAnsi="Arial"/>
          <w:lang w:val="en-US"/>
        </w:rPr>
        <w:t>t</w:t>
      </w:r>
      <w:r w:rsidR="007A215B">
        <w:rPr>
          <w:rFonts w:ascii="Arial" w:hAnsi="Arial"/>
          <w:lang w:val="en-US"/>
        </w:rPr>
        <w:t xml:space="preserve">raining </w:t>
      </w:r>
      <w:r w:rsidR="003673CB">
        <w:rPr>
          <w:rFonts w:ascii="Arial" w:hAnsi="Arial"/>
          <w:lang w:val="en-US"/>
        </w:rPr>
        <w:t>c</w:t>
      </w:r>
      <w:r w:rsidR="007A215B">
        <w:rPr>
          <w:rFonts w:ascii="Arial" w:hAnsi="Arial"/>
          <w:lang w:val="en-US"/>
        </w:rPr>
        <w:t>ontract. These are replaced by the requirement for a degree (or equivalent), not necessarily in law, and passing two centrally set assessments – the Solicitors Qualifying Examination Stages 1 and 2. Intending solicitors must also undertake qualifying work experience supervised by a solicitor, although the solicitor’s role is limited to ensuring they have an oppor</w:t>
      </w:r>
      <w:r w:rsidR="00233917">
        <w:rPr>
          <w:rFonts w:ascii="Arial" w:hAnsi="Arial"/>
          <w:lang w:val="en-US"/>
        </w:rPr>
        <w:t>tunity to learn from experience</w:t>
      </w:r>
      <w:r w:rsidR="007A215B">
        <w:rPr>
          <w:rFonts w:ascii="Arial" w:hAnsi="Arial"/>
          <w:lang w:val="en-US"/>
        </w:rPr>
        <w:t>. Finally, candidates must pass character and suitability requirements.</w:t>
      </w:r>
      <w:r w:rsidR="000043A1">
        <w:rPr>
          <w:rFonts w:ascii="Arial" w:hAnsi="Arial"/>
          <w:lang w:val="en-US"/>
        </w:rPr>
        <w:t xml:space="preserve"> </w:t>
      </w:r>
      <w:r w:rsidR="000043A1" w:rsidRPr="000043A1">
        <w:rPr>
          <w:rFonts w:ascii="Arial" w:hAnsi="Arial"/>
          <w:lang w:val="en-US"/>
        </w:rPr>
        <w:t xml:space="preserve">The </w:t>
      </w:r>
      <w:r w:rsidR="000043A1">
        <w:rPr>
          <w:rFonts w:ascii="Arial" w:hAnsi="Arial"/>
          <w:lang w:val="en-US"/>
        </w:rPr>
        <w:t xml:space="preserve">proposed </w:t>
      </w:r>
      <w:r w:rsidR="000043A1" w:rsidRPr="000043A1">
        <w:rPr>
          <w:rFonts w:ascii="Arial" w:hAnsi="Arial"/>
          <w:lang w:val="en-US"/>
        </w:rPr>
        <w:t xml:space="preserve">SQE Stage 1 assesses ‘Functioning </w:t>
      </w:r>
      <w:r w:rsidR="000043A1" w:rsidRPr="000043A1">
        <w:rPr>
          <w:rFonts w:ascii="Arial" w:hAnsi="Arial"/>
          <w:lang w:val="en-US"/>
        </w:rPr>
        <w:lastRenderedPageBreak/>
        <w:t xml:space="preserve">Legal Knowledge’ in three multiple choice question papers: 1) </w:t>
      </w:r>
      <w:r w:rsidR="000043A1">
        <w:rPr>
          <w:rFonts w:ascii="Arial" w:hAnsi="Arial" w:cs="Arial"/>
          <w:color w:val="333333"/>
          <w:shd w:val="clear" w:color="auto" w:fill="FFFFFF"/>
        </w:rPr>
        <w:t>Business, Dispute Resolution, Contract, T</w:t>
      </w:r>
      <w:r w:rsidR="000043A1" w:rsidRPr="000043A1">
        <w:rPr>
          <w:rFonts w:ascii="Arial" w:hAnsi="Arial" w:cs="Arial"/>
          <w:color w:val="333333"/>
          <w:shd w:val="clear" w:color="auto" w:fill="FFFFFF"/>
        </w:rPr>
        <w:t>ort, 2) Propert</w:t>
      </w:r>
      <w:r w:rsidR="000043A1">
        <w:rPr>
          <w:rFonts w:ascii="Arial" w:hAnsi="Arial" w:cs="Arial"/>
          <w:color w:val="333333"/>
          <w:shd w:val="clear" w:color="auto" w:fill="FFFFFF"/>
        </w:rPr>
        <w:t>y</w:t>
      </w:r>
      <w:r w:rsidR="000043A1" w:rsidRPr="000043A1">
        <w:rPr>
          <w:rFonts w:ascii="Arial" w:hAnsi="Arial" w:cs="Arial"/>
          <w:color w:val="333333"/>
          <w:shd w:val="clear" w:color="auto" w:fill="FFFFFF"/>
        </w:rPr>
        <w:t xml:space="preserve">, Wills, Solicitors Accountants and 3) Public Law, Legal System, Regulation, Criminal. </w:t>
      </w:r>
      <w:r w:rsidR="000043A1">
        <w:rPr>
          <w:rFonts w:ascii="Arial" w:hAnsi="Arial" w:cs="Arial"/>
          <w:color w:val="333333"/>
          <w:shd w:val="clear" w:color="auto" w:fill="FFFFFF"/>
        </w:rPr>
        <w:t>There is also a Legal Skills assessment on Legal Research and Writing</w:t>
      </w:r>
      <w:r w:rsidR="005154CE">
        <w:rPr>
          <w:rFonts w:ascii="Arial" w:hAnsi="Arial" w:cs="Arial"/>
          <w:color w:val="333333"/>
          <w:shd w:val="clear" w:color="auto" w:fill="FFFFFF"/>
        </w:rPr>
        <w:t xml:space="preserve"> (SRA, 2019). </w:t>
      </w:r>
      <w:r w:rsidR="00B87DA2">
        <w:rPr>
          <w:rFonts w:ascii="Arial" w:hAnsi="Arial" w:cs="Arial"/>
          <w:color w:val="333333"/>
          <w:shd w:val="clear" w:color="auto" w:fill="FFFFFF"/>
        </w:rPr>
        <w:t>All assessments are centrally set and assessed</w:t>
      </w:r>
      <w:r w:rsidR="000043A1">
        <w:rPr>
          <w:rFonts w:ascii="Arial" w:hAnsi="Arial" w:cs="Arial"/>
          <w:color w:val="333333"/>
          <w:shd w:val="clear" w:color="auto" w:fill="FFFFFF"/>
        </w:rPr>
        <w:t>.</w:t>
      </w:r>
      <w:r w:rsidR="005C4EEF">
        <w:rPr>
          <w:rFonts w:ascii="Arial" w:hAnsi="Arial" w:cs="Arial"/>
          <w:color w:val="333333"/>
          <w:shd w:val="clear" w:color="auto" w:fill="FFFFFF"/>
        </w:rPr>
        <w:t xml:space="preserve"> </w:t>
      </w:r>
      <w:r w:rsidR="007A215B">
        <w:rPr>
          <w:rFonts w:ascii="Arial" w:hAnsi="Arial"/>
          <w:lang w:val="en-US"/>
        </w:rPr>
        <w:t xml:space="preserve">SQE 2 comprises </w:t>
      </w:r>
      <w:r w:rsidR="007A215B">
        <w:rPr>
          <w:rFonts w:ascii="Arial" w:hAnsi="Arial"/>
        </w:rPr>
        <w:t xml:space="preserve">five </w:t>
      </w:r>
      <w:r w:rsidR="007A215B">
        <w:rPr>
          <w:rFonts w:ascii="Arial" w:hAnsi="Arial"/>
          <w:lang w:val="en-US"/>
        </w:rPr>
        <w:t>skills assessments that must be taken and passed in two practice contexts of the candidate’s choice, making a total of ten assessments</w:t>
      </w:r>
      <w:r w:rsidR="00B87DA2">
        <w:rPr>
          <w:rFonts w:ascii="Arial" w:hAnsi="Arial"/>
          <w:lang w:val="en-US"/>
        </w:rPr>
        <w:t xml:space="preserve">. The skills are: Client Interviewing, Advocacy/Persuasive Oral Communication, Case and Matter Analysis, Legal Research </w:t>
      </w:r>
      <w:r w:rsidR="00436B1A">
        <w:rPr>
          <w:rFonts w:ascii="Arial" w:hAnsi="Arial"/>
          <w:lang w:val="en-US"/>
        </w:rPr>
        <w:t xml:space="preserve">&amp; </w:t>
      </w:r>
      <w:r w:rsidR="00B87DA2">
        <w:rPr>
          <w:rFonts w:ascii="Arial" w:hAnsi="Arial"/>
          <w:lang w:val="en-US"/>
        </w:rPr>
        <w:t>Written Advice and</w:t>
      </w:r>
      <w:r w:rsidR="00EC246A">
        <w:rPr>
          <w:rFonts w:ascii="Arial" w:hAnsi="Arial"/>
          <w:lang w:val="en-US"/>
        </w:rPr>
        <w:t xml:space="preserve"> Legal Drafting. </w:t>
      </w:r>
      <w:r w:rsidR="00B87DA2">
        <w:rPr>
          <w:rFonts w:ascii="Arial" w:hAnsi="Arial"/>
          <w:lang w:val="en-US"/>
        </w:rPr>
        <w:t xml:space="preserve">The practice contexts are: </w:t>
      </w:r>
      <w:r w:rsidR="00B87DA2">
        <w:rPr>
          <w:rFonts w:ascii="Arial" w:hAnsi="Arial"/>
        </w:rPr>
        <w:t>Criminal Practice</w:t>
      </w:r>
      <w:r w:rsidR="00B87DA2">
        <w:rPr>
          <w:rFonts w:ascii="Arial" w:hAnsi="Arial"/>
          <w:lang w:val="de-DE"/>
        </w:rPr>
        <w:t>, Dispute Resolution</w:t>
      </w:r>
      <w:r w:rsidR="00436B1A">
        <w:rPr>
          <w:rFonts w:ascii="Arial" w:hAnsi="Arial"/>
          <w:lang w:val="en-US"/>
        </w:rPr>
        <w:t>, Property, Wills &amp;</w:t>
      </w:r>
      <w:r w:rsidR="00B87DA2">
        <w:rPr>
          <w:rFonts w:ascii="Arial" w:hAnsi="Arial"/>
          <w:lang w:val="en-US"/>
        </w:rPr>
        <w:t xml:space="preserve"> the Admi</w:t>
      </w:r>
      <w:r w:rsidR="00436B1A">
        <w:rPr>
          <w:rFonts w:ascii="Arial" w:hAnsi="Arial"/>
          <w:lang w:val="en-US"/>
        </w:rPr>
        <w:t>nistration of Estates</w:t>
      </w:r>
      <w:r w:rsidR="00B87DA2">
        <w:rPr>
          <w:rFonts w:ascii="Arial" w:hAnsi="Arial"/>
          <w:lang w:val="en-US"/>
        </w:rPr>
        <w:t xml:space="preserve"> and</w:t>
      </w:r>
      <w:r w:rsidR="00436B1A">
        <w:rPr>
          <w:rFonts w:ascii="Arial" w:hAnsi="Arial"/>
          <w:lang w:val="en-US"/>
        </w:rPr>
        <w:t xml:space="preserve"> Commercial &amp;</w:t>
      </w:r>
      <w:r w:rsidR="00EC246A">
        <w:rPr>
          <w:rFonts w:ascii="Arial" w:hAnsi="Arial"/>
          <w:lang w:val="en-US"/>
        </w:rPr>
        <w:t xml:space="preserve"> Corporate Practice. </w:t>
      </w:r>
      <w:r w:rsidR="007A215B">
        <w:rPr>
          <w:rFonts w:ascii="Arial" w:hAnsi="Arial"/>
          <w:lang w:val="en-US"/>
        </w:rPr>
        <w:t>SQE 2 assessments are likely to last one hour and involve the use of simulated clients</w:t>
      </w:r>
      <w:r w:rsidR="00EC246A">
        <w:rPr>
          <w:rFonts w:ascii="Arial" w:hAnsi="Arial"/>
          <w:lang w:val="en-US"/>
        </w:rPr>
        <w:t xml:space="preserve">. </w:t>
      </w:r>
      <w:r w:rsidR="007A215B">
        <w:rPr>
          <w:rFonts w:ascii="Arial" w:hAnsi="Arial"/>
          <w:lang w:val="en-US"/>
        </w:rPr>
        <w:t>Both SQE 1 and SQE 2 assessments will include unflagged ethical questions.</w:t>
      </w:r>
      <w:r w:rsidR="007A215B">
        <w:rPr>
          <w:lang w:val="en-US"/>
        </w:rPr>
        <w:t xml:space="preserve"> </w:t>
      </w:r>
      <w:r w:rsidR="007A215B">
        <w:rPr>
          <w:rFonts w:ascii="Arial" w:hAnsi="Arial"/>
          <w:lang w:val="en-US"/>
        </w:rPr>
        <w:t>The SRA will provide candidates with their scores for each of the modules, but will not provide grades for the exami</w:t>
      </w:r>
      <w:r w:rsidR="003C32C4">
        <w:rPr>
          <w:rFonts w:ascii="Arial" w:hAnsi="Arial"/>
          <w:lang w:val="en-US"/>
        </w:rPr>
        <w:t>nations beyond "pass" or "fail"</w:t>
      </w:r>
      <w:r w:rsidR="007A215B">
        <w:rPr>
          <w:lang w:val="en-US"/>
        </w:rPr>
        <w:t xml:space="preserve"> </w:t>
      </w:r>
      <w:r w:rsidR="003C32C4">
        <w:rPr>
          <w:rFonts w:ascii="Arial" w:hAnsi="Arial"/>
          <w:lang w:val="en-US"/>
        </w:rPr>
        <w:t xml:space="preserve">(Solicitors Regulation Authority, 2019). </w:t>
      </w:r>
      <w:r w:rsidR="007A215B">
        <w:rPr>
          <w:rFonts w:ascii="Arial" w:hAnsi="Arial"/>
          <w:lang w:val="en-US"/>
        </w:rPr>
        <w:t>The SRA expect that many candidates will take SQE part 1 before their work-based experience, and SQE part 2 at the end of their work experience</w:t>
      </w:r>
      <w:r w:rsidR="003C32C4">
        <w:rPr>
          <w:rFonts w:ascii="Arial" w:hAnsi="Arial"/>
          <w:lang w:val="en-US"/>
        </w:rPr>
        <w:t xml:space="preserve">. </w:t>
      </w:r>
      <w:r w:rsidR="007A215B">
        <w:rPr>
          <w:rFonts w:ascii="Arial" w:hAnsi="Arial"/>
          <w:lang w:val="en-US"/>
        </w:rPr>
        <w:t>However, some City Law Firms have already indicated their intention to get their trainees to pass SQE 1 and SQE 2 as early as possible at the start of their work-based experience</w:t>
      </w:r>
      <w:r w:rsidR="00CC28AF">
        <w:rPr>
          <w:rFonts w:ascii="Arial" w:hAnsi="Arial"/>
          <w:lang w:val="en-US"/>
        </w:rPr>
        <w:t xml:space="preserve"> </w:t>
      </w:r>
      <w:r w:rsidR="00F157BC">
        <w:rPr>
          <w:rFonts w:ascii="Arial" w:hAnsi="Arial"/>
          <w:lang w:val="en-US"/>
        </w:rPr>
        <w:t xml:space="preserve">so that as much of their training as possible can focus on the specialisms they will practice </w:t>
      </w:r>
      <w:r w:rsidR="00CC28AF">
        <w:rPr>
          <w:rFonts w:ascii="Arial" w:hAnsi="Arial"/>
          <w:lang w:val="en-US"/>
        </w:rPr>
        <w:t>(Law Society Gazette, 2018</w:t>
      </w:r>
      <w:r w:rsidR="005E0441">
        <w:rPr>
          <w:rFonts w:ascii="Arial" w:hAnsi="Arial"/>
          <w:lang w:val="en-US"/>
        </w:rPr>
        <w:t>a</w:t>
      </w:r>
      <w:r w:rsidR="00CC28AF">
        <w:rPr>
          <w:rFonts w:ascii="Arial" w:hAnsi="Arial"/>
          <w:lang w:val="en-US"/>
        </w:rPr>
        <w:t>).</w:t>
      </w:r>
    </w:p>
    <w:p w:rsidR="00CD1C14" w:rsidRPr="00CD1C14" w:rsidRDefault="00CD1C14" w:rsidP="005C4EEF">
      <w:pPr>
        <w:pStyle w:val="Body"/>
        <w:shd w:val="clear" w:color="auto" w:fill="FFFFFF" w:themeFill="background1"/>
        <w:rPr>
          <w:rFonts w:ascii="Arial" w:hAnsi="Arial"/>
          <w:b/>
          <w:lang w:val="en-US"/>
        </w:rPr>
      </w:pPr>
      <w:r w:rsidRPr="00CD1C14">
        <w:rPr>
          <w:rFonts w:ascii="Arial" w:hAnsi="Arial"/>
          <w:b/>
          <w:lang w:val="en-US"/>
        </w:rPr>
        <w:t>Concerns about the Solicitors Qualifying Examination</w:t>
      </w:r>
    </w:p>
    <w:p w:rsidR="003803E2" w:rsidRPr="005C4EEF" w:rsidRDefault="00EC50C4">
      <w:pPr>
        <w:pStyle w:val="Body"/>
        <w:rPr>
          <w:rFonts w:ascii="Arial" w:hAnsi="Arial"/>
          <w:lang w:val="en-US"/>
        </w:rPr>
      </w:pPr>
      <w:r>
        <w:rPr>
          <w:rFonts w:ascii="Arial" w:hAnsi="Arial"/>
          <w:lang w:val="en-US"/>
        </w:rPr>
        <w:t>One key</w:t>
      </w:r>
      <w:r w:rsidR="007A215B">
        <w:rPr>
          <w:rFonts w:ascii="Arial" w:hAnsi="Arial"/>
          <w:lang w:val="en-US"/>
        </w:rPr>
        <w:t xml:space="preserve"> difference between the proposals and the current arrangements is that a law degree or equivalent is no longer required for qualification. Another is that </w:t>
      </w:r>
      <w:r w:rsidR="005C4EEF">
        <w:rPr>
          <w:rFonts w:ascii="Arial" w:hAnsi="Arial"/>
          <w:lang w:val="en-US"/>
        </w:rPr>
        <w:t xml:space="preserve">in future neither </w:t>
      </w:r>
      <w:r w:rsidR="007A215B">
        <w:rPr>
          <w:rFonts w:ascii="Arial" w:hAnsi="Arial"/>
          <w:lang w:val="en-US"/>
        </w:rPr>
        <w:t xml:space="preserve">the </w:t>
      </w:r>
      <w:r w:rsidR="00BD0532">
        <w:rPr>
          <w:rFonts w:ascii="Arial" w:hAnsi="Arial"/>
          <w:lang w:val="en-US"/>
        </w:rPr>
        <w:t>law schools</w:t>
      </w:r>
      <w:r w:rsidR="007A215B">
        <w:rPr>
          <w:rFonts w:ascii="Arial" w:hAnsi="Arial"/>
          <w:lang w:val="en-US"/>
        </w:rPr>
        <w:t xml:space="preserve"> </w:t>
      </w:r>
      <w:r w:rsidR="005C4EEF">
        <w:rPr>
          <w:rFonts w:ascii="Arial" w:hAnsi="Arial"/>
          <w:lang w:val="en-US"/>
        </w:rPr>
        <w:t>n</w:t>
      </w:r>
      <w:r w:rsidR="007A215B">
        <w:rPr>
          <w:rFonts w:ascii="Arial" w:hAnsi="Arial"/>
          <w:lang w:val="en-US"/>
        </w:rPr>
        <w:t xml:space="preserve">or the profession </w:t>
      </w:r>
      <w:r w:rsidR="005C4EEF">
        <w:rPr>
          <w:rFonts w:ascii="Arial" w:hAnsi="Arial"/>
          <w:lang w:val="en-US"/>
        </w:rPr>
        <w:t xml:space="preserve">are </w:t>
      </w:r>
      <w:r w:rsidR="00F157BC">
        <w:rPr>
          <w:rFonts w:ascii="Arial" w:hAnsi="Arial"/>
          <w:lang w:val="en-US"/>
        </w:rPr>
        <w:t xml:space="preserve">to </w:t>
      </w:r>
      <w:r w:rsidR="007A215B">
        <w:rPr>
          <w:rFonts w:ascii="Arial" w:hAnsi="Arial"/>
          <w:lang w:val="en-US"/>
        </w:rPr>
        <w:t>be involved in the certification of competence to practic</w:t>
      </w:r>
      <w:r w:rsidR="00CC28AF">
        <w:rPr>
          <w:rFonts w:ascii="Arial" w:hAnsi="Arial"/>
          <w:lang w:val="en-US"/>
        </w:rPr>
        <w:t>e (Solicitors Regulation Authority, 20</w:t>
      </w:r>
      <w:r w:rsidR="00462675">
        <w:rPr>
          <w:rFonts w:ascii="Arial" w:hAnsi="Arial"/>
          <w:lang w:val="en-US"/>
        </w:rPr>
        <w:t>17</w:t>
      </w:r>
      <w:r w:rsidR="00CC28AF">
        <w:rPr>
          <w:rFonts w:ascii="Arial" w:hAnsi="Arial"/>
          <w:lang w:val="en-US"/>
        </w:rPr>
        <w:t xml:space="preserve">). </w:t>
      </w:r>
      <w:r w:rsidR="007A215B">
        <w:rPr>
          <w:rFonts w:ascii="Arial" w:hAnsi="Arial"/>
          <w:lang w:val="en-US"/>
        </w:rPr>
        <w:t xml:space="preserve">At present the </w:t>
      </w:r>
      <w:r w:rsidR="003673CB">
        <w:rPr>
          <w:rFonts w:ascii="Arial" w:hAnsi="Arial"/>
          <w:lang w:val="en-US"/>
        </w:rPr>
        <w:t>l</w:t>
      </w:r>
      <w:r w:rsidR="007A215B">
        <w:rPr>
          <w:rFonts w:ascii="Arial" w:hAnsi="Arial"/>
          <w:lang w:val="en-US"/>
        </w:rPr>
        <w:t xml:space="preserve">aw </w:t>
      </w:r>
      <w:r w:rsidR="003673CB">
        <w:rPr>
          <w:rFonts w:ascii="Arial" w:hAnsi="Arial"/>
          <w:lang w:val="en-US"/>
        </w:rPr>
        <w:t>s</w:t>
      </w:r>
      <w:r w:rsidR="007A215B">
        <w:rPr>
          <w:rFonts w:ascii="Arial" w:hAnsi="Arial"/>
          <w:lang w:val="en-US"/>
        </w:rPr>
        <w:t xml:space="preserve">chools certify sufficiency of legal </w:t>
      </w:r>
      <w:r w:rsidR="00CC28AF">
        <w:rPr>
          <w:rFonts w:ascii="Arial" w:hAnsi="Arial"/>
          <w:lang w:val="en-US"/>
        </w:rPr>
        <w:t xml:space="preserve">knowledge (by awarding a qualifying law degree </w:t>
      </w:r>
      <w:r w:rsidR="007A215B" w:rsidRPr="00CC28AF">
        <w:rPr>
          <w:rFonts w:ascii="Arial" w:hAnsi="Arial"/>
          <w:lang w:val="en-US"/>
        </w:rPr>
        <w:t xml:space="preserve">or </w:t>
      </w:r>
      <w:r w:rsidR="00CC28AF">
        <w:rPr>
          <w:rFonts w:ascii="Arial" w:hAnsi="Arial"/>
          <w:lang w:val="en-US"/>
        </w:rPr>
        <w:t xml:space="preserve">a </w:t>
      </w:r>
      <w:r w:rsidR="007A215B" w:rsidRPr="00CC28AF">
        <w:rPr>
          <w:rFonts w:ascii="Arial" w:hAnsi="Arial"/>
          <w:lang w:val="en-US"/>
        </w:rPr>
        <w:t>Graduate Diploma in Legal Studie</w:t>
      </w:r>
      <w:r w:rsidR="00CC28AF" w:rsidRPr="00CC28AF">
        <w:rPr>
          <w:rFonts w:ascii="Arial" w:hAnsi="Arial"/>
          <w:lang w:val="en-US"/>
        </w:rPr>
        <w:t>s</w:t>
      </w:r>
      <w:r w:rsidR="00CC28AF">
        <w:rPr>
          <w:rFonts w:ascii="Arial" w:hAnsi="Arial"/>
        </w:rPr>
        <w:t xml:space="preserve">) and </w:t>
      </w:r>
      <w:r w:rsidR="007A215B" w:rsidRPr="00CC28AF">
        <w:rPr>
          <w:rFonts w:ascii="Arial" w:hAnsi="Arial"/>
          <w:lang w:val="en-US"/>
        </w:rPr>
        <w:t>sufficiency of procedural kno</w:t>
      </w:r>
      <w:r w:rsidR="007A215B">
        <w:rPr>
          <w:rFonts w:ascii="Arial" w:hAnsi="Arial"/>
          <w:lang w:val="en-US"/>
        </w:rPr>
        <w:t>wledge and professional skills (Bar Vocational Course,</w:t>
      </w:r>
      <w:r w:rsidR="00436B1A">
        <w:rPr>
          <w:rFonts w:ascii="Arial" w:hAnsi="Arial"/>
          <w:lang w:val="en-US"/>
        </w:rPr>
        <w:t xml:space="preserve"> Legal Practice Course) and </w:t>
      </w:r>
      <w:r w:rsidR="007A215B">
        <w:rPr>
          <w:rFonts w:ascii="Arial" w:hAnsi="Arial"/>
          <w:lang w:val="en-US"/>
        </w:rPr>
        <w:t>professional prac</w:t>
      </w:r>
      <w:r w:rsidR="003C32C4">
        <w:rPr>
          <w:rFonts w:ascii="Arial" w:hAnsi="Arial"/>
          <w:lang w:val="en-US"/>
        </w:rPr>
        <w:t>ti</w:t>
      </w:r>
      <w:r w:rsidR="007A215B">
        <w:rPr>
          <w:rFonts w:ascii="Arial" w:hAnsi="Arial"/>
          <w:lang w:val="en-US"/>
        </w:rPr>
        <w:t>tioners certify fitness to practice following supervised ‘in-training’ as a Pupil Barrister or Trainee Solicitor.</w:t>
      </w:r>
      <w:r w:rsidR="005E0441">
        <w:rPr>
          <w:rFonts w:ascii="Arial" w:hAnsi="Arial"/>
          <w:lang w:val="en-US"/>
        </w:rPr>
        <w:t xml:space="preserve"> During the consultation process</w:t>
      </w:r>
      <w:r w:rsidR="00436B1A">
        <w:rPr>
          <w:rFonts w:ascii="Arial" w:hAnsi="Arial"/>
          <w:lang w:val="en-US"/>
        </w:rPr>
        <w:t>,</w:t>
      </w:r>
      <w:r w:rsidR="005E0441">
        <w:rPr>
          <w:rFonts w:ascii="Arial" w:hAnsi="Arial"/>
          <w:lang w:val="en-US"/>
        </w:rPr>
        <w:t xml:space="preserve"> the SRA expressed concern about differential pass rates on LPC courses and assumed that the reason must be differential assessment standards (as opposed to entry standards or teaching standards)</w:t>
      </w:r>
      <w:r w:rsidR="00D161AD">
        <w:rPr>
          <w:rFonts w:ascii="Arial" w:hAnsi="Arial"/>
          <w:lang w:val="en-US"/>
        </w:rPr>
        <w:t xml:space="preserve"> </w:t>
      </w:r>
      <w:r w:rsidR="005E0441">
        <w:rPr>
          <w:rFonts w:ascii="Arial" w:hAnsi="Arial"/>
          <w:lang w:val="en-US"/>
        </w:rPr>
        <w:t>(SRA 2011). They did</w:t>
      </w:r>
      <w:r w:rsidR="00D161AD">
        <w:rPr>
          <w:rFonts w:ascii="Arial" w:hAnsi="Arial"/>
          <w:lang w:val="en-US"/>
        </w:rPr>
        <w:t xml:space="preserve"> not expressly</w:t>
      </w:r>
      <w:r w:rsidR="005E0441">
        <w:rPr>
          <w:rFonts w:ascii="Arial" w:hAnsi="Arial"/>
          <w:lang w:val="en-US"/>
        </w:rPr>
        <w:t xml:space="preserve"> say but might be assumed to have been equally worried about incompetent solicitors being able to sign off incomp</w:t>
      </w:r>
      <w:r w:rsidR="009E0FA0">
        <w:rPr>
          <w:rFonts w:ascii="Arial" w:hAnsi="Arial"/>
          <w:lang w:val="en-US"/>
        </w:rPr>
        <w:t xml:space="preserve">etent trainees to become </w:t>
      </w:r>
      <w:r w:rsidR="005E0441">
        <w:rPr>
          <w:rFonts w:ascii="Arial" w:hAnsi="Arial"/>
          <w:lang w:val="en-US"/>
        </w:rPr>
        <w:t>incompetent solicitors</w:t>
      </w:r>
      <w:r w:rsidR="009E0FA0">
        <w:rPr>
          <w:rFonts w:ascii="Arial" w:hAnsi="Arial"/>
          <w:lang w:val="en-US"/>
        </w:rPr>
        <w:t xml:space="preserve"> of the future</w:t>
      </w:r>
      <w:r w:rsidR="005E0441">
        <w:rPr>
          <w:rFonts w:ascii="Arial" w:hAnsi="Arial"/>
          <w:lang w:val="en-US"/>
        </w:rPr>
        <w:t xml:space="preserve">. In any event, they have taken control of the assessment of day one competence </w:t>
      </w:r>
      <w:r w:rsidR="00F157BC">
        <w:rPr>
          <w:rFonts w:ascii="Arial" w:hAnsi="Arial"/>
          <w:lang w:val="en-US"/>
        </w:rPr>
        <w:t xml:space="preserve">themselves </w:t>
      </w:r>
      <w:r w:rsidR="005E0441">
        <w:rPr>
          <w:rFonts w:ascii="Arial" w:hAnsi="Arial"/>
          <w:lang w:val="en-US"/>
        </w:rPr>
        <w:t>and hired a private training company, Kaplan, to administer the SQE for them (Law Society Gazette, 2018</w:t>
      </w:r>
      <w:r w:rsidR="009E0FA0">
        <w:rPr>
          <w:rFonts w:ascii="Arial" w:hAnsi="Arial"/>
          <w:lang w:val="en-US"/>
        </w:rPr>
        <w:t>b</w:t>
      </w:r>
      <w:r w:rsidR="005E0441">
        <w:rPr>
          <w:rFonts w:ascii="Arial" w:hAnsi="Arial"/>
          <w:lang w:val="en-US"/>
        </w:rPr>
        <w:t>).</w:t>
      </w:r>
      <w:r w:rsidR="009E0FA0">
        <w:rPr>
          <w:rFonts w:ascii="Arial" w:hAnsi="Arial"/>
          <w:lang w:val="en-US"/>
        </w:rPr>
        <w:t xml:space="preserve"> </w:t>
      </w:r>
      <w:r w:rsidR="002372EF">
        <w:rPr>
          <w:rFonts w:ascii="Arial" w:hAnsi="Arial"/>
          <w:lang w:val="en-US"/>
        </w:rPr>
        <w:t>This is a significant reduction of professional self-regulation and does</w:t>
      </w:r>
      <w:r w:rsidR="00D161AD">
        <w:rPr>
          <w:rFonts w:ascii="Arial" w:hAnsi="Arial"/>
          <w:lang w:val="en-US"/>
        </w:rPr>
        <w:t xml:space="preserve"> not</w:t>
      </w:r>
      <w:r w:rsidR="002372EF">
        <w:rPr>
          <w:rFonts w:ascii="Arial" w:hAnsi="Arial"/>
          <w:lang w:val="en-US"/>
        </w:rPr>
        <w:t xml:space="preserve"> appear to carry the profession’s support (Hall, 2017). </w:t>
      </w:r>
      <w:r w:rsidR="009E0FA0">
        <w:rPr>
          <w:rFonts w:ascii="Arial" w:hAnsi="Arial"/>
          <w:lang w:val="en-US"/>
        </w:rPr>
        <w:t xml:space="preserve">No one doubts the right and responsibility of the SRA to act in the public interest </w:t>
      </w:r>
      <w:r w:rsidR="002372EF">
        <w:rPr>
          <w:rFonts w:ascii="Arial" w:hAnsi="Arial"/>
          <w:lang w:val="en-US"/>
        </w:rPr>
        <w:t xml:space="preserve">to ensure </w:t>
      </w:r>
      <w:r w:rsidR="009E0FA0">
        <w:rPr>
          <w:rFonts w:ascii="Arial" w:hAnsi="Arial"/>
          <w:lang w:val="en-US"/>
        </w:rPr>
        <w:t>that newly qualified solicitors demonstrate high and consistent standards of competence</w:t>
      </w:r>
      <w:r w:rsidR="00D161AD">
        <w:rPr>
          <w:rFonts w:ascii="Arial" w:hAnsi="Arial"/>
          <w:lang w:val="en-US"/>
        </w:rPr>
        <w:t>,</w:t>
      </w:r>
      <w:r w:rsidR="009E0FA0">
        <w:rPr>
          <w:rFonts w:ascii="Arial" w:hAnsi="Arial"/>
          <w:lang w:val="en-US"/>
        </w:rPr>
        <w:t xml:space="preserve"> but m</w:t>
      </w:r>
      <w:r w:rsidR="007A215B">
        <w:rPr>
          <w:rFonts w:ascii="Arial" w:hAnsi="Arial"/>
          <w:lang w:val="en-US"/>
        </w:rPr>
        <w:t>any of the stakeholders consulted by the SRA have expressed considerable concern as to whether the SQE is a necessary reform or fit fo</w:t>
      </w:r>
      <w:r w:rsidR="00436B1A">
        <w:rPr>
          <w:rFonts w:ascii="Arial" w:hAnsi="Arial"/>
          <w:lang w:val="en-US"/>
        </w:rPr>
        <w:t xml:space="preserve">r purpose. Concerns include </w:t>
      </w:r>
      <w:r w:rsidR="007A215B">
        <w:rPr>
          <w:rFonts w:ascii="Arial" w:hAnsi="Arial"/>
          <w:lang w:val="en-US"/>
        </w:rPr>
        <w:t>loss of status as a graduate profession (particularly with regard to competitor law firms internationally), a refusal to benchmark the QAA against the national qualifications framewor</w:t>
      </w:r>
      <w:r w:rsidR="007F3175">
        <w:rPr>
          <w:rFonts w:ascii="Arial" w:hAnsi="Arial"/>
          <w:lang w:val="en-US"/>
        </w:rPr>
        <w:t xml:space="preserve">k </w:t>
      </w:r>
      <w:r w:rsidR="007A215B">
        <w:rPr>
          <w:rFonts w:ascii="Arial" w:hAnsi="Arial"/>
          <w:lang w:val="en-US"/>
        </w:rPr>
        <w:t>and whether the SQE is in effect a lowering of entry standards. Another concern is the inability for cand</w:t>
      </w:r>
      <w:r w:rsidR="00F157BC">
        <w:rPr>
          <w:rFonts w:ascii="Arial" w:hAnsi="Arial"/>
          <w:lang w:val="en-US"/>
        </w:rPr>
        <w:t>idates to qualify in specialist</w:t>
      </w:r>
      <w:r w:rsidR="007A215B">
        <w:rPr>
          <w:rFonts w:ascii="Arial" w:hAnsi="Arial"/>
          <w:lang w:val="en-US"/>
        </w:rPr>
        <w:t xml:space="preserve"> areas ranging from Employment Law &amp; Family Law to Intellectual Pro</w:t>
      </w:r>
      <w:r w:rsidR="002372EF">
        <w:rPr>
          <w:rFonts w:ascii="Arial" w:hAnsi="Arial"/>
          <w:lang w:val="en-US"/>
        </w:rPr>
        <w:t>perty and Mergers &amp; Acquisitions</w:t>
      </w:r>
      <w:r w:rsidR="00D161AD">
        <w:rPr>
          <w:rFonts w:ascii="Arial" w:hAnsi="Arial"/>
          <w:lang w:val="en-US"/>
        </w:rPr>
        <w:t xml:space="preserve"> (SRA, 2016</w:t>
      </w:r>
      <w:r w:rsidR="00057A9B">
        <w:rPr>
          <w:rFonts w:ascii="Arial" w:hAnsi="Arial"/>
          <w:lang w:val="en-US"/>
        </w:rPr>
        <w:t>a</w:t>
      </w:r>
      <w:r w:rsidR="00D161AD">
        <w:rPr>
          <w:rFonts w:ascii="Arial" w:hAnsi="Arial"/>
          <w:lang w:val="en-US"/>
        </w:rPr>
        <w:t>)</w:t>
      </w:r>
      <w:r w:rsidR="002372EF">
        <w:rPr>
          <w:rFonts w:ascii="Arial" w:hAnsi="Arial"/>
          <w:lang w:val="en-US"/>
        </w:rPr>
        <w:t>.</w:t>
      </w:r>
      <w:r w:rsidR="009E0FA0">
        <w:rPr>
          <w:rFonts w:ascii="Arial" w:hAnsi="Arial"/>
          <w:lang w:val="en-US"/>
        </w:rPr>
        <w:t xml:space="preserve"> </w:t>
      </w:r>
      <w:r w:rsidR="007A215B">
        <w:rPr>
          <w:rFonts w:ascii="Arial" w:hAnsi="Arial"/>
          <w:lang w:val="en-US"/>
        </w:rPr>
        <w:t>Despite the project being entitled ‘Trainin</w:t>
      </w:r>
      <w:r w:rsidR="00436B1A">
        <w:rPr>
          <w:rFonts w:ascii="Arial" w:hAnsi="Arial"/>
          <w:lang w:val="en-US"/>
        </w:rPr>
        <w:t>g for Tomorrow’, the idea of a</w:t>
      </w:r>
      <w:r w:rsidR="007A215B">
        <w:rPr>
          <w:rFonts w:ascii="Arial" w:hAnsi="Arial"/>
          <w:lang w:val="en-US"/>
        </w:rPr>
        <w:t xml:space="preserve"> general practitioner of law is </w:t>
      </w:r>
      <w:r w:rsidR="009E0FA0">
        <w:rPr>
          <w:rFonts w:ascii="Arial" w:hAnsi="Arial"/>
          <w:lang w:val="en-US"/>
        </w:rPr>
        <w:t>anomalous</w:t>
      </w:r>
      <w:r w:rsidR="00057A9B">
        <w:rPr>
          <w:rFonts w:ascii="Arial" w:hAnsi="Arial"/>
          <w:lang w:val="en-US"/>
        </w:rPr>
        <w:t>, since</w:t>
      </w:r>
      <w:r w:rsidR="007A215B">
        <w:rPr>
          <w:rFonts w:ascii="Arial" w:hAnsi="Arial"/>
          <w:lang w:val="en-US"/>
        </w:rPr>
        <w:t xml:space="preserve"> modern </w:t>
      </w:r>
      <w:r w:rsidR="00057A9B">
        <w:rPr>
          <w:rFonts w:ascii="Arial" w:hAnsi="Arial"/>
          <w:lang w:val="en-US"/>
        </w:rPr>
        <w:t>s</w:t>
      </w:r>
      <w:r w:rsidR="007A215B">
        <w:rPr>
          <w:rFonts w:ascii="Arial" w:hAnsi="Arial"/>
          <w:lang w:val="en-US"/>
        </w:rPr>
        <w:t>olicitors are all specialist</w:t>
      </w:r>
      <w:r w:rsidR="00E229A0">
        <w:rPr>
          <w:rFonts w:ascii="Arial" w:hAnsi="Arial"/>
          <w:lang w:val="en-US"/>
        </w:rPr>
        <w:t>s</w:t>
      </w:r>
      <w:r w:rsidR="007A215B">
        <w:rPr>
          <w:rFonts w:ascii="Arial" w:hAnsi="Arial"/>
          <w:lang w:val="en-US"/>
        </w:rPr>
        <w:t xml:space="preserve"> to a greater or lesser extent</w:t>
      </w:r>
      <w:r w:rsidR="00785F8B">
        <w:rPr>
          <w:rFonts w:ascii="Arial" w:hAnsi="Arial"/>
          <w:lang w:val="en-US"/>
        </w:rPr>
        <w:t xml:space="preserve"> and likely to </w:t>
      </w:r>
      <w:r w:rsidR="009E0FA0">
        <w:rPr>
          <w:rFonts w:ascii="Arial" w:hAnsi="Arial"/>
          <w:lang w:val="en-US"/>
        </w:rPr>
        <w:t>be considered negligent if they were</w:t>
      </w:r>
      <w:r w:rsidR="00057A9B">
        <w:rPr>
          <w:rFonts w:ascii="Arial" w:hAnsi="Arial"/>
          <w:lang w:val="en-US"/>
        </w:rPr>
        <w:t xml:space="preserve"> not </w:t>
      </w:r>
      <w:r w:rsidR="008B4D1C">
        <w:rPr>
          <w:rFonts w:ascii="Arial" w:hAnsi="Arial"/>
          <w:lang w:val="en-US"/>
        </w:rPr>
        <w:t>(Legal Services Consumer Panel, 2010</w:t>
      </w:r>
      <w:r w:rsidR="00785F8B">
        <w:rPr>
          <w:rFonts w:ascii="Arial" w:hAnsi="Arial"/>
          <w:lang w:val="en-US"/>
        </w:rPr>
        <w:t>, para 4.13</w:t>
      </w:r>
      <w:r w:rsidR="008B4D1C">
        <w:rPr>
          <w:rFonts w:ascii="Arial" w:hAnsi="Arial"/>
          <w:lang w:val="en-US"/>
        </w:rPr>
        <w:t>).</w:t>
      </w:r>
      <w:r w:rsidR="007F3175">
        <w:rPr>
          <w:rFonts w:ascii="Arial" w:hAnsi="Arial"/>
          <w:lang w:val="en-US"/>
        </w:rPr>
        <w:t xml:space="preserve"> </w:t>
      </w:r>
      <w:r w:rsidR="005C4EEF">
        <w:rPr>
          <w:rFonts w:ascii="Arial" w:hAnsi="Arial"/>
          <w:lang w:val="en-US"/>
        </w:rPr>
        <w:t xml:space="preserve">Finally, </w:t>
      </w:r>
      <w:r w:rsidR="007A215B">
        <w:rPr>
          <w:rFonts w:ascii="Arial" w:hAnsi="Arial"/>
          <w:lang w:val="en-US"/>
        </w:rPr>
        <w:t xml:space="preserve">there are a number of concerns that the proposals will have a negative impact on </w:t>
      </w:r>
      <w:r>
        <w:rPr>
          <w:rFonts w:ascii="Arial" w:hAnsi="Arial"/>
          <w:lang w:val="en-US"/>
        </w:rPr>
        <w:t>equality of entry into</w:t>
      </w:r>
      <w:r w:rsidR="007A215B">
        <w:rPr>
          <w:rFonts w:ascii="Arial" w:hAnsi="Arial"/>
          <w:lang w:val="en-US"/>
        </w:rPr>
        <w:t xml:space="preserve"> the profession. It is not </w:t>
      </w:r>
      <w:r w:rsidR="007A215B">
        <w:rPr>
          <w:rFonts w:ascii="Arial" w:hAnsi="Arial"/>
          <w:lang w:val="en-US"/>
        </w:rPr>
        <w:lastRenderedPageBreak/>
        <w:t>clear that the proposals will be any cheaper and the structure and nature of the assessments may have a negative impact on diversity by favouring candidates with aptitude for and experience of th</w:t>
      </w:r>
      <w:r w:rsidR="00436B1A">
        <w:rPr>
          <w:rFonts w:ascii="Arial" w:hAnsi="Arial"/>
          <w:lang w:val="en-US"/>
        </w:rPr>
        <w:t>e assessment methods relied on</w:t>
      </w:r>
      <w:r w:rsidR="00230603">
        <w:rPr>
          <w:rFonts w:ascii="Arial" w:hAnsi="Arial"/>
          <w:lang w:val="en-US"/>
        </w:rPr>
        <w:t xml:space="preserve"> and, </w:t>
      </w:r>
      <w:r w:rsidR="007A215B">
        <w:rPr>
          <w:rFonts w:ascii="Arial" w:hAnsi="Arial"/>
          <w:lang w:val="en-US"/>
        </w:rPr>
        <w:t>particularly, those that can afford additional tuition and revision support</w:t>
      </w:r>
      <w:r w:rsidR="00005419">
        <w:rPr>
          <w:rFonts w:ascii="Arial" w:hAnsi="Arial"/>
          <w:lang w:val="en-US"/>
        </w:rPr>
        <w:t xml:space="preserve"> </w:t>
      </w:r>
      <w:r w:rsidR="005C4EEF">
        <w:rPr>
          <w:rFonts w:ascii="Arial" w:hAnsi="Arial"/>
          <w:lang w:val="en-US"/>
        </w:rPr>
        <w:t>(</w:t>
      </w:r>
      <w:r w:rsidR="00005419">
        <w:rPr>
          <w:rFonts w:ascii="Arial" w:hAnsi="Arial"/>
          <w:lang w:val="en-US"/>
        </w:rPr>
        <w:t xml:space="preserve">City of London Law </w:t>
      </w:r>
      <w:r w:rsidR="00005419" w:rsidRPr="005C4EEF">
        <w:rPr>
          <w:rFonts w:ascii="Arial" w:hAnsi="Arial"/>
          <w:lang w:val="en-US"/>
        </w:rPr>
        <w:t>Society, 2018</w:t>
      </w:r>
      <w:r w:rsidR="00FF16C8" w:rsidRPr="005C4EEF">
        <w:rPr>
          <w:rFonts w:ascii="Arial" w:hAnsi="Arial"/>
          <w:lang w:val="en-US"/>
        </w:rPr>
        <w:t>a</w:t>
      </w:r>
      <w:r w:rsidR="00005419" w:rsidRPr="005C4EEF">
        <w:rPr>
          <w:rFonts w:ascii="Arial" w:hAnsi="Arial"/>
          <w:lang w:val="en-US"/>
        </w:rPr>
        <w:t>).</w:t>
      </w:r>
    </w:p>
    <w:p w:rsidR="005C4EEF" w:rsidRPr="005C4EEF" w:rsidRDefault="005C4EEF" w:rsidP="005C4EEF">
      <w:pPr>
        <w:pStyle w:val="NoSpacing"/>
        <w:rPr>
          <w:rFonts w:ascii="Arial" w:eastAsia="Arial" w:hAnsi="Arial" w:cs="Arial"/>
          <w:sz w:val="22"/>
          <w:szCs w:val="22"/>
        </w:rPr>
      </w:pPr>
      <w:r w:rsidRPr="005C4EEF">
        <w:rPr>
          <w:rFonts w:ascii="Arial" w:eastAsia="Arial" w:hAnsi="Arial" w:cs="Arial"/>
          <w:sz w:val="22"/>
          <w:szCs w:val="22"/>
        </w:rPr>
        <w:t>A recent special edition of the Law Teacher (2018, Vol 4)</w:t>
      </w:r>
      <w:r w:rsidR="00EC50C4">
        <w:rPr>
          <w:rFonts w:ascii="Arial" w:eastAsia="Arial" w:hAnsi="Arial" w:cs="Arial"/>
          <w:sz w:val="22"/>
          <w:szCs w:val="22"/>
        </w:rPr>
        <w:t>,</w:t>
      </w:r>
      <w:r w:rsidRPr="005C4EEF">
        <w:rPr>
          <w:rFonts w:ascii="Arial" w:eastAsia="Arial" w:hAnsi="Arial" w:cs="Arial"/>
          <w:sz w:val="22"/>
          <w:szCs w:val="22"/>
        </w:rPr>
        <w:t xml:space="preserve"> entitled </w:t>
      </w:r>
      <w:r w:rsidR="00EC50C4">
        <w:rPr>
          <w:rFonts w:ascii="Arial" w:eastAsia="Arial" w:hAnsi="Arial" w:cs="Arial"/>
          <w:sz w:val="22"/>
          <w:szCs w:val="22"/>
        </w:rPr>
        <w:t>‘</w:t>
      </w:r>
      <w:r w:rsidRPr="005C4EEF">
        <w:rPr>
          <w:rFonts w:ascii="Arial" w:eastAsia="Arial" w:hAnsi="Arial" w:cs="Arial"/>
          <w:sz w:val="22"/>
          <w:szCs w:val="22"/>
        </w:rPr>
        <w:t>From LETR to SQE: Reforming legal education and training in England and Wales</w:t>
      </w:r>
      <w:r w:rsidR="00EC50C4">
        <w:rPr>
          <w:rFonts w:ascii="Arial" w:eastAsia="Arial" w:hAnsi="Arial" w:cs="Arial"/>
          <w:sz w:val="22"/>
          <w:szCs w:val="22"/>
        </w:rPr>
        <w:t>’,</w:t>
      </w:r>
      <w:r w:rsidRPr="005C4EEF">
        <w:rPr>
          <w:rFonts w:ascii="Arial" w:eastAsia="Arial" w:hAnsi="Arial" w:cs="Arial"/>
          <w:sz w:val="22"/>
          <w:szCs w:val="22"/>
        </w:rPr>
        <w:t xml:space="preserve"> provides a detailed review of the SQE and identifies </w:t>
      </w:r>
      <w:r>
        <w:rPr>
          <w:rFonts w:ascii="Arial" w:eastAsia="Arial" w:hAnsi="Arial" w:cs="Arial"/>
          <w:sz w:val="22"/>
          <w:szCs w:val="22"/>
        </w:rPr>
        <w:t xml:space="preserve">many of the concerns that the Law Schools have. </w:t>
      </w:r>
      <w:r w:rsidRPr="005C4EEF">
        <w:rPr>
          <w:rFonts w:ascii="Arial" w:eastAsia="Arial" w:hAnsi="Arial" w:cs="Arial"/>
          <w:sz w:val="22"/>
          <w:szCs w:val="22"/>
        </w:rPr>
        <w:t xml:space="preserve">Mason &amp; Guth in their editorial ‘Re-claiming our discipline’ condemn the </w:t>
      </w:r>
      <w:r w:rsidRPr="005C4EEF">
        <w:rPr>
          <w:rFonts w:ascii="Arial" w:hAnsi="Arial" w:cs="Arial"/>
          <w:sz w:val="22"/>
          <w:szCs w:val="22"/>
        </w:rPr>
        <w:t xml:space="preserve">SRA reforms as inappropriate, ‘In our view not only are they significantly flawed in terms of their regulatory objective and pedagogy but they also do significant violence to law as an academic discipline …’ (Mason &amp; Guth, 2018). </w:t>
      </w:r>
      <w:r w:rsidRPr="005C4EEF">
        <w:rPr>
          <w:rFonts w:ascii="Arial" w:eastAsia="Arial" w:hAnsi="Arial" w:cs="Arial"/>
          <w:sz w:val="22"/>
          <w:szCs w:val="22"/>
        </w:rPr>
        <w:t>Mason warns that t</w:t>
      </w:r>
      <w:r w:rsidRPr="005C4EEF">
        <w:rPr>
          <w:rFonts w:ascii="Arial" w:hAnsi="Arial" w:cs="Arial"/>
          <w:sz w:val="22"/>
          <w:szCs w:val="22"/>
        </w:rPr>
        <w:t>he structure of SQE1 reduces law and the truth of legal propositions to the ability of a candidate to predict the application of legal thought by others. He call this ‘bleak legal realism</w:t>
      </w:r>
      <w:r w:rsidR="00057A9B">
        <w:rPr>
          <w:rFonts w:ascii="Arial" w:hAnsi="Arial" w:cs="Arial"/>
          <w:sz w:val="22"/>
          <w:szCs w:val="22"/>
        </w:rPr>
        <w:t>’</w:t>
      </w:r>
      <w:r w:rsidRPr="005C4EEF">
        <w:rPr>
          <w:rFonts w:ascii="Arial" w:hAnsi="Arial" w:cs="Arial"/>
          <w:sz w:val="22"/>
          <w:szCs w:val="22"/>
        </w:rPr>
        <w:t xml:space="preserve"> (Mason, 2018). Guth &amp; Dutton warn that SQE</w:t>
      </w:r>
      <w:r w:rsidR="00057A9B">
        <w:rPr>
          <w:rFonts w:ascii="Arial" w:hAnsi="Arial" w:cs="Arial"/>
          <w:sz w:val="22"/>
          <w:szCs w:val="22"/>
        </w:rPr>
        <w:t>-</w:t>
      </w:r>
      <w:r w:rsidRPr="005C4EEF">
        <w:rPr>
          <w:rFonts w:ascii="Arial" w:hAnsi="Arial" w:cs="Arial"/>
          <w:sz w:val="22"/>
          <w:szCs w:val="22"/>
        </w:rPr>
        <w:t>focused degrees will be dull, lacking options and theory, a poor preparation for legal practice and ha</w:t>
      </w:r>
      <w:r>
        <w:rPr>
          <w:rFonts w:ascii="Arial" w:hAnsi="Arial" w:cs="Arial"/>
          <w:sz w:val="22"/>
          <w:szCs w:val="22"/>
        </w:rPr>
        <w:t>ve</w:t>
      </w:r>
      <w:r w:rsidRPr="005C4EEF">
        <w:rPr>
          <w:rFonts w:ascii="Arial" w:hAnsi="Arial" w:cs="Arial"/>
          <w:sz w:val="22"/>
          <w:szCs w:val="22"/>
        </w:rPr>
        <w:t xml:space="preserve"> the potential to make the inequalities inherent in the legal education system worse (Guth &amp; Dutton, 2018). </w:t>
      </w:r>
      <w:r w:rsidRPr="005C4EEF">
        <w:rPr>
          <w:rFonts w:ascii="Arial" w:eastAsia="Arial" w:hAnsi="Arial" w:cs="Arial"/>
          <w:sz w:val="22"/>
          <w:szCs w:val="22"/>
        </w:rPr>
        <w:t xml:space="preserve">Morrison warns that </w:t>
      </w:r>
      <w:r w:rsidR="00057A9B">
        <w:rPr>
          <w:rFonts w:ascii="Arial" w:eastAsia="Arial" w:hAnsi="Arial" w:cs="Arial"/>
          <w:sz w:val="22"/>
          <w:szCs w:val="22"/>
        </w:rPr>
        <w:t>multiple choice</w:t>
      </w:r>
      <w:r w:rsidRPr="005C4EEF">
        <w:rPr>
          <w:rFonts w:ascii="Arial" w:eastAsia="Arial" w:hAnsi="Arial" w:cs="Arial"/>
          <w:sz w:val="22"/>
          <w:szCs w:val="22"/>
        </w:rPr>
        <w:t xml:space="preserve"> assessments may stifle creativity in learning and assessment (Morrison, 2018). Hall warns that MCQ </w:t>
      </w:r>
      <w:r w:rsidR="000B2336">
        <w:rPr>
          <w:rFonts w:ascii="Arial" w:eastAsia="Arial" w:hAnsi="Arial" w:cs="Arial"/>
          <w:sz w:val="22"/>
          <w:szCs w:val="22"/>
        </w:rPr>
        <w:t xml:space="preserve">assessments </w:t>
      </w:r>
      <w:r w:rsidRPr="005C4EEF">
        <w:rPr>
          <w:rFonts w:ascii="Arial" w:eastAsia="Arial" w:hAnsi="Arial" w:cs="Arial"/>
          <w:sz w:val="22"/>
          <w:szCs w:val="22"/>
        </w:rPr>
        <w:t>have the</w:t>
      </w:r>
      <w:r>
        <w:rPr>
          <w:rFonts w:ascii="Arial" w:eastAsia="Arial" w:hAnsi="Arial" w:cs="Arial"/>
          <w:sz w:val="22"/>
          <w:szCs w:val="22"/>
        </w:rPr>
        <w:t xml:space="preserve"> potential to</w:t>
      </w:r>
      <w:r w:rsidRPr="005C4EEF">
        <w:rPr>
          <w:rFonts w:ascii="Arial" w:eastAsia="Arial" w:hAnsi="Arial" w:cs="Arial"/>
          <w:sz w:val="22"/>
          <w:szCs w:val="22"/>
        </w:rPr>
        <w:t xml:space="preserve"> “trivialise content and threaten validity” (Hall, 2018). Bradney warns that any Law School claiming that their LLB offers advantages in passing the SQE may have to justify their claim to the Advertising Standards Authority and points to two recent complaints against the University of Law as an illustration (Bradney, 2018). </w:t>
      </w:r>
    </w:p>
    <w:p w:rsidR="005C4EEF" w:rsidRPr="00631F63" w:rsidRDefault="005C4EEF" w:rsidP="005C4EEF">
      <w:pPr>
        <w:pStyle w:val="PlainText"/>
        <w:rPr>
          <w:rFonts w:ascii="Arial" w:eastAsia="Arial" w:hAnsi="Arial" w:cs="Arial"/>
          <w:szCs w:val="22"/>
        </w:rPr>
      </w:pPr>
    </w:p>
    <w:p w:rsidR="005C4EEF" w:rsidRPr="00631F63" w:rsidRDefault="00057A9B" w:rsidP="005C4EEF">
      <w:pPr>
        <w:pStyle w:val="PlainText"/>
        <w:rPr>
          <w:rFonts w:ascii="Arial" w:hAnsi="Arial" w:cs="Arial"/>
          <w:szCs w:val="22"/>
        </w:rPr>
      </w:pPr>
      <w:r>
        <w:rPr>
          <w:rFonts w:ascii="Arial" w:hAnsi="Arial" w:cs="Arial"/>
          <w:szCs w:val="22"/>
        </w:rPr>
        <w:t xml:space="preserve">Even the authors of the Legal Education and Training Review (which preceded the SQE proposals) </w:t>
      </w:r>
      <w:r w:rsidR="000B2336">
        <w:rPr>
          <w:rFonts w:ascii="Arial" w:hAnsi="Arial" w:cs="Arial"/>
          <w:szCs w:val="22"/>
        </w:rPr>
        <w:t>doubt</w:t>
      </w:r>
      <w:r w:rsidR="005C4EEF" w:rsidRPr="00631F63">
        <w:rPr>
          <w:rFonts w:ascii="Arial" w:hAnsi="Arial" w:cs="Arial"/>
          <w:szCs w:val="22"/>
        </w:rPr>
        <w:t xml:space="preserve"> whether the SQE ca</w:t>
      </w:r>
      <w:r w:rsidR="002F3760">
        <w:rPr>
          <w:rFonts w:ascii="Arial" w:hAnsi="Arial" w:cs="Arial"/>
          <w:szCs w:val="22"/>
        </w:rPr>
        <w:t>n deliver its intended benefits:</w:t>
      </w:r>
    </w:p>
    <w:p w:rsidR="005C4EEF" w:rsidRPr="00631F63" w:rsidRDefault="005C4EEF" w:rsidP="005C4EEF">
      <w:pPr>
        <w:pStyle w:val="PlainText"/>
        <w:rPr>
          <w:rFonts w:ascii="Arial" w:hAnsi="Arial" w:cs="Arial"/>
          <w:szCs w:val="22"/>
        </w:rPr>
      </w:pPr>
    </w:p>
    <w:p w:rsidR="005C4EEF" w:rsidRPr="00631F63" w:rsidRDefault="005C4EEF" w:rsidP="005C4EEF">
      <w:pPr>
        <w:pStyle w:val="PlainText"/>
        <w:ind w:left="720"/>
        <w:rPr>
          <w:rFonts w:ascii="Arial" w:hAnsi="Arial" w:cs="Arial"/>
        </w:rPr>
      </w:pPr>
      <w:r w:rsidRPr="00631F63">
        <w:rPr>
          <w:rFonts w:ascii="Arial" w:hAnsi="Arial" w:cs="Arial"/>
          <w:szCs w:val="22"/>
        </w:rPr>
        <w:t>Critics of competence-based approaches have long raised concerns about the ability of competence frameworks to capt</w:t>
      </w:r>
      <w:r w:rsidRPr="00631F63">
        <w:rPr>
          <w:rFonts w:ascii="Arial" w:hAnsi="Arial" w:cs="Arial"/>
        </w:rPr>
        <w:t>ure the richness of hig</w:t>
      </w:r>
      <w:r w:rsidR="00631F63">
        <w:rPr>
          <w:rFonts w:ascii="Arial" w:hAnsi="Arial" w:cs="Arial"/>
        </w:rPr>
        <w:t>h level professional learning,</w:t>
      </w:r>
      <w:r w:rsidRPr="00631F63">
        <w:rPr>
          <w:rFonts w:ascii="Arial" w:hAnsi="Arial" w:cs="Arial"/>
        </w:rPr>
        <w:t xml:space="preserve"> and highlighted risks of both under- and over-inclusiveness. All of these problems may flow from the current design of the SQE.</w:t>
      </w:r>
      <w:r w:rsidR="00B551A2">
        <w:rPr>
          <w:rFonts w:ascii="Arial" w:hAnsi="Arial" w:cs="Arial"/>
        </w:rPr>
        <w:t xml:space="preserve"> </w:t>
      </w:r>
      <w:r w:rsidRPr="00631F63">
        <w:rPr>
          <w:rFonts w:ascii="Arial" w:hAnsi="Arial" w:cs="Arial"/>
        </w:rPr>
        <w:t>First, the breadth of the knowledge component (particularly in the SQE1) continues to lock training into a model of preparation for general practice that no longer exists. Combined with breadth assessment through primarily multiple choice questions, and we have a model that can be said to ensure baseline competence in only the most rudimentary sense. Secondly, while many of the core professional skills (research, oral and written communication, advocacy) are constants, newer capabilities are becoming critical. The Report highlighted commercial and social awareness (which is, at least in the commercial context, captured by the new outcomes), but capacities such as a proper understanding of legal tech, project management, and “design-thinking” are all examples of “new” areas of competence currently being emphasised in practice. … Thirdly, there is little to suggest that the SRA has done anything to address, particularly through its assessment design, the impoverished focus on ethics and professionalism, and particularly the need for a broader education in professional value</w:t>
      </w:r>
      <w:r w:rsidR="00E229A0">
        <w:rPr>
          <w:rFonts w:ascii="Arial" w:hAnsi="Arial" w:cs="Arial"/>
        </w:rPr>
        <w:t>s high-</w:t>
      </w:r>
      <w:r w:rsidR="002F3760">
        <w:rPr>
          <w:rFonts w:ascii="Arial" w:hAnsi="Arial" w:cs="Arial"/>
        </w:rPr>
        <w:t xml:space="preserve">lighted by the Report </w:t>
      </w:r>
      <w:r w:rsidRPr="00631F63">
        <w:rPr>
          <w:rFonts w:ascii="Arial" w:hAnsi="Arial" w:cs="Arial"/>
        </w:rPr>
        <w:t>(Ching et al, 2018).</w:t>
      </w:r>
    </w:p>
    <w:p w:rsidR="005C4EEF" w:rsidRPr="00F157BC" w:rsidRDefault="005C4EEF" w:rsidP="005C4EEF">
      <w:pPr>
        <w:pStyle w:val="PlainText"/>
        <w:rPr>
          <w:rFonts w:ascii="Arial" w:hAnsi="Arial" w:cs="Arial"/>
        </w:rPr>
      </w:pPr>
    </w:p>
    <w:p w:rsidR="00F157BC" w:rsidRPr="00F157BC" w:rsidRDefault="00462675" w:rsidP="00B551A2">
      <w:pPr>
        <w:pStyle w:val="PlainText"/>
        <w:rPr>
          <w:rFonts w:ascii="Arial" w:hAnsi="Arial" w:cs="Arial"/>
        </w:rPr>
      </w:pPr>
      <w:r>
        <w:rPr>
          <w:rFonts w:ascii="Arial" w:hAnsi="Arial" w:cs="Arial"/>
        </w:rPr>
        <w:t xml:space="preserve">Julian Webb has </w:t>
      </w:r>
      <w:r w:rsidR="00844C77">
        <w:rPr>
          <w:rFonts w:ascii="Arial" w:hAnsi="Arial" w:cs="Arial"/>
        </w:rPr>
        <w:t>additionally</w:t>
      </w:r>
      <w:r w:rsidR="00B551A2">
        <w:rPr>
          <w:rFonts w:ascii="Arial" w:hAnsi="Arial" w:cs="Arial"/>
        </w:rPr>
        <w:t xml:space="preserve"> </w:t>
      </w:r>
      <w:r w:rsidR="00844C77">
        <w:rPr>
          <w:rFonts w:ascii="Arial" w:hAnsi="Arial" w:cs="Arial"/>
        </w:rPr>
        <w:t>observed</w:t>
      </w:r>
      <w:r w:rsidR="00B551A2">
        <w:rPr>
          <w:rFonts w:ascii="Arial" w:hAnsi="Arial" w:cs="Arial"/>
        </w:rPr>
        <w:t xml:space="preserve"> that the SQE approach </w:t>
      </w:r>
      <w:r w:rsidR="00F157BC" w:rsidRPr="00F157BC">
        <w:rPr>
          <w:rFonts w:ascii="Arial" w:hAnsi="Arial" w:cs="Arial"/>
        </w:rPr>
        <w:t>does little to enable students to obtain a broad range of competences, including the capacity for emotional intelligence, ethical and values-based reasoning, critical and creative thinking, and the ability to deal with high levels</w:t>
      </w:r>
      <w:r w:rsidR="00B551A2">
        <w:rPr>
          <w:rFonts w:ascii="Arial" w:hAnsi="Arial" w:cs="Arial"/>
        </w:rPr>
        <w:t xml:space="preserve"> of complexity and uncertain</w:t>
      </w:r>
      <w:r w:rsidR="00844C77">
        <w:rPr>
          <w:rFonts w:ascii="Arial" w:hAnsi="Arial" w:cs="Arial"/>
        </w:rPr>
        <w:t>ty. He says that ‘b</w:t>
      </w:r>
      <w:r w:rsidR="00F157BC" w:rsidRPr="00F157BC">
        <w:rPr>
          <w:rFonts w:ascii="Arial" w:hAnsi="Arial" w:cs="Arial"/>
        </w:rPr>
        <w:t>y underplaying such attributes we do our students few favours, either intellectual</w:t>
      </w:r>
      <w:r w:rsidR="00844C77">
        <w:rPr>
          <w:rFonts w:ascii="Arial" w:hAnsi="Arial" w:cs="Arial"/>
        </w:rPr>
        <w:t>ly or in terms of employability’</w:t>
      </w:r>
      <w:r w:rsidR="00F157BC" w:rsidRPr="00F157BC">
        <w:rPr>
          <w:rFonts w:ascii="Arial" w:hAnsi="Arial" w:cs="Arial"/>
        </w:rPr>
        <w:t xml:space="preserve"> (Webb, 2017)</w:t>
      </w:r>
      <w:r w:rsidR="00844C77">
        <w:rPr>
          <w:rFonts w:ascii="Arial" w:hAnsi="Arial" w:cs="Arial"/>
        </w:rPr>
        <w:t>.</w:t>
      </w:r>
    </w:p>
    <w:p w:rsidR="00F157BC" w:rsidRPr="00F157BC" w:rsidRDefault="00F157BC" w:rsidP="005C4EEF">
      <w:pPr>
        <w:pStyle w:val="PlainText"/>
        <w:rPr>
          <w:rFonts w:ascii="Arial" w:hAnsi="Arial" w:cs="Arial"/>
        </w:rPr>
      </w:pPr>
    </w:p>
    <w:p w:rsidR="000B2336" w:rsidRDefault="007A215B" w:rsidP="00631F63">
      <w:pPr>
        <w:pStyle w:val="Body"/>
        <w:rPr>
          <w:rFonts w:ascii="Arial" w:hAnsi="Arial" w:cs="Arial"/>
        </w:rPr>
      </w:pPr>
      <w:r w:rsidRPr="00F157BC">
        <w:rPr>
          <w:rFonts w:ascii="Arial" w:hAnsi="Arial" w:cs="Arial"/>
          <w:lang w:val="en-US"/>
        </w:rPr>
        <w:t xml:space="preserve">The </w:t>
      </w:r>
      <w:r w:rsidR="00057A9B">
        <w:rPr>
          <w:rFonts w:ascii="Arial" w:hAnsi="Arial" w:cs="Arial"/>
          <w:lang w:val="en-US"/>
        </w:rPr>
        <w:t xml:space="preserve">SQE </w:t>
      </w:r>
      <w:r w:rsidRPr="00F157BC">
        <w:rPr>
          <w:rFonts w:ascii="Arial" w:hAnsi="Arial" w:cs="Arial"/>
          <w:lang w:val="en-US"/>
        </w:rPr>
        <w:t xml:space="preserve">proposals bundle up the legal knowledge required to pass a qualifying law degree with the procedure required to pass the LPC into the SQE Stage 1 and then test skills in the SQE Stage 2. The net effect is, potentially, to reduce the breadth and depth of legal </w:t>
      </w:r>
      <w:r w:rsidRPr="00F157BC">
        <w:rPr>
          <w:rFonts w:ascii="Arial" w:hAnsi="Arial" w:cs="Arial"/>
          <w:lang w:val="en-US"/>
        </w:rPr>
        <w:lastRenderedPageBreak/>
        <w:t xml:space="preserve">knowledge required to become a </w:t>
      </w:r>
      <w:r w:rsidR="00057A9B">
        <w:rPr>
          <w:rFonts w:ascii="Arial" w:hAnsi="Arial" w:cs="Arial"/>
          <w:lang w:val="en-US"/>
        </w:rPr>
        <w:t>s</w:t>
      </w:r>
      <w:r w:rsidRPr="00F157BC">
        <w:rPr>
          <w:rFonts w:ascii="Arial" w:hAnsi="Arial" w:cs="Arial"/>
          <w:lang w:val="en-US"/>
        </w:rPr>
        <w:t>olicitor</w:t>
      </w:r>
      <w:r>
        <w:rPr>
          <w:rFonts w:ascii="Arial" w:hAnsi="Arial"/>
          <w:lang w:val="en-US"/>
        </w:rPr>
        <w:t xml:space="preserve">. The SQE Stage 1 comprises online multiple choice questions (the consultation document suggests 120 questions per 3 hour paper) and appears to focus on straightforward legal issues set in </w:t>
      </w:r>
      <w:r w:rsidR="00E229A0">
        <w:rPr>
          <w:rFonts w:ascii="Arial" w:hAnsi="Arial"/>
          <w:lang w:val="en-US"/>
        </w:rPr>
        <w:t xml:space="preserve">the context of legal practice and </w:t>
      </w:r>
      <w:r>
        <w:rPr>
          <w:rFonts w:ascii="Arial" w:hAnsi="Arial"/>
          <w:lang w:val="en-US"/>
        </w:rPr>
        <w:t xml:space="preserve">procedure. </w:t>
      </w:r>
      <w:r w:rsidRPr="00233917">
        <w:rPr>
          <w:rFonts w:ascii="Arial" w:hAnsi="Arial" w:cs="Arial"/>
          <w:lang w:val="en-US"/>
        </w:rPr>
        <w:t>Currently, Qualifying Law Degrees must satisfy the requirements of the Quality Assurance Agency (QAA) Law Benchmark (2015), whose requirements for Law degree outcomes include: </w:t>
      </w:r>
      <w:r w:rsidR="00057A9B">
        <w:rPr>
          <w:rFonts w:ascii="Arial" w:hAnsi="Arial" w:cs="Arial"/>
          <w:lang w:val="en-US"/>
        </w:rPr>
        <w:t>‘</w:t>
      </w:r>
      <w:r w:rsidRPr="00233917">
        <w:rPr>
          <w:rFonts w:ascii="Arial" w:hAnsi="Arial" w:cs="Arial"/>
          <w:lang w:val="en-US"/>
        </w:rPr>
        <w:t>viii) ability to recognise ambiguity and deal with uncertainty in law</w:t>
      </w:r>
      <w:r w:rsidR="00057A9B">
        <w:rPr>
          <w:rFonts w:ascii="Arial" w:hAnsi="Arial" w:cs="Arial"/>
          <w:lang w:val="en-US"/>
        </w:rPr>
        <w:t>’</w:t>
      </w:r>
      <w:r w:rsidRPr="00233917">
        <w:rPr>
          <w:rFonts w:ascii="Arial" w:hAnsi="Arial" w:cs="Arial"/>
          <w:lang w:val="en-US"/>
        </w:rPr>
        <w:t xml:space="preserve">  </w:t>
      </w:r>
      <w:r w:rsidR="00005419" w:rsidRPr="00233917">
        <w:rPr>
          <w:rFonts w:ascii="Arial" w:hAnsi="Arial" w:cs="Arial"/>
          <w:lang w:val="en-US"/>
        </w:rPr>
        <w:t xml:space="preserve">and </w:t>
      </w:r>
      <w:r w:rsidR="00057A9B">
        <w:rPr>
          <w:rFonts w:ascii="Arial" w:hAnsi="Arial" w:cs="Arial"/>
          <w:lang w:val="en-US"/>
        </w:rPr>
        <w:t>‘</w:t>
      </w:r>
      <w:r w:rsidRPr="00233917">
        <w:rPr>
          <w:rFonts w:ascii="Arial" w:hAnsi="Arial" w:cs="Arial"/>
          <w:lang w:val="en-US"/>
        </w:rPr>
        <w:t>ix) ability to produce a synthesis of relevant doctrinal and policy issues, presentation of a reasoned choice between alternative solutions and critical judgement of the</w:t>
      </w:r>
      <w:r w:rsidR="00005419" w:rsidRPr="00233917">
        <w:rPr>
          <w:rFonts w:ascii="Arial" w:hAnsi="Arial" w:cs="Arial"/>
          <w:lang w:val="en-US"/>
        </w:rPr>
        <w:t xml:space="preserve"> merits of particular arguments</w:t>
      </w:r>
      <w:r w:rsidR="00057A9B">
        <w:rPr>
          <w:rFonts w:ascii="Arial" w:hAnsi="Arial" w:cs="Arial"/>
          <w:lang w:val="en-US"/>
        </w:rPr>
        <w:t>’</w:t>
      </w:r>
      <w:r w:rsidR="00005419" w:rsidRPr="00233917">
        <w:rPr>
          <w:rFonts w:ascii="Arial" w:hAnsi="Arial" w:cs="Arial"/>
          <w:lang w:val="en-US"/>
        </w:rPr>
        <w:t xml:space="preserve"> (Quality Assurance Agency, 2015). </w:t>
      </w:r>
      <w:r w:rsidR="00631F63">
        <w:rPr>
          <w:rFonts w:ascii="Arial" w:hAnsi="Arial" w:cs="Arial"/>
          <w:lang w:val="en-US"/>
        </w:rPr>
        <w:t xml:space="preserve">By contrast, the SRA </w:t>
      </w:r>
      <w:r w:rsidR="00631F63" w:rsidRPr="00233917">
        <w:rPr>
          <w:rFonts w:ascii="Arial" w:hAnsi="Arial" w:cs="Arial"/>
          <w:lang w:val="en-US"/>
        </w:rPr>
        <w:t xml:space="preserve">say that the depth and breadth of legal knowledge required of candidates in any of the assessments is that of </w:t>
      </w:r>
      <w:r w:rsidR="00057A9B">
        <w:rPr>
          <w:rFonts w:ascii="Arial" w:hAnsi="Arial" w:cs="Arial"/>
          <w:lang w:val="en-US"/>
        </w:rPr>
        <w:t>‘f</w:t>
      </w:r>
      <w:r w:rsidR="00631F63" w:rsidRPr="00233917">
        <w:rPr>
          <w:rFonts w:ascii="Arial" w:hAnsi="Arial" w:cs="Arial"/>
          <w:lang w:val="en-US"/>
        </w:rPr>
        <w:t xml:space="preserve">unctioning </w:t>
      </w:r>
      <w:r w:rsidR="00057A9B">
        <w:rPr>
          <w:rFonts w:ascii="Arial" w:hAnsi="Arial" w:cs="Arial"/>
          <w:lang w:val="en-US"/>
        </w:rPr>
        <w:t>l</w:t>
      </w:r>
      <w:r w:rsidR="00631F63" w:rsidRPr="00233917">
        <w:rPr>
          <w:rFonts w:ascii="Arial" w:hAnsi="Arial" w:cs="Arial"/>
          <w:lang w:val="en-US"/>
        </w:rPr>
        <w:t xml:space="preserve">egal </w:t>
      </w:r>
      <w:r w:rsidR="00057A9B">
        <w:rPr>
          <w:rFonts w:ascii="Arial" w:hAnsi="Arial" w:cs="Arial"/>
          <w:lang w:val="en-US"/>
        </w:rPr>
        <w:t>k</w:t>
      </w:r>
      <w:r w:rsidR="00631F63" w:rsidRPr="00233917">
        <w:rPr>
          <w:rFonts w:ascii="Arial" w:hAnsi="Arial" w:cs="Arial"/>
          <w:lang w:val="en-US"/>
        </w:rPr>
        <w:t>nowledge</w:t>
      </w:r>
      <w:r w:rsidR="00057A9B">
        <w:rPr>
          <w:rFonts w:ascii="Arial" w:hAnsi="Arial" w:cs="Arial"/>
          <w:lang w:val="en-US"/>
        </w:rPr>
        <w:t>’</w:t>
      </w:r>
      <w:r w:rsidR="00631F63" w:rsidRPr="00233917">
        <w:rPr>
          <w:rFonts w:ascii="Arial" w:hAnsi="Arial" w:cs="Arial"/>
          <w:lang w:val="en-US"/>
        </w:rPr>
        <w:t>. This means that a candidate should be able to identify relevant</w:t>
      </w:r>
      <w:r w:rsidR="00E229A0">
        <w:rPr>
          <w:rFonts w:ascii="Arial" w:hAnsi="Arial" w:cs="Arial"/>
          <w:lang w:val="en-US"/>
        </w:rPr>
        <w:t xml:space="preserve"> core legal principles or rules, </w:t>
      </w:r>
      <w:r w:rsidR="00631F63" w:rsidRPr="00233917">
        <w:rPr>
          <w:rFonts w:ascii="Arial" w:hAnsi="Arial" w:cs="Arial"/>
          <w:lang w:val="en-US"/>
        </w:rPr>
        <w:t>whether derived from cases, statutes or regulatory sources</w:t>
      </w:r>
      <w:r w:rsidR="00E229A0">
        <w:rPr>
          <w:rFonts w:ascii="Arial" w:hAnsi="Arial" w:cs="Arial"/>
          <w:lang w:val="en-US"/>
        </w:rPr>
        <w:t>,</w:t>
      </w:r>
      <w:r w:rsidR="00631F63" w:rsidRPr="00233917">
        <w:rPr>
          <w:rFonts w:ascii="Arial" w:hAnsi="Arial" w:cs="Arial"/>
          <w:lang w:val="en-US"/>
        </w:rPr>
        <w:t xml:space="preserve"> and apply them appropriately and effectively to client-based and ethical problems and situations encountered in practice. Candidates will not be required to recall case names or cite statutory authority except where specified (SRA 2019). </w:t>
      </w:r>
      <w:r w:rsidR="00EC50C4" w:rsidRPr="00233917">
        <w:rPr>
          <w:rFonts w:ascii="Arial" w:hAnsi="Arial" w:cs="Arial"/>
          <w:lang w:val="en-US"/>
        </w:rPr>
        <w:t>It is not clear how legal complexity and ambiguity can be assessed by questions that take an average of 90 seconds to answer (</w:t>
      </w:r>
      <w:r w:rsidR="00EC50C4">
        <w:rPr>
          <w:rFonts w:ascii="Arial" w:hAnsi="Arial" w:cs="Arial"/>
          <w:lang w:val="en-US"/>
        </w:rPr>
        <w:t>SRA 2017,</w:t>
      </w:r>
      <w:r w:rsidR="00EC50C4" w:rsidRPr="00233917">
        <w:rPr>
          <w:rFonts w:ascii="Arial" w:hAnsi="Arial" w:cs="Arial"/>
          <w:lang w:val="en-US"/>
        </w:rPr>
        <w:t xml:space="preserve"> </w:t>
      </w:r>
      <w:r w:rsidR="00EC50C4">
        <w:rPr>
          <w:rFonts w:ascii="Arial" w:hAnsi="Arial" w:cs="Arial"/>
        </w:rPr>
        <w:t>Para 52 of the SQE consultation</w:t>
      </w:r>
      <w:r w:rsidR="00EC50C4" w:rsidRPr="00233917">
        <w:rPr>
          <w:rFonts w:ascii="Arial" w:hAnsi="Arial" w:cs="Arial"/>
        </w:rPr>
        <w:t>)</w:t>
      </w:r>
      <w:r w:rsidR="00EC50C4">
        <w:rPr>
          <w:rFonts w:ascii="Arial" w:hAnsi="Arial" w:cs="Arial"/>
        </w:rPr>
        <w:t xml:space="preserve">. </w:t>
      </w:r>
      <w:r w:rsidR="00631F63" w:rsidRPr="00233917">
        <w:rPr>
          <w:rFonts w:ascii="Arial" w:hAnsi="Arial" w:cs="Arial"/>
          <w:lang w:val="en-US"/>
        </w:rPr>
        <w:t xml:space="preserve">The effect is likely to encourage students to focus on the application of straightforward principles of law in everyday practice situations without sufficient regard to complexity and ambiguity as required by the QAA Law Benchmark. </w:t>
      </w:r>
      <w:r w:rsidR="00973EBD">
        <w:rPr>
          <w:rFonts w:ascii="Arial" w:hAnsi="Arial" w:cs="Arial"/>
          <w:lang w:val="en-US"/>
        </w:rPr>
        <w:t xml:space="preserve">It doesn’t make clear when a </w:t>
      </w:r>
      <w:r w:rsidR="0069447B">
        <w:rPr>
          <w:rFonts w:ascii="Arial" w:hAnsi="Arial" w:cs="Arial"/>
          <w:lang w:val="en-US"/>
        </w:rPr>
        <w:t xml:space="preserve">prospective </w:t>
      </w:r>
      <w:r w:rsidR="00973EBD">
        <w:rPr>
          <w:rFonts w:ascii="Arial" w:hAnsi="Arial" w:cs="Arial"/>
          <w:lang w:val="en-US"/>
        </w:rPr>
        <w:t xml:space="preserve">solicitor might be expected to study appellate as opposed to first instance law. </w:t>
      </w:r>
      <w:r w:rsidR="00631F63" w:rsidRPr="00233917">
        <w:rPr>
          <w:rFonts w:ascii="Arial" w:hAnsi="Arial" w:cs="Arial"/>
          <w:lang w:val="en-US"/>
        </w:rPr>
        <w:t xml:space="preserve">Students qualifying without having taken a law degree will be less prepared for practice at the highest standard of competence </w:t>
      </w:r>
      <w:r w:rsidR="0069447B">
        <w:rPr>
          <w:rFonts w:ascii="Arial" w:hAnsi="Arial" w:cs="Arial"/>
          <w:lang w:val="en-US"/>
        </w:rPr>
        <w:t xml:space="preserve">while students </w:t>
      </w:r>
      <w:r w:rsidR="00631F63" w:rsidRPr="00233917">
        <w:rPr>
          <w:rFonts w:ascii="Arial" w:hAnsi="Arial" w:cs="Arial"/>
          <w:lang w:val="en-US"/>
        </w:rPr>
        <w:t xml:space="preserve">who qualify with a law degree </w:t>
      </w:r>
      <w:r w:rsidR="00844C77">
        <w:rPr>
          <w:rFonts w:ascii="Arial" w:hAnsi="Arial" w:cs="Arial"/>
          <w:lang w:val="en-US"/>
        </w:rPr>
        <w:t>may be thought to have engaged in unnecessary</w:t>
      </w:r>
      <w:r w:rsidR="00631F63" w:rsidRPr="00233917">
        <w:rPr>
          <w:rFonts w:ascii="Arial" w:hAnsi="Arial" w:cs="Arial"/>
          <w:lang w:val="en-US"/>
        </w:rPr>
        <w:t xml:space="preserve"> time and expense</w:t>
      </w:r>
      <w:r w:rsidR="00844C77">
        <w:rPr>
          <w:rFonts w:ascii="Arial" w:hAnsi="Arial" w:cs="Arial"/>
          <w:lang w:val="en-US"/>
        </w:rPr>
        <w:t xml:space="preserve"> if they study subjects </w:t>
      </w:r>
      <w:r w:rsidR="0069447B">
        <w:rPr>
          <w:rFonts w:ascii="Arial" w:hAnsi="Arial" w:cs="Arial"/>
          <w:lang w:val="en-US"/>
        </w:rPr>
        <w:t xml:space="preserve">and topics </w:t>
      </w:r>
      <w:r w:rsidR="00844C77">
        <w:rPr>
          <w:rFonts w:ascii="Arial" w:hAnsi="Arial" w:cs="Arial"/>
          <w:lang w:val="en-US"/>
        </w:rPr>
        <w:t>outside the SQE syllabus</w:t>
      </w:r>
      <w:r w:rsidR="00631F63" w:rsidRPr="00233917">
        <w:rPr>
          <w:rFonts w:ascii="Arial" w:hAnsi="Arial" w:cs="Arial"/>
          <w:lang w:val="en-US"/>
        </w:rPr>
        <w:t xml:space="preserve">. This is likely to impact on professional standards or diversity or both. </w:t>
      </w:r>
    </w:p>
    <w:p w:rsidR="005E0441" w:rsidRDefault="007A215B">
      <w:pPr>
        <w:pStyle w:val="Body"/>
        <w:rPr>
          <w:rFonts w:ascii="Arial" w:hAnsi="Arial" w:cs="Arial"/>
          <w:lang w:val="en-US"/>
        </w:rPr>
      </w:pPr>
      <w:r w:rsidRPr="00233917">
        <w:rPr>
          <w:rFonts w:ascii="Arial" w:hAnsi="Arial" w:cs="Arial"/>
          <w:lang w:val="en-US"/>
        </w:rPr>
        <w:t>Work</w:t>
      </w:r>
      <w:r w:rsidR="00057A9B">
        <w:rPr>
          <w:rFonts w:ascii="Arial" w:hAnsi="Arial" w:cs="Arial"/>
          <w:lang w:val="en-US"/>
        </w:rPr>
        <w:t>-</w:t>
      </w:r>
      <w:r w:rsidRPr="00233917">
        <w:rPr>
          <w:rFonts w:ascii="Arial" w:hAnsi="Arial" w:cs="Arial"/>
          <w:lang w:val="en-US"/>
        </w:rPr>
        <w:t xml:space="preserve">based experience is to become </w:t>
      </w:r>
      <w:r w:rsidRPr="00233917">
        <w:rPr>
          <w:rFonts w:ascii="Arial" w:hAnsi="Arial" w:cs="Arial"/>
        </w:rPr>
        <w:t>‘</w:t>
      </w:r>
      <w:r w:rsidRPr="00233917">
        <w:rPr>
          <w:rFonts w:ascii="Arial" w:hAnsi="Arial" w:cs="Arial"/>
          <w:lang w:val="en-US"/>
        </w:rPr>
        <w:t>an opportunity to learn from experience</w:t>
      </w:r>
      <w:r w:rsidR="00057A9B">
        <w:rPr>
          <w:rFonts w:ascii="Arial" w:hAnsi="Arial" w:cs="Arial"/>
        </w:rPr>
        <w:t>’</w:t>
      </w:r>
      <w:r w:rsidRPr="00233917">
        <w:rPr>
          <w:rFonts w:ascii="Arial" w:hAnsi="Arial" w:cs="Arial"/>
          <w:lang w:val="en-US"/>
        </w:rPr>
        <w:t xml:space="preserve">. In the Consultation </w:t>
      </w:r>
      <w:r w:rsidR="00057A9B">
        <w:rPr>
          <w:rFonts w:ascii="Arial" w:hAnsi="Arial" w:cs="Arial"/>
          <w:lang w:val="en-US"/>
        </w:rPr>
        <w:t>D</w:t>
      </w:r>
      <w:r w:rsidRPr="00233917">
        <w:rPr>
          <w:rFonts w:ascii="Arial" w:hAnsi="Arial" w:cs="Arial"/>
          <w:lang w:val="en-US"/>
        </w:rPr>
        <w:t>ocument the SRA say they will not require firms to make any judgments about whether a candidate is competent to be a solicitor. Instead, they will test their competence by the SQE stage 2 assessments. They will only require the supervising solicitor to sign a declaration that the candidate has had the opportunity to develop some or all of the competences in the Statement of Solicitor Competence through the required period of workplace experience</w:t>
      </w:r>
      <w:r w:rsidR="004E11C4">
        <w:rPr>
          <w:rFonts w:ascii="Arial" w:hAnsi="Arial" w:cs="Arial"/>
          <w:lang w:val="en-US"/>
        </w:rPr>
        <w:t xml:space="preserve"> (SRA 2017, p</w:t>
      </w:r>
      <w:r w:rsidRPr="00233917">
        <w:rPr>
          <w:rFonts w:ascii="Arial" w:hAnsi="Arial" w:cs="Arial"/>
          <w:lang w:val="en-US"/>
        </w:rPr>
        <w:t>aragraph 1</w:t>
      </w:r>
      <w:r w:rsidR="00005419" w:rsidRPr="00233917">
        <w:rPr>
          <w:rFonts w:ascii="Arial" w:hAnsi="Arial" w:cs="Arial"/>
          <w:lang w:val="en-US"/>
        </w:rPr>
        <w:t>00</w:t>
      </w:r>
      <w:r w:rsidR="004E11C4">
        <w:rPr>
          <w:rFonts w:ascii="Arial" w:hAnsi="Arial" w:cs="Arial"/>
          <w:lang w:val="en-US"/>
        </w:rPr>
        <w:t xml:space="preserve">). By contrast, under </w:t>
      </w:r>
      <w:r w:rsidRPr="00233917">
        <w:rPr>
          <w:rFonts w:ascii="Arial" w:hAnsi="Arial" w:cs="Arial"/>
          <w:lang w:val="en-US"/>
        </w:rPr>
        <w:t xml:space="preserve">current arrangements every trainee solicitor undertaking a Training Contract has a supervisor who has responsibility for the development of their professional skills in terms of structure, supervision and feedback, not just for providing an opportunity to develop competence and to ensure their competence for their role. It is the supervising solicitor </w:t>
      </w:r>
      <w:r w:rsidR="00EC50C4">
        <w:rPr>
          <w:rFonts w:ascii="Arial" w:hAnsi="Arial" w:cs="Arial"/>
          <w:lang w:val="en-US"/>
        </w:rPr>
        <w:t xml:space="preserve">who </w:t>
      </w:r>
      <w:r w:rsidRPr="00233917">
        <w:rPr>
          <w:rFonts w:ascii="Arial" w:hAnsi="Arial" w:cs="Arial"/>
          <w:lang w:val="en-US"/>
        </w:rPr>
        <w:t>signs off the final stage of qualification</w:t>
      </w:r>
      <w:r w:rsidR="0046313E" w:rsidRPr="00233917">
        <w:rPr>
          <w:rFonts w:ascii="Arial" w:hAnsi="Arial" w:cs="Arial"/>
          <w:lang w:val="en-US"/>
        </w:rPr>
        <w:t xml:space="preserve"> (</w:t>
      </w:r>
      <w:r w:rsidR="004E11C4">
        <w:rPr>
          <w:rFonts w:ascii="Arial" w:hAnsi="Arial" w:cs="Arial"/>
          <w:lang w:val="en-US"/>
        </w:rPr>
        <w:t>SRA, 2016)</w:t>
      </w:r>
      <w:r w:rsidRPr="00233917">
        <w:rPr>
          <w:rFonts w:ascii="Arial" w:hAnsi="Arial" w:cs="Arial"/>
          <w:lang w:val="en-US"/>
        </w:rPr>
        <w:t xml:space="preserve">. </w:t>
      </w:r>
      <w:r w:rsidR="00844C77">
        <w:rPr>
          <w:rFonts w:ascii="Arial" w:hAnsi="Arial" w:cs="Arial"/>
          <w:lang w:val="en-US"/>
        </w:rPr>
        <w:t xml:space="preserve">The net result is that there is no requirement for </w:t>
      </w:r>
      <w:r w:rsidR="00EC50C4">
        <w:rPr>
          <w:rFonts w:ascii="Arial" w:hAnsi="Arial" w:cs="Arial"/>
          <w:lang w:val="en-US"/>
        </w:rPr>
        <w:t xml:space="preserve">the </w:t>
      </w:r>
      <w:r w:rsidR="00844C77">
        <w:rPr>
          <w:rFonts w:ascii="Arial" w:hAnsi="Arial" w:cs="Arial"/>
          <w:lang w:val="en-US"/>
        </w:rPr>
        <w:t xml:space="preserve">teaching or supervised practice and development of legal skills. Candidates can simply obtain two years of paralegal work and train to pass the SQE 2 skills test. </w:t>
      </w:r>
      <w:r w:rsidR="0086514A">
        <w:rPr>
          <w:rFonts w:ascii="Arial" w:hAnsi="Arial" w:cs="Arial"/>
          <w:lang w:val="en-US"/>
        </w:rPr>
        <w:t>The question is whether the SQE 2 assessments are sufficient in themselves to ensure candidates fully develop the necessary legal skills for competent practice. The model of Objective Structured C</w:t>
      </w:r>
      <w:r w:rsidR="0069447B">
        <w:rPr>
          <w:rFonts w:ascii="Arial" w:hAnsi="Arial" w:cs="Arial"/>
          <w:lang w:val="en-US"/>
        </w:rPr>
        <w:t>linical Examinations (OSCEs) is</w:t>
      </w:r>
      <w:r w:rsidR="0086514A">
        <w:rPr>
          <w:rFonts w:ascii="Arial" w:hAnsi="Arial" w:cs="Arial"/>
          <w:lang w:val="en-US"/>
        </w:rPr>
        <w:t xml:space="preserve"> drawn from medic</w:t>
      </w:r>
      <w:r w:rsidR="00165C55">
        <w:rPr>
          <w:rFonts w:ascii="Arial" w:hAnsi="Arial" w:cs="Arial"/>
          <w:lang w:val="en-US"/>
        </w:rPr>
        <w:t>al training,</w:t>
      </w:r>
      <w:r w:rsidR="0086514A">
        <w:rPr>
          <w:rFonts w:ascii="Arial" w:hAnsi="Arial" w:cs="Arial"/>
          <w:lang w:val="en-US"/>
        </w:rPr>
        <w:t xml:space="preserve"> but UK doctors take a 5 year medical degree that includes extensive supervised clinical practice and work</w:t>
      </w:r>
      <w:r w:rsidR="00165C55">
        <w:rPr>
          <w:rFonts w:ascii="Arial" w:hAnsi="Arial" w:cs="Arial"/>
          <w:lang w:val="en-US"/>
        </w:rPr>
        <w:t>-</w:t>
      </w:r>
      <w:r w:rsidR="0086514A">
        <w:rPr>
          <w:rFonts w:ascii="Arial" w:hAnsi="Arial" w:cs="Arial"/>
          <w:lang w:val="en-US"/>
        </w:rPr>
        <w:t>based learning</w:t>
      </w:r>
      <w:r w:rsidR="00EC50C4">
        <w:rPr>
          <w:rFonts w:ascii="Arial" w:hAnsi="Arial" w:cs="Arial"/>
          <w:lang w:val="en-US"/>
        </w:rPr>
        <w:t>, so the comparison would s</w:t>
      </w:r>
      <w:r w:rsidR="00165C55">
        <w:rPr>
          <w:rFonts w:ascii="Arial" w:hAnsi="Arial" w:cs="Arial"/>
          <w:lang w:val="en-US"/>
        </w:rPr>
        <w:t>eem to be inapposite</w:t>
      </w:r>
      <w:r w:rsidR="0086514A">
        <w:rPr>
          <w:rFonts w:ascii="Arial" w:hAnsi="Arial" w:cs="Arial"/>
          <w:lang w:val="en-US"/>
        </w:rPr>
        <w:t>.</w:t>
      </w:r>
      <w:r w:rsidR="002255D0" w:rsidRPr="002255D0">
        <w:rPr>
          <w:rFonts w:ascii="Arial" w:hAnsi="Arial" w:cs="Arial"/>
          <w:lang w:val="en-US"/>
        </w:rPr>
        <w:t xml:space="preserve"> </w:t>
      </w:r>
      <w:r w:rsidR="00A82A7A">
        <w:rPr>
          <w:rFonts w:ascii="Arial" w:hAnsi="Arial" w:cs="Arial"/>
          <w:lang w:val="en-US"/>
        </w:rPr>
        <w:t xml:space="preserve">As can be seen above, many legal academics and practitioners doubt that </w:t>
      </w:r>
      <w:r w:rsidR="002255D0">
        <w:rPr>
          <w:rFonts w:ascii="Arial" w:hAnsi="Arial" w:cs="Arial"/>
          <w:lang w:val="en-US"/>
        </w:rPr>
        <w:t>the SQE can ensur</w:t>
      </w:r>
      <w:r w:rsidR="00A82A7A">
        <w:rPr>
          <w:rFonts w:ascii="Arial" w:hAnsi="Arial" w:cs="Arial"/>
          <w:lang w:val="en-US"/>
        </w:rPr>
        <w:t>e</w:t>
      </w:r>
      <w:r w:rsidR="002255D0">
        <w:rPr>
          <w:rFonts w:ascii="Arial" w:hAnsi="Arial" w:cs="Arial"/>
          <w:lang w:val="en-US"/>
        </w:rPr>
        <w:t xml:space="preserve"> the full competence of a day one solicitor as set out in the Statement of Solicitor Competence (SRA 2015). If it cannot, the SQE will effectively lower standards, at least by comparison with current best practice.</w:t>
      </w:r>
      <w:r w:rsidR="00A82A7A">
        <w:rPr>
          <w:rFonts w:ascii="Arial" w:hAnsi="Arial" w:cs="Arial"/>
          <w:lang w:val="en-US"/>
        </w:rPr>
        <w:t xml:space="preserve"> </w:t>
      </w:r>
      <w:r w:rsidR="00165C55">
        <w:rPr>
          <w:rFonts w:ascii="Arial" w:hAnsi="Arial" w:cs="Arial"/>
          <w:lang w:val="en-US"/>
        </w:rPr>
        <w:t xml:space="preserve">There are also significant concerns about diversity, including </w:t>
      </w:r>
      <w:r w:rsidR="005E0441">
        <w:rPr>
          <w:rFonts w:ascii="Arial" w:hAnsi="Arial" w:cs="Arial"/>
          <w:lang w:val="en-US"/>
        </w:rPr>
        <w:t xml:space="preserve">the potential cost of the SQE, currently estimated to be £3,000-£4,500 for a single attempt of SQE 1 &amp; 2 </w:t>
      </w:r>
      <w:r w:rsidR="002255D0">
        <w:rPr>
          <w:rFonts w:ascii="Arial" w:hAnsi="Arial" w:cs="Arial"/>
          <w:lang w:val="en-US"/>
        </w:rPr>
        <w:t xml:space="preserve">(SRA, 2018c) </w:t>
      </w:r>
      <w:r w:rsidR="005E0441">
        <w:rPr>
          <w:rFonts w:ascii="Arial" w:hAnsi="Arial" w:cs="Arial"/>
          <w:lang w:val="en-US"/>
        </w:rPr>
        <w:t xml:space="preserve">plus </w:t>
      </w:r>
      <w:r w:rsidR="002255D0">
        <w:rPr>
          <w:rFonts w:ascii="Arial" w:hAnsi="Arial" w:cs="Arial"/>
          <w:lang w:val="en-US"/>
        </w:rPr>
        <w:t xml:space="preserve">significant </w:t>
      </w:r>
      <w:r w:rsidR="005E0441">
        <w:rPr>
          <w:rFonts w:ascii="Arial" w:hAnsi="Arial" w:cs="Arial"/>
          <w:lang w:val="en-US"/>
        </w:rPr>
        <w:t>course fees</w:t>
      </w:r>
      <w:r w:rsidR="00165C55">
        <w:rPr>
          <w:rFonts w:ascii="Arial" w:hAnsi="Arial" w:cs="Arial"/>
          <w:lang w:val="en-US"/>
        </w:rPr>
        <w:t>. T</w:t>
      </w:r>
      <w:r w:rsidR="005E0441">
        <w:rPr>
          <w:rFonts w:ascii="Arial" w:hAnsi="Arial" w:cs="Arial"/>
          <w:lang w:val="en-US"/>
        </w:rPr>
        <w:t xml:space="preserve">he advantages to students who can afford additional tuition and </w:t>
      </w:r>
      <w:r w:rsidR="005E0441">
        <w:rPr>
          <w:rFonts w:ascii="Arial" w:hAnsi="Arial" w:cs="Arial"/>
          <w:lang w:val="en-US"/>
        </w:rPr>
        <w:lastRenderedPageBreak/>
        <w:t>assessment practice</w:t>
      </w:r>
      <w:r w:rsidR="006E432B">
        <w:rPr>
          <w:rFonts w:ascii="Arial" w:hAnsi="Arial" w:cs="Arial"/>
          <w:lang w:val="en-US"/>
        </w:rPr>
        <w:t xml:space="preserve"> and re</w:t>
      </w:r>
      <w:r w:rsidR="00165C55">
        <w:rPr>
          <w:rFonts w:ascii="Arial" w:hAnsi="Arial" w:cs="Arial"/>
          <w:lang w:val="en-US"/>
        </w:rPr>
        <w:t>-</w:t>
      </w:r>
      <w:r w:rsidR="006E432B">
        <w:rPr>
          <w:rFonts w:ascii="Arial" w:hAnsi="Arial" w:cs="Arial"/>
          <w:lang w:val="en-US"/>
        </w:rPr>
        <w:t>sit</w:t>
      </w:r>
      <w:r w:rsidR="00165C55">
        <w:rPr>
          <w:rFonts w:ascii="Arial" w:hAnsi="Arial" w:cs="Arial"/>
          <w:lang w:val="en-US"/>
        </w:rPr>
        <w:t>s are obvious.</w:t>
      </w:r>
      <w:r w:rsidR="005E0441">
        <w:rPr>
          <w:rFonts w:ascii="Arial" w:hAnsi="Arial" w:cs="Arial"/>
          <w:lang w:val="en-US"/>
        </w:rPr>
        <w:t xml:space="preserve"> </w:t>
      </w:r>
      <w:r w:rsidR="00165C55">
        <w:rPr>
          <w:rFonts w:ascii="Arial" w:hAnsi="Arial" w:cs="Arial"/>
          <w:lang w:val="en-US"/>
        </w:rPr>
        <w:t>This, together with t</w:t>
      </w:r>
      <w:r w:rsidR="005E0441">
        <w:rPr>
          <w:rFonts w:ascii="Arial" w:hAnsi="Arial" w:cs="Arial"/>
          <w:lang w:val="en-US"/>
        </w:rPr>
        <w:t>he narrow assessment strategy and the potential emergence of a two-tier hierarchy between academic and vocational law degrees</w:t>
      </w:r>
      <w:r w:rsidR="00165C55">
        <w:rPr>
          <w:rFonts w:ascii="Arial" w:hAnsi="Arial" w:cs="Arial"/>
          <w:lang w:val="en-US"/>
        </w:rPr>
        <w:t xml:space="preserve"> suggests that there are grounds for significant concern about the future of legal education and training in England and Wales</w:t>
      </w:r>
      <w:r w:rsidR="005E0441">
        <w:rPr>
          <w:rFonts w:ascii="Arial" w:hAnsi="Arial" w:cs="Arial"/>
          <w:lang w:val="en-US"/>
        </w:rPr>
        <w:t>.</w:t>
      </w:r>
      <w:r w:rsidR="006E432B">
        <w:rPr>
          <w:rFonts w:ascii="Arial" w:hAnsi="Arial" w:cs="Arial"/>
          <w:lang w:val="en-US"/>
        </w:rPr>
        <w:t xml:space="preserve"> The SRA no</w:t>
      </w:r>
      <w:r w:rsidR="00EF6F89">
        <w:rPr>
          <w:rFonts w:ascii="Arial" w:hAnsi="Arial" w:cs="Arial"/>
          <w:lang w:val="en-US"/>
        </w:rPr>
        <w:t xml:space="preserve"> </w:t>
      </w:r>
      <w:r w:rsidR="006E432B">
        <w:rPr>
          <w:rFonts w:ascii="Arial" w:hAnsi="Arial" w:cs="Arial"/>
          <w:lang w:val="en-US"/>
        </w:rPr>
        <w:t>longer claim</w:t>
      </w:r>
      <w:r w:rsidR="002255D0">
        <w:rPr>
          <w:rFonts w:ascii="Arial" w:hAnsi="Arial" w:cs="Arial"/>
          <w:lang w:val="en-US"/>
        </w:rPr>
        <w:t>s</w:t>
      </w:r>
      <w:r w:rsidR="006E432B">
        <w:rPr>
          <w:rFonts w:ascii="Arial" w:hAnsi="Arial" w:cs="Arial"/>
          <w:lang w:val="en-US"/>
        </w:rPr>
        <w:t xml:space="preserve"> that the flexibility of the SQE will improve diversity of access to the profession. Nor does it claim anymore that the SQE will necessarily be cheaper than the current arrangements.</w:t>
      </w:r>
    </w:p>
    <w:p w:rsidR="00F31C0B" w:rsidRPr="00CD65BE" w:rsidRDefault="00F31C0B" w:rsidP="00F31C0B">
      <w:pPr>
        <w:pStyle w:val="Body"/>
        <w:rPr>
          <w:rFonts w:ascii="Arial" w:hAnsi="Arial"/>
          <w:b/>
          <w:lang w:val="en-US"/>
        </w:rPr>
      </w:pPr>
      <w:r>
        <w:rPr>
          <w:rFonts w:ascii="Arial" w:hAnsi="Arial"/>
          <w:lang w:val="en-US"/>
        </w:rPr>
        <w:t>If the SQE is not cheaper</w:t>
      </w:r>
      <w:r w:rsidR="00165C55">
        <w:rPr>
          <w:rFonts w:ascii="Arial" w:hAnsi="Arial"/>
          <w:lang w:val="en-US"/>
        </w:rPr>
        <w:t xml:space="preserve">, </w:t>
      </w:r>
      <w:r>
        <w:rPr>
          <w:rFonts w:ascii="Arial" w:hAnsi="Arial"/>
          <w:lang w:val="en-US"/>
        </w:rPr>
        <w:t xml:space="preserve">does not assist diversity </w:t>
      </w:r>
      <w:r w:rsidR="00165C55">
        <w:rPr>
          <w:rFonts w:ascii="Arial" w:hAnsi="Arial"/>
          <w:lang w:val="en-US"/>
        </w:rPr>
        <w:t>nor</w:t>
      </w:r>
      <w:r>
        <w:rPr>
          <w:rFonts w:ascii="Arial" w:hAnsi="Arial"/>
          <w:lang w:val="en-US"/>
        </w:rPr>
        <w:t xml:space="preserve"> raise standards, one might wonder what it is for</w:t>
      </w:r>
      <w:r w:rsidR="006E432B">
        <w:rPr>
          <w:rFonts w:ascii="Arial" w:hAnsi="Arial"/>
          <w:lang w:val="en-US"/>
        </w:rPr>
        <w:t xml:space="preserve"> and why it is needed</w:t>
      </w:r>
      <w:r>
        <w:rPr>
          <w:rFonts w:ascii="Arial" w:hAnsi="Arial"/>
          <w:lang w:val="en-US"/>
        </w:rPr>
        <w:t>. One possible answer is that the effe</w:t>
      </w:r>
      <w:r w:rsidR="004F7BF6">
        <w:rPr>
          <w:rFonts w:ascii="Arial" w:hAnsi="Arial"/>
          <w:lang w:val="en-US"/>
        </w:rPr>
        <w:t>ct, intended or not, may be to make it easier to qualify and set up practice and thereby to i</w:t>
      </w:r>
      <w:r>
        <w:rPr>
          <w:rFonts w:ascii="Arial" w:hAnsi="Arial"/>
          <w:lang w:val="en-US"/>
        </w:rPr>
        <w:t>ncrease competition in the legal services market.</w:t>
      </w:r>
      <w:r w:rsidR="00E44DAD">
        <w:rPr>
          <w:rFonts w:ascii="Arial" w:hAnsi="Arial"/>
          <w:lang w:val="en-US"/>
        </w:rPr>
        <w:t xml:space="preserve"> In a parallel consultation on standards and regulation</w:t>
      </w:r>
      <w:r w:rsidR="004F7BF6">
        <w:rPr>
          <w:rFonts w:ascii="Arial" w:hAnsi="Arial"/>
          <w:lang w:val="en-US"/>
        </w:rPr>
        <w:t>,</w:t>
      </w:r>
      <w:r w:rsidR="00E44DAD">
        <w:rPr>
          <w:rFonts w:ascii="Arial" w:hAnsi="Arial"/>
          <w:lang w:val="en-US"/>
        </w:rPr>
        <w:t xml:space="preserve"> the SRA considered allowing newly qualified solicitors to open their own law firms immediately </w:t>
      </w:r>
      <w:r w:rsidR="0069447B">
        <w:rPr>
          <w:rFonts w:ascii="Arial" w:hAnsi="Arial"/>
          <w:lang w:val="en-US"/>
        </w:rPr>
        <w:t>up</w:t>
      </w:r>
      <w:r w:rsidR="00E44DAD">
        <w:rPr>
          <w:rFonts w:ascii="Arial" w:hAnsi="Arial"/>
          <w:lang w:val="en-US"/>
        </w:rPr>
        <w:t>on qualification (SRA, 2018a)</w:t>
      </w:r>
      <w:r w:rsidR="004F7BF6">
        <w:rPr>
          <w:rFonts w:ascii="Arial" w:hAnsi="Arial"/>
          <w:lang w:val="en-US"/>
        </w:rPr>
        <w:t xml:space="preserve">. In response to feedback concerned about </w:t>
      </w:r>
      <w:r w:rsidR="002255D0">
        <w:rPr>
          <w:rFonts w:ascii="Arial" w:hAnsi="Arial"/>
          <w:lang w:val="en-US"/>
        </w:rPr>
        <w:t>the removal of the requirement for</w:t>
      </w:r>
      <w:r w:rsidR="004F7BF6">
        <w:rPr>
          <w:rFonts w:ascii="Arial" w:hAnsi="Arial"/>
          <w:lang w:val="en-US"/>
        </w:rPr>
        <w:t xml:space="preserve"> </w:t>
      </w:r>
      <w:r w:rsidR="00436B1A">
        <w:rPr>
          <w:rFonts w:ascii="Arial" w:hAnsi="Arial"/>
          <w:lang w:val="en-US"/>
        </w:rPr>
        <w:t xml:space="preserve">the </w:t>
      </w:r>
      <w:r w:rsidR="004F7BF6">
        <w:rPr>
          <w:rFonts w:ascii="Arial" w:hAnsi="Arial"/>
          <w:lang w:val="en-US"/>
        </w:rPr>
        <w:t xml:space="preserve">newly qualified </w:t>
      </w:r>
      <w:r w:rsidR="00436B1A">
        <w:rPr>
          <w:rFonts w:ascii="Arial" w:hAnsi="Arial"/>
          <w:lang w:val="en-US"/>
        </w:rPr>
        <w:t xml:space="preserve">solicitors </w:t>
      </w:r>
      <w:r w:rsidR="002255D0">
        <w:rPr>
          <w:rFonts w:ascii="Arial" w:hAnsi="Arial"/>
          <w:lang w:val="en-US"/>
        </w:rPr>
        <w:t>to</w:t>
      </w:r>
      <w:r w:rsidR="004F7BF6">
        <w:rPr>
          <w:rFonts w:ascii="Arial" w:hAnsi="Arial"/>
          <w:lang w:val="en-US"/>
        </w:rPr>
        <w:t xml:space="preserve"> </w:t>
      </w:r>
      <w:r w:rsidR="002255D0">
        <w:rPr>
          <w:rFonts w:ascii="Arial" w:hAnsi="Arial"/>
          <w:lang w:val="en-US"/>
        </w:rPr>
        <w:t xml:space="preserve">remain under the supervision of an experienced solicitor </w:t>
      </w:r>
      <w:r w:rsidR="004F7BF6">
        <w:rPr>
          <w:rFonts w:ascii="Arial" w:hAnsi="Arial"/>
          <w:lang w:val="en-US"/>
        </w:rPr>
        <w:t xml:space="preserve">for three years </w:t>
      </w:r>
      <w:r w:rsidR="002255D0">
        <w:rPr>
          <w:rFonts w:ascii="Arial" w:hAnsi="Arial"/>
          <w:lang w:val="en-US"/>
        </w:rPr>
        <w:t>post qualification</w:t>
      </w:r>
      <w:r w:rsidR="00174D2A">
        <w:rPr>
          <w:rFonts w:ascii="Arial" w:hAnsi="Arial"/>
          <w:lang w:val="en-US"/>
        </w:rPr>
        <w:t xml:space="preserve">, the SRA </w:t>
      </w:r>
      <w:r w:rsidR="002255D0">
        <w:rPr>
          <w:rFonts w:ascii="Arial" w:hAnsi="Arial"/>
          <w:lang w:val="en-US"/>
        </w:rPr>
        <w:t>compromised by requiring that the</w:t>
      </w:r>
      <w:r w:rsidR="00436B1A">
        <w:rPr>
          <w:rFonts w:ascii="Arial" w:hAnsi="Arial"/>
          <w:lang w:val="en-US"/>
        </w:rPr>
        <w:t>y</w:t>
      </w:r>
      <w:r w:rsidR="004F7BF6">
        <w:rPr>
          <w:rFonts w:ascii="Arial" w:hAnsi="Arial"/>
          <w:lang w:val="en-US"/>
        </w:rPr>
        <w:t xml:space="preserve"> must employ at least one solicitor with three y</w:t>
      </w:r>
      <w:r w:rsidR="00436B1A">
        <w:rPr>
          <w:rFonts w:ascii="Arial" w:hAnsi="Arial"/>
          <w:lang w:val="en-US"/>
        </w:rPr>
        <w:t>ears or more experience if they</w:t>
      </w:r>
      <w:r w:rsidR="004F7BF6">
        <w:rPr>
          <w:rFonts w:ascii="Arial" w:hAnsi="Arial"/>
          <w:lang w:val="en-US"/>
        </w:rPr>
        <w:t xml:space="preserve"> want to establish their own firm immediately (SRA, 2018b</w:t>
      </w:r>
      <w:r w:rsidR="00436B1A">
        <w:rPr>
          <w:rFonts w:ascii="Arial" w:hAnsi="Arial"/>
          <w:lang w:val="en-US"/>
        </w:rPr>
        <w:t>, para 50</w:t>
      </w:r>
      <w:r w:rsidR="004F7BF6">
        <w:rPr>
          <w:rFonts w:ascii="Arial" w:hAnsi="Arial"/>
          <w:lang w:val="en-US"/>
        </w:rPr>
        <w:t xml:space="preserve">). </w:t>
      </w:r>
      <w:r w:rsidR="0069447B">
        <w:rPr>
          <w:rFonts w:ascii="Arial" w:hAnsi="Arial"/>
          <w:lang w:val="en-US"/>
        </w:rPr>
        <w:t>This substantially undermines the effectiveness of the rule</w:t>
      </w:r>
      <w:r w:rsidR="00165C55">
        <w:rPr>
          <w:rFonts w:ascii="Arial" w:hAnsi="Arial"/>
          <w:lang w:val="en-US"/>
        </w:rPr>
        <w:t>,</w:t>
      </w:r>
      <w:r w:rsidR="0069447B">
        <w:rPr>
          <w:rFonts w:ascii="Arial" w:hAnsi="Arial"/>
          <w:lang w:val="en-US"/>
        </w:rPr>
        <w:t xml:space="preserve"> because now t</w:t>
      </w:r>
      <w:r w:rsidR="00436B1A">
        <w:rPr>
          <w:rFonts w:ascii="Arial" w:hAnsi="Arial"/>
          <w:lang w:val="en-US"/>
        </w:rPr>
        <w:t>he more experienced solicitor may be</w:t>
      </w:r>
      <w:r w:rsidR="0069447B">
        <w:rPr>
          <w:rFonts w:ascii="Arial" w:hAnsi="Arial"/>
          <w:lang w:val="en-US"/>
        </w:rPr>
        <w:t xml:space="preserve"> an </w:t>
      </w:r>
      <w:r w:rsidR="00436B1A">
        <w:rPr>
          <w:rFonts w:ascii="Arial" w:hAnsi="Arial"/>
          <w:lang w:val="en-US"/>
        </w:rPr>
        <w:t>employee rather than a manager</w:t>
      </w:r>
      <w:r w:rsidR="0069447B">
        <w:rPr>
          <w:rFonts w:ascii="Arial" w:hAnsi="Arial"/>
          <w:lang w:val="en-US"/>
        </w:rPr>
        <w:t xml:space="preserve">. </w:t>
      </w:r>
      <w:r w:rsidR="00174D2A">
        <w:rPr>
          <w:rFonts w:ascii="Arial" w:hAnsi="Arial"/>
          <w:lang w:val="en-US"/>
        </w:rPr>
        <w:t>This rule change is explicitly concerned with removing barriers to competition. Whil</w:t>
      </w:r>
      <w:r w:rsidR="002255D0">
        <w:rPr>
          <w:rFonts w:ascii="Arial" w:hAnsi="Arial"/>
          <w:lang w:val="en-US"/>
        </w:rPr>
        <w:t>st</w:t>
      </w:r>
      <w:r w:rsidR="00174D2A">
        <w:rPr>
          <w:rFonts w:ascii="Arial" w:hAnsi="Arial"/>
          <w:lang w:val="en-US"/>
        </w:rPr>
        <w:t xml:space="preserve"> t</w:t>
      </w:r>
      <w:r w:rsidR="004F7BF6">
        <w:rPr>
          <w:rFonts w:ascii="Arial" w:hAnsi="Arial"/>
          <w:lang w:val="en-US"/>
        </w:rPr>
        <w:t xml:space="preserve">here </w:t>
      </w:r>
      <w:r w:rsidR="00174D2A">
        <w:rPr>
          <w:rFonts w:ascii="Arial" w:hAnsi="Arial"/>
          <w:lang w:val="en-US"/>
        </w:rPr>
        <w:t xml:space="preserve">is </w:t>
      </w:r>
      <w:r w:rsidR="004F7BF6">
        <w:rPr>
          <w:rFonts w:ascii="Arial" w:hAnsi="Arial"/>
          <w:lang w:val="en-US"/>
        </w:rPr>
        <w:t xml:space="preserve">no doubt that </w:t>
      </w:r>
      <w:r w:rsidR="00174D2A">
        <w:rPr>
          <w:rFonts w:ascii="Arial" w:hAnsi="Arial"/>
          <w:lang w:val="en-US"/>
        </w:rPr>
        <w:t xml:space="preserve">advice deserts are emerging (Law Society Gazette, 2019) and </w:t>
      </w:r>
      <w:r w:rsidR="004F7BF6">
        <w:rPr>
          <w:rFonts w:ascii="Arial" w:hAnsi="Arial"/>
          <w:lang w:val="en-US"/>
        </w:rPr>
        <w:t>only the very wealthy can afford access to justice (Green &amp; Sanbach, 2016)</w:t>
      </w:r>
      <w:r w:rsidR="002255D0">
        <w:rPr>
          <w:rFonts w:ascii="Arial" w:hAnsi="Arial"/>
          <w:lang w:val="en-US"/>
        </w:rPr>
        <w:t>,</w:t>
      </w:r>
      <w:r w:rsidR="00174D2A">
        <w:rPr>
          <w:rFonts w:ascii="Arial" w:hAnsi="Arial"/>
          <w:lang w:val="en-US"/>
        </w:rPr>
        <w:t xml:space="preserve"> we will </w:t>
      </w:r>
      <w:r w:rsidR="004F7BF6">
        <w:rPr>
          <w:rFonts w:ascii="Arial" w:hAnsi="Arial"/>
          <w:lang w:val="en-US"/>
        </w:rPr>
        <w:t xml:space="preserve">have to </w:t>
      </w:r>
      <w:r w:rsidR="00174D2A">
        <w:rPr>
          <w:rFonts w:ascii="Arial" w:hAnsi="Arial"/>
          <w:lang w:val="en-US"/>
        </w:rPr>
        <w:t xml:space="preserve">wait and </w:t>
      </w:r>
      <w:r w:rsidR="004F7BF6">
        <w:rPr>
          <w:rFonts w:ascii="Arial" w:hAnsi="Arial"/>
          <w:lang w:val="en-US"/>
        </w:rPr>
        <w:t xml:space="preserve">see whether the </w:t>
      </w:r>
      <w:r w:rsidR="00174D2A">
        <w:rPr>
          <w:rFonts w:ascii="Arial" w:hAnsi="Arial"/>
          <w:lang w:val="en-US"/>
        </w:rPr>
        <w:t xml:space="preserve">SQE and related reforms have any positive impact on </w:t>
      </w:r>
      <w:r w:rsidR="004F7BF6">
        <w:rPr>
          <w:rFonts w:ascii="Arial" w:hAnsi="Arial"/>
          <w:lang w:val="en-US"/>
        </w:rPr>
        <w:t xml:space="preserve">competition and </w:t>
      </w:r>
      <w:r w:rsidR="00174D2A">
        <w:rPr>
          <w:rFonts w:ascii="Arial" w:hAnsi="Arial"/>
          <w:lang w:val="en-US"/>
        </w:rPr>
        <w:t xml:space="preserve">whether </w:t>
      </w:r>
      <w:r w:rsidR="002255D0">
        <w:rPr>
          <w:rFonts w:ascii="Arial" w:hAnsi="Arial"/>
          <w:lang w:val="en-US"/>
        </w:rPr>
        <w:t xml:space="preserve">such </w:t>
      </w:r>
      <w:r w:rsidR="00174D2A">
        <w:rPr>
          <w:rFonts w:ascii="Arial" w:hAnsi="Arial"/>
          <w:lang w:val="en-US"/>
        </w:rPr>
        <w:t xml:space="preserve">competition will actually improve </w:t>
      </w:r>
      <w:r w:rsidR="004F7BF6">
        <w:rPr>
          <w:rFonts w:ascii="Arial" w:hAnsi="Arial"/>
          <w:lang w:val="en-US"/>
        </w:rPr>
        <w:t xml:space="preserve">access to justice. </w:t>
      </w:r>
      <w:r w:rsidR="0069447B">
        <w:rPr>
          <w:rFonts w:ascii="Arial" w:hAnsi="Arial"/>
          <w:lang w:val="en-US"/>
        </w:rPr>
        <w:t xml:space="preserve">Mason suggests </w:t>
      </w:r>
      <w:r w:rsidR="00AA1B47">
        <w:rPr>
          <w:rFonts w:ascii="Arial" w:hAnsi="Arial"/>
          <w:lang w:val="en-US"/>
        </w:rPr>
        <w:t xml:space="preserve">not, </w:t>
      </w:r>
      <w:r w:rsidR="0069447B">
        <w:rPr>
          <w:rFonts w:ascii="Arial" w:hAnsi="Arial"/>
          <w:lang w:val="en-US"/>
        </w:rPr>
        <w:t>that access to jus</w:t>
      </w:r>
      <w:r w:rsidR="00A82A7A">
        <w:rPr>
          <w:rFonts w:ascii="Arial" w:hAnsi="Arial"/>
          <w:lang w:val="en-US"/>
        </w:rPr>
        <w:t>t</w:t>
      </w:r>
      <w:r w:rsidR="0069447B">
        <w:rPr>
          <w:rFonts w:ascii="Arial" w:hAnsi="Arial"/>
          <w:lang w:val="en-US"/>
        </w:rPr>
        <w:t xml:space="preserve">ice can only be affected marginally, and often not </w:t>
      </w:r>
      <w:r w:rsidR="0069447B" w:rsidRPr="00CD65BE">
        <w:rPr>
          <w:rFonts w:ascii="Arial" w:hAnsi="Arial"/>
          <w:lang w:val="en-US"/>
        </w:rPr>
        <w:t>directly, by regulators (Mason et al, 2012).</w:t>
      </w:r>
    </w:p>
    <w:p w:rsidR="00CD1C14" w:rsidRPr="00CD65BE" w:rsidRDefault="00CD1C14" w:rsidP="00F31C0B">
      <w:pPr>
        <w:pStyle w:val="Body"/>
        <w:rPr>
          <w:rFonts w:ascii="Arial" w:hAnsi="Arial"/>
          <w:b/>
          <w:lang w:val="en-US"/>
        </w:rPr>
      </w:pPr>
      <w:r w:rsidRPr="00CD65BE">
        <w:rPr>
          <w:rFonts w:ascii="Arial" w:hAnsi="Arial"/>
          <w:b/>
          <w:lang w:val="en-US"/>
        </w:rPr>
        <w:t>T</w:t>
      </w:r>
      <w:r w:rsidR="00CD65BE" w:rsidRPr="00CD65BE">
        <w:rPr>
          <w:rFonts w:ascii="Arial" w:hAnsi="Arial"/>
          <w:b/>
          <w:lang w:val="en-US"/>
        </w:rPr>
        <w:t>he threats and o</w:t>
      </w:r>
      <w:r w:rsidR="00CD65BE">
        <w:rPr>
          <w:rFonts w:ascii="Arial" w:hAnsi="Arial"/>
          <w:b/>
          <w:lang w:val="en-US"/>
        </w:rPr>
        <w:t>pportunities posed by SQE for Law Schools</w:t>
      </w:r>
    </w:p>
    <w:p w:rsidR="005E0441" w:rsidRPr="007A494F" w:rsidRDefault="006E432B" w:rsidP="005E0441">
      <w:pPr>
        <w:pStyle w:val="Body"/>
        <w:rPr>
          <w:rFonts w:ascii="Arial" w:eastAsia="Arial" w:hAnsi="Arial" w:cs="Arial"/>
        </w:rPr>
      </w:pPr>
      <w:r>
        <w:rPr>
          <w:rFonts w:ascii="Arial" w:hAnsi="Arial" w:cs="Arial"/>
          <w:lang w:val="en-US"/>
        </w:rPr>
        <w:t xml:space="preserve">The SQE </w:t>
      </w:r>
      <w:r w:rsidR="005E0441" w:rsidRPr="007A494F">
        <w:rPr>
          <w:rFonts w:ascii="Arial" w:hAnsi="Arial" w:cs="Arial"/>
          <w:lang w:val="en-US"/>
        </w:rPr>
        <w:t>presents a number of</w:t>
      </w:r>
      <w:r w:rsidR="009C7D75">
        <w:rPr>
          <w:rFonts w:ascii="Arial" w:hAnsi="Arial" w:cs="Arial"/>
          <w:lang w:val="en-US"/>
        </w:rPr>
        <w:t xml:space="preserve"> threats and opportunities for law s</w:t>
      </w:r>
      <w:r w:rsidR="005E0441" w:rsidRPr="007A494F">
        <w:rPr>
          <w:rFonts w:ascii="Arial" w:hAnsi="Arial" w:cs="Arial"/>
          <w:lang w:val="en-US"/>
        </w:rPr>
        <w:t xml:space="preserve">chools. On the one hand the dropping of the requirement of a Qualifying Law Degree (or GDLS) may mean that students choose to study other degrees and prepare for the SQE by themselves or </w:t>
      </w:r>
      <w:r w:rsidR="00174D2A">
        <w:rPr>
          <w:rFonts w:ascii="Arial" w:hAnsi="Arial" w:cs="Arial"/>
          <w:lang w:val="en-US"/>
        </w:rPr>
        <w:t xml:space="preserve">by </w:t>
      </w:r>
      <w:r w:rsidR="00F42445">
        <w:rPr>
          <w:rFonts w:ascii="Arial" w:hAnsi="Arial" w:cs="Arial"/>
          <w:lang w:val="en-US"/>
        </w:rPr>
        <w:t>taking a specialised tutorial course,</w:t>
      </w:r>
      <w:r w:rsidR="005E0441" w:rsidRPr="007A494F">
        <w:rPr>
          <w:rFonts w:ascii="Arial" w:hAnsi="Arial" w:cs="Arial"/>
          <w:lang w:val="en-US"/>
        </w:rPr>
        <w:t xml:space="preserve"> </w:t>
      </w:r>
      <w:r w:rsidR="00F42445">
        <w:rPr>
          <w:rFonts w:ascii="Arial" w:hAnsi="Arial" w:cs="Arial"/>
          <w:lang w:val="en-US"/>
        </w:rPr>
        <w:t xml:space="preserve">such as </w:t>
      </w:r>
      <w:r w:rsidR="005E0441" w:rsidRPr="007A494F">
        <w:rPr>
          <w:rFonts w:ascii="Arial" w:hAnsi="Arial" w:cs="Arial"/>
          <w:lang w:val="en-US"/>
        </w:rPr>
        <w:t>the courses offered by Barbri</w:t>
      </w:r>
      <w:r w:rsidR="005E0441" w:rsidRPr="007A494F">
        <w:rPr>
          <w:rFonts w:ascii="Arial" w:eastAsia="Arial" w:hAnsi="Arial" w:cs="Arial"/>
          <w:vertAlign w:val="superscript"/>
        </w:rPr>
        <w:t xml:space="preserve"> </w:t>
      </w:r>
      <w:r w:rsidR="005E0441" w:rsidRPr="007A494F">
        <w:rPr>
          <w:rFonts w:ascii="Arial" w:hAnsi="Arial" w:cs="Arial"/>
          <w:lang w:val="en-US"/>
        </w:rPr>
        <w:t xml:space="preserve">for the New York Bar exams and now the SRA Qualified </w:t>
      </w:r>
      <w:r w:rsidR="00F42445">
        <w:rPr>
          <w:rFonts w:ascii="Arial" w:hAnsi="Arial" w:cs="Arial"/>
          <w:lang w:val="en-US"/>
        </w:rPr>
        <w:t xml:space="preserve">Lawyers Transfer Scheme (Barbri, </w:t>
      </w:r>
      <w:r w:rsidR="005E0441" w:rsidRPr="007A494F">
        <w:rPr>
          <w:rFonts w:ascii="Arial" w:hAnsi="Arial" w:cs="Arial"/>
          <w:lang w:val="en-US"/>
        </w:rPr>
        <w:t xml:space="preserve">2019). On the other hand, the requirement for a degree and the legal knowledge required to pass the exams mean that it is likely that many candidates will continue to choose to study a law degree. </w:t>
      </w:r>
      <w:r w:rsidR="001E6854">
        <w:rPr>
          <w:rFonts w:ascii="Arial" w:hAnsi="Arial" w:cs="Arial"/>
          <w:lang w:val="en-US"/>
        </w:rPr>
        <w:t xml:space="preserve">Also student loans are available for LLB and LLM courses but not for courses aimed exclusively at preparation for the SQE. </w:t>
      </w:r>
      <w:r w:rsidR="005E0441" w:rsidRPr="007A494F">
        <w:rPr>
          <w:rFonts w:ascii="Arial" w:hAnsi="Arial" w:cs="Arial"/>
          <w:lang w:val="en-US"/>
        </w:rPr>
        <w:t>In terms of cost and flexibility</w:t>
      </w:r>
      <w:r w:rsidR="00F42445">
        <w:rPr>
          <w:rFonts w:ascii="Arial" w:hAnsi="Arial" w:cs="Arial"/>
          <w:lang w:val="en-US"/>
        </w:rPr>
        <w:t>,</w:t>
      </w:r>
      <w:r w:rsidR="005E0441" w:rsidRPr="007A494F">
        <w:rPr>
          <w:rFonts w:ascii="Arial" w:hAnsi="Arial" w:cs="Arial"/>
          <w:lang w:val="en-US"/>
        </w:rPr>
        <w:t xml:space="preserve"> degree apprenticeships are an obviously attractive option. </w:t>
      </w:r>
      <w:r w:rsidR="00010A14">
        <w:rPr>
          <w:rFonts w:ascii="Arial" w:hAnsi="Arial" w:cs="Arial"/>
          <w:lang w:val="en-US"/>
        </w:rPr>
        <w:t xml:space="preserve">However, it is not clear whether </w:t>
      </w:r>
      <w:r w:rsidR="00010A14" w:rsidRPr="007A494F">
        <w:rPr>
          <w:rFonts w:ascii="Arial" w:hAnsi="Arial" w:cs="Arial"/>
          <w:lang w:val="en-US"/>
        </w:rPr>
        <w:t xml:space="preserve">law firms </w:t>
      </w:r>
      <w:r w:rsidR="00010A14">
        <w:rPr>
          <w:rFonts w:ascii="Arial" w:hAnsi="Arial" w:cs="Arial"/>
          <w:lang w:val="en-US"/>
        </w:rPr>
        <w:t xml:space="preserve">are currently </w:t>
      </w:r>
      <w:r w:rsidR="00010A14" w:rsidRPr="007A494F">
        <w:rPr>
          <w:rFonts w:ascii="Arial" w:hAnsi="Arial" w:cs="Arial"/>
          <w:lang w:val="en-US"/>
        </w:rPr>
        <w:t xml:space="preserve">recruiting </w:t>
      </w:r>
      <w:r w:rsidR="00010A14">
        <w:rPr>
          <w:rFonts w:ascii="Arial" w:hAnsi="Arial" w:cs="Arial"/>
          <w:lang w:val="en-US"/>
        </w:rPr>
        <w:t xml:space="preserve">a significant number of </w:t>
      </w:r>
      <w:r w:rsidR="00010A14" w:rsidRPr="007A494F">
        <w:rPr>
          <w:rFonts w:ascii="Arial" w:hAnsi="Arial" w:cs="Arial"/>
          <w:lang w:val="en-US"/>
        </w:rPr>
        <w:t>school leavers onto full degree apprenticeship routes</w:t>
      </w:r>
      <w:r w:rsidR="00010A14">
        <w:rPr>
          <w:rFonts w:ascii="Arial" w:hAnsi="Arial" w:cs="Arial"/>
          <w:lang w:val="en-US"/>
        </w:rPr>
        <w:t xml:space="preserve">. Data on Solicitor apprenticeship starts is not disaggregated from Business, Administration and other Law apprenticeships (Parliament. House of Commons, 2019, 4.2) but looking at legal recruitment websites suggests that </w:t>
      </w:r>
      <w:r w:rsidR="00010A14" w:rsidRPr="007A494F">
        <w:rPr>
          <w:rFonts w:ascii="Arial" w:hAnsi="Arial" w:cs="Arial"/>
        </w:rPr>
        <w:t xml:space="preserve">paralegal </w:t>
      </w:r>
      <w:r w:rsidR="00010A14">
        <w:rPr>
          <w:rFonts w:ascii="Arial" w:hAnsi="Arial" w:cs="Arial"/>
        </w:rPr>
        <w:t xml:space="preserve">and CILEx apprenticeships are more popular </w:t>
      </w:r>
      <w:r w:rsidR="00010A14">
        <w:rPr>
          <w:rFonts w:ascii="Arial" w:hAnsi="Arial" w:cs="Arial"/>
          <w:lang w:val="en-US"/>
        </w:rPr>
        <w:t>(</w:t>
      </w:r>
      <w:r w:rsidR="00784D13">
        <w:rPr>
          <w:rFonts w:ascii="Arial" w:hAnsi="Arial" w:cs="Arial"/>
          <w:lang w:val="en-US"/>
        </w:rPr>
        <w:t>Chambers Student Guide</w:t>
      </w:r>
      <w:r w:rsidR="00010A14">
        <w:rPr>
          <w:rFonts w:ascii="Arial" w:hAnsi="Arial" w:cs="Arial"/>
          <w:lang w:val="en-US"/>
        </w:rPr>
        <w:t>, 2019)(</w:t>
      </w:r>
      <w:r w:rsidR="00784D13">
        <w:rPr>
          <w:rFonts w:ascii="Arial" w:hAnsi="Arial" w:cs="Arial"/>
          <w:lang w:val="en-US"/>
        </w:rPr>
        <w:t>LawCareers.Net</w:t>
      </w:r>
      <w:r w:rsidR="007C5ABA">
        <w:rPr>
          <w:rFonts w:ascii="Arial" w:hAnsi="Arial" w:cs="Arial"/>
          <w:lang w:val="en-US"/>
        </w:rPr>
        <w:t>,</w:t>
      </w:r>
      <w:r w:rsidR="00010A14">
        <w:rPr>
          <w:rFonts w:ascii="Arial" w:hAnsi="Arial" w:cs="Arial"/>
          <w:lang w:val="en-US"/>
        </w:rPr>
        <w:t xml:space="preserve"> 2019).</w:t>
      </w:r>
      <w:r w:rsidR="005E0441" w:rsidRPr="007A494F">
        <w:rPr>
          <w:rFonts w:ascii="Arial" w:hAnsi="Arial" w:cs="Arial"/>
          <w:lang w:val="en-US"/>
        </w:rPr>
        <w:t xml:space="preserve"> </w:t>
      </w:r>
    </w:p>
    <w:p w:rsidR="00062FC9" w:rsidRDefault="005E0441" w:rsidP="0046065C">
      <w:pPr>
        <w:pStyle w:val="Body"/>
        <w:rPr>
          <w:rFonts w:ascii="Arial" w:hAnsi="Arial"/>
        </w:rPr>
      </w:pPr>
      <w:r>
        <w:rPr>
          <w:rFonts w:ascii="Arial" w:hAnsi="Arial"/>
          <w:lang w:val="en-US"/>
        </w:rPr>
        <w:t xml:space="preserve">The great opportunity </w:t>
      </w:r>
      <w:r w:rsidR="009C7D75">
        <w:rPr>
          <w:rFonts w:ascii="Arial" w:hAnsi="Arial"/>
          <w:lang w:val="en-US"/>
        </w:rPr>
        <w:t>for law s</w:t>
      </w:r>
      <w:r w:rsidR="001E6854">
        <w:rPr>
          <w:rFonts w:ascii="Arial" w:hAnsi="Arial"/>
          <w:lang w:val="en-US"/>
        </w:rPr>
        <w:t xml:space="preserve">chools </w:t>
      </w:r>
      <w:r>
        <w:rPr>
          <w:rFonts w:ascii="Arial" w:hAnsi="Arial"/>
          <w:lang w:val="en-US"/>
        </w:rPr>
        <w:t xml:space="preserve">is the freedom to design law degrees outside the traditional QLD requirements. The BSB will still require a QLD but will be satisfied by any degree that meets the QAA Law Benchmark. </w:t>
      </w:r>
      <w:r w:rsidR="008E5DE4">
        <w:rPr>
          <w:rFonts w:ascii="Arial" w:hAnsi="Arial"/>
          <w:lang w:val="en-US"/>
        </w:rPr>
        <w:t xml:space="preserve">This means that Law Schools are free to redesign their courses </w:t>
      </w:r>
      <w:r w:rsidR="00440612">
        <w:rPr>
          <w:rFonts w:ascii="Arial" w:hAnsi="Arial"/>
          <w:lang w:val="en-US"/>
        </w:rPr>
        <w:t xml:space="preserve">with distinct pedagogies </w:t>
      </w:r>
      <w:r w:rsidR="008E5DE4">
        <w:rPr>
          <w:rFonts w:ascii="Arial" w:hAnsi="Arial"/>
          <w:lang w:val="en-US"/>
        </w:rPr>
        <w:t>and move out of the shadow o</w:t>
      </w:r>
      <w:r w:rsidR="006E432B">
        <w:rPr>
          <w:rFonts w:ascii="Arial" w:hAnsi="Arial"/>
        </w:rPr>
        <w:t xml:space="preserve">f the professional bodies’ historic insistence on </w:t>
      </w:r>
      <w:r w:rsidR="003C048A">
        <w:rPr>
          <w:rFonts w:ascii="Arial" w:hAnsi="Arial"/>
        </w:rPr>
        <w:t>core foundation subjects and preference for unseen examinations</w:t>
      </w:r>
      <w:r w:rsidR="006E432B">
        <w:rPr>
          <w:rFonts w:ascii="Arial" w:hAnsi="Arial"/>
        </w:rPr>
        <w:t xml:space="preserve">. </w:t>
      </w:r>
      <w:r w:rsidR="001E6854">
        <w:rPr>
          <w:rFonts w:ascii="Arial" w:hAnsi="Arial"/>
        </w:rPr>
        <w:t xml:space="preserve">If desired, more </w:t>
      </w:r>
      <w:r w:rsidR="003C048A">
        <w:rPr>
          <w:rFonts w:ascii="Arial" w:hAnsi="Arial"/>
        </w:rPr>
        <w:t xml:space="preserve">time can be made </w:t>
      </w:r>
      <w:r w:rsidR="001E6854">
        <w:rPr>
          <w:rFonts w:ascii="Arial" w:hAnsi="Arial"/>
        </w:rPr>
        <w:t xml:space="preserve">available </w:t>
      </w:r>
      <w:r w:rsidR="003C048A">
        <w:rPr>
          <w:rFonts w:ascii="Arial" w:hAnsi="Arial"/>
        </w:rPr>
        <w:t xml:space="preserve">for theory, </w:t>
      </w:r>
      <w:r w:rsidR="00F42445">
        <w:rPr>
          <w:rFonts w:ascii="Arial" w:hAnsi="Arial"/>
        </w:rPr>
        <w:t xml:space="preserve">skills, </w:t>
      </w:r>
      <w:r w:rsidR="003C048A">
        <w:rPr>
          <w:rFonts w:ascii="Arial" w:hAnsi="Arial"/>
        </w:rPr>
        <w:t xml:space="preserve">social welfare law, international and comparative law, </w:t>
      </w:r>
      <w:r w:rsidR="00062FC9">
        <w:rPr>
          <w:rFonts w:ascii="Arial" w:hAnsi="Arial"/>
        </w:rPr>
        <w:t xml:space="preserve">commercial awareness and </w:t>
      </w:r>
      <w:r w:rsidR="003C048A">
        <w:rPr>
          <w:rFonts w:ascii="Arial" w:hAnsi="Arial"/>
        </w:rPr>
        <w:t>commercial specialisms</w:t>
      </w:r>
      <w:r w:rsidR="009C7D75">
        <w:rPr>
          <w:rFonts w:ascii="Arial" w:hAnsi="Arial"/>
        </w:rPr>
        <w:t xml:space="preserve"> and/or emerging areas such as law &amp; t</w:t>
      </w:r>
      <w:r w:rsidR="003C048A">
        <w:rPr>
          <w:rFonts w:ascii="Arial" w:hAnsi="Arial"/>
        </w:rPr>
        <w:t xml:space="preserve">echnology. </w:t>
      </w:r>
      <w:r w:rsidR="001E6854">
        <w:rPr>
          <w:rFonts w:ascii="Arial" w:hAnsi="Arial"/>
        </w:rPr>
        <w:t xml:space="preserve">Different teaching &amp; learning </w:t>
      </w:r>
      <w:r w:rsidR="001E6854">
        <w:rPr>
          <w:rFonts w:ascii="Arial" w:hAnsi="Arial"/>
        </w:rPr>
        <w:lastRenderedPageBreak/>
        <w:t xml:space="preserve">strategies </w:t>
      </w:r>
      <w:r w:rsidR="003C048A">
        <w:rPr>
          <w:rFonts w:ascii="Arial" w:hAnsi="Arial"/>
        </w:rPr>
        <w:t xml:space="preserve">can </w:t>
      </w:r>
      <w:r w:rsidR="001E6854">
        <w:rPr>
          <w:rFonts w:ascii="Arial" w:hAnsi="Arial"/>
        </w:rPr>
        <w:t>be deployed or extended</w:t>
      </w:r>
      <w:r w:rsidR="00F42445">
        <w:rPr>
          <w:rFonts w:ascii="Arial" w:hAnsi="Arial"/>
        </w:rPr>
        <w:t xml:space="preserve"> and </w:t>
      </w:r>
      <w:r w:rsidR="009C7D75">
        <w:rPr>
          <w:rFonts w:ascii="Arial" w:hAnsi="Arial"/>
        </w:rPr>
        <w:t>law s</w:t>
      </w:r>
      <w:r w:rsidR="00062FC9">
        <w:rPr>
          <w:rFonts w:ascii="Arial" w:hAnsi="Arial"/>
        </w:rPr>
        <w:t xml:space="preserve">chools can now rethink their assessment strategies if they choose. </w:t>
      </w:r>
      <w:r w:rsidR="006E432B">
        <w:rPr>
          <w:rFonts w:ascii="Arial" w:hAnsi="Arial"/>
        </w:rPr>
        <w:t xml:space="preserve">As Phil Race, amongst many others, insists, assessment in higher education is broken and we spend too much time assessing the wrong things and, even, the wrong people in ways that obstruct rather than assist learning (Race, 2014). </w:t>
      </w:r>
    </w:p>
    <w:p w:rsidR="00F11A0E" w:rsidRDefault="00D23BF9" w:rsidP="00F11A0E">
      <w:pPr>
        <w:pStyle w:val="Body"/>
        <w:rPr>
          <w:rFonts w:ascii="Arial" w:eastAsia="Arial" w:hAnsi="Arial" w:cs="Arial"/>
        </w:rPr>
      </w:pPr>
      <w:r>
        <w:rPr>
          <w:rFonts w:ascii="Arial" w:hAnsi="Arial"/>
        </w:rPr>
        <w:t>However, although</w:t>
      </w:r>
      <w:r w:rsidR="009C7D75">
        <w:rPr>
          <w:rFonts w:ascii="Arial" w:hAnsi="Arial"/>
        </w:rPr>
        <w:t xml:space="preserve"> the most common response from l</w:t>
      </w:r>
      <w:r>
        <w:rPr>
          <w:rFonts w:ascii="Arial" w:hAnsi="Arial"/>
        </w:rPr>
        <w:t>aw</w:t>
      </w:r>
      <w:r w:rsidR="009C7D75">
        <w:rPr>
          <w:rFonts w:ascii="Arial" w:hAnsi="Arial"/>
        </w:rPr>
        <w:t xml:space="preserve"> s</w:t>
      </w:r>
      <w:r>
        <w:rPr>
          <w:rFonts w:ascii="Arial" w:hAnsi="Arial"/>
        </w:rPr>
        <w:t>chools has been to condemn and turn their back o</w:t>
      </w:r>
      <w:r w:rsidR="00436B1A">
        <w:rPr>
          <w:rFonts w:ascii="Arial" w:hAnsi="Arial"/>
        </w:rPr>
        <w:t>n the SQE, it will be a brave and</w:t>
      </w:r>
      <w:r>
        <w:rPr>
          <w:rFonts w:ascii="Arial" w:hAnsi="Arial"/>
        </w:rPr>
        <w:t xml:space="preserve"> confident school that ignores it entirely. Although less than half of all law graduates eventually qualify as lawyers, many more start their studies with qualification as at least an option</w:t>
      </w:r>
      <w:r w:rsidR="00436B1A">
        <w:rPr>
          <w:rFonts w:ascii="Arial" w:hAnsi="Arial"/>
        </w:rPr>
        <w:t xml:space="preserve"> in mind</w:t>
      </w:r>
      <w:r>
        <w:rPr>
          <w:rFonts w:ascii="Arial" w:hAnsi="Arial"/>
        </w:rPr>
        <w:t>. A law degree that addresses professional practice and skills and the SQE syllabus and assessment methodology may be attractive to them</w:t>
      </w:r>
      <w:r w:rsidR="0046065C">
        <w:rPr>
          <w:rFonts w:ascii="Arial" w:hAnsi="Arial"/>
        </w:rPr>
        <w:t>, especially if it does</w:t>
      </w:r>
      <w:r w:rsidR="00F31162">
        <w:rPr>
          <w:rFonts w:ascii="Arial" w:hAnsi="Arial"/>
        </w:rPr>
        <w:t xml:space="preserve"> not</w:t>
      </w:r>
      <w:r w:rsidR="0046065C">
        <w:rPr>
          <w:rFonts w:ascii="Arial" w:hAnsi="Arial"/>
        </w:rPr>
        <w:t xml:space="preserve"> sacrifice the other important elements of a degree education</w:t>
      </w:r>
      <w:r w:rsidR="00523C17">
        <w:rPr>
          <w:rFonts w:ascii="Arial" w:hAnsi="Arial"/>
          <w:lang w:val="en-US"/>
        </w:rPr>
        <w:t>. S</w:t>
      </w:r>
      <w:r w:rsidR="00F42445">
        <w:rPr>
          <w:rFonts w:ascii="Arial" w:hAnsi="Arial"/>
          <w:lang w:val="en-US"/>
        </w:rPr>
        <w:t xml:space="preserve">ome </w:t>
      </w:r>
      <w:r w:rsidR="009C7D75">
        <w:rPr>
          <w:rFonts w:ascii="Arial" w:hAnsi="Arial"/>
          <w:lang w:val="en-US"/>
        </w:rPr>
        <w:t>law s</w:t>
      </w:r>
      <w:r w:rsidR="005E0441">
        <w:rPr>
          <w:rFonts w:ascii="Arial" w:hAnsi="Arial"/>
          <w:lang w:val="en-US"/>
        </w:rPr>
        <w:t xml:space="preserve">chools will </w:t>
      </w:r>
      <w:r w:rsidR="00393F0F">
        <w:rPr>
          <w:rFonts w:ascii="Arial" w:hAnsi="Arial"/>
          <w:lang w:val="en-US"/>
        </w:rPr>
        <w:t xml:space="preserve">carry on exactly as they are or </w:t>
      </w:r>
      <w:r w:rsidR="005E0441">
        <w:rPr>
          <w:rFonts w:ascii="Arial" w:hAnsi="Arial"/>
          <w:lang w:val="en-US"/>
        </w:rPr>
        <w:t>take the freedom to develop academically interesting degrees that are not yoked to the requirements of professional qualification</w:t>
      </w:r>
      <w:r w:rsidR="00523C17">
        <w:rPr>
          <w:rFonts w:ascii="Arial" w:hAnsi="Arial"/>
          <w:lang w:val="en-US"/>
        </w:rPr>
        <w:t>. O</w:t>
      </w:r>
      <w:r w:rsidR="00F42445">
        <w:rPr>
          <w:rFonts w:ascii="Arial" w:hAnsi="Arial"/>
          <w:lang w:val="en-US"/>
        </w:rPr>
        <w:t xml:space="preserve">thers may </w:t>
      </w:r>
      <w:r w:rsidR="005E0441">
        <w:rPr>
          <w:rFonts w:ascii="Arial" w:hAnsi="Arial"/>
          <w:lang w:val="en-US"/>
        </w:rPr>
        <w:t xml:space="preserve">choose to develop degrees that prepare students fully or partly for the SQE and the other qualifying examinations. </w:t>
      </w:r>
      <w:r w:rsidR="009C7D75">
        <w:rPr>
          <w:rFonts w:ascii="Arial" w:hAnsi="Arial"/>
          <w:lang w:val="en-US"/>
        </w:rPr>
        <w:t>Market forces in the form of s</w:t>
      </w:r>
      <w:r w:rsidR="00F42445">
        <w:rPr>
          <w:rFonts w:ascii="Arial" w:hAnsi="Arial"/>
          <w:lang w:val="en-US"/>
        </w:rPr>
        <w:t xml:space="preserve">tudent choice (and student satisfaction) may mean that </w:t>
      </w:r>
      <w:r w:rsidR="009C7D75">
        <w:rPr>
          <w:rFonts w:ascii="Arial" w:hAnsi="Arial"/>
        </w:rPr>
        <w:t>law s</w:t>
      </w:r>
      <w:r w:rsidR="00F11A0E">
        <w:rPr>
          <w:rFonts w:ascii="Arial" w:hAnsi="Arial"/>
        </w:rPr>
        <w:t>chools that ar</w:t>
      </w:r>
      <w:r w:rsidR="00523C17">
        <w:rPr>
          <w:rFonts w:ascii="Arial" w:hAnsi="Arial"/>
        </w:rPr>
        <w:t>e neither sufficiently prestigious</w:t>
      </w:r>
      <w:r w:rsidR="00393F0F">
        <w:rPr>
          <w:rFonts w:ascii="Arial" w:hAnsi="Arial"/>
        </w:rPr>
        <w:t xml:space="preserve"> nor addressing professional practice </w:t>
      </w:r>
      <w:r w:rsidR="00F11A0E">
        <w:rPr>
          <w:rFonts w:ascii="Arial" w:hAnsi="Arial"/>
        </w:rPr>
        <w:t>in some way may be squeezed in terms of recruitment. Some may then have to change their courses out of necessity.</w:t>
      </w:r>
    </w:p>
    <w:p w:rsidR="00F31162" w:rsidRDefault="009C7D75" w:rsidP="00562FFF">
      <w:pPr>
        <w:pStyle w:val="PlainText"/>
        <w:rPr>
          <w:rFonts w:ascii="Arial" w:hAnsi="Arial" w:cs="Arial"/>
        </w:rPr>
      </w:pPr>
      <w:r>
        <w:rPr>
          <w:rFonts w:ascii="Arial" w:hAnsi="Arial"/>
          <w:lang w:val="en-US"/>
        </w:rPr>
        <w:t>So far very few law s</w:t>
      </w:r>
      <w:r w:rsidR="00F11A0E">
        <w:rPr>
          <w:rFonts w:ascii="Arial" w:hAnsi="Arial"/>
          <w:lang w:val="en-US"/>
        </w:rPr>
        <w:t xml:space="preserve">chools have expressed an intention to develop law degrees that prepare graduates </w:t>
      </w:r>
      <w:r w:rsidR="001E6854">
        <w:rPr>
          <w:rFonts w:ascii="Arial" w:hAnsi="Arial"/>
          <w:lang w:val="en-US"/>
        </w:rPr>
        <w:t xml:space="preserve">exclusively </w:t>
      </w:r>
      <w:r w:rsidR="00C72896">
        <w:rPr>
          <w:rFonts w:ascii="Arial" w:hAnsi="Arial"/>
          <w:lang w:val="en-US"/>
        </w:rPr>
        <w:t>to take the SQE immediately up</w:t>
      </w:r>
      <w:r w:rsidR="00F11A0E">
        <w:rPr>
          <w:rFonts w:ascii="Arial" w:hAnsi="Arial"/>
          <w:lang w:val="en-US"/>
        </w:rPr>
        <w:t xml:space="preserve">on graduation. </w:t>
      </w:r>
      <w:r w:rsidR="00523C17">
        <w:rPr>
          <w:rFonts w:ascii="Arial" w:hAnsi="Arial"/>
          <w:lang w:val="en-US"/>
        </w:rPr>
        <w:t xml:space="preserve">As can be seen, many </w:t>
      </w:r>
      <w:r w:rsidR="00F31162">
        <w:rPr>
          <w:rFonts w:ascii="Arial" w:hAnsi="Arial"/>
          <w:lang w:val="en-US"/>
        </w:rPr>
        <w:t>legal academics</w:t>
      </w:r>
      <w:r w:rsidR="00523C17">
        <w:rPr>
          <w:rFonts w:ascii="Arial" w:hAnsi="Arial"/>
          <w:lang w:val="en-US"/>
        </w:rPr>
        <w:t xml:space="preserve"> think that such degrees will have very little to recommend them other </w:t>
      </w:r>
      <w:r w:rsidR="00C72896">
        <w:rPr>
          <w:rFonts w:ascii="Arial" w:hAnsi="Arial"/>
          <w:lang w:val="en-US"/>
        </w:rPr>
        <w:t xml:space="preserve">than </w:t>
      </w:r>
      <w:r w:rsidR="00523C17">
        <w:rPr>
          <w:rFonts w:ascii="Arial" w:hAnsi="Arial"/>
          <w:lang w:val="en-US"/>
        </w:rPr>
        <w:t xml:space="preserve">the potentially significant saving of a year of time and fees on the road to qualification. </w:t>
      </w:r>
      <w:r w:rsidR="00F11A0E">
        <w:rPr>
          <w:rFonts w:ascii="Arial" w:hAnsi="Arial"/>
          <w:lang w:val="en-US"/>
        </w:rPr>
        <w:t>Mo</w:t>
      </w:r>
      <w:r>
        <w:rPr>
          <w:rFonts w:ascii="Arial" w:hAnsi="Arial"/>
          <w:lang w:val="en-US"/>
        </w:rPr>
        <w:t>st law s</w:t>
      </w:r>
      <w:r w:rsidR="00523C17">
        <w:rPr>
          <w:rFonts w:ascii="Arial" w:hAnsi="Arial"/>
          <w:lang w:val="en-US"/>
        </w:rPr>
        <w:t xml:space="preserve">chools who choose to address the SQE </w:t>
      </w:r>
      <w:r w:rsidR="00F11A0E">
        <w:rPr>
          <w:rFonts w:ascii="Arial" w:hAnsi="Arial"/>
          <w:lang w:val="en-US"/>
        </w:rPr>
        <w:t>are likely to deve</w:t>
      </w:r>
      <w:r>
        <w:rPr>
          <w:rFonts w:ascii="Arial" w:hAnsi="Arial"/>
          <w:lang w:val="en-US"/>
        </w:rPr>
        <w:t>lop courses that address</w:t>
      </w:r>
      <w:r w:rsidR="00C72896">
        <w:rPr>
          <w:rFonts w:ascii="Arial" w:hAnsi="Arial"/>
          <w:lang w:val="en-US"/>
        </w:rPr>
        <w:t xml:space="preserve"> it</w:t>
      </w:r>
      <w:r w:rsidR="00F11A0E">
        <w:rPr>
          <w:rFonts w:ascii="Arial" w:hAnsi="Arial"/>
          <w:lang w:val="en-US"/>
        </w:rPr>
        <w:t xml:space="preserve"> alongside other outcomes and aim to give their students a head start when they begin their postgraduate </w:t>
      </w:r>
      <w:r w:rsidR="00523C17">
        <w:rPr>
          <w:rFonts w:ascii="Arial" w:hAnsi="Arial"/>
          <w:lang w:val="en-US"/>
        </w:rPr>
        <w:t xml:space="preserve">(or fourth year) of </w:t>
      </w:r>
      <w:r w:rsidR="00F11A0E">
        <w:rPr>
          <w:rFonts w:ascii="Arial" w:hAnsi="Arial"/>
          <w:lang w:val="en-US"/>
        </w:rPr>
        <w:t xml:space="preserve">SQE studies. This </w:t>
      </w:r>
      <w:r w:rsidR="00523C17">
        <w:rPr>
          <w:rFonts w:ascii="Arial" w:hAnsi="Arial"/>
          <w:lang w:val="en-US"/>
        </w:rPr>
        <w:t>approach mitigates some</w:t>
      </w:r>
      <w:r w:rsidR="00357A6A">
        <w:rPr>
          <w:rFonts w:ascii="Arial" w:hAnsi="Arial"/>
          <w:lang w:val="en-US"/>
        </w:rPr>
        <w:t xml:space="preserve"> of the concerns about SQE degrees but </w:t>
      </w:r>
      <w:r w:rsidR="00F11A0E">
        <w:rPr>
          <w:rFonts w:ascii="Arial" w:hAnsi="Arial"/>
          <w:lang w:val="en-US"/>
        </w:rPr>
        <w:t>raises the old debate about whether a law degree is a liberal arts education or a preparatio</w:t>
      </w:r>
      <w:r w:rsidR="00523C17">
        <w:rPr>
          <w:rFonts w:ascii="Arial" w:hAnsi="Arial"/>
          <w:lang w:val="en-US"/>
        </w:rPr>
        <w:t>n for practice. However, the two</w:t>
      </w:r>
      <w:r w:rsidR="005E0441">
        <w:rPr>
          <w:rFonts w:ascii="Arial" w:hAnsi="Arial"/>
          <w:lang w:val="en-US"/>
        </w:rPr>
        <w:t xml:space="preserve"> need not be mutually exclusive choices</w:t>
      </w:r>
      <w:r w:rsidR="00F11A0E">
        <w:rPr>
          <w:rFonts w:ascii="Arial" w:hAnsi="Arial"/>
          <w:lang w:val="en-US"/>
        </w:rPr>
        <w:t xml:space="preserve">. </w:t>
      </w:r>
      <w:r w:rsidR="0046065C" w:rsidRPr="008D0BF0">
        <w:rPr>
          <w:rFonts w:ascii="Arial" w:eastAsia="Arial" w:hAnsi="Arial" w:cs="Arial"/>
        </w:rPr>
        <w:t>Guth &amp; Ashford have argued</w:t>
      </w:r>
      <w:r w:rsidR="0046065C">
        <w:rPr>
          <w:rFonts w:ascii="Arial" w:eastAsia="Arial" w:hAnsi="Arial" w:cs="Arial"/>
        </w:rPr>
        <w:t xml:space="preserve"> for</w:t>
      </w:r>
      <w:r w:rsidR="0046065C" w:rsidRPr="008D0BF0">
        <w:rPr>
          <w:rFonts w:ascii="Arial" w:eastAsia="Arial" w:hAnsi="Arial" w:cs="Arial"/>
        </w:rPr>
        <w:t xml:space="preserve"> ‘</w:t>
      </w:r>
      <w:r w:rsidR="0046065C" w:rsidRPr="008D0BF0">
        <w:rPr>
          <w:rFonts w:ascii="Arial" w:hAnsi="Arial" w:cs="Arial"/>
        </w:rPr>
        <w:t xml:space="preserve">a more nuanced understanding of liberal legal education: one which does not oppose the </w:t>
      </w:r>
      <w:r w:rsidR="0046065C" w:rsidRPr="0046065C">
        <w:rPr>
          <w:rFonts w:ascii="Arial" w:hAnsi="Arial" w:cs="Arial"/>
        </w:rPr>
        <w:t>teaching or exploration of practice relevant subjects or the learning of professional knowledge and skills; but one where these are acquired, if indeed they are, because they facilitate or come with the wider learning that constitutes a liberal education’</w:t>
      </w:r>
      <w:r w:rsidR="0046065C">
        <w:rPr>
          <w:rFonts w:ascii="Arial" w:hAnsi="Arial" w:cs="Arial"/>
        </w:rPr>
        <w:t xml:space="preserve"> </w:t>
      </w:r>
      <w:r w:rsidR="0046065C" w:rsidRPr="008D0BF0">
        <w:rPr>
          <w:rFonts w:ascii="Arial" w:hAnsi="Arial" w:cs="Arial"/>
        </w:rPr>
        <w:t>(Guth &amp; Ashford, 2014)</w:t>
      </w:r>
      <w:r w:rsidR="00F31162">
        <w:rPr>
          <w:rFonts w:ascii="Arial" w:hAnsi="Arial" w:cs="Arial"/>
        </w:rPr>
        <w:t xml:space="preserve">. Equally, </w:t>
      </w:r>
      <w:r w:rsidR="00F11A0E">
        <w:rPr>
          <w:rFonts w:ascii="Arial" w:eastAsia="Arial" w:hAnsi="Arial" w:cs="Arial"/>
        </w:rPr>
        <w:t>Yorke contends persuasively that employability is not inconsistent with good academic learning (Yorke, 2006).</w:t>
      </w:r>
      <w:r w:rsidR="001E6854">
        <w:rPr>
          <w:rFonts w:ascii="Arial" w:eastAsia="Arial" w:hAnsi="Arial" w:cs="Arial"/>
        </w:rPr>
        <w:t xml:space="preserve"> If the SQE effectively lowers standards and does ‘</w:t>
      </w:r>
      <w:r w:rsidR="001E6854" w:rsidRPr="005C4EEF">
        <w:rPr>
          <w:rFonts w:ascii="Arial" w:hAnsi="Arial" w:cs="Arial"/>
          <w:szCs w:val="22"/>
        </w:rPr>
        <w:t>significant violence to</w:t>
      </w:r>
      <w:r w:rsidR="00CD0B59">
        <w:rPr>
          <w:rFonts w:ascii="Arial" w:hAnsi="Arial" w:cs="Arial"/>
        </w:rPr>
        <w:t xml:space="preserve"> law as an academic discipline</w:t>
      </w:r>
      <w:r w:rsidR="001E6854" w:rsidRPr="005C4EEF">
        <w:rPr>
          <w:rFonts w:ascii="Arial" w:hAnsi="Arial" w:cs="Arial"/>
          <w:szCs w:val="22"/>
        </w:rPr>
        <w:t>’ (Mason &amp; Guth, 2018)</w:t>
      </w:r>
      <w:r w:rsidR="00CD0B59">
        <w:rPr>
          <w:rFonts w:ascii="Arial" w:hAnsi="Arial" w:cs="Arial"/>
        </w:rPr>
        <w:t xml:space="preserve">, it </w:t>
      </w:r>
      <w:r w:rsidR="00F31162">
        <w:rPr>
          <w:rFonts w:ascii="Arial" w:hAnsi="Arial" w:cs="Arial"/>
        </w:rPr>
        <w:t>could be</w:t>
      </w:r>
      <w:r w:rsidR="00CD0B59">
        <w:rPr>
          <w:rFonts w:ascii="Arial" w:hAnsi="Arial" w:cs="Arial"/>
        </w:rPr>
        <w:t xml:space="preserve"> an exciting proposition to deploy </w:t>
      </w:r>
      <w:r w:rsidR="00F805A8">
        <w:rPr>
          <w:rFonts w:ascii="Arial" w:hAnsi="Arial" w:cs="Arial"/>
        </w:rPr>
        <w:t>innovative</w:t>
      </w:r>
      <w:r w:rsidR="00CD0B59">
        <w:rPr>
          <w:rFonts w:ascii="Arial" w:hAnsi="Arial" w:cs="Arial"/>
        </w:rPr>
        <w:t xml:space="preserve"> and effective pedagogies to redress the </w:t>
      </w:r>
      <w:r w:rsidR="00F805A8">
        <w:rPr>
          <w:rFonts w:ascii="Arial" w:hAnsi="Arial" w:cs="Arial"/>
        </w:rPr>
        <w:t>deficit and to build a ‘multi-functional’ Law School as Twining suggested 25 years ago (Twining, 1994)</w:t>
      </w:r>
      <w:r w:rsidR="00CD0B59">
        <w:rPr>
          <w:rFonts w:ascii="Arial" w:hAnsi="Arial" w:cs="Arial"/>
        </w:rPr>
        <w:t xml:space="preserve">. </w:t>
      </w:r>
      <w:r>
        <w:rPr>
          <w:rFonts w:ascii="Arial" w:hAnsi="Arial" w:cs="Arial"/>
        </w:rPr>
        <w:t>For law s</w:t>
      </w:r>
      <w:r w:rsidR="00523C17">
        <w:rPr>
          <w:rFonts w:ascii="Arial" w:hAnsi="Arial" w:cs="Arial"/>
        </w:rPr>
        <w:t xml:space="preserve">chools </w:t>
      </w:r>
      <w:r>
        <w:rPr>
          <w:rFonts w:ascii="Arial" w:hAnsi="Arial" w:cs="Arial"/>
        </w:rPr>
        <w:t xml:space="preserve">already committed to </w:t>
      </w:r>
      <w:r w:rsidR="00523C17">
        <w:rPr>
          <w:rFonts w:ascii="Arial" w:hAnsi="Arial" w:cs="Arial"/>
        </w:rPr>
        <w:t>or intere</w:t>
      </w:r>
      <w:r>
        <w:rPr>
          <w:rFonts w:ascii="Arial" w:hAnsi="Arial" w:cs="Arial"/>
        </w:rPr>
        <w:t>sted in clinical legal e</w:t>
      </w:r>
      <w:r w:rsidR="00523C17">
        <w:rPr>
          <w:rFonts w:ascii="Arial" w:hAnsi="Arial" w:cs="Arial"/>
        </w:rPr>
        <w:t>ducation</w:t>
      </w:r>
      <w:r>
        <w:rPr>
          <w:rFonts w:ascii="Arial" w:hAnsi="Arial" w:cs="Arial"/>
        </w:rPr>
        <w:t>,</w:t>
      </w:r>
      <w:r w:rsidR="00523C17">
        <w:rPr>
          <w:rFonts w:ascii="Arial" w:hAnsi="Arial" w:cs="Arial"/>
        </w:rPr>
        <w:t xml:space="preserve"> there is an opportunity here to </w:t>
      </w:r>
      <w:r w:rsidR="00562FFF">
        <w:rPr>
          <w:rFonts w:ascii="Arial" w:hAnsi="Arial" w:cs="Arial"/>
        </w:rPr>
        <w:t>expand or develop experiential learning as part of a strategy to engage students in law, theory and practice in a way that also begins their preparation for the new professional assessments</w:t>
      </w:r>
      <w:r w:rsidR="00436B1A">
        <w:rPr>
          <w:rFonts w:ascii="Arial" w:hAnsi="Arial" w:cs="Arial"/>
        </w:rPr>
        <w:t xml:space="preserve"> should they wish to take them</w:t>
      </w:r>
      <w:r w:rsidR="00562FFF">
        <w:rPr>
          <w:rFonts w:ascii="Arial" w:hAnsi="Arial" w:cs="Arial"/>
        </w:rPr>
        <w:t xml:space="preserve">. </w:t>
      </w:r>
    </w:p>
    <w:p w:rsidR="00F31162" w:rsidRDefault="00F31162" w:rsidP="00562FFF">
      <w:pPr>
        <w:pStyle w:val="PlainText"/>
        <w:rPr>
          <w:rFonts w:ascii="Arial" w:hAnsi="Arial" w:cs="Arial"/>
        </w:rPr>
      </w:pPr>
    </w:p>
    <w:p w:rsidR="00562FFF" w:rsidRDefault="00CD0B59" w:rsidP="00562FFF">
      <w:pPr>
        <w:pStyle w:val="PlainText"/>
        <w:rPr>
          <w:rFonts w:ascii="Arial" w:hAnsi="Arial"/>
          <w:lang w:val="en-US"/>
        </w:rPr>
      </w:pPr>
      <w:r>
        <w:rPr>
          <w:rFonts w:ascii="Arial" w:hAnsi="Arial" w:cs="Arial"/>
        </w:rPr>
        <w:t>The</w:t>
      </w:r>
      <w:r w:rsidR="009C7D75">
        <w:rPr>
          <w:rFonts w:ascii="Arial" w:hAnsi="Arial" w:cs="Arial"/>
        </w:rPr>
        <w:t>re are many rich resources for law s</w:t>
      </w:r>
      <w:r>
        <w:rPr>
          <w:rFonts w:ascii="Arial" w:hAnsi="Arial" w:cs="Arial"/>
        </w:rPr>
        <w:t xml:space="preserve">chools willing to take up the challenge. Recent examples include Paul </w:t>
      </w:r>
      <w:r>
        <w:rPr>
          <w:rFonts w:ascii="Arial" w:eastAsia="Arial" w:hAnsi="Arial" w:cs="Arial"/>
        </w:rPr>
        <w:t xml:space="preserve">Maharg’s vision of a </w:t>
      </w:r>
      <w:r w:rsidR="00467DEA">
        <w:rPr>
          <w:rFonts w:ascii="Arial" w:eastAsia="Arial" w:hAnsi="Arial" w:cs="Arial"/>
        </w:rPr>
        <w:t xml:space="preserve">pragmatist </w:t>
      </w:r>
      <w:r>
        <w:rPr>
          <w:rFonts w:ascii="Arial" w:eastAsia="Arial" w:hAnsi="Arial" w:cs="Arial"/>
        </w:rPr>
        <w:t>law teaching practice built around experience, ethics, technology and collaboration</w:t>
      </w:r>
      <w:r w:rsidR="00467DEA">
        <w:rPr>
          <w:rFonts w:ascii="Arial" w:eastAsia="Arial" w:hAnsi="Arial" w:cs="Arial"/>
        </w:rPr>
        <w:t xml:space="preserve"> (Mahar</w:t>
      </w:r>
      <w:r>
        <w:rPr>
          <w:rFonts w:ascii="Arial" w:eastAsia="Arial" w:hAnsi="Arial" w:cs="Arial"/>
        </w:rPr>
        <w:t xml:space="preserve">g, 2016), Grimes’ survey of experiential learning </w:t>
      </w:r>
      <w:r w:rsidRPr="00467DEA">
        <w:rPr>
          <w:rFonts w:ascii="Arial" w:eastAsia="Arial" w:hAnsi="Arial" w:cs="Arial"/>
        </w:rPr>
        <w:t xml:space="preserve">best practice around the world (Grimes, 2018) and Thomas et al’s extended argument that </w:t>
      </w:r>
      <w:r w:rsidR="00467DEA">
        <w:rPr>
          <w:rFonts w:ascii="Arial" w:hAnsi="Arial" w:cs="Arial"/>
        </w:rPr>
        <w:t>clinical legal education is</w:t>
      </w:r>
      <w:r w:rsidR="00467DEA" w:rsidRPr="00467DEA">
        <w:rPr>
          <w:rFonts w:ascii="Arial" w:hAnsi="Arial" w:cs="Arial"/>
        </w:rPr>
        <w:t xml:space="preserve"> the learning of the law and its implementation in the real world through action and reflection that has educational, public inte</w:t>
      </w:r>
      <w:r w:rsidR="00467DEA">
        <w:rPr>
          <w:rFonts w:ascii="Arial" w:hAnsi="Arial" w:cs="Arial"/>
        </w:rPr>
        <w:t>rest and employability benefits (Thomas, 2018).</w:t>
      </w:r>
      <w:r w:rsidR="00A21A64">
        <w:rPr>
          <w:rFonts w:ascii="Arial" w:hAnsi="Arial" w:cs="Arial"/>
        </w:rPr>
        <w:t xml:space="preserve"> </w:t>
      </w:r>
      <w:r w:rsidR="00EF6F89">
        <w:rPr>
          <w:rFonts w:ascii="Arial" w:hAnsi="Arial" w:cs="Arial"/>
        </w:rPr>
        <w:t xml:space="preserve">Developments in </w:t>
      </w:r>
      <w:r w:rsidR="00EF6F89" w:rsidRPr="00C95329">
        <w:rPr>
          <w:rFonts w:ascii="Arial" w:hAnsi="Arial"/>
        </w:rPr>
        <w:t xml:space="preserve">the United States </w:t>
      </w:r>
      <w:r w:rsidR="00357A6A">
        <w:rPr>
          <w:rFonts w:ascii="Arial" w:hAnsi="Arial"/>
        </w:rPr>
        <w:t>are</w:t>
      </w:r>
      <w:r w:rsidR="00F31162">
        <w:rPr>
          <w:rFonts w:ascii="Arial" w:hAnsi="Arial"/>
        </w:rPr>
        <w:t xml:space="preserve"> also</w:t>
      </w:r>
      <w:r w:rsidR="00357A6A">
        <w:rPr>
          <w:rFonts w:ascii="Arial" w:hAnsi="Arial"/>
        </w:rPr>
        <w:t xml:space="preserve"> interest</w:t>
      </w:r>
      <w:r w:rsidR="009C7D75">
        <w:rPr>
          <w:rFonts w:ascii="Arial" w:hAnsi="Arial"/>
        </w:rPr>
        <w:t>ing. T</w:t>
      </w:r>
      <w:r w:rsidR="00EF6F89" w:rsidRPr="00C95329">
        <w:rPr>
          <w:rFonts w:ascii="Arial" w:hAnsi="Arial"/>
        </w:rPr>
        <w:t>he American Bar Association</w:t>
      </w:r>
      <w:r w:rsidR="00F31162">
        <w:rPr>
          <w:rFonts w:ascii="Arial" w:hAnsi="Arial"/>
        </w:rPr>
        <w:t xml:space="preserve"> (ABA)</w:t>
      </w:r>
      <w:r w:rsidR="00EF6F89" w:rsidRPr="00C95329">
        <w:rPr>
          <w:rFonts w:ascii="Arial" w:hAnsi="Arial"/>
        </w:rPr>
        <w:t xml:space="preserve"> Standards and Rules of Procedure for Approval of Law Schools 2014-2015 now require a minimum 6 credits of experiential learning for qualifying post-graduate law degrees </w:t>
      </w:r>
      <w:r w:rsidR="00357A6A">
        <w:rPr>
          <w:rFonts w:ascii="Arial" w:hAnsi="Arial"/>
        </w:rPr>
        <w:t xml:space="preserve">and this has given a boost to simulation, clinic and placement </w:t>
      </w:r>
      <w:r w:rsidR="009C7D75">
        <w:rPr>
          <w:rFonts w:ascii="Arial" w:hAnsi="Arial"/>
        </w:rPr>
        <w:t>module</w:t>
      </w:r>
      <w:r w:rsidR="00357A6A">
        <w:rPr>
          <w:rFonts w:ascii="Arial" w:hAnsi="Arial"/>
        </w:rPr>
        <w:t xml:space="preserve">s </w:t>
      </w:r>
      <w:r w:rsidR="00EF6F89" w:rsidRPr="00C95329">
        <w:rPr>
          <w:rFonts w:ascii="Arial" w:hAnsi="Arial"/>
        </w:rPr>
        <w:t>(American Bar Association, 2015).</w:t>
      </w:r>
      <w:r w:rsidR="00EF6F89">
        <w:rPr>
          <w:rFonts w:ascii="Arial" w:hAnsi="Arial"/>
        </w:rPr>
        <w:t xml:space="preserve"> </w:t>
      </w:r>
      <w:r w:rsidR="00A21A64">
        <w:rPr>
          <w:rFonts w:ascii="Arial" w:hAnsi="Arial"/>
        </w:rPr>
        <w:t xml:space="preserve">Clearly the ABA are </w:t>
      </w:r>
      <w:r w:rsidR="00A21A64">
        <w:rPr>
          <w:rFonts w:ascii="Arial" w:hAnsi="Arial"/>
        </w:rPr>
        <w:lastRenderedPageBreak/>
        <w:t xml:space="preserve">moving in a different direction to the SRA. </w:t>
      </w:r>
      <w:r w:rsidR="00357A6A">
        <w:rPr>
          <w:rFonts w:ascii="Arial" w:hAnsi="Arial"/>
        </w:rPr>
        <w:t xml:space="preserve">In the UK, </w:t>
      </w:r>
      <w:r w:rsidR="00357A6A">
        <w:rPr>
          <w:rFonts w:ascii="Arial" w:hAnsi="Arial"/>
          <w:lang w:val="en-US"/>
        </w:rPr>
        <w:t>York University and University of Northumbria are interesting examples of what can be achieved in terms of integrating problem based learning and clinic</w:t>
      </w:r>
      <w:r w:rsidR="00BD0532">
        <w:rPr>
          <w:rFonts w:ascii="Arial" w:hAnsi="Arial"/>
          <w:lang w:val="en-US"/>
        </w:rPr>
        <w:t>al</w:t>
      </w:r>
      <w:r w:rsidR="00357A6A">
        <w:rPr>
          <w:rFonts w:ascii="Arial" w:hAnsi="Arial"/>
          <w:lang w:val="en-US"/>
        </w:rPr>
        <w:t xml:space="preserve"> legal education into academically rigorous degrees.</w:t>
      </w:r>
      <w:r w:rsidR="00357A6A">
        <w:rPr>
          <w:rFonts w:ascii="Arial" w:hAnsi="Arial"/>
        </w:rPr>
        <w:t xml:space="preserve"> </w:t>
      </w:r>
      <w:r w:rsidR="00EF6F89">
        <w:rPr>
          <w:rFonts w:ascii="Arial" w:hAnsi="Arial"/>
        </w:rPr>
        <w:t xml:space="preserve">Paul Maharg’s current project is the Simulated Client Initiative which aligns with the prospective SQE 2 assessments (Marharg, 2019). Dunn, Roper and Kennedy have begun </w:t>
      </w:r>
      <w:r w:rsidR="00F805A8">
        <w:rPr>
          <w:rFonts w:ascii="Arial" w:hAnsi="Arial"/>
        </w:rPr>
        <w:t>to consider if and how clinical legal experience might count towards qualifying work e</w:t>
      </w:r>
      <w:r w:rsidR="00562FFF">
        <w:rPr>
          <w:rFonts w:ascii="Arial" w:hAnsi="Arial"/>
        </w:rPr>
        <w:t>xperience (Dunn et al</w:t>
      </w:r>
      <w:r w:rsidR="00F805A8">
        <w:rPr>
          <w:rFonts w:ascii="Arial" w:hAnsi="Arial"/>
        </w:rPr>
        <w:t>, 2018)</w:t>
      </w:r>
      <w:r w:rsidR="00562FFF">
        <w:rPr>
          <w:rFonts w:ascii="Arial" w:hAnsi="Arial"/>
        </w:rPr>
        <w:t>.</w:t>
      </w:r>
      <w:r w:rsidR="00F805A8">
        <w:rPr>
          <w:rFonts w:ascii="Arial" w:hAnsi="Arial"/>
        </w:rPr>
        <w:t xml:space="preserve"> </w:t>
      </w:r>
      <w:r w:rsidR="005E0441">
        <w:rPr>
          <w:rFonts w:ascii="Arial" w:hAnsi="Arial"/>
          <w:lang w:val="en-US"/>
        </w:rPr>
        <w:t xml:space="preserve">Law Schools intending to offer courses that address the SQE will need to </w:t>
      </w:r>
      <w:r w:rsidR="00EF6F89">
        <w:rPr>
          <w:rFonts w:ascii="Arial" w:hAnsi="Arial"/>
          <w:lang w:val="en-US"/>
        </w:rPr>
        <w:t>develop appropriate SQE 1 MCQ question banks and there is currently a collaborative project among several Law Schools to work on this together.</w:t>
      </w:r>
      <w:r w:rsidR="00A21A64">
        <w:rPr>
          <w:rFonts w:ascii="Arial" w:hAnsi="Arial"/>
          <w:lang w:val="en-US"/>
        </w:rPr>
        <w:t xml:space="preserve"> So, although the legal profession, particularly the SRA, is distancing itself from the Law Schools and taking qualif</w:t>
      </w:r>
      <w:r w:rsidR="00562FFF">
        <w:rPr>
          <w:rFonts w:ascii="Arial" w:hAnsi="Arial"/>
          <w:lang w:val="en-US"/>
        </w:rPr>
        <w:t xml:space="preserve">ication back into its own hands, </w:t>
      </w:r>
      <w:r w:rsidR="00A21A64">
        <w:rPr>
          <w:rFonts w:ascii="Arial" w:hAnsi="Arial"/>
          <w:lang w:val="en-US"/>
        </w:rPr>
        <w:t xml:space="preserve">there are </w:t>
      </w:r>
      <w:r w:rsidR="00562FFF">
        <w:rPr>
          <w:rFonts w:ascii="Arial" w:hAnsi="Arial"/>
          <w:lang w:val="en-US"/>
        </w:rPr>
        <w:t>reasons t</w:t>
      </w:r>
      <w:r w:rsidR="00BD0532">
        <w:rPr>
          <w:rFonts w:ascii="Arial" w:hAnsi="Arial"/>
          <w:lang w:val="en-US"/>
        </w:rPr>
        <w:t>o expect that at least in some law s</w:t>
      </w:r>
      <w:r w:rsidR="00562FFF">
        <w:rPr>
          <w:rFonts w:ascii="Arial" w:hAnsi="Arial"/>
          <w:lang w:val="en-US"/>
        </w:rPr>
        <w:t>chools, l</w:t>
      </w:r>
      <w:r w:rsidR="00A21A64">
        <w:rPr>
          <w:rFonts w:ascii="Arial" w:hAnsi="Arial"/>
          <w:lang w:val="en-US"/>
        </w:rPr>
        <w:t>egal practice may take up a</w:t>
      </w:r>
      <w:r w:rsidR="00562FFF">
        <w:rPr>
          <w:rFonts w:ascii="Arial" w:hAnsi="Arial"/>
          <w:lang w:val="en-US"/>
        </w:rPr>
        <w:t xml:space="preserve"> larger space in the curriculum than it has in the past.</w:t>
      </w:r>
    </w:p>
    <w:p w:rsidR="00A3764F" w:rsidRDefault="00A3764F" w:rsidP="00562FFF">
      <w:pPr>
        <w:pStyle w:val="PlainText"/>
        <w:rPr>
          <w:rFonts w:ascii="Arial" w:hAnsi="Arial"/>
          <w:lang w:val="en-US"/>
        </w:rPr>
      </w:pPr>
    </w:p>
    <w:p w:rsidR="00295D42" w:rsidRPr="00295D42" w:rsidRDefault="00295D42" w:rsidP="00295D42">
      <w:pPr>
        <w:pStyle w:val="PlainText"/>
        <w:rPr>
          <w:rFonts w:ascii="Arial" w:hAnsi="Arial" w:cs="Arial"/>
          <w:b/>
        </w:rPr>
      </w:pPr>
      <w:r w:rsidRPr="00295D42">
        <w:rPr>
          <w:rFonts w:ascii="Arial" w:hAnsi="Arial" w:cs="Arial"/>
          <w:b/>
        </w:rPr>
        <w:t>Comparing Law Schools in England &amp; Wales and the People’s Republic of China</w:t>
      </w:r>
    </w:p>
    <w:p w:rsidR="00295D42" w:rsidRPr="00295D42" w:rsidRDefault="00295D42" w:rsidP="00295D42">
      <w:pPr>
        <w:pStyle w:val="PlainText"/>
        <w:rPr>
          <w:rFonts w:ascii="Arial" w:hAnsi="Arial" w:cs="Arial"/>
        </w:rPr>
      </w:pPr>
    </w:p>
    <w:p w:rsidR="00295D42" w:rsidRPr="00295D42" w:rsidRDefault="00965266" w:rsidP="00295D42">
      <w:pPr>
        <w:pStyle w:val="PlainText"/>
        <w:rPr>
          <w:rFonts w:ascii="Arial" w:hAnsi="Arial" w:cs="Arial"/>
        </w:rPr>
      </w:pPr>
      <w:r>
        <w:rPr>
          <w:rFonts w:ascii="Arial" w:hAnsi="Arial" w:cs="Arial"/>
        </w:rPr>
        <w:t>As will be seen in the</w:t>
      </w:r>
      <w:r w:rsidR="00295D42" w:rsidRPr="00295D42">
        <w:rPr>
          <w:rFonts w:ascii="Arial" w:hAnsi="Arial" w:cs="Arial"/>
        </w:rPr>
        <w:t xml:space="preserve"> following chapter</w:t>
      </w:r>
      <w:r w:rsidR="00436B1A">
        <w:rPr>
          <w:rFonts w:ascii="Arial" w:hAnsi="Arial" w:cs="Arial"/>
        </w:rPr>
        <w:t>, law schools in the People’s R</w:t>
      </w:r>
      <w:r>
        <w:rPr>
          <w:rFonts w:ascii="Arial" w:hAnsi="Arial" w:cs="Arial"/>
        </w:rPr>
        <w:t>epublic of China face similar challenges to law schools in England &amp; Wales. The chapter</w:t>
      </w:r>
      <w:r w:rsidR="00295D42" w:rsidRPr="00295D42">
        <w:rPr>
          <w:rFonts w:ascii="Arial" w:hAnsi="Arial" w:cs="Arial"/>
        </w:rPr>
        <w:t xml:space="preserve"> will introduce the familiar theme of a centrally se</w:t>
      </w:r>
      <w:r>
        <w:rPr>
          <w:rFonts w:ascii="Arial" w:hAnsi="Arial" w:cs="Arial"/>
        </w:rPr>
        <w:t>t qualifying examination and a</w:t>
      </w:r>
      <w:r w:rsidR="00295D42" w:rsidRPr="00295D42">
        <w:rPr>
          <w:rFonts w:ascii="Arial" w:hAnsi="Arial" w:cs="Arial"/>
        </w:rPr>
        <w:t xml:space="preserve"> debate about the extent to which law schools should prepare their students for legal practice, set in the context of a (for many) unfamiliar socia</w:t>
      </w:r>
      <w:r w:rsidR="003D45C6">
        <w:rPr>
          <w:rFonts w:ascii="Arial" w:hAnsi="Arial" w:cs="Arial"/>
        </w:rPr>
        <w:t>list, civil legal system</w:t>
      </w:r>
      <w:r w:rsidR="00295D42" w:rsidRPr="00295D42">
        <w:rPr>
          <w:rFonts w:ascii="Arial" w:hAnsi="Arial" w:cs="Arial"/>
        </w:rPr>
        <w:t>. Since the end of the Cultural Revolution</w:t>
      </w:r>
      <w:r w:rsidR="00436B1A">
        <w:rPr>
          <w:rFonts w:ascii="Arial" w:hAnsi="Arial" w:cs="Arial"/>
        </w:rPr>
        <w:t>,</w:t>
      </w:r>
      <w:r w:rsidR="00295D42" w:rsidRPr="00295D42">
        <w:rPr>
          <w:rFonts w:ascii="Arial" w:hAnsi="Arial" w:cs="Arial"/>
        </w:rPr>
        <w:t xml:space="preserve"> the PRC has pursued a policy of introducing ‘the Rule of Law with Chinese characteristics’, meaning the rule of law without the separation of powers or any limits on the constitutional supremacy of t</w:t>
      </w:r>
      <w:r w:rsidR="003217D5">
        <w:rPr>
          <w:rFonts w:ascii="Arial" w:hAnsi="Arial" w:cs="Arial"/>
        </w:rPr>
        <w:t>he Chinese Communist Party (Castellucci, 2007)</w:t>
      </w:r>
      <w:r w:rsidR="00295D42" w:rsidRPr="00295D42">
        <w:rPr>
          <w:rFonts w:ascii="Arial" w:hAnsi="Arial" w:cs="Arial"/>
        </w:rPr>
        <w:t xml:space="preserve">. </w:t>
      </w:r>
      <w:r w:rsidR="003217D5">
        <w:rPr>
          <w:rFonts w:ascii="Arial" w:hAnsi="Arial" w:cs="Arial"/>
        </w:rPr>
        <w:t xml:space="preserve">For an interesting, English language, discussion </w:t>
      </w:r>
      <w:r w:rsidR="00436B1A">
        <w:rPr>
          <w:rFonts w:ascii="Arial" w:hAnsi="Arial" w:cs="Arial"/>
        </w:rPr>
        <w:t>of</w:t>
      </w:r>
      <w:r w:rsidR="00D339A6">
        <w:rPr>
          <w:rFonts w:ascii="Arial" w:hAnsi="Arial" w:cs="Arial"/>
        </w:rPr>
        <w:t xml:space="preserve"> this topic </w:t>
      </w:r>
      <w:r w:rsidR="003D45C6">
        <w:rPr>
          <w:rFonts w:ascii="Arial" w:hAnsi="Arial" w:cs="Arial"/>
        </w:rPr>
        <w:t>by Chinese s</w:t>
      </w:r>
      <w:r w:rsidR="00D339A6">
        <w:rPr>
          <w:rFonts w:ascii="Arial" w:hAnsi="Arial" w:cs="Arial"/>
        </w:rPr>
        <w:t>cholars</w:t>
      </w:r>
      <w:r>
        <w:rPr>
          <w:rFonts w:ascii="Arial" w:hAnsi="Arial" w:cs="Arial"/>
        </w:rPr>
        <w:t>,</w:t>
      </w:r>
      <w:r w:rsidR="00D339A6">
        <w:rPr>
          <w:rFonts w:ascii="Arial" w:hAnsi="Arial" w:cs="Arial"/>
        </w:rPr>
        <w:t xml:space="preserve"> see of Rule of Law in China: Spotlight Issues (2016) . </w:t>
      </w:r>
      <w:r w:rsidR="00295D42" w:rsidRPr="00295D42">
        <w:rPr>
          <w:rFonts w:ascii="Arial" w:hAnsi="Arial" w:cs="Arial"/>
        </w:rPr>
        <w:t>The Chinese experience reflects a comparative light on our own debates about regulation and independence as we move beyond traditiona</w:t>
      </w:r>
      <w:r w:rsidR="0070218D">
        <w:rPr>
          <w:rFonts w:ascii="Arial" w:hAnsi="Arial" w:cs="Arial"/>
        </w:rPr>
        <w:t>l professional peer regulation (</w:t>
      </w:r>
      <w:r w:rsidR="00295D42" w:rsidRPr="00295D42">
        <w:rPr>
          <w:rFonts w:ascii="Arial" w:hAnsi="Arial" w:cs="Arial"/>
        </w:rPr>
        <w:t xml:space="preserve">Deech, </w:t>
      </w:r>
      <w:r w:rsidR="0070218D">
        <w:rPr>
          <w:rFonts w:ascii="Arial" w:hAnsi="Arial" w:cs="Arial"/>
        </w:rPr>
        <w:t>2012)(</w:t>
      </w:r>
      <w:r w:rsidR="00295D42" w:rsidRPr="00295D42">
        <w:rPr>
          <w:rFonts w:ascii="Arial" w:hAnsi="Arial" w:cs="Arial"/>
        </w:rPr>
        <w:t>Mason</w:t>
      </w:r>
      <w:r w:rsidR="0070218D">
        <w:rPr>
          <w:rFonts w:ascii="Arial" w:hAnsi="Arial" w:cs="Arial"/>
        </w:rPr>
        <w:t>, 2019)</w:t>
      </w:r>
      <w:r w:rsidR="00295D42" w:rsidRPr="00295D42">
        <w:rPr>
          <w:rFonts w:ascii="Arial" w:hAnsi="Arial" w:cs="Arial"/>
        </w:rPr>
        <w:t>, showi</w:t>
      </w:r>
      <w:r w:rsidR="00295D42">
        <w:rPr>
          <w:rFonts w:ascii="Arial" w:hAnsi="Arial" w:cs="Arial"/>
        </w:rPr>
        <w:t>ng a cross cultural recognition</w:t>
      </w:r>
      <w:r w:rsidR="00295D42" w:rsidRPr="00295D42">
        <w:rPr>
          <w:rFonts w:ascii="Arial" w:hAnsi="Arial" w:cs="Arial"/>
        </w:rPr>
        <w:t xml:space="preserve"> of the importance of lawyers and judges in maintaining social stability and promoting prosperity.  </w:t>
      </w:r>
      <w:r w:rsidR="00295D42">
        <w:rPr>
          <w:rFonts w:ascii="Arial" w:hAnsi="Arial" w:cs="Arial"/>
        </w:rPr>
        <w:t>Which</w:t>
      </w:r>
      <w:r w:rsidR="00BE391B">
        <w:rPr>
          <w:rFonts w:ascii="Arial" w:hAnsi="Arial" w:cs="Arial"/>
        </w:rPr>
        <w:t>, as we know from recent examples,</w:t>
      </w:r>
      <w:r w:rsidR="00295D42">
        <w:rPr>
          <w:rFonts w:ascii="Arial" w:hAnsi="Arial" w:cs="Arial"/>
        </w:rPr>
        <w:t xml:space="preserve"> is not to say</w:t>
      </w:r>
      <w:r w:rsidR="00BE391B">
        <w:rPr>
          <w:rFonts w:ascii="Arial" w:hAnsi="Arial" w:cs="Arial"/>
        </w:rPr>
        <w:t xml:space="preserve"> that the independence of</w:t>
      </w:r>
      <w:r w:rsidR="00295D42">
        <w:rPr>
          <w:rFonts w:ascii="Arial" w:hAnsi="Arial" w:cs="Arial"/>
        </w:rPr>
        <w:t xml:space="preserve"> lawyers is complete or unc</w:t>
      </w:r>
      <w:r w:rsidR="003D45C6">
        <w:rPr>
          <w:rFonts w:ascii="Arial" w:hAnsi="Arial" w:cs="Arial"/>
        </w:rPr>
        <w:t>ontested in either jurisdiction (Observer, 2017)</w:t>
      </w:r>
      <w:r w:rsidR="00B355B4">
        <w:rPr>
          <w:rFonts w:ascii="Arial" w:hAnsi="Arial" w:cs="Arial"/>
        </w:rPr>
        <w:t>(Amnesty International, 2018).</w:t>
      </w:r>
    </w:p>
    <w:p w:rsidR="00CD65BE" w:rsidRPr="00295D42" w:rsidRDefault="00CD65BE">
      <w:pPr>
        <w:rPr>
          <w:rFonts w:ascii="Arial" w:hAnsi="Arial" w:cs="Arial"/>
          <w:bCs/>
          <w:lang w:val="fr-FR"/>
        </w:rPr>
      </w:pPr>
    </w:p>
    <w:p w:rsidR="00F805A8" w:rsidRDefault="00F805A8">
      <w:pPr>
        <w:rPr>
          <w:rFonts w:ascii="Arial" w:eastAsia="Calibri" w:hAnsi="Arial" w:cs="Calibri"/>
          <w:b/>
          <w:bCs/>
          <w:color w:val="000000"/>
          <w:sz w:val="22"/>
          <w:szCs w:val="22"/>
          <w:u w:color="000000"/>
          <w:lang w:val="fr-FR" w:eastAsia="en-GB"/>
        </w:rPr>
      </w:pPr>
      <w:r>
        <w:rPr>
          <w:rFonts w:ascii="Arial" w:hAnsi="Arial"/>
          <w:b/>
          <w:bCs/>
          <w:lang w:val="fr-FR"/>
        </w:rPr>
        <w:br w:type="page"/>
      </w:r>
    </w:p>
    <w:p w:rsidR="006D3627" w:rsidRDefault="006D3627">
      <w:pPr>
        <w:pStyle w:val="Body"/>
        <w:rPr>
          <w:rFonts w:ascii="Arial" w:hAnsi="Arial"/>
          <w:bCs/>
          <w:lang w:val="fr-FR"/>
        </w:rPr>
      </w:pPr>
      <w:r>
        <w:rPr>
          <w:rFonts w:ascii="Arial" w:hAnsi="Arial"/>
          <w:b/>
          <w:bCs/>
          <w:lang w:val="fr-FR"/>
        </w:rPr>
        <w:lastRenderedPageBreak/>
        <w:t>Reference List</w:t>
      </w:r>
    </w:p>
    <w:p w:rsidR="00EB4F47" w:rsidRDefault="00EB4F47" w:rsidP="006234ED">
      <w:pPr>
        <w:pStyle w:val="Body"/>
        <w:rPr>
          <w:rFonts w:ascii="Arial" w:eastAsia="Arial" w:hAnsi="Arial" w:cs="Arial"/>
        </w:rPr>
      </w:pPr>
      <w:r>
        <w:rPr>
          <w:rFonts w:ascii="Arial" w:hAnsi="Arial"/>
          <w:lang w:val="en-US"/>
        </w:rPr>
        <w:t>Able</w:t>
      </w:r>
      <w:r w:rsidR="006127C9">
        <w:rPr>
          <w:rFonts w:ascii="Arial" w:hAnsi="Arial"/>
          <w:lang w:val="en-US"/>
        </w:rPr>
        <w:t>, R.</w:t>
      </w:r>
      <w:r>
        <w:rPr>
          <w:rFonts w:ascii="Arial" w:hAnsi="Arial"/>
          <w:lang w:val="en-US"/>
        </w:rPr>
        <w:t xml:space="preserve"> </w:t>
      </w:r>
      <w:r w:rsidR="006127C9">
        <w:rPr>
          <w:rFonts w:ascii="Arial" w:hAnsi="Arial"/>
          <w:lang w:val="en-US"/>
        </w:rPr>
        <w:t xml:space="preserve">(1988), </w:t>
      </w:r>
      <w:r>
        <w:rPr>
          <w:rFonts w:ascii="Arial" w:hAnsi="Arial"/>
          <w:lang w:val="en-US"/>
        </w:rPr>
        <w:t>The Making of the</w:t>
      </w:r>
      <w:r w:rsidR="006127C9">
        <w:rPr>
          <w:rFonts w:ascii="Arial" w:hAnsi="Arial"/>
          <w:lang w:val="en-US"/>
        </w:rPr>
        <w:t xml:space="preserve"> English Legal Profession 1800-1988, Beard Books (republished 2005).</w:t>
      </w:r>
    </w:p>
    <w:p w:rsidR="00EB4F47" w:rsidRPr="00436B1A" w:rsidRDefault="00845C98" w:rsidP="006234ED">
      <w:pPr>
        <w:pStyle w:val="Body"/>
        <w:rPr>
          <w:rFonts w:ascii="Arial" w:hAnsi="Arial" w:cs="Arial"/>
          <w:lang w:val="en-US"/>
        </w:rPr>
      </w:pPr>
      <w:r w:rsidRPr="00436B1A">
        <w:rPr>
          <w:rFonts w:ascii="Arial" w:hAnsi="Arial" w:cs="Arial"/>
          <w:lang w:val="en-US"/>
        </w:rPr>
        <w:t>Able</w:t>
      </w:r>
      <w:r w:rsidR="006127C9" w:rsidRPr="00436B1A">
        <w:rPr>
          <w:rFonts w:ascii="Arial" w:hAnsi="Arial" w:cs="Arial"/>
          <w:lang w:val="en-US"/>
        </w:rPr>
        <w:t>,</w:t>
      </w:r>
      <w:r w:rsidRPr="00436B1A">
        <w:rPr>
          <w:rFonts w:ascii="Arial" w:hAnsi="Arial" w:cs="Arial"/>
          <w:lang w:val="en-US"/>
        </w:rPr>
        <w:t xml:space="preserve"> R</w:t>
      </w:r>
      <w:r w:rsidR="006127C9" w:rsidRPr="00436B1A">
        <w:rPr>
          <w:rFonts w:ascii="Arial" w:hAnsi="Arial" w:cs="Arial"/>
          <w:lang w:val="en-US"/>
        </w:rPr>
        <w:t>. (2003),</w:t>
      </w:r>
      <w:r w:rsidR="00EB4F47" w:rsidRPr="00436B1A">
        <w:rPr>
          <w:rFonts w:ascii="Arial" w:hAnsi="Arial" w:cs="Arial"/>
          <w:lang w:val="en-US"/>
        </w:rPr>
        <w:t xml:space="preserve"> English Lawyers</w:t>
      </w:r>
      <w:r w:rsidR="006127C9" w:rsidRPr="00436B1A">
        <w:rPr>
          <w:rFonts w:ascii="Arial" w:hAnsi="Arial" w:cs="Arial"/>
          <w:lang w:val="en-US"/>
        </w:rPr>
        <w:t xml:space="preserve"> between Market and State: The Politics of Professionalism. Oxford University Press.</w:t>
      </w:r>
    </w:p>
    <w:p w:rsidR="00FF16C8" w:rsidRPr="00436B1A" w:rsidRDefault="00FF16C8" w:rsidP="00206E04">
      <w:pPr>
        <w:pStyle w:val="NoSpacing"/>
        <w:rPr>
          <w:rFonts w:ascii="Arial" w:hAnsi="Arial" w:cs="Arial"/>
          <w:sz w:val="22"/>
          <w:szCs w:val="22"/>
        </w:rPr>
      </w:pPr>
      <w:r w:rsidRPr="00436B1A">
        <w:rPr>
          <w:rFonts w:ascii="Arial" w:hAnsi="Arial" w:cs="Arial"/>
          <w:sz w:val="22"/>
          <w:szCs w:val="22"/>
        </w:rPr>
        <w:t>Am</w:t>
      </w:r>
      <w:r w:rsidR="00DC2BF6" w:rsidRPr="00436B1A">
        <w:rPr>
          <w:rFonts w:ascii="Arial" w:hAnsi="Arial" w:cs="Arial"/>
          <w:sz w:val="22"/>
          <w:szCs w:val="22"/>
        </w:rPr>
        <w:t xml:space="preserve">erican Bar Association (2015), </w:t>
      </w:r>
      <w:r w:rsidRPr="00436B1A">
        <w:rPr>
          <w:rFonts w:ascii="Arial" w:hAnsi="Arial" w:cs="Arial"/>
          <w:sz w:val="22"/>
          <w:szCs w:val="22"/>
        </w:rPr>
        <w:t>Standards and Rules of Procedure for Approval of Law Schools</w:t>
      </w:r>
      <w:r w:rsidR="00DC2BF6" w:rsidRPr="00436B1A">
        <w:rPr>
          <w:rFonts w:ascii="Arial" w:hAnsi="Arial" w:cs="Arial"/>
          <w:sz w:val="22"/>
          <w:szCs w:val="22"/>
        </w:rPr>
        <w:t xml:space="preserve">. Available from: </w:t>
      </w:r>
      <w:hyperlink r:id="rId8" w:history="1">
        <w:r w:rsidRPr="00436B1A">
          <w:rPr>
            <w:rStyle w:val="Hyperlink0"/>
            <w:sz w:val="22"/>
            <w:szCs w:val="22"/>
          </w:rPr>
          <w:t>www.americanbar.org/content/dam/aba/publications/misc/legal_education/Standards/2014_2015_aba_standards_chapter3.authcheckdam.pdf</w:t>
        </w:r>
      </w:hyperlink>
      <w:r w:rsidR="00DC2BF6" w:rsidRPr="00436B1A">
        <w:rPr>
          <w:rFonts w:ascii="Arial" w:hAnsi="Arial" w:cs="Arial"/>
          <w:sz w:val="22"/>
          <w:szCs w:val="22"/>
        </w:rPr>
        <w:t xml:space="preserve"> [Accessed 5th May 2019]</w:t>
      </w:r>
    </w:p>
    <w:p w:rsidR="00206E04" w:rsidRPr="00436B1A" w:rsidRDefault="00206E04" w:rsidP="00206E04">
      <w:pPr>
        <w:pStyle w:val="NoSpacing"/>
        <w:rPr>
          <w:rFonts w:ascii="Arial" w:hAnsi="Arial" w:cs="Arial"/>
          <w:sz w:val="22"/>
          <w:szCs w:val="22"/>
          <w:lang w:val="fr-FR"/>
        </w:rPr>
      </w:pPr>
    </w:p>
    <w:p w:rsidR="00206E04" w:rsidRPr="00206E04" w:rsidRDefault="00206E04" w:rsidP="00206E04">
      <w:pPr>
        <w:pStyle w:val="FootnoteText"/>
        <w:rPr>
          <w:rFonts w:ascii="Arial" w:hAnsi="Arial" w:cs="Arial"/>
          <w:bCs/>
          <w:sz w:val="22"/>
          <w:szCs w:val="22"/>
          <w:lang w:val="fr-FR"/>
        </w:rPr>
      </w:pPr>
      <w:r w:rsidRPr="00436B1A">
        <w:rPr>
          <w:rFonts w:ascii="Arial" w:hAnsi="Arial" w:cs="Arial"/>
          <w:bCs/>
          <w:sz w:val="22"/>
          <w:szCs w:val="22"/>
          <w:lang w:val="fr-FR"/>
        </w:rPr>
        <w:t xml:space="preserve">Amnesty International (2018), </w:t>
      </w:r>
      <w:r w:rsidRPr="00436B1A">
        <w:rPr>
          <w:rFonts w:ascii="Arial" w:hAnsi="Arial" w:cs="Arial"/>
          <w:bCs/>
          <w:sz w:val="22"/>
          <w:szCs w:val="22"/>
          <w:lang w:val="en-GB"/>
        </w:rPr>
        <w:t>Third Anniversary of the lawyers crackdown in China: Where are the human rights lawyers?, Available from</w:t>
      </w:r>
      <w:r w:rsidRPr="00206E04">
        <w:rPr>
          <w:rFonts w:ascii="Arial" w:hAnsi="Arial" w:cs="Arial"/>
          <w:bCs/>
          <w:sz w:val="22"/>
          <w:szCs w:val="22"/>
          <w:lang w:val="en-GB"/>
        </w:rPr>
        <w:t xml:space="preserve">: </w:t>
      </w:r>
    </w:p>
    <w:p w:rsidR="00206E04" w:rsidRPr="00206E04" w:rsidRDefault="00193610" w:rsidP="00FF16C8">
      <w:pPr>
        <w:pStyle w:val="FootnoteText"/>
        <w:rPr>
          <w:rFonts w:ascii="Arial" w:eastAsia="Arial Unicode MS" w:hAnsi="Arial" w:cs="Arial"/>
          <w:color w:val="auto"/>
          <w:sz w:val="22"/>
          <w:szCs w:val="22"/>
          <w:lang w:eastAsia="en-US"/>
        </w:rPr>
      </w:pPr>
      <w:hyperlink r:id="rId9" w:history="1">
        <w:r w:rsidR="00206E04" w:rsidRPr="00206E04">
          <w:rPr>
            <w:rFonts w:ascii="Arial" w:eastAsia="Arial Unicode MS" w:hAnsi="Arial" w:cs="Arial"/>
            <w:color w:val="0000FF"/>
            <w:sz w:val="22"/>
            <w:szCs w:val="22"/>
            <w:u w:val="single"/>
            <w:lang w:eastAsia="en-US"/>
          </w:rPr>
          <w:t>https://www.amnesty.org/en/latest/campaigns/2018/07/china-human-rights-lawyers-crackdown-third-anniversary/</w:t>
        </w:r>
      </w:hyperlink>
      <w:r w:rsidR="00206E04" w:rsidRPr="00206E04">
        <w:rPr>
          <w:rFonts w:ascii="Arial" w:eastAsia="Arial Unicode MS" w:hAnsi="Arial" w:cs="Arial"/>
          <w:color w:val="auto"/>
          <w:sz w:val="22"/>
          <w:szCs w:val="22"/>
          <w:lang w:eastAsia="en-US"/>
        </w:rPr>
        <w:t>. [Accessed 6</w:t>
      </w:r>
      <w:r w:rsidR="00206E04" w:rsidRPr="00206E04">
        <w:rPr>
          <w:rFonts w:ascii="Arial" w:eastAsia="Arial Unicode MS" w:hAnsi="Arial" w:cs="Arial"/>
          <w:color w:val="auto"/>
          <w:sz w:val="22"/>
          <w:szCs w:val="22"/>
          <w:vertAlign w:val="superscript"/>
          <w:lang w:eastAsia="en-US"/>
        </w:rPr>
        <w:t>th</w:t>
      </w:r>
      <w:r w:rsidR="00206E04" w:rsidRPr="00206E04">
        <w:rPr>
          <w:rFonts w:ascii="Arial" w:eastAsia="Arial Unicode MS" w:hAnsi="Arial" w:cs="Arial"/>
          <w:color w:val="auto"/>
          <w:sz w:val="22"/>
          <w:szCs w:val="22"/>
          <w:lang w:eastAsia="en-US"/>
        </w:rPr>
        <w:t xml:space="preserve"> June 2019]</w:t>
      </w:r>
    </w:p>
    <w:p w:rsidR="00206E04" w:rsidRPr="00206E04" w:rsidRDefault="00206E04" w:rsidP="00FF16C8">
      <w:pPr>
        <w:pStyle w:val="FootnoteText"/>
        <w:rPr>
          <w:rFonts w:ascii="Arial" w:hAnsi="Arial" w:cs="Arial"/>
          <w:bCs/>
          <w:sz w:val="22"/>
          <w:szCs w:val="22"/>
          <w:lang w:val="fr-FR"/>
        </w:rPr>
      </w:pPr>
    </w:p>
    <w:p w:rsidR="00FF16C8" w:rsidRPr="00DC2BF6" w:rsidRDefault="00FF16C8" w:rsidP="00FF16C8">
      <w:pPr>
        <w:pStyle w:val="FootnoteText"/>
        <w:rPr>
          <w:rFonts w:ascii="Arial" w:hAnsi="Arial" w:cs="Arial"/>
          <w:sz w:val="22"/>
          <w:szCs w:val="22"/>
        </w:rPr>
      </w:pPr>
      <w:r w:rsidRPr="00DC2BF6">
        <w:rPr>
          <w:rFonts w:ascii="Arial" w:hAnsi="Arial" w:cs="Arial"/>
          <w:bCs/>
          <w:sz w:val="22"/>
          <w:szCs w:val="22"/>
          <w:lang w:val="fr-FR"/>
        </w:rPr>
        <w:t>Barbri (2019)</w:t>
      </w:r>
      <w:r w:rsidR="007366E0">
        <w:rPr>
          <w:rFonts w:ascii="Arial" w:hAnsi="Arial" w:cs="Arial"/>
          <w:bCs/>
          <w:sz w:val="22"/>
          <w:szCs w:val="22"/>
          <w:lang w:val="fr-FR"/>
        </w:rPr>
        <w:t>,</w:t>
      </w:r>
      <w:r w:rsidRPr="00DC2BF6">
        <w:rPr>
          <w:rFonts w:ascii="Arial" w:hAnsi="Arial" w:cs="Arial"/>
          <w:bCs/>
          <w:sz w:val="22"/>
          <w:szCs w:val="22"/>
          <w:lang w:val="fr-FR"/>
        </w:rPr>
        <w:t xml:space="preserve"> </w:t>
      </w:r>
      <w:r w:rsidRPr="00DC2BF6">
        <w:rPr>
          <w:rFonts w:ascii="Arial" w:hAnsi="Arial" w:cs="Arial"/>
          <w:sz w:val="22"/>
          <w:szCs w:val="22"/>
        </w:rPr>
        <w:t>Barbri online preparation for the SRA Qualified Lawyers Transfer Scheme</w:t>
      </w:r>
      <w:r w:rsidR="007366E0">
        <w:rPr>
          <w:rFonts w:ascii="Arial" w:hAnsi="Arial" w:cs="Arial"/>
          <w:sz w:val="22"/>
          <w:szCs w:val="22"/>
        </w:rPr>
        <w:t xml:space="preserve">. Available from: </w:t>
      </w:r>
      <w:hyperlink r:id="rId10" w:history="1">
        <w:r w:rsidRPr="00DC2BF6">
          <w:rPr>
            <w:rStyle w:val="Link"/>
            <w:rFonts w:ascii="Arial" w:hAnsi="Arial" w:cs="Arial"/>
            <w:sz w:val="22"/>
            <w:szCs w:val="22"/>
          </w:rPr>
          <w:t>https://barbriqlts.com/</w:t>
        </w:r>
      </w:hyperlink>
      <w:r w:rsidR="007366E0">
        <w:rPr>
          <w:rFonts w:ascii="Arial" w:hAnsi="Arial" w:cs="Arial"/>
          <w:sz w:val="22"/>
          <w:szCs w:val="22"/>
        </w:rPr>
        <w:t xml:space="preserve"> [Accessed 5</w:t>
      </w:r>
      <w:r w:rsidR="007366E0" w:rsidRPr="007366E0">
        <w:rPr>
          <w:rFonts w:ascii="Arial" w:hAnsi="Arial" w:cs="Arial"/>
          <w:sz w:val="22"/>
          <w:szCs w:val="22"/>
          <w:vertAlign w:val="superscript"/>
        </w:rPr>
        <w:t>th</w:t>
      </w:r>
      <w:r w:rsidR="007366E0">
        <w:rPr>
          <w:rFonts w:ascii="Arial" w:hAnsi="Arial" w:cs="Arial"/>
          <w:sz w:val="22"/>
          <w:szCs w:val="22"/>
        </w:rPr>
        <w:t xml:space="preserve"> May 2019]</w:t>
      </w:r>
    </w:p>
    <w:p w:rsidR="007C5ABA" w:rsidRPr="007C5ABA" w:rsidRDefault="007C5ABA" w:rsidP="007C5ABA">
      <w:pPr>
        <w:pStyle w:val="NoSpacing"/>
        <w:rPr>
          <w:rFonts w:ascii="Arial" w:hAnsi="Arial" w:cs="Arial"/>
          <w:sz w:val="22"/>
          <w:szCs w:val="22"/>
          <w:lang w:val="fr-FR"/>
        </w:rPr>
      </w:pPr>
    </w:p>
    <w:p w:rsidR="00EB4F47" w:rsidRDefault="00037A98">
      <w:pPr>
        <w:pStyle w:val="Body"/>
        <w:rPr>
          <w:rFonts w:ascii="Arial" w:hAnsi="Arial"/>
          <w:bCs/>
          <w:lang w:val="fr-FR"/>
        </w:rPr>
      </w:pPr>
      <w:r w:rsidRPr="00037A98">
        <w:rPr>
          <w:rFonts w:ascii="Arial" w:hAnsi="Arial"/>
          <w:bCs/>
          <w:lang w:val="fr-FR"/>
        </w:rPr>
        <w:t xml:space="preserve">Bar </w:t>
      </w:r>
      <w:r>
        <w:rPr>
          <w:rFonts w:ascii="Arial" w:hAnsi="Arial"/>
          <w:bCs/>
          <w:lang w:val="fr-FR"/>
        </w:rPr>
        <w:t>Standards Board</w:t>
      </w:r>
      <w:r w:rsidRPr="00037A98">
        <w:rPr>
          <w:rFonts w:ascii="Arial" w:hAnsi="Arial"/>
          <w:bCs/>
          <w:lang w:val="fr-FR"/>
        </w:rPr>
        <w:t xml:space="preserve"> (2019), </w:t>
      </w:r>
      <w:r>
        <w:rPr>
          <w:rFonts w:ascii="Arial" w:hAnsi="Arial"/>
          <w:bCs/>
          <w:lang w:val="fr-FR"/>
        </w:rPr>
        <w:t xml:space="preserve">Future of Bar Training. </w:t>
      </w:r>
      <w:r w:rsidRPr="00037A98">
        <w:rPr>
          <w:rFonts w:ascii="Arial" w:hAnsi="Arial"/>
          <w:bCs/>
          <w:lang w:val="fr-FR"/>
        </w:rPr>
        <w:t>Available from:</w:t>
      </w:r>
      <w:r w:rsidRPr="00037A98">
        <w:rPr>
          <w:rFonts w:ascii="Arial" w:hAnsi="Arial"/>
        </w:rPr>
        <w:t xml:space="preserve"> </w:t>
      </w:r>
      <w:hyperlink r:id="rId11" w:history="1">
        <w:r w:rsidRPr="00037A98">
          <w:rPr>
            <w:rStyle w:val="Hyperlink0"/>
            <w:sz w:val="22"/>
            <w:szCs w:val="22"/>
          </w:rPr>
          <w:t>https://www.barstandardsboard.org.uk/media-centre/press-releases-and-news/bsb-agrees-further-key-elements-for-the-future-of-bar-training/</w:t>
        </w:r>
      </w:hyperlink>
      <w:r>
        <w:rPr>
          <w:rFonts w:ascii="Arial" w:hAnsi="Arial"/>
          <w:bCs/>
          <w:lang w:val="fr-FR"/>
        </w:rPr>
        <w:t xml:space="preserve"> </w:t>
      </w:r>
      <w:r w:rsidR="005154CE">
        <w:rPr>
          <w:rFonts w:ascii="Arial" w:hAnsi="Arial"/>
          <w:bCs/>
          <w:lang w:val="fr-FR"/>
        </w:rPr>
        <w:t>[Accessed 5th May 2019]</w:t>
      </w:r>
    </w:p>
    <w:p w:rsidR="006127C9" w:rsidRPr="006127C9" w:rsidRDefault="006127C9" w:rsidP="006127C9">
      <w:pPr>
        <w:rPr>
          <w:rFonts w:ascii="Arial" w:hAnsi="Arial" w:cs="Arial"/>
          <w:color w:val="000000"/>
          <w:sz w:val="22"/>
          <w:szCs w:val="22"/>
        </w:rPr>
      </w:pPr>
      <w:r w:rsidRPr="006127C9">
        <w:rPr>
          <w:rFonts w:ascii="Arial" w:hAnsi="Arial" w:cs="Arial"/>
          <w:bCs/>
          <w:sz w:val="22"/>
          <w:szCs w:val="22"/>
          <w:lang w:val="fr-FR"/>
        </w:rPr>
        <w:t xml:space="preserve">Boon, A. (2010), </w:t>
      </w:r>
      <w:r w:rsidRPr="006127C9">
        <w:rPr>
          <w:rFonts w:ascii="Arial" w:hAnsi="Arial" w:cs="Arial"/>
          <w:color w:val="000000"/>
          <w:sz w:val="22"/>
          <w:szCs w:val="22"/>
        </w:rPr>
        <w:t>Professionalism Under the Legal Services Act 2007</w:t>
      </w:r>
      <w:r>
        <w:rPr>
          <w:rFonts w:ascii="Arial" w:hAnsi="Arial" w:cs="Arial"/>
          <w:color w:val="000000"/>
          <w:sz w:val="22"/>
          <w:szCs w:val="22"/>
        </w:rPr>
        <w:t>,</w:t>
      </w:r>
      <w:r w:rsidR="0094629D" w:rsidRPr="0094629D">
        <w:rPr>
          <w:rFonts w:ascii="Arial" w:hAnsi="Arial" w:cs="Arial"/>
          <w:iCs/>
          <w:color w:val="000000"/>
          <w:sz w:val="22"/>
          <w:szCs w:val="22"/>
        </w:rPr>
        <w:t xml:space="preserve"> </w:t>
      </w:r>
      <w:hyperlink r:id="rId12" w:tgtFrame="_blank" w:history="1">
        <w:r w:rsidR="0094629D" w:rsidRPr="0094629D">
          <w:rPr>
            <w:rStyle w:val="Hyperlink"/>
            <w:rFonts w:ascii="Arial" w:hAnsi="Arial" w:cs="Arial"/>
            <w:iCs/>
            <w:color w:val="000000"/>
            <w:sz w:val="22"/>
            <w:szCs w:val="22"/>
            <w:u w:val="none"/>
          </w:rPr>
          <w:t>U. of Westminster School of Law Research Paper No. 11-15</w:t>
        </w:r>
      </w:hyperlink>
      <w:r w:rsidR="0094629D">
        <w:rPr>
          <w:rFonts w:ascii="Arial" w:hAnsi="Arial" w:cs="Arial"/>
          <w:iCs/>
          <w:color w:val="000000"/>
          <w:sz w:val="22"/>
          <w:szCs w:val="22"/>
        </w:rPr>
        <w:t xml:space="preserve">, </w:t>
      </w:r>
      <w:r w:rsidRPr="006127C9">
        <w:rPr>
          <w:rFonts w:ascii="Arial" w:hAnsi="Arial" w:cs="Arial"/>
          <w:iCs/>
          <w:color w:val="000000"/>
          <w:sz w:val="22"/>
          <w:szCs w:val="22"/>
        </w:rPr>
        <w:t>International Journal of the Legal Profession, V</w:t>
      </w:r>
      <w:r w:rsidR="0094629D">
        <w:rPr>
          <w:rFonts w:ascii="Arial" w:hAnsi="Arial" w:cs="Arial"/>
          <w:iCs/>
          <w:color w:val="000000"/>
          <w:sz w:val="22"/>
          <w:szCs w:val="22"/>
        </w:rPr>
        <w:t>ol. 17, No. 3, pp. 195-232,</w:t>
      </w:r>
    </w:p>
    <w:p w:rsidR="006127C9" w:rsidRDefault="006127C9" w:rsidP="007A5476">
      <w:pPr>
        <w:pStyle w:val="PlainText"/>
        <w:rPr>
          <w:rFonts w:ascii="Arial" w:hAnsi="Arial" w:cs="Arial"/>
          <w:bCs/>
          <w:lang w:val="fr-FR"/>
        </w:rPr>
      </w:pPr>
    </w:p>
    <w:p w:rsidR="003C49C8" w:rsidRDefault="007A5476" w:rsidP="00973EBD">
      <w:pPr>
        <w:pStyle w:val="PlainText"/>
        <w:rPr>
          <w:rFonts w:ascii="Arial" w:hAnsi="Arial" w:cs="Arial"/>
        </w:rPr>
      </w:pPr>
      <w:r w:rsidRPr="007A5476">
        <w:rPr>
          <w:rFonts w:ascii="Arial" w:hAnsi="Arial" w:cs="Arial"/>
          <w:bCs/>
          <w:lang w:val="fr-FR"/>
        </w:rPr>
        <w:t>Bradney</w:t>
      </w:r>
      <w:r w:rsidR="00973EBD">
        <w:rPr>
          <w:rFonts w:ascii="Arial" w:hAnsi="Arial" w:cs="Arial"/>
          <w:bCs/>
          <w:lang w:val="fr-FR"/>
        </w:rPr>
        <w:t>,</w:t>
      </w:r>
      <w:r w:rsidRPr="007A5476">
        <w:rPr>
          <w:rFonts w:ascii="Arial" w:hAnsi="Arial" w:cs="Arial"/>
          <w:bCs/>
          <w:lang w:val="fr-FR"/>
        </w:rPr>
        <w:t xml:space="preserve"> A</w:t>
      </w:r>
      <w:r w:rsidR="00973EBD">
        <w:rPr>
          <w:rFonts w:ascii="Arial" w:hAnsi="Arial" w:cs="Arial"/>
          <w:bCs/>
          <w:lang w:val="fr-FR"/>
        </w:rPr>
        <w:t>.</w:t>
      </w:r>
      <w:r w:rsidRPr="007A5476">
        <w:rPr>
          <w:rFonts w:ascii="Arial" w:hAnsi="Arial" w:cs="Arial"/>
          <w:bCs/>
          <w:lang w:val="fr-FR"/>
        </w:rPr>
        <w:t xml:space="preserve"> (2018)</w:t>
      </w:r>
      <w:r w:rsidR="00973EBD">
        <w:rPr>
          <w:rFonts w:ascii="Arial" w:hAnsi="Arial" w:cs="Arial"/>
          <w:bCs/>
          <w:lang w:val="fr-FR"/>
        </w:rPr>
        <w:t>,</w:t>
      </w:r>
      <w:r w:rsidRPr="007A5476">
        <w:rPr>
          <w:rFonts w:ascii="Arial" w:hAnsi="Arial" w:cs="Arial"/>
          <w:bCs/>
          <w:lang w:val="fr-FR"/>
        </w:rPr>
        <w:t xml:space="preserve"> </w:t>
      </w:r>
      <w:r w:rsidRPr="007A5476">
        <w:rPr>
          <w:rFonts w:ascii="Arial" w:hAnsi="Arial" w:cs="Arial"/>
        </w:rPr>
        <w:t>The success of university law schools in England and Wales: or how to fail, The Law Teacher, 52:4, 490-498, DOI: 10.1080/03069400.2018.1529278</w:t>
      </w:r>
    </w:p>
    <w:p w:rsidR="00973EBD" w:rsidRPr="007A5476" w:rsidRDefault="00973EBD" w:rsidP="00973EBD">
      <w:pPr>
        <w:pStyle w:val="PlainText"/>
        <w:rPr>
          <w:rFonts w:ascii="Arial" w:hAnsi="Arial" w:cs="Arial"/>
          <w:bCs/>
          <w:lang w:val="fr-FR"/>
        </w:rPr>
      </w:pPr>
    </w:p>
    <w:p w:rsidR="000B06B9" w:rsidRPr="003217D5" w:rsidRDefault="000B06B9" w:rsidP="006234ED">
      <w:pPr>
        <w:pStyle w:val="FootnoteText"/>
        <w:rPr>
          <w:sz w:val="22"/>
          <w:szCs w:val="22"/>
        </w:rPr>
      </w:pPr>
      <w:r w:rsidRPr="000B06B9">
        <w:rPr>
          <w:rFonts w:ascii="Arial" w:hAnsi="Arial"/>
          <w:bCs/>
          <w:sz w:val="22"/>
          <w:szCs w:val="22"/>
          <w:lang w:val="fr-FR"/>
        </w:rPr>
        <w:t>Broecke</w:t>
      </w:r>
      <w:r w:rsidR="00973EBD">
        <w:rPr>
          <w:rFonts w:ascii="Arial" w:hAnsi="Arial"/>
          <w:bCs/>
          <w:sz w:val="22"/>
          <w:szCs w:val="22"/>
          <w:lang w:val="fr-FR"/>
        </w:rPr>
        <w:t>,</w:t>
      </w:r>
      <w:r w:rsidRPr="000B06B9">
        <w:rPr>
          <w:rFonts w:ascii="Arial" w:hAnsi="Arial"/>
          <w:bCs/>
          <w:sz w:val="22"/>
          <w:szCs w:val="22"/>
          <w:lang w:val="fr-FR"/>
        </w:rPr>
        <w:t xml:space="preserve"> </w:t>
      </w:r>
      <w:r w:rsidR="00574630">
        <w:rPr>
          <w:rFonts w:ascii="Arial" w:hAnsi="Arial"/>
          <w:sz w:val="22"/>
          <w:szCs w:val="22"/>
        </w:rPr>
        <w:t>S</w:t>
      </w:r>
      <w:r w:rsidR="00973EBD">
        <w:rPr>
          <w:rFonts w:ascii="Arial" w:hAnsi="Arial"/>
          <w:sz w:val="22"/>
          <w:szCs w:val="22"/>
        </w:rPr>
        <w:t>.</w:t>
      </w:r>
      <w:r w:rsidRPr="000B06B9">
        <w:rPr>
          <w:rFonts w:ascii="Arial" w:hAnsi="Arial"/>
          <w:sz w:val="22"/>
          <w:szCs w:val="22"/>
        </w:rPr>
        <w:t> (2015)</w:t>
      </w:r>
      <w:r w:rsidR="00E96DB6">
        <w:rPr>
          <w:rFonts w:ascii="Arial" w:hAnsi="Arial"/>
          <w:sz w:val="22"/>
          <w:szCs w:val="22"/>
        </w:rPr>
        <w:t xml:space="preserve">, </w:t>
      </w:r>
      <w:r w:rsidRPr="000B06B9">
        <w:rPr>
          <w:rFonts w:ascii="Arial" w:hAnsi="Arial"/>
          <w:sz w:val="22"/>
          <w:szCs w:val="22"/>
        </w:rPr>
        <w:t xml:space="preserve">University rankings: do they matter in the UK?, Education </w:t>
      </w:r>
      <w:r w:rsidRPr="003217D5">
        <w:rPr>
          <w:rFonts w:ascii="Arial" w:hAnsi="Arial"/>
          <w:sz w:val="22"/>
          <w:szCs w:val="22"/>
        </w:rPr>
        <w:t>Economics, 23:2, 137-161, DOI: </w:t>
      </w:r>
      <w:hyperlink r:id="rId13" w:history="1">
        <w:r w:rsidRPr="003217D5">
          <w:rPr>
            <w:rStyle w:val="Hyperlink0"/>
            <w:sz w:val="22"/>
            <w:szCs w:val="22"/>
          </w:rPr>
          <w:t>10.1080/09645292.2012.729328</w:t>
        </w:r>
      </w:hyperlink>
    </w:p>
    <w:p w:rsidR="00973EBD" w:rsidRPr="003217D5" w:rsidRDefault="00973EBD" w:rsidP="0098546D">
      <w:pPr>
        <w:pStyle w:val="PlainText"/>
        <w:rPr>
          <w:rFonts w:ascii="Arial" w:hAnsi="Arial" w:cs="Arial"/>
          <w:bCs/>
          <w:szCs w:val="22"/>
          <w:lang w:val="fr-FR"/>
        </w:rPr>
      </w:pPr>
    </w:p>
    <w:p w:rsidR="003217D5" w:rsidRPr="003217D5" w:rsidRDefault="003217D5" w:rsidP="0098546D">
      <w:pPr>
        <w:pStyle w:val="PlainText"/>
        <w:rPr>
          <w:rFonts w:ascii="Arial" w:eastAsia="Arial Unicode MS" w:hAnsi="Arial" w:cs="Arial"/>
          <w:szCs w:val="22"/>
          <w:bdr w:val="nil"/>
          <w:lang w:val="en-US"/>
        </w:rPr>
      </w:pPr>
      <w:r w:rsidRPr="003217D5">
        <w:rPr>
          <w:rFonts w:ascii="Arial" w:hAnsi="Arial" w:cs="Arial"/>
          <w:bCs/>
          <w:szCs w:val="22"/>
          <w:lang w:val="fr-FR"/>
        </w:rPr>
        <w:t xml:space="preserve">Castellucci, I. (2007), Rule of Law with Chinese Characteristics. Annual Survey of International &amp; Comparative Law, Vol 13, Iss.1 Article 4. Available from: </w:t>
      </w:r>
      <w:hyperlink r:id="rId14" w:history="1">
        <w:r w:rsidRPr="003217D5">
          <w:rPr>
            <w:rFonts w:ascii="Arial" w:eastAsia="Arial Unicode MS" w:hAnsi="Arial" w:cs="Arial"/>
            <w:color w:val="0000FF"/>
            <w:szCs w:val="22"/>
            <w:u w:val="single"/>
            <w:bdr w:val="nil"/>
            <w:lang w:val="en-US"/>
          </w:rPr>
          <w:t>https://digitalcommons.law.ggu.edu/cgi/viewcontent.cgi?article=1112&amp;context=annlsurvey</w:t>
        </w:r>
      </w:hyperlink>
    </w:p>
    <w:p w:rsidR="003217D5" w:rsidRPr="003217D5" w:rsidRDefault="003217D5" w:rsidP="0098546D">
      <w:pPr>
        <w:pStyle w:val="PlainText"/>
        <w:rPr>
          <w:rFonts w:ascii="Arial" w:eastAsia="Arial Unicode MS" w:hAnsi="Arial" w:cs="Arial"/>
          <w:szCs w:val="22"/>
          <w:bdr w:val="nil"/>
          <w:lang w:val="en-US"/>
        </w:rPr>
      </w:pPr>
      <w:r w:rsidRPr="003217D5">
        <w:rPr>
          <w:rFonts w:ascii="Arial" w:eastAsia="Arial Unicode MS" w:hAnsi="Arial" w:cs="Arial"/>
          <w:szCs w:val="22"/>
          <w:bdr w:val="nil"/>
          <w:lang w:val="en-US"/>
        </w:rPr>
        <w:t>[Accessed 6th June 2019]</w:t>
      </w:r>
    </w:p>
    <w:p w:rsidR="003217D5" w:rsidRPr="008B4D1C" w:rsidRDefault="003217D5" w:rsidP="0098546D">
      <w:pPr>
        <w:pStyle w:val="PlainText"/>
        <w:rPr>
          <w:rFonts w:ascii="Arial" w:hAnsi="Arial" w:cs="Arial"/>
          <w:bCs/>
          <w:szCs w:val="22"/>
          <w:lang w:val="fr-FR"/>
        </w:rPr>
      </w:pPr>
    </w:p>
    <w:p w:rsidR="008B4D1C" w:rsidRPr="008B4D1C" w:rsidRDefault="008B4D1C" w:rsidP="0098546D">
      <w:pPr>
        <w:pStyle w:val="PlainText"/>
        <w:rPr>
          <w:rFonts w:ascii="Arial" w:hAnsi="Arial" w:cs="Arial"/>
          <w:bCs/>
          <w:szCs w:val="22"/>
          <w:lang w:val="fr-FR"/>
        </w:rPr>
      </w:pPr>
      <w:r w:rsidRPr="008B4D1C">
        <w:rPr>
          <w:rFonts w:ascii="Arial" w:hAnsi="Arial" w:cs="Arial"/>
          <w:bCs/>
          <w:szCs w:val="22"/>
          <w:lang w:val="fr-FR"/>
        </w:rPr>
        <w:t xml:space="preserve">Catcheside, K. (2012), What do Universities actually gain by improving league table performance ?, The Guardian, 16th March. Available from: </w:t>
      </w:r>
      <w:hyperlink r:id="rId15" w:history="1">
        <w:r w:rsidRPr="008B4D1C">
          <w:rPr>
            <w:rFonts w:ascii="Arial" w:eastAsia="Arial Unicode MS" w:hAnsi="Arial" w:cs="Arial"/>
            <w:color w:val="0000FF"/>
            <w:szCs w:val="22"/>
            <w:u w:val="single"/>
            <w:bdr w:val="nil"/>
            <w:lang w:val="en-US"/>
          </w:rPr>
          <w:t>https://www.theguardian.com/higher-education-network/blog/2012/mar/16/league-table-performance</w:t>
        </w:r>
      </w:hyperlink>
      <w:r w:rsidRPr="008B4D1C">
        <w:rPr>
          <w:rFonts w:ascii="Arial" w:eastAsia="Arial Unicode MS" w:hAnsi="Arial" w:cs="Arial"/>
          <w:szCs w:val="22"/>
          <w:bdr w:val="nil"/>
          <w:lang w:val="en-US"/>
        </w:rPr>
        <w:t>. [Accessed 10</w:t>
      </w:r>
      <w:r w:rsidRPr="008B4D1C">
        <w:rPr>
          <w:rFonts w:ascii="Arial" w:eastAsia="Arial Unicode MS" w:hAnsi="Arial" w:cs="Arial"/>
          <w:szCs w:val="22"/>
          <w:bdr w:val="nil"/>
          <w:vertAlign w:val="superscript"/>
          <w:lang w:val="en-US"/>
        </w:rPr>
        <w:t>th</w:t>
      </w:r>
      <w:r w:rsidRPr="008B4D1C">
        <w:rPr>
          <w:rFonts w:ascii="Arial" w:eastAsia="Arial Unicode MS" w:hAnsi="Arial" w:cs="Arial"/>
          <w:szCs w:val="22"/>
          <w:bdr w:val="nil"/>
          <w:lang w:val="en-US"/>
        </w:rPr>
        <w:t xml:space="preserve"> Mat 2019]</w:t>
      </w:r>
    </w:p>
    <w:p w:rsidR="008B4D1C" w:rsidRPr="007C5ABA" w:rsidRDefault="008B4D1C" w:rsidP="0098546D">
      <w:pPr>
        <w:pStyle w:val="PlainText"/>
        <w:rPr>
          <w:rFonts w:ascii="Arial" w:hAnsi="Arial" w:cs="Arial"/>
          <w:bCs/>
          <w:szCs w:val="22"/>
          <w:lang w:val="fr-FR"/>
        </w:rPr>
      </w:pPr>
    </w:p>
    <w:p w:rsidR="007C5ABA" w:rsidRPr="007C5ABA" w:rsidRDefault="007C5ABA" w:rsidP="0098546D">
      <w:pPr>
        <w:pStyle w:val="PlainText"/>
        <w:rPr>
          <w:rFonts w:ascii="Arial" w:eastAsia="Arial Unicode MS" w:hAnsi="Arial" w:cs="Arial"/>
          <w:szCs w:val="22"/>
          <w:bdr w:val="nil"/>
          <w:lang w:val="en-US"/>
        </w:rPr>
      </w:pPr>
      <w:r w:rsidRPr="007C5ABA">
        <w:rPr>
          <w:rFonts w:ascii="Arial" w:hAnsi="Arial" w:cs="Arial"/>
          <w:bCs/>
          <w:szCs w:val="22"/>
          <w:lang w:val="fr-FR"/>
        </w:rPr>
        <w:t xml:space="preserve">Chambers Student Guide (2019), Legal Apprenticeship Vacancies. Available from : </w:t>
      </w:r>
      <w:hyperlink r:id="rId16" w:history="1">
        <w:r w:rsidRPr="007C5ABA">
          <w:rPr>
            <w:rFonts w:ascii="Arial" w:eastAsia="Arial Unicode MS" w:hAnsi="Arial" w:cs="Arial"/>
            <w:color w:val="0000FF"/>
            <w:szCs w:val="22"/>
            <w:u w:val="single"/>
            <w:bdr w:val="nil"/>
            <w:lang w:val="en-US"/>
          </w:rPr>
          <w:t>https://www.chambersstudent.co.uk/where-to-start/newsletter/legal-apprenticeship-vacancies</w:t>
        </w:r>
      </w:hyperlink>
      <w:r w:rsidRPr="007C5ABA">
        <w:rPr>
          <w:rFonts w:ascii="Arial" w:eastAsia="Arial Unicode MS" w:hAnsi="Arial" w:cs="Arial"/>
          <w:szCs w:val="22"/>
          <w:bdr w:val="nil"/>
          <w:lang w:val="en-US"/>
        </w:rPr>
        <w:t>. [Accessed 10</w:t>
      </w:r>
      <w:r w:rsidRPr="007C5ABA">
        <w:rPr>
          <w:rFonts w:ascii="Arial" w:eastAsia="Arial Unicode MS" w:hAnsi="Arial" w:cs="Arial"/>
          <w:szCs w:val="22"/>
          <w:bdr w:val="nil"/>
          <w:vertAlign w:val="superscript"/>
          <w:lang w:val="en-US"/>
        </w:rPr>
        <w:t>th</w:t>
      </w:r>
      <w:r w:rsidRPr="007C5ABA">
        <w:rPr>
          <w:rFonts w:ascii="Arial" w:eastAsia="Arial Unicode MS" w:hAnsi="Arial" w:cs="Arial"/>
          <w:szCs w:val="22"/>
          <w:bdr w:val="nil"/>
          <w:lang w:val="en-US"/>
        </w:rPr>
        <w:t xml:space="preserve"> May 2019]</w:t>
      </w:r>
    </w:p>
    <w:p w:rsidR="007C5ABA" w:rsidRPr="007C5ABA" w:rsidRDefault="007C5ABA" w:rsidP="0098546D">
      <w:pPr>
        <w:pStyle w:val="PlainText"/>
        <w:rPr>
          <w:rFonts w:ascii="Arial" w:hAnsi="Arial" w:cs="Arial"/>
          <w:bCs/>
          <w:szCs w:val="22"/>
          <w:lang w:val="fr-FR"/>
        </w:rPr>
      </w:pPr>
    </w:p>
    <w:p w:rsidR="0098546D" w:rsidRPr="008B4D1C" w:rsidRDefault="0098546D" w:rsidP="0098546D">
      <w:pPr>
        <w:pStyle w:val="PlainText"/>
        <w:rPr>
          <w:rFonts w:ascii="Arial" w:hAnsi="Arial" w:cs="Arial"/>
          <w:szCs w:val="22"/>
        </w:rPr>
      </w:pPr>
      <w:r w:rsidRPr="008B4D1C">
        <w:rPr>
          <w:rFonts w:ascii="Arial" w:hAnsi="Arial" w:cs="Arial"/>
          <w:bCs/>
          <w:szCs w:val="22"/>
          <w:lang w:val="fr-FR"/>
        </w:rPr>
        <w:t>Ching</w:t>
      </w:r>
      <w:r w:rsidR="00973EBD" w:rsidRPr="008B4D1C">
        <w:rPr>
          <w:rFonts w:ascii="Arial" w:hAnsi="Arial" w:cs="Arial"/>
          <w:bCs/>
          <w:szCs w:val="22"/>
          <w:lang w:val="fr-FR"/>
        </w:rPr>
        <w:t>,</w:t>
      </w:r>
      <w:r w:rsidRPr="008B4D1C">
        <w:rPr>
          <w:rFonts w:ascii="Arial" w:hAnsi="Arial" w:cs="Arial"/>
          <w:bCs/>
          <w:szCs w:val="22"/>
          <w:lang w:val="fr-FR"/>
        </w:rPr>
        <w:t xml:space="preserve"> J</w:t>
      </w:r>
      <w:r w:rsidR="00973EBD" w:rsidRPr="008B4D1C">
        <w:rPr>
          <w:rFonts w:ascii="Arial" w:hAnsi="Arial" w:cs="Arial"/>
          <w:bCs/>
          <w:szCs w:val="22"/>
          <w:lang w:val="fr-FR"/>
        </w:rPr>
        <w:t>., Marharg, P., Sherr, A. and Webb J (</w:t>
      </w:r>
      <w:r w:rsidRPr="008B4D1C">
        <w:rPr>
          <w:rFonts w:ascii="Arial" w:hAnsi="Arial" w:cs="Arial"/>
          <w:bCs/>
          <w:szCs w:val="22"/>
          <w:lang w:val="fr-FR"/>
        </w:rPr>
        <w:t>2018</w:t>
      </w:r>
      <w:r w:rsidR="00973EBD" w:rsidRPr="008B4D1C">
        <w:rPr>
          <w:rFonts w:ascii="Arial" w:hAnsi="Arial" w:cs="Arial"/>
          <w:bCs/>
          <w:szCs w:val="22"/>
          <w:lang w:val="fr-FR"/>
        </w:rPr>
        <w:t>),</w:t>
      </w:r>
      <w:r w:rsidRPr="008B4D1C">
        <w:rPr>
          <w:rFonts w:ascii="Arial" w:hAnsi="Arial" w:cs="Arial"/>
          <w:bCs/>
          <w:szCs w:val="22"/>
          <w:lang w:val="fr-FR"/>
        </w:rPr>
        <w:t xml:space="preserve"> </w:t>
      </w:r>
      <w:r w:rsidRPr="008B4D1C">
        <w:rPr>
          <w:rFonts w:ascii="Arial" w:hAnsi="Arial" w:cs="Arial"/>
          <w:szCs w:val="22"/>
        </w:rPr>
        <w:t>Legal Education and Training Review: a five-year retro/prospective, The Law Teacher, 52:4, 384-396, DOI: 10.1080/03069400.2018.1526472</w:t>
      </w:r>
    </w:p>
    <w:p w:rsidR="0098546D" w:rsidRPr="0098546D" w:rsidRDefault="0098546D" w:rsidP="0098546D">
      <w:pPr>
        <w:pStyle w:val="PlainText"/>
        <w:rPr>
          <w:rFonts w:ascii="Arial" w:hAnsi="Arial" w:cs="Arial"/>
          <w:szCs w:val="22"/>
        </w:rPr>
      </w:pPr>
    </w:p>
    <w:p w:rsidR="007F3175" w:rsidRPr="00230603" w:rsidRDefault="007F3175">
      <w:pPr>
        <w:pStyle w:val="Body"/>
        <w:rPr>
          <w:rFonts w:ascii="Arial" w:hAnsi="Arial" w:cs="Arial"/>
          <w:bCs/>
          <w:lang w:val="fr-FR"/>
        </w:rPr>
      </w:pPr>
      <w:r w:rsidRPr="00230603">
        <w:rPr>
          <w:rFonts w:ascii="Arial" w:hAnsi="Arial" w:cs="Arial"/>
          <w:bCs/>
          <w:lang w:val="fr-FR"/>
        </w:rPr>
        <w:t>City of London Law Society Education Committee (2018</w:t>
      </w:r>
      <w:r w:rsidR="00FF16C8" w:rsidRPr="00230603">
        <w:rPr>
          <w:rFonts w:ascii="Arial" w:hAnsi="Arial" w:cs="Arial"/>
          <w:bCs/>
          <w:lang w:val="fr-FR"/>
        </w:rPr>
        <w:t>a</w:t>
      </w:r>
      <w:r w:rsidRPr="00230603">
        <w:rPr>
          <w:rFonts w:ascii="Arial" w:hAnsi="Arial" w:cs="Arial"/>
          <w:bCs/>
          <w:lang w:val="fr-FR"/>
        </w:rPr>
        <w:t xml:space="preserve">) </w:t>
      </w:r>
      <w:r w:rsidR="00230603" w:rsidRPr="00230603">
        <w:rPr>
          <w:rFonts w:ascii="Arial" w:hAnsi="Arial" w:cs="Arial"/>
        </w:rPr>
        <w:t xml:space="preserve">CLLS submission to the Legal Services Board on the SRA’s application for the approval of amendments to its regulatory </w:t>
      </w:r>
      <w:r w:rsidR="00230603" w:rsidRPr="00230603">
        <w:rPr>
          <w:rFonts w:ascii="Arial" w:hAnsi="Arial" w:cs="Arial"/>
        </w:rPr>
        <w:lastRenderedPageBreak/>
        <w:t xml:space="preserve">arrangements in respect of the introduction of the Solicitors Qualifying Examination. Available from: </w:t>
      </w:r>
      <w:hyperlink r:id="rId17" w:history="1">
        <w:r w:rsidRPr="00230603">
          <w:rPr>
            <w:rStyle w:val="Hyperlink0"/>
            <w:sz w:val="22"/>
            <w:szCs w:val="22"/>
          </w:rPr>
          <w:t>https://www.legalservicesboard.org.uk/what_we_do/regulation/pdf/2018/CLLS_Letter_28_Feb_2018_SRA_SQE_Application.pdf</w:t>
        </w:r>
      </w:hyperlink>
      <w:r w:rsidR="00230603" w:rsidRPr="00230603">
        <w:rPr>
          <w:rFonts w:ascii="Arial" w:hAnsi="Arial" w:cs="Arial"/>
        </w:rPr>
        <w:t xml:space="preserve"> [Accessed 12th May 2019].</w:t>
      </w:r>
    </w:p>
    <w:p w:rsidR="00FF16C8" w:rsidRPr="00230603" w:rsidRDefault="00FF16C8" w:rsidP="00FF16C8">
      <w:pPr>
        <w:pStyle w:val="FootnoteText"/>
        <w:rPr>
          <w:rFonts w:ascii="Arial" w:hAnsi="Arial" w:cs="Arial"/>
          <w:sz w:val="22"/>
          <w:szCs w:val="22"/>
        </w:rPr>
      </w:pPr>
      <w:r w:rsidRPr="00230603">
        <w:rPr>
          <w:rFonts w:ascii="Arial" w:hAnsi="Arial" w:cs="Arial"/>
          <w:bCs/>
          <w:sz w:val="22"/>
          <w:szCs w:val="22"/>
          <w:lang w:val="fr-FR"/>
        </w:rPr>
        <w:t>Cit</w:t>
      </w:r>
      <w:r w:rsidR="007366E0">
        <w:rPr>
          <w:rFonts w:ascii="Arial" w:hAnsi="Arial" w:cs="Arial"/>
          <w:bCs/>
          <w:sz w:val="22"/>
          <w:szCs w:val="22"/>
          <w:lang w:val="fr-FR"/>
        </w:rPr>
        <w:t xml:space="preserve">y of London Law Society (2018b), </w:t>
      </w:r>
      <w:r w:rsidRPr="00230603">
        <w:rPr>
          <w:rFonts w:ascii="Arial" w:hAnsi="Arial" w:cs="Arial"/>
          <w:sz w:val="22"/>
          <w:szCs w:val="22"/>
        </w:rPr>
        <w:t>City of London Law Society letter to the SRA, 11</w:t>
      </w:r>
      <w:r w:rsidRPr="00230603">
        <w:rPr>
          <w:rFonts w:ascii="Arial" w:hAnsi="Arial" w:cs="Arial"/>
          <w:sz w:val="22"/>
          <w:szCs w:val="22"/>
          <w:vertAlign w:val="superscript"/>
        </w:rPr>
        <w:t>th</w:t>
      </w:r>
      <w:r w:rsidRPr="00230603">
        <w:rPr>
          <w:rFonts w:ascii="Arial" w:hAnsi="Arial" w:cs="Arial"/>
          <w:sz w:val="22"/>
          <w:szCs w:val="22"/>
        </w:rPr>
        <w:t xml:space="preserve"> October 2018</w:t>
      </w:r>
      <w:r w:rsidR="007366E0">
        <w:rPr>
          <w:rFonts w:ascii="Arial" w:hAnsi="Arial" w:cs="Arial"/>
          <w:sz w:val="22"/>
          <w:szCs w:val="22"/>
        </w:rPr>
        <w:t xml:space="preserve">. Available from: </w:t>
      </w:r>
      <w:hyperlink r:id="rId18" w:history="1">
        <w:r w:rsidRPr="00230603">
          <w:rPr>
            <w:rStyle w:val="Hyperlink1"/>
            <w:rFonts w:ascii="Arial" w:hAnsi="Arial" w:cs="Arial"/>
            <w:sz w:val="22"/>
            <w:szCs w:val="22"/>
          </w:rPr>
          <w:t>http://www.citysolicitors.org.uk/attachments/article/104/Training%20Committee%20-%20Timing%20of%20the%20SQE%20Stage%202%20Examination%20-%2008%2010%2018.pdf</w:t>
        </w:r>
      </w:hyperlink>
      <w:r w:rsidR="007366E0">
        <w:rPr>
          <w:rFonts w:ascii="Arial" w:hAnsi="Arial" w:cs="Arial"/>
          <w:sz w:val="22"/>
          <w:szCs w:val="22"/>
        </w:rPr>
        <w:t xml:space="preserve"> [Accessed 12</w:t>
      </w:r>
      <w:r w:rsidR="007366E0" w:rsidRPr="007366E0">
        <w:rPr>
          <w:rFonts w:ascii="Arial" w:hAnsi="Arial" w:cs="Arial"/>
          <w:sz w:val="22"/>
          <w:szCs w:val="22"/>
          <w:vertAlign w:val="superscript"/>
        </w:rPr>
        <w:t>th</w:t>
      </w:r>
      <w:r w:rsidR="007366E0">
        <w:rPr>
          <w:rFonts w:ascii="Arial" w:hAnsi="Arial" w:cs="Arial"/>
          <w:sz w:val="22"/>
          <w:szCs w:val="22"/>
        </w:rPr>
        <w:t xml:space="preserve"> May 2019].</w:t>
      </w:r>
    </w:p>
    <w:p w:rsidR="00D80089" w:rsidRDefault="00D80089" w:rsidP="0070218D">
      <w:pPr>
        <w:pStyle w:val="NoSpacing"/>
        <w:rPr>
          <w:lang w:val="fr-FR"/>
        </w:rPr>
      </w:pPr>
    </w:p>
    <w:p w:rsidR="0070218D" w:rsidRPr="0070218D" w:rsidRDefault="0070218D" w:rsidP="0070218D">
      <w:pPr>
        <w:pStyle w:val="NoSpacing"/>
        <w:rPr>
          <w:rFonts w:ascii="Arial" w:hAnsi="Arial" w:cs="Arial"/>
          <w:sz w:val="22"/>
          <w:szCs w:val="22"/>
          <w:lang w:val="fr-FR"/>
        </w:rPr>
      </w:pPr>
      <w:r w:rsidRPr="0070218D">
        <w:rPr>
          <w:rFonts w:ascii="Arial" w:hAnsi="Arial" w:cs="Arial"/>
          <w:sz w:val="22"/>
          <w:szCs w:val="22"/>
          <w:lang w:val="fr-FR"/>
        </w:rPr>
        <w:t xml:space="preserve">Deech, Baroness, (2012), The Legal Profession – Regulating for Independence, Gresham College Lecture. Available from : </w:t>
      </w:r>
      <w:hyperlink r:id="rId19" w:history="1">
        <w:r w:rsidRPr="0070218D">
          <w:rPr>
            <w:rFonts w:ascii="Arial" w:hAnsi="Arial" w:cs="Arial"/>
            <w:color w:val="0000FF"/>
            <w:sz w:val="22"/>
            <w:szCs w:val="22"/>
            <w:u w:val="single"/>
          </w:rPr>
          <w:t>http://www.gresham.ac.uk/lectures-and-events/the-legal-profession-regulating-for-independence</w:t>
        </w:r>
      </w:hyperlink>
      <w:r w:rsidRPr="0070218D">
        <w:rPr>
          <w:rFonts w:ascii="Arial" w:hAnsi="Arial" w:cs="Arial"/>
          <w:sz w:val="22"/>
          <w:szCs w:val="22"/>
        </w:rPr>
        <w:t>. Accessed 6</w:t>
      </w:r>
      <w:r w:rsidRPr="0070218D">
        <w:rPr>
          <w:rFonts w:ascii="Arial" w:hAnsi="Arial" w:cs="Arial"/>
          <w:sz w:val="22"/>
          <w:szCs w:val="22"/>
          <w:vertAlign w:val="superscript"/>
        </w:rPr>
        <w:t>th</w:t>
      </w:r>
      <w:r w:rsidRPr="0070218D">
        <w:rPr>
          <w:rFonts w:ascii="Arial" w:hAnsi="Arial" w:cs="Arial"/>
          <w:sz w:val="22"/>
          <w:szCs w:val="22"/>
        </w:rPr>
        <w:t xml:space="preserve"> June 2019.</w:t>
      </w:r>
    </w:p>
    <w:p w:rsidR="0070218D" w:rsidRPr="00B75C6D" w:rsidRDefault="0070218D" w:rsidP="0070218D">
      <w:pPr>
        <w:pStyle w:val="NoSpacing"/>
        <w:rPr>
          <w:lang w:val="fr-FR"/>
        </w:rPr>
      </w:pPr>
    </w:p>
    <w:p w:rsidR="00292D42" w:rsidRPr="00B75C6D" w:rsidRDefault="00292D42">
      <w:pPr>
        <w:pStyle w:val="Body"/>
        <w:rPr>
          <w:rFonts w:ascii="Arial" w:hAnsi="Arial" w:cs="Arial"/>
          <w:bCs/>
          <w:lang w:val="fr-FR"/>
        </w:rPr>
      </w:pPr>
      <w:r w:rsidRPr="00B75C6D">
        <w:rPr>
          <w:rFonts w:ascii="Arial" w:hAnsi="Arial" w:cs="Arial"/>
          <w:bCs/>
          <w:lang w:val="fr-FR"/>
        </w:rPr>
        <w:t>Department o</w:t>
      </w:r>
      <w:r w:rsidR="001500D3" w:rsidRPr="00B75C6D">
        <w:rPr>
          <w:rFonts w:ascii="Arial" w:hAnsi="Arial" w:cs="Arial"/>
          <w:bCs/>
          <w:lang w:val="fr-FR"/>
        </w:rPr>
        <w:t xml:space="preserve">f Education </w:t>
      </w:r>
      <w:r w:rsidR="00B75C6D">
        <w:rPr>
          <w:rFonts w:ascii="Arial" w:hAnsi="Arial" w:cs="Arial"/>
        </w:rPr>
        <w:t>(2018</w:t>
      </w:r>
      <w:r w:rsidR="00226B79" w:rsidRPr="00B75C6D">
        <w:rPr>
          <w:rFonts w:ascii="Arial" w:hAnsi="Arial" w:cs="Arial"/>
        </w:rPr>
        <w:t xml:space="preserve">), </w:t>
      </w:r>
      <w:r w:rsidR="001500D3" w:rsidRPr="00B75C6D">
        <w:rPr>
          <w:rFonts w:ascii="Arial" w:hAnsi="Arial" w:cs="Arial"/>
        </w:rPr>
        <w:t>Government Statistics on participation in HE</w:t>
      </w:r>
      <w:r w:rsidR="00226B79" w:rsidRPr="00B75C6D">
        <w:rPr>
          <w:rFonts w:ascii="Arial" w:hAnsi="Arial" w:cs="Arial"/>
        </w:rPr>
        <w:t>. Available from:</w:t>
      </w:r>
      <w:r w:rsidR="001500D3" w:rsidRPr="00B75C6D">
        <w:rPr>
          <w:rFonts w:ascii="Arial" w:hAnsi="Arial" w:cs="Arial"/>
        </w:rPr>
        <w:t xml:space="preserve"> </w:t>
      </w:r>
      <w:hyperlink r:id="rId20" w:history="1">
        <w:r w:rsidR="00B75C6D" w:rsidRPr="00B75C6D">
          <w:rPr>
            <w:rFonts w:ascii="Arial" w:eastAsia="Arial Unicode MS" w:hAnsi="Arial" w:cs="Arial"/>
            <w:color w:val="0000FF"/>
            <w:u w:val="single"/>
            <w:lang w:val="en-US" w:eastAsia="en-US"/>
          </w:rPr>
          <w:t>https://www.gov.uk/government/collections/statistics-on-higher-education-initial-participation-rates</w:t>
        </w:r>
      </w:hyperlink>
      <w:r w:rsidR="00B75C6D" w:rsidRPr="00B75C6D">
        <w:rPr>
          <w:rFonts w:ascii="Arial" w:eastAsia="Arial Unicode MS" w:hAnsi="Arial" w:cs="Arial"/>
          <w:color w:val="auto"/>
          <w:lang w:val="en-US" w:eastAsia="en-US"/>
        </w:rPr>
        <w:t xml:space="preserve"> [Accessed on 10</w:t>
      </w:r>
      <w:r w:rsidR="00B75C6D" w:rsidRPr="00B75C6D">
        <w:rPr>
          <w:rFonts w:ascii="Arial" w:eastAsia="Arial Unicode MS" w:hAnsi="Arial" w:cs="Arial"/>
          <w:color w:val="auto"/>
          <w:vertAlign w:val="superscript"/>
          <w:lang w:val="en-US" w:eastAsia="en-US"/>
        </w:rPr>
        <w:t>th</w:t>
      </w:r>
      <w:r w:rsidR="00B75C6D" w:rsidRPr="00B75C6D">
        <w:rPr>
          <w:rFonts w:ascii="Arial" w:eastAsia="Arial Unicode MS" w:hAnsi="Arial" w:cs="Arial"/>
          <w:color w:val="auto"/>
          <w:lang w:val="en-US" w:eastAsia="en-US"/>
        </w:rPr>
        <w:t xml:space="preserve"> May 2019]</w:t>
      </w:r>
    </w:p>
    <w:p w:rsidR="00F805A8" w:rsidRDefault="00F805A8" w:rsidP="00F805A8">
      <w:pPr>
        <w:pStyle w:val="PlainText"/>
        <w:rPr>
          <w:rFonts w:ascii="Arial" w:hAnsi="Arial" w:cs="Arial"/>
        </w:rPr>
      </w:pPr>
      <w:r w:rsidRPr="00F805A8">
        <w:rPr>
          <w:rFonts w:ascii="Arial" w:hAnsi="Arial" w:cs="Arial"/>
          <w:bCs/>
          <w:szCs w:val="22"/>
          <w:lang w:val="fr-FR"/>
        </w:rPr>
        <w:t>Dunn R, Roper V and Kennedy V</w:t>
      </w:r>
      <w:r>
        <w:rPr>
          <w:rFonts w:ascii="Arial" w:hAnsi="Arial" w:cs="Arial"/>
          <w:bCs/>
          <w:szCs w:val="22"/>
          <w:lang w:val="fr-FR"/>
        </w:rPr>
        <w:t xml:space="preserve"> (2018)</w:t>
      </w:r>
      <w:r w:rsidRPr="00F805A8">
        <w:rPr>
          <w:rFonts w:ascii="Arial" w:hAnsi="Arial" w:cs="Arial"/>
          <w:bCs/>
          <w:szCs w:val="22"/>
          <w:lang w:val="fr-FR"/>
        </w:rPr>
        <w:t xml:space="preserve">, </w:t>
      </w:r>
      <w:r w:rsidRPr="00F805A8">
        <w:rPr>
          <w:rFonts w:ascii="Arial" w:hAnsi="Arial" w:cs="Arial"/>
        </w:rPr>
        <w:t xml:space="preserve">Clinical legal education as qualifying work experience for solicitors </w:t>
      </w:r>
    </w:p>
    <w:p w:rsidR="00F805A8" w:rsidRPr="00F805A8" w:rsidRDefault="00F805A8" w:rsidP="00F805A8">
      <w:pPr>
        <w:pStyle w:val="PlainText"/>
        <w:rPr>
          <w:rFonts w:ascii="Arial" w:hAnsi="Arial" w:cs="Arial"/>
        </w:rPr>
      </w:pPr>
      <w:r w:rsidRPr="00F805A8">
        <w:rPr>
          <w:rFonts w:ascii="Arial" w:hAnsi="Arial" w:cs="Arial"/>
        </w:rPr>
        <w:t>DOI: 10.1080/03069400</w:t>
      </w:r>
      <w:r>
        <w:rPr>
          <w:rFonts w:ascii="Arial" w:hAnsi="Arial" w:cs="Arial"/>
        </w:rPr>
        <w:t>.2018.1526480</w:t>
      </w:r>
    </w:p>
    <w:p w:rsidR="00F805A8" w:rsidRPr="00965266" w:rsidRDefault="00F805A8" w:rsidP="00965266">
      <w:pPr>
        <w:pStyle w:val="NoSpacing"/>
      </w:pPr>
    </w:p>
    <w:p w:rsidR="00E34013" w:rsidRPr="00E34013" w:rsidRDefault="00E34013" w:rsidP="006234ED">
      <w:pPr>
        <w:pStyle w:val="FootnoteText"/>
        <w:rPr>
          <w:rFonts w:ascii="Arial" w:hAnsi="Arial" w:cs="Arial"/>
          <w:bCs/>
          <w:sz w:val="22"/>
          <w:szCs w:val="22"/>
          <w:lang w:val="fr-FR"/>
        </w:rPr>
      </w:pPr>
      <w:r w:rsidRPr="00E34013">
        <w:rPr>
          <w:rFonts w:ascii="Arial" w:hAnsi="Arial" w:cs="Arial"/>
          <w:bCs/>
          <w:sz w:val="22"/>
          <w:szCs w:val="22"/>
          <w:lang w:val="fr-FR"/>
        </w:rPr>
        <w:t>Green</w:t>
      </w:r>
      <w:r w:rsidR="006127C9">
        <w:rPr>
          <w:rFonts w:ascii="Arial" w:hAnsi="Arial" w:cs="Arial"/>
          <w:bCs/>
          <w:sz w:val="22"/>
          <w:szCs w:val="22"/>
          <w:lang w:val="fr-FR"/>
        </w:rPr>
        <w:t>,</w:t>
      </w:r>
      <w:r w:rsidRPr="00E34013">
        <w:rPr>
          <w:rFonts w:ascii="Arial" w:hAnsi="Arial" w:cs="Arial"/>
          <w:bCs/>
          <w:sz w:val="22"/>
          <w:szCs w:val="22"/>
          <w:lang w:val="fr-FR"/>
        </w:rPr>
        <w:t xml:space="preserve"> L</w:t>
      </w:r>
      <w:r w:rsidR="006127C9">
        <w:rPr>
          <w:rFonts w:ascii="Arial" w:hAnsi="Arial" w:cs="Arial"/>
          <w:bCs/>
          <w:sz w:val="22"/>
          <w:szCs w:val="22"/>
          <w:lang w:val="fr-FR"/>
        </w:rPr>
        <w:t xml:space="preserve">. and </w:t>
      </w:r>
      <w:r w:rsidRPr="00E34013">
        <w:rPr>
          <w:rFonts w:ascii="Arial" w:hAnsi="Arial" w:cs="Arial"/>
          <w:bCs/>
          <w:sz w:val="22"/>
          <w:szCs w:val="22"/>
          <w:lang w:val="fr-FR"/>
        </w:rPr>
        <w:t>Sandbach</w:t>
      </w:r>
      <w:r w:rsidR="006127C9">
        <w:rPr>
          <w:rFonts w:ascii="Arial" w:hAnsi="Arial" w:cs="Arial"/>
          <w:bCs/>
          <w:sz w:val="22"/>
          <w:szCs w:val="22"/>
          <w:lang w:val="fr-FR"/>
        </w:rPr>
        <w:t>,</w:t>
      </w:r>
      <w:r w:rsidRPr="00E34013">
        <w:rPr>
          <w:rFonts w:ascii="Arial" w:hAnsi="Arial" w:cs="Arial"/>
          <w:bCs/>
          <w:sz w:val="22"/>
          <w:szCs w:val="22"/>
          <w:lang w:val="fr-FR"/>
        </w:rPr>
        <w:t xml:space="preserve"> J</w:t>
      </w:r>
      <w:r w:rsidR="006127C9">
        <w:rPr>
          <w:rFonts w:ascii="Arial" w:hAnsi="Arial" w:cs="Arial"/>
          <w:bCs/>
          <w:sz w:val="22"/>
          <w:szCs w:val="22"/>
          <w:lang w:val="fr-FR"/>
        </w:rPr>
        <w:t>.</w:t>
      </w:r>
      <w:r w:rsidRPr="00E34013">
        <w:rPr>
          <w:rFonts w:ascii="Arial" w:hAnsi="Arial" w:cs="Arial"/>
          <w:bCs/>
          <w:sz w:val="22"/>
          <w:szCs w:val="22"/>
          <w:lang w:val="fr-FR"/>
        </w:rPr>
        <w:t xml:space="preserve"> (2016), Justice in free fall: a report on the decline of civil legal aid in England and Wales</w:t>
      </w:r>
      <w:r>
        <w:rPr>
          <w:rFonts w:ascii="Arial" w:hAnsi="Arial" w:cs="Arial"/>
          <w:bCs/>
          <w:sz w:val="22"/>
          <w:szCs w:val="22"/>
          <w:lang w:val="fr-FR"/>
        </w:rPr>
        <w:t>, Legal Action, December 2016/January 2017, p</w:t>
      </w:r>
      <w:r w:rsidR="006127C9">
        <w:rPr>
          <w:rFonts w:ascii="Arial" w:hAnsi="Arial" w:cs="Arial"/>
          <w:bCs/>
          <w:sz w:val="22"/>
          <w:szCs w:val="22"/>
          <w:lang w:val="fr-FR"/>
        </w:rPr>
        <w:t xml:space="preserve">p </w:t>
      </w:r>
      <w:r>
        <w:rPr>
          <w:rFonts w:ascii="Arial" w:hAnsi="Arial" w:cs="Arial"/>
          <w:bCs/>
          <w:sz w:val="22"/>
          <w:szCs w:val="22"/>
          <w:lang w:val="fr-FR"/>
        </w:rPr>
        <w:t>9</w:t>
      </w:r>
      <w:r w:rsidR="006127C9">
        <w:rPr>
          <w:rFonts w:ascii="Arial" w:hAnsi="Arial" w:cs="Arial"/>
          <w:bCs/>
          <w:sz w:val="22"/>
          <w:szCs w:val="22"/>
          <w:lang w:val="fr-FR"/>
        </w:rPr>
        <w:t>-11</w:t>
      </w:r>
      <w:r>
        <w:rPr>
          <w:rFonts w:ascii="Arial" w:hAnsi="Arial" w:cs="Arial"/>
          <w:bCs/>
          <w:sz w:val="22"/>
          <w:szCs w:val="22"/>
          <w:lang w:val="fr-FR"/>
        </w:rPr>
        <w:t xml:space="preserve">.  </w:t>
      </w:r>
      <w:r w:rsidRPr="00E34013">
        <w:rPr>
          <w:rFonts w:ascii="Arial" w:hAnsi="Arial" w:cs="Arial"/>
          <w:bCs/>
          <w:sz w:val="22"/>
          <w:szCs w:val="22"/>
          <w:lang w:val="fr-FR"/>
        </w:rPr>
        <w:t xml:space="preserve">Available from: </w:t>
      </w:r>
      <w:hyperlink r:id="rId21" w:anchor="iosfirsthighlight" w:history="1">
        <w:r w:rsidRPr="00E34013">
          <w:rPr>
            <w:rFonts w:ascii="Arial" w:eastAsia="Arial Unicode MS" w:hAnsi="Arial" w:cs="Arial"/>
            <w:color w:val="0000FF"/>
            <w:sz w:val="22"/>
            <w:szCs w:val="22"/>
            <w:u w:val="single"/>
            <w:lang w:eastAsia="en-US"/>
          </w:rPr>
          <w:t>https://www.lag.org.uk/?id=201911&amp;fromsearch=true#iosfirsthighlight</w:t>
        </w:r>
      </w:hyperlink>
      <w:r w:rsidRPr="00E34013">
        <w:rPr>
          <w:rFonts w:ascii="Arial" w:eastAsia="Arial Unicode MS" w:hAnsi="Arial" w:cs="Arial"/>
          <w:color w:val="auto"/>
          <w:sz w:val="22"/>
          <w:szCs w:val="22"/>
          <w:lang w:eastAsia="en-US"/>
        </w:rPr>
        <w:t>. [Accessed 10</w:t>
      </w:r>
      <w:r w:rsidRPr="00E34013">
        <w:rPr>
          <w:rFonts w:ascii="Arial" w:eastAsia="Arial Unicode MS" w:hAnsi="Arial" w:cs="Arial"/>
          <w:color w:val="auto"/>
          <w:sz w:val="22"/>
          <w:szCs w:val="22"/>
          <w:vertAlign w:val="superscript"/>
          <w:lang w:eastAsia="en-US"/>
        </w:rPr>
        <w:t>th</w:t>
      </w:r>
      <w:r w:rsidRPr="00E34013">
        <w:rPr>
          <w:rFonts w:ascii="Arial" w:eastAsia="Arial Unicode MS" w:hAnsi="Arial" w:cs="Arial"/>
          <w:color w:val="auto"/>
          <w:sz w:val="22"/>
          <w:szCs w:val="22"/>
          <w:lang w:eastAsia="en-US"/>
        </w:rPr>
        <w:t xml:space="preserve"> May 2019]</w:t>
      </w:r>
    </w:p>
    <w:p w:rsidR="00E34013" w:rsidRPr="00CD0B59" w:rsidRDefault="00E34013" w:rsidP="006234ED">
      <w:pPr>
        <w:pStyle w:val="FootnoteText"/>
        <w:rPr>
          <w:rFonts w:ascii="Arial" w:hAnsi="Arial" w:cs="Arial"/>
          <w:bCs/>
          <w:sz w:val="22"/>
          <w:szCs w:val="22"/>
          <w:lang w:val="fr-FR"/>
        </w:rPr>
      </w:pPr>
    </w:p>
    <w:p w:rsidR="00CD0B59" w:rsidRDefault="00CD0B59" w:rsidP="00CD0B59">
      <w:pPr>
        <w:pStyle w:val="PlainText"/>
        <w:rPr>
          <w:rFonts w:ascii="Arial" w:hAnsi="Arial" w:cs="Arial"/>
        </w:rPr>
      </w:pPr>
      <w:r w:rsidRPr="00CD0B59">
        <w:rPr>
          <w:rFonts w:ascii="Arial" w:hAnsi="Arial" w:cs="Arial"/>
          <w:bCs/>
          <w:szCs w:val="22"/>
          <w:lang w:val="fr-FR"/>
        </w:rPr>
        <w:t xml:space="preserve">Grimes R (ed) (2018), </w:t>
      </w:r>
      <w:r w:rsidRPr="00CD0B59">
        <w:rPr>
          <w:rFonts w:ascii="Arial" w:hAnsi="Arial" w:cs="Arial"/>
        </w:rPr>
        <w:t>Re-thinking Legal Education Under the Civil and Common Law: A Road Map for Constructive Change, Routledge, ISBN: 978-0-415-79200-4</w:t>
      </w:r>
    </w:p>
    <w:p w:rsidR="003D45C6" w:rsidRDefault="003D45C6" w:rsidP="008D0BF0">
      <w:pPr>
        <w:pStyle w:val="PlainText"/>
        <w:rPr>
          <w:rFonts w:ascii="Arial" w:hAnsi="Arial" w:cs="Arial"/>
          <w:bCs/>
          <w:lang w:val="fr-FR"/>
        </w:rPr>
      </w:pPr>
    </w:p>
    <w:p w:rsidR="008D0BF0" w:rsidRPr="008D0BF0" w:rsidRDefault="008D0BF0" w:rsidP="008D0BF0">
      <w:pPr>
        <w:pStyle w:val="PlainText"/>
        <w:rPr>
          <w:rFonts w:ascii="Arial" w:hAnsi="Arial" w:cs="Arial"/>
        </w:rPr>
      </w:pPr>
      <w:r w:rsidRPr="008D0BF0">
        <w:rPr>
          <w:rFonts w:ascii="Arial" w:hAnsi="Arial" w:cs="Arial"/>
          <w:bCs/>
          <w:lang w:val="fr-FR"/>
        </w:rPr>
        <w:t>Guth</w:t>
      </w:r>
      <w:r w:rsidR="00973EBD">
        <w:rPr>
          <w:rFonts w:ascii="Arial" w:hAnsi="Arial" w:cs="Arial"/>
          <w:bCs/>
          <w:lang w:val="fr-FR"/>
        </w:rPr>
        <w:t>,</w:t>
      </w:r>
      <w:r w:rsidRPr="008D0BF0">
        <w:rPr>
          <w:rFonts w:ascii="Arial" w:hAnsi="Arial" w:cs="Arial"/>
          <w:bCs/>
          <w:lang w:val="fr-FR"/>
        </w:rPr>
        <w:t xml:space="preserve"> J</w:t>
      </w:r>
      <w:r w:rsidR="00973EBD">
        <w:rPr>
          <w:rFonts w:ascii="Arial" w:hAnsi="Arial" w:cs="Arial"/>
          <w:bCs/>
          <w:lang w:val="fr-FR"/>
        </w:rPr>
        <w:t xml:space="preserve">. and </w:t>
      </w:r>
      <w:r w:rsidRPr="008D0BF0">
        <w:rPr>
          <w:rFonts w:ascii="Arial" w:hAnsi="Arial" w:cs="Arial"/>
          <w:bCs/>
          <w:lang w:val="fr-FR"/>
        </w:rPr>
        <w:t>Ashford</w:t>
      </w:r>
      <w:r w:rsidR="00973EBD">
        <w:rPr>
          <w:rFonts w:ascii="Arial" w:hAnsi="Arial" w:cs="Arial"/>
          <w:bCs/>
          <w:lang w:val="fr-FR"/>
        </w:rPr>
        <w:t>, C. (2014),</w:t>
      </w:r>
      <w:r w:rsidRPr="008D0BF0">
        <w:rPr>
          <w:rFonts w:ascii="Arial" w:hAnsi="Arial" w:cs="Arial"/>
          <w:bCs/>
          <w:lang w:val="fr-FR"/>
        </w:rPr>
        <w:t xml:space="preserve"> </w:t>
      </w:r>
      <w:r w:rsidRPr="008D0BF0">
        <w:rPr>
          <w:rFonts w:ascii="Arial" w:hAnsi="Arial" w:cs="Arial"/>
        </w:rPr>
        <w:t>The Legal Education and Training Review: regulating socio-legal and liberal legal education?</w:t>
      </w:r>
      <w:r w:rsidR="00973EBD">
        <w:rPr>
          <w:rFonts w:ascii="Arial" w:hAnsi="Arial" w:cs="Arial"/>
        </w:rPr>
        <w:t xml:space="preserve">, </w:t>
      </w:r>
      <w:r w:rsidRPr="008D0BF0">
        <w:rPr>
          <w:rFonts w:ascii="Arial" w:hAnsi="Arial" w:cs="Arial"/>
        </w:rPr>
        <w:t>The Law Teacher, 48:1, 5-19, DOI: 10.1080/03069400.2013.875304</w:t>
      </w:r>
    </w:p>
    <w:p w:rsidR="008D0BF0" w:rsidRDefault="008D0BF0" w:rsidP="00317F5D">
      <w:pPr>
        <w:pStyle w:val="PlainText"/>
        <w:rPr>
          <w:rFonts w:ascii="Arial" w:hAnsi="Arial" w:cs="Arial"/>
          <w:bCs/>
          <w:lang w:val="fr-FR"/>
        </w:rPr>
      </w:pPr>
    </w:p>
    <w:p w:rsidR="00317F5D" w:rsidRPr="00317F5D" w:rsidRDefault="00317F5D" w:rsidP="00317F5D">
      <w:pPr>
        <w:pStyle w:val="PlainText"/>
        <w:rPr>
          <w:rFonts w:ascii="Arial" w:hAnsi="Arial" w:cs="Arial"/>
        </w:rPr>
      </w:pPr>
      <w:r w:rsidRPr="00317F5D">
        <w:rPr>
          <w:rFonts w:ascii="Arial" w:hAnsi="Arial" w:cs="Arial"/>
          <w:bCs/>
          <w:lang w:val="fr-FR"/>
        </w:rPr>
        <w:t>Guth</w:t>
      </w:r>
      <w:r w:rsidR="00230603">
        <w:rPr>
          <w:rFonts w:ascii="Arial" w:hAnsi="Arial" w:cs="Arial"/>
          <w:bCs/>
          <w:lang w:val="fr-FR"/>
        </w:rPr>
        <w:t>,</w:t>
      </w:r>
      <w:r w:rsidRPr="00317F5D">
        <w:rPr>
          <w:rFonts w:ascii="Arial" w:hAnsi="Arial" w:cs="Arial"/>
          <w:bCs/>
          <w:lang w:val="fr-FR"/>
        </w:rPr>
        <w:t xml:space="preserve"> J</w:t>
      </w:r>
      <w:r w:rsidR="00230603">
        <w:rPr>
          <w:rFonts w:ascii="Arial" w:hAnsi="Arial" w:cs="Arial"/>
          <w:bCs/>
          <w:lang w:val="fr-FR"/>
        </w:rPr>
        <w:t>. and</w:t>
      </w:r>
      <w:r w:rsidRPr="00317F5D">
        <w:rPr>
          <w:rFonts w:ascii="Arial" w:hAnsi="Arial" w:cs="Arial"/>
          <w:bCs/>
          <w:lang w:val="fr-FR"/>
        </w:rPr>
        <w:t xml:space="preserve"> Dutton</w:t>
      </w:r>
      <w:r w:rsidR="00230603">
        <w:rPr>
          <w:rFonts w:ascii="Arial" w:hAnsi="Arial" w:cs="Arial"/>
          <w:bCs/>
          <w:lang w:val="fr-FR"/>
        </w:rPr>
        <w:t>, K. (</w:t>
      </w:r>
      <w:r w:rsidRPr="00317F5D">
        <w:rPr>
          <w:rFonts w:ascii="Arial" w:hAnsi="Arial" w:cs="Arial"/>
          <w:bCs/>
          <w:lang w:val="fr-FR"/>
        </w:rPr>
        <w:t>2018</w:t>
      </w:r>
      <w:r w:rsidR="00230603">
        <w:rPr>
          <w:rFonts w:ascii="Arial" w:hAnsi="Arial" w:cs="Arial"/>
          <w:bCs/>
          <w:lang w:val="fr-FR"/>
        </w:rPr>
        <w:t>),</w:t>
      </w:r>
      <w:r w:rsidRPr="00317F5D">
        <w:rPr>
          <w:rFonts w:ascii="Arial" w:hAnsi="Arial" w:cs="Arial"/>
          <w:bCs/>
          <w:lang w:val="fr-FR"/>
        </w:rPr>
        <w:t xml:space="preserve"> </w:t>
      </w:r>
      <w:r w:rsidRPr="00317F5D">
        <w:rPr>
          <w:rFonts w:ascii="Arial" w:hAnsi="Arial" w:cs="Arial"/>
        </w:rPr>
        <w:t xml:space="preserve">SQE-ezed out: SRA, status and stasis Jessica Guth &amp; Kathryn Dutton, The Law Teacher, 52:4, 425-438, DOI: 10.1080/03069400.2018.1534341 </w:t>
      </w:r>
    </w:p>
    <w:p w:rsidR="00317F5D" w:rsidRPr="00317F5D" w:rsidRDefault="00317F5D" w:rsidP="00317F5D">
      <w:pPr>
        <w:pStyle w:val="PlainText"/>
        <w:rPr>
          <w:rFonts w:ascii="Arial" w:hAnsi="Arial" w:cs="Arial"/>
        </w:rPr>
      </w:pPr>
    </w:p>
    <w:p w:rsidR="00317F5D" w:rsidRPr="002372EF" w:rsidRDefault="002372EF" w:rsidP="00317F5D">
      <w:pPr>
        <w:pStyle w:val="Body"/>
        <w:rPr>
          <w:rFonts w:ascii="Arial" w:hAnsi="Arial" w:cs="Arial"/>
          <w:bCs/>
          <w:lang w:val="fr-FR"/>
        </w:rPr>
      </w:pPr>
      <w:r w:rsidRPr="002372EF">
        <w:rPr>
          <w:rFonts w:ascii="Arial" w:hAnsi="Arial" w:cs="Arial"/>
          <w:bCs/>
          <w:lang w:val="fr-FR"/>
        </w:rPr>
        <w:t xml:space="preserve">Hall, E. (2017), </w:t>
      </w:r>
      <w:r w:rsidRPr="002372EF">
        <w:rPr>
          <w:rFonts w:ascii="Arial" w:hAnsi="Arial" w:cs="Arial"/>
        </w:rPr>
        <w:t>Notes on the SRA report of the consultation on the Solicitors Qualifying Exam: “Comment is free, but</w:t>
      </w:r>
      <w:r>
        <w:rPr>
          <w:rFonts w:ascii="Arial" w:hAnsi="Arial" w:cs="Arial"/>
        </w:rPr>
        <w:t xml:space="preserve"> </w:t>
      </w:r>
      <w:r w:rsidRPr="002372EF">
        <w:rPr>
          <w:rFonts w:ascii="Arial" w:hAnsi="Arial" w:cs="Arial"/>
        </w:rPr>
        <w:t>facts are sacred”, The Law Teacher,</w:t>
      </w:r>
      <w:r>
        <w:rPr>
          <w:rFonts w:ascii="Arial" w:hAnsi="Arial" w:cs="Arial"/>
        </w:rPr>
        <w:t xml:space="preserve"> 51:3, 364-372, </w:t>
      </w:r>
      <w:r w:rsidRPr="002372EF">
        <w:rPr>
          <w:rFonts w:ascii="Arial" w:hAnsi="Arial" w:cs="Arial"/>
        </w:rPr>
        <w:t>DOI:10.1080/03069400.2017.1335977</w:t>
      </w:r>
    </w:p>
    <w:p w:rsidR="00D979A6" w:rsidRDefault="00D979A6" w:rsidP="00D979A6">
      <w:pPr>
        <w:pStyle w:val="PlainText"/>
        <w:rPr>
          <w:rFonts w:ascii="Arial" w:hAnsi="Arial" w:cs="Arial"/>
        </w:rPr>
      </w:pPr>
      <w:r w:rsidRPr="00D979A6">
        <w:rPr>
          <w:rFonts w:ascii="Arial" w:hAnsi="Arial" w:cs="Arial"/>
          <w:bCs/>
          <w:lang w:val="fr-FR"/>
        </w:rPr>
        <w:t>Hall</w:t>
      </w:r>
      <w:r w:rsidR="002372EF">
        <w:rPr>
          <w:rFonts w:ascii="Arial" w:hAnsi="Arial" w:cs="Arial"/>
          <w:bCs/>
          <w:lang w:val="fr-FR"/>
        </w:rPr>
        <w:t>, E. (</w:t>
      </w:r>
      <w:r w:rsidR="00317F5D">
        <w:rPr>
          <w:rFonts w:ascii="Arial" w:hAnsi="Arial" w:cs="Arial"/>
          <w:bCs/>
          <w:lang w:val="fr-FR"/>
        </w:rPr>
        <w:t>2018</w:t>
      </w:r>
      <w:r w:rsidR="002372EF">
        <w:rPr>
          <w:rFonts w:ascii="Arial" w:hAnsi="Arial" w:cs="Arial"/>
          <w:bCs/>
          <w:lang w:val="fr-FR"/>
        </w:rPr>
        <w:t>)</w:t>
      </w:r>
      <w:r w:rsidR="00317F5D">
        <w:rPr>
          <w:rFonts w:ascii="Arial" w:hAnsi="Arial" w:cs="Arial"/>
          <w:bCs/>
          <w:lang w:val="fr-FR"/>
        </w:rPr>
        <w:t xml:space="preserve">, </w:t>
      </w:r>
      <w:r w:rsidRPr="00D979A6">
        <w:rPr>
          <w:rFonts w:ascii="Arial" w:hAnsi="Arial" w:cs="Arial"/>
        </w:rPr>
        <w:t>Glass houses: how might we decide on a “good enough” assessment to become a solicitor?</w:t>
      </w:r>
      <w:r w:rsidR="002372EF">
        <w:rPr>
          <w:rFonts w:ascii="Arial" w:hAnsi="Arial" w:cs="Arial"/>
        </w:rPr>
        <w:t xml:space="preserve"> </w:t>
      </w:r>
      <w:r w:rsidRPr="00D979A6">
        <w:rPr>
          <w:rFonts w:ascii="Arial" w:hAnsi="Arial" w:cs="Arial"/>
        </w:rPr>
        <w:t>The L</w:t>
      </w:r>
      <w:r w:rsidR="002372EF">
        <w:rPr>
          <w:rFonts w:ascii="Arial" w:hAnsi="Arial" w:cs="Arial"/>
        </w:rPr>
        <w:t>aw Teacher, 52:4, 453-466, DOI:</w:t>
      </w:r>
      <w:r w:rsidRPr="00D979A6">
        <w:rPr>
          <w:rFonts w:ascii="Arial" w:hAnsi="Arial" w:cs="Arial"/>
        </w:rPr>
        <w:t xml:space="preserve">10.1080/03069400.2018.1526477 </w:t>
      </w:r>
    </w:p>
    <w:p w:rsidR="007366E0" w:rsidRDefault="007366E0" w:rsidP="003D45C6">
      <w:pPr>
        <w:pStyle w:val="NoSpacing"/>
        <w:rPr>
          <w:lang w:val="fr-FR"/>
        </w:rPr>
      </w:pPr>
    </w:p>
    <w:p w:rsidR="00AC363B" w:rsidRDefault="0028616B" w:rsidP="000474F7">
      <w:pPr>
        <w:pStyle w:val="Body"/>
        <w:rPr>
          <w:rFonts w:ascii="Arial" w:hAnsi="Arial"/>
        </w:rPr>
      </w:pPr>
      <w:r w:rsidRPr="001A700B">
        <w:rPr>
          <w:rFonts w:ascii="Arial" w:hAnsi="Arial"/>
          <w:bCs/>
          <w:lang w:val="fr-FR"/>
        </w:rPr>
        <w:t>Joint Academic Stage Board</w:t>
      </w:r>
      <w:r w:rsidR="00472CF2" w:rsidRPr="001A700B">
        <w:rPr>
          <w:rFonts w:ascii="Arial" w:hAnsi="Arial"/>
          <w:bCs/>
          <w:lang w:val="fr-FR"/>
        </w:rPr>
        <w:t xml:space="preserve"> (</w:t>
      </w:r>
      <w:r w:rsidR="002D5472" w:rsidRPr="001A700B">
        <w:rPr>
          <w:rFonts w:ascii="Arial" w:hAnsi="Arial"/>
          <w:bCs/>
          <w:lang w:val="fr-FR"/>
        </w:rPr>
        <w:t>2012</w:t>
      </w:r>
      <w:r w:rsidR="00472CF2" w:rsidRPr="001A700B">
        <w:rPr>
          <w:rFonts w:ascii="Arial" w:hAnsi="Arial"/>
          <w:bCs/>
          <w:lang w:val="fr-FR"/>
        </w:rPr>
        <w:t>)</w:t>
      </w:r>
      <w:r w:rsidR="004063E4" w:rsidRPr="001A700B">
        <w:rPr>
          <w:rFonts w:ascii="Arial" w:hAnsi="Arial"/>
          <w:bCs/>
          <w:lang w:val="fr-FR"/>
        </w:rPr>
        <w:t xml:space="preserve">, Joint Academic Stage Board </w:t>
      </w:r>
      <w:r w:rsidR="00CA5B52" w:rsidRPr="001A700B">
        <w:rPr>
          <w:rFonts w:ascii="Arial" w:hAnsi="Arial"/>
          <w:bCs/>
          <w:lang w:val="fr-FR"/>
        </w:rPr>
        <w:t>Handbook. Available from</w:t>
      </w:r>
      <w:r w:rsidR="000474F7" w:rsidRPr="001A700B">
        <w:rPr>
          <w:rFonts w:ascii="Arial" w:hAnsi="Arial"/>
          <w:bCs/>
          <w:lang w:val="fr-FR"/>
        </w:rPr>
        <w:t xml:space="preserve">: </w:t>
      </w:r>
      <w:r w:rsidR="00AC363B" w:rsidRPr="001A700B">
        <w:rPr>
          <w:rFonts w:ascii="Arial" w:hAnsi="Arial"/>
        </w:rPr>
        <w:t xml:space="preserve"> </w:t>
      </w:r>
      <w:hyperlink r:id="rId22" w:history="1">
        <w:r w:rsidR="00AC363B" w:rsidRPr="001A700B">
          <w:rPr>
            <w:rStyle w:val="Hyperlink0"/>
            <w:sz w:val="22"/>
            <w:szCs w:val="22"/>
          </w:rPr>
          <w:t>https://www.barstandardsboard.org.uk/media/1472203/joint-academic-stage-board-handbook_-_nov_2012.pdf</w:t>
        </w:r>
      </w:hyperlink>
      <w:r w:rsidR="00AC363B" w:rsidRPr="001A700B">
        <w:rPr>
          <w:rFonts w:ascii="Arial" w:hAnsi="Arial"/>
        </w:rPr>
        <w:t xml:space="preserve"> </w:t>
      </w:r>
      <w:r w:rsidR="000474F7" w:rsidRPr="001A700B">
        <w:rPr>
          <w:rFonts w:ascii="Arial" w:hAnsi="Arial"/>
        </w:rPr>
        <w:t>[</w:t>
      </w:r>
      <w:r w:rsidR="005D6223" w:rsidRPr="001A700B">
        <w:rPr>
          <w:rFonts w:ascii="Arial" w:hAnsi="Arial"/>
        </w:rPr>
        <w:t xml:space="preserve">Accessed </w:t>
      </w:r>
      <w:r w:rsidR="008D2BA9" w:rsidRPr="001A700B">
        <w:rPr>
          <w:rFonts w:ascii="Arial" w:hAnsi="Arial"/>
        </w:rPr>
        <w:t>20th April 2019]</w:t>
      </w:r>
      <w:r w:rsidR="001A700B" w:rsidRPr="001A700B">
        <w:rPr>
          <w:rFonts w:ascii="Arial" w:hAnsi="Arial"/>
        </w:rPr>
        <w:t>.</w:t>
      </w:r>
    </w:p>
    <w:p w:rsidR="007C5ABA" w:rsidRPr="007C5ABA" w:rsidRDefault="007C5ABA" w:rsidP="000474F7">
      <w:pPr>
        <w:pStyle w:val="Body"/>
        <w:rPr>
          <w:rFonts w:ascii="Arial" w:hAnsi="Arial" w:cs="Arial"/>
        </w:rPr>
      </w:pPr>
      <w:r w:rsidRPr="007C5ABA">
        <w:rPr>
          <w:rFonts w:ascii="Arial" w:hAnsi="Arial" w:cs="Arial"/>
        </w:rPr>
        <w:t xml:space="preserve">LawCareers.Net (2019). Legal Apprenticeship Vacancies. Available from: </w:t>
      </w:r>
      <w:hyperlink r:id="rId23" w:history="1">
        <w:r w:rsidRPr="007C5ABA">
          <w:rPr>
            <w:rFonts w:ascii="Arial" w:eastAsia="Arial Unicode MS" w:hAnsi="Arial" w:cs="Arial"/>
            <w:color w:val="0000FF"/>
            <w:u w:val="single"/>
            <w:lang w:val="en-US" w:eastAsia="en-US"/>
          </w:rPr>
          <w:t>https://www.lawcareers.net/Starting-Out/Law-Apprenticeships-Guide/LegalApprenticeshipVacancies</w:t>
        </w:r>
      </w:hyperlink>
      <w:r w:rsidRPr="007C5ABA">
        <w:rPr>
          <w:rFonts w:ascii="Arial" w:eastAsia="Arial Unicode MS" w:hAnsi="Arial" w:cs="Arial"/>
          <w:color w:val="auto"/>
          <w:lang w:val="en-US" w:eastAsia="en-US"/>
        </w:rPr>
        <w:t>. [Accessed 10</w:t>
      </w:r>
      <w:r w:rsidRPr="007C5ABA">
        <w:rPr>
          <w:rFonts w:ascii="Arial" w:eastAsia="Arial Unicode MS" w:hAnsi="Arial" w:cs="Arial"/>
          <w:color w:val="auto"/>
          <w:vertAlign w:val="superscript"/>
          <w:lang w:val="en-US" w:eastAsia="en-US"/>
        </w:rPr>
        <w:t>th</w:t>
      </w:r>
      <w:r w:rsidRPr="007C5ABA">
        <w:rPr>
          <w:rFonts w:ascii="Arial" w:eastAsia="Arial Unicode MS" w:hAnsi="Arial" w:cs="Arial"/>
          <w:color w:val="auto"/>
          <w:lang w:val="en-US" w:eastAsia="en-US"/>
        </w:rPr>
        <w:t xml:space="preserve"> May 2019]</w:t>
      </w:r>
    </w:p>
    <w:p w:rsidR="00EC246A" w:rsidRPr="005154CE" w:rsidRDefault="00CC28AF" w:rsidP="00EC246A">
      <w:pPr>
        <w:pStyle w:val="FootnoteText"/>
        <w:rPr>
          <w:rFonts w:ascii="Arial" w:hAnsi="Arial" w:cs="Arial"/>
          <w:sz w:val="22"/>
          <w:szCs w:val="22"/>
        </w:rPr>
      </w:pPr>
      <w:r w:rsidRPr="005154CE">
        <w:rPr>
          <w:rFonts w:ascii="Arial" w:hAnsi="Arial" w:cs="Arial"/>
          <w:sz w:val="22"/>
          <w:szCs w:val="22"/>
        </w:rPr>
        <w:lastRenderedPageBreak/>
        <w:t>Law Society Gazette (2018</w:t>
      </w:r>
      <w:r w:rsidR="005E0441" w:rsidRPr="005154CE">
        <w:rPr>
          <w:rFonts w:ascii="Arial" w:hAnsi="Arial" w:cs="Arial"/>
          <w:sz w:val="22"/>
          <w:szCs w:val="22"/>
        </w:rPr>
        <w:t>a</w:t>
      </w:r>
      <w:r w:rsidR="00EC246A" w:rsidRPr="005154CE">
        <w:rPr>
          <w:rFonts w:ascii="Arial" w:hAnsi="Arial" w:cs="Arial"/>
          <w:sz w:val="22"/>
          <w:szCs w:val="22"/>
        </w:rPr>
        <w:t xml:space="preserve">) See </w:t>
      </w:r>
      <w:hyperlink r:id="rId24" w:history="1">
        <w:r w:rsidR="00EC246A" w:rsidRPr="005154CE">
          <w:rPr>
            <w:rStyle w:val="Hyperlink0"/>
            <w:sz w:val="22"/>
            <w:szCs w:val="22"/>
          </w:rPr>
          <w:t>https://www.lawgazette.co.uk/law/firms-ponder-city-specific-training-to-prepare-for-super-exam/5068012.article</w:t>
        </w:r>
      </w:hyperlink>
      <w:r w:rsidR="005154CE">
        <w:rPr>
          <w:rFonts w:ascii="Arial" w:hAnsi="Arial" w:cs="Arial"/>
          <w:sz w:val="22"/>
          <w:szCs w:val="22"/>
        </w:rPr>
        <w:t>. [Accessed 12th May 2019]</w:t>
      </w:r>
    </w:p>
    <w:p w:rsidR="007366E0" w:rsidRDefault="007366E0" w:rsidP="003D45C6">
      <w:pPr>
        <w:pStyle w:val="NoSpacing"/>
      </w:pPr>
    </w:p>
    <w:p w:rsidR="005E0441" w:rsidRPr="00F52881" w:rsidRDefault="005E0441" w:rsidP="000474F7">
      <w:pPr>
        <w:pStyle w:val="Body"/>
        <w:rPr>
          <w:rFonts w:ascii="Arial" w:hAnsi="Arial" w:cs="Arial"/>
        </w:rPr>
      </w:pPr>
      <w:r w:rsidRPr="00F52881">
        <w:rPr>
          <w:rFonts w:ascii="Arial" w:hAnsi="Arial" w:cs="Arial"/>
        </w:rPr>
        <w:t xml:space="preserve">Law Society Gazette (2018b) </w:t>
      </w:r>
      <w:hyperlink r:id="rId25" w:history="1">
        <w:r w:rsidRPr="00F52881">
          <w:rPr>
            <w:rFonts w:ascii="Arial" w:eastAsia="Arial Unicode MS" w:hAnsi="Arial" w:cs="Arial"/>
            <w:color w:val="0000FF"/>
            <w:u w:val="single"/>
            <w:lang w:val="en-US" w:eastAsia="en-US"/>
          </w:rPr>
          <w:t>https://www.lawgazette.co.uk/law/super-exam-provider-revealed-but-costs-still-unknown/5067132.article</w:t>
        </w:r>
      </w:hyperlink>
    </w:p>
    <w:p w:rsidR="00F52881" w:rsidRPr="006E408C" w:rsidRDefault="00F52881" w:rsidP="000474F7">
      <w:pPr>
        <w:pStyle w:val="Body"/>
        <w:rPr>
          <w:rFonts w:ascii="Arial" w:hAnsi="Arial" w:cs="Arial"/>
        </w:rPr>
      </w:pPr>
      <w:r w:rsidRPr="00F52881">
        <w:rPr>
          <w:rFonts w:ascii="Arial" w:hAnsi="Arial" w:cs="Arial"/>
        </w:rPr>
        <w:t xml:space="preserve">Law Society Gazette (2019), Society exposes ‘catastrophic’ advice deserts. Available from: </w:t>
      </w:r>
      <w:hyperlink r:id="rId26" w:history="1">
        <w:r w:rsidRPr="006E408C">
          <w:rPr>
            <w:rFonts w:ascii="Arial" w:eastAsia="Arial Unicode MS" w:hAnsi="Arial" w:cs="Arial"/>
            <w:color w:val="0000FF"/>
            <w:u w:val="single"/>
            <w:lang w:val="en-US" w:eastAsia="en-US"/>
          </w:rPr>
          <w:t>https://www.lawgazette.co.uk/practice/society-exposes-catastrophic-housing-advice-deserts/5070051.article</w:t>
        </w:r>
      </w:hyperlink>
      <w:r w:rsidRPr="006E408C">
        <w:rPr>
          <w:rFonts w:ascii="Arial" w:eastAsia="Arial Unicode MS" w:hAnsi="Arial" w:cs="Arial"/>
          <w:color w:val="auto"/>
          <w:lang w:val="en-US" w:eastAsia="en-US"/>
        </w:rPr>
        <w:t>. [Accessed on 10</w:t>
      </w:r>
      <w:r w:rsidRPr="006E408C">
        <w:rPr>
          <w:rFonts w:ascii="Arial" w:eastAsia="Arial Unicode MS" w:hAnsi="Arial" w:cs="Arial"/>
          <w:color w:val="auto"/>
          <w:vertAlign w:val="superscript"/>
          <w:lang w:val="en-US" w:eastAsia="en-US"/>
        </w:rPr>
        <w:t>th</w:t>
      </w:r>
      <w:r w:rsidRPr="006E408C">
        <w:rPr>
          <w:rFonts w:ascii="Arial" w:eastAsia="Arial Unicode MS" w:hAnsi="Arial" w:cs="Arial"/>
          <w:color w:val="auto"/>
          <w:lang w:val="en-US" w:eastAsia="en-US"/>
        </w:rPr>
        <w:t xml:space="preserve"> May 2019]</w:t>
      </w:r>
    </w:p>
    <w:p w:rsidR="006E408C" w:rsidRPr="006E408C" w:rsidRDefault="006E408C" w:rsidP="006E408C">
      <w:pPr>
        <w:pStyle w:val="Body"/>
        <w:rPr>
          <w:rFonts w:ascii="Arial" w:hAnsi="Arial" w:cs="Arial"/>
        </w:rPr>
      </w:pPr>
      <w:r w:rsidRPr="006E408C">
        <w:rPr>
          <w:rFonts w:ascii="Arial" w:hAnsi="Arial" w:cs="Arial"/>
        </w:rPr>
        <w:t xml:space="preserve">Legal Services Board (2011). Annual Report and Accounts, p5, Available from: </w:t>
      </w:r>
      <w:hyperlink r:id="rId27" w:history="1">
        <w:r w:rsidRPr="006E408C">
          <w:rPr>
            <w:rStyle w:val="Hyperlink"/>
            <w:rFonts w:ascii="Arial" w:hAnsi="Arial" w:cs="Arial"/>
          </w:rPr>
          <w:t>https://assets.publishing.service.gov.uk/government/uploads/system/uploads/attachment_data/file/247574/1056.pdf</w:t>
        </w:r>
      </w:hyperlink>
      <w:r w:rsidRPr="006E408C">
        <w:rPr>
          <w:rFonts w:ascii="Arial" w:hAnsi="Arial" w:cs="Arial"/>
        </w:rPr>
        <w:t xml:space="preserve"> [Accessed 12th May 2019].</w:t>
      </w:r>
    </w:p>
    <w:p w:rsidR="00F52881" w:rsidRPr="00F52881" w:rsidRDefault="00B0607D" w:rsidP="000474F7">
      <w:pPr>
        <w:pStyle w:val="Body"/>
        <w:rPr>
          <w:rFonts w:ascii="Arial" w:hAnsi="Arial" w:cs="Arial"/>
        </w:rPr>
      </w:pPr>
      <w:r w:rsidRPr="006E408C">
        <w:rPr>
          <w:rFonts w:ascii="Arial" w:hAnsi="Arial" w:cs="Arial"/>
        </w:rPr>
        <w:t xml:space="preserve">Legal Services Board (2018). </w:t>
      </w:r>
      <w:r w:rsidR="006E408C" w:rsidRPr="006E408C">
        <w:rPr>
          <w:rFonts w:ascii="Arial" w:hAnsi="Arial" w:cs="Arial"/>
        </w:rPr>
        <w:t xml:space="preserve">Legal Services Board approves framework for SRA’s new admission requirements for Solicitors. </w:t>
      </w:r>
      <w:r w:rsidRPr="006E408C">
        <w:rPr>
          <w:rFonts w:ascii="Arial" w:hAnsi="Arial" w:cs="Arial"/>
        </w:rPr>
        <w:t xml:space="preserve">Available from: </w:t>
      </w:r>
      <w:hyperlink r:id="rId28" w:history="1">
        <w:r w:rsidRPr="006E408C">
          <w:rPr>
            <w:rFonts w:ascii="Arial" w:eastAsia="Arial Unicode MS" w:hAnsi="Arial" w:cs="Arial"/>
            <w:color w:val="0000FF"/>
            <w:u w:val="single"/>
            <w:lang w:val="en-US" w:eastAsia="en-US"/>
          </w:rPr>
          <w:t>https://www.legalservicesboard.org.uk/news_publications/LSB_news/PDF/2018/20180327LSB_Approves_SRA_SQE_Application.html</w:t>
        </w:r>
      </w:hyperlink>
      <w:r w:rsidR="006E408C" w:rsidRPr="006E408C">
        <w:rPr>
          <w:rFonts w:ascii="Arial" w:hAnsi="Arial" w:cs="Arial"/>
        </w:rPr>
        <w:t xml:space="preserve"> [Accessed 10th May 2019]</w:t>
      </w:r>
    </w:p>
    <w:p w:rsidR="00785F8B" w:rsidRPr="00785F8B" w:rsidRDefault="00785F8B" w:rsidP="00963D85">
      <w:pPr>
        <w:pStyle w:val="FootnoteText"/>
        <w:rPr>
          <w:rFonts w:ascii="Arial" w:hAnsi="Arial" w:cs="Arial"/>
          <w:sz w:val="22"/>
          <w:szCs w:val="22"/>
          <w:lang w:val="en-GB"/>
        </w:rPr>
      </w:pPr>
      <w:r w:rsidRPr="00785F8B">
        <w:rPr>
          <w:rFonts w:ascii="Arial" w:hAnsi="Arial" w:cs="Arial"/>
          <w:sz w:val="22"/>
          <w:szCs w:val="22"/>
          <w:lang w:val="en-GB"/>
        </w:rPr>
        <w:t xml:space="preserve">Legal Services Consumer Panel (2010). Quality in Legal Services. Available from: </w:t>
      </w:r>
      <w:hyperlink r:id="rId29" w:history="1">
        <w:r w:rsidRPr="00785F8B">
          <w:rPr>
            <w:rFonts w:ascii="Arial" w:eastAsia="Arial Unicode MS" w:hAnsi="Arial" w:cs="Arial"/>
            <w:color w:val="0000FF"/>
            <w:sz w:val="22"/>
            <w:szCs w:val="22"/>
            <w:u w:val="single"/>
            <w:lang w:eastAsia="en-US"/>
          </w:rPr>
          <w:t>http://www.legalservicesconsumerpanel.org.uk/publications/research_and_reports/documents/ConsumerPanel_QualityinLegalServicesReport_Final.pdf</w:t>
        </w:r>
      </w:hyperlink>
      <w:r w:rsidRPr="00785F8B">
        <w:rPr>
          <w:rFonts w:ascii="Arial" w:eastAsia="Arial Unicode MS" w:hAnsi="Arial" w:cs="Arial"/>
          <w:color w:val="auto"/>
          <w:sz w:val="22"/>
          <w:szCs w:val="22"/>
          <w:lang w:eastAsia="en-US"/>
        </w:rPr>
        <w:t>. [Accessed 10</w:t>
      </w:r>
      <w:r w:rsidRPr="00785F8B">
        <w:rPr>
          <w:rFonts w:ascii="Arial" w:eastAsia="Arial Unicode MS" w:hAnsi="Arial" w:cs="Arial"/>
          <w:color w:val="auto"/>
          <w:sz w:val="22"/>
          <w:szCs w:val="22"/>
          <w:vertAlign w:val="superscript"/>
          <w:lang w:eastAsia="en-US"/>
        </w:rPr>
        <w:t>th</w:t>
      </w:r>
      <w:r w:rsidRPr="00785F8B">
        <w:rPr>
          <w:rFonts w:ascii="Arial" w:eastAsia="Arial Unicode MS" w:hAnsi="Arial" w:cs="Arial"/>
          <w:color w:val="auto"/>
          <w:sz w:val="22"/>
          <w:szCs w:val="22"/>
          <w:lang w:eastAsia="en-US"/>
        </w:rPr>
        <w:t xml:space="preserve"> May 2019]</w:t>
      </w:r>
    </w:p>
    <w:p w:rsidR="00785F8B" w:rsidRPr="00785F8B" w:rsidRDefault="00785F8B" w:rsidP="00963D85">
      <w:pPr>
        <w:pStyle w:val="FootnoteText"/>
        <w:rPr>
          <w:rFonts w:ascii="Arial" w:hAnsi="Arial" w:cs="Arial"/>
          <w:sz w:val="22"/>
          <w:szCs w:val="22"/>
          <w:lang w:val="en-GB"/>
        </w:rPr>
      </w:pPr>
    </w:p>
    <w:p w:rsidR="00963D85" w:rsidRPr="00785F8B" w:rsidRDefault="00963D85" w:rsidP="00963D85">
      <w:pPr>
        <w:pStyle w:val="FootnoteText"/>
        <w:rPr>
          <w:rFonts w:ascii="Arial" w:hAnsi="Arial" w:cs="Arial"/>
          <w:sz w:val="22"/>
          <w:szCs w:val="22"/>
          <w:lang w:val="en-GB"/>
        </w:rPr>
      </w:pPr>
      <w:r w:rsidRPr="00785F8B">
        <w:rPr>
          <w:rFonts w:ascii="Arial" w:hAnsi="Arial" w:cs="Arial"/>
          <w:sz w:val="22"/>
          <w:szCs w:val="22"/>
          <w:lang w:val="en-GB"/>
        </w:rPr>
        <w:t>Maharg P (2016), Transforming Legal Education: Learning and Teaching in the Early Twenty-first Century, Routledge, 2016</w:t>
      </w:r>
    </w:p>
    <w:p w:rsidR="00EF6F89" w:rsidRPr="00EF6F89" w:rsidRDefault="00EF6F89" w:rsidP="00963D85">
      <w:pPr>
        <w:pStyle w:val="FootnoteText"/>
        <w:rPr>
          <w:rFonts w:ascii="Arial" w:hAnsi="Arial" w:cs="Arial"/>
          <w:sz w:val="22"/>
          <w:szCs w:val="22"/>
          <w:lang w:val="en-GB"/>
        </w:rPr>
      </w:pPr>
    </w:p>
    <w:p w:rsidR="00EF6F89" w:rsidRPr="00EF6F89" w:rsidRDefault="00EF6F89" w:rsidP="00963D85">
      <w:pPr>
        <w:pStyle w:val="FootnoteText"/>
        <w:rPr>
          <w:rFonts w:ascii="Arial" w:hAnsi="Arial" w:cs="Arial"/>
          <w:sz w:val="22"/>
          <w:szCs w:val="22"/>
          <w:lang w:val="en-GB"/>
        </w:rPr>
      </w:pPr>
      <w:r w:rsidRPr="00EF6F89">
        <w:rPr>
          <w:rFonts w:ascii="Arial" w:hAnsi="Arial" w:cs="Arial"/>
          <w:sz w:val="22"/>
          <w:szCs w:val="22"/>
          <w:lang w:val="en-GB"/>
        </w:rPr>
        <w:t xml:space="preserve">Maharg P (2019), Simulated Client Initiative, Available from: </w:t>
      </w:r>
      <w:hyperlink r:id="rId30" w:history="1">
        <w:r w:rsidRPr="00EF6F89">
          <w:rPr>
            <w:rFonts w:ascii="Arial" w:eastAsia="Arial Unicode MS" w:hAnsi="Arial" w:cs="Arial"/>
            <w:color w:val="0000FF"/>
            <w:sz w:val="22"/>
            <w:szCs w:val="22"/>
            <w:u w:val="single"/>
            <w:lang w:eastAsia="en-US"/>
          </w:rPr>
          <w:t>http://paulmaharg.com/tag/simulated-client-initiative/</w:t>
        </w:r>
      </w:hyperlink>
      <w:r w:rsidRPr="00EF6F89">
        <w:rPr>
          <w:rFonts w:ascii="Arial" w:eastAsia="Arial Unicode MS" w:hAnsi="Arial" w:cs="Arial"/>
          <w:color w:val="auto"/>
          <w:sz w:val="22"/>
          <w:szCs w:val="22"/>
          <w:lang w:eastAsia="en-US"/>
        </w:rPr>
        <w:t xml:space="preserve"> [Accessed 10</w:t>
      </w:r>
      <w:r w:rsidRPr="00EF6F89">
        <w:rPr>
          <w:rFonts w:ascii="Arial" w:eastAsia="Arial Unicode MS" w:hAnsi="Arial" w:cs="Arial"/>
          <w:color w:val="auto"/>
          <w:sz w:val="22"/>
          <w:szCs w:val="22"/>
          <w:vertAlign w:val="superscript"/>
          <w:lang w:eastAsia="en-US"/>
        </w:rPr>
        <w:t>th</w:t>
      </w:r>
      <w:r w:rsidRPr="00EF6F89">
        <w:rPr>
          <w:rFonts w:ascii="Arial" w:eastAsia="Arial Unicode MS" w:hAnsi="Arial" w:cs="Arial"/>
          <w:color w:val="auto"/>
          <w:sz w:val="22"/>
          <w:szCs w:val="22"/>
          <w:lang w:eastAsia="en-US"/>
        </w:rPr>
        <w:t xml:space="preserve"> May 2019]</w:t>
      </w:r>
    </w:p>
    <w:p w:rsidR="008D0BF0" w:rsidRPr="00EF6F89" w:rsidRDefault="008D0BF0" w:rsidP="00963D85">
      <w:pPr>
        <w:pStyle w:val="FootnoteText"/>
        <w:rPr>
          <w:rFonts w:ascii="Arial" w:hAnsi="Arial" w:cs="Arial"/>
          <w:sz w:val="22"/>
          <w:szCs w:val="22"/>
          <w:lang w:val="en-GB"/>
        </w:rPr>
      </w:pPr>
    </w:p>
    <w:p w:rsidR="00462675" w:rsidRDefault="00462675" w:rsidP="00462675">
      <w:pPr>
        <w:pStyle w:val="PlainText"/>
        <w:rPr>
          <w:rFonts w:ascii="Arial" w:hAnsi="Arial" w:cs="Arial"/>
        </w:rPr>
      </w:pPr>
      <w:r w:rsidRPr="00462675">
        <w:rPr>
          <w:rFonts w:ascii="Arial" w:hAnsi="Arial" w:cs="Arial"/>
          <w:szCs w:val="22"/>
        </w:rPr>
        <w:t>Mason</w:t>
      </w:r>
      <w:r w:rsidR="00230603">
        <w:rPr>
          <w:rFonts w:ascii="Arial" w:hAnsi="Arial" w:cs="Arial"/>
          <w:szCs w:val="22"/>
        </w:rPr>
        <w:t>,</w:t>
      </w:r>
      <w:r w:rsidRPr="00462675">
        <w:rPr>
          <w:rFonts w:ascii="Arial" w:hAnsi="Arial" w:cs="Arial"/>
          <w:szCs w:val="22"/>
        </w:rPr>
        <w:t xml:space="preserve"> L</w:t>
      </w:r>
      <w:r w:rsidR="00230603">
        <w:rPr>
          <w:rFonts w:ascii="Arial" w:hAnsi="Arial" w:cs="Arial"/>
          <w:szCs w:val="22"/>
        </w:rPr>
        <w:t>.</w:t>
      </w:r>
      <w:r w:rsidRPr="00462675">
        <w:rPr>
          <w:rFonts w:ascii="Arial" w:hAnsi="Arial" w:cs="Arial"/>
          <w:szCs w:val="22"/>
        </w:rPr>
        <w:t xml:space="preserve"> (2018), </w:t>
      </w:r>
      <w:r w:rsidRPr="00462675">
        <w:rPr>
          <w:rFonts w:ascii="Arial" w:hAnsi="Arial" w:cs="Arial"/>
        </w:rPr>
        <w:t xml:space="preserve">SQEezing the jurisprudence out of the SRA’s super exam: the SQE’s Bleak Legal Realism and the rejection of law’s multimodal truth Luke Mason, The Law Teacher, 52:4, 409-424, DOI: 10.1080/03069400.2018.1532170 </w:t>
      </w:r>
    </w:p>
    <w:p w:rsidR="00462675" w:rsidRDefault="00462675" w:rsidP="00963D85">
      <w:pPr>
        <w:pStyle w:val="FootnoteText"/>
        <w:rPr>
          <w:rFonts w:ascii="Arial" w:hAnsi="Arial" w:cs="Arial"/>
          <w:sz w:val="22"/>
          <w:szCs w:val="22"/>
          <w:lang w:val="en-GB"/>
        </w:rPr>
      </w:pPr>
    </w:p>
    <w:p w:rsidR="008D0BF0" w:rsidRPr="008D0BF0" w:rsidRDefault="008D0BF0" w:rsidP="008D0BF0">
      <w:pPr>
        <w:pStyle w:val="PlainText"/>
        <w:rPr>
          <w:rFonts w:ascii="Arial" w:hAnsi="Arial" w:cs="Arial"/>
        </w:rPr>
      </w:pPr>
      <w:r w:rsidRPr="008D0BF0">
        <w:rPr>
          <w:rFonts w:ascii="Arial" w:hAnsi="Arial" w:cs="Arial"/>
          <w:szCs w:val="22"/>
        </w:rPr>
        <w:t>Mason</w:t>
      </w:r>
      <w:r w:rsidR="00230603">
        <w:rPr>
          <w:rFonts w:ascii="Arial" w:hAnsi="Arial" w:cs="Arial"/>
          <w:szCs w:val="22"/>
        </w:rPr>
        <w:t>,</w:t>
      </w:r>
      <w:r w:rsidRPr="008D0BF0">
        <w:rPr>
          <w:rFonts w:ascii="Arial" w:hAnsi="Arial" w:cs="Arial"/>
          <w:szCs w:val="22"/>
        </w:rPr>
        <w:t xml:space="preserve"> L</w:t>
      </w:r>
      <w:r w:rsidR="00230603">
        <w:rPr>
          <w:rFonts w:ascii="Arial" w:hAnsi="Arial" w:cs="Arial"/>
          <w:szCs w:val="22"/>
        </w:rPr>
        <w:t>. and</w:t>
      </w:r>
      <w:r w:rsidRPr="008D0BF0">
        <w:rPr>
          <w:rFonts w:ascii="Arial" w:hAnsi="Arial" w:cs="Arial"/>
          <w:szCs w:val="22"/>
        </w:rPr>
        <w:t xml:space="preserve"> Guss</w:t>
      </w:r>
      <w:r w:rsidR="00230603">
        <w:rPr>
          <w:rFonts w:ascii="Arial" w:hAnsi="Arial" w:cs="Arial"/>
          <w:szCs w:val="22"/>
        </w:rPr>
        <w:t xml:space="preserve">, J. (2018), </w:t>
      </w:r>
      <w:r w:rsidRPr="008D0BF0">
        <w:rPr>
          <w:rFonts w:ascii="Arial" w:hAnsi="Arial" w:cs="Arial"/>
        </w:rPr>
        <w:t>Re-claiming our disci</w:t>
      </w:r>
      <w:r w:rsidR="00230603">
        <w:rPr>
          <w:rFonts w:ascii="Arial" w:hAnsi="Arial" w:cs="Arial"/>
        </w:rPr>
        <w:t xml:space="preserve">pline Luke Mason &amp; Jessica Guth, </w:t>
      </w:r>
      <w:r w:rsidRPr="008D0BF0">
        <w:rPr>
          <w:rFonts w:ascii="Arial" w:hAnsi="Arial" w:cs="Arial"/>
        </w:rPr>
        <w:t xml:space="preserve">The Law Teacher, 52:4, 379-383, DOI: 10.1080/03069400.2018.1533163 </w:t>
      </w:r>
    </w:p>
    <w:p w:rsidR="008D0BF0" w:rsidRPr="00965266" w:rsidRDefault="008D0BF0" w:rsidP="00963D85">
      <w:pPr>
        <w:pStyle w:val="FootnoteText"/>
        <w:rPr>
          <w:rFonts w:ascii="Arial" w:hAnsi="Arial" w:cs="Arial"/>
          <w:sz w:val="22"/>
          <w:szCs w:val="22"/>
          <w:lang w:val="en-GB"/>
        </w:rPr>
      </w:pPr>
    </w:p>
    <w:p w:rsidR="00965266" w:rsidRPr="00965266" w:rsidRDefault="00965266" w:rsidP="00963D85">
      <w:pPr>
        <w:pStyle w:val="FootnoteText"/>
        <w:rPr>
          <w:rFonts w:ascii="Arial" w:hAnsi="Arial" w:cs="Arial"/>
          <w:sz w:val="22"/>
          <w:szCs w:val="22"/>
          <w:lang w:val="en-GB"/>
        </w:rPr>
      </w:pPr>
      <w:r w:rsidRPr="00965266">
        <w:rPr>
          <w:rFonts w:ascii="Arial" w:hAnsi="Arial" w:cs="Arial"/>
          <w:sz w:val="22"/>
          <w:szCs w:val="22"/>
          <w:lang w:val="en-GB"/>
        </w:rPr>
        <w:t xml:space="preserve">Mason, S. (2019), Independent Review of Legal Services Regulation: The Structure of Legal Services Regulation, Working Paper LSR-4, UCL Centre for Ethics and Law. Available from: </w:t>
      </w:r>
      <w:hyperlink r:id="rId31" w:history="1">
        <w:r w:rsidRPr="00965266">
          <w:rPr>
            <w:rFonts w:ascii="Arial" w:eastAsia="Arial Unicode MS" w:hAnsi="Arial" w:cs="Arial"/>
            <w:color w:val="0000FF"/>
            <w:sz w:val="22"/>
            <w:szCs w:val="22"/>
            <w:u w:val="single"/>
            <w:lang w:eastAsia="en-US"/>
          </w:rPr>
          <w:t>https://www.ucl.ac.uk/ethics-law/sites/ethics-law/files/2._irlsr_wp_lsr-2_scope_1810_0.pdf</w:t>
        </w:r>
      </w:hyperlink>
      <w:r w:rsidRPr="00965266">
        <w:rPr>
          <w:rFonts w:ascii="Arial" w:eastAsia="Arial Unicode MS" w:hAnsi="Arial" w:cs="Arial"/>
          <w:color w:val="auto"/>
          <w:sz w:val="22"/>
          <w:szCs w:val="22"/>
          <w:lang w:eastAsia="en-US"/>
        </w:rPr>
        <w:t>. [Accessed 6</w:t>
      </w:r>
      <w:r w:rsidRPr="00965266">
        <w:rPr>
          <w:rFonts w:ascii="Arial" w:eastAsia="Arial Unicode MS" w:hAnsi="Arial" w:cs="Arial"/>
          <w:color w:val="auto"/>
          <w:sz w:val="22"/>
          <w:szCs w:val="22"/>
          <w:vertAlign w:val="superscript"/>
          <w:lang w:eastAsia="en-US"/>
        </w:rPr>
        <w:t>th</w:t>
      </w:r>
      <w:r w:rsidRPr="00965266">
        <w:rPr>
          <w:rFonts w:ascii="Arial" w:eastAsia="Arial Unicode MS" w:hAnsi="Arial" w:cs="Arial"/>
          <w:color w:val="auto"/>
          <w:sz w:val="22"/>
          <w:szCs w:val="22"/>
          <w:lang w:eastAsia="en-US"/>
        </w:rPr>
        <w:t xml:space="preserve"> June 2019]</w:t>
      </w:r>
    </w:p>
    <w:p w:rsidR="00965266" w:rsidRDefault="00965266" w:rsidP="00963D85">
      <w:pPr>
        <w:pStyle w:val="FootnoteText"/>
        <w:rPr>
          <w:rFonts w:ascii="Arial" w:hAnsi="Arial" w:cs="Arial"/>
          <w:sz w:val="22"/>
          <w:szCs w:val="22"/>
          <w:lang w:val="en-GB"/>
        </w:rPr>
      </w:pPr>
    </w:p>
    <w:p w:rsidR="0069447B" w:rsidRPr="0069447B" w:rsidRDefault="0069447B" w:rsidP="0069447B">
      <w:pPr>
        <w:rPr>
          <w:rFonts w:ascii="Arial" w:hAnsi="Arial" w:cs="Arial"/>
          <w:color w:val="000000"/>
          <w:sz w:val="22"/>
          <w:szCs w:val="22"/>
        </w:rPr>
      </w:pPr>
      <w:r>
        <w:rPr>
          <w:rFonts w:ascii="Arial" w:hAnsi="Arial" w:cs="Arial"/>
          <w:color w:val="000000"/>
          <w:sz w:val="22"/>
          <w:szCs w:val="22"/>
        </w:rPr>
        <w:t>Mason, S.,</w:t>
      </w:r>
      <w:r w:rsidRPr="0069447B">
        <w:rPr>
          <w:rFonts w:ascii="Arial" w:hAnsi="Arial" w:cs="Arial"/>
          <w:color w:val="000000"/>
          <w:sz w:val="22"/>
          <w:szCs w:val="22"/>
        </w:rPr>
        <w:t xml:space="preserve"> Marley, O</w:t>
      </w:r>
      <w:r>
        <w:rPr>
          <w:rFonts w:ascii="Arial" w:hAnsi="Arial" w:cs="Arial"/>
          <w:color w:val="000000"/>
          <w:sz w:val="22"/>
          <w:szCs w:val="22"/>
        </w:rPr>
        <w:t>.</w:t>
      </w:r>
      <w:r w:rsidRPr="0069447B">
        <w:rPr>
          <w:rFonts w:ascii="Arial" w:hAnsi="Arial" w:cs="Arial"/>
          <w:color w:val="000000"/>
          <w:sz w:val="22"/>
          <w:szCs w:val="22"/>
        </w:rPr>
        <w:t xml:space="preserve"> and Dunn, S</w:t>
      </w:r>
      <w:r>
        <w:rPr>
          <w:rFonts w:ascii="Arial" w:hAnsi="Arial" w:cs="Arial"/>
          <w:color w:val="000000"/>
          <w:sz w:val="22"/>
          <w:szCs w:val="22"/>
        </w:rPr>
        <w:t>.</w:t>
      </w:r>
      <w:r w:rsidRPr="0069447B">
        <w:rPr>
          <w:rFonts w:ascii="Arial" w:hAnsi="Arial" w:cs="Arial"/>
          <w:color w:val="000000"/>
          <w:sz w:val="22"/>
          <w:szCs w:val="22"/>
        </w:rPr>
        <w:t xml:space="preserve"> (2012), Improving Accessed to Justice: Scop</w:t>
      </w:r>
      <w:r>
        <w:rPr>
          <w:rFonts w:ascii="Arial" w:hAnsi="Arial" w:cs="Arial"/>
          <w:color w:val="000000"/>
          <w:sz w:val="22"/>
          <w:szCs w:val="22"/>
        </w:rPr>
        <w:t>e of the Regulatory Objective; Available from:</w:t>
      </w:r>
    </w:p>
    <w:p w:rsidR="0069447B" w:rsidRPr="0069447B" w:rsidRDefault="00B54B37" w:rsidP="0069447B">
      <w:pPr>
        <w:rPr>
          <w:rFonts w:ascii="Arial" w:hAnsi="Arial" w:cs="Arial"/>
          <w:color w:val="000000"/>
          <w:sz w:val="22"/>
          <w:szCs w:val="22"/>
        </w:rPr>
      </w:pPr>
      <w:hyperlink r:id="rId32" w:tgtFrame="_blank" w:history="1">
        <w:r w:rsidR="0069447B" w:rsidRPr="0069447B">
          <w:rPr>
            <w:rStyle w:val="Hyperlink"/>
            <w:rFonts w:ascii="Arial" w:hAnsi="Arial" w:cs="Arial"/>
            <w:sz w:val="22"/>
            <w:szCs w:val="22"/>
          </w:rPr>
          <w:t>https://stephenmayson.files.wordpress.com/2013/08/mayson-marley-dunn-2012-access-to-justice.pdf</w:t>
        </w:r>
      </w:hyperlink>
      <w:r w:rsidR="0069447B">
        <w:rPr>
          <w:rFonts w:ascii="Arial" w:hAnsi="Arial" w:cs="Arial"/>
          <w:color w:val="000000"/>
          <w:sz w:val="22"/>
          <w:szCs w:val="22"/>
        </w:rPr>
        <w:t xml:space="preserve"> [Accessed 12th May 2019].</w:t>
      </w:r>
    </w:p>
    <w:p w:rsidR="0069447B" w:rsidRPr="0069447B" w:rsidRDefault="0069447B" w:rsidP="0069447B">
      <w:pPr>
        <w:rPr>
          <w:rFonts w:ascii="Arial" w:hAnsi="Arial" w:cs="Arial"/>
          <w:color w:val="000000"/>
          <w:sz w:val="22"/>
          <w:szCs w:val="22"/>
        </w:rPr>
      </w:pPr>
    </w:p>
    <w:p w:rsidR="00B355B4" w:rsidRDefault="00D979A6" w:rsidP="00B355B4">
      <w:pPr>
        <w:pStyle w:val="PlainText"/>
        <w:rPr>
          <w:rFonts w:ascii="Arial" w:hAnsi="Arial" w:cs="Arial"/>
          <w:szCs w:val="22"/>
        </w:rPr>
      </w:pPr>
      <w:r w:rsidRPr="00D979A6">
        <w:rPr>
          <w:rFonts w:ascii="Arial" w:hAnsi="Arial" w:cs="Arial"/>
          <w:szCs w:val="22"/>
        </w:rPr>
        <w:t>Morrison</w:t>
      </w:r>
      <w:r w:rsidR="00230603">
        <w:rPr>
          <w:rFonts w:ascii="Arial" w:hAnsi="Arial" w:cs="Arial"/>
          <w:szCs w:val="22"/>
        </w:rPr>
        <w:t>, D. (2018),</w:t>
      </w:r>
      <w:r w:rsidRPr="00D979A6">
        <w:rPr>
          <w:rFonts w:ascii="Arial" w:hAnsi="Arial" w:cs="Arial"/>
          <w:szCs w:val="22"/>
        </w:rPr>
        <w:t xml:space="preserve"> The SQE and creativity: a race to the bottom? Doug Morrison, The Law Teacher, 52:4, 467-477, DOI: 10.1080/03069400.2018.</w:t>
      </w:r>
    </w:p>
    <w:p w:rsidR="00B355B4" w:rsidRDefault="00B355B4" w:rsidP="00B355B4">
      <w:pPr>
        <w:pStyle w:val="PlainText"/>
        <w:rPr>
          <w:rFonts w:ascii="Arial" w:hAnsi="Arial" w:cs="Arial"/>
          <w:szCs w:val="22"/>
        </w:rPr>
      </w:pPr>
    </w:p>
    <w:p w:rsidR="003D45C6" w:rsidRPr="00B355B4" w:rsidRDefault="00B355B4" w:rsidP="00B355B4">
      <w:pPr>
        <w:pStyle w:val="PlainText"/>
        <w:rPr>
          <w:rFonts w:ascii="Arial" w:hAnsi="Arial" w:cs="Arial"/>
          <w:szCs w:val="22"/>
        </w:rPr>
      </w:pPr>
      <w:r w:rsidRPr="00B355B4">
        <w:rPr>
          <w:rFonts w:ascii="Arial" w:eastAsia="Times New Roman" w:hAnsi="Arial" w:cs="Arial"/>
          <w:color w:val="121212"/>
          <w:kern w:val="36"/>
          <w:szCs w:val="22"/>
          <w:lang w:eastAsia="en-GB"/>
        </w:rPr>
        <w:t xml:space="preserve">Observer (2017), Ministers ‘undermined law’ over Iraq war crimes allegations, </w:t>
      </w:r>
      <w:r w:rsidRPr="00B355B4">
        <w:rPr>
          <w:rFonts w:ascii="Arial" w:hAnsi="Arial" w:cs="Arial"/>
          <w:szCs w:val="22"/>
        </w:rPr>
        <w:t>Available from:</w:t>
      </w:r>
      <w:r w:rsidRPr="00B355B4">
        <w:rPr>
          <w:rFonts w:ascii="Arial" w:eastAsia="Arial Unicode MS" w:hAnsi="Arial" w:cs="Arial"/>
          <w:szCs w:val="22"/>
          <w:bdr w:val="nil"/>
          <w:lang w:val="en-US"/>
        </w:rPr>
        <w:t xml:space="preserve"> </w:t>
      </w:r>
      <w:hyperlink r:id="rId33" w:history="1">
        <w:r w:rsidRPr="00B355B4">
          <w:rPr>
            <w:rFonts w:ascii="Arial" w:eastAsia="Arial Unicode MS" w:hAnsi="Arial" w:cs="Arial"/>
            <w:color w:val="0000FF"/>
            <w:szCs w:val="22"/>
            <w:u w:val="single"/>
            <w:bdr w:val="nil"/>
            <w:lang w:val="en-US"/>
          </w:rPr>
          <w:t>https://www.theguardian.com/law/2017/jul/22/iraq-war-crimes-ministry-of-defence</w:t>
        </w:r>
      </w:hyperlink>
      <w:r w:rsidRPr="00B355B4">
        <w:rPr>
          <w:rFonts w:ascii="Arial" w:eastAsia="Arial Unicode MS" w:hAnsi="Arial" w:cs="Arial"/>
          <w:szCs w:val="22"/>
          <w:bdr w:val="nil"/>
          <w:lang w:val="en-US"/>
        </w:rPr>
        <w:t>. [Accessed 6</w:t>
      </w:r>
      <w:r w:rsidRPr="00B355B4">
        <w:rPr>
          <w:rFonts w:ascii="Arial" w:eastAsia="Arial Unicode MS" w:hAnsi="Arial" w:cs="Arial"/>
          <w:szCs w:val="22"/>
          <w:bdr w:val="nil"/>
          <w:vertAlign w:val="superscript"/>
          <w:lang w:val="en-US"/>
        </w:rPr>
        <w:t>th</w:t>
      </w:r>
      <w:r w:rsidRPr="00B355B4">
        <w:rPr>
          <w:rFonts w:ascii="Arial" w:eastAsia="Arial Unicode MS" w:hAnsi="Arial" w:cs="Arial"/>
          <w:szCs w:val="22"/>
          <w:bdr w:val="nil"/>
          <w:lang w:val="en-US"/>
        </w:rPr>
        <w:t xml:space="preserve"> June 2019]</w:t>
      </w:r>
    </w:p>
    <w:p w:rsidR="00D979A6" w:rsidRDefault="00230603" w:rsidP="00D979A6">
      <w:pPr>
        <w:pStyle w:val="PlainText"/>
      </w:pPr>
      <w:r>
        <w:t xml:space="preserve"> </w:t>
      </w:r>
    </w:p>
    <w:p w:rsidR="00DC7A8A" w:rsidRPr="00DC7A8A" w:rsidRDefault="005C677A" w:rsidP="006234ED">
      <w:pPr>
        <w:pStyle w:val="FootnoteText"/>
        <w:rPr>
          <w:sz w:val="22"/>
          <w:szCs w:val="22"/>
        </w:rPr>
      </w:pPr>
      <w:r w:rsidRPr="00DC7A8A">
        <w:rPr>
          <w:rFonts w:ascii="Arial" w:hAnsi="Arial"/>
          <w:bCs/>
          <w:sz w:val="22"/>
          <w:szCs w:val="22"/>
          <w:lang w:val="fr-FR"/>
        </w:rPr>
        <w:t>Office for Students</w:t>
      </w:r>
      <w:r w:rsidR="00A34CD5" w:rsidRPr="00DC7A8A">
        <w:rPr>
          <w:rFonts w:ascii="Arial" w:hAnsi="Arial"/>
          <w:bCs/>
          <w:sz w:val="22"/>
          <w:szCs w:val="22"/>
          <w:lang w:val="fr-FR"/>
        </w:rPr>
        <w:t xml:space="preserve"> (2019)</w:t>
      </w:r>
      <w:r w:rsidR="00DC7A8A" w:rsidRPr="00DC7A8A">
        <w:rPr>
          <w:rFonts w:ascii="Arial" w:hAnsi="Arial"/>
          <w:bCs/>
          <w:sz w:val="22"/>
          <w:szCs w:val="22"/>
          <w:lang w:val="fr-FR"/>
        </w:rPr>
        <w:t xml:space="preserve">, </w:t>
      </w:r>
      <w:r w:rsidR="00EB2B27">
        <w:rPr>
          <w:rFonts w:ascii="Arial" w:hAnsi="Arial"/>
          <w:bCs/>
          <w:sz w:val="22"/>
          <w:szCs w:val="22"/>
          <w:lang w:val="fr-FR"/>
        </w:rPr>
        <w:t xml:space="preserve">What is the </w:t>
      </w:r>
      <w:r w:rsidR="00A34CD5" w:rsidRPr="00DC7A8A">
        <w:rPr>
          <w:rFonts w:ascii="Arial" w:hAnsi="Arial"/>
          <w:bCs/>
          <w:sz w:val="22"/>
          <w:szCs w:val="22"/>
          <w:lang w:val="fr-FR"/>
        </w:rPr>
        <w:t>Teaching Excellence Framework</w:t>
      </w:r>
      <w:r w:rsidR="00B355B4">
        <w:rPr>
          <w:rFonts w:ascii="Arial" w:hAnsi="Arial"/>
          <w:bCs/>
          <w:sz w:val="22"/>
          <w:szCs w:val="22"/>
          <w:lang w:val="fr-FR"/>
        </w:rPr>
        <w:t>. Available from</w:t>
      </w:r>
      <w:r w:rsidR="00DC7A8A" w:rsidRPr="00DC7A8A">
        <w:rPr>
          <w:rFonts w:ascii="Arial" w:hAnsi="Arial"/>
          <w:bCs/>
          <w:sz w:val="22"/>
          <w:szCs w:val="22"/>
          <w:lang w:val="fr-FR"/>
        </w:rPr>
        <w:t>:</w:t>
      </w:r>
      <w:r w:rsidR="00EB2B27">
        <w:rPr>
          <w:rFonts w:ascii="Arial" w:hAnsi="Arial"/>
          <w:bCs/>
          <w:sz w:val="22"/>
          <w:szCs w:val="22"/>
          <w:lang w:val="fr-FR"/>
        </w:rPr>
        <w:t xml:space="preserve"> </w:t>
      </w:r>
      <w:hyperlink r:id="rId34" w:history="1">
        <w:r w:rsidR="00DC7A8A" w:rsidRPr="00DC7A8A">
          <w:rPr>
            <w:rStyle w:val="Hyperlink0"/>
            <w:sz w:val="22"/>
            <w:szCs w:val="22"/>
          </w:rPr>
          <w:t>https://www.officeforstudents.org.uk/advice-and-guidance/teaching/what-is-the-tef/</w:t>
        </w:r>
      </w:hyperlink>
    </w:p>
    <w:p w:rsidR="005154CE" w:rsidRDefault="005154CE" w:rsidP="00D6320B">
      <w:pPr>
        <w:pStyle w:val="FootnoteText"/>
        <w:rPr>
          <w:rFonts w:ascii="Arial" w:eastAsia="Arial" w:hAnsi="Arial" w:cs="Arial"/>
          <w:sz w:val="22"/>
          <w:szCs w:val="22"/>
        </w:rPr>
      </w:pPr>
    </w:p>
    <w:p w:rsidR="00652176" w:rsidRPr="005D7EC8" w:rsidRDefault="00D0169A" w:rsidP="00D6320B">
      <w:pPr>
        <w:pStyle w:val="FootnoteText"/>
        <w:rPr>
          <w:sz w:val="22"/>
          <w:szCs w:val="22"/>
        </w:rPr>
      </w:pPr>
      <w:r w:rsidRPr="005D7EC8">
        <w:rPr>
          <w:rFonts w:ascii="Arial" w:eastAsia="Arial" w:hAnsi="Arial" w:cs="Arial"/>
          <w:sz w:val="22"/>
          <w:szCs w:val="22"/>
        </w:rPr>
        <w:t>Omrod</w:t>
      </w:r>
      <w:r w:rsidR="005D7EC8">
        <w:rPr>
          <w:rFonts w:ascii="Arial" w:eastAsia="Arial" w:hAnsi="Arial" w:cs="Arial"/>
          <w:sz w:val="22"/>
          <w:szCs w:val="22"/>
        </w:rPr>
        <w:t>, Lord Justice (197</w:t>
      </w:r>
      <w:r w:rsidR="0026613F">
        <w:rPr>
          <w:rFonts w:ascii="Arial" w:eastAsia="Arial" w:hAnsi="Arial" w:cs="Arial"/>
          <w:sz w:val="22"/>
          <w:szCs w:val="22"/>
        </w:rPr>
        <w:t xml:space="preserve">1), </w:t>
      </w:r>
      <w:r w:rsidR="00652176" w:rsidRPr="005D7EC8">
        <w:rPr>
          <w:rFonts w:ascii="Arial" w:hAnsi="Arial"/>
          <w:sz w:val="22"/>
          <w:szCs w:val="22"/>
        </w:rPr>
        <w:t xml:space="preserve">Report of the Committee on Legal Education, Presented to Parliament by the Lord High Chancellor by command of Her Majesty March 1971, </w:t>
      </w:r>
      <w:r w:rsidR="0026613F">
        <w:rPr>
          <w:rFonts w:ascii="Arial" w:hAnsi="Arial"/>
          <w:sz w:val="22"/>
          <w:szCs w:val="22"/>
        </w:rPr>
        <w:t>London HMSO, (</w:t>
      </w:r>
      <w:r w:rsidR="00652176" w:rsidRPr="005D7EC8">
        <w:rPr>
          <w:rFonts w:ascii="Arial" w:hAnsi="Arial"/>
          <w:sz w:val="22"/>
          <w:szCs w:val="22"/>
        </w:rPr>
        <w:t>Cmnd, 4595</w:t>
      </w:r>
      <w:r w:rsidR="0026613F">
        <w:rPr>
          <w:rFonts w:ascii="Arial" w:hAnsi="Arial"/>
          <w:sz w:val="22"/>
          <w:szCs w:val="22"/>
        </w:rPr>
        <w:t>).</w:t>
      </w:r>
    </w:p>
    <w:p w:rsidR="007366E0" w:rsidRPr="00784D13" w:rsidRDefault="007366E0">
      <w:pPr>
        <w:pStyle w:val="Body"/>
        <w:rPr>
          <w:rFonts w:ascii="Arial" w:eastAsia="Arial" w:hAnsi="Arial" w:cs="Arial"/>
        </w:rPr>
      </w:pPr>
    </w:p>
    <w:p w:rsidR="00784D13" w:rsidRPr="00784D13" w:rsidRDefault="00784D13" w:rsidP="00784D1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4472C4" w:themeColor="accent1"/>
          <w:sz w:val="22"/>
          <w:szCs w:val="22"/>
          <w:bdr w:val="none" w:sz="0" w:space="0" w:color="auto"/>
          <w:lang w:val="en-GB" w:eastAsia="en-GB"/>
        </w:rPr>
      </w:pPr>
      <w:r w:rsidRPr="00784D13">
        <w:rPr>
          <w:rFonts w:ascii="Arial" w:eastAsia="Arial" w:hAnsi="Arial" w:cs="Arial"/>
          <w:sz w:val="22"/>
          <w:szCs w:val="22"/>
        </w:rPr>
        <w:t xml:space="preserve">Parliament. House of Commons (2019) </w:t>
      </w:r>
      <w:r w:rsidRPr="00784D13">
        <w:rPr>
          <w:rFonts w:ascii="Arial" w:eastAsia="Arial" w:hAnsi="Arial" w:cs="Arial"/>
          <w:sz w:val="22"/>
          <w:szCs w:val="22"/>
          <w:lang w:val="en-GB"/>
        </w:rPr>
        <w:t>Apprenticeship statistics: England (House of Commons Library briefing paper no 06113</w:t>
      </w:r>
      <w:r>
        <w:rPr>
          <w:rFonts w:ascii="Arial" w:eastAsia="Arial" w:hAnsi="Arial" w:cs="Arial"/>
          <w:sz w:val="22"/>
          <w:szCs w:val="22"/>
          <w:lang w:val="en-GB"/>
        </w:rPr>
        <w:t xml:space="preserve">). </w:t>
      </w:r>
      <w:r w:rsidRPr="00784D13">
        <w:rPr>
          <w:rFonts w:ascii="Arial" w:eastAsia="Arial" w:hAnsi="Arial" w:cs="Arial"/>
          <w:sz w:val="22"/>
          <w:szCs w:val="22"/>
        </w:rPr>
        <w:t xml:space="preserve">Available from: </w:t>
      </w:r>
      <w:hyperlink r:id="rId35" w:tooltip="Close" w:history="1">
        <w:r w:rsidRPr="00784D13">
          <w:rPr>
            <w:rFonts w:ascii="Arial" w:eastAsia="Times New Roman" w:hAnsi="Arial" w:cs="Arial"/>
            <w:color w:val="4472C4" w:themeColor="accent1"/>
            <w:sz w:val="22"/>
            <w:szCs w:val="22"/>
            <w:u w:val="single"/>
            <w:bdr w:val="none" w:sz="0" w:space="0" w:color="auto" w:frame="1"/>
            <w:lang w:val="en-GB" w:eastAsia="en-GB"/>
          </w:rPr>
          <w:t>http://researchbriefings.files.parliament.uk/documents/SN06113/SN06113.pdf</w:t>
        </w:r>
      </w:hyperlink>
    </w:p>
    <w:p w:rsidR="00784D13" w:rsidRPr="00784D13" w:rsidRDefault="00784D13">
      <w:pPr>
        <w:pStyle w:val="Body"/>
        <w:rPr>
          <w:rFonts w:ascii="Arial" w:eastAsia="Arial" w:hAnsi="Arial" w:cs="Arial"/>
        </w:rPr>
      </w:pPr>
      <w:r>
        <w:rPr>
          <w:rFonts w:ascii="Arial" w:eastAsia="Arial" w:hAnsi="Arial" w:cs="Arial"/>
        </w:rPr>
        <w:t>[Accessed 10</w:t>
      </w:r>
      <w:r w:rsidRPr="00784D13">
        <w:rPr>
          <w:rFonts w:ascii="Arial" w:eastAsia="Arial" w:hAnsi="Arial" w:cs="Arial"/>
          <w:vertAlign w:val="superscript"/>
        </w:rPr>
        <w:t>th</w:t>
      </w:r>
      <w:r>
        <w:rPr>
          <w:rFonts w:ascii="Arial" w:eastAsia="Arial" w:hAnsi="Arial" w:cs="Arial"/>
        </w:rPr>
        <w:t xml:space="preserve"> May 2019]</w:t>
      </w:r>
    </w:p>
    <w:p w:rsidR="00005419" w:rsidRPr="005154CE" w:rsidRDefault="00005419">
      <w:pPr>
        <w:pStyle w:val="Body"/>
        <w:rPr>
          <w:rFonts w:ascii="Arial" w:eastAsia="Arial" w:hAnsi="Arial" w:cs="Arial"/>
        </w:rPr>
      </w:pPr>
      <w:r w:rsidRPr="005154CE">
        <w:rPr>
          <w:rFonts w:ascii="Arial" w:eastAsia="Arial" w:hAnsi="Arial" w:cs="Arial"/>
        </w:rPr>
        <w:t>Quality Assurance Agency (2015)</w:t>
      </w:r>
      <w:r w:rsidR="00973EBD">
        <w:rPr>
          <w:rFonts w:ascii="Arial" w:eastAsia="Arial" w:hAnsi="Arial" w:cs="Arial"/>
        </w:rPr>
        <w:t>,</w:t>
      </w:r>
      <w:r w:rsidRPr="005154CE">
        <w:rPr>
          <w:rFonts w:ascii="Arial" w:eastAsia="Arial" w:hAnsi="Arial" w:cs="Arial"/>
        </w:rPr>
        <w:t xml:space="preserve"> </w:t>
      </w:r>
      <w:r w:rsidRPr="005154CE">
        <w:rPr>
          <w:rFonts w:ascii="Arial" w:hAnsi="Arial" w:cs="Arial"/>
        </w:rPr>
        <w:t>QAA Law Benchmark</w:t>
      </w:r>
      <w:r w:rsidR="00973EBD">
        <w:rPr>
          <w:rFonts w:ascii="Arial" w:hAnsi="Arial" w:cs="Arial"/>
        </w:rPr>
        <w:t xml:space="preserve">, Available from: </w:t>
      </w:r>
      <w:hyperlink r:id="rId36" w:history="1">
        <w:r w:rsidRPr="005154CE">
          <w:rPr>
            <w:rStyle w:val="Hyperlink0"/>
            <w:sz w:val="22"/>
            <w:szCs w:val="22"/>
          </w:rPr>
          <w:t>http://www.qaa.ac.uk/docs/qaa/subject-benchmark-statements/sbs-law-15.pdf?sfvrsn=ff99f781_8</w:t>
        </w:r>
      </w:hyperlink>
      <w:r w:rsidR="00973EBD">
        <w:rPr>
          <w:rFonts w:ascii="Arial" w:hAnsi="Arial" w:cs="Arial"/>
        </w:rPr>
        <w:t xml:space="preserve"> [Accessed 11</w:t>
      </w:r>
      <w:r w:rsidR="00973EBD" w:rsidRPr="00973EBD">
        <w:rPr>
          <w:rFonts w:ascii="Arial" w:hAnsi="Arial" w:cs="Arial"/>
          <w:vertAlign w:val="superscript"/>
        </w:rPr>
        <w:t>th</w:t>
      </w:r>
      <w:r w:rsidR="00973EBD">
        <w:rPr>
          <w:rFonts w:ascii="Arial" w:hAnsi="Arial" w:cs="Arial"/>
        </w:rPr>
        <w:t xml:space="preserve"> May 2019].</w:t>
      </w:r>
    </w:p>
    <w:p w:rsidR="00010B5A" w:rsidRDefault="00010B5A" w:rsidP="006234ED">
      <w:pPr>
        <w:pStyle w:val="FootnoteText"/>
        <w:rPr>
          <w:rFonts w:ascii="Arial" w:eastAsia="Arial" w:hAnsi="Arial" w:cs="Arial"/>
        </w:rPr>
      </w:pPr>
      <w:r>
        <w:rPr>
          <w:rFonts w:ascii="Arial" w:eastAsia="Arial" w:hAnsi="Arial" w:cs="Arial"/>
        </w:rPr>
        <w:t>Race P (2014) Making Learning Happen, 3</w:t>
      </w:r>
      <w:r w:rsidRPr="00010B5A">
        <w:rPr>
          <w:rFonts w:ascii="Arial" w:eastAsia="Arial" w:hAnsi="Arial" w:cs="Arial"/>
          <w:vertAlign w:val="superscript"/>
        </w:rPr>
        <w:t>rd</w:t>
      </w:r>
      <w:r>
        <w:rPr>
          <w:rFonts w:ascii="Arial" w:eastAsia="Arial" w:hAnsi="Arial" w:cs="Arial"/>
        </w:rPr>
        <w:t xml:space="preserve"> Edition, Sage, </w:t>
      </w:r>
      <w:r>
        <w:rPr>
          <w:rFonts w:ascii="Arial" w:hAnsi="Arial" w:cs="Arial"/>
          <w:color w:val="333333"/>
          <w:sz w:val="21"/>
          <w:szCs w:val="21"/>
          <w:shd w:val="clear" w:color="auto" w:fill="FFFFFF"/>
        </w:rPr>
        <w:t>ISBN: 9781446285954</w:t>
      </w:r>
    </w:p>
    <w:p w:rsidR="007366E0" w:rsidRDefault="007366E0" w:rsidP="00D6320B">
      <w:pPr>
        <w:pStyle w:val="FootnoteText"/>
        <w:rPr>
          <w:rFonts w:ascii="Arial" w:hAnsi="Arial"/>
          <w:color w:val="222222"/>
          <w:sz w:val="22"/>
          <w:szCs w:val="22"/>
          <w:u w:color="222222"/>
          <w:shd w:val="clear" w:color="auto" w:fill="FFFFFF"/>
        </w:rPr>
      </w:pPr>
    </w:p>
    <w:p w:rsidR="00387ECC" w:rsidRDefault="00EF44D3" w:rsidP="00D6320B">
      <w:pPr>
        <w:pStyle w:val="FootnoteText"/>
        <w:rPr>
          <w:rFonts w:ascii="Arial" w:hAnsi="Arial" w:cs="Arial"/>
          <w:color w:val="222222"/>
          <w:sz w:val="22"/>
          <w:szCs w:val="22"/>
          <w:u w:color="222222"/>
          <w:shd w:val="clear" w:color="auto" w:fill="FFFFFF"/>
        </w:rPr>
      </w:pPr>
      <w:r w:rsidRPr="007366E0">
        <w:rPr>
          <w:rFonts w:ascii="Arial" w:hAnsi="Arial" w:cs="Arial"/>
          <w:color w:val="222222"/>
          <w:sz w:val="22"/>
          <w:szCs w:val="22"/>
          <w:u w:color="222222"/>
          <w:shd w:val="clear" w:color="auto" w:fill="FFFFFF"/>
        </w:rPr>
        <w:t>Robbins, Lord</w:t>
      </w:r>
      <w:r w:rsidR="00BE1302" w:rsidRPr="007366E0">
        <w:rPr>
          <w:rFonts w:ascii="Arial" w:hAnsi="Arial" w:cs="Arial"/>
          <w:color w:val="222222"/>
          <w:sz w:val="22"/>
          <w:szCs w:val="22"/>
          <w:u w:color="222222"/>
          <w:shd w:val="clear" w:color="auto" w:fill="FFFFFF"/>
        </w:rPr>
        <w:t xml:space="preserve"> (1963), </w:t>
      </w:r>
      <w:r w:rsidR="00387ECC" w:rsidRPr="007366E0">
        <w:rPr>
          <w:rFonts w:ascii="Arial" w:hAnsi="Arial" w:cs="Arial"/>
          <w:iCs/>
          <w:color w:val="222222"/>
          <w:sz w:val="22"/>
          <w:szCs w:val="22"/>
          <w:u w:color="222222"/>
          <w:shd w:val="clear" w:color="auto" w:fill="FFFFFF"/>
        </w:rPr>
        <w:t>Higher education: report of the Committee appointed by the Prime Minister under the Chairmanship of Lord Robbins 1961–63</w:t>
      </w:r>
      <w:r w:rsidR="00387ECC" w:rsidRPr="007366E0">
        <w:rPr>
          <w:rFonts w:ascii="Arial" w:hAnsi="Arial" w:cs="Arial"/>
          <w:color w:val="222222"/>
          <w:sz w:val="22"/>
          <w:szCs w:val="22"/>
          <w:u w:color="222222"/>
          <w:shd w:val="clear" w:color="auto" w:fill="FFFFFF"/>
        </w:rPr>
        <w:t>, London: HMSO</w:t>
      </w:r>
      <w:r w:rsidR="009A5EB5" w:rsidRPr="007366E0">
        <w:rPr>
          <w:rFonts w:ascii="Arial" w:hAnsi="Arial" w:cs="Arial"/>
          <w:color w:val="222222"/>
          <w:sz w:val="22"/>
          <w:szCs w:val="22"/>
          <w:u w:color="222222"/>
          <w:shd w:val="clear" w:color="auto" w:fill="FFFFFF"/>
        </w:rPr>
        <w:t xml:space="preserve"> (Cm. 21</w:t>
      </w:r>
      <w:r w:rsidR="00D93827" w:rsidRPr="007366E0">
        <w:rPr>
          <w:rFonts w:ascii="Arial" w:hAnsi="Arial" w:cs="Arial"/>
          <w:color w:val="222222"/>
          <w:sz w:val="22"/>
          <w:szCs w:val="22"/>
          <w:u w:color="222222"/>
          <w:shd w:val="clear" w:color="auto" w:fill="FFFFFF"/>
        </w:rPr>
        <w:t>54).</w:t>
      </w:r>
    </w:p>
    <w:p w:rsidR="00D339A6" w:rsidRDefault="00D339A6" w:rsidP="00D6320B">
      <w:pPr>
        <w:pStyle w:val="FootnoteText"/>
        <w:rPr>
          <w:rFonts w:ascii="Arial" w:hAnsi="Arial" w:cs="Arial"/>
          <w:color w:val="222222"/>
          <w:sz w:val="22"/>
          <w:szCs w:val="22"/>
          <w:u w:color="222222"/>
          <w:shd w:val="clear" w:color="auto" w:fill="FFFFFF"/>
        </w:rPr>
      </w:pPr>
    </w:p>
    <w:p w:rsidR="00D339A6" w:rsidRPr="007366E0" w:rsidRDefault="00D339A6" w:rsidP="00D6320B">
      <w:pPr>
        <w:pStyle w:val="FootnoteText"/>
        <w:rPr>
          <w:rFonts w:ascii="Arial" w:hAnsi="Arial" w:cs="Arial"/>
          <w:sz w:val="22"/>
          <w:szCs w:val="22"/>
        </w:rPr>
      </w:pPr>
      <w:r>
        <w:rPr>
          <w:rFonts w:ascii="Arial" w:hAnsi="Arial" w:cs="Arial"/>
          <w:color w:val="222222"/>
          <w:sz w:val="22"/>
          <w:szCs w:val="22"/>
          <w:u w:color="222222"/>
          <w:shd w:val="clear" w:color="auto" w:fill="FFFFFF"/>
        </w:rPr>
        <w:t>Rule of Law in China: Spotlight Issues (2016), Foreign Language Press, ISBN: 9787119100975</w:t>
      </w:r>
    </w:p>
    <w:p w:rsidR="00624DF7" w:rsidRPr="007366E0" w:rsidRDefault="00624DF7" w:rsidP="006234ED">
      <w:pPr>
        <w:pStyle w:val="FootnoteText"/>
        <w:rPr>
          <w:rStyle w:val="Hyperlink0"/>
          <w:rFonts w:eastAsia="Calibri"/>
          <w:color w:val="000000"/>
          <w:sz w:val="22"/>
          <w:szCs w:val="22"/>
          <w:u w:val="none" w:color="000000"/>
        </w:rPr>
      </w:pPr>
    </w:p>
    <w:p w:rsidR="00CC28AF" w:rsidRPr="007366E0" w:rsidRDefault="00CC28AF" w:rsidP="00CC28AF">
      <w:pPr>
        <w:pStyle w:val="FootnoteText"/>
        <w:rPr>
          <w:rFonts w:ascii="Arial" w:hAnsi="Arial" w:cs="Arial"/>
          <w:sz w:val="22"/>
          <w:szCs w:val="22"/>
        </w:rPr>
      </w:pPr>
      <w:r w:rsidRPr="007366E0">
        <w:rPr>
          <w:rStyle w:val="Hyperlink0"/>
          <w:rFonts w:eastAsia="Calibri"/>
          <w:color w:val="000000"/>
          <w:sz w:val="22"/>
          <w:szCs w:val="22"/>
          <w:u w:val="none" w:color="000000"/>
        </w:rPr>
        <w:t>Solicit</w:t>
      </w:r>
      <w:r w:rsidR="00476E04" w:rsidRPr="007366E0">
        <w:rPr>
          <w:rStyle w:val="Hyperlink0"/>
          <w:rFonts w:eastAsia="Calibri"/>
          <w:color w:val="000000"/>
          <w:sz w:val="22"/>
          <w:szCs w:val="22"/>
          <w:u w:val="none" w:color="000000"/>
        </w:rPr>
        <w:t xml:space="preserve">ors Regulation Authority </w:t>
      </w:r>
      <w:r w:rsidR="007366E0" w:rsidRPr="007366E0">
        <w:rPr>
          <w:rStyle w:val="Hyperlink0"/>
          <w:rFonts w:eastAsia="Calibri"/>
          <w:color w:val="000000"/>
          <w:sz w:val="22"/>
          <w:szCs w:val="22"/>
          <w:u w:val="none" w:color="000000"/>
        </w:rPr>
        <w:t>(2007), Day One Outcomes for So</w:t>
      </w:r>
      <w:r w:rsidR="00476E04" w:rsidRPr="007366E0">
        <w:rPr>
          <w:rStyle w:val="Hyperlink0"/>
          <w:rFonts w:eastAsia="Calibri"/>
          <w:color w:val="000000"/>
          <w:sz w:val="22"/>
          <w:szCs w:val="22"/>
          <w:u w:val="none" w:color="000000"/>
        </w:rPr>
        <w:t>licitors. Available from:</w:t>
      </w:r>
      <w:r w:rsidR="007366E0" w:rsidRPr="007366E0">
        <w:rPr>
          <w:rStyle w:val="Hyperlink0"/>
          <w:rFonts w:eastAsia="Calibri"/>
          <w:color w:val="000000"/>
          <w:sz w:val="22"/>
          <w:szCs w:val="22"/>
          <w:u w:val="none" w:color="000000"/>
        </w:rPr>
        <w:t xml:space="preserve"> </w:t>
      </w:r>
      <w:hyperlink r:id="rId37" w:history="1">
        <w:r w:rsidR="007366E0" w:rsidRPr="007366E0">
          <w:rPr>
            <w:rStyle w:val="Hyperlink"/>
            <w:rFonts w:ascii="Arial" w:hAnsi="Arial" w:cs="Arial"/>
            <w:sz w:val="22"/>
            <w:szCs w:val="22"/>
          </w:rPr>
          <w:t>https://www.sra.org.uk/sra/news/day-one-outcomes-refined.page</w:t>
        </w:r>
      </w:hyperlink>
      <w:r w:rsidR="007366E0">
        <w:rPr>
          <w:rFonts w:ascii="Arial" w:hAnsi="Arial" w:cs="Arial"/>
          <w:sz w:val="22"/>
          <w:szCs w:val="22"/>
        </w:rPr>
        <w:t xml:space="preserve"> [</w:t>
      </w:r>
      <w:r w:rsidR="007366E0" w:rsidRPr="007366E0">
        <w:rPr>
          <w:rFonts w:ascii="Arial" w:hAnsi="Arial" w:cs="Arial"/>
          <w:sz w:val="22"/>
          <w:szCs w:val="22"/>
        </w:rPr>
        <w:t>Accessed 12th May 2019].</w:t>
      </w:r>
    </w:p>
    <w:p w:rsidR="007F3175" w:rsidRPr="007366E0" w:rsidRDefault="007F3175" w:rsidP="006234ED">
      <w:pPr>
        <w:pStyle w:val="FootnoteText"/>
        <w:rPr>
          <w:rFonts w:ascii="Arial" w:hAnsi="Arial" w:cs="Arial"/>
          <w:sz w:val="22"/>
          <w:szCs w:val="22"/>
        </w:rPr>
      </w:pPr>
    </w:p>
    <w:p w:rsidR="00476E04" w:rsidRPr="007366E0" w:rsidRDefault="00476E04" w:rsidP="006234ED">
      <w:pPr>
        <w:pStyle w:val="FootnoteText"/>
        <w:rPr>
          <w:rFonts w:ascii="Arial" w:hAnsi="Arial" w:cs="Arial"/>
          <w:sz w:val="22"/>
          <w:szCs w:val="22"/>
        </w:rPr>
      </w:pPr>
      <w:r w:rsidRPr="007366E0">
        <w:rPr>
          <w:rFonts w:ascii="Arial" w:hAnsi="Arial" w:cs="Arial"/>
          <w:sz w:val="22"/>
          <w:szCs w:val="22"/>
        </w:rPr>
        <w:t xml:space="preserve">Solicitors Regulation Authority (2015), Statement of Solicitor Competence. Available from: </w:t>
      </w:r>
      <w:hyperlink r:id="rId38" w:history="1">
        <w:r w:rsidRPr="007366E0">
          <w:rPr>
            <w:rFonts w:ascii="Arial" w:eastAsia="Arial Unicode MS" w:hAnsi="Arial" w:cs="Arial"/>
            <w:color w:val="0000FF"/>
            <w:sz w:val="22"/>
            <w:szCs w:val="22"/>
            <w:u w:val="single"/>
            <w:lang w:eastAsia="en-US"/>
          </w:rPr>
          <w:t>http://www.sra.org.uk/solicitors/competence-statement.page</w:t>
        </w:r>
      </w:hyperlink>
      <w:r w:rsidRPr="007366E0">
        <w:rPr>
          <w:rFonts w:ascii="Arial" w:eastAsia="Arial Unicode MS" w:hAnsi="Arial" w:cs="Arial"/>
          <w:color w:val="auto"/>
          <w:sz w:val="22"/>
          <w:szCs w:val="22"/>
          <w:lang w:eastAsia="en-US"/>
        </w:rPr>
        <w:t xml:space="preserve"> [Accessed 10</w:t>
      </w:r>
      <w:r w:rsidRPr="007366E0">
        <w:rPr>
          <w:rFonts w:ascii="Arial" w:eastAsia="Arial Unicode MS" w:hAnsi="Arial" w:cs="Arial"/>
          <w:color w:val="auto"/>
          <w:sz w:val="22"/>
          <w:szCs w:val="22"/>
          <w:vertAlign w:val="superscript"/>
          <w:lang w:eastAsia="en-US"/>
        </w:rPr>
        <w:t>th</w:t>
      </w:r>
      <w:r w:rsidRPr="007366E0">
        <w:rPr>
          <w:rFonts w:ascii="Arial" w:eastAsia="Arial Unicode MS" w:hAnsi="Arial" w:cs="Arial"/>
          <w:color w:val="auto"/>
          <w:sz w:val="22"/>
          <w:szCs w:val="22"/>
          <w:lang w:eastAsia="en-US"/>
        </w:rPr>
        <w:t xml:space="preserve"> May 2019]</w:t>
      </w:r>
    </w:p>
    <w:p w:rsidR="00476E04" w:rsidRPr="007366E0" w:rsidRDefault="00476E04" w:rsidP="006234ED">
      <w:pPr>
        <w:pStyle w:val="FootnoteText"/>
        <w:rPr>
          <w:rFonts w:ascii="Arial" w:hAnsi="Arial" w:cs="Arial"/>
          <w:sz w:val="22"/>
          <w:szCs w:val="22"/>
        </w:rPr>
      </w:pPr>
    </w:p>
    <w:p w:rsidR="004E11C4" w:rsidRDefault="004E11C4" w:rsidP="006234ED">
      <w:pPr>
        <w:pStyle w:val="FootnoteText"/>
        <w:rPr>
          <w:rFonts w:ascii="Arial" w:eastAsia="Arial Unicode MS" w:hAnsi="Arial" w:cs="Arial"/>
          <w:color w:val="auto"/>
          <w:sz w:val="22"/>
          <w:szCs w:val="22"/>
          <w:lang w:eastAsia="en-US"/>
        </w:rPr>
      </w:pPr>
      <w:r w:rsidRPr="006E408C">
        <w:rPr>
          <w:rFonts w:ascii="Arial" w:hAnsi="Arial" w:cs="Arial"/>
          <w:sz w:val="22"/>
          <w:szCs w:val="22"/>
        </w:rPr>
        <w:t xml:space="preserve">Solicitors Regulation Authority (2016), Authorised Training Provider information pack. Available from: </w:t>
      </w:r>
      <w:hyperlink r:id="rId39" w:history="1">
        <w:r w:rsidRPr="006E408C">
          <w:rPr>
            <w:rFonts w:ascii="Arial" w:eastAsia="Arial Unicode MS" w:hAnsi="Arial" w:cs="Arial"/>
            <w:color w:val="0000FF"/>
            <w:sz w:val="22"/>
            <w:szCs w:val="22"/>
            <w:u w:val="single"/>
            <w:lang w:eastAsia="en-US"/>
          </w:rPr>
          <w:t>https://www.sra.org.uk/trainees/resources/authorised-training-provider-information-pack.page</w:t>
        </w:r>
      </w:hyperlink>
      <w:r w:rsidR="007366E0">
        <w:rPr>
          <w:rFonts w:ascii="Arial" w:eastAsia="Arial Unicode MS" w:hAnsi="Arial" w:cs="Arial"/>
          <w:color w:val="auto"/>
          <w:sz w:val="22"/>
          <w:szCs w:val="22"/>
          <w:lang w:eastAsia="en-US"/>
        </w:rPr>
        <w:t>. [</w:t>
      </w:r>
      <w:r w:rsidRPr="006E408C">
        <w:rPr>
          <w:rFonts w:ascii="Arial" w:eastAsia="Arial Unicode MS" w:hAnsi="Arial" w:cs="Arial"/>
          <w:color w:val="auto"/>
          <w:sz w:val="22"/>
          <w:szCs w:val="22"/>
          <w:lang w:eastAsia="en-US"/>
        </w:rPr>
        <w:t>Accessed 9</w:t>
      </w:r>
      <w:r w:rsidRPr="006E408C">
        <w:rPr>
          <w:rFonts w:ascii="Arial" w:eastAsia="Arial Unicode MS" w:hAnsi="Arial" w:cs="Arial"/>
          <w:color w:val="auto"/>
          <w:sz w:val="22"/>
          <w:szCs w:val="22"/>
          <w:vertAlign w:val="superscript"/>
          <w:lang w:eastAsia="en-US"/>
        </w:rPr>
        <w:t>th</w:t>
      </w:r>
      <w:r w:rsidR="007366E0">
        <w:rPr>
          <w:rFonts w:ascii="Arial" w:eastAsia="Arial Unicode MS" w:hAnsi="Arial" w:cs="Arial"/>
          <w:color w:val="auto"/>
          <w:sz w:val="22"/>
          <w:szCs w:val="22"/>
          <w:lang w:eastAsia="en-US"/>
        </w:rPr>
        <w:t xml:space="preserve"> May 2019]</w:t>
      </w:r>
      <w:r w:rsidRPr="006E408C">
        <w:rPr>
          <w:rFonts w:ascii="Arial" w:eastAsia="Arial Unicode MS" w:hAnsi="Arial" w:cs="Arial"/>
          <w:color w:val="auto"/>
          <w:sz w:val="22"/>
          <w:szCs w:val="22"/>
          <w:lang w:eastAsia="en-US"/>
        </w:rPr>
        <w:t>.</w:t>
      </w:r>
    </w:p>
    <w:p w:rsidR="00057A9B" w:rsidRDefault="00057A9B" w:rsidP="006234ED">
      <w:pPr>
        <w:pStyle w:val="FootnoteText"/>
        <w:rPr>
          <w:rFonts w:ascii="Arial" w:eastAsia="Arial Unicode MS" w:hAnsi="Arial" w:cs="Arial"/>
          <w:color w:val="auto"/>
          <w:sz w:val="22"/>
          <w:szCs w:val="22"/>
          <w:lang w:eastAsia="en-US"/>
        </w:rPr>
      </w:pPr>
    </w:p>
    <w:p w:rsidR="00057A9B" w:rsidRPr="00BE391B" w:rsidRDefault="00057A9B" w:rsidP="00057A9B">
      <w:pPr>
        <w:rPr>
          <w:rFonts w:ascii="Arial" w:hAnsi="Arial" w:cs="Arial"/>
          <w:sz w:val="22"/>
          <w:szCs w:val="22"/>
        </w:rPr>
      </w:pPr>
      <w:r w:rsidRPr="00BE391B">
        <w:rPr>
          <w:rFonts w:ascii="Arial" w:hAnsi="Arial" w:cs="Arial"/>
          <w:sz w:val="22"/>
          <w:szCs w:val="22"/>
        </w:rPr>
        <w:t>Solicitors Regulation Authority (2016a)Training for Tomorrow: assessing competence. Consultation on a proposal to introduce the Solicitors’ Qualifying Examination : SRA response and analysis of responses.</w:t>
      </w:r>
    </w:p>
    <w:p w:rsidR="00057A9B" w:rsidRPr="00BE391B" w:rsidRDefault="00B54B37" w:rsidP="00057A9B">
      <w:pPr>
        <w:rPr>
          <w:rFonts w:ascii="Arial" w:hAnsi="Arial" w:cs="Arial"/>
          <w:sz w:val="22"/>
          <w:szCs w:val="22"/>
          <w:lang w:val="en-GB"/>
        </w:rPr>
      </w:pPr>
      <w:hyperlink r:id="rId40" w:history="1">
        <w:r w:rsidR="00057A9B" w:rsidRPr="00BE391B">
          <w:rPr>
            <w:rStyle w:val="Hyperlink"/>
            <w:rFonts w:ascii="Arial" w:hAnsi="Arial" w:cs="Arial"/>
            <w:sz w:val="22"/>
            <w:szCs w:val="22"/>
          </w:rPr>
          <w:t>https://www.sra.org.uk/sra/consultations/t4t-assessing-competence.page</w:t>
        </w:r>
      </w:hyperlink>
    </w:p>
    <w:p w:rsidR="00057A9B" w:rsidRPr="00BE391B" w:rsidRDefault="00057A9B" w:rsidP="00057A9B">
      <w:pPr>
        <w:pStyle w:val="FootnoteText"/>
        <w:rPr>
          <w:rFonts w:ascii="Arial" w:eastAsia="Arial Unicode MS" w:hAnsi="Arial" w:cs="Arial"/>
          <w:color w:val="auto"/>
          <w:sz w:val="22"/>
          <w:szCs w:val="22"/>
          <w:lang w:eastAsia="en-US"/>
        </w:rPr>
      </w:pPr>
      <w:r w:rsidRPr="00BE391B">
        <w:rPr>
          <w:rFonts w:ascii="Arial" w:eastAsia="Arial Unicode MS" w:hAnsi="Arial" w:cs="Arial"/>
          <w:color w:val="auto"/>
          <w:sz w:val="22"/>
          <w:szCs w:val="22"/>
          <w:lang w:eastAsia="en-US"/>
        </w:rPr>
        <w:t xml:space="preserve"> [Accessed 16</w:t>
      </w:r>
      <w:r w:rsidRPr="00BE391B">
        <w:rPr>
          <w:rFonts w:ascii="Arial" w:eastAsia="Arial Unicode MS" w:hAnsi="Arial" w:cs="Arial"/>
          <w:color w:val="auto"/>
          <w:sz w:val="22"/>
          <w:szCs w:val="22"/>
          <w:vertAlign w:val="superscript"/>
          <w:lang w:eastAsia="en-US"/>
        </w:rPr>
        <w:t>th</w:t>
      </w:r>
      <w:r w:rsidRPr="00BE391B">
        <w:rPr>
          <w:rFonts w:ascii="Arial" w:eastAsia="Arial Unicode MS" w:hAnsi="Arial" w:cs="Arial"/>
          <w:color w:val="auto"/>
          <w:sz w:val="22"/>
          <w:szCs w:val="22"/>
          <w:lang w:eastAsia="en-US"/>
        </w:rPr>
        <w:t xml:space="preserve"> May 2019)</w:t>
      </w:r>
    </w:p>
    <w:p w:rsidR="004E11C4" w:rsidRPr="00BE391B" w:rsidRDefault="004E11C4" w:rsidP="006234ED">
      <w:pPr>
        <w:pStyle w:val="FootnoteText"/>
        <w:rPr>
          <w:rFonts w:ascii="Arial" w:hAnsi="Arial" w:cs="Arial"/>
          <w:sz w:val="22"/>
          <w:szCs w:val="22"/>
        </w:rPr>
      </w:pPr>
    </w:p>
    <w:p w:rsidR="004E11C4" w:rsidRPr="006E408C" w:rsidRDefault="004E11C4" w:rsidP="004E11C4">
      <w:pPr>
        <w:pStyle w:val="FootnoteText"/>
        <w:rPr>
          <w:rFonts w:ascii="Arial" w:eastAsia="Arial Unicode MS" w:hAnsi="Arial" w:cs="Arial"/>
          <w:color w:val="auto"/>
          <w:sz w:val="22"/>
          <w:szCs w:val="22"/>
          <w:lang w:eastAsia="en-US"/>
        </w:rPr>
      </w:pPr>
      <w:r w:rsidRPr="006E408C">
        <w:rPr>
          <w:rFonts w:ascii="Arial" w:hAnsi="Arial" w:cs="Arial"/>
          <w:sz w:val="22"/>
          <w:szCs w:val="22"/>
        </w:rPr>
        <w:t>Solicitors Regulation Authority (2017), Consultation: A new route to qualification: the Solicitors Qualifying Examination</w:t>
      </w:r>
      <w:r w:rsidR="009E0FA0" w:rsidRPr="006E408C">
        <w:rPr>
          <w:rFonts w:ascii="Arial" w:hAnsi="Arial" w:cs="Arial"/>
          <w:sz w:val="22"/>
          <w:szCs w:val="22"/>
        </w:rPr>
        <w:t xml:space="preserve"> and Consultation Responses</w:t>
      </w:r>
      <w:r w:rsidRPr="006E408C">
        <w:rPr>
          <w:rFonts w:ascii="Arial" w:hAnsi="Arial" w:cs="Arial"/>
          <w:sz w:val="22"/>
          <w:szCs w:val="22"/>
        </w:rPr>
        <w:t xml:space="preserve">. Available from: </w:t>
      </w:r>
      <w:hyperlink r:id="rId41" w:history="1">
        <w:r w:rsidRPr="006E408C">
          <w:rPr>
            <w:rFonts w:ascii="Arial" w:eastAsia="Arial Unicode MS" w:hAnsi="Arial" w:cs="Arial"/>
            <w:color w:val="0000FF"/>
            <w:sz w:val="22"/>
            <w:szCs w:val="22"/>
            <w:u w:val="single"/>
            <w:lang w:eastAsia="en-US"/>
          </w:rPr>
          <w:t>https://www.sra.org.uk/sra/consultations/solicitors-qualifying-examination.page</w:t>
        </w:r>
      </w:hyperlink>
      <w:r w:rsidR="007366E0">
        <w:rPr>
          <w:rFonts w:ascii="Arial" w:eastAsia="Arial Unicode MS" w:hAnsi="Arial" w:cs="Arial"/>
          <w:color w:val="auto"/>
          <w:sz w:val="22"/>
          <w:szCs w:val="22"/>
          <w:lang w:eastAsia="en-US"/>
        </w:rPr>
        <w:t>. [</w:t>
      </w:r>
      <w:r w:rsidRPr="006E408C">
        <w:rPr>
          <w:rFonts w:ascii="Arial" w:eastAsia="Arial Unicode MS" w:hAnsi="Arial" w:cs="Arial"/>
          <w:color w:val="auto"/>
          <w:sz w:val="22"/>
          <w:szCs w:val="22"/>
          <w:lang w:eastAsia="en-US"/>
        </w:rPr>
        <w:t>Accessed</w:t>
      </w:r>
      <w:r w:rsidR="006E408C">
        <w:rPr>
          <w:rFonts w:ascii="Arial" w:eastAsia="Arial Unicode MS" w:hAnsi="Arial" w:cs="Arial"/>
          <w:color w:val="auto"/>
          <w:sz w:val="22"/>
          <w:szCs w:val="22"/>
          <w:lang w:eastAsia="en-US"/>
        </w:rPr>
        <w:t xml:space="preserve"> 9th </w:t>
      </w:r>
      <w:r w:rsidRPr="006E408C">
        <w:rPr>
          <w:rFonts w:ascii="Arial" w:eastAsia="Arial Unicode MS" w:hAnsi="Arial" w:cs="Arial"/>
          <w:color w:val="auto"/>
          <w:sz w:val="22"/>
          <w:szCs w:val="22"/>
          <w:lang w:eastAsia="en-US"/>
        </w:rPr>
        <w:t xml:space="preserve">May </w:t>
      </w:r>
      <w:r w:rsidR="007366E0">
        <w:rPr>
          <w:rFonts w:ascii="Arial" w:eastAsia="Arial Unicode MS" w:hAnsi="Arial" w:cs="Arial"/>
          <w:color w:val="auto"/>
          <w:sz w:val="22"/>
          <w:szCs w:val="22"/>
          <w:lang w:eastAsia="en-US"/>
        </w:rPr>
        <w:t>2019].</w:t>
      </w:r>
    </w:p>
    <w:p w:rsidR="004E11C4" w:rsidRPr="00E40AF5" w:rsidRDefault="004E11C4" w:rsidP="004E11C4">
      <w:pPr>
        <w:pStyle w:val="FootnoteText"/>
        <w:rPr>
          <w:rFonts w:ascii="Arial" w:hAnsi="Arial" w:cs="Arial"/>
          <w:sz w:val="22"/>
          <w:szCs w:val="22"/>
        </w:rPr>
      </w:pPr>
    </w:p>
    <w:p w:rsidR="00E40AF5" w:rsidRDefault="00E40AF5" w:rsidP="004E11C4">
      <w:pPr>
        <w:pStyle w:val="FootnoteText"/>
        <w:rPr>
          <w:rFonts w:ascii="Arial" w:eastAsia="Arial Unicode MS" w:hAnsi="Arial" w:cs="Arial"/>
          <w:color w:val="auto"/>
          <w:sz w:val="22"/>
          <w:szCs w:val="22"/>
          <w:lang w:eastAsia="en-US"/>
        </w:rPr>
      </w:pPr>
      <w:r w:rsidRPr="00E40AF5">
        <w:rPr>
          <w:rFonts w:ascii="Arial" w:hAnsi="Arial" w:cs="Arial"/>
          <w:sz w:val="22"/>
          <w:szCs w:val="22"/>
        </w:rPr>
        <w:t>Solicitors Regulation Authority (2018</w:t>
      </w:r>
      <w:r>
        <w:rPr>
          <w:rFonts w:ascii="Arial" w:hAnsi="Arial" w:cs="Arial"/>
          <w:sz w:val="22"/>
          <w:szCs w:val="22"/>
        </w:rPr>
        <w:t>a</w:t>
      </w:r>
      <w:r w:rsidRPr="00E40AF5">
        <w:rPr>
          <w:rFonts w:ascii="Arial" w:hAnsi="Arial" w:cs="Arial"/>
          <w:sz w:val="22"/>
          <w:szCs w:val="22"/>
        </w:rPr>
        <w:t xml:space="preserve">), Looking to the future: phase two of our Hanbook reforms. Available from: </w:t>
      </w:r>
      <w:hyperlink r:id="rId42" w:history="1">
        <w:r w:rsidRPr="00E40AF5">
          <w:rPr>
            <w:rFonts w:ascii="Arial" w:eastAsia="Arial Unicode MS" w:hAnsi="Arial" w:cs="Arial"/>
            <w:color w:val="0000FF"/>
            <w:sz w:val="22"/>
            <w:szCs w:val="22"/>
            <w:u w:val="single"/>
            <w:lang w:eastAsia="en-US"/>
          </w:rPr>
          <w:t>http://www.sra.org.uk/sra/consultations/lttf-phase-two-handbook-reform.page</w:t>
        </w:r>
      </w:hyperlink>
      <w:r w:rsidR="007366E0">
        <w:rPr>
          <w:rFonts w:ascii="Arial" w:eastAsia="Arial Unicode MS" w:hAnsi="Arial" w:cs="Arial"/>
          <w:color w:val="auto"/>
          <w:sz w:val="22"/>
          <w:szCs w:val="22"/>
          <w:lang w:eastAsia="en-US"/>
        </w:rPr>
        <w:t>. [</w:t>
      </w:r>
      <w:r w:rsidR="006E408C">
        <w:rPr>
          <w:rFonts w:ascii="Arial" w:eastAsia="Arial Unicode MS" w:hAnsi="Arial" w:cs="Arial"/>
          <w:color w:val="auto"/>
          <w:sz w:val="22"/>
          <w:szCs w:val="22"/>
          <w:lang w:eastAsia="en-US"/>
        </w:rPr>
        <w:t>A</w:t>
      </w:r>
      <w:r w:rsidRPr="00E40AF5">
        <w:rPr>
          <w:rFonts w:ascii="Arial" w:eastAsia="Arial Unicode MS" w:hAnsi="Arial" w:cs="Arial"/>
          <w:color w:val="auto"/>
          <w:sz w:val="22"/>
          <w:szCs w:val="22"/>
          <w:lang w:eastAsia="en-US"/>
        </w:rPr>
        <w:t>ccessed 9</w:t>
      </w:r>
      <w:r w:rsidRPr="00E40AF5">
        <w:rPr>
          <w:rFonts w:ascii="Arial" w:eastAsia="Arial Unicode MS" w:hAnsi="Arial" w:cs="Arial"/>
          <w:color w:val="auto"/>
          <w:sz w:val="22"/>
          <w:szCs w:val="22"/>
          <w:vertAlign w:val="superscript"/>
          <w:lang w:eastAsia="en-US"/>
        </w:rPr>
        <w:t>th</w:t>
      </w:r>
      <w:r w:rsidR="007366E0">
        <w:rPr>
          <w:rFonts w:ascii="Arial" w:eastAsia="Arial Unicode MS" w:hAnsi="Arial" w:cs="Arial"/>
          <w:color w:val="auto"/>
          <w:sz w:val="22"/>
          <w:szCs w:val="22"/>
          <w:lang w:eastAsia="en-US"/>
        </w:rPr>
        <w:t xml:space="preserve"> May 2019]</w:t>
      </w:r>
      <w:r w:rsidRPr="00E40AF5">
        <w:rPr>
          <w:rFonts w:ascii="Arial" w:eastAsia="Arial Unicode MS" w:hAnsi="Arial" w:cs="Arial"/>
          <w:color w:val="auto"/>
          <w:sz w:val="22"/>
          <w:szCs w:val="22"/>
          <w:lang w:eastAsia="en-US"/>
        </w:rPr>
        <w:t>.</w:t>
      </w:r>
    </w:p>
    <w:p w:rsidR="00E40AF5" w:rsidRPr="00BE391B" w:rsidRDefault="00E40AF5" w:rsidP="00BE391B">
      <w:pPr>
        <w:pStyle w:val="NoSpacing"/>
        <w:rPr>
          <w:szCs w:val="22"/>
        </w:rPr>
      </w:pPr>
    </w:p>
    <w:p w:rsidR="00E40AF5" w:rsidRPr="002255D0" w:rsidRDefault="007F3175" w:rsidP="00E40AF5">
      <w:pPr>
        <w:pStyle w:val="FootnoteText"/>
        <w:rPr>
          <w:rFonts w:ascii="Arial" w:eastAsia="Arial Unicode MS" w:hAnsi="Arial" w:cs="Arial"/>
          <w:color w:val="auto"/>
          <w:sz w:val="22"/>
          <w:szCs w:val="22"/>
          <w:lang w:eastAsia="en-US"/>
        </w:rPr>
      </w:pPr>
      <w:r w:rsidRPr="002255D0">
        <w:rPr>
          <w:rFonts w:ascii="Arial" w:hAnsi="Arial" w:cs="Arial"/>
          <w:sz w:val="22"/>
          <w:szCs w:val="22"/>
        </w:rPr>
        <w:t>SRA (2018</w:t>
      </w:r>
      <w:r w:rsidR="00E40AF5" w:rsidRPr="002255D0">
        <w:rPr>
          <w:rFonts w:ascii="Arial" w:hAnsi="Arial" w:cs="Arial"/>
          <w:sz w:val="22"/>
          <w:szCs w:val="22"/>
        </w:rPr>
        <w:t>b</w:t>
      </w:r>
      <w:r w:rsidRPr="002255D0">
        <w:rPr>
          <w:rFonts w:ascii="Arial" w:hAnsi="Arial" w:cs="Arial"/>
          <w:sz w:val="22"/>
          <w:szCs w:val="22"/>
        </w:rPr>
        <w:t xml:space="preserve">) </w:t>
      </w:r>
      <w:r w:rsidR="00E40AF5" w:rsidRPr="002255D0">
        <w:rPr>
          <w:rFonts w:ascii="Arial" w:hAnsi="Arial" w:cs="Arial"/>
          <w:sz w:val="22"/>
          <w:szCs w:val="22"/>
        </w:rPr>
        <w:t xml:space="preserve">Post Consultation Responses. Available from: </w:t>
      </w:r>
      <w:hyperlink r:id="rId43" w:history="1">
        <w:r w:rsidR="00E40AF5" w:rsidRPr="002255D0">
          <w:rPr>
            <w:rFonts w:ascii="Arial" w:eastAsia="Arial Unicode MS" w:hAnsi="Arial" w:cs="Arial"/>
            <w:color w:val="0000FF"/>
            <w:sz w:val="22"/>
            <w:szCs w:val="22"/>
            <w:u w:val="single"/>
            <w:lang w:eastAsia="en-US"/>
          </w:rPr>
          <w:t>http://www.sra.org.uk/sra/consultations/lttf-phase-two-handbook-reform.page</w:t>
        </w:r>
      </w:hyperlink>
      <w:r w:rsidR="007366E0">
        <w:rPr>
          <w:rFonts w:ascii="Arial" w:eastAsia="Arial Unicode MS" w:hAnsi="Arial" w:cs="Arial"/>
          <w:color w:val="auto"/>
          <w:sz w:val="22"/>
          <w:szCs w:val="22"/>
          <w:lang w:eastAsia="en-US"/>
        </w:rPr>
        <w:t>. [</w:t>
      </w:r>
      <w:r w:rsidR="00E40AF5" w:rsidRPr="002255D0">
        <w:rPr>
          <w:rFonts w:ascii="Arial" w:eastAsia="Arial Unicode MS" w:hAnsi="Arial" w:cs="Arial"/>
          <w:color w:val="auto"/>
          <w:sz w:val="22"/>
          <w:szCs w:val="22"/>
          <w:lang w:eastAsia="en-US"/>
        </w:rPr>
        <w:t>accessed 9</w:t>
      </w:r>
      <w:r w:rsidR="00E40AF5" w:rsidRPr="002255D0">
        <w:rPr>
          <w:rFonts w:ascii="Arial" w:eastAsia="Arial Unicode MS" w:hAnsi="Arial" w:cs="Arial"/>
          <w:color w:val="auto"/>
          <w:sz w:val="22"/>
          <w:szCs w:val="22"/>
          <w:vertAlign w:val="superscript"/>
          <w:lang w:eastAsia="en-US"/>
        </w:rPr>
        <w:t>th</w:t>
      </w:r>
      <w:r w:rsidR="007366E0">
        <w:rPr>
          <w:rFonts w:ascii="Arial" w:eastAsia="Arial Unicode MS" w:hAnsi="Arial" w:cs="Arial"/>
          <w:color w:val="auto"/>
          <w:sz w:val="22"/>
          <w:szCs w:val="22"/>
          <w:lang w:eastAsia="en-US"/>
        </w:rPr>
        <w:t xml:space="preserve"> May 2019]</w:t>
      </w:r>
      <w:r w:rsidR="00E40AF5" w:rsidRPr="002255D0">
        <w:rPr>
          <w:rFonts w:ascii="Arial" w:eastAsia="Arial Unicode MS" w:hAnsi="Arial" w:cs="Arial"/>
          <w:color w:val="auto"/>
          <w:sz w:val="22"/>
          <w:szCs w:val="22"/>
          <w:lang w:eastAsia="en-US"/>
        </w:rPr>
        <w:t>.</w:t>
      </w:r>
    </w:p>
    <w:p w:rsidR="007F3175" w:rsidRPr="002255D0" w:rsidRDefault="007F3175" w:rsidP="006234ED">
      <w:pPr>
        <w:pStyle w:val="FootnoteText"/>
        <w:rPr>
          <w:rFonts w:ascii="Arial" w:hAnsi="Arial" w:cs="Arial"/>
          <w:sz w:val="22"/>
          <w:szCs w:val="22"/>
        </w:rPr>
      </w:pPr>
    </w:p>
    <w:p w:rsidR="00B87DA2" w:rsidRPr="002255D0" w:rsidRDefault="002255D0" w:rsidP="006234ED">
      <w:pPr>
        <w:pStyle w:val="FootnoteText"/>
        <w:rPr>
          <w:rFonts w:ascii="Arial" w:eastAsia="Arial Unicode MS" w:hAnsi="Arial" w:cs="Arial"/>
          <w:color w:val="auto"/>
          <w:sz w:val="22"/>
          <w:szCs w:val="22"/>
          <w:lang w:eastAsia="en-US"/>
        </w:rPr>
      </w:pPr>
      <w:r w:rsidRPr="002255D0">
        <w:rPr>
          <w:rFonts w:ascii="Arial" w:hAnsi="Arial" w:cs="Arial"/>
          <w:sz w:val="22"/>
          <w:szCs w:val="22"/>
        </w:rPr>
        <w:t xml:space="preserve">SRA (2018c), SQE to be introduced in Autumn 2021. Available from: </w:t>
      </w:r>
      <w:hyperlink r:id="rId44" w:history="1">
        <w:r w:rsidRPr="002255D0">
          <w:rPr>
            <w:rFonts w:ascii="Arial" w:eastAsia="Arial Unicode MS" w:hAnsi="Arial" w:cs="Arial"/>
            <w:color w:val="0000FF"/>
            <w:sz w:val="22"/>
            <w:szCs w:val="22"/>
            <w:u w:val="single"/>
            <w:lang w:eastAsia="en-US"/>
          </w:rPr>
          <w:t>https://www.sra.org.uk/sra/news/press/sqe-launch-2021.page</w:t>
        </w:r>
      </w:hyperlink>
      <w:r w:rsidRPr="002255D0">
        <w:rPr>
          <w:rFonts w:ascii="Arial" w:eastAsia="Arial Unicode MS" w:hAnsi="Arial" w:cs="Arial"/>
          <w:color w:val="auto"/>
          <w:sz w:val="22"/>
          <w:szCs w:val="22"/>
          <w:lang w:eastAsia="en-US"/>
        </w:rPr>
        <w:t xml:space="preserve"> [Accessed 10th May 2019]</w:t>
      </w:r>
    </w:p>
    <w:p w:rsidR="002255D0" w:rsidRPr="002255D0" w:rsidRDefault="002255D0" w:rsidP="006234ED">
      <w:pPr>
        <w:pStyle w:val="FootnoteText"/>
        <w:rPr>
          <w:rFonts w:ascii="Arial" w:hAnsi="Arial" w:cs="Arial"/>
          <w:sz w:val="22"/>
          <w:szCs w:val="22"/>
        </w:rPr>
      </w:pPr>
    </w:p>
    <w:p w:rsidR="00B87DA2" w:rsidRPr="002255D0" w:rsidRDefault="00B87DA2" w:rsidP="006234ED">
      <w:pPr>
        <w:pStyle w:val="FootnoteText"/>
        <w:rPr>
          <w:rFonts w:ascii="Arial" w:hAnsi="Arial" w:cs="Arial"/>
          <w:sz w:val="22"/>
          <w:szCs w:val="22"/>
        </w:rPr>
      </w:pPr>
      <w:r w:rsidRPr="002255D0">
        <w:rPr>
          <w:rFonts w:ascii="Arial" w:hAnsi="Arial" w:cs="Arial"/>
          <w:sz w:val="22"/>
          <w:szCs w:val="22"/>
        </w:rPr>
        <w:lastRenderedPageBreak/>
        <w:t>Solicitors Regulation Authorit</w:t>
      </w:r>
      <w:r w:rsidR="002255D0">
        <w:rPr>
          <w:rFonts w:ascii="Arial" w:hAnsi="Arial" w:cs="Arial"/>
          <w:sz w:val="22"/>
          <w:szCs w:val="22"/>
        </w:rPr>
        <w:t>y (2019), SQE Assessment Specific</w:t>
      </w:r>
      <w:r w:rsidRPr="002255D0">
        <w:rPr>
          <w:rFonts w:ascii="Arial" w:hAnsi="Arial" w:cs="Arial"/>
          <w:sz w:val="22"/>
          <w:szCs w:val="22"/>
        </w:rPr>
        <w:t xml:space="preserve">ation. Available from: </w:t>
      </w:r>
      <w:hyperlink r:id="rId45" w:anchor="blueprint" w:history="1">
        <w:r w:rsidRPr="002255D0">
          <w:rPr>
            <w:rStyle w:val="Hyperlink"/>
            <w:rFonts w:ascii="Arial" w:hAnsi="Arial" w:cs="Arial"/>
            <w:sz w:val="22"/>
            <w:szCs w:val="22"/>
          </w:rPr>
          <w:t>https://www.sra.org.uk/sra/policy/sqe/pilot/sqe-assessment-specification.page#blueprint</w:t>
        </w:r>
      </w:hyperlink>
      <w:r w:rsidRPr="002255D0">
        <w:rPr>
          <w:rFonts w:ascii="Arial" w:hAnsi="Arial" w:cs="Arial"/>
          <w:sz w:val="22"/>
          <w:szCs w:val="22"/>
        </w:rPr>
        <w:t>. [Accessed 27</w:t>
      </w:r>
      <w:r w:rsidRPr="002255D0">
        <w:rPr>
          <w:rFonts w:ascii="Arial" w:hAnsi="Arial" w:cs="Arial"/>
          <w:sz w:val="22"/>
          <w:szCs w:val="22"/>
          <w:vertAlign w:val="superscript"/>
        </w:rPr>
        <w:t>th</w:t>
      </w:r>
      <w:r w:rsidRPr="002255D0">
        <w:rPr>
          <w:rFonts w:ascii="Arial" w:hAnsi="Arial" w:cs="Arial"/>
          <w:sz w:val="22"/>
          <w:szCs w:val="22"/>
        </w:rPr>
        <w:t xml:space="preserve"> April 2019]</w:t>
      </w:r>
    </w:p>
    <w:p w:rsidR="0049445C" w:rsidRPr="002255D0" w:rsidRDefault="0049445C" w:rsidP="006234ED">
      <w:pPr>
        <w:pStyle w:val="FootnoteText"/>
        <w:rPr>
          <w:rFonts w:ascii="Arial" w:hAnsi="Arial" w:cs="Arial"/>
          <w:sz w:val="22"/>
          <w:szCs w:val="22"/>
        </w:rPr>
      </w:pPr>
    </w:p>
    <w:p w:rsidR="008A6BE5" w:rsidRPr="00467DEA" w:rsidRDefault="00B95B51">
      <w:pPr>
        <w:pStyle w:val="Body"/>
        <w:rPr>
          <w:rStyle w:val="Hyperlink0"/>
          <w:color w:val="000000" w:themeColor="text1"/>
          <w:sz w:val="22"/>
          <w:szCs w:val="22"/>
          <w:u w:val="none"/>
        </w:rPr>
      </w:pPr>
      <w:r w:rsidRPr="002255D0">
        <w:rPr>
          <w:rFonts w:ascii="Arial" w:hAnsi="Arial" w:cs="Arial"/>
          <w:lang w:val="en-US"/>
        </w:rPr>
        <w:t>Student Finance England (2019</w:t>
      </w:r>
      <w:r w:rsidR="00131802" w:rsidRPr="002255D0">
        <w:rPr>
          <w:rFonts w:ascii="Arial" w:hAnsi="Arial" w:cs="Arial"/>
          <w:lang w:val="en-US"/>
        </w:rPr>
        <w:t>)</w:t>
      </w:r>
      <w:r w:rsidR="003348A1" w:rsidRPr="002255D0">
        <w:rPr>
          <w:rFonts w:ascii="Arial" w:hAnsi="Arial" w:cs="Arial"/>
          <w:lang w:val="en-US"/>
        </w:rPr>
        <w:t>. Available from</w:t>
      </w:r>
      <w:r w:rsidR="00330AF8" w:rsidRPr="002255D0">
        <w:rPr>
          <w:rFonts w:ascii="Arial" w:hAnsi="Arial" w:cs="Arial"/>
          <w:lang w:val="en-US"/>
        </w:rPr>
        <w:t>:</w:t>
      </w:r>
      <w:r w:rsidR="00330AF8" w:rsidRPr="002255D0">
        <w:rPr>
          <w:rFonts w:ascii="Arial" w:hAnsi="Arial" w:cs="Arial"/>
        </w:rPr>
        <w:t xml:space="preserve"> </w:t>
      </w:r>
      <w:hyperlink r:id="rId46" w:history="1">
        <w:r w:rsidR="00330AF8" w:rsidRPr="002255D0">
          <w:rPr>
            <w:rStyle w:val="Hyperlink0"/>
            <w:sz w:val="22"/>
            <w:szCs w:val="22"/>
          </w:rPr>
          <w:t>https://www.gov.uk/student-finance</w:t>
        </w:r>
      </w:hyperlink>
      <w:r w:rsidR="00DD2FE7" w:rsidRPr="002255D0">
        <w:rPr>
          <w:rStyle w:val="Hyperlink0"/>
          <w:color w:val="000000" w:themeColor="text1"/>
          <w:sz w:val="22"/>
          <w:szCs w:val="22"/>
          <w:u w:val="none"/>
        </w:rPr>
        <w:t xml:space="preserve"> [</w:t>
      </w:r>
      <w:r w:rsidR="00DD2FE7" w:rsidRPr="00467DEA">
        <w:rPr>
          <w:rStyle w:val="Hyperlink0"/>
          <w:color w:val="000000" w:themeColor="text1"/>
          <w:sz w:val="22"/>
          <w:szCs w:val="22"/>
          <w:u w:val="none"/>
        </w:rPr>
        <w:t>Accessed 25</w:t>
      </w:r>
      <w:r w:rsidR="00DD2FE7" w:rsidRPr="00467DEA">
        <w:rPr>
          <w:rStyle w:val="Hyperlink0"/>
          <w:color w:val="000000" w:themeColor="text1"/>
          <w:sz w:val="22"/>
          <w:szCs w:val="22"/>
          <w:u w:val="none"/>
          <w:vertAlign w:val="superscript"/>
        </w:rPr>
        <w:t>th</w:t>
      </w:r>
      <w:r w:rsidR="00DD2FE7" w:rsidRPr="00467DEA">
        <w:rPr>
          <w:rStyle w:val="Hyperlink0"/>
          <w:color w:val="000000" w:themeColor="text1"/>
          <w:sz w:val="22"/>
          <w:szCs w:val="22"/>
          <w:u w:val="none"/>
        </w:rPr>
        <w:t xml:space="preserve"> April 2019]</w:t>
      </w:r>
      <w:r w:rsidR="006D5417" w:rsidRPr="00467DEA">
        <w:rPr>
          <w:rStyle w:val="Hyperlink0"/>
          <w:color w:val="000000" w:themeColor="text1"/>
          <w:sz w:val="22"/>
          <w:szCs w:val="22"/>
          <w:u w:val="none"/>
        </w:rPr>
        <w:t>.</w:t>
      </w:r>
    </w:p>
    <w:p w:rsidR="00467DEA" w:rsidRPr="00467DEA" w:rsidRDefault="00BD0532" w:rsidP="00467DEA">
      <w:pPr>
        <w:rPr>
          <w:rFonts w:ascii="Arial" w:eastAsia="Times New Roman" w:hAnsi="Arial" w:cs="Arial"/>
          <w:color w:val="2A2A2A"/>
          <w:sz w:val="22"/>
          <w:szCs w:val="22"/>
          <w:bdr w:val="none" w:sz="0" w:space="0" w:color="auto"/>
          <w:lang w:val="en-GB" w:eastAsia="en-GB"/>
        </w:rPr>
      </w:pPr>
      <w:r>
        <w:rPr>
          <w:rStyle w:val="Hyperlink0"/>
          <w:color w:val="000000" w:themeColor="text1"/>
          <w:sz w:val="22"/>
          <w:szCs w:val="22"/>
          <w:u w:val="none"/>
        </w:rPr>
        <w:t>Thomas, L., Vaughan, S., Malkhani, B. and Lynch, T. (eds)</w:t>
      </w:r>
      <w:r w:rsidR="00467DEA">
        <w:rPr>
          <w:rStyle w:val="Hyperlink0"/>
          <w:color w:val="000000" w:themeColor="text1"/>
          <w:sz w:val="22"/>
          <w:szCs w:val="22"/>
          <w:u w:val="none"/>
        </w:rPr>
        <w:t xml:space="preserve"> (2018), Re</w:t>
      </w:r>
      <w:r w:rsidR="00467DEA" w:rsidRPr="00467DEA">
        <w:rPr>
          <w:rStyle w:val="Hyperlink0"/>
          <w:color w:val="000000" w:themeColor="text1"/>
          <w:sz w:val="22"/>
          <w:szCs w:val="22"/>
          <w:u w:val="none"/>
        </w:rPr>
        <w:t>imaging Clinical Legal Education, Hart</w:t>
      </w:r>
      <w:r w:rsidR="00467DEA">
        <w:rPr>
          <w:rStyle w:val="Hyperlink0"/>
          <w:color w:val="000000" w:themeColor="text1"/>
          <w:sz w:val="22"/>
          <w:szCs w:val="22"/>
          <w:u w:val="none"/>
        </w:rPr>
        <w:t xml:space="preserve"> Publishing</w:t>
      </w:r>
      <w:r w:rsidR="00467DEA" w:rsidRPr="00467DEA">
        <w:rPr>
          <w:rStyle w:val="Hyperlink0"/>
          <w:color w:val="000000" w:themeColor="text1"/>
          <w:sz w:val="22"/>
          <w:szCs w:val="22"/>
          <w:u w:val="none"/>
        </w:rPr>
        <w:t xml:space="preserve">, ISBN </w:t>
      </w:r>
      <w:r w:rsidR="00467DEA" w:rsidRPr="00467DEA">
        <w:rPr>
          <w:rFonts w:ascii="Arial" w:eastAsia="Times New Roman" w:hAnsi="Arial" w:cs="Arial"/>
          <w:color w:val="2A2A2A"/>
          <w:sz w:val="22"/>
          <w:szCs w:val="22"/>
          <w:bdr w:val="none" w:sz="0" w:space="0" w:color="auto"/>
          <w:lang w:val="en-GB" w:eastAsia="en-GB"/>
        </w:rPr>
        <w:t>9781509913527</w:t>
      </w:r>
    </w:p>
    <w:p w:rsidR="00440612" w:rsidRDefault="00440612" w:rsidP="00BE391B">
      <w:pPr>
        <w:pStyle w:val="NoSpacing"/>
        <w:rPr>
          <w:rStyle w:val="Hyperlink0"/>
          <w:color w:val="000000" w:themeColor="text1"/>
          <w:sz w:val="22"/>
          <w:szCs w:val="22"/>
          <w:u w:val="none"/>
        </w:rPr>
      </w:pPr>
    </w:p>
    <w:p w:rsidR="00F805A8" w:rsidRPr="00467DEA" w:rsidRDefault="00F805A8">
      <w:pPr>
        <w:pStyle w:val="Body"/>
        <w:rPr>
          <w:rStyle w:val="Hyperlink0"/>
          <w:color w:val="000000" w:themeColor="text1"/>
          <w:sz w:val="22"/>
          <w:szCs w:val="22"/>
          <w:u w:val="none"/>
        </w:rPr>
      </w:pPr>
      <w:r>
        <w:rPr>
          <w:rStyle w:val="Hyperlink0"/>
          <w:color w:val="000000" w:themeColor="text1"/>
          <w:sz w:val="22"/>
          <w:szCs w:val="22"/>
          <w:u w:val="none"/>
        </w:rPr>
        <w:t xml:space="preserve">Twining W (1994), Blackstone’s Tower: The English Law School, Sweet &amp; Maxwell, </w:t>
      </w:r>
      <w:r w:rsidR="00A21A64">
        <w:rPr>
          <w:rStyle w:val="Hyperlink0"/>
          <w:color w:val="000000" w:themeColor="text1"/>
          <w:sz w:val="22"/>
          <w:szCs w:val="22"/>
          <w:u w:val="none"/>
        </w:rPr>
        <w:t>ISBN 0 421 53270 X</w:t>
      </w:r>
    </w:p>
    <w:p w:rsidR="00963D85" w:rsidRPr="002255D0" w:rsidRDefault="00963D85" w:rsidP="00963D85">
      <w:pPr>
        <w:pStyle w:val="FootnoteText"/>
        <w:rPr>
          <w:rFonts w:ascii="Arial" w:hAnsi="Arial" w:cs="Arial"/>
          <w:sz w:val="22"/>
          <w:szCs w:val="22"/>
          <w:lang w:val="en-GB"/>
        </w:rPr>
      </w:pPr>
      <w:r w:rsidRPr="002255D0">
        <w:rPr>
          <w:rFonts w:ascii="Arial" w:hAnsi="Arial" w:cs="Arial"/>
          <w:sz w:val="22"/>
          <w:szCs w:val="22"/>
        </w:rPr>
        <w:t xml:space="preserve">Webb J (2017) - </w:t>
      </w:r>
      <w:r w:rsidRPr="002255D0">
        <w:rPr>
          <w:rFonts w:ascii="Arial" w:hAnsi="Arial" w:cs="Arial"/>
          <w:sz w:val="22"/>
          <w:szCs w:val="22"/>
          <w:lang w:val="en-GB"/>
        </w:rPr>
        <w:t>Webb JS, Preparing for Practice in the 21</w:t>
      </w:r>
      <w:r w:rsidRPr="002255D0">
        <w:rPr>
          <w:rFonts w:ascii="Arial" w:hAnsi="Arial" w:cs="Arial"/>
          <w:sz w:val="22"/>
          <w:szCs w:val="22"/>
          <w:vertAlign w:val="superscript"/>
          <w:lang w:val="en-GB"/>
        </w:rPr>
        <w:t>st</w:t>
      </w:r>
      <w:r w:rsidRPr="002255D0">
        <w:rPr>
          <w:rFonts w:ascii="Arial" w:hAnsi="Arial" w:cs="Arial"/>
          <w:sz w:val="22"/>
          <w:szCs w:val="22"/>
          <w:lang w:val="en-GB"/>
        </w:rPr>
        <w:t xml:space="preserve"> Century: The Role of Legal Education and its Regulation, Chapter in Yearbook of Legal Education 2017, Berhard Bergmans (ed), Berliner Wissenschafts-Verlag 2018, pp 11-48</w:t>
      </w:r>
    </w:p>
    <w:p w:rsidR="00440612" w:rsidRDefault="00440612" w:rsidP="00BE391B">
      <w:pPr>
        <w:pStyle w:val="NoSpacing"/>
      </w:pPr>
    </w:p>
    <w:p w:rsidR="00957DEA" w:rsidRDefault="005218FB" w:rsidP="00BE391B">
      <w:pPr>
        <w:pStyle w:val="Body"/>
        <w:rPr>
          <w:rStyle w:val="Hyperlink0"/>
          <w:color w:val="auto"/>
          <w:sz w:val="22"/>
          <w:szCs w:val="22"/>
          <w:u w:val="none"/>
        </w:rPr>
      </w:pPr>
      <w:r w:rsidRPr="002255D0">
        <w:rPr>
          <w:rFonts w:ascii="Arial" w:hAnsi="Arial" w:cs="Arial"/>
        </w:rPr>
        <w:t xml:space="preserve">Yorke M, </w:t>
      </w:r>
      <w:r w:rsidR="00ED5169" w:rsidRPr="002255D0">
        <w:rPr>
          <w:rFonts w:ascii="Arial" w:hAnsi="Arial" w:cs="Arial"/>
        </w:rPr>
        <w:t>(20</w:t>
      </w:r>
      <w:r w:rsidR="00F52881" w:rsidRPr="002255D0">
        <w:rPr>
          <w:rFonts w:ascii="Arial" w:hAnsi="Arial" w:cs="Arial"/>
        </w:rPr>
        <w:t>06</w:t>
      </w:r>
      <w:r w:rsidR="00D74363" w:rsidRPr="002255D0">
        <w:rPr>
          <w:rFonts w:ascii="Arial" w:hAnsi="Arial" w:cs="Arial"/>
        </w:rPr>
        <w:t xml:space="preserve">), </w:t>
      </w:r>
      <w:r w:rsidRPr="002255D0">
        <w:rPr>
          <w:rFonts w:ascii="Arial" w:hAnsi="Arial" w:cs="Arial"/>
        </w:rPr>
        <w:t>E</w:t>
      </w:r>
      <w:r w:rsidRPr="005218FB">
        <w:rPr>
          <w:rFonts w:ascii="Arial" w:hAnsi="Arial"/>
        </w:rPr>
        <w:t>mployability in higher education: What it is - what it is not, Higher Education Academy</w:t>
      </w:r>
      <w:r w:rsidR="00D74363">
        <w:rPr>
          <w:rFonts w:ascii="Arial" w:hAnsi="Arial"/>
        </w:rPr>
        <w:t>. Available from:</w:t>
      </w:r>
      <w:r w:rsidRPr="005218FB">
        <w:rPr>
          <w:rFonts w:ascii="Arial" w:hAnsi="Arial"/>
        </w:rPr>
        <w:t xml:space="preserve"> </w:t>
      </w:r>
      <w:hyperlink r:id="rId47" w:history="1">
        <w:r w:rsidRPr="005218FB">
          <w:rPr>
            <w:rStyle w:val="Hyperlink0"/>
            <w:sz w:val="22"/>
            <w:szCs w:val="22"/>
          </w:rPr>
          <w:t>https://www.heacademy.ac.uk/knowledge-hub/employability-higher-education-what-it-what-it-not</w:t>
        </w:r>
      </w:hyperlink>
      <w:r w:rsidR="00F52881">
        <w:rPr>
          <w:rStyle w:val="Hyperlink0"/>
          <w:sz w:val="22"/>
          <w:szCs w:val="22"/>
        </w:rPr>
        <w:t>.</w:t>
      </w:r>
      <w:r w:rsidR="00F52881">
        <w:rPr>
          <w:rStyle w:val="Hyperlink0"/>
          <w:sz w:val="22"/>
          <w:szCs w:val="22"/>
          <w:u w:val="none"/>
        </w:rPr>
        <w:t xml:space="preserve"> </w:t>
      </w:r>
      <w:r w:rsidR="00F52881" w:rsidRPr="00F52881">
        <w:rPr>
          <w:rStyle w:val="Hyperlink0"/>
          <w:color w:val="auto"/>
          <w:sz w:val="22"/>
          <w:szCs w:val="22"/>
          <w:u w:val="none"/>
        </w:rPr>
        <w:t>[Accessed 10</w:t>
      </w:r>
      <w:r w:rsidR="00F52881" w:rsidRPr="00F52881">
        <w:rPr>
          <w:rStyle w:val="Hyperlink0"/>
          <w:color w:val="auto"/>
          <w:sz w:val="22"/>
          <w:szCs w:val="22"/>
          <w:u w:val="none"/>
          <w:vertAlign w:val="superscript"/>
        </w:rPr>
        <w:t>th</w:t>
      </w:r>
      <w:r w:rsidR="00F52881" w:rsidRPr="00F52881">
        <w:rPr>
          <w:rStyle w:val="Hyperlink0"/>
          <w:color w:val="auto"/>
          <w:sz w:val="22"/>
          <w:szCs w:val="22"/>
          <w:u w:val="none"/>
        </w:rPr>
        <w:t xml:space="preserve"> May 2019].</w:t>
      </w:r>
    </w:p>
    <w:p w:rsidR="00957DEA" w:rsidRPr="00957DEA" w:rsidRDefault="00957DEA">
      <w:pPr>
        <w:pStyle w:val="Body"/>
        <w:rPr>
          <w:rFonts w:ascii="Arial" w:hAnsi="Arial"/>
          <w:lang w:val="en-US"/>
        </w:rPr>
      </w:pPr>
      <w:r>
        <w:rPr>
          <w:rStyle w:val="Hyperlink0"/>
          <w:color w:val="auto"/>
          <w:sz w:val="22"/>
          <w:szCs w:val="22"/>
          <w:u w:val="none"/>
        </w:rPr>
        <w:t xml:space="preserve">Zhou, L. &amp; Palmer, M. (2019) Changing Legal Education in China in E. Jones &amp; F.Cownie (eds) </w:t>
      </w:r>
      <w:r>
        <w:rPr>
          <w:rStyle w:val="Hyperlink0"/>
          <w:i/>
          <w:iCs/>
          <w:color w:val="auto"/>
          <w:sz w:val="22"/>
          <w:szCs w:val="22"/>
          <w:u w:val="none"/>
        </w:rPr>
        <w:t>Key Directions in Legal Education: national and international perspectives.</w:t>
      </w:r>
    </w:p>
    <w:p w:rsidR="00AC6536" w:rsidRDefault="00AC6536">
      <w:pPr>
        <w:pStyle w:val="Body"/>
        <w:rPr>
          <w:rFonts w:ascii="Arial" w:hAnsi="Arial"/>
          <w:lang w:val="en-US"/>
        </w:rPr>
      </w:pPr>
    </w:p>
    <w:p w:rsidR="00467DEA" w:rsidRDefault="00467DEA">
      <w:pPr>
        <w:pStyle w:val="Body"/>
        <w:rPr>
          <w:rFonts w:ascii="Arial" w:hAnsi="Arial"/>
          <w:lang w:val="en-US"/>
        </w:rPr>
      </w:pPr>
    </w:p>
    <w:p w:rsidR="00467DEA" w:rsidRDefault="00467DEA">
      <w:pPr>
        <w:pStyle w:val="Body"/>
        <w:rPr>
          <w:rFonts w:ascii="Arial" w:hAnsi="Arial"/>
          <w:lang w:val="en-US"/>
        </w:rPr>
      </w:pPr>
    </w:p>
    <w:p w:rsidR="00467DEA" w:rsidRPr="005218FB" w:rsidRDefault="00467DEA">
      <w:pPr>
        <w:pStyle w:val="Body"/>
        <w:rPr>
          <w:rFonts w:ascii="Arial" w:hAnsi="Arial"/>
          <w:lang w:val="en-US"/>
        </w:rPr>
      </w:pPr>
    </w:p>
    <w:p w:rsidR="00C10658" w:rsidRDefault="00C10658">
      <w:pPr>
        <w:rPr>
          <w:rFonts w:ascii="Arial" w:eastAsiaTheme="minorHAnsi" w:hAnsi="Arial" w:cs="Arial"/>
          <w:color w:val="494A4C"/>
          <w:sz w:val="23"/>
          <w:szCs w:val="23"/>
          <w:bdr w:val="none" w:sz="0" w:space="0" w:color="auto"/>
          <w:lang w:val="en-GB" w:eastAsia="en-GB"/>
        </w:rPr>
      </w:pPr>
      <w:r>
        <w:rPr>
          <w:rFonts w:ascii="Arial" w:hAnsi="Arial" w:cs="Arial"/>
          <w:color w:val="494A4C"/>
          <w:sz w:val="23"/>
          <w:szCs w:val="23"/>
        </w:rPr>
        <w:br w:type="page"/>
      </w:r>
    </w:p>
    <w:p w:rsidR="000D7E77" w:rsidRPr="00C10658" w:rsidRDefault="00C10658" w:rsidP="000D7E77">
      <w:pPr>
        <w:pStyle w:val="NormalWeb"/>
        <w:rPr>
          <w:rFonts w:ascii="Arial" w:hAnsi="Arial" w:cs="Arial"/>
          <w:b/>
          <w:sz w:val="22"/>
          <w:szCs w:val="22"/>
        </w:rPr>
      </w:pPr>
      <w:r w:rsidRPr="00C10658">
        <w:rPr>
          <w:rFonts w:ascii="Arial" w:hAnsi="Arial" w:cs="Arial"/>
          <w:b/>
          <w:sz w:val="22"/>
          <w:szCs w:val="22"/>
        </w:rPr>
        <w:lastRenderedPageBreak/>
        <w:t>Abstract</w:t>
      </w:r>
    </w:p>
    <w:p w:rsidR="000D7E77" w:rsidRPr="00C10658" w:rsidRDefault="00C10658" w:rsidP="00C10658">
      <w:pPr>
        <w:pStyle w:val="Body"/>
        <w:rPr>
          <w:rFonts w:ascii="Arial" w:eastAsia="Arial" w:hAnsi="Arial" w:cs="Arial"/>
          <w:b/>
          <w:bCs/>
        </w:rPr>
      </w:pPr>
      <w:r>
        <w:rPr>
          <w:rFonts w:ascii="Arial" w:hAnsi="Arial"/>
          <w:b/>
          <w:bCs/>
        </w:rPr>
        <w:t xml:space="preserve">Legal Education Future(s) </w:t>
      </w:r>
      <w:r>
        <w:rPr>
          <w:rFonts w:ascii="Arial" w:hAnsi="Arial"/>
          <w:b/>
          <w:bCs/>
          <w:lang w:val="en-US"/>
        </w:rPr>
        <w:t>– The Changing Relationship between Law Schools and the Legal Profession</w:t>
      </w:r>
    </w:p>
    <w:p w:rsidR="007366E0" w:rsidRDefault="007366E0">
      <w:pPr>
        <w:rPr>
          <w:rFonts w:ascii="Arial" w:hAnsi="Arial"/>
        </w:rPr>
      </w:pPr>
    </w:p>
    <w:p w:rsidR="007366E0" w:rsidRDefault="00440612">
      <w:pPr>
        <w:rPr>
          <w:rFonts w:ascii="Arial" w:hAnsi="Arial"/>
        </w:rPr>
      </w:pPr>
      <w:r>
        <w:rPr>
          <w:rFonts w:ascii="Arial" w:hAnsi="Arial"/>
        </w:rPr>
        <w:t xml:space="preserve">In the England and Wales the relationship between law schools and the legal profession is changing. Both higher education and the legal profession are undergoing a shift away from </w:t>
      </w:r>
      <w:r w:rsidR="007366E0">
        <w:rPr>
          <w:rFonts w:ascii="Arial" w:hAnsi="Arial"/>
        </w:rPr>
        <w:t>traditional professional self-regulation towards regulation by market forces. The Solicitors Regulation Authority are proposing to change the way Solicitors qualify, introducing a new, central</w:t>
      </w:r>
      <w:r>
        <w:rPr>
          <w:rFonts w:ascii="Arial" w:hAnsi="Arial"/>
        </w:rPr>
        <w:t>ly</w:t>
      </w:r>
      <w:r w:rsidR="007366E0">
        <w:rPr>
          <w:rFonts w:ascii="Arial" w:hAnsi="Arial"/>
        </w:rPr>
        <w:t xml:space="preserve"> set and assessed </w:t>
      </w:r>
      <w:r w:rsidR="00C10658">
        <w:rPr>
          <w:rFonts w:ascii="Arial" w:hAnsi="Arial"/>
        </w:rPr>
        <w:t xml:space="preserve">Solicitors Qualifying Examination (SQE). One key difference between the proposals and the current arrangements is that a law degree or equivalent is no longer required for qualification. Another is that in future neither the </w:t>
      </w:r>
      <w:r w:rsidR="00BD0532">
        <w:rPr>
          <w:rFonts w:ascii="Arial" w:hAnsi="Arial"/>
        </w:rPr>
        <w:t>law schools</w:t>
      </w:r>
      <w:r w:rsidR="00C10658">
        <w:rPr>
          <w:rFonts w:ascii="Arial" w:hAnsi="Arial"/>
        </w:rPr>
        <w:t xml:space="preserve"> nor the profession are to be involved in the certification of competence to practice. Despite meeting considerable opposition from both legal practitioners and academics, the proposals are set to be introduced in Autumn 2021.</w:t>
      </w:r>
      <w:r>
        <w:rPr>
          <w:rFonts w:ascii="Arial" w:hAnsi="Arial"/>
        </w:rPr>
        <w:t xml:space="preserve"> This chapter explores the concerns about SQE and the challenges and opportunities the proposals prese</w:t>
      </w:r>
      <w:r w:rsidR="00BD0532">
        <w:rPr>
          <w:rFonts w:ascii="Arial" w:hAnsi="Arial"/>
        </w:rPr>
        <w:t>nt, both for law s</w:t>
      </w:r>
      <w:r>
        <w:rPr>
          <w:rFonts w:ascii="Arial" w:hAnsi="Arial"/>
        </w:rPr>
        <w:t xml:space="preserve">chools that may develop courses that address SQE and those that don’t. </w:t>
      </w:r>
      <w:r w:rsidR="000516AC">
        <w:rPr>
          <w:rFonts w:ascii="Arial" w:hAnsi="Arial"/>
        </w:rPr>
        <w:t xml:space="preserve">It concludes that despite the concerns, there is an opportunity of all </w:t>
      </w:r>
      <w:r w:rsidR="00BD0532">
        <w:rPr>
          <w:rFonts w:ascii="Arial" w:hAnsi="Arial"/>
        </w:rPr>
        <w:t>law s</w:t>
      </w:r>
      <w:r w:rsidR="000516AC">
        <w:rPr>
          <w:rFonts w:ascii="Arial" w:hAnsi="Arial"/>
        </w:rPr>
        <w:t xml:space="preserve">chools to redesign their courses with distinct pedagogies and to move out of the shadow of the professional bodies’ historic insistence on core foundation subjects and preference for unseen examinations. It also concludes that for law schools engaged </w:t>
      </w:r>
      <w:r w:rsidR="00BD0532">
        <w:rPr>
          <w:rFonts w:ascii="Arial" w:hAnsi="Arial"/>
        </w:rPr>
        <w:t xml:space="preserve">in </w:t>
      </w:r>
      <w:r w:rsidR="000516AC">
        <w:rPr>
          <w:rFonts w:ascii="Arial" w:hAnsi="Arial"/>
        </w:rPr>
        <w:t xml:space="preserve">or interested in Clinical Legal Education </w:t>
      </w:r>
      <w:r>
        <w:rPr>
          <w:rFonts w:ascii="Arial" w:hAnsi="Arial"/>
        </w:rPr>
        <w:t xml:space="preserve">there is an opportunity to expand the experiential learning content </w:t>
      </w:r>
      <w:r w:rsidR="000516AC">
        <w:rPr>
          <w:rFonts w:ascii="Arial" w:hAnsi="Arial"/>
        </w:rPr>
        <w:t xml:space="preserve">of their </w:t>
      </w:r>
      <w:r>
        <w:rPr>
          <w:rFonts w:ascii="Arial" w:hAnsi="Arial"/>
        </w:rPr>
        <w:t>courses in way</w:t>
      </w:r>
      <w:r w:rsidR="000516AC">
        <w:rPr>
          <w:rFonts w:ascii="Arial" w:hAnsi="Arial"/>
        </w:rPr>
        <w:t>s that address both</w:t>
      </w:r>
      <w:r>
        <w:rPr>
          <w:rFonts w:ascii="Arial" w:hAnsi="Arial"/>
        </w:rPr>
        <w:t xml:space="preserve"> professional practice and academic outcomes.</w:t>
      </w:r>
    </w:p>
    <w:p w:rsidR="00C10658" w:rsidRDefault="00C10658">
      <w:pPr>
        <w:rPr>
          <w:rFonts w:ascii="Arial" w:hAnsi="Arial"/>
        </w:rPr>
      </w:pPr>
    </w:p>
    <w:p w:rsidR="00C10658" w:rsidRDefault="00C10658">
      <w:pPr>
        <w:rPr>
          <w:rFonts w:ascii="Arial" w:hAnsi="Arial"/>
        </w:rPr>
      </w:pPr>
      <w:r>
        <w:rPr>
          <w:rFonts w:ascii="Arial" w:hAnsi="Arial"/>
        </w:rPr>
        <w:t xml:space="preserve">Andy Unger </w:t>
      </w:r>
      <w:hyperlink r:id="rId48" w:history="1">
        <w:r>
          <w:rPr>
            <w:rStyle w:val="Hyperlink"/>
            <w:rFonts w:ascii="Arial" w:hAnsi="Arial" w:cs="Arial"/>
            <w:sz w:val="23"/>
            <w:szCs w:val="23"/>
          </w:rPr>
          <w:t>https://orcid.org/0000-0001-7932-1461</w:t>
        </w:r>
      </w:hyperlink>
    </w:p>
    <w:sectPr w:rsidR="00C10658" w:rsidSect="003803E2">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4B37" w:rsidRDefault="00B54B37" w:rsidP="003803E2">
      <w:r>
        <w:separator/>
      </w:r>
    </w:p>
  </w:endnote>
  <w:endnote w:type="continuationSeparator" w:id="0">
    <w:p w:rsidR="00B54B37" w:rsidRDefault="00B54B37" w:rsidP="00380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auto"/>
    <w:pitch w:val="variable"/>
    <w:sig w:usb0="E50002FF" w:usb1="500079DB" w:usb2="0000001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4B37" w:rsidRDefault="00B54B37">
      <w:r>
        <w:separator/>
      </w:r>
    </w:p>
  </w:footnote>
  <w:footnote w:type="continuationSeparator" w:id="0">
    <w:p w:rsidR="00B54B37" w:rsidRDefault="00B54B37">
      <w:r>
        <w:continuationSeparator/>
      </w:r>
    </w:p>
  </w:footnote>
  <w:footnote w:type="continuationNotice" w:id="1">
    <w:p w:rsidR="00B54B37" w:rsidRDefault="00B54B37"/>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D2BD5"/>
    <w:multiLevelType w:val="hybridMultilevel"/>
    <w:tmpl w:val="6DF2591C"/>
    <w:styleLink w:val="ImportedStyle2"/>
    <w:lvl w:ilvl="0" w:tplc="F434F17C">
      <w:start w:val="1"/>
      <w:numFmt w:val="bullet"/>
      <w:lvlText w:val="•"/>
      <w:lvlJc w:val="left"/>
      <w:pPr>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1" w:tplc="BB6A6098">
      <w:start w:val="1"/>
      <w:numFmt w:val="bullet"/>
      <w:lvlText w:val="•"/>
      <w:lvlJc w:val="left"/>
      <w:pPr>
        <w:tabs>
          <w:tab w:val="left" w:pos="720"/>
        </w:tabs>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tplc="0C7E978C">
      <w:start w:val="1"/>
      <w:numFmt w:val="bullet"/>
      <w:lvlText w:val="•"/>
      <w:lvlJc w:val="left"/>
      <w:pPr>
        <w:tabs>
          <w:tab w:val="left" w:pos="720"/>
        </w:tabs>
        <w:ind w:left="21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4F224AE0">
      <w:start w:val="1"/>
      <w:numFmt w:val="bullet"/>
      <w:lvlText w:val="•"/>
      <w:lvlJc w:val="left"/>
      <w:pPr>
        <w:tabs>
          <w:tab w:val="left" w:pos="720"/>
        </w:tabs>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07B85AC2">
      <w:start w:val="1"/>
      <w:numFmt w:val="bullet"/>
      <w:lvlText w:val="•"/>
      <w:lvlJc w:val="left"/>
      <w:pPr>
        <w:tabs>
          <w:tab w:val="left" w:pos="720"/>
        </w:tabs>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3FDA2328">
      <w:start w:val="1"/>
      <w:numFmt w:val="bullet"/>
      <w:lvlText w:val="•"/>
      <w:lvlJc w:val="left"/>
      <w:pPr>
        <w:tabs>
          <w:tab w:val="left" w:pos="720"/>
        </w:tabs>
        <w:ind w:left="43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34C60D8E">
      <w:start w:val="1"/>
      <w:numFmt w:val="bullet"/>
      <w:lvlText w:val="•"/>
      <w:lvlJc w:val="left"/>
      <w:pPr>
        <w:tabs>
          <w:tab w:val="left" w:pos="720"/>
        </w:tabs>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78B67EE2">
      <w:start w:val="1"/>
      <w:numFmt w:val="bullet"/>
      <w:lvlText w:val="•"/>
      <w:lvlJc w:val="left"/>
      <w:pPr>
        <w:tabs>
          <w:tab w:val="left" w:pos="720"/>
        </w:tabs>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3668B87C">
      <w:start w:val="1"/>
      <w:numFmt w:val="bullet"/>
      <w:lvlText w:val="•"/>
      <w:lvlJc w:val="left"/>
      <w:pPr>
        <w:tabs>
          <w:tab w:val="left" w:pos="720"/>
        </w:tabs>
        <w:ind w:left="64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abstractNum w:abstractNumId="1" w15:restartNumberingAfterBreak="0">
    <w:nsid w:val="15191D84"/>
    <w:multiLevelType w:val="hybridMultilevel"/>
    <w:tmpl w:val="5A8C481E"/>
    <w:numStyleLink w:val="ImportedStyle1"/>
  </w:abstractNum>
  <w:abstractNum w:abstractNumId="2" w15:restartNumberingAfterBreak="0">
    <w:nsid w:val="1C941177"/>
    <w:multiLevelType w:val="hybridMultilevel"/>
    <w:tmpl w:val="5A8C481E"/>
    <w:styleLink w:val="ImportedStyle1"/>
    <w:lvl w:ilvl="0" w:tplc="32569A16">
      <w:start w:val="1"/>
      <w:numFmt w:val="bullet"/>
      <w:lvlText w:val="•"/>
      <w:lvlJc w:val="left"/>
      <w:pPr>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1" w:tplc="DCC86052">
      <w:start w:val="1"/>
      <w:numFmt w:val="bullet"/>
      <w:lvlText w:val="•"/>
      <w:lvlJc w:val="left"/>
      <w:pPr>
        <w:tabs>
          <w:tab w:val="left" w:pos="720"/>
        </w:tabs>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tplc="BCC44BB2">
      <w:start w:val="1"/>
      <w:numFmt w:val="bullet"/>
      <w:lvlText w:val="•"/>
      <w:lvlJc w:val="left"/>
      <w:pPr>
        <w:tabs>
          <w:tab w:val="left" w:pos="720"/>
        </w:tabs>
        <w:ind w:left="21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4ED0E73E">
      <w:start w:val="1"/>
      <w:numFmt w:val="bullet"/>
      <w:lvlText w:val="•"/>
      <w:lvlJc w:val="left"/>
      <w:pPr>
        <w:tabs>
          <w:tab w:val="left" w:pos="720"/>
        </w:tabs>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C7F23FBA">
      <w:start w:val="1"/>
      <w:numFmt w:val="bullet"/>
      <w:lvlText w:val="•"/>
      <w:lvlJc w:val="left"/>
      <w:pPr>
        <w:tabs>
          <w:tab w:val="left" w:pos="720"/>
        </w:tabs>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0D1436E4">
      <w:start w:val="1"/>
      <w:numFmt w:val="bullet"/>
      <w:lvlText w:val="•"/>
      <w:lvlJc w:val="left"/>
      <w:pPr>
        <w:tabs>
          <w:tab w:val="left" w:pos="720"/>
        </w:tabs>
        <w:ind w:left="43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1674B664">
      <w:start w:val="1"/>
      <w:numFmt w:val="bullet"/>
      <w:lvlText w:val="•"/>
      <w:lvlJc w:val="left"/>
      <w:pPr>
        <w:tabs>
          <w:tab w:val="left" w:pos="720"/>
        </w:tabs>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B3987096">
      <w:start w:val="1"/>
      <w:numFmt w:val="bullet"/>
      <w:lvlText w:val="•"/>
      <w:lvlJc w:val="left"/>
      <w:pPr>
        <w:tabs>
          <w:tab w:val="left" w:pos="720"/>
        </w:tabs>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C00285D2">
      <w:start w:val="1"/>
      <w:numFmt w:val="bullet"/>
      <w:lvlText w:val="•"/>
      <w:lvlJc w:val="left"/>
      <w:pPr>
        <w:tabs>
          <w:tab w:val="left" w:pos="720"/>
        </w:tabs>
        <w:ind w:left="64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abstractNum w:abstractNumId="3" w15:restartNumberingAfterBreak="0">
    <w:nsid w:val="35651CEE"/>
    <w:multiLevelType w:val="hybridMultilevel"/>
    <w:tmpl w:val="6DF2591C"/>
    <w:numStyleLink w:val="ImportedStyle2"/>
  </w:abstractNum>
  <w:abstractNum w:abstractNumId="4" w15:restartNumberingAfterBreak="0">
    <w:nsid w:val="5C920EC5"/>
    <w:multiLevelType w:val="multilevel"/>
    <w:tmpl w:val="BB4E5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defaultTabStop w:val="720"/>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3E2"/>
    <w:rsid w:val="000043A1"/>
    <w:rsid w:val="00005419"/>
    <w:rsid w:val="00010A14"/>
    <w:rsid w:val="00010B5A"/>
    <w:rsid w:val="00017559"/>
    <w:rsid w:val="00022F72"/>
    <w:rsid w:val="00025B4E"/>
    <w:rsid w:val="0003505A"/>
    <w:rsid w:val="00037A98"/>
    <w:rsid w:val="00043051"/>
    <w:rsid w:val="000474F7"/>
    <w:rsid w:val="000516AC"/>
    <w:rsid w:val="00052953"/>
    <w:rsid w:val="00056B6B"/>
    <w:rsid w:val="00057A9B"/>
    <w:rsid w:val="00062FC9"/>
    <w:rsid w:val="00063038"/>
    <w:rsid w:val="00067B33"/>
    <w:rsid w:val="00081AD2"/>
    <w:rsid w:val="0008215C"/>
    <w:rsid w:val="00090936"/>
    <w:rsid w:val="00092090"/>
    <w:rsid w:val="0009671E"/>
    <w:rsid w:val="000B06B9"/>
    <w:rsid w:val="000B2336"/>
    <w:rsid w:val="000C0D1A"/>
    <w:rsid w:val="000C4F34"/>
    <w:rsid w:val="000C6D32"/>
    <w:rsid w:val="000D1436"/>
    <w:rsid w:val="000D7E77"/>
    <w:rsid w:val="000E3E83"/>
    <w:rsid w:val="000E5CE0"/>
    <w:rsid w:val="000E7003"/>
    <w:rsid w:val="000E752E"/>
    <w:rsid w:val="000F04A3"/>
    <w:rsid w:val="0010052D"/>
    <w:rsid w:val="00100A6B"/>
    <w:rsid w:val="00101662"/>
    <w:rsid w:val="00114037"/>
    <w:rsid w:val="0011410B"/>
    <w:rsid w:val="00115A24"/>
    <w:rsid w:val="00127AC3"/>
    <w:rsid w:val="00131802"/>
    <w:rsid w:val="00135510"/>
    <w:rsid w:val="001414F6"/>
    <w:rsid w:val="00141CAB"/>
    <w:rsid w:val="001500D3"/>
    <w:rsid w:val="001535E7"/>
    <w:rsid w:val="00155CFF"/>
    <w:rsid w:val="0015750D"/>
    <w:rsid w:val="00165C55"/>
    <w:rsid w:val="00166CFA"/>
    <w:rsid w:val="00174D2A"/>
    <w:rsid w:val="0019251D"/>
    <w:rsid w:val="00193610"/>
    <w:rsid w:val="0019529C"/>
    <w:rsid w:val="001A32FF"/>
    <w:rsid w:val="001A700B"/>
    <w:rsid w:val="001C1C1F"/>
    <w:rsid w:val="001E1B20"/>
    <w:rsid w:val="001E6854"/>
    <w:rsid w:val="001F2BC3"/>
    <w:rsid w:val="001F2D82"/>
    <w:rsid w:val="002012D9"/>
    <w:rsid w:val="00201F23"/>
    <w:rsid w:val="00206E04"/>
    <w:rsid w:val="00217D57"/>
    <w:rsid w:val="002255D0"/>
    <w:rsid w:val="00226B79"/>
    <w:rsid w:val="00230603"/>
    <w:rsid w:val="00232A4A"/>
    <w:rsid w:val="00233917"/>
    <w:rsid w:val="002372EF"/>
    <w:rsid w:val="00241630"/>
    <w:rsid w:val="00244423"/>
    <w:rsid w:val="002469B2"/>
    <w:rsid w:val="0025141A"/>
    <w:rsid w:val="00262265"/>
    <w:rsid w:val="0026613F"/>
    <w:rsid w:val="00271310"/>
    <w:rsid w:val="00276DFF"/>
    <w:rsid w:val="0028616B"/>
    <w:rsid w:val="002920F9"/>
    <w:rsid w:val="00292D42"/>
    <w:rsid w:val="00295D42"/>
    <w:rsid w:val="00297FE8"/>
    <w:rsid w:val="002A2D9A"/>
    <w:rsid w:val="002A34A7"/>
    <w:rsid w:val="002A6462"/>
    <w:rsid w:val="002C3701"/>
    <w:rsid w:val="002D5472"/>
    <w:rsid w:val="002E73E3"/>
    <w:rsid w:val="002F3760"/>
    <w:rsid w:val="003103EE"/>
    <w:rsid w:val="0031552C"/>
    <w:rsid w:val="00317F5D"/>
    <w:rsid w:val="003217D5"/>
    <w:rsid w:val="00327F3E"/>
    <w:rsid w:val="00330AF8"/>
    <w:rsid w:val="003348A1"/>
    <w:rsid w:val="003428B6"/>
    <w:rsid w:val="003434E8"/>
    <w:rsid w:val="00355FDC"/>
    <w:rsid w:val="00357A6A"/>
    <w:rsid w:val="00365799"/>
    <w:rsid w:val="003673CB"/>
    <w:rsid w:val="003768ED"/>
    <w:rsid w:val="003803E2"/>
    <w:rsid w:val="003830B5"/>
    <w:rsid w:val="00387ECC"/>
    <w:rsid w:val="00393F0F"/>
    <w:rsid w:val="00396B25"/>
    <w:rsid w:val="003975A2"/>
    <w:rsid w:val="003A185D"/>
    <w:rsid w:val="003B4115"/>
    <w:rsid w:val="003C048A"/>
    <w:rsid w:val="003C0D63"/>
    <w:rsid w:val="003C32C4"/>
    <w:rsid w:val="003C49C8"/>
    <w:rsid w:val="003D282E"/>
    <w:rsid w:val="003D2892"/>
    <w:rsid w:val="003D45C6"/>
    <w:rsid w:val="003D4CAB"/>
    <w:rsid w:val="003E282B"/>
    <w:rsid w:val="003E49C3"/>
    <w:rsid w:val="003F24AE"/>
    <w:rsid w:val="003F4A79"/>
    <w:rsid w:val="0040346B"/>
    <w:rsid w:val="004058A5"/>
    <w:rsid w:val="004063E4"/>
    <w:rsid w:val="00406E54"/>
    <w:rsid w:val="00417518"/>
    <w:rsid w:val="00420809"/>
    <w:rsid w:val="00436B1A"/>
    <w:rsid w:val="00440612"/>
    <w:rsid w:val="00441D5A"/>
    <w:rsid w:val="00442914"/>
    <w:rsid w:val="0046065C"/>
    <w:rsid w:val="00462675"/>
    <w:rsid w:val="0046313E"/>
    <w:rsid w:val="00467DEA"/>
    <w:rsid w:val="00471327"/>
    <w:rsid w:val="00472CF2"/>
    <w:rsid w:val="00476E04"/>
    <w:rsid w:val="00490C69"/>
    <w:rsid w:val="0049445C"/>
    <w:rsid w:val="004A06B0"/>
    <w:rsid w:val="004A5F22"/>
    <w:rsid w:val="004B123C"/>
    <w:rsid w:val="004D7D7A"/>
    <w:rsid w:val="004E11C4"/>
    <w:rsid w:val="004F7BF6"/>
    <w:rsid w:val="005154CE"/>
    <w:rsid w:val="00516734"/>
    <w:rsid w:val="005218FB"/>
    <w:rsid w:val="00523C17"/>
    <w:rsid w:val="00525229"/>
    <w:rsid w:val="005355E0"/>
    <w:rsid w:val="00536F53"/>
    <w:rsid w:val="005467F3"/>
    <w:rsid w:val="00560F56"/>
    <w:rsid w:val="00561326"/>
    <w:rsid w:val="00562FFF"/>
    <w:rsid w:val="00574630"/>
    <w:rsid w:val="00575D18"/>
    <w:rsid w:val="00582BB5"/>
    <w:rsid w:val="00590DEB"/>
    <w:rsid w:val="00591497"/>
    <w:rsid w:val="005A3842"/>
    <w:rsid w:val="005B6324"/>
    <w:rsid w:val="005C0BFE"/>
    <w:rsid w:val="005C3BAB"/>
    <w:rsid w:val="005C45D5"/>
    <w:rsid w:val="005C4783"/>
    <w:rsid w:val="005C4EEF"/>
    <w:rsid w:val="005C677A"/>
    <w:rsid w:val="005D6223"/>
    <w:rsid w:val="005D6FED"/>
    <w:rsid w:val="005D7EC8"/>
    <w:rsid w:val="005E0441"/>
    <w:rsid w:val="005E7E4E"/>
    <w:rsid w:val="005F5ACE"/>
    <w:rsid w:val="005F7585"/>
    <w:rsid w:val="006127C9"/>
    <w:rsid w:val="006146C1"/>
    <w:rsid w:val="00616B83"/>
    <w:rsid w:val="006172B7"/>
    <w:rsid w:val="00617A2A"/>
    <w:rsid w:val="00620556"/>
    <w:rsid w:val="00620D6F"/>
    <w:rsid w:val="00624DF7"/>
    <w:rsid w:val="00631F63"/>
    <w:rsid w:val="00645353"/>
    <w:rsid w:val="00645D35"/>
    <w:rsid w:val="00652176"/>
    <w:rsid w:val="00677FAA"/>
    <w:rsid w:val="00684832"/>
    <w:rsid w:val="0069447B"/>
    <w:rsid w:val="006A0B84"/>
    <w:rsid w:val="006A1B0C"/>
    <w:rsid w:val="006B5542"/>
    <w:rsid w:val="006C651D"/>
    <w:rsid w:val="006D3627"/>
    <w:rsid w:val="006D5417"/>
    <w:rsid w:val="006E265B"/>
    <w:rsid w:val="006E371D"/>
    <w:rsid w:val="006E408C"/>
    <w:rsid w:val="006E432B"/>
    <w:rsid w:val="0070218D"/>
    <w:rsid w:val="00704ED4"/>
    <w:rsid w:val="00720291"/>
    <w:rsid w:val="0072583C"/>
    <w:rsid w:val="00733F53"/>
    <w:rsid w:val="007366E0"/>
    <w:rsid w:val="00772599"/>
    <w:rsid w:val="00784D13"/>
    <w:rsid w:val="00785F8B"/>
    <w:rsid w:val="00793ADA"/>
    <w:rsid w:val="007A215B"/>
    <w:rsid w:val="007A494F"/>
    <w:rsid w:val="007A5476"/>
    <w:rsid w:val="007B59BF"/>
    <w:rsid w:val="007C5ABA"/>
    <w:rsid w:val="007D1C45"/>
    <w:rsid w:val="007F3175"/>
    <w:rsid w:val="007F4E07"/>
    <w:rsid w:val="008265CA"/>
    <w:rsid w:val="008346AB"/>
    <w:rsid w:val="00844C77"/>
    <w:rsid w:val="00845C98"/>
    <w:rsid w:val="0086108F"/>
    <w:rsid w:val="0086514A"/>
    <w:rsid w:val="00874304"/>
    <w:rsid w:val="0087563B"/>
    <w:rsid w:val="00877D54"/>
    <w:rsid w:val="00881247"/>
    <w:rsid w:val="008832B3"/>
    <w:rsid w:val="00893C72"/>
    <w:rsid w:val="008A3546"/>
    <w:rsid w:val="008A3A7A"/>
    <w:rsid w:val="008A555C"/>
    <w:rsid w:val="008A6BE5"/>
    <w:rsid w:val="008B4D1C"/>
    <w:rsid w:val="008D0BF0"/>
    <w:rsid w:val="008D2BA9"/>
    <w:rsid w:val="008E4E06"/>
    <w:rsid w:val="008E5DE4"/>
    <w:rsid w:val="00925F7A"/>
    <w:rsid w:val="00926E3B"/>
    <w:rsid w:val="00936870"/>
    <w:rsid w:val="009432C6"/>
    <w:rsid w:val="0094470B"/>
    <w:rsid w:val="0094629D"/>
    <w:rsid w:val="009565B9"/>
    <w:rsid w:val="00956F33"/>
    <w:rsid w:val="00957DEA"/>
    <w:rsid w:val="00962393"/>
    <w:rsid w:val="00963D85"/>
    <w:rsid w:val="00965266"/>
    <w:rsid w:val="009710DE"/>
    <w:rsid w:val="00973EBD"/>
    <w:rsid w:val="0097648C"/>
    <w:rsid w:val="00976C89"/>
    <w:rsid w:val="0097735E"/>
    <w:rsid w:val="009778F1"/>
    <w:rsid w:val="0098546D"/>
    <w:rsid w:val="00987708"/>
    <w:rsid w:val="00991EB4"/>
    <w:rsid w:val="009A5EB5"/>
    <w:rsid w:val="009B00CF"/>
    <w:rsid w:val="009B6EB4"/>
    <w:rsid w:val="009C1C0F"/>
    <w:rsid w:val="009C7D75"/>
    <w:rsid w:val="009E0FA0"/>
    <w:rsid w:val="009E6922"/>
    <w:rsid w:val="009F3865"/>
    <w:rsid w:val="009F4FB3"/>
    <w:rsid w:val="00A078E1"/>
    <w:rsid w:val="00A21A64"/>
    <w:rsid w:val="00A34CD5"/>
    <w:rsid w:val="00A3764F"/>
    <w:rsid w:val="00A431F6"/>
    <w:rsid w:val="00A46E21"/>
    <w:rsid w:val="00A47557"/>
    <w:rsid w:val="00A62061"/>
    <w:rsid w:val="00A66D01"/>
    <w:rsid w:val="00A74889"/>
    <w:rsid w:val="00A81953"/>
    <w:rsid w:val="00A82A7A"/>
    <w:rsid w:val="00A92A28"/>
    <w:rsid w:val="00AA1B47"/>
    <w:rsid w:val="00AB4E4B"/>
    <w:rsid w:val="00AB6AD8"/>
    <w:rsid w:val="00AC363B"/>
    <w:rsid w:val="00AC6536"/>
    <w:rsid w:val="00AD02B9"/>
    <w:rsid w:val="00AD2109"/>
    <w:rsid w:val="00AF7E61"/>
    <w:rsid w:val="00B01523"/>
    <w:rsid w:val="00B0607D"/>
    <w:rsid w:val="00B355B4"/>
    <w:rsid w:val="00B45396"/>
    <w:rsid w:val="00B531CD"/>
    <w:rsid w:val="00B54B37"/>
    <w:rsid w:val="00B551A2"/>
    <w:rsid w:val="00B605B1"/>
    <w:rsid w:val="00B60C47"/>
    <w:rsid w:val="00B61E08"/>
    <w:rsid w:val="00B75C6D"/>
    <w:rsid w:val="00B7611F"/>
    <w:rsid w:val="00B80EF2"/>
    <w:rsid w:val="00B87DA2"/>
    <w:rsid w:val="00B95B51"/>
    <w:rsid w:val="00BA1F1B"/>
    <w:rsid w:val="00BA329A"/>
    <w:rsid w:val="00BB0AC9"/>
    <w:rsid w:val="00BB0FFF"/>
    <w:rsid w:val="00BC7E3F"/>
    <w:rsid w:val="00BD0532"/>
    <w:rsid w:val="00BD2AF2"/>
    <w:rsid w:val="00BE1302"/>
    <w:rsid w:val="00BE2FE5"/>
    <w:rsid w:val="00BE391B"/>
    <w:rsid w:val="00BF0901"/>
    <w:rsid w:val="00C10658"/>
    <w:rsid w:val="00C2465D"/>
    <w:rsid w:val="00C27D48"/>
    <w:rsid w:val="00C32FCD"/>
    <w:rsid w:val="00C43806"/>
    <w:rsid w:val="00C61109"/>
    <w:rsid w:val="00C70BE1"/>
    <w:rsid w:val="00C7230D"/>
    <w:rsid w:val="00C72896"/>
    <w:rsid w:val="00C734BD"/>
    <w:rsid w:val="00C81781"/>
    <w:rsid w:val="00C9408F"/>
    <w:rsid w:val="00C95329"/>
    <w:rsid w:val="00CA5B52"/>
    <w:rsid w:val="00CC28AF"/>
    <w:rsid w:val="00CC7768"/>
    <w:rsid w:val="00CD0B59"/>
    <w:rsid w:val="00CD1C14"/>
    <w:rsid w:val="00CD56C0"/>
    <w:rsid w:val="00CD65BE"/>
    <w:rsid w:val="00D0169A"/>
    <w:rsid w:val="00D05E0F"/>
    <w:rsid w:val="00D161AD"/>
    <w:rsid w:val="00D23BF9"/>
    <w:rsid w:val="00D26E6B"/>
    <w:rsid w:val="00D31B96"/>
    <w:rsid w:val="00D339A6"/>
    <w:rsid w:val="00D506F1"/>
    <w:rsid w:val="00D53591"/>
    <w:rsid w:val="00D56F4D"/>
    <w:rsid w:val="00D64F77"/>
    <w:rsid w:val="00D67AC8"/>
    <w:rsid w:val="00D74363"/>
    <w:rsid w:val="00D80089"/>
    <w:rsid w:val="00D93827"/>
    <w:rsid w:val="00D97860"/>
    <w:rsid w:val="00D979A6"/>
    <w:rsid w:val="00DB20B3"/>
    <w:rsid w:val="00DB4035"/>
    <w:rsid w:val="00DC0F82"/>
    <w:rsid w:val="00DC2180"/>
    <w:rsid w:val="00DC2BF6"/>
    <w:rsid w:val="00DC7A8A"/>
    <w:rsid w:val="00DD2FE7"/>
    <w:rsid w:val="00DE45B7"/>
    <w:rsid w:val="00E229A0"/>
    <w:rsid w:val="00E34013"/>
    <w:rsid w:val="00E3743C"/>
    <w:rsid w:val="00E40AF5"/>
    <w:rsid w:val="00E44DAD"/>
    <w:rsid w:val="00E57B78"/>
    <w:rsid w:val="00E66BFC"/>
    <w:rsid w:val="00E67A8C"/>
    <w:rsid w:val="00E722C3"/>
    <w:rsid w:val="00E72747"/>
    <w:rsid w:val="00E941D4"/>
    <w:rsid w:val="00E96DB6"/>
    <w:rsid w:val="00EA4B98"/>
    <w:rsid w:val="00EA54DC"/>
    <w:rsid w:val="00EB2B27"/>
    <w:rsid w:val="00EB4F47"/>
    <w:rsid w:val="00EC246A"/>
    <w:rsid w:val="00EC50C4"/>
    <w:rsid w:val="00EC6D0A"/>
    <w:rsid w:val="00ED5169"/>
    <w:rsid w:val="00EF44D3"/>
    <w:rsid w:val="00EF543A"/>
    <w:rsid w:val="00EF6F89"/>
    <w:rsid w:val="00F014F3"/>
    <w:rsid w:val="00F07D5D"/>
    <w:rsid w:val="00F100AB"/>
    <w:rsid w:val="00F11A0E"/>
    <w:rsid w:val="00F157BC"/>
    <w:rsid w:val="00F24B6A"/>
    <w:rsid w:val="00F31162"/>
    <w:rsid w:val="00F31C0B"/>
    <w:rsid w:val="00F32EE5"/>
    <w:rsid w:val="00F42445"/>
    <w:rsid w:val="00F42F60"/>
    <w:rsid w:val="00F431DB"/>
    <w:rsid w:val="00F446E5"/>
    <w:rsid w:val="00F4518A"/>
    <w:rsid w:val="00F45893"/>
    <w:rsid w:val="00F500E0"/>
    <w:rsid w:val="00F52881"/>
    <w:rsid w:val="00F6049D"/>
    <w:rsid w:val="00F61F5C"/>
    <w:rsid w:val="00F705F9"/>
    <w:rsid w:val="00F74BDF"/>
    <w:rsid w:val="00F7520C"/>
    <w:rsid w:val="00F805A8"/>
    <w:rsid w:val="00F86FFE"/>
    <w:rsid w:val="00F9085C"/>
    <w:rsid w:val="00F97280"/>
    <w:rsid w:val="00FA3479"/>
    <w:rsid w:val="00FA4F39"/>
    <w:rsid w:val="00FC7FED"/>
    <w:rsid w:val="00FE32C3"/>
    <w:rsid w:val="00FF16C8"/>
    <w:rsid w:val="00FF23EA"/>
    <w:rsid w:val="00FF2D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5BDAE35-C0C7-40C9-8DDB-BFF65A017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803E2"/>
    <w:rPr>
      <w:sz w:val="24"/>
      <w:szCs w:val="24"/>
      <w:lang w:val="en-US" w:eastAsia="en-US"/>
    </w:rPr>
  </w:style>
  <w:style w:type="paragraph" w:styleId="Heading1">
    <w:name w:val="heading 1"/>
    <w:basedOn w:val="Normal"/>
    <w:next w:val="Normal"/>
    <w:link w:val="Heading1Char"/>
    <w:uiPriority w:val="9"/>
    <w:qFormat/>
    <w:rsid w:val="00B355B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1C1C1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rFonts w:eastAsia="Times New Roman"/>
      <w:b/>
      <w:bCs/>
      <w:sz w:val="36"/>
      <w:szCs w:val="36"/>
      <w:bdr w:val="none" w:sz="0" w:space="0" w:color="auto"/>
      <w:lang w:val="en-GB" w:eastAsia="en-GB"/>
    </w:rPr>
  </w:style>
  <w:style w:type="paragraph" w:styleId="Heading3">
    <w:name w:val="heading 3"/>
    <w:basedOn w:val="Normal"/>
    <w:next w:val="Normal"/>
    <w:link w:val="Heading3Char"/>
    <w:uiPriority w:val="9"/>
    <w:semiHidden/>
    <w:unhideWhenUsed/>
    <w:qFormat/>
    <w:rsid w:val="00784D13"/>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803E2"/>
    <w:rPr>
      <w:u w:val="single"/>
    </w:rPr>
  </w:style>
  <w:style w:type="paragraph" w:customStyle="1" w:styleId="HeaderFooter">
    <w:name w:val="Header &amp; Footer"/>
    <w:rsid w:val="003803E2"/>
    <w:pPr>
      <w:tabs>
        <w:tab w:val="right" w:pos="9020"/>
      </w:tabs>
    </w:pPr>
    <w:rPr>
      <w:rFonts w:ascii="Helvetica Neue" w:hAnsi="Helvetica Neue" w:cs="Arial Unicode MS"/>
      <w:color w:val="000000"/>
      <w:sz w:val="24"/>
      <w:szCs w:val="24"/>
    </w:rPr>
  </w:style>
  <w:style w:type="paragraph" w:customStyle="1" w:styleId="Body">
    <w:name w:val="Body"/>
    <w:rsid w:val="003803E2"/>
    <w:pPr>
      <w:spacing w:after="160" w:line="259" w:lineRule="auto"/>
    </w:pPr>
    <w:rPr>
      <w:rFonts w:ascii="Calibri" w:eastAsia="Calibri" w:hAnsi="Calibri" w:cs="Calibri"/>
      <w:color w:val="000000"/>
      <w:sz w:val="22"/>
      <w:szCs w:val="22"/>
      <w:u w:color="000000"/>
    </w:rPr>
  </w:style>
  <w:style w:type="paragraph" w:styleId="FootnoteText">
    <w:name w:val="footnote text"/>
    <w:link w:val="FootnoteTextChar"/>
    <w:rsid w:val="003803E2"/>
    <w:rPr>
      <w:rFonts w:ascii="Calibri" w:eastAsia="Calibri" w:hAnsi="Calibri" w:cs="Calibri"/>
      <w:color w:val="000000"/>
      <w:u w:color="000000"/>
      <w:lang w:val="en-US"/>
    </w:rPr>
  </w:style>
  <w:style w:type="character" w:customStyle="1" w:styleId="Link">
    <w:name w:val="Link"/>
    <w:rsid w:val="003803E2"/>
    <w:rPr>
      <w:color w:val="0563C1"/>
      <w:u w:val="single" w:color="0563C1"/>
    </w:rPr>
  </w:style>
  <w:style w:type="character" w:customStyle="1" w:styleId="Hyperlink0">
    <w:name w:val="Hyperlink.0"/>
    <w:basedOn w:val="Link"/>
    <w:rsid w:val="003803E2"/>
    <w:rPr>
      <w:rFonts w:ascii="Arial" w:eastAsia="Arial" w:hAnsi="Arial" w:cs="Arial"/>
      <w:color w:val="0563C1"/>
      <w:sz w:val="16"/>
      <w:szCs w:val="16"/>
      <w:u w:val="single" w:color="0563C1"/>
    </w:rPr>
  </w:style>
  <w:style w:type="numbering" w:customStyle="1" w:styleId="ImportedStyle1">
    <w:name w:val="Imported Style 1"/>
    <w:rsid w:val="003803E2"/>
    <w:pPr>
      <w:numPr>
        <w:numId w:val="1"/>
      </w:numPr>
    </w:pPr>
  </w:style>
  <w:style w:type="numbering" w:customStyle="1" w:styleId="ImportedStyle2">
    <w:name w:val="Imported Style 2"/>
    <w:rsid w:val="003803E2"/>
    <w:pPr>
      <w:numPr>
        <w:numId w:val="3"/>
      </w:numPr>
    </w:pPr>
  </w:style>
  <w:style w:type="character" w:customStyle="1" w:styleId="Hyperlink1">
    <w:name w:val="Hyperlink.1"/>
    <w:basedOn w:val="Link"/>
    <w:rsid w:val="003803E2"/>
    <w:rPr>
      <w:color w:val="0563C1"/>
      <w:u w:val="single" w:color="0563C1"/>
      <w:lang w:val="en-US"/>
    </w:rPr>
  </w:style>
  <w:style w:type="character" w:customStyle="1" w:styleId="Hyperlink2">
    <w:name w:val="Hyperlink.2"/>
    <w:basedOn w:val="Link"/>
    <w:rsid w:val="003803E2"/>
    <w:rPr>
      <w:rFonts w:ascii="Arial" w:eastAsia="Arial" w:hAnsi="Arial" w:cs="Arial"/>
      <w:color w:val="0563C1"/>
      <w:u w:val="single" w:color="0563C1"/>
    </w:rPr>
  </w:style>
  <w:style w:type="table" w:styleId="TableGrid">
    <w:name w:val="Table Grid"/>
    <w:basedOn w:val="TableNormal"/>
    <w:uiPriority w:val="59"/>
    <w:rsid w:val="001C1C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1C1C1F"/>
    <w:rPr>
      <w:vertAlign w:val="superscript"/>
    </w:rPr>
  </w:style>
  <w:style w:type="character" w:customStyle="1" w:styleId="Heading2Char">
    <w:name w:val="Heading 2 Char"/>
    <w:basedOn w:val="DefaultParagraphFont"/>
    <w:link w:val="Heading2"/>
    <w:uiPriority w:val="9"/>
    <w:rsid w:val="001C1C1F"/>
    <w:rPr>
      <w:rFonts w:eastAsia="Times New Roman"/>
      <w:b/>
      <w:bCs/>
      <w:sz w:val="36"/>
      <w:szCs w:val="36"/>
      <w:bdr w:val="none" w:sz="0" w:space="0" w:color="auto"/>
    </w:rPr>
  </w:style>
  <w:style w:type="paragraph" w:styleId="NoSpacing">
    <w:name w:val="No Spacing"/>
    <w:uiPriority w:val="1"/>
    <w:qFormat/>
    <w:rsid w:val="001C1C1F"/>
    <w:rPr>
      <w:sz w:val="24"/>
      <w:szCs w:val="24"/>
      <w:lang w:val="en-US" w:eastAsia="en-US"/>
    </w:rPr>
  </w:style>
  <w:style w:type="paragraph" w:styleId="Header">
    <w:name w:val="header"/>
    <w:basedOn w:val="Normal"/>
    <w:link w:val="HeaderChar"/>
    <w:uiPriority w:val="99"/>
    <w:unhideWhenUsed/>
    <w:rsid w:val="0097648C"/>
    <w:pPr>
      <w:tabs>
        <w:tab w:val="center" w:pos="4513"/>
        <w:tab w:val="right" w:pos="9026"/>
      </w:tabs>
    </w:pPr>
  </w:style>
  <w:style w:type="character" w:customStyle="1" w:styleId="HeaderChar">
    <w:name w:val="Header Char"/>
    <w:basedOn w:val="DefaultParagraphFont"/>
    <w:link w:val="Header"/>
    <w:uiPriority w:val="99"/>
    <w:rsid w:val="0097648C"/>
    <w:rPr>
      <w:sz w:val="24"/>
      <w:szCs w:val="24"/>
      <w:lang w:val="en-US" w:eastAsia="en-US"/>
    </w:rPr>
  </w:style>
  <w:style w:type="paragraph" w:styleId="Footer">
    <w:name w:val="footer"/>
    <w:basedOn w:val="Normal"/>
    <w:link w:val="FooterChar"/>
    <w:uiPriority w:val="99"/>
    <w:unhideWhenUsed/>
    <w:rsid w:val="0097648C"/>
    <w:pPr>
      <w:tabs>
        <w:tab w:val="center" w:pos="4513"/>
        <w:tab w:val="right" w:pos="9026"/>
      </w:tabs>
    </w:pPr>
  </w:style>
  <w:style w:type="character" w:customStyle="1" w:styleId="FooterChar">
    <w:name w:val="Footer Char"/>
    <w:basedOn w:val="DefaultParagraphFont"/>
    <w:link w:val="Footer"/>
    <w:uiPriority w:val="99"/>
    <w:rsid w:val="0097648C"/>
    <w:rPr>
      <w:sz w:val="24"/>
      <w:szCs w:val="24"/>
      <w:lang w:val="en-US" w:eastAsia="en-US"/>
    </w:rPr>
  </w:style>
  <w:style w:type="character" w:customStyle="1" w:styleId="FootnoteTextChar">
    <w:name w:val="Footnote Text Char"/>
    <w:basedOn w:val="DefaultParagraphFont"/>
    <w:link w:val="FootnoteText"/>
    <w:rsid w:val="00387ECC"/>
    <w:rPr>
      <w:rFonts w:ascii="Calibri" w:eastAsia="Calibri" w:hAnsi="Calibri" w:cs="Calibri"/>
      <w:color w:val="000000"/>
      <w:u w:color="000000"/>
      <w:lang w:val="en-US"/>
    </w:rPr>
  </w:style>
  <w:style w:type="paragraph" w:styleId="BalloonText">
    <w:name w:val="Balloon Text"/>
    <w:basedOn w:val="Normal"/>
    <w:link w:val="BalloonTextChar"/>
    <w:uiPriority w:val="99"/>
    <w:semiHidden/>
    <w:unhideWhenUsed/>
    <w:rsid w:val="00877D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7D54"/>
    <w:rPr>
      <w:rFonts w:ascii="Segoe UI" w:hAnsi="Segoe UI" w:cs="Segoe UI"/>
      <w:sz w:val="18"/>
      <w:szCs w:val="18"/>
      <w:lang w:val="en-US" w:eastAsia="en-US"/>
    </w:rPr>
  </w:style>
  <w:style w:type="paragraph" w:styleId="PlainText">
    <w:name w:val="Plain Text"/>
    <w:basedOn w:val="Normal"/>
    <w:link w:val="PlainTextChar"/>
    <w:uiPriority w:val="99"/>
    <w:unhideWhenUsed/>
    <w:rsid w:val="007A5476"/>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GB"/>
    </w:rPr>
  </w:style>
  <w:style w:type="character" w:customStyle="1" w:styleId="PlainTextChar">
    <w:name w:val="Plain Text Char"/>
    <w:basedOn w:val="DefaultParagraphFont"/>
    <w:link w:val="PlainText"/>
    <w:uiPriority w:val="99"/>
    <w:rsid w:val="007A5476"/>
    <w:rPr>
      <w:rFonts w:ascii="Calibri" w:eastAsiaTheme="minorHAnsi" w:hAnsi="Calibri" w:cstheme="minorBidi"/>
      <w:sz w:val="22"/>
      <w:szCs w:val="21"/>
      <w:bdr w:val="none" w:sz="0" w:space="0" w:color="auto"/>
      <w:lang w:eastAsia="en-US"/>
    </w:rPr>
  </w:style>
  <w:style w:type="paragraph" w:styleId="NormalWeb">
    <w:name w:val="Normal (Web)"/>
    <w:basedOn w:val="Normal"/>
    <w:uiPriority w:val="99"/>
    <w:semiHidden/>
    <w:unhideWhenUsed/>
    <w:rsid w:val="000D7E7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lang w:val="en-GB" w:eastAsia="en-GB"/>
    </w:rPr>
  </w:style>
  <w:style w:type="character" w:styleId="Emphasis">
    <w:name w:val="Emphasis"/>
    <w:basedOn w:val="DefaultParagraphFont"/>
    <w:uiPriority w:val="20"/>
    <w:qFormat/>
    <w:rsid w:val="006127C9"/>
    <w:rPr>
      <w:i/>
      <w:iCs/>
    </w:rPr>
  </w:style>
  <w:style w:type="character" w:styleId="FollowedHyperlink">
    <w:name w:val="FollowedHyperlink"/>
    <w:basedOn w:val="DefaultParagraphFont"/>
    <w:uiPriority w:val="99"/>
    <w:semiHidden/>
    <w:unhideWhenUsed/>
    <w:rsid w:val="005154CE"/>
    <w:rPr>
      <w:color w:val="FF00FF" w:themeColor="followedHyperlink"/>
      <w:u w:val="single"/>
    </w:rPr>
  </w:style>
  <w:style w:type="character" w:customStyle="1" w:styleId="UnresolvedMention">
    <w:name w:val="Unresolved Mention"/>
    <w:basedOn w:val="DefaultParagraphFont"/>
    <w:uiPriority w:val="99"/>
    <w:semiHidden/>
    <w:unhideWhenUsed/>
    <w:rsid w:val="00057A9B"/>
    <w:rPr>
      <w:color w:val="605E5C"/>
      <w:shd w:val="clear" w:color="auto" w:fill="E1DFDD"/>
    </w:rPr>
  </w:style>
  <w:style w:type="character" w:customStyle="1" w:styleId="Heading3Char">
    <w:name w:val="Heading 3 Char"/>
    <w:basedOn w:val="DefaultParagraphFont"/>
    <w:link w:val="Heading3"/>
    <w:uiPriority w:val="9"/>
    <w:semiHidden/>
    <w:rsid w:val="00784D13"/>
    <w:rPr>
      <w:rFonts w:asciiTheme="majorHAnsi" w:eastAsiaTheme="majorEastAsia" w:hAnsiTheme="majorHAnsi" w:cstheme="majorBidi"/>
      <w:color w:val="1F3763" w:themeColor="accent1" w:themeShade="7F"/>
      <w:sz w:val="24"/>
      <w:szCs w:val="24"/>
      <w:lang w:val="en-US" w:eastAsia="en-US"/>
    </w:rPr>
  </w:style>
  <w:style w:type="character" w:customStyle="1" w:styleId="Heading1Char">
    <w:name w:val="Heading 1 Char"/>
    <w:basedOn w:val="DefaultParagraphFont"/>
    <w:link w:val="Heading1"/>
    <w:uiPriority w:val="9"/>
    <w:rsid w:val="00B355B4"/>
    <w:rPr>
      <w:rFonts w:asciiTheme="majorHAnsi" w:eastAsiaTheme="majorEastAsia" w:hAnsiTheme="majorHAnsi" w:cstheme="majorBidi"/>
      <w:color w:val="2F5496"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488698">
      <w:bodyDiv w:val="1"/>
      <w:marLeft w:val="0"/>
      <w:marRight w:val="0"/>
      <w:marTop w:val="0"/>
      <w:marBottom w:val="0"/>
      <w:divBdr>
        <w:top w:val="none" w:sz="0" w:space="0" w:color="auto"/>
        <w:left w:val="none" w:sz="0" w:space="0" w:color="auto"/>
        <w:bottom w:val="none" w:sz="0" w:space="0" w:color="auto"/>
        <w:right w:val="none" w:sz="0" w:space="0" w:color="auto"/>
      </w:divBdr>
    </w:div>
    <w:div w:id="212083650">
      <w:bodyDiv w:val="1"/>
      <w:marLeft w:val="0"/>
      <w:marRight w:val="0"/>
      <w:marTop w:val="0"/>
      <w:marBottom w:val="0"/>
      <w:divBdr>
        <w:top w:val="none" w:sz="0" w:space="0" w:color="auto"/>
        <w:left w:val="none" w:sz="0" w:space="0" w:color="auto"/>
        <w:bottom w:val="none" w:sz="0" w:space="0" w:color="auto"/>
        <w:right w:val="none" w:sz="0" w:space="0" w:color="auto"/>
      </w:divBdr>
    </w:div>
    <w:div w:id="238909968">
      <w:bodyDiv w:val="1"/>
      <w:marLeft w:val="0"/>
      <w:marRight w:val="0"/>
      <w:marTop w:val="0"/>
      <w:marBottom w:val="0"/>
      <w:divBdr>
        <w:top w:val="none" w:sz="0" w:space="0" w:color="auto"/>
        <w:left w:val="none" w:sz="0" w:space="0" w:color="auto"/>
        <w:bottom w:val="none" w:sz="0" w:space="0" w:color="auto"/>
        <w:right w:val="none" w:sz="0" w:space="0" w:color="auto"/>
      </w:divBdr>
    </w:div>
    <w:div w:id="289671740">
      <w:bodyDiv w:val="1"/>
      <w:marLeft w:val="0"/>
      <w:marRight w:val="0"/>
      <w:marTop w:val="0"/>
      <w:marBottom w:val="0"/>
      <w:divBdr>
        <w:top w:val="none" w:sz="0" w:space="0" w:color="auto"/>
        <w:left w:val="none" w:sz="0" w:space="0" w:color="auto"/>
        <w:bottom w:val="none" w:sz="0" w:space="0" w:color="auto"/>
        <w:right w:val="none" w:sz="0" w:space="0" w:color="auto"/>
      </w:divBdr>
    </w:div>
    <w:div w:id="306739564">
      <w:bodyDiv w:val="1"/>
      <w:marLeft w:val="0"/>
      <w:marRight w:val="0"/>
      <w:marTop w:val="0"/>
      <w:marBottom w:val="0"/>
      <w:divBdr>
        <w:top w:val="none" w:sz="0" w:space="0" w:color="auto"/>
        <w:left w:val="none" w:sz="0" w:space="0" w:color="auto"/>
        <w:bottom w:val="none" w:sz="0" w:space="0" w:color="auto"/>
        <w:right w:val="none" w:sz="0" w:space="0" w:color="auto"/>
      </w:divBdr>
    </w:div>
    <w:div w:id="547380686">
      <w:bodyDiv w:val="1"/>
      <w:marLeft w:val="0"/>
      <w:marRight w:val="0"/>
      <w:marTop w:val="0"/>
      <w:marBottom w:val="0"/>
      <w:divBdr>
        <w:top w:val="none" w:sz="0" w:space="0" w:color="auto"/>
        <w:left w:val="none" w:sz="0" w:space="0" w:color="auto"/>
        <w:bottom w:val="none" w:sz="0" w:space="0" w:color="auto"/>
        <w:right w:val="none" w:sz="0" w:space="0" w:color="auto"/>
      </w:divBdr>
    </w:div>
    <w:div w:id="550308019">
      <w:bodyDiv w:val="1"/>
      <w:marLeft w:val="0"/>
      <w:marRight w:val="0"/>
      <w:marTop w:val="0"/>
      <w:marBottom w:val="0"/>
      <w:divBdr>
        <w:top w:val="none" w:sz="0" w:space="0" w:color="auto"/>
        <w:left w:val="none" w:sz="0" w:space="0" w:color="auto"/>
        <w:bottom w:val="none" w:sz="0" w:space="0" w:color="auto"/>
        <w:right w:val="none" w:sz="0" w:space="0" w:color="auto"/>
      </w:divBdr>
      <w:divsChild>
        <w:div w:id="1298418147">
          <w:marLeft w:val="0"/>
          <w:marRight w:val="0"/>
          <w:marTop w:val="0"/>
          <w:marBottom w:val="0"/>
          <w:divBdr>
            <w:top w:val="none" w:sz="0" w:space="0" w:color="auto"/>
            <w:left w:val="none" w:sz="0" w:space="0" w:color="auto"/>
            <w:bottom w:val="none" w:sz="0" w:space="0" w:color="auto"/>
            <w:right w:val="none" w:sz="0" w:space="0" w:color="auto"/>
          </w:divBdr>
          <w:divsChild>
            <w:div w:id="121793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449708">
      <w:bodyDiv w:val="1"/>
      <w:marLeft w:val="0"/>
      <w:marRight w:val="0"/>
      <w:marTop w:val="0"/>
      <w:marBottom w:val="0"/>
      <w:divBdr>
        <w:top w:val="none" w:sz="0" w:space="0" w:color="auto"/>
        <w:left w:val="none" w:sz="0" w:space="0" w:color="auto"/>
        <w:bottom w:val="none" w:sz="0" w:space="0" w:color="auto"/>
        <w:right w:val="none" w:sz="0" w:space="0" w:color="auto"/>
      </w:divBdr>
      <w:divsChild>
        <w:div w:id="1607808541">
          <w:marLeft w:val="0"/>
          <w:marRight w:val="0"/>
          <w:marTop w:val="0"/>
          <w:marBottom w:val="38"/>
          <w:divBdr>
            <w:top w:val="none" w:sz="0" w:space="0" w:color="auto"/>
            <w:left w:val="none" w:sz="0" w:space="0" w:color="auto"/>
            <w:bottom w:val="none" w:sz="0" w:space="0" w:color="auto"/>
            <w:right w:val="none" w:sz="0" w:space="0" w:color="auto"/>
          </w:divBdr>
        </w:div>
        <w:div w:id="484514735">
          <w:marLeft w:val="0"/>
          <w:marRight w:val="0"/>
          <w:marTop w:val="0"/>
          <w:marBottom w:val="98"/>
          <w:divBdr>
            <w:top w:val="none" w:sz="0" w:space="0" w:color="auto"/>
            <w:left w:val="none" w:sz="0" w:space="0" w:color="auto"/>
            <w:bottom w:val="none" w:sz="0" w:space="0" w:color="auto"/>
            <w:right w:val="none" w:sz="0" w:space="0" w:color="auto"/>
          </w:divBdr>
          <w:divsChild>
            <w:div w:id="76367090">
              <w:marLeft w:val="0"/>
              <w:marRight w:val="0"/>
              <w:marTop w:val="0"/>
              <w:marBottom w:val="0"/>
              <w:divBdr>
                <w:top w:val="none" w:sz="0" w:space="0" w:color="auto"/>
                <w:left w:val="none" w:sz="0" w:space="0" w:color="auto"/>
                <w:bottom w:val="none" w:sz="0" w:space="0" w:color="auto"/>
                <w:right w:val="none" w:sz="0" w:space="0" w:color="auto"/>
              </w:divBdr>
            </w:div>
            <w:div w:id="28870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661987">
      <w:bodyDiv w:val="1"/>
      <w:marLeft w:val="0"/>
      <w:marRight w:val="0"/>
      <w:marTop w:val="0"/>
      <w:marBottom w:val="0"/>
      <w:divBdr>
        <w:top w:val="none" w:sz="0" w:space="0" w:color="auto"/>
        <w:left w:val="none" w:sz="0" w:space="0" w:color="auto"/>
        <w:bottom w:val="none" w:sz="0" w:space="0" w:color="auto"/>
        <w:right w:val="none" w:sz="0" w:space="0" w:color="auto"/>
      </w:divBdr>
    </w:div>
    <w:div w:id="985283863">
      <w:bodyDiv w:val="1"/>
      <w:marLeft w:val="0"/>
      <w:marRight w:val="0"/>
      <w:marTop w:val="0"/>
      <w:marBottom w:val="0"/>
      <w:divBdr>
        <w:top w:val="none" w:sz="0" w:space="0" w:color="auto"/>
        <w:left w:val="none" w:sz="0" w:space="0" w:color="auto"/>
        <w:bottom w:val="none" w:sz="0" w:space="0" w:color="auto"/>
        <w:right w:val="none" w:sz="0" w:space="0" w:color="auto"/>
      </w:divBdr>
    </w:div>
    <w:div w:id="1014764291">
      <w:bodyDiv w:val="1"/>
      <w:marLeft w:val="0"/>
      <w:marRight w:val="0"/>
      <w:marTop w:val="0"/>
      <w:marBottom w:val="0"/>
      <w:divBdr>
        <w:top w:val="none" w:sz="0" w:space="0" w:color="auto"/>
        <w:left w:val="none" w:sz="0" w:space="0" w:color="auto"/>
        <w:bottom w:val="none" w:sz="0" w:space="0" w:color="auto"/>
        <w:right w:val="none" w:sz="0" w:space="0" w:color="auto"/>
      </w:divBdr>
    </w:div>
    <w:div w:id="1050805153">
      <w:bodyDiv w:val="1"/>
      <w:marLeft w:val="0"/>
      <w:marRight w:val="0"/>
      <w:marTop w:val="0"/>
      <w:marBottom w:val="0"/>
      <w:divBdr>
        <w:top w:val="none" w:sz="0" w:space="0" w:color="auto"/>
        <w:left w:val="none" w:sz="0" w:space="0" w:color="auto"/>
        <w:bottom w:val="none" w:sz="0" w:space="0" w:color="auto"/>
        <w:right w:val="none" w:sz="0" w:space="0" w:color="auto"/>
      </w:divBdr>
    </w:div>
    <w:div w:id="1088186539">
      <w:bodyDiv w:val="1"/>
      <w:marLeft w:val="0"/>
      <w:marRight w:val="0"/>
      <w:marTop w:val="0"/>
      <w:marBottom w:val="0"/>
      <w:divBdr>
        <w:top w:val="none" w:sz="0" w:space="0" w:color="auto"/>
        <w:left w:val="none" w:sz="0" w:space="0" w:color="auto"/>
        <w:bottom w:val="none" w:sz="0" w:space="0" w:color="auto"/>
        <w:right w:val="none" w:sz="0" w:space="0" w:color="auto"/>
      </w:divBdr>
    </w:div>
    <w:div w:id="1109668699">
      <w:bodyDiv w:val="1"/>
      <w:marLeft w:val="0"/>
      <w:marRight w:val="0"/>
      <w:marTop w:val="0"/>
      <w:marBottom w:val="0"/>
      <w:divBdr>
        <w:top w:val="none" w:sz="0" w:space="0" w:color="auto"/>
        <w:left w:val="none" w:sz="0" w:space="0" w:color="auto"/>
        <w:bottom w:val="none" w:sz="0" w:space="0" w:color="auto"/>
        <w:right w:val="none" w:sz="0" w:space="0" w:color="auto"/>
      </w:divBdr>
    </w:div>
    <w:div w:id="1147472140">
      <w:bodyDiv w:val="1"/>
      <w:marLeft w:val="0"/>
      <w:marRight w:val="0"/>
      <w:marTop w:val="0"/>
      <w:marBottom w:val="0"/>
      <w:divBdr>
        <w:top w:val="none" w:sz="0" w:space="0" w:color="auto"/>
        <w:left w:val="none" w:sz="0" w:space="0" w:color="auto"/>
        <w:bottom w:val="none" w:sz="0" w:space="0" w:color="auto"/>
        <w:right w:val="none" w:sz="0" w:space="0" w:color="auto"/>
      </w:divBdr>
    </w:div>
    <w:div w:id="1178814506">
      <w:bodyDiv w:val="1"/>
      <w:marLeft w:val="0"/>
      <w:marRight w:val="0"/>
      <w:marTop w:val="0"/>
      <w:marBottom w:val="0"/>
      <w:divBdr>
        <w:top w:val="none" w:sz="0" w:space="0" w:color="auto"/>
        <w:left w:val="none" w:sz="0" w:space="0" w:color="auto"/>
        <w:bottom w:val="none" w:sz="0" w:space="0" w:color="auto"/>
        <w:right w:val="none" w:sz="0" w:space="0" w:color="auto"/>
      </w:divBdr>
    </w:div>
    <w:div w:id="1191452051">
      <w:bodyDiv w:val="1"/>
      <w:marLeft w:val="0"/>
      <w:marRight w:val="0"/>
      <w:marTop w:val="0"/>
      <w:marBottom w:val="0"/>
      <w:divBdr>
        <w:top w:val="none" w:sz="0" w:space="0" w:color="auto"/>
        <w:left w:val="none" w:sz="0" w:space="0" w:color="auto"/>
        <w:bottom w:val="none" w:sz="0" w:space="0" w:color="auto"/>
        <w:right w:val="none" w:sz="0" w:space="0" w:color="auto"/>
      </w:divBdr>
    </w:div>
    <w:div w:id="1299646598">
      <w:bodyDiv w:val="1"/>
      <w:marLeft w:val="0"/>
      <w:marRight w:val="0"/>
      <w:marTop w:val="0"/>
      <w:marBottom w:val="0"/>
      <w:divBdr>
        <w:top w:val="none" w:sz="0" w:space="0" w:color="auto"/>
        <w:left w:val="none" w:sz="0" w:space="0" w:color="auto"/>
        <w:bottom w:val="none" w:sz="0" w:space="0" w:color="auto"/>
        <w:right w:val="none" w:sz="0" w:space="0" w:color="auto"/>
      </w:divBdr>
      <w:divsChild>
        <w:div w:id="1525285018">
          <w:marLeft w:val="0"/>
          <w:marRight w:val="0"/>
          <w:marTop w:val="0"/>
          <w:marBottom w:val="0"/>
          <w:divBdr>
            <w:top w:val="none" w:sz="0" w:space="0" w:color="auto"/>
            <w:left w:val="none" w:sz="0" w:space="0" w:color="auto"/>
            <w:bottom w:val="none" w:sz="0" w:space="0" w:color="auto"/>
            <w:right w:val="none" w:sz="0" w:space="0" w:color="auto"/>
          </w:divBdr>
        </w:div>
        <w:div w:id="645622696">
          <w:marLeft w:val="0"/>
          <w:marRight w:val="0"/>
          <w:marTop w:val="0"/>
          <w:marBottom w:val="0"/>
          <w:divBdr>
            <w:top w:val="none" w:sz="0" w:space="0" w:color="auto"/>
            <w:left w:val="none" w:sz="0" w:space="0" w:color="auto"/>
            <w:bottom w:val="none" w:sz="0" w:space="0" w:color="auto"/>
            <w:right w:val="none" w:sz="0" w:space="0" w:color="auto"/>
          </w:divBdr>
        </w:div>
        <w:div w:id="984705778">
          <w:marLeft w:val="0"/>
          <w:marRight w:val="0"/>
          <w:marTop w:val="0"/>
          <w:marBottom w:val="0"/>
          <w:divBdr>
            <w:top w:val="none" w:sz="0" w:space="0" w:color="auto"/>
            <w:left w:val="none" w:sz="0" w:space="0" w:color="auto"/>
            <w:bottom w:val="none" w:sz="0" w:space="0" w:color="auto"/>
            <w:right w:val="none" w:sz="0" w:space="0" w:color="auto"/>
          </w:divBdr>
        </w:div>
      </w:divsChild>
    </w:div>
    <w:div w:id="1315064363">
      <w:bodyDiv w:val="1"/>
      <w:marLeft w:val="0"/>
      <w:marRight w:val="0"/>
      <w:marTop w:val="0"/>
      <w:marBottom w:val="0"/>
      <w:divBdr>
        <w:top w:val="none" w:sz="0" w:space="0" w:color="auto"/>
        <w:left w:val="none" w:sz="0" w:space="0" w:color="auto"/>
        <w:bottom w:val="none" w:sz="0" w:space="0" w:color="auto"/>
        <w:right w:val="none" w:sz="0" w:space="0" w:color="auto"/>
      </w:divBdr>
    </w:div>
    <w:div w:id="1353188194">
      <w:bodyDiv w:val="1"/>
      <w:marLeft w:val="0"/>
      <w:marRight w:val="0"/>
      <w:marTop w:val="0"/>
      <w:marBottom w:val="0"/>
      <w:divBdr>
        <w:top w:val="none" w:sz="0" w:space="0" w:color="auto"/>
        <w:left w:val="none" w:sz="0" w:space="0" w:color="auto"/>
        <w:bottom w:val="none" w:sz="0" w:space="0" w:color="auto"/>
        <w:right w:val="none" w:sz="0" w:space="0" w:color="auto"/>
      </w:divBdr>
    </w:div>
    <w:div w:id="1366831542">
      <w:bodyDiv w:val="1"/>
      <w:marLeft w:val="0"/>
      <w:marRight w:val="0"/>
      <w:marTop w:val="0"/>
      <w:marBottom w:val="0"/>
      <w:divBdr>
        <w:top w:val="none" w:sz="0" w:space="0" w:color="auto"/>
        <w:left w:val="none" w:sz="0" w:space="0" w:color="auto"/>
        <w:bottom w:val="none" w:sz="0" w:space="0" w:color="auto"/>
        <w:right w:val="none" w:sz="0" w:space="0" w:color="auto"/>
      </w:divBdr>
    </w:div>
    <w:div w:id="1482380316">
      <w:bodyDiv w:val="1"/>
      <w:marLeft w:val="0"/>
      <w:marRight w:val="0"/>
      <w:marTop w:val="0"/>
      <w:marBottom w:val="0"/>
      <w:divBdr>
        <w:top w:val="none" w:sz="0" w:space="0" w:color="auto"/>
        <w:left w:val="none" w:sz="0" w:space="0" w:color="auto"/>
        <w:bottom w:val="none" w:sz="0" w:space="0" w:color="auto"/>
        <w:right w:val="none" w:sz="0" w:space="0" w:color="auto"/>
      </w:divBdr>
    </w:div>
    <w:div w:id="1528327184">
      <w:bodyDiv w:val="1"/>
      <w:marLeft w:val="0"/>
      <w:marRight w:val="0"/>
      <w:marTop w:val="0"/>
      <w:marBottom w:val="0"/>
      <w:divBdr>
        <w:top w:val="none" w:sz="0" w:space="0" w:color="auto"/>
        <w:left w:val="none" w:sz="0" w:space="0" w:color="auto"/>
        <w:bottom w:val="none" w:sz="0" w:space="0" w:color="auto"/>
        <w:right w:val="none" w:sz="0" w:space="0" w:color="auto"/>
      </w:divBdr>
    </w:div>
    <w:div w:id="1532110604">
      <w:bodyDiv w:val="1"/>
      <w:marLeft w:val="0"/>
      <w:marRight w:val="0"/>
      <w:marTop w:val="0"/>
      <w:marBottom w:val="0"/>
      <w:divBdr>
        <w:top w:val="none" w:sz="0" w:space="0" w:color="auto"/>
        <w:left w:val="none" w:sz="0" w:space="0" w:color="auto"/>
        <w:bottom w:val="none" w:sz="0" w:space="0" w:color="auto"/>
        <w:right w:val="none" w:sz="0" w:space="0" w:color="auto"/>
      </w:divBdr>
    </w:div>
    <w:div w:id="1688870721">
      <w:bodyDiv w:val="1"/>
      <w:marLeft w:val="0"/>
      <w:marRight w:val="0"/>
      <w:marTop w:val="0"/>
      <w:marBottom w:val="0"/>
      <w:divBdr>
        <w:top w:val="none" w:sz="0" w:space="0" w:color="auto"/>
        <w:left w:val="none" w:sz="0" w:space="0" w:color="auto"/>
        <w:bottom w:val="none" w:sz="0" w:space="0" w:color="auto"/>
        <w:right w:val="none" w:sz="0" w:space="0" w:color="auto"/>
      </w:divBdr>
    </w:div>
    <w:div w:id="1932466508">
      <w:bodyDiv w:val="1"/>
      <w:marLeft w:val="0"/>
      <w:marRight w:val="0"/>
      <w:marTop w:val="0"/>
      <w:marBottom w:val="0"/>
      <w:divBdr>
        <w:top w:val="none" w:sz="0" w:space="0" w:color="auto"/>
        <w:left w:val="none" w:sz="0" w:space="0" w:color="auto"/>
        <w:bottom w:val="none" w:sz="0" w:space="0" w:color="auto"/>
        <w:right w:val="none" w:sz="0" w:space="0" w:color="auto"/>
      </w:divBdr>
    </w:div>
    <w:div w:id="1968049341">
      <w:bodyDiv w:val="1"/>
      <w:marLeft w:val="0"/>
      <w:marRight w:val="0"/>
      <w:marTop w:val="0"/>
      <w:marBottom w:val="0"/>
      <w:divBdr>
        <w:top w:val="none" w:sz="0" w:space="0" w:color="auto"/>
        <w:left w:val="none" w:sz="0" w:space="0" w:color="auto"/>
        <w:bottom w:val="none" w:sz="0" w:space="0" w:color="auto"/>
        <w:right w:val="none" w:sz="0" w:space="0" w:color="auto"/>
      </w:divBdr>
    </w:div>
    <w:div w:id="20032689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doi.org/10.1080/09645292.2012.729328" TargetMode="External"/><Relationship Id="rId18" Type="http://schemas.openxmlformats.org/officeDocument/2006/relationships/hyperlink" Target="http://www.citysolicitors.org.uk/attachments/article/104/Training%2520Committee%2520-%2520Timing%2520of%2520the%2520SQE%2520Stage%25202%2520Examination%2520-%252008%252010%252018.pdf" TargetMode="External"/><Relationship Id="rId26" Type="http://schemas.openxmlformats.org/officeDocument/2006/relationships/hyperlink" Target="https://www.lawgazette.co.uk/practice/society-exposes-catastrophic-housing-advice-deserts/5070051.article" TargetMode="External"/><Relationship Id="rId39" Type="http://schemas.openxmlformats.org/officeDocument/2006/relationships/hyperlink" Target="https://www.sra.org.uk/trainees/resources/authorised-training-provider-information-pack.page" TargetMode="External"/><Relationship Id="rId3" Type="http://schemas.openxmlformats.org/officeDocument/2006/relationships/styles" Target="styles.xml"/><Relationship Id="rId21" Type="http://schemas.openxmlformats.org/officeDocument/2006/relationships/hyperlink" Target="https://www.lag.org.uk/?id=201911&amp;fromsearch=true" TargetMode="External"/><Relationship Id="rId34" Type="http://schemas.openxmlformats.org/officeDocument/2006/relationships/hyperlink" Target="https://www.officeforstudents.org.uk/advice-and-guidance/teaching/what-is-the-tef/" TargetMode="External"/><Relationship Id="rId42" Type="http://schemas.openxmlformats.org/officeDocument/2006/relationships/hyperlink" Target="http://www.sra.org.uk/sra/consultations/lttf-phase-two-handbook-reform.page" TargetMode="External"/><Relationship Id="rId47" Type="http://schemas.openxmlformats.org/officeDocument/2006/relationships/hyperlink" Target="https://www.heacademy.ac.uk/knowledge-hub/employability-higher-education-what-it-what-it-not"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mail.lsbu.ac.uk/owa/redir.aspx?C=9yI4T33SgAqLZ8Mec8lfE4RbF49YZwULw1TAswHZjhF3BJ_qFtfWCA..&amp;URL=https%3a%2f%2fpapers.ssrn.com%2fsol3%2fpapers.cfm%3fabstract_id%3d1911139%23%23" TargetMode="External"/><Relationship Id="rId17" Type="http://schemas.openxmlformats.org/officeDocument/2006/relationships/hyperlink" Target="https://www.legalservicesboard.org.uk/what_we_do/regulation/pdf/2018/CLLS_Letter_28_Feb_2018_SRA_SQE_Application.pdf" TargetMode="External"/><Relationship Id="rId25" Type="http://schemas.openxmlformats.org/officeDocument/2006/relationships/hyperlink" Target="https://www.lawgazette.co.uk/law/super-exam-provider-revealed-but-costs-still-unknown/5067132.article" TargetMode="External"/><Relationship Id="rId33" Type="http://schemas.openxmlformats.org/officeDocument/2006/relationships/hyperlink" Target="https://www.theguardian.com/law/2017/jul/22/iraq-war-crimes-ministry-of-defence" TargetMode="External"/><Relationship Id="rId38" Type="http://schemas.openxmlformats.org/officeDocument/2006/relationships/hyperlink" Target="http://www.sra.org.uk/solicitors/competence-statement.page" TargetMode="External"/><Relationship Id="rId46" Type="http://schemas.openxmlformats.org/officeDocument/2006/relationships/hyperlink" Target="https://www.gov.uk/student-finance" TargetMode="External"/><Relationship Id="rId2" Type="http://schemas.openxmlformats.org/officeDocument/2006/relationships/numbering" Target="numbering.xml"/><Relationship Id="rId16" Type="http://schemas.openxmlformats.org/officeDocument/2006/relationships/hyperlink" Target="https://www.chambersstudent.co.uk/where-to-start/newsletter/legal-apprenticeship-vacancies" TargetMode="External"/><Relationship Id="rId20" Type="http://schemas.openxmlformats.org/officeDocument/2006/relationships/hyperlink" Target="https://www.gov.uk/government/collections/statistics-on-higher-education-initial-participation-rates" TargetMode="External"/><Relationship Id="rId29" Type="http://schemas.openxmlformats.org/officeDocument/2006/relationships/hyperlink" Target="http://www.legalservicesconsumerpanel.org.uk/publications/research_and_reports/documents/ConsumerPanel_QualityinLegalServicesReport_Final.pdf" TargetMode="External"/><Relationship Id="rId41" Type="http://schemas.openxmlformats.org/officeDocument/2006/relationships/hyperlink" Target="https://www.sra.org.uk/sra/consultations/solicitors-qualifying-examination.pag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arstandardsboard.org.uk/media-centre/press-releases-and-news/bsb-agrees-further-key-elements-for-the-future-of-bar-training/" TargetMode="External"/><Relationship Id="rId24" Type="http://schemas.openxmlformats.org/officeDocument/2006/relationships/hyperlink" Target="https://www.lawgazette.co.uk/law/firms-ponder-city-specific-training-to-prepare-for-super-exam/5068012.article" TargetMode="External"/><Relationship Id="rId32" Type="http://schemas.openxmlformats.org/officeDocument/2006/relationships/hyperlink" Target="https://mail.lsbu.ac.uk/owa/redir.aspx?C=8lRd4vqzwaBTM9HKEDUb0ra2rG07pBF2QTrJa485OzQVEoDqFtfWCA..&amp;URL=https%3a%2f%2fstephenmayson.files.wordpress.com%2f2013%2f08%2fmayson-marley-dunn-2012-access-to-justice.pdf" TargetMode="External"/><Relationship Id="rId37" Type="http://schemas.openxmlformats.org/officeDocument/2006/relationships/hyperlink" Target="https://www.sra.org.uk/sra/news/day-one-outcomes-refined.page" TargetMode="External"/><Relationship Id="rId40" Type="http://schemas.openxmlformats.org/officeDocument/2006/relationships/hyperlink" Target="https://www.sra.org.uk/sra/consultations/t4t-assessing-competence.page" TargetMode="External"/><Relationship Id="rId45" Type="http://schemas.openxmlformats.org/officeDocument/2006/relationships/hyperlink" Target="https://www.sra.org.uk/sra/policy/sqe/pilot/sqe-assessment-specification.page" TargetMode="External"/><Relationship Id="rId5" Type="http://schemas.openxmlformats.org/officeDocument/2006/relationships/webSettings" Target="webSettings.xml"/><Relationship Id="rId15" Type="http://schemas.openxmlformats.org/officeDocument/2006/relationships/hyperlink" Target="https://www.theguardian.com/higher-education-network/blog/2012/mar/16/league-table-performance" TargetMode="External"/><Relationship Id="rId23" Type="http://schemas.openxmlformats.org/officeDocument/2006/relationships/hyperlink" Target="https://www.lawcareers.net/Starting-Out/Law-Apprenticeships-Guide/LegalApprenticeshipVacancies" TargetMode="External"/><Relationship Id="rId28" Type="http://schemas.openxmlformats.org/officeDocument/2006/relationships/hyperlink" Target="https://www.legalservicesboard.org.uk/news_publications/LSB_news/PDF/2018/20180327LSB_Approves_SRA_SQE_Application.html" TargetMode="External"/><Relationship Id="rId36" Type="http://schemas.openxmlformats.org/officeDocument/2006/relationships/hyperlink" Target="http://www.qaa.ac.uk/docs/qaa/subject-benchmark-statements/sbs-law-15.pdf?sfvrsn=ff99f781_8" TargetMode="External"/><Relationship Id="rId49" Type="http://schemas.openxmlformats.org/officeDocument/2006/relationships/fontTable" Target="fontTable.xml"/><Relationship Id="rId10" Type="http://schemas.openxmlformats.org/officeDocument/2006/relationships/hyperlink" Target="https://barbriqlts.com/" TargetMode="External"/><Relationship Id="rId19" Type="http://schemas.openxmlformats.org/officeDocument/2006/relationships/hyperlink" Target="http://www.gresham.ac.uk/lectures-and-events/the-legal-profession-regulating-for-independence" TargetMode="External"/><Relationship Id="rId31" Type="http://schemas.openxmlformats.org/officeDocument/2006/relationships/hyperlink" Target="https://www.ucl.ac.uk/ethics-law/sites/ethics-law/files/2._irlsr_wp_lsr-2_scope_1810_0.pdf" TargetMode="External"/><Relationship Id="rId44" Type="http://schemas.openxmlformats.org/officeDocument/2006/relationships/hyperlink" Target="https://www.sra.org.uk/sra/news/press/sqe-launch-2021.page" TargetMode="External"/><Relationship Id="rId4" Type="http://schemas.openxmlformats.org/officeDocument/2006/relationships/settings" Target="settings.xml"/><Relationship Id="rId9" Type="http://schemas.openxmlformats.org/officeDocument/2006/relationships/hyperlink" Target="https://www.amnesty.org/en/latest/campaigns/2018/07/china-human-rights-lawyers-crackdown-third-anniversary/" TargetMode="External"/><Relationship Id="rId14" Type="http://schemas.openxmlformats.org/officeDocument/2006/relationships/hyperlink" Target="https://digitalcommons.law.ggu.edu/cgi/viewcontent.cgi?article=1112&amp;context=annlsurvey" TargetMode="External"/><Relationship Id="rId22" Type="http://schemas.openxmlformats.org/officeDocument/2006/relationships/hyperlink" Target="https://www.barstandardsboard.org.uk/media/1472203/joint-academic-stage-board-handbook_-_nov_2012.pdf" TargetMode="External"/><Relationship Id="rId27" Type="http://schemas.openxmlformats.org/officeDocument/2006/relationships/hyperlink" Target="https://assets.publishing.service.gov.uk/government/uploads/system/uploads/attachment_data/file/247574/1056.pdf" TargetMode="External"/><Relationship Id="rId30" Type="http://schemas.openxmlformats.org/officeDocument/2006/relationships/hyperlink" Target="http://paulmaharg.com/tag/simulated-client-initiative/" TargetMode="External"/><Relationship Id="rId35" Type="http://schemas.openxmlformats.org/officeDocument/2006/relationships/hyperlink" Target="http://researchbriefings.files.parliament.uk/documents/SN06113/SN06113.pdf" TargetMode="External"/><Relationship Id="rId43" Type="http://schemas.openxmlformats.org/officeDocument/2006/relationships/hyperlink" Target="http://www.sra.org.uk/sra/consultations/lttf-phase-two-handbook-reform.page" TargetMode="External"/><Relationship Id="rId48" Type="http://schemas.openxmlformats.org/officeDocument/2006/relationships/hyperlink" Target="https://orcid.org/0000-0001-7932-1461?lang=en" TargetMode="External"/><Relationship Id="rId8" Type="http://schemas.openxmlformats.org/officeDocument/2006/relationships/hyperlink" Target="http://www.americanbar.org/content/dam/aba/publications/misc/legal_education/Standards/2014_2015_aba_standards_chapter3.authcheckdam.pdf"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93DC92-E386-4066-ADED-D6D516487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7547</Words>
  <Characters>43018</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w7user</dc:creator>
  <cp:lastModifiedBy>Bowman, Cassandra 3</cp:lastModifiedBy>
  <cp:revision>2</cp:revision>
  <cp:lastPrinted>2019-05-10T09:27:00Z</cp:lastPrinted>
  <dcterms:created xsi:type="dcterms:W3CDTF">2019-08-13T11:57:00Z</dcterms:created>
  <dcterms:modified xsi:type="dcterms:W3CDTF">2019-08-13T11:57:00Z</dcterms:modified>
</cp:coreProperties>
</file>