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9656" w14:textId="55192EB2" w:rsidR="00080FD9" w:rsidRDefault="00EE6857" w:rsidP="00EE6857">
      <w:pPr>
        <w:jc w:val="center"/>
        <w:rPr>
          <w:b/>
          <w:bCs/>
          <w:sz w:val="32"/>
          <w:szCs w:val="32"/>
        </w:rPr>
      </w:pPr>
      <w:r>
        <w:rPr>
          <w:b/>
          <w:bCs/>
          <w:sz w:val="32"/>
          <w:szCs w:val="32"/>
        </w:rPr>
        <w:t>The Role of Dynamic Contrast Enhanced MRI perfusion imaging in post treatment surveillance of patients with high grade gliomas</w:t>
      </w:r>
    </w:p>
    <w:p w14:paraId="12935616" w14:textId="2314E2D3" w:rsidR="00EE6857" w:rsidRDefault="00EE6857" w:rsidP="00EE6857">
      <w:pPr>
        <w:jc w:val="center"/>
        <w:rPr>
          <w:b/>
          <w:bCs/>
        </w:rPr>
      </w:pPr>
    </w:p>
    <w:p w14:paraId="00CC49F3" w14:textId="03E7D9EF" w:rsidR="00BC73CA" w:rsidRPr="00DD0404" w:rsidRDefault="00BC73CA" w:rsidP="00DD0404">
      <w:pPr>
        <w:jc w:val="center"/>
        <w:rPr>
          <w:rFonts w:cstheme="minorHAnsi"/>
          <w:b/>
          <w:bCs/>
          <w:vertAlign w:val="superscript"/>
        </w:rPr>
      </w:pPr>
      <w:r w:rsidRPr="00DD0404">
        <w:rPr>
          <w:rFonts w:cstheme="minorHAnsi"/>
          <w:b/>
          <w:bCs/>
        </w:rPr>
        <w:t xml:space="preserve">Laura </w:t>
      </w:r>
      <w:r w:rsidR="00DD0404">
        <w:rPr>
          <w:rFonts w:cstheme="minorHAnsi"/>
          <w:b/>
          <w:bCs/>
        </w:rPr>
        <w:t xml:space="preserve">Elin </w:t>
      </w:r>
      <w:r w:rsidR="00DD0404" w:rsidRPr="00DD0404">
        <w:rPr>
          <w:rFonts w:cstheme="minorHAnsi"/>
          <w:b/>
          <w:bCs/>
        </w:rPr>
        <w:t>Pigott</w:t>
      </w:r>
      <w:r w:rsidRPr="00DD0404">
        <w:rPr>
          <w:rFonts w:cstheme="minorHAnsi"/>
          <w:b/>
          <w:bCs/>
          <w:vertAlign w:val="superscript"/>
        </w:rPr>
        <w:t>1</w:t>
      </w:r>
      <w:r w:rsidRPr="00DD0404">
        <w:rPr>
          <w:rFonts w:cstheme="minorHAnsi"/>
          <w:b/>
          <w:bCs/>
        </w:rPr>
        <w:t xml:space="preserve">; </w:t>
      </w:r>
      <w:r w:rsidR="00DD0404">
        <w:rPr>
          <w:rFonts w:cstheme="minorHAnsi"/>
          <w:b/>
          <w:bCs/>
        </w:rPr>
        <w:t xml:space="preserve">Laura </w:t>
      </w:r>
      <w:r w:rsidRPr="00DD0404">
        <w:rPr>
          <w:rFonts w:cstheme="minorHAnsi"/>
          <w:b/>
          <w:bCs/>
        </w:rPr>
        <w:t>Mancini</w:t>
      </w:r>
      <w:r w:rsidR="00FB0C55">
        <w:rPr>
          <w:rFonts w:cstheme="minorHAnsi"/>
          <w:b/>
          <w:bCs/>
          <w:vertAlign w:val="superscript"/>
        </w:rPr>
        <w:t>2</w:t>
      </w:r>
      <w:r w:rsidRPr="00DD0404">
        <w:rPr>
          <w:rFonts w:cstheme="minorHAnsi"/>
          <w:b/>
          <w:bCs/>
        </w:rPr>
        <w:t xml:space="preserve">; </w:t>
      </w:r>
      <w:r w:rsidR="00DD0404">
        <w:rPr>
          <w:rFonts w:cstheme="minorHAnsi"/>
          <w:b/>
          <w:bCs/>
        </w:rPr>
        <w:t xml:space="preserve">Sotirios </w:t>
      </w:r>
      <w:r w:rsidRPr="00DD0404">
        <w:rPr>
          <w:rFonts w:cstheme="minorHAnsi"/>
          <w:b/>
          <w:bCs/>
        </w:rPr>
        <w:t>Bisdas</w:t>
      </w:r>
      <w:r w:rsidR="00701E6B">
        <w:rPr>
          <w:rFonts w:cstheme="minorHAnsi"/>
          <w:b/>
          <w:bCs/>
          <w:vertAlign w:val="superscript"/>
        </w:rPr>
        <w:t>3</w:t>
      </w:r>
    </w:p>
    <w:p w14:paraId="23C1B549" w14:textId="74682454" w:rsidR="00A7171F" w:rsidRPr="00C24DEA" w:rsidRDefault="00C24DEA" w:rsidP="00C24DEA">
      <w:pPr>
        <w:jc w:val="center"/>
        <w:rPr>
          <w:sz w:val="20"/>
          <w:szCs w:val="20"/>
        </w:rPr>
      </w:pPr>
      <w:r w:rsidRPr="00C24DEA">
        <w:rPr>
          <w:sz w:val="20"/>
          <w:szCs w:val="20"/>
        </w:rPr>
        <w:t xml:space="preserve">1: </w:t>
      </w:r>
      <w:r w:rsidR="00701E6B">
        <w:rPr>
          <w:sz w:val="20"/>
          <w:szCs w:val="20"/>
        </w:rPr>
        <w:t xml:space="preserve">London South Bank University, Institute of Health and Social Care. </w:t>
      </w:r>
      <w:r w:rsidR="006522C3">
        <w:rPr>
          <w:sz w:val="20"/>
          <w:szCs w:val="20"/>
        </w:rPr>
        <w:t xml:space="preserve">Lysholm Department of Neuroradiology &amp; Neurosurgery, </w:t>
      </w:r>
      <w:r w:rsidRPr="00A7171F">
        <w:rPr>
          <w:sz w:val="20"/>
          <w:szCs w:val="20"/>
        </w:rPr>
        <w:t>Queen Square In</w:t>
      </w:r>
      <w:r>
        <w:rPr>
          <w:sz w:val="20"/>
          <w:szCs w:val="20"/>
        </w:rPr>
        <w:t>stitute of Neurology</w:t>
      </w:r>
      <w:r w:rsidR="006522C3">
        <w:rPr>
          <w:sz w:val="20"/>
          <w:szCs w:val="20"/>
        </w:rPr>
        <w:t xml:space="preserve">, </w:t>
      </w:r>
      <w:r w:rsidR="00A7171F" w:rsidRPr="00A7171F">
        <w:rPr>
          <w:sz w:val="20"/>
          <w:szCs w:val="20"/>
        </w:rPr>
        <w:t>University College London</w:t>
      </w:r>
      <w:r w:rsidR="00BD408A">
        <w:rPr>
          <w:sz w:val="20"/>
          <w:szCs w:val="20"/>
        </w:rPr>
        <w:t>.</w:t>
      </w:r>
      <w:r>
        <w:rPr>
          <w:sz w:val="20"/>
          <w:szCs w:val="20"/>
        </w:rPr>
        <w:t xml:space="preserve"> London, UK</w:t>
      </w:r>
    </w:p>
    <w:p w14:paraId="55F78C53" w14:textId="2AB7AEB2" w:rsidR="00A7171F" w:rsidRDefault="00A7171F" w:rsidP="00A7171F">
      <w:pPr>
        <w:jc w:val="center"/>
        <w:rPr>
          <w:sz w:val="20"/>
          <w:szCs w:val="20"/>
        </w:rPr>
      </w:pPr>
      <w:r>
        <w:rPr>
          <w:sz w:val="20"/>
          <w:szCs w:val="20"/>
        </w:rPr>
        <w:t>2: Lysholm Department of Neuroradiology &amp; Neurosurgery, University College London</w:t>
      </w:r>
      <w:r w:rsidR="00592457">
        <w:rPr>
          <w:sz w:val="20"/>
          <w:szCs w:val="20"/>
        </w:rPr>
        <w:t>. Department of Brain Repair</w:t>
      </w:r>
      <w:r w:rsidR="00C24DEA">
        <w:rPr>
          <w:sz w:val="20"/>
          <w:szCs w:val="20"/>
        </w:rPr>
        <w:t xml:space="preserve"> and Rehabilitation, UCL Queen Square Institute of Neurology, London, UK</w:t>
      </w:r>
      <w:r w:rsidR="00592457">
        <w:rPr>
          <w:sz w:val="20"/>
          <w:szCs w:val="20"/>
        </w:rPr>
        <w:t xml:space="preserve"> </w:t>
      </w:r>
    </w:p>
    <w:p w14:paraId="287A661F" w14:textId="7BC63F07" w:rsidR="00F538F3" w:rsidRDefault="00F538F3" w:rsidP="00A7171F">
      <w:pPr>
        <w:jc w:val="center"/>
        <w:rPr>
          <w:sz w:val="20"/>
          <w:szCs w:val="20"/>
        </w:rPr>
      </w:pPr>
      <w:r>
        <w:rPr>
          <w:sz w:val="20"/>
          <w:szCs w:val="20"/>
        </w:rPr>
        <w:t>3:</w:t>
      </w:r>
      <w:r w:rsidR="006522C3">
        <w:rPr>
          <w:sz w:val="20"/>
          <w:szCs w:val="20"/>
        </w:rPr>
        <w:t xml:space="preserve"> Lysholm Department of Neuroradiology &amp; Neurosurgery, University College Hospital London, London, UK</w:t>
      </w:r>
    </w:p>
    <w:p w14:paraId="7E184BF4" w14:textId="0526C86E" w:rsidR="00967EAD" w:rsidRDefault="00967EAD" w:rsidP="00967EAD">
      <w:pPr>
        <w:rPr>
          <w:sz w:val="20"/>
          <w:szCs w:val="20"/>
        </w:rPr>
      </w:pPr>
    </w:p>
    <w:p w14:paraId="15AFDE81" w14:textId="77777777" w:rsidR="00113F56" w:rsidRPr="00113F56" w:rsidRDefault="00113F56" w:rsidP="00113F56">
      <w:pPr>
        <w:pStyle w:val="Heading1"/>
        <w:rPr>
          <w:rFonts w:asciiTheme="minorHAnsi" w:hAnsiTheme="minorHAnsi" w:cstheme="minorHAnsi"/>
          <w:b/>
          <w:bCs/>
          <w:color w:val="000000" w:themeColor="text1"/>
          <w:sz w:val="28"/>
          <w:szCs w:val="28"/>
        </w:rPr>
      </w:pPr>
      <w:bookmarkStart w:id="0" w:name="_Toc82961575"/>
      <w:r w:rsidRPr="00113F56">
        <w:rPr>
          <w:rFonts w:asciiTheme="minorHAnsi" w:hAnsiTheme="minorHAnsi" w:cstheme="minorHAnsi"/>
          <w:b/>
          <w:bCs/>
          <w:color w:val="000000" w:themeColor="text1"/>
          <w:sz w:val="28"/>
          <w:szCs w:val="28"/>
        </w:rPr>
        <w:t>Abstract</w:t>
      </w:r>
      <w:bookmarkEnd w:id="0"/>
    </w:p>
    <w:p w14:paraId="1467FE6B" w14:textId="4D699EA2" w:rsidR="00665532" w:rsidRDefault="00113F56" w:rsidP="003A249E">
      <w:pPr>
        <w:jc w:val="both"/>
        <w:rPr>
          <w:rFonts w:cstheme="minorHAnsi"/>
          <w:color w:val="000000" w:themeColor="text1"/>
          <w:sz w:val="22"/>
          <w:szCs w:val="22"/>
        </w:rPr>
      </w:pPr>
      <w:r w:rsidRPr="00163827">
        <w:rPr>
          <w:rFonts w:cstheme="minorHAnsi"/>
          <w:sz w:val="22"/>
          <w:szCs w:val="22"/>
        </w:rPr>
        <w:t>Neuroimaging is a valuable diagnostic and surveillance tool for high-grade gliomas. Dynamic Contrast Enhanced Magnetic Resonance Imaging (DCE-MRI) is a perfusion imaging technique, which can quantitatively evaluate tumour biology, concentrating mostly on the microcirculation and the enhancement patterns in the surrounding tissue.</w:t>
      </w:r>
      <w:r w:rsidR="00FC5DF8" w:rsidRPr="00163827">
        <w:rPr>
          <w:rFonts w:cstheme="minorHAnsi"/>
          <w:sz w:val="22"/>
          <w:szCs w:val="22"/>
        </w:rPr>
        <w:t xml:space="preserve"> </w:t>
      </w:r>
      <w:r w:rsidR="00812D33" w:rsidRPr="00163827">
        <w:rPr>
          <w:rFonts w:cstheme="minorHAnsi"/>
          <w:sz w:val="22"/>
          <w:szCs w:val="22"/>
        </w:rPr>
        <w:t>This retrospective observational study</w:t>
      </w:r>
      <w:r w:rsidRPr="00163827">
        <w:rPr>
          <w:rFonts w:cstheme="minorHAnsi"/>
          <w:sz w:val="22"/>
          <w:szCs w:val="22"/>
        </w:rPr>
        <w:t xml:space="preserve"> </w:t>
      </w:r>
      <w:r w:rsidR="00FC5DF8" w:rsidRPr="00163827">
        <w:rPr>
          <w:rFonts w:cstheme="minorHAnsi"/>
          <w:sz w:val="22"/>
          <w:szCs w:val="22"/>
        </w:rPr>
        <w:t>consisted of</w:t>
      </w:r>
      <w:r w:rsidRPr="00163827">
        <w:rPr>
          <w:rFonts w:cstheme="minorHAnsi"/>
          <w:sz w:val="22"/>
          <w:szCs w:val="22"/>
        </w:rPr>
        <w:t xml:space="preserve"> 48 post-treatment patients having been diagnosed with high-grade glioma of the brain. Measurements were taken using DCE-MRI at baseline and at 3-month, 6-month, 9-month and 12-month follow-ups. Perfusion maps, BF, AUC, Ktrans, Kep, Ve and Vp, were generated and processed using commercially available software. Eight survival analysis models differentiated progression from stable disease and pseudo-progression from true progression, across the 6- and 12-month timepoints. </w:t>
      </w:r>
      <w:r w:rsidRPr="00163827">
        <w:rPr>
          <w:rFonts w:cstheme="minorHAnsi"/>
          <w:color w:val="000000" w:themeColor="text1"/>
          <w:sz w:val="22"/>
          <w:szCs w:val="22"/>
          <w:shd w:val="clear" w:color="auto" w:fill="FFFFFF"/>
        </w:rPr>
        <w:t xml:space="preserve">Models 1 through 4 assessed disease progression based on the initial baseline scan, while models 5 through 8 assessed progression based on the baseline and the 3-month DCE-MRI scan. </w:t>
      </w:r>
      <w:r w:rsidRPr="00163827">
        <w:rPr>
          <w:rFonts w:cstheme="minorHAnsi"/>
          <w:sz w:val="22"/>
          <w:szCs w:val="22"/>
        </w:rPr>
        <w:t xml:space="preserve">All survival analysis models were statistically significant with high sensitivity and specificity. The starting hypotheses were verified, </w:t>
      </w:r>
      <w:r w:rsidR="00FC5DF8" w:rsidRPr="00163827">
        <w:rPr>
          <w:rFonts w:cstheme="minorHAnsi"/>
          <w:color w:val="000000" w:themeColor="text1"/>
          <w:sz w:val="22"/>
          <w:szCs w:val="22"/>
        </w:rPr>
        <w:t>(1) DCE-MRI prove</w:t>
      </w:r>
      <w:r w:rsidR="008E4057" w:rsidRPr="00163827">
        <w:rPr>
          <w:rFonts w:cstheme="minorHAnsi"/>
          <w:color w:val="000000" w:themeColor="text1"/>
          <w:sz w:val="22"/>
          <w:szCs w:val="22"/>
        </w:rPr>
        <w:t>d</w:t>
      </w:r>
      <w:r w:rsidR="00FC5DF8" w:rsidRPr="00163827">
        <w:rPr>
          <w:rFonts w:cstheme="minorHAnsi"/>
          <w:color w:val="000000" w:themeColor="text1"/>
          <w:sz w:val="22"/>
          <w:szCs w:val="22"/>
        </w:rPr>
        <w:t xml:space="preserve"> an accurate and clinically useful tool in the surveillance of high-grade gliomas, by differentiating, clearly and accurately, between tumour growth and treatment related changes, such as pseudo-progression. (2) The addition of the secondary DCE-MRI assessment enhance</w:t>
      </w:r>
      <w:r w:rsidR="008E4057" w:rsidRPr="00163827">
        <w:rPr>
          <w:rFonts w:cstheme="minorHAnsi"/>
          <w:color w:val="000000" w:themeColor="text1"/>
          <w:sz w:val="22"/>
          <w:szCs w:val="22"/>
        </w:rPr>
        <w:t>d</w:t>
      </w:r>
      <w:r w:rsidR="00FC5DF8" w:rsidRPr="00163827">
        <w:rPr>
          <w:rFonts w:cstheme="minorHAnsi"/>
          <w:color w:val="000000" w:themeColor="text1"/>
          <w:sz w:val="22"/>
          <w:szCs w:val="22"/>
        </w:rPr>
        <w:t xml:space="preserve"> the survival analysis prediction and subsequently the accuracy of the prognosis.</w:t>
      </w:r>
    </w:p>
    <w:p w14:paraId="79789483" w14:textId="64CED61D" w:rsidR="00C03FE1" w:rsidRPr="003A249E" w:rsidRDefault="00C03FE1" w:rsidP="003A249E">
      <w:pPr>
        <w:jc w:val="both"/>
        <w:rPr>
          <w:rFonts w:cstheme="minorHAnsi"/>
          <w:sz w:val="22"/>
          <w:szCs w:val="22"/>
        </w:rPr>
      </w:pPr>
      <w:r>
        <w:rPr>
          <w:rFonts w:cstheme="minorHAnsi"/>
          <w:sz w:val="22"/>
          <w:szCs w:val="22"/>
        </w:rPr>
        <w:t xml:space="preserve">Key words: Glioma, </w:t>
      </w:r>
      <w:r w:rsidR="003C32B3">
        <w:rPr>
          <w:rFonts w:cstheme="minorHAnsi"/>
          <w:sz w:val="22"/>
          <w:szCs w:val="22"/>
        </w:rPr>
        <w:t xml:space="preserve">Brain Cancer, </w:t>
      </w:r>
      <w:r>
        <w:rPr>
          <w:rFonts w:cstheme="minorHAnsi"/>
          <w:sz w:val="22"/>
          <w:szCs w:val="22"/>
        </w:rPr>
        <w:t xml:space="preserve">DCE-MRI, </w:t>
      </w:r>
      <w:r w:rsidR="007A1929">
        <w:rPr>
          <w:rFonts w:cstheme="minorHAnsi"/>
          <w:sz w:val="22"/>
          <w:szCs w:val="22"/>
        </w:rPr>
        <w:t xml:space="preserve">Advanced </w:t>
      </w:r>
      <w:r w:rsidR="003C32B3">
        <w:rPr>
          <w:rFonts w:cstheme="minorHAnsi"/>
          <w:sz w:val="22"/>
          <w:szCs w:val="22"/>
        </w:rPr>
        <w:t>Neuroimaging</w:t>
      </w:r>
      <w:r w:rsidR="007A1929">
        <w:rPr>
          <w:rFonts w:cstheme="minorHAnsi"/>
          <w:sz w:val="22"/>
          <w:szCs w:val="22"/>
        </w:rPr>
        <w:t>.</w:t>
      </w:r>
    </w:p>
    <w:p w14:paraId="05A1ED63" w14:textId="301CB387" w:rsidR="00665532" w:rsidRPr="00C31B59" w:rsidRDefault="00665532" w:rsidP="007A562D">
      <w:pPr>
        <w:rPr>
          <w:sz w:val="20"/>
          <w:szCs w:val="20"/>
        </w:rPr>
      </w:pPr>
    </w:p>
    <w:p w14:paraId="76645E17" w14:textId="037A7C8A" w:rsidR="00163827" w:rsidRPr="00163827" w:rsidRDefault="00163827" w:rsidP="00163827">
      <w:pPr>
        <w:rPr>
          <w:b/>
          <w:bCs/>
          <w:sz w:val="28"/>
          <w:szCs w:val="28"/>
        </w:rPr>
      </w:pPr>
      <w:r>
        <w:rPr>
          <w:b/>
          <w:bCs/>
          <w:sz w:val="28"/>
          <w:szCs w:val="28"/>
        </w:rPr>
        <w:t>1.</w:t>
      </w:r>
      <w:r w:rsidR="00665532" w:rsidRPr="00163827">
        <w:rPr>
          <w:b/>
          <w:bCs/>
          <w:sz w:val="28"/>
          <w:szCs w:val="28"/>
        </w:rPr>
        <w:t>Introduction</w:t>
      </w:r>
    </w:p>
    <w:p w14:paraId="01E31C1F" w14:textId="739AC291" w:rsidR="00AC0D6C" w:rsidRPr="00163827" w:rsidRDefault="00163827" w:rsidP="007177E4">
      <w:pPr>
        <w:rPr>
          <w:b/>
          <w:bCs/>
        </w:rPr>
      </w:pPr>
      <w:bookmarkStart w:id="1" w:name="_Toc82961577"/>
      <w:r w:rsidRPr="00163827">
        <w:rPr>
          <w:b/>
          <w:bCs/>
        </w:rPr>
        <w:t xml:space="preserve">1.1. </w:t>
      </w:r>
      <w:r w:rsidR="00AC0D6C" w:rsidRPr="00163827">
        <w:rPr>
          <w:b/>
          <w:bCs/>
        </w:rPr>
        <w:t>High-grade gliomas and the role of neuroimaging</w:t>
      </w:r>
      <w:bookmarkEnd w:id="1"/>
    </w:p>
    <w:p w14:paraId="0D04C98A" w14:textId="676A6110" w:rsidR="00AC0D6C" w:rsidRPr="008C42D0" w:rsidRDefault="00AC0D6C" w:rsidP="00163827">
      <w:pPr>
        <w:jc w:val="both"/>
        <w:rPr>
          <w:color w:val="000000" w:themeColor="text1"/>
        </w:rPr>
      </w:pPr>
      <w:r>
        <w:t>The most common malignant brain tumours are gliomas, which account for eighty percent of all malignant primary central nervous system tumours</w:t>
      </w:r>
      <w:r w:rsidR="00AF66F8">
        <w:t xml:space="preserve"> </w:t>
      </w:r>
      <w:r w:rsidRPr="00410AAF">
        <w:t>(Colman, 2020)</w:t>
      </w:r>
      <w:r>
        <w:t xml:space="preserve">. The incidence rate of high-grade, aggressive brain tumours is steadily rising, with survival rates averaging approximately 1 year, indicating that there is a need for </w:t>
      </w:r>
      <w:r w:rsidR="00AF66F8">
        <w:t xml:space="preserve">a </w:t>
      </w:r>
      <w:r>
        <w:t xml:space="preserve">more proactive response during treatment and prevention </w:t>
      </w:r>
      <w:r w:rsidRPr="000B0E52">
        <w:t>(Philips et al., 2018)</w:t>
      </w:r>
      <w:r>
        <w:t xml:space="preserve">. </w:t>
      </w:r>
    </w:p>
    <w:p w14:paraId="6D34EA06" w14:textId="6D880770" w:rsidR="00AC0D6C" w:rsidRPr="00E26EEE" w:rsidRDefault="00AF66F8" w:rsidP="00AA2CC9">
      <w:pPr>
        <w:ind w:firstLine="340"/>
        <w:jc w:val="both"/>
      </w:pPr>
      <w:r>
        <w:t xml:space="preserve">Currently, the gold standard of imaging techniques for the surveillance and management of high-grade gliomas is T1-weighted magnetic resonance imaging (MRI) with contrast and T2 or FLAIR (Sharma, </w:t>
      </w:r>
      <w:r w:rsidR="63C4D1CA">
        <w:t>et al</w:t>
      </w:r>
      <w:r>
        <w:t>, 2017). However, this post-contrast method only indirectly reveals the biological activity of a tumour</w:t>
      </w:r>
      <w:r w:rsidR="004706E0">
        <w:t xml:space="preserve"> </w:t>
      </w:r>
      <w:r>
        <w:t>(Brandsma et al., 200</w:t>
      </w:r>
      <w:r w:rsidR="00E94997">
        <w:t>9</w:t>
      </w:r>
      <w:r>
        <w:t>; Malara and Donato, 2019</w:t>
      </w:r>
      <w:r w:rsidR="009E6F0B">
        <w:t>)</w:t>
      </w:r>
      <w:r w:rsidR="001D6C62">
        <w:t>,</w:t>
      </w:r>
      <w:r>
        <w:t xml:space="preserve"> </w:t>
      </w:r>
      <w:r w:rsidR="00667AA7">
        <w:t>being</w:t>
      </w:r>
      <w:r>
        <w:t xml:space="preserve"> non-specific and unreliable in predicting subsequent tumour behaviour.</w:t>
      </w:r>
      <w:r w:rsidR="001D6C62">
        <w:t xml:space="preserve"> T</w:t>
      </w:r>
      <w:r w:rsidR="00AC0D6C">
        <w:t xml:space="preserve">he identification of disease progression can be confounded by pseudo-progression, which can be defined as a treatment related response seen in the tumour or the surrounding area. This response produces an increase of enhancement or oedema on an MRI scan indistinguishable from changes caused by true progression (Brandsma and van den Bent, 2009). True progression and pseudo-progression can </w:t>
      </w:r>
      <w:r w:rsidR="005413D8">
        <w:t xml:space="preserve">currently </w:t>
      </w:r>
      <w:r w:rsidR="00AC0D6C">
        <w:t xml:space="preserve">only be differentiated </w:t>
      </w:r>
      <w:r w:rsidR="001D6C62">
        <w:t xml:space="preserve">with certainty </w:t>
      </w:r>
      <w:r w:rsidR="00AC0D6C">
        <w:t>after 6, 9 or 12 months, when a true progression would continue to increase in size whilst a pseudo-</w:t>
      </w:r>
      <w:r w:rsidR="00AC0D6C">
        <w:lastRenderedPageBreak/>
        <w:t xml:space="preserve">progression would decrease in size. As a result, the radiologic distinction is inherently retrospective based on serial MRI scans (Fink, </w:t>
      </w:r>
      <w:r w:rsidR="5A3717E1">
        <w:t>et al</w:t>
      </w:r>
      <w:r w:rsidR="00AC0D6C">
        <w:t>, 2011).</w:t>
      </w:r>
    </w:p>
    <w:p w14:paraId="60E5257E" w14:textId="6132D075" w:rsidR="00665532" w:rsidRDefault="00665532" w:rsidP="007A562D"/>
    <w:p w14:paraId="204ABF07" w14:textId="607E10A4" w:rsidR="00AC0D6C" w:rsidRPr="00163827" w:rsidRDefault="00163827" w:rsidP="00AC0D6C">
      <w:pPr>
        <w:pStyle w:val="Heading2"/>
        <w:rPr>
          <w:rFonts w:asciiTheme="minorHAnsi" w:hAnsiTheme="minorHAnsi" w:cstheme="minorHAnsi"/>
          <w:b/>
          <w:bCs/>
          <w:color w:val="000000" w:themeColor="text1"/>
          <w:sz w:val="24"/>
          <w:szCs w:val="24"/>
        </w:rPr>
      </w:pPr>
      <w:bookmarkStart w:id="2" w:name="_Toc82961579"/>
      <w:r w:rsidRPr="00163827">
        <w:rPr>
          <w:rFonts w:asciiTheme="minorHAnsi" w:hAnsiTheme="minorHAnsi" w:cstheme="minorHAnsi"/>
          <w:b/>
          <w:bCs/>
          <w:color w:val="000000" w:themeColor="text1"/>
          <w:sz w:val="24"/>
          <w:szCs w:val="24"/>
        </w:rPr>
        <w:t xml:space="preserve">1.2 </w:t>
      </w:r>
      <w:r w:rsidR="00365380" w:rsidRPr="00163827">
        <w:rPr>
          <w:rFonts w:asciiTheme="minorHAnsi" w:hAnsiTheme="minorHAnsi" w:cstheme="minorHAnsi"/>
          <w:b/>
          <w:bCs/>
          <w:color w:val="000000" w:themeColor="text1"/>
          <w:sz w:val="24"/>
          <w:szCs w:val="24"/>
        </w:rPr>
        <w:t xml:space="preserve">The use of </w:t>
      </w:r>
      <w:r w:rsidR="00AC0D6C" w:rsidRPr="00163827">
        <w:rPr>
          <w:rFonts w:asciiTheme="minorHAnsi" w:hAnsiTheme="minorHAnsi" w:cstheme="minorHAnsi"/>
          <w:b/>
          <w:bCs/>
          <w:color w:val="000000" w:themeColor="text1"/>
          <w:sz w:val="24"/>
          <w:szCs w:val="24"/>
        </w:rPr>
        <w:t>Dynamic contrast-enhanced MRI</w:t>
      </w:r>
      <w:bookmarkEnd w:id="2"/>
      <w:r w:rsidR="00AC0D6C" w:rsidRPr="00163827">
        <w:rPr>
          <w:rFonts w:asciiTheme="minorHAnsi" w:hAnsiTheme="minorHAnsi" w:cstheme="minorHAnsi"/>
          <w:b/>
          <w:bCs/>
          <w:color w:val="000000" w:themeColor="text1"/>
          <w:sz w:val="24"/>
          <w:szCs w:val="24"/>
        </w:rPr>
        <w:t xml:space="preserve"> </w:t>
      </w:r>
      <w:r w:rsidR="00365380" w:rsidRPr="00163827">
        <w:rPr>
          <w:rFonts w:asciiTheme="minorHAnsi" w:hAnsiTheme="minorHAnsi" w:cstheme="minorHAnsi"/>
          <w:b/>
          <w:bCs/>
          <w:color w:val="000000" w:themeColor="text1"/>
          <w:sz w:val="24"/>
          <w:szCs w:val="24"/>
        </w:rPr>
        <w:t>thus far</w:t>
      </w:r>
    </w:p>
    <w:p w14:paraId="4459B764" w14:textId="0947B9A2" w:rsidR="006206A6" w:rsidRDefault="00AC0D6C" w:rsidP="00163827">
      <w:pPr>
        <w:jc w:val="both"/>
      </w:pPr>
      <w:r w:rsidRPr="00A35C99">
        <w:t xml:space="preserve">Dynamic contrast enhanced </w:t>
      </w:r>
      <w:r>
        <w:t xml:space="preserve">magnetic resonance imaging (DCE-MRI) </w:t>
      </w:r>
      <w:r w:rsidRPr="00A35C99">
        <w:t>has been established as a method to quantitatively evaluate tumo</w:t>
      </w:r>
      <w:r>
        <w:t>u</w:t>
      </w:r>
      <w:r w:rsidRPr="00A35C99">
        <w:t>r biology</w:t>
      </w:r>
      <w:r>
        <w:t>, concentrating mostly on</w:t>
      </w:r>
      <w:r w:rsidRPr="00A35C99">
        <w:t xml:space="preserve"> </w:t>
      </w:r>
      <w:r>
        <w:t xml:space="preserve">the </w:t>
      </w:r>
      <w:r w:rsidRPr="00A35C99">
        <w:t>microcirculation</w:t>
      </w:r>
      <w:r>
        <w:t xml:space="preserve"> and the enhancement patterns in the surrounding tissue. </w:t>
      </w:r>
      <w:r w:rsidR="00E12437">
        <w:t xml:space="preserve"> T</w:t>
      </w:r>
      <w:r>
        <w:t xml:space="preserve">he use of DCE-MRI neurovascular assessment could potentially distinguish between tumour growth and treatment related-changes, such as pseudo-progression </w:t>
      </w:r>
      <w:r w:rsidRPr="00B84651">
        <w:t>(Nam et al., 2017)</w:t>
      </w:r>
      <w:r>
        <w:t>.</w:t>
      </w:r>
      <w:r w:rsidR="00720DCF">
        <w:t xml:space="preserve"> </w:t>
      </w:r>
      <w:r>
        <w:t xml:space="preserve">The ability to establish dissimilarities between true progressive disease and treatment related changes surrounding the disease was first determined by dynamic susceptibility contrast MRI </w:t>
      </w:r>
      <w:r w:rsidRPr="00E96175">
        <w:t>(Barajas et al., 2008</w:t>
      </w:r>
      <w:r>
        <w:t xml:space="preserve">; </w:t>
      </w:r>
      <w:r w:rsidRPr="00E96175">
        <w:t>Barajas et al., 2009</w:t>
      </w:r>
      <w:r>
        <w:t xml:space="preserve">; </w:t>
      </w:r>
      <w:r w:rsidRPr="00423D1E">
        <w:t>Young et al., 2013</w:t>
      </w:r>
      <w:r>
        <w:t xml:space="preserve">; </w:t>
      </w:r>
      <w:r w:rsidRPr="00423D1E">
        <w:t>van Dijken et al., 2019)</w:t>
      </w:r>
      <w:r>
        <w:t xml:space="preserve">. </w:t>
      </w:r>
    </w:p>
    <w:p w14:paraId="0593CF64" w14:textId="181FA3E4" w:rsidR="006206A6" w:rsidRDefault="0089110C" w:rsidP="00AA2CC9">
      <w:pPr>
        <w:ind w:firstLine="340"/>
        <w:jc w:val="both"/>
        <w:rPr>
          <w:color w:val="000000" w:themeColor="text1"/>
          <w:shd w:val="clear" w:color="auto" w:fill="FFFFFF"/>
        </w:rPr>
      </w:pPr>
      <w:r>
        <w:t>P</w:t>
      </w:r>
      <w:r w:rsidR="00AC0D6C">
        <w:t xml:space="preserve">erfusion imaging, specifically DCE-MRI, </w:t>
      </w:r>
      <w:r>
        <w:t>has been established to</w:t>
      </w:r>
      <w:r w:rsidR="00AC0D6C">
        <w:t xml:space="preserve"> differentiate progressive or recurrent disease from stable disease </w:t>
      </w:r>
      <w:r w:rsidR="00AC0D6C" w:rsidRPr="00B4425E">
        <w:t>(Seeger et al., 2013)</w:t>
      </w:r>
      <w:r w:rsidR="00AC0D6C">
        <w:t xml:space="preserve">. However, as most MR imaging modalities can detect this differentiation, a quintessential area of focus has been the differentiation of pseudo-progression and true progression. </w:t>
      </w:r>
      <w:r w:rsidR="00AC0D6C" w:rsidRPr="00525EF5">
        <w:t>Some studies which evaluated</w:t>
      </w:r>
      <w:r w:rsidR="00AC0D6C">
        <w:t xml:space="preserve"> the feasibility and validity of any differentiation between pseudo-progression and true progression, determined that DCE-MRI may indeed prove useful when determining disease status (</w:t>
      </w:r>
      <w:r w:rsidR="00AC0D6C" w:rsidRPr="00525EF5">
        <w:rPr>
          <w:color w:val="000000" w:themeColor="text1"/>
          <w:shd w:val="clear" w:color="auto" w:fill="FFFFFF"/>
        </w:rPr>
        <w:t xml:space="preserve">Bisdas et al., 2011; Narang et al., 2011; </w:t>
      </w:r>
      <w:r w:rsidR="00AC0D6C" w:rsidRPr="001E1D64">
        <w:rPr>
          <w:color w:val="000000" w:themeColor="text1"/>
          <w:shd w:val="clear" w:color="auto" w:fill="FFFFFF"/>
        </w:rPr>
        <w:t>Bisdas et al., 2014</w:t>
      </w:r>
      <w:r w:rsidR="00AC0D6C">
        <w:rPr>
          <w:color w:val="000000" w:themeColor="text1"/>
          <w:shd w:val="clear" w:color="auto" w:fill="FFFFFF"/>
        </w:rPr>
        <w:t xml:space="preserve">; </w:t>
      </w:r>
      <w:r w:rsidR="00AC0D6C" w:rsidRPr="00525EF5">
        <w:rPr>
          <w:color w:val="000000" w:themeColor="text1"/>
          <w:shd w:val="clear" w:color="auto" w:fill="FFFFFF"/>
        </w:rPr>
        <w:t xml:space="preserve">Chung et al., 2013; Suh et al., 2013; Park et al., 2015; Thomas et al., 2015; Yun et al., 2015; </w:t>
      </w:r>
      <w:r w:rsidR="00B20B28" w:rsidRPr="00B20B28">
        <w:t>van Dijken et al., 2017</w:t>
      </w:r>
      <w:r w:rsidR="00B20B28">
        <w:t xml:space="preserve">; </w:t>
      </w:r>
      <w:r w:rsidR="00AC0D6C" w:rsidRPr="00525EF5">
        <w:rPr>
          <w:color w:val="000000" w:themeColor="text1"/>
          <w:shd w:val="clear" w:color="auto" w:fill="FFFFFF"/>
        </w:rPr>
        <w:t>Zakhari et al., 2019</w:t>
      </w:r>
      <w:r w:rsidR="00AC0D6C">
        <w:rPr>
          <w:color w:val="000000" w:themeColor="text1"/>
          <w:shd w:val="clear" w:color="auto" w:fill="FFFFFF"/>
        </w:rPr>
        <w:t xml:space="preserve">). </w:t>
      </w:r>
    </w:p>
    <w:p w14:paraId="0E37DD4D" w14:textId="1031876D" w:rsidR="00AF66F8" w:rsidRDefault="00AF66F8" w:rsidP="00AF66F8">
      <w:pPr>
        <w:jc w:val="both"/>
        <w:rPr>
          <w:color w:val="000000" w:themeColor="text1"/>
          <w:shd w:val="clear" w:color="auto" w:fill="FFFFFF"/>
        </w:rPr>
      </w:pPr>
    </w:p>
    <w:p w14:paraId="7C4D4740" w14:textId="6861119D" w:rsidR="00AF66F8" w:rsidRPr="00163827" w:rsidRDefault="00163827" w:rsidP="00AF66F8">
      <w:pPr>
        <w:pStyle w:val="Heading2"/>
        <w:rPr>
          <w:rFonts w:asciiTheme="minorHAnsi" w:hAnsiTheme="minorHAnsi" w:cstheme="minorHAnsi"/>
          <w:b/>
          <w:bCs/>
          <w:color w:val="000000" w:themeColor="text1"/>
          <w:sz w:val="24"/>
          <w:szCs w:val="24"/>
        </w:rPr>
      </w:pPr>
      <w:bookmarkStart w:id="3" w:name="_Toc82961582"/>
      <w:r w:rsidRPr="00163827">
        <w:rPr>
          <w:rFonts w:asciiTheme="minorHAnsi" w:hAnsiTheme="minorHAnsi" w:cstheme="minorHAnsi"/>
          <w:b/>
          <w:bCs/>
          <w:color w:val="000000" w:themeColor="text1"/>
          <w:sz w:val="24"/>
          <w:szCs w:val="24"/>
        </w:rPr>
        <w:t xml:space="preserve">1.3 </w:t>
      </w:r>
      <w:r w:rsidR="00AF66F8" w:rsidRPr="00163827">
        <w:rPr>
          <w:rFonts w:asciiTheme="minorHAnsi" w:hAnsiTheme="minorHAnsi" w:cstheme="minorHAnsi"/>
          <w:b/>
          <w:bCs/>
          <w:color w:val="000000" w:themeColor="text1"/>
          <w:sz w:val="24"/>
          <w:szCs w:val="24"/>
        </w:rPr>
        <w:t>Study objectives</w:t>
      </w:r>
      <w:bookmarkEnd w:id="3"/>
    </w:p>
    <w:p w14:paraId="3BB35B8F" w14:textId="735B5F76" w:rsidR="00AF66F8" w:rsidRPr="00AF66F8" w:rsidRDefault="00AF66F8" w:rsidP="00163827">
      <w:pPr>
        <w:jc w:val="both"/>
        <w:rPr>
          <w:rFonts w:cstheme="minorHAnsi"/>
          <w:color w:val="000000" w:themeColor="text1"/>
        </w:rPr>
      </w:pPr>
      <w:r w:rsidRPr="00AF66F8">
        <w:rPr>
          <w:rFonts w:cstheme="minorHAnsi"/>
          <w:color w:val="000000" w:themeColor="text1"/>
        </w:rPr>
        <w:t xml:space="preserve">Currently, DCE-MRI is the standard approach for the observation of cancers in many body organs (Onishi et al., 2020; Song et al., 2020; Zhu et al., 2021). Its use has not yet been standardised for the surveillance of brain tumours, although this application has been proved feasible (Anzalone et al., 2018). This study’s objective is to examine the usefulness, accuracy, and diagnostic role of DCE-MRI in the surveillance of patients with high-grade gliomas and associate the imaging findings to the clinical data. Additionally, this study aims to evaluate the added predictive and diagnostic value of implementing a secondary DCE-MRI exam after three months from the baseline DCE-MRI. The added value of the second DCE-MRI scan will be measured regarding survival prediction and differentiation between true progression and pseudo-progression. The primary hypothesis of this study is that the DCE-MRI would prove to be an accurate and clinically useful tool in the surveillance of high-grade gliomas, by being able to depict the differences, clearly and accurately, between tumour growth and treatment related changes, such as pseudo-progression. A further hypothesis is that the addition of the secondary DCE-MRI assessment will enhance the survival analysis prediction and subsequently the accuracy of the prognosis. </w:t>
      </w:r>
    </w:p>
    <w:p w14:paraId="01B34906" w14:textId="56052ED7" w:rsidR="006206A6" w:rsidRDefault="006206A6" w:rsidP="006206A6">
      <w:pPr>
        <w:jc w:val="both"/>
      </w:pPr>
    </w:p>
    <w:p w14:paraId="62B0BD41" w14:textId="2DC728FD" w:rsidR="006206A6" w:rsidRPr="00C976CE" w:rsidRDefault="00163827" w:rsidP="00C976CE">
      <w:pPr>
        <w:rPr>
          <w:b/>
          <w:bCs/>
          <w:sz w:val="28"/>
          <w:szCs w:val="28"/>
        </w:rPr>
      </w:pPr>
      <w:bookmarkStart w:id="4" w:name="_Toc82961583"/>
      <w:r w:rsidRPr="00FC0034">
        <w:rPr>
          <w:b/>
          <w:bCs/>
          <w:sz w:val="28"/>
          <w:szCs w:val="28"/>
        </w:rPr>
        <w:t xml:space="preserve">2. </w:t>
      </w:r>
      <w:r w:rsidR="006206A6" w:rsidRPr="00FC0034">
        <w:rPr>
          <w:b/>
          <w:bCs/>
          <w:sz w:val="28"/>
          <w:szCs w:val="28"/>
        </w:rPr>
        <w:t>Methods and Materials</w:t>
      </w:r>
      <w:bookmarkEnd w:id="4"/>
    </w:p>
    <w:p w14:paraId="315953A3" w14:textId="56C37E4F" w:rsidR="006206A6" w:rsidRPr="00163827" w:rsidRDefault="00163827" w:rsidP="006206A6">
      <w:pPr>
        <w:pStyle w:val="Heading2"/>
        <w:rPr>
          <w:rFonts w:asciiTheme="minorHAnsi" w:hAnsiTheme="minorHAnsi" w:cstheme="minorHAnsi"/>
          <w:b/>
          <w:bCs/>
          <w:color w:val="000000" w:themeColor="text1"/>
          <w:sz w:val="24"/>
          <w:szCs w:val="24"/>
        </w:rPr>
      </w:pPr>
      <w:bookmarkStart w:id="5" w:name="_Toc82961586"/>
      <w:r w:rsidRPr="00163827">
        <w:rPr>
          <w:rFonts w:asciiTheme="minorHAnsi" w:hAnsiTheme="minorHAnsi" w:cstheme="minorHAnsi"/>
          <w:b/>
          <w:bCs/>
          <w:color w:val="000000" w:themeColor="text1"/>
          <w:sz w:val="24"/>
          <w:szCs w:val="24"/>
        </w:rPr>
        <w:t>2.</w:t>
      </w:r>
      <w:r w:rsidR="00C976CE">
        <w:rPr>
          <w:rFonts w:asciiTheme="minorHAnsi" w:hAnsiTheme="minorHAnsi" w:cstheme="minorHAnsi"/>
          <w:b/>
          <w:bCs/>
          <w:color w:val="000000" w:themeColor="text1"/>
          <w:sz w:val="24"/>
          <w:szCs w:val="24"/>
        </w:rPr>
        <w:t>1</w:t>
      </w:r>
      <w:r w:rsidRPr="00163827">
        <w:rPr>
          <w:rFonts w:asciiTheme="minorHAnsi" w:hAnsiTheme="minorHAnsi" w:cstheme="minorHAnsi"/>
          <w:b/>
          <w:bCs/>
          <w:color w:val="000000" w:themeColor="text1"/>
          <w:sz w:val="24"/>
          <w:szCs w:val="24"/>
        </w:rPr>
        <w:t xml:space="preserve"> </w:t>
      </w:r>
      <w:r w:rsidR="006206A6" w:rsidRPr="00163827">
        <w:rPr>
          <w:rFonts w:asciiTheme="minorHAnsi" w:hAnsiTheme="minorHAnsi" w:cstheme="minorHAnsi"/>
          <w:b/>
          <w:bCs/>
          <w:color w:val="000000" w:themeColor="text1"/>
          <w:sz w:val="24"/>
          <w:szCs w:val="24"/>
        </w:rPr>
        <w:t>Patient selection and criteria</w:t>
      </w:r>
      <w:bookmarkEnd w:id="5"/>
    </w:p>
    <w:p w14:paraId="1A73AFF7" w14:textId="070D9023" w:rsidR="006206A6" w:rsidRPr="006206A6" w:rsidRDefault="23130154" w:rsidP="7222993A">
      <w:pPr>
        <w:jc w:val="both"/>
      </w:pPr>
      <w:r w:rsidRPr="7222993A">
        <w:t xml:space="preserve">The </w:t>
      </w:r>
      <w:r w:rsidR="00C976CE" w:rsidRPr="7222993A">
        <w:t xml:space="preserve">study was approved by the National Hospital for Neurology and Neurosurgery and University College London institute of Neurology Joint Ethics Committee. Strict confidentiality and anonymity guidelines were adhered to. </w:t>
      </w:r>
      <w:r w:rsidR="006206A6" w:rsidRPr="7222993A">
        <w:t>Patients were retrospectively selected from the University College London Hospital</w:t>
      </w:r>
      <w:r w:rsidR="004820C7" w:rsidRPr="7222993A">
        <w:t>s</w:t>
      </w:r>
      <w:r w:rsidR="006206A6" w:rsidRPr="7222993A">
        <w:t xml:space="preserve"> Electronic Health Records in accordance to the following inclusion criteria: a) patients had undergone image</w:t>
      </w:r>
      <w:r w:rsidR="23FAE329" w:rsidRPr="7222993A">
        <w:t>-</w:t>
      </w:r>
      <w:r w:rsidR="006206A6" w:rsidRPr="7222993A">
        <w:t xml:space="preserve">guided gross total tumour resection or tissue biopsy for histological examination of the mass b) histologically confirmed high-grade </w:t>
      </w:r>
      <w:r w:rsidR="006206A6" w:rsidRPr="7222993A">
        <w:lastRenderedPageBreak/>
        <w:t>glioma (grade III or IV), in accordance with the World Health Classification (WHO) specifications, at the date of the first DCE-MRI; c) baseline measurement was obtained between the timeframe 2015 to 2020; d) patients underwent chemoradiation protocol in accordance with NICE guidelines and when clinically necessary adjuvant chemotherapy treatments (National Institute for Health and Care Excellence, 2018); e) patients subsequently developed a progressively contrast</w:t>
      </w:r>
      <w:r w:rsidR="10E7A26C" w:rsidRPr="7222993A">
        <w:t>-</w:t>
      </w:r>
      <w:r w:rsidR="006206A6" w:rsidRPr="7222993A">
        <w:t xml:space="preserve">enhanced enlarging region within the field of interest, identified in two or more consecutive MRI examinations; f) participants underwent, in addition to the baseline DCE-MRI scan, at least one additional DCE-MRI examination. </w:t>
      </w:r>
    </w:p>
    <w:p w14:paraId="2BC7C7EB" w14:textId="205D8482" w:rsidR="006206A6" w:rsidRDefault="00AA75A1" w:rsidP="005413D8">
      <w:pPr>
        <w:ind w:firstLine="340"/>
        <w:jc w:val="both"/>
        <w:rPr>
          <w:color w:val="000000"/>
          <w:shd w:val="clear" w:color="auto" w:fill="FFFFFF"/>
        </w:rPr>
      </w:pPr>
      <w:r>
        <w:t>48</w:t>
      </w:r>
      <w:r w:rsidR="006206A6" w:rsidRPr="7222993A">
        <w:t xml:space="preserve"> patients with a </w:t>
      </w:r>
      <w:r w:rsidR="006206A6" w:rsidRPr="7222993A">
        <w:rPr>
          <w:color w:val="000000" w:themeColor="text2"/>
        </w:rPr>
        <w:t xml:space="preserve">mean age of 49.85 </w:t>
      </w:r>
      <w:r w:rsidR="006206A6" w:rsidRPr="7222993A">
        <w:rPr>
          <w:rFonts w:ascii="Symbol" w:eastAsia="Symbol" w:hAnsi="Symbol"/>
          <w:color w:val="000000" w:themeColor="text2"/>
        </w:rPr>
        <w:t></w:t>
      </w:r>
      <w:r w:rsidR="006206A6" w:rsidRPr="7222993A">
        <w:rPr>
          <w:color w:val="000000" w:themeColor="text2"/>
        </w:rPr>
        <w:t xml:space="preserve"> 12.81</w:t>
      </w:r>
      <w:r w:rsidR="23CB90B8" w:rsidRPr="7222993A">
        <w:rPr>
          <w:color w:val="000000" w:themeColor="text2"/>
        </w:rPr>
        <w:t xml:space="preserve"> years</w:t>
      </w:r>
      <w:r w:rsidR="006206A6" w:rsidRPr="7222993A">
        <w:rPr>
          <w:color w:val="000000" w:themeColor="text2"/>
        </w:rPr>
        <w:t xml:space="preserve"> </w:t>
      </w:r>
      <w:r w:rsidR="006206A6" w:rsidRPr="7222993A">
        <w:t xml:space="preserve">met these inclusion criteria and were analysed within the time constraints of the study. Of the </w:t>
      </w:r>
      <w:r w:rsidR="23973376" w:rsidRPr="7222993A">
        <w:t>48</w:t>
      </w:r>
      <w:r w:rsidR="006206A6" w:rsidRPr="7222993A">
        <w:t xml:space="preserve"> patients, </w:t>
      </w:r>
      <w:r w:rsidR="245D056B" w:rsidRPr="7222993A">
        <w:t>28</w:t>
      </w:r>
      <w:r w:rsidR="006206A6" w:rsidRPr="7222993A">
        <w:t xml:space="preserve"> were males and </w:t>
      </w:r>
      <w:r w:rsidR="6DF00D9B" w:rsidRPr="7222993A">
        <w:t>20</w:t>
      </w:r>
      <w:r w:rsidR="006206A6" w:rsidRPr="7222993A">
        <w:t xml:space="preserve"> were females. </w:t>
      </w:r>
      <w:r w:rsidR="006206A6">
        <w:rPr>
          <w:color w:val="000000"/>
          <w:shd w:val="clear" w:color="auto" w:fill="FFFFFF"/>
        </w:rPr>
        <w:t xml:space="preserve">Baseline </w:t>
      </w:r>
      <w:r w:rsidR="006206A6" w:rsidRPr="00CE57E6">
        <w:rPr>
          <w:color w:val="000000"/>
          <w:shd w:val="clear" w:color="auto" w:fill="FFFFFF"/>
        </w:rPr>
        <w:t>D</w:t>
      </w:r>
      <w:r w:rsidR="006206A6">
        <w:rPr>
          <w:color w:val="000000"/>
          <w:shd w:val="clear" w:color="auto" w:fill="FFFFFF"/>
        </w:rPr>
        <w:t xml:space="preserve">CE-MR images </w:t>
      </w:r>
      <w:r w:rsidR="006206A6" w:rsidRPr="00CE57E6">
        <w:rPr>
          <w:color w:val="000000"/>
          <w:shd w:val="clear" w:color="auto" w:fill="FFFFFF"/>
        </w:rPr>
        <w:t xml:space="preserve">were obtained </w:t>
      </w:r>
      <w:r w:rsidR="006206A6">
        <w:rPr>
          <w:color w:val="000000"/>
          <w:shd w:val="clear" w:color="auto" w:fill="FFFFFF"/>
        </w:rPr>
        <w:t xml:space="preserve">from </w:t>
      </w:r>
      <w:r w:rsidR="006206A6" w:rsidRPr="00CE57E6">
        <w:rPr>
          <w:color w:val="000000"/>
          <w:shd w:val="clear" w:color="auto" w:fill="FFFFFF"/>
        </w:rPr>
        <w:t xml:space="preserve">all </w:t>
      </w:r>
      <w:r w:rsidR="006206A6">
        <w:rPr>
          <w:color w:val="000000"/>
          <w:shd w:val="clear" w:color="auto" w:fill="FFFFFF"/>
        </w:rPr>
        <w:t xml:space="preserve">patients. Additionally, follow-up DCE-MRI scans were obtained at the </w:t>
      </w:r>
      <w:r w:rsidR="0E92A8E0" w:rsidRPr="00666C1C">
        <w:rPr>
          <w:color w:val="000000"/>
          <w:shd w:val="clear" w:color="auto" w:fill="FFFFFF"/>
        </w:rPr>
        <w:t>3</w:t>
      </w:r>
      <w:r w:rsidR="006206A6" w:rsidRPr="00666C1C">
        <w:rPr>
          <w:color w:val="000000"/>
          <w:shd w:val="clear" w:color="auto" w:fill="FFFFFF"/>
        </w:rPr>
        <w:t>-month</w:t>
      </w:r>
      <w:r w:rsidR="006206A6">
        <w:rPr>
          <w:color w:val="000000"/>
          <w:shd w:val="clear" w:color="auto" w:fill="FFFFFF"/>
        </w:rPr>
        <w:t>,</w:t>
      </w:r>
      <w:r w:rsidR="006206A6" w:rsidRPr="00666C1C">
        <w:rPr>
          <w:color w:val="000000"/>
          <w:shd w:val="clear" w:color="auto" w:fill="FFFFFF"/>
        </w:rPr>
        <w:t xml:space="preserve"> </w:t>
      </w:r>
      <w:r w:rsidR="599C4E6A" w:rsidRPr="00666C1C">
        <w:rPr>
          <w:color w:val="000000"/>
          <w:shd w:val="clear" w:color="auto" w:fill="FFFFFF"/>
        </w:rPr>
        <w:t>6</w:t>
      </w:r>
      <w:r w:rsidR="006206A6" w:rsidRPr="00666C1C">
        <w:rPr>
          <w:color w:val="000000"/>
          <w:shd w:val="clear" w:color="auto" w:fill="FFFFFF"/>
        </w:rPr>
        <w:t xml:space="preserve">-month, </w:t>
      </w:r>
      <w:r w:rsidR="16AEB57D" w:rsidRPr="00666C1C">
        <w:rPr>
          <w:color w:val="000000"/>
          <w:shd w:val="clear" w:color="auto" w:fill="FFFFFF"/>
        </w:rPr>
        <w:t>9</w:t>
      </w:r>
      <w:r w:rsidR="006206A6" w:rsidRPr="00666C1C">
        <w:rPr>
          <w:color w:val="000000"/>
          <w:shd w:val="clear" w:color="auto" w:fill="FFFFFF"/>
        </w:rPr>
        <w:t xml:space="preserve">-month, and </w:t>
      </w:r>
      <w:r w:rsidR="20D44617" w:rsidRPr="00666C1C">
        <w:rPr>
          <w:color w:val="000000"/>
          <w:shd w:val="clear" w:color="auto" w:fill="FFFFFF"/>
        </w:rPr>
        <w:t>12</w:t>
      </w:r>
      <w:r w:rsidR="006206A6" w:rsidRPr="00666C1C">
        <w:rPr>
          <w:color w:val="000000"/>
          <w:shd w:val="clear" w:color="auto" w:fill="FFFFFF"/>
        </w:rPr>
        <w:t xml:space="preserve">-month follow-ups. The median time to follow up after baseline for the individual timepoints were: 2.7, 3.7, 8.9, and 12.3 </w:t>
      </w:r>
      <w:r w:rsidR="006206A6">
        <w:rPr>
          <w:color w:val="000000"/>
          <w:shd w:val="clear" w:color="auto" w:fill="FFFFFF"/>
        </w:rPr>
        <w:t xml:space="preserve">months </w:t>
      </w:r>
      <w:r w:rsidR="006206A6" w:rsidRPr="00666C1C">
        <w:rPr>
          <w:color w:val="000000"/>
          <w:shd w:val="clear" w:color="auto" w:fill="FFFFFF"/>
        </w:rPr>
        <w:t>respectively.</w:t>
      </w:r>
      <w:r w:rsidR="006206A6">
        <w:rPr>
          <w:color w:val="000000"/>
          <w:shd w:val="clear" w:color="auto" w:fill="FFFFFF"/>
        </w:rPr>
        <w:t xml:space="preserve"> </w:t>
      </w:r>
      <w:r w:rsidR="005413D8">
        <w:rPr>
          <w:color w:val="000000"/>
          <w:shd w:val="clear" w:color="auto" w:fill="FFFFFF"/>
        </w:rPr>
        <w:t xml:space="preserve">  </w:t>
      </w:r>
    </w:p>
    <w:p w14:paraId="7EA532BC" w14:textId="77777777" w:rsidR="005413D8" w:rsidRDefault="005413D8" w:rsidP="005413D8">
      <w:pPr>
        <w:ind w:firstLine="340"/>
        <w:jc w:val="both"/>
        <w:rPr>
          <w:rFonts w:asciiTheme="majorBidi" w:hAnsiTheme="majorBidi" w:cstheme="majorBidi"/>
        </w:rPr>
      </w:pPr>
    </w:p>
    <w:p w14:paraId="3C282DFA" w14:textId="15D999FC" w:rsidR="00D96701" w:rsidRPr="00163827" w:rsidRDefault="00163827" w:rsidP="00D96701">
      <w:pPr>
        <w:pStyle w:val="Heading2"/>
        <w:rPr>
          <w:rFonts w:asciiTheme="minorHAnsi" w:hAnsiTheme="minorHAnsi" w:cstheme="minorHAnsi"/>
          <w:b/>
          <w:bCs/>
          <w:color w:val="000000" w:themeColor="text1"/>
          <w:sz w:val="24"/>
          <w:szCs w:val="24"/>
          <w:shd w:val="clear" w:color="auto" w:fill="FFFFFF"/>
        </w:rPr>
      </w:pPr>
      <w:bookmarkStart w:id="6" w:name="_Toc82961588"/>
      <w:r w:rsidRPr="00163827">
        <w:rPr>
          <w:rFonts w:asciiTheme="minorHAnsi" w:hAnsiTheme="minorHAnsi" w:cstheme="minorHAnsi"/>
          <w:b/>
          <w:bCs/>
          <w:color w:val="000000" w:themeColor="text1"/>
          <w:sz w:val="24"/>
          <w:szCs w:val="24"/>
          <w:shd w:val="clear" w:color="auto" w:fill="FFFFFF"/>
        </w:rPr>
        <w:t>2.</w:t>
      </w:r>
      <w:r w:rsidR="00C976CE">
        <w:rPr>
          <w:rFonts w:asciiTheme="minorHAnsi" w:hAnsiTheme="minorHAnsi" w:cstheme="minorHAnsi"/>
          <w:b/>
          <w:bCs/>
          <w:color w:val="000000" w:themeColor="text1"/>
          <w:sz w:val="24"/>
          <w:szCs w:val="24"/>
          <w:shd w:val="clear" w:color="auto" w:fill="FFFFFF"/>
        </w:rPr>
        <w:t>2</w:t>
      </w:r>
      <w:r w:rsidRPr="00163827">
        <w:rPr>
          <w:rFonts w:asciiTheme="minorHAnsi" w:hAnsiTheme="minorHAnsi" w:cstheme="minorHAnsi"/>
          <w:b/>
          <w:bCs/>
          <w:color w:val="000000" w:themeColor="text1"/>
          <w:sz w:val="24"/>
          <w:szCs w:val="24"/>
          <w:shd w:val="clear" w:color="auto" w:fill="FFFFFF"/>
        </w:rPr>
        <w:t xml:space="preserve"> </w:t>
      </w:r>
      <w:r w:rsidR="00D96701" w:rsidRPr="00163827">
        <w:rPr>
          <w:rFonts w:asciiTheme="minorHAnsi" w:hAnsiTheme="minorHAnsi" w:cstheme="minorHAnsi"/>
          <w:b/>
          <w:bCs/>
          <w:color w:val="000000" w:themeColor="text1"/>
          <w:sz w:val="24"/>
          <w:szCs w:val="24"/>
          <w:shd w:val="clear" w:color="auto" w:fill="FFFFFF"/>
        </w:rPr>
        <w:t>Neuroimaging processing and analysis</w:t>
      </w:r>
      <w:bookmarkEnd w:id="6"/>
    </w:p>
    <w:p w14:paraId="36053043" w14:textId="235FC57F" w:rsidR="006206A6" w:rsidRPr="00D96701" w:rsidRDefault="006206A6" w:rsidP="00163827">
      <w:pPr>
        <w:jc w:val="both"/>
        <w:rPr>
          <w:rFonts w:cstheme="minorHAnsi"/>
          <w:color w:val="000000" w:themeColor="text1"/>
          <w:shd w:val="clear" w:color="auto" w:fill="FFFFFF"/>
        </w:rPr>
      </w:pPr>
      <w:r w:rsidRPr="006206A6">
        <w:rPr>
          <w:rFonts w:cstheme="minorHAnsi"/>
          <w:color w:val="000000" w:themeColor="text1"/>
          <w:shd w:val="clear" w:color="auto" w:fill="FFFFFF"/>
        </w:rPr>
        <w:t>MRI data were acquired on two types of scanners, a GE 1.5T and a Siemens 3T scanner, therefore the acquisition parameters,</w:t>
      </w:r>
      <w:r w:rsidR="006B3840">
        <w:rPr>
          <w:rFonts w:cstheme="minorHAnsi"/>
          <w:color w:val="000000" w:themeColor="text1"/>
          <w:shd w:val="clear" w:color="auto" w:fill="FFFFFF"/>
        </w:rPr>
        <w:t xml:space="preserve"> </w:t>
      </w:r>
      <w:r w:rsidRPr="006206A6">
        <w:rPr>
          <w:rFonts w:cstheme="minorHAnsi"/>
          <w:color w:val="000000" w:themeColor="text1"/>
          <w:shd w:val="clear" w:color="auto" w:fill="FFFFFF"/>
        </w:rPr>
        <w:t xml:space="preserve">were slightly different. For DCE-MRI, 3D post-contrast T1-weighted images were acquired. </w:t>
      </w:r>
    </w:p>
    <w:p w14:paraId="66F8E988" w14:textId="30228DFA" w:rsidR="00AA2CC9" w:rsidRDefault="006B3840" w:rsidP="00AA2CC9">
      <w:pPr>
        <w:ind w:firstLine="340"/>
        <w:jc w:val="both"/>
        <w:rPr>
          <w:rFonts w:cstheme="minorHAnsi"/>
          <w:color w:val="000000" w:themeColor="text1"/>
          <w:shd w:val="clear" w:color="auto" w:fill="FFFFFF"/>
        </w:rPr>
      </w:pPr>
      <w:r>
        <w:rPr>
          <w:rFonts w:cstheme="minorHAnsi"/>
          <w:color w:val="000000" w:themeColor="text1"/>
          <w:shd w:val="clear" w:color="auto" w:fill="FFFFFF"/>
        </w:rPr>
        <w:t>The</w:t>
      </w:r>
      <w:r w:rsidR="006206A6" w:rsidRPr="006206A6">
        <w:rPr>
          <w:rFonts w:cstheme="minorHAnsi"/>
          <w:color w:val="000000" w:themeColor="text1"/>
          <w:shd w:val="clear" w:color="auto" w:fill="FFFFFF"/>
        </w:rPr>
        <w:t xml:space="preserve"> perfusion MR analysis was performed using</w:t>
      </w:r>
      <w:r w:rsidR="00094DCB">
        <w:rPr>
          <w:rFonts w:cstheme="minorHAnsi"/>
          <w:color w:val="000000" w:themeColor="text1"/>
          <w:shd w:val="clear" w:color="auto" w:fill="FFFFFF"/>
        </w:rPr>
        <w:t xml:space="preserve"> commercially available software</w:t>
      </w:r>
      <w:r w:rsidR="006206A6" w:rsidRPr="006206A6">
        <w:rPr>
          <w:rFonts w:cstheme="minorHAnsi"/>
          <w:color w:val="000000" w:themeColor="text1"/>
          <w:shd w:val="clear" w:color="auto" w:fill="FFFFFF"/>
        </w:rPr>
        <w:t xml:space="preserve">. </w:t>
      </w:r>
      <w:r w:rsidR="001C7A17">
        <w:rPr>
          <w:rFonts w:cstheme="minorHAnsi"/>
          <w:color w:val="000000" w:themeColor="text1"/>
          <w:shd w:val="clear" w:color="auto" w:fill="FFFFFF"/>
        </w:rPr>
        <w:t>P</w:t>
      </w:r>
      <w:r w:rsidR="006206A6" w:rsidRPr="006206A6">
        <w:rPr>
          <w:rFonts w:cstheme="minorHAnsi"/>
          <w:color w:val="000000" w:themeColor="text1"/>
          <w:shd w:val="clear" w:color="auto" w:fill="FFFFFF"/>
        </w:rPr>
        <w:t xml:space="preserve">re-processing </w:t>
      </w:r>
      <w:r w:rsidR="001C7A17">
        <w:rPr>
          <w:rFonts w:cstheme="minorHAnsi"/>
          <w:color w:val="000000" w:themeColor="text1"/>
          <w:shd w:val="clear" w:color="auto" w:fill="FFFFFF"/>
        </w:rPr>
        <w:t xml:space="preserve">was conducted in accordance with literature </w:t>
      </w:r>
      <w:r w:rsidR="001C7A17" w:rsidRPr="006206A6">
        <w:rPr>
          <w:rFonts w:cstheme="minorHAnsi"/>
          <w:color w:val="000000" w:themeColor="text1"/>
          <w:shd w:val="clear" w:color="auto" w:fill="FFFFFF"/>
        </w:rPr>
        <w:t xml:space="preserve">(Brix et al., 1991; Jansen et al., 2017). </w:t>
      </w:r>
    </w:p>
    <w:p w14:paraId="36AF4C60" w14:textId="77777777" w:rsidR="005A55D5" w:rsidRDefault="006206A6" w:rsidP="00990EB7">
      <w:pPr>
        <w:ind w:firstLine="340"/>
        <w:jc w:val="both"/>
        <w:rPr>
          <w:rFonts w:cstheme="minorHAnsi"/>
          <w:color w:val="000000" w:themeColor="text1"/>
          <w:shd w:val="clear" w:color="auto" w:fill="FFFFFF"/>
        </w:rPr>
      </w:pPr>
      <w:r w:rsidRPr="006206A6">
        <w:rPr>
          <w:rFonts w:cstheme="minorHAnsi"/>
          <w:color w:val="000000" w:themeColor="text1"/>
          <w:shd w:val="clear" w:color="auto" w:fill="FFFFFF"/>
        </w:rPr>
        <w:t xml:space="preserve">The generation of the perfusion maps is based on </w:t>
      </w:r>
      <w:r w:rsidRPr="006206A6">
        <w:rPr>
          <w:rFonts w:cstheme="minorHAnsi"/>
          <w:color w:val="000000"/>
          <w:shd w:val="clear" w:color="auto" w:fill="FFFFFF"/>
        </w:rPr>
        <w:t xml:space="preserve">the </w:t>
      </w:r>
      <w:r w:rsidRPr="006206A6">
        <w:rPr>
          <w:rFonts w:cstheme="minorHAnsi"/>
          <w:color w:val="000000" w:themeColor="text1"/>
          <w:shd w:val="clear" w:color="auto" w:fill="FFFFFF"/>
        </w:rPr>
        <w:t>extended Tofts model (Tofts et al., 1999)</w:t>
      </w:r>
      <w:r w:rsidR="00136F93">
        <w:rPr>
          <w:rFonts w:cstheme="minorHAnsi"/>
          <w:color w:val="000000"/>
          <w:shd w:val="clear" w:color="auto" w:fill="FFFFFF"/>
        </w:rPr>
        <w:t xml:space="preserve">. </w:t>
      </w:r>
      <w:r w:rsidRPr="006206A6">
        <w:rPr>
          <w:rFonts w:cstheme="minorHAnsi"/>
          <w:color w:val="000000"/>
          <w:shd w:val="clear" w:color="auto" w:fill="FFFFFF"/>
        </w:rPr>
        <w:t xml:space="preserve">Six parametric perfusion maps were generated per scan: (1) the blood flow (BF) map, which establishes the volume of blood passing through a fixed amount of tissue per unit of given time (Bonekamp, Degaonkar and Barker, 2011), (2) the Ktrans map (a kinetic parameter), which is the volume transfer rate and determines blood flow of the tissue and vessel permeability, (3) the Ve map, which is the volume of the extravascular, extracellular space and is a marker of cell density, (4) the Kep map (a kinetic parameter), which is the transfer rate constant extracellular extravascular space to the plasma, (5) the Vp map, which is the fractional volume of the plasma space, and reflects the distribution of contrast agent within a tissue voxel (Bazyar et al., 2016; Jansen, 2016), and lastly (6) the AUC map, which is not dependent on model selection or AIF, reflects permeability and perfusion, which are both associated with prognosis (Choi et al., 2017). </w:t>
      </w:r>
      <w:r w:rsidR="00094DCB">
        <w:rPr>
          <w:rFonts w:cstheme="minorHAnsi"/>
          <w:color w:val="000000" w:themeColor="text1"/>
          <w:shd w:val="clear" w:color="auto" w:fill="FFFFFF"/>
        </w:rPr>
        <w:t>T</w:t>
      </w:r>
      <w:r w:rsidR="001C7A17">
        <w:rPr>
          <w:rFonts w:cstheme="minorHAnsi"/>
          <w:color w:val="000000" w:themeColor="text1"/>
          <w:shd w:val="clear" w:color="auto" w:fill="FFFFFF"/>
        </w:rPr>
        <w:t xml:space="preserve">he </w:t>
      </w:r>
      <w:r w:rsidRPr="006206A6">
        <w:rPr>
          <w:rFonts w:cstheme="minorHAnsi"/>
          <w:color w:val="000000" w:themeColor="text1"/>
          <w:shd w:val="clear" w:color="auto" w:fill="FFFFFF"/>
        </w:rPr>
        <w:t>region of interest (ROI) mask was defined manually, using the pixel editing tool on the resampled structural data.</w:t>
      </w:r>
    </w:p>
    <w:p w14:paraId="271A3970" w14:textId="77777777" w:rsidR="00FC3C14" w:rsidRDefault="006206A6" w:rsidP="00FC3C14">
      <w:pPr>
        <w:ind w:firstLine="340"/>
        <w:jc w:val="both"/>
        <w:rPr>
          <w:rFonts w:cstheme="minorHAnsi"/>
          <w:color w:val="000000" w:themeColor="text1"/>
          <w:shd w:val="clear" w:color="auto" w:fill="FFFFFF"/>
        </w:rPr>
      </w:pPr>
      <w:r w:rsidRPr="006206A6">
        <w:rPr>
          <w:rFonts w:cstheme="minorHAnsi"/>
          <w:color w:val="000000" w:themeColor="text1"/>
          <w:shd w:val="clear" w:color="auto" w:fill="FFFFFF"/>
        </w:rPr>
        <w:t xml:space="preserve"> </w:t>
      </w:r>
    </w:p>
    <w:p w14:paraId="4C4CD825" w14:textId="335A37C4" w:rsidR="005A55D5" w:rsidRPr="00FC3C14" w:rsidRDefault="00511777" w:rsidP="00FC3C14">
      <w:pPr>
        <w:ind w:firstLine="340"/>
        <w:jc w:val="both"/>
        <w:rPr>
          <w:rFonts w:eastAsiaTheme="majorEastAsia" w:cstheme="minorHAnsi"/>
          <w:i/>
          <w:iCs/>
          <w:color w:val="000000" w:themeColor="text1"/>
          <w:sz w:val="20"/>
          <w:szCs w:val="20"/>
        </w:rPr>
      </w:pPr>
      <w:r w:rsidRPr="00C31B59">
        <w:rPr>
          <w:rStyle w:val="Heading4Char"/>
          <w:rFonts w:asciiTheme="minorHAnsi" w:hAnsiTheme="minorHAnsi" w:cstheme="minorHAnsi"/>
          <w:color w:val="000000" w:themeColor="text1"/>
          <w:sz w:val="20"/>
          <w:szCs w:val="20"/>
        </w:rPr>
        <w:t>Table 1</w:t>
      </w:r>
      <w:r w:rsidRPr="00C31B59">
        <w:rPr>
          <w:rFonts w:cstheme="minorHAnsi"/>
          <w:i/>
          <w:iCs/>
          <w:color w:val="000000" w:themeColor="text1"/>
          <w:sz w:val="20"/>
          <w:szCs w:val="20"/>
          <w:shd w:val="clear" w:color="auto" w:fill="FFFFFF"/>
        </w:rPr>
        <w:t>: Models: This table identifies</w:t>
      </w:r>
      <w:r>
        <w:rPr>
          <w:rFonts w:cstheme="minorHAnsi"/>
          <w:i/>
          <w:iCs/>
          <w:color w:val="000000" w:themeColor="text1"/>
          <w:sz w:val="20"/>
          <w:szCs w:val="20"/>
          <w:shd w:val="clear" w:color="auto" w:fill="FFFFFF"/>
        </w:rPr>
        <w:t xml:space="preserve"> relevant information to the study</w:t>
      </w:r>
      <w:r w:rsidRPr="00C31B59">
        <w:rPr>
          <w:rFonts w:cstheme="minorHAnsi"/>
          <w:i/>
          <w:iCs/>
          <w:color w:val="000000" w:themeColor="text1"/>
          <w:sz w:val="20"/>
          <w:szCs w:val="20"/>
          <w:shd w:val="clear" w:color="auto" w:fill="FFFFFF"/>
        </w:rPr>
        <w:t>.</w:t>
      </w:r>
    </w:p>
    <w:tbl>
      <w:tblPr>
        <w:tblStyle w:val="GridTable1Light-Accent3"/>
        <w:tblpPr w:leftFromText="180" w:rightFromText="180" w:vertAnchor="page" w:horzAnchor="margin" w:tblpXSpec="center" w:tblpY="12071"/>
        <w:tblW w:w="11194" w:type="dxa"/>
        <w:tblLayout w:type="fixed"/>
        <w:tblLook w:val="04A0" w:firstRow="1" w:lastRow="0" w:firstColumn="1" w:lastColumn="0" w:noHBand="0" w:noVBand="1"/>
      </w:tblPr>
      <w:tblGrid>
        <w:gridCol w:w="988"/>
        <w:gridCol w:w="1701"/>
        <w:gridCol w:w="992"/>
        <w:gridCol w:w="992"/>
        <w:gridCol w:w="2126"/>
        <w:gridCol w:w="1134"/>
        <w:gridCol w:w="993"/>
        <w:gridCol w:w="1134"/>
        <w:gridCol w:w="1134"/>
      </w:tblGrid>
      <w:tr w:rsidR="00511777" w:rsidRPr="008403F5" w14:paraId="5DD719B9" w14:textId="77777777" w:rsidTr="00511777">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88" w:type="dxa"/>
          </w:tcPr>
          <w:p w14:paraId="3AF7885B" w14:textId="77777777" w:rsidR="00511777" w:rsidRPr="008403F5" w:rsidRDefault="00511777" w:rsidP="00511777">
            <w:pPr>
              <w:rPr>
                <w:rFonts w:cstheme="minorHAnsi"/>
                <w:sz w:val="20"/>
                <w:szCs w:val="20"/>
              </w:rPr>
            </w:pPr>
            <w:r w:rsidRPr="008403F5">
              <w:rPr>
                <w:rFonts w:cstheme="minorHAnsi"/>
                <w:sz w:val="20"/>
                <w:szCs w:val="20"/>
              </w:rPr>
              <w:t>Model</w:t>
            </w:r>
          </w:p>
        </w:tc>
        <w:tc>
          <w:tcPr>
            <w:tcW w:w="1701" w:type="dxa"/>
          </w:tcPr>
          <w:p w14:paraId="4536D16B" w14:textId="77777777" w:rsidR="00511777" w:rsidRPr="008403F5" w:rsidRDefault="00511777" w:rsidP="0051177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Disease status</w:t>
            </w:r>
          </w:p>
        </w:tc>
        <w:tc>
          <w:tcPr>
            <w:tcW w:w="992" w:type="dxa"/>
          </w:tcPr>
          <w:p w14:paraId="630CBED9" w14:textId="77777777" w:rsidR="00511777" w:rsidRPr="008403F5" w:rsidRDefault="00511777" w:rsidP="0051177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Time point</w:t>
            </w:r>
          </w:p>
        </w:tc>
        <w:tc>
          <w:tcPr>
            <w:tcW w:w="992" w:type="dxa"/>
          </w:tcPr>
          <w:p w14:paraId="7B0287E2" w14:textId="77777777" w:rsidR="00511777" w:rsidRPr="008403F5" w:rsidRDefault="00511777" w:rsidP="0051177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Maps included in the model</w:t>
            </w:r>
          </w:p>
        </w:tc>
        <w:tc>
          <w:tcPr>
            <w:tcW w:w="2126" w:type="dxa"/>
          </w:tcPr>
          <w:p w14:paraId="2B23EF60" w14:textId="77777777" w:rsidR="00511777" w:rsidRPr="008403F5" w:rsidRDefault="00511777" w:rsidP="0051177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 xml:space="preserve">Model equation </w:t>
            </w:r>
          </w:p>
        </w:tc>
        <w:tc>
          <w:tcPr>
            <w:tcW w:w="1134" w:type="dxa"/>
          </w:tcPr>
          <w:p w14:paraId="1CA2FC89" w14:textId="77777777" w:rsidR="00511777" w:rsidRPr="008403F5" w:rsidRDefault="00511777" w:rsidP="00511777">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8403F5">
              <w:rPr>
                <w:color w:val="000000" w:themeColor="text1"/>
                <w:sz w:val="20"/>
                <w:szCs w:val="20"/>
              </w:rPr>
              <w:t>Threshold</w:t>
            </w:r>
          </w:p>
          <w:p w14:paraId="33BED243" w14:textId="77777777" w:rsidR="00511777" w:rsidRPr="008403F5" w:rsidRDefault="00511777" w:rsidP="00511777">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8403F5">
              <w:rPr>
                <w:color w:val="000000" w:themeColor="text1"/>
                <w:sz w:val="20"/>
                <w:szCs w:val="20"/>
              </w:rPr>
              <w:t>Sensitivity</w:t>
            </w:r>
          </w:p>
          <w:p w14:paraId="3A951A8C" w14:textId="77777777" w:rsidR="00511777" w:rsidRPr="008403F5" w:rsidRDefault="00511777" w:rsidP="0051177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03F5">
              <w:rPr>
                <w:color w:val="000000" w:themeColor="text1"/>
                <w:sz w:val="20"/>
                <w:szCs w:val="20"/>
              </w:rPr>
              <w:t>Specificity</w:t>
            </w:r>
          </w:p>
        </w:tc>
        <w:tc>
          <w:tcPr>
            <w:tcW w:w="993" w:type="dxa"/>
          </w:tcPr>
          <w:p w14:paraId="05284E45" w14:textId="77777777" w:rsidR="00511777" w:rsidRPr="008403F5" w:rsidRDefault="00511777" w:rsidP="0051177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03F5">
              <w:rPr>
                <w:color w:val="000000" w:themeColor="text1"/>
                <w:sz w:val="20"/>
                <w:szCs w:val="20"/>
              </w:rPr>
              <w:t>p-value</w:t>
            </w:r>
          </w:p>
        </w:tc>
        <w:tc>
          <w:tcPr>
            <w:tcW w:w="1134" w:type="dxa"/>
          </w:tcPr>
          <w:p w14:paraId="764F65A2" w14:textId="77777777" w:rsidR="00511777" w:rsidRPr="008403F5" w:rsidRDefault="00511777" w:rsidP="0051177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03F5">
              <w:rPr>
                <w:color w:val="000000" w:themeColor="text1"/>
                <w:sz w:val="20"/>
                <w:szCs w:val="20"/>
              </w:rPr>
              <w:t>Median survival time, high perfusion (months)</w:t>
            </w:r>
          </w:p>
        </w:tc>
        <w:tc>
          <w:tcPr>
            <w:tcW w:w="1134" w:type="dxa"/>
          </w:tcPr>
          <w:p w14:paraId="5EFAFD5F" w14:textId="77777777" w:rsidR="00511777" w:rsidRPr="008403F5" w:rsidRDefault="00511777" w:rsidP="0051177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03F5">
              <w:rPr>
                <w:color w:val="000000" w:themeColor="text1"/>
                <w:sz w:val="20"/>
                <w:szCs w:val="20"/>
              </w:rPr>
              <w:t>Median survival time, low perfusion (months)</w:t>
            </w:r>
          </w:p>
        </w:tc>
      </w:tr>
      <w:tr w:rsidR="00511777" w:rsidRPr="008403F5" w14:paraId="70647736" w14:textId="77777777" w:rsidTr="00511777">
        <w:trPr>
          <w:trHeight w:val="999"/>
        </w:trPr>
        <w:tc>
          <w:tcPr>
            <w:cnfStyle w:val="001000000000" w:firstRow="0" w:lastRow="0" w:firstColumn="1" w:lastColumn="0" w:oddVBand="0" w:evenVBand="0" w:oddHBand="0" w:evenHBand="0" w:firstRowFirstColumn="0" w:firstRowLastColumn="0" w:lastRowFirstColumn="0" w:lastRowLastColumn="0"/>
            <w:tcW w:w="988" w:type="dxa"/>
          </w:tcPr>
          <w:p w14:paraId="2002C3D9" w14:textId="77777777" w:rsidR="00511777" w:rsidRPr="008403F5" w:rsidRDefault="00511777" w:rsidP="00511777">
            <w:pPr>
              <w:rPr>
                <w:rFonts w:cstheme="minorHAnsi"/>
                <w:sz w:val="20"/>
                <w:szCs w:val="20"/>
              </w:rPr>
            </w:pPr>
            <w:r w:rsidRPr="008403F5">
              <w:rPr>
                <w:rFonts w:cstheme="minorHAnsi"/>
                <w:sz w:val="20"/>
                <w:szCs w:val="20"/>
              </w:rPr>
              <w:t>Model 1</w:t>
            </w:r>
          </w:p>
          <w:p w14:paraId="2520160E" w14:textId="77777777" w:rsidR="00511777" w:rsidRPr="008403F5" w:rsidRDefault="00511777" w:rsidP="00511777">
            <w:pPr>
              <w:rPr>
                <w:rFonts w:cstheme="minorHAnsi"/>
                <w:sz w:val="20"/>
                <w:szCs w:val="20"/>
              </w:rPr>
            </w:pPr>
          </w:p>
        </w:tc>
        <w:tc>
          <w:tcPr>
            <w:tcW w:w="1701" w:type="dxa"/>
          </w:tcPr>
          <w:p w14:paraId="5AFACFBB" w14:textId="77777777" w:rsidR="00511777" w:rsidRPr="008403F5" w:rsidRDefault="0051177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Stable/regression vs progression</w:t>
            </w:r>
          </w:p>
        </w:tc>
        <w:tc>
          <w:tcPr>
            <w:tcW w:w="992" w:type="dxa"/>
          </w:tcPr>
          <w:p w14:paraId="63001F0F" w14:textId="77777777" w:rsidR="00511777" w:rsidRPr="008403F5" w:rsidRDefault="0051177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6 months</w:t>
            </w:r>
          </w:p>
        </w:tc>
        <w:tc>
          <w:tcPr>
            <w:tcW w:w="992" w:type="dxa"/>
          </w:tcPr>
          <w:p w14:paraId="16B47265" w14:textId="77777777" w:rsidR="00511777" w:rsidRPr="008403F5" w:rsidRDefault="0051177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Baseline: Ve, Vp</w:t>
            </w:r>
          </w:p>
        </w:tc>
        <w:tc>
          <w:tcPr>
            <w:tcW w:w="2126" w:type="dxa"/>
          </w:tcPr>
          <w:p w14:paraId="23954E68" w14:textId="77777777" w:rsidR="00511777" w:rsidRPr="008403F5" w:rsidRDefault="0051177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model_1 = .07711* age_baseline+ .0090714 * Baseline_VeMap + .5687629 * Baseline_VpMap</w:t>
            </w:r>
          </w:p>
        </w:tc>
        <w:tc>
          <w:tcPr>
            <w:tcW w:w="1134" w:type="dxa"/>
          </w:tcPr>
          <w:p w14:paraId="31EDAAB9" w14:textId="77777777" w:rsidR="00511777" w:rsidRPr="008403F5" w:rsidRDefault="00511777" w:rsidP="00511777">
            <w:pPr>
              <w:cnfStyle w:val="000000000000" w:firstRow="0" w:lastRow="0" w:firstColumn="0" w:lastColumn="0" w:oddVBand="0" w:evenVBand="0" w:oddHBand="0" w:evenHBand="0" w:firstRowFirstColumn="0" w:firstRowLastColumn="0" w:lastRowFirstColumn="0" w:lastRowLastColumn="0"/>
              <w:rPr>
                <w:sz w:val="20"/>
                <w:szCs w:val="20"/>
              </w:rPr>
            </w:pPr>
            <w:r w:rsidRPr="008403F5">
              <w:rPr>
                <w:sz w:val="20"/>
                <w:szCs w:val="20"/>
              </w:rPr>
              <w:t>5.79</w:t>
            </w:r>
          </w:p>
          <w:p w14:paraId="05BB44DE" w14:textId="77777777" w:rsidR="00511777" w:rsidRPr="008403F5" w:rsidRDefault="00511777" w:rsidP="00511777">
            <w:pPr>
              <w:cnfStyle w:val="000000000000" w:firstRow="0" w:lastRow="0" w:firstColumn="0" w:lastColumn="0" w:oddVBand="0" w:evenVBand="0" w:oddHBand="0" w:evenHBand="0" w:firstRowFirstColumn="0" w:firstRowLastColumn="0" w:lastRowFirstColumn="0" w:lastRowLastColumn="0"/>
              <w:rPr>
                <w:sz w:val="20"/>
                <w:szCs w:val="20"/>
              </w:rPr>
            </w:pPr>
            <w:r w:rsidRPr="008403F5">
              <w:rPr>
                <w:sz w:val="20"/>
                <w:szCs w:val="20"/>
              </w:rPr>
              <w:t>81%</w:t>
            </w:r>
          </w:p>
          <w:p w14:paraId="7C4D9AF6" w14:textId="77777777" w:rsidR="00511777" w:rsidRPr="008403F5" w:rsidRDefault="0051177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68%</w:t>
            </w:r>
          </w:p>
        </w:tc>
        <w:tc>
          <w:tcPr>
            <w:tcW w:w="993" w:type="dxa"/>
          </w:tcPr>
          <w:p w14:paraId="483ED6EA" w14:textId="77777777" w:rsidR="00511777" w:rsidRPr="008403F5" w:rsidRDefault="0051177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&lt;0.0001</w:t>
            </w:r>
          </w:p>
        </w:tc>
        <w:tc>
          <w:tcPr>
            <w:tcW w:w="1134" w:type="dxa"/>
          </w:tcPr>
          <w:p w14:paraId="2DC7991D" w14:textId="77777777" w:rsidR="00511777" w:rsidRPr="008403F5" w:rsidRDefault="0051177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3.7</w:t>
            </w:r>
          </w:p>
        </w:tc>
        <w:tc>
          <w:tcPr>
            <w:tcW w:w="1134" w:type="dxa"/>
          </w:tcPr>
          <w:p w14:paraId="5D49B9A9" w14:textId="77777777" w:rsidR="00511777" w:rsidRPr="008403F5" w:rsidRDefault="0051177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6.2</w:t>
            </w:r>
          </w:p>
        </w:tc>
      </w:tr>
    </w:tbl>
    <w:tbl>
      <w:tblPr>
        <w:tblStyle w:val="GridTable1Light-Accent3"/>
        <w:tblpPr w:leftFromText="180" w:rightFromText="180" w:vertAnchor="page" w:horzAnchor="margin" w:tblpXSpec="center" w:tblpY="14571"/>
        <w:tblW w:w="11194" w:type="dxa"/>
        <w:tblLayout w:type="fixed"/>
        <w:tblLook w:val="04A0" w:firstRow="1" w:lastRow="0" w:firstColumn="1" w:lastColumn="0" w:noHBand="0" w:noVBand="1"/>
      </w:tblPr>
      <w:tblGrid>
        <w:gridCol w:w="988"/>
        <w:gridCol w:w="1701"/>
        <w:gridCol w:w="992"/>
        <w:gridCol w:w="992"/>
        <w:gridCol w:w="2126"/>
        <w:gridCol w:w="1134"/>
        <w:gridCol w:w="993"/>
        <w:gridCol w:w="1134"/>
        <w:gridCol w:w="1134"/>
      </w:tblGrid>
      <w:tr w:rsidR="00511777" w:rsidRPr="00FC34CC" w14:paraId="44F5367C" w14:textId="77777777" w:rsidTr="00511777">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88" w:type="dxa"/>
          </w:tcPr>
          <w:p w14:paraId="72C62A4D" w14:textId="77777777" w:rsidR="00511777" w:rsidRPr="00FC34CC" w:rsidRDefault="00511777" w:rsidP="00511777">
            <w:pPr>
              <w:rPr>
                <w:rFonts w:cstheme="minorHAnsi"/>
                <w:b w:val="0"/>
                <w:bCs w:val="0"/>
                <w:sz w:val="20"/>
                <w:szCs w:val="20"/>
              </w:rPr>
            </w:pPr>
            <w:r w:rsidRPr="00FC34CC">
              <w:rPr>
                <w:rFonts w:cstheme="minorHAnsi"/>
                <w:sz w:val="20"/>
                <w:szCs w:val="20"/>
              </w:rPr>
              <w:t>Model</w:t>
            </w:r>
            <w:r w:rsidRPr="00FC34CC">
              <w:rPr>
                <w:rFonts w:cstheme="minorHAnsi"/>
                <w:b w:val="0"/>
                <w:bCs w:val="0"/>
                <w:sz w:val="20"/>
                <w:szCs w:val="20"/>
              </w:rPr>
              <w:t xml:space="preserve"> 2</w:t>
            </w:r>
          </w:p>
        </w:tc>
        <w:tc>
          <w:tcPr>
            <w:tcW w:w="1701" w:type="dxa"/>
          </w:tcPr>
          <w:p w14:paraId="3751B04D" w14:textId="77777777" w:rsidR="00511777" w:rsidRPr="00FC34CC" w:rsidRDefault="00511777" w:rsidP="00511777">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FC34CC">
              <w:rPr>
                <w:rFonts w:cstheme="minorHAnsi"/>
                <w:b w:val="0"/>
                <w:bCs w:val="0"/>
                <w:sz w:val="20"/>
                <w:szCs w:val="20"/>
              </w:rPr>
              <w:t>Stable/regression vs progression</w:t>
            </w:r>
          </w:p>
        </w:tc>
        <w:tc>
          <w:tcPr>
            <w:tcW w:w="992" w:type="dxa"/>
          </w:tcPr>
          <w:p w14:paraId="53E55C34" w14:textId="77777777" w:rsidR="00511777" w:rsidRPr="00FC34CC" w:rsidRDefault="00511777" w:rsidP="00511777">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FC34CC">
              <w:rPr>
                <w:rFonts w:cstheme="minorHAnsi"/>
                <w:b w:val="0"/>
                <w:bCs w:val="0"/>
                <w:sz w:val="20"/>
                <w:szCs w:val="20"/>
              </w:rPr>
              <w:t>12 months</w:t>
            </w:r>
          </w:p>
        </w:tc>
        <w:tc>
          <w:tcPr>
            <w:tcW w:w="992" w:type="dxa"/>
          </w:tcPr>
          <w:p w14:paraId="210F15C1" w14:textId="77777777" w:rsidR="00511777" w:rsidRPr="00FC34CC" w:rsidRDefault="00511777" w:rsidP="00511777">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FC34CC">
              <w:rPr>
                <w:rFonts w:cstheme="minorHAnsi"/>
                <w:b w:val="0"/>
                <w:bCs w:val="0"/>
                <w:sz w:val="20"/>
                <w:szCs w:val="20"/>
              </w:rPr>
              <w:t>Baseline: Ve, Vp</w:t>
            </w:r>
          </w:p>
        </w:tc>
        <w:tc>
          <w:tcPr>
            <w:tcW w:w="2126" w:type="dxa"/>
          </w:tcPr>
          <w:p w14:paraId="5AC23EF0" w14:textId="77777777" w:rsidR="00511777" w:rsidRPr="00FC34CC" w:rsidRDefault="00511777" w:rsidP="00511777">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FC34CC">
              <w:rPr>
                <w:rFonts w:cstheme="minorHAnsi"/>
                <w:b w:val="0"/>
                <w:bCs w:val="0"/>
                <w:sz w:val="20"/>
                <w:szCs w:val="20"/>
              </w:rPr>
              <w:t xml:space="preserve">model_2 = .0837632 * age_baseline </w:t>
            </w:r>
            <w:r w:rsidRPr="00FC34CC">
              <w:rPr>
                <w:rFonts w:cstheme="minorHAnsi"/>
                <w:b w:val="0"/>
                <w:bCs w:val="0"/>
                <w:sz w:val="20"/>
                <w:szCs w:val="20"/>
              </w:rPr>
              <w:lastRenderedPageBreak/>
              <w:t>+ .0036835 * B_VeMap + .7076702 * B_VpMap</w:t>
            </w:r>
          </w:p>
        </w:tc>
        <w:tc>
          <w:tcPr>
            <w:tcW w:w="1134" w:type="dxa"/>
          </w:tcPr>
          <w:p w14:paraId="68F5755F" w14:textId="77777777" w:rsidR="00511777" w:rsidRPr="00FC34CC" w:rsidRDefault="00511777" w:rsidP="00511777">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C34CC">
              <w:rPr>
                <w:b w:val="0"/>
                <w:bCs w:val="0"/>
                <w:sz w:val="20"/>
                <w:szCs w:val="20"/>
              </w:rPr>
              <w:lastRenderedPageBreak/>
              <w:t>6.24</w:t>
            </w:r>
          </w:p>
          <w:p w14:paraId="2BA4A4D7" w14:textId="77777777" w:rsidR="00511777" w:rsidRPr="00FC34CC" w:rsidRDefault="00511777" w:rsidP="00511777">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C34CC">
              <w:rPr>
                <w:b w:val="0"/>
                <w:bCs w:val="0"/>
                <w:sz w:val="20"/>
                <w:szCs w:val="20"/>
              </w:rPr>
              <w:t>74%</w:t>
            </w:r>
          </w:p>
          <w:p w14:paraId="66549216" w14:textId="77777777" w:rsidR="00511777" w:rsidRPr="00FC34CC" w:rsidRDefault="00511777" w:rsidP="00511777">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FC34CC">
              <w:rPr>
                <w:b w:val="0"/>
                <w:bCs w:val="0"/>
                <w:sz w:val="20"/>
                <w:szCs w:val="20"/>
              </w:rPr>
              <w:t>72%</w:t>
            </w:r>
          </w:p>
        </w:tc>
        <w:tc>
          <w:tcPr>
            <w:tcW w:w="993" w:type="dxa"/>
          </w:tcPr>
          <w:p w14:paraId="557548DB" w14:textId="77777777" w:rsidR="00511777" w:rsidRPr="00FC34CC" w:rsidRDefault="00511777" w:rsidP="00511777">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FC34CC">
              <w:rPr>
                <w:b w:val="0"/>
                <w:bCs w:val="0"/>
                <w:sz w:val="20"/>
                <w:szCs w:val="20"/>
              </w:rPr>
              <w:t>&lt;0.0013</w:t>
            </w:r>
          </w:p>
        </w:tc>
        <w:tc>
          <w:tcPr>
            <w:tcW w:w="1134" w:type="dxa"/>
          </w:tcPr>
          <w:p w14:paraId="0F78E4DC" w14:textId="77777777" w:rsidR="00511777" w:rsidRPr="00FC34CC" w:rsidRDefault="00511777" w:rsidP="00511777">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FC34CC">
              <w:rPr>
                <w:b w:val="0"/>
                <w:bCs w:val="0"/>
                <w:sz w:val="20"/>
                <w:szCs w:val="20"/>
              </w:rPr>
              <w:t>3.1</w:t>
            </w:r>
          </w:p>
        </w:tc>
        <w:tc>
          <w:tcPr>
            <w:tcW w:w="1134" w:type="dxa"/>
          </w:tcPr>
          <w:p w14:paraId="2BF08398" w14:textId="77777777" w:rsidR="00511777" w:rsidRPr="00FC34CC" w:rsidRDefault="00511777" w:rsidP="00511777">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FC34CC">
              <w:rPr>
                <w:b w:val="0"/>
                <w:bCs w:val="0"/>
                <w:sz w:val="20"/>
                <w:szCs w:val="20"/>
              </w:rPr>
              <w:t>10.5</w:t>
            </w:r>
          </w:p>
        </w:tc>
      </w:tr>
    </w:tbl>
    <w:p w14:paraId="4BAF78E0" w14:textId="19197052" w:rsidR="00390669" w:rsidRPr="00990EB7" w:rsidRDefault="00390669" w:rsidP="00990EB7">
      <w:pPr>
        <w:ind w:firstLine="340"/>
        <w:jc w:val="both"/>
        <w:rPr>
          <w:rFonts w:cstheme="minorHAnsi"/>
          <w:i/>
          <w:iCs/>
          <w:color w:val="000000" w:themeColor="text1"/>
          <w:sz w:val="20"/>
          <w:szCs w:val="20"/>
          <w:shd w:val="clear" w:color="auto" w:fill="FFFFFF"/>
        </w:rPr>
      </w:pPr>
    </w:p>
    <w:tbl>
      <w:tblPr>
        <w:tblStyle w:val="GridTable1Light-Accent3"/>
        <w:tblpPr w:leftFromText="180" w:rightFromText="180" w:vertAnchor="page" w:horzAnchor="margin" w:tblpXSpec="center" w:tblpY="2061"/>
        <w:tblW w:w="11194" w:type="dxa"/>
        <w:tblLayout w:type="fixed"/>
        <w:tblLook w:val="04A0" w:firstRow="1" w:lastRow="0" w:firstColumn="1" w:lastColumn="0" w:noHBand="0" w:noVBand="1"/>
      </w:tblPr>
      <w:tblGrid>
        <w:gridCol w:w="988"/>
        <w:gridCol w:w="1701"/>
        <w:gridCol w:w="992"/>
        <w:gridCol w:w="992"/>
        <w:gridCol w:w="2126"/>
        <w:gridCol w:w="1134"/>
        <w:gridCol w:w="993"/>
        <w:gridCol w:w="1134"/>
        <w:gridCol w:w="1134"/>
      </w:tblGrid>
      <w:tr w:rsidR="00990EB7" w:rsidRPr="008403F5" w14:paraId="454483D9" w14:textId="77777777" w:rsidTr="00511777">
        <w:trPr>
          <w:cnfStyle w:val="100000000000" w:firstRow="1" w:lastRow="0" w:firstColumn="0" w:lastColumn="0" w:oddVBand="0" w:evenVBand="0" w:oddHBand="0"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988" w:type="dxa"/>
          </w:tcPr>
          <w:p w14:paraId="3F7C20CF" w14:textId="41B68961" w:rsidR="00990EB7" w:rsidRPr="008403F5" w:rsidRDefault="00990EB7" w:rsidP="00511777">
            <w:pPr>
              <w:rPr>
                <w:rFonts w:cstheme="minorHAnsi"/>
                <w:sz w:val="20"/>
                <w:szCs w:val="20"/>
              </w:rPr>
            </w:pPr>
            <w:bookmarkStart w:id="7" w:name="_Toc82961592"/>
            <w:r w:rsidRPr="008403F5">
              <w:rPr>
                <w:rFonts w:cstheme="minorHAnsi"/>
                <w:sz w:val="20"/>
                <w:szCs w:val="20"/>
              </w:rPr>
              <w:t>Model 3</w:t>
            </w:r>
          </w:p>
        </w:tc>
        <w:tc>
          <w:tcPr>
            <w:tcW w:w="1701" w:type="dxa"/>
          </w:tcPr>
          <w:p w14:paraId="18037B72" w14:textId="14B5D543" w:rsidR="00990EB7" w:rsidRPr="00511777" w:rsidRDefault="00990EB7" w:rsidP="00511777">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511777">
              <w:rPr>
                <w:rFonts w:cstheme="minorHAnsi"/>
                <w:b w:val="0"/>
                <w:bCs w:val="0"/>
                <w:sz w:val="20"/>
                <w:szCs w:val="20"/>
              </w:rPr>
              <w:t>True progression vs pseudo progression</w:t>
            </w:r>
          </w:p>
        </w:tc>
        <w:tc>
          <w:tcPr>
            <w:tcW w:w="992" w:type="dxa"/>
          </w:tcPr>
          <w:p w14:paraId="58A37A83" w14:textId="41760796" w:rsidR="00990EB7" w:rsidRPr="00511777" w:rsidRDefault="00990EB7" w:rsidP="00511777">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511777">
              <w:rPr>
                <w:rFonts w:cstheme="minorHAnsi"/>
                <w:b w:val="0"/>
                <w:bCs w:val="0"/>
                <w:sz w:val="20"/>
                <w:szCs w:val="20"/>
              </w:rPr>
              <w:t>6 months</w:t>
            </w:r>
          </w:p>
        </w:tc>
        <w:tc>
          <w:tcPr>
            <w:tcW w:w="992" w:type="dxa"/>
          </w:tcPr>
          <w:p w14:paraId="75B98302" w14:textId="77777777" w:rsidR="00990EB7" w:rsidRPr="00511777" w:rsidRDefault="00990EB7" w:rsidP="00511777">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20"/>
                <w:szCs w:val="20"/>
                <w:shd w:val="clear" w:color="auto" w:fill="FFFFFF"/>
              </w:rPr>
            </w:pPr>
            <w:r w:rsidRPr="00511777">
              <w:rPr>
                <w:rFonts w:cstheme="minorHAnsi"/>
                <w:b w:val="0"/>
                <w:bCs w:val="0"/>
                <w:sz w:val="20"/>
                <w:szCs w:val="20"/>
              </w:rPr>
              <w:t>Baseline: BF, Ktrans, Ve, Vp</w:t>
            </w:r>
          </w:p>
          <w:p w14:paraId="129FD2FA" w14:textId="680DD537" w:rsidR="00990EB7" w:rsidRPr="00511777" w:rsidRDefault="00990EB7" w:rsidP="00511777">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c>
          <w:tcPr>
            <w:tcW w:w="2126" w:type="dxa"/>
          </w:tcPr>
          <w:p w14:paraId="186D7D11" w14:textId="06BDB50A" w:rsidR="00990EB7" w:rsidRPr="00511777" w:rsidRDefault="00990EB7" w:rsidP="00511777">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511777">
              <w:rPr>
                <w:rFonts w:cstheme="minorHAnsi"/>
                <w:b w:val="0"/>
                <w:bCs w:val="0"/>
                <w:sz w:val="20"/>
                <w:szCs w:val="20"/>
              </w:rPr>
              <w:t>model_3 = .0771591 * age_baseline - .0129942 * B_Bfmap + 1.2373 * BP_K21map + .0040047 * B_VeMap + .1464732 * B_VpMap</w:t>
            </w:r>
          </w:p>
        </w:tc>
        <w:tc>
          <w:tcPr>
            <w:tcW w:w="1134" w:type="dxa"/>
          </w:tcPr>
          <w:p w14:paraId="719BAE1B" w14:textId="77777777" w:rsidR="00990EB7" w:rsidRPr="00511777" w:rsidRDefault="00990EB7" w:rsidP="00511777">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11777">
              <w:rPr>
                <w:b w:val="0"/>
                <w:bCs w:val="0"/>
                <w:sz w:val="20"/>
                <w:szCs w:val="20"/>
              </w:rPr>
              <w:t>4.32</w:t>
            </w:r>
          </w:p>
          <w:p w14:paraId="7C733319" w14:textId="77777777" w:rsidR="00990EB7" w:rsidRPr="00511777" w:rsidRDefault="00990EB7" w:rsidP="00511777">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11777">
              <w:rPr>
                <w:b w:val="0"/>
                <w:bCs w:val="0"/>
                <w:sz w:val="20"/>
                <w:szCs w:val="20"/>
              </w:rPr>
              <w:t>77%</w:t>
            </w:r>
          </w:p>
          <w:p w14:paraId="3FB088CF" w14:textId="6A7C387F" w:rsidR="00990EB7" w:rsidRPr="00511777" w:rsidRDefault="00990EB7" w:rsidP="00511777">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511777">
              <w:rPr>
                <w:b w:val="0"/>
                <w:bCs w:val="0"/>
                <w:sz w:val="20"/>
                <w:szCs w:val="20"/>
              </w:rPr>
              <w:t>65%</w:t>
            </w:r>
          </w:p>
        </w:tc>
        <w:tc>
          <w:tcPr>
            <w:tcW w:w="993" w:type="dxa"/>
          </w:tcPr>
          <w:p w14:paraId="727D42FD" w14:textId="4C29652E" w:rsidR="00990EB7" w:rsidRPr="00511777" w:rsidRDefault="00990EB7" w:rsidP="00511777">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511777">
              <w:rPr>
                <w:b w:val="0"/>
                <w:bCs w:val="0"/>
                <w:sz w:val="20"/>
                <w:szCs w:val="20"/>
              </w:rPr>
              <w:t>&lt;0.0027</w:t>
            </w:r>
          </w:p>
        </w:tc>
        <w:tc>
          <w:tcPr>
            <w:tcW w:w="1134" w:type="dxa"/>
          </w:tcPr>
          <w:p w14:paraId="4A7FE34A" w14:textId="1562939B" w:rsidR="00990EB7" w:rsidRPr="00511777" w:rsidRDefault="00990EB7" w:rsidP="00511777">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511777">
              <w:rPr>
                <w:b w:val="0"/>
                <w:bCs w:val="0"/>
                <w:sz w:val="20"/>
                <w:szCs w:val="20"/>
              </w:rPr>
              <w:t>4.1</w:t>
            </w:r>
          </w:p>
        </w:tc>
        <w:tc>
          <w:tcPr>
            <w:tcW w:w="1134" w:type="dxa"/>
          </w:tcPr>
          <w:p w14:paraId="273F5FA2" w14:textId="0C7A5BDD" w:rsidR="00990EB7" w:rsidRPr="00511777" w:rsidRDefault="00990EB7" w:rsidP="00511777">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511777">
              <w:rPr>
                <w:b w:val="0"/>
                <w:bCs w:val="0"/>
                <w:sz w:val="20"/>
                <w:szCs w:val="20"/>
              </w:rPr>
              <w:t>6</w:t>
            </w:r>
          </w:p>
        </w:tc>
      </w:tr>
      <w:tr w:rsidR="00990EB7" w:rsidRPr="008403F5" w14:paraId="7DC3DBE5" w14:textId="77777777" w:rsidTr="00511777">
        <w:trPr>
          <w:trHeight w:val="837"/>
        </w:trPr>
        <w:tc>
          <w:tcPr>
            <w:cnfStyle w:val="001000000000" w:firstRow="0" w:lastRow="0" w:firstColumn="1" w:lastColumn="0" w:oddVBand="0" w:evenVBand="0" w:oddHBand="0" w:evenHBand="0" w:firstRowFirstColumn="0" w:firstRowLastColumn="0" w:lastRowFirstColumn="0" w:lastRowLastColumn="0"/>
            <w:tcW w:w="988" w:type="dxa"/>
          </w:tcPr>
          <w:p w14:paraId="502C2973" w14:textId="77777777" w:rsidR="00990EB7" w:rsidRPr="008403F5" w:rsidRDefault="00990EB7" w:rsidP="00511777">
            <w:pPr>
              <w:rPr>
                <w:rFonts w:cstheme="minorHAnsi"/>
                <w:sz w:val="20"/>
                <w:szCs w:val="20"/>
              </w:rPr>
            </w:pPr>
            <w:r w:rsidRPr="008403F5">
              <w:rPr>
                <w:rFonts w:cstheme="minorHAnsi"/>
                <w:sz w:val="20"/>
                <w:szCs w:val="20"/>
              </w:rPr>
              <w:t>Model 4</w:t>
            </w:r>
          </w:p>
          <w:p w14:paraId="7082E5EF" w14:textId="4D22EEB3" w:rsidR="00990EB7" w:rsidRPr="008403F5" w:rsidRDefault="00990EB7" w:rsidP="00511777">
            <w:pPr>
              <w:rPr>
                <w:rFonts w:cstheme="minorHAnsi"/>
                <w:sz w:val="20"/>
                <w:szCs w:val="20"/>
              </w:rPr>
            </w:pPr>
          </w:p>
        </w:tc>
        <w:tc>
          <w:tcPr>
            <w:tcW w:w="1701" w:type="dxa"/>
          </w:tcPr>
          <w:p w14:paraId="68BBF450" w14:textId="1246585F"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True progression vs pseudo progression</w:t>
            </w:r>
          </w:p>
        </w:tc>
        <w:tc>
          <w:tcPr>
            <w:tcW w:w="992" w:type="dxa"/>
          </w:tcPr>
          <w:p w14:paraId="0D988FE3" w14:textId="665D676A"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12 months</w:t>
            </w:r>
          </w:p>
        </w:tc>
        <w:tc>
          <w:tcPr>
            <w:tcW w:w="992" w:type="dxa"/>
          </w:tcPr>
          <w:p w14:paraId="30D49D61" w14:textId="6665EC68"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Baseline: Vp</w:t>
            </w:r>
          </w:p>
        </w:tc>
        <w:tc>
          <w:tcPr>
            <w:tcW w:w="2126" w:type="dxa"/>
          </w:tcPr>
          <w:p w14:paraId="67A668A1" w14:textId="692382AD"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model_4 = .0421877 * age_baseline + .4490081 * B_VpMap</w:t>
            </w:r>
          </w:p>
        </w:tc>
        <w:tc>
          <w:tcPr>
            <w:tcW w:w="1134" w:type="dxa"/>
          </w:tcPr>
          <w:p w14:paraId="00F6F281" w14:textId="77777777"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sz w:val="20"/>
                <w:szCs w:val="20"/>
              </w:rPr>
            </w:pPr>
            <w:r w:rsidRPr="008403F5">
              <w:rPr>
                <w:sz w:val="20"/>
                <w:szCs w:val="20"/>
              </w:rPr>
              <w:t>3.07</w:t>
            </w:r>
          </w:p>
          <w:p w14:paraId="1CC1E1B5" w14:textId="77777777"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sz w:val="20"/>
                <w:szCs w:val="20"/>
              </w:rPr>
            </w:pPr>
            <w:r w:rsidRPr="008403F5">
              <w:rPr>
                <w:sz w:val="20"/>
                <w:szCs w:val="20"/>
              </w:rPr>
              <w:t>85%</w:t>
            </w:r>
          </w:p>
          <w:p w14:paraId="4DA28EBD" w14:textId="54FCA1FD"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75%</w:t>
            </w:r>
          </w:p>
        </w:tc>
        <w:tc>
          <w:tcPr>
            <w:tcW w:w="993" w:type="dxa"/>
          </w:tcPr>
          <w:p w14:paraId="704AC3EC" w14:textId="628B9E78"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&lt;0.003</w:t>
            </w:r>
          </w:p>
        </w:tc>
        <w:tc>
          <w:tcPr>
            <w:tcW w:w="1134" w:type="dxa"/>
          </w:tcPr>
          <w:p w14:paraId="7F4B17B6" w14:textId="61C03A21"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3.9</w:t>
            </w:r>
          </w:p>
        </w:tc>
        <w:tc>
          <w:tcPr>
            <w:tcW w:w="1134" w:type="dxa"/>
          </w:tcPr>
          <w:p w14:paraId="7ED99F5E" w14:textId="05C41CD9"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7.8</w:t>
            </w:r>
          </w:p>
        </w:tc>
      </w:tr>
      <w:tr w:rsidR="00990EB7" w:rsidRPr="008403F5" w14:paraId="41ACE7D3" w14:textId="77777777" w:rsidTr="00511777">
        <w:trPr>
          <w:trHeight w:val="999"/>
        </w:trPr>
        <w:tc>
          <w:tcPr>
            <w:cnfStyle w:val="001000000000" w:firstRow="0" w:lastRow="0" w:firstColumn="1" w:lastColumn="0" w:oddVBand="0" w:evenVBand="0" w:oddHBand="0" w:evenHBand="0" w:firstRowFirstColumn="0" w:firstRowLastColumn="0" w:lastRowFirstColumn="0" w:lastRowLastColumn="0"/>
            <w:tcW w:w="988" w:type="dxa"/>
          </w:tcPr>
          <w:p w14:paraId="5DD7DF0B" w14:textId="62541533" w:rsidR="00990EB7" w:rsidRPr="008403F5" w:rsidRDefault="00990EB7" w:rsidP="00511777">
            <w:pPr>
              <w:rPr>
                <w:rFonts w:cstheme="minorHAnsi"/>
                <w:sz w:val="20"/>
                <w:szCs w:val="20"/>
              </w:rPr>
            </w:pPr>
            <w:r w:rsidRPr="008403F5">
              <w:rPr>
                <w:rFonts w:cstheme="minorHAnsi"/>
                <w:sz w:val="20"/>
                <w:szCs w:val="20"/>
              </w:rPr>
              <w:t>Model 5</w:t>
            </w:r>
          </w:p>
        </w:tc>
        <w:tc>
          <w:tcPr>
            <w:tcW w:w="1701" w:type="dxa"/>
          </w:tcPr>
          <w:p w14:paraId="3D9496C4" w14:textId="724CC236"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Stable/regression vs progression</w:t>
            </w:r>
          </w:p>
        </w:tc>
        <w:tc>
          <w:tcPr>
            <w:tcW w:w="992" w:type="dxa"/>
          </w:tcPr>
          <w:p w14:paraId="0868BB04" w14:textId="3679A82E"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6 months</w:t>
            </w:r>
          </w:p>
        </w:tc>
        <w:tc>
          <w:tcPr>
            <w:tcW w:w="992" w:type="dxa"/>
          </w:tcPr>
          <w:p w14:paraId="7435C62C" w14:textId="77777777"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shd w:val="clear" w:color="auto" w:fill="FFFFFF"/>
              </w:rPr>
            </w:pPr>
            <w:r w:rsidRPr="008403F5">
              <w:rPr>
                <w:rFonts w:cstheme="minorHAnsi"/>
                <w:sz w:val="20"/>
                <w:szCs w:val="20"/>
              </w:rPr>
              <w:t>Baseline: Ve, Vp</w:t>
            </w:r>
          </w:p>
          <w:p w14:paraId="4E00818A" w14:textId="77777777"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shd w:val="clear" w:color="auto" w:fill="FFFFFF"/>
              </w:rPr>
            </w:pPr>
            <w:r w:rsidRPr="008403F5">
              <w:rPr>
                <w:rFonts w:cstheme="minorHAnsi"/>
                <w:sz w:val="20"/>
                <w:szCs w:val="20"/>
              </w:rPr>
              <w:t>3-months: BF, Kep, Vp</w:t>
            </w:r>
          </w:p>
          <w:p w14:paraId="5BF84FB7" w14:textId="77777777"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126" w:type="dxa"/>
          </w:tcPr>
          <w:p w14:paraId="6017018F" w14:textId="50149336"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model_5 = .100202 * age_baseline + .0198866 * B_VeMap + .4017944 * B_VpMap + .0004573 * m3_Bfmap + .3613811 * m3_K21map + 3.02e-07 * m3_VpMap</w:t>
            </w:r>
          </w:p>
        </w:tc>
        <w:tc>
          <w:tcPr>
            <w:tcW w:w="1134" w:type="dxa"/>
          </w:tcPr>
          <w:p w14:paraId="4B175336" w14:textId="77777777"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sz w:val="20"/>
                <w:szCs w:val="20"/>
              </w:rPr>
            </w:pPr>
            <w:r w:rsidRPr="008403F5">
              <w:rPr>
                <w:sz w:val="20"/>
                <w:szCs w:val="20"/>
              </w:rPr>
              <w:t>8.2</w:t>
            </w:r>
          </w:p>
          <w:p w14:paraId="58E0129C" w14:textId="77777777"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sz w:val="20"/>
                <w:szCs w:val="20"/>
              </w:rPr>
            </w:pPr>
            <w:r w:rsidRPr="008403F5">
              <w:rPr>
                <w:sz w:val="20"/>
                <w:szCs w:val="20"/>
              </w:rPr>
              <w:t>91%</w:t>
            </w:r>
          </w:p>
          <w:p w14:paraId="6AC8A094" w14:textId="2736DC44"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78%</w:t>
            </w:r>
          </w:p>
        </w:tc>
        <w:tc>
          <w:tcPr>
            <w:tcW w:w="993" w:type="dxa"/>
          </w:tcPr>
          <w:p w14:paraId="2DC5431B" w14:textId="48D7AE12"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&lt;0.0071</w:t>
            </w:r>
          </w:p>
        </w:tc>
        <w:tc>
          <w:tcPr>
            <w:tcW w:w="1134" w:type="dxa"/>
          </w:tcPr>
          <w:p w14:paraId="03AC27AC" w14:textId="7C2BE25B"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4.7</w:t>
            </w:r>
          </w:p>
        </w:tc>
        <w:tc>
          <w:tcPr>
            <w:tcW w:w="1134" w:type="dxa"/>
          </w:tcPr>
          <w:p w14:paraId="7E7AA22F" w14:textId="6B303A7B"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6</w:t>
            </w:r>
          </w:p>
        </w:tc>
      </w:tr>
      <w:tr w:rsidR="00990EB7" w:rsidRPr="008403F5" w14:paraId="63FDAB98" w14:textId="77777777" w:rsidTr="00511777">
        <w:trPr>
          <w:trHeight w:val="593"/>
        </w:trPr>
        <w:tc>
          <w:tcPr>
            <w:cnfStyle w:val="001000000000" w:firstRow="0" w:lastRow="0" w:firstColumn="1" w:lastColumn="0" w:oddVBand="0" w:evenVBand="0" w:oddHBand="0" w:evenHBand="0" w:firstRowFirstColumn="0" w:firstRowLastColumn="0" w:lastRowFirstColumn="0" w:lastRowLastColumn="0"/>
            <w:tcW w:w="988" w:type="dxa"/>
          </w:tcPr>
          <w:p w14:paraId="242FECC6" w14:textId="34406863" w:rsidR="00990EB7" w:rsidRPr="008403F5" w:rsidRDefault="00990EB7" w:rsidP="00511777">
            <w:pPr>
              <w:rPr>
                <w:rFonts w:cstheme="minorHAnsi"/>
                <w:sz w:val="20"/>
                <w:szCs w:val="20"/>
              </w:rPr>
            </w:pPr>
            <w:r w:rsidRPr="008403F5">
              <w:rPr>
                <w:rFonts w:cstheme="minorHAnsi"/>
                <w:sz w:val="20"/>
                <w:szCs w:val="20"/>
              </w:rPr>
              <w:t>Model 6</w:t>
            </w:r>
          </w:p>
        </w:tc>
        <w:tc>
          <w:tcPr>
            <w:tcW w:w="1701" w:type="dxa"/>
          </w:tcPr>
          <w:p w14:paraId="5D9B3EC5" w14:textId="380D13DC"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Stable/regression vs progression</w:t>
            </w:r>
          </w:p>
        </w:tc>
        <w:tc>
          <w:tcPr>
            <w:tcW w:w="992" w:type="dxa"/>
          </w:tcPr>
          <w:p w14:paraId="27C3F96A" w14:textId="1B45C35D"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12 months</w:t>
            </w:r>
          </w:p>
        </w:tc>
        <w:tc>
          <w:tcPr>
            <w:tcW w:w="992" w:type="dxa"/>
          </w:tcPr>
          <w:p w14:paraId="51459BE8" w14:textId="77777777"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shd w:val="clear" w:color="auto" w:fill="FFFFFF"/>
              </w:rPr>
            </w:pPr>
            <w:r w:rsidRPr="008403F5">
              <w:rPr>
                <w:rFonts w:cstheme="minorHAnsi"/>
                <w:sz w:val="20"/>
                <w:szCs w:val="20"/>
              </w:rPr>
              <w:t xml:space="preserve">Baseline: </w:t>
            </w:r>
            <w:r w:rsidRPr="008403F5">
              <w:rPr>
                <w:rFonts w:cstheme="minorHAnsi"/>
                <w:color w:val="000000" w:themeColor="text1"/>
                <w:sz w:val="20"/>
                <w:szCs w:val="20"/>
                <w:shd w:val="clear" w:color="auto" w:fill="FFFFFF"/>
              </w:rPr>
              <w:t>Ve, Vp</w:t>
            </w:r>
          </w:p>
          <w:p w14:paraId="244415ED" w14:textId="767AEB2B"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3-months: Kep, Vp</w:t>
            </w:r>
          </w:p>
        </w:tc>
        <w:tc>
          <w:tcPr>
            <w:tcW w:w="2126" w:type="dxa"/>
          </w:tcPr>
          <w:p w14:paraId="6309E456" w14:textId="6F62DC0E"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model_6 = .1209808 * age_baseline + .0049757 * B_VeMap + .6778823 * B_VpMap + .3699599 * m3_K21map + .1394876 * m3_VpMap</w:t>
            </w:r>
          </w:p>
        </w:tc>
        <w:tc>
          <w:tcPr>
            <w:tcW w:w="1134" w:type="dxa"/>
          </w:tcPr>
          <w:p w14:paraId="3F217E90" w14:textId="77777777"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sz w:val="20"/>
                <w:szCs w:val="20"/>
              </w:rPr>
            </w:pPr>
            <w:r w:rsidRPr="008403F5">
              <w:rPr>
                <w:sz w:val="20"/>
                <w:szCs w:val="20"/>
              </w:rPr>
              <w:t>9.48</w:t>
            </w:r>
          </w:p>
          <w:p w14:paraId="030132E2" w14:textId="77777777"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sz w:val="20"/>
                <w:szCs w:val="20"/>
              </w:rPr>
            </w:pPr>
            <w:r w:rsidRPr="008403F5">
              <w:rPr>
                <w:sz w:val="20"/>
                <w:szCs w:val="20"/>
              </w:rPr>
              <w:t>82%</w:t>
            </w:r>
          </w:p>
          <w:p w14:paraId="61877E4E" w14:textId="6009B009"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81%</w:t>
            </w:r>
          </w:p>
        </w:tc>
        <w:tc>
          <w:tcPr>
            <w:tcW w:w="993" w:type="dxa"/>
          </w:tcPr>
          <w:p w14:paraId="260558B8" w14:textId="6E057BEA"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&lt;0.0001</w:t>
            </w:r>
          </w:p>
        </w:tc>
        <w:tc>
          <w:tcPr>
            <w:tcW w:w="1134" w:type="dxa"/>
          </w:tcPr>
          <w:p w14:paraId="36295147" w14:textId="50F42BF3"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3.7</w:t>
            </w:r>
          </w:p>
        </w:tc>
        <w:tc>
          <w:tcPr>
            <w:tcW w:w="1134" w:type="dxa"/>
          </w:tcPr>
          <w:p w14:paraId="6A1FE0BD" w14:textId="3658527E"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&gt;12</w:t>
            </w:r>
          </w:p>
        </w:tc>
      </w:tr>
      <w:tr w:rsidR="00990EB7" w:rsidRPr="008403F5" w14:paraId="5C4491F8" w14:textId="77777777" w:rsidTr="00511777">
        <w:trPr>
          <w:trHeight w:val="999"/>
        </w:trPr>
        <w:tc>
          <w:tcPr>
            <w:cnfStyle w:val="001000000000" w:firstRow="0" w:lastRow="0" w:firstColumn="1" w:lastColumn="0" w:oddVBand="0" w:evenVBand="0" w:oddHBand="0" w:evenHBand="0" w:firstRowFirstColumn="0" w:firstRowLastColumn="0" w:lastRowFirstColumn="0" w:lastRowLastColumn="0"/>
            <w:tcW w:w="988" w:type="dxa"/>
          </w:tcPr>
          <w:p w14:paraId="15ACC681" w14:textId="36502C3D" w:rsidR="00990EB7" w:rsidRPr="008403F5" w:rsidRDefault="00990EB7" w:rsidP="00511777">
            <w:pPr>
              <w:rPr>
                <w:rFonts w:cstheme="minorHAnsi"/>
                <w:sz w:val="20"/>
                <w:szCs w:val="20"/>
              </w:rPr>
            </w:pPr>
            <w:r w:rsidRPr="008403F5">
              <w:rPr>
                <w:rFonts w:cstheme="minorHAnsi"/>
                <w:sz w:val="20"/>
                <w:szCs w:val="20"/>
              </w:rPr>
              <w:t>Model 7</w:t>
            </w:r>
          </w:p>
        </w:tc>
        <w:tc>
          <w:tcPr>
            <w:tcW w:w="1701" w:type="dxa"/>
          </w:tcPr>
          <w:p w14:paraId="20480600" w14:textId="5D49B966"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True progression vs pseudo progression</w:t>
            </w:r>
          </w:p>
        </w:tc>
        <w:tc>
          <w:tcPr>
            <w:tcW w:w="992" w:type="dxa"/>
          </w:tcPr>
          <w:p w14:paraId="061AFE41" w14:textId="551E7B89"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6 months</w:t>
            </w:r>
          </w:p>
        </w:tc>
        <w:tc>
          <w:tcPr>
            <w:tcW w:w="992" w:type="dxa"/>
          </w:tcPr>
          <w:p w14:paraId="0D7612B6" w14:textId="77777777"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Baseline: BF, Kep, Ve</w:t>
            </w:r>
          </w:p>
          <w:p w14:paraId="76E140D8" w14:textId="05B87EBA"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3-months: Vp</w:t>
            </w:r>
          </w:p>
        </w:tc>
        <w:tc>
          <w:tcPr>
            <w:tcW w:w="2126" w:type="dxa"/>
          </w:tcPr>
          <w:p w14:paraId="3A8186FF" w14:textId="33623453"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model_7 = .0670389 * age_baseline - .0132765 * B_Bfmap + .699975 * BP_K21map + .0048207 * B_VeMap + .1705033 * B_VpMap - .0509623 * m3_VpMap</w:t>
            </w:r>
          </w:p>
        </w:tc>
        <w:tc>
          <w:tcPr>
            <w:tcW w:w="1134" w:type="dxa"/>
          </w:tcPr>
          <w:p w14:paraId="591336CE" w14:textId="77777777"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sz w:val="20"/>
                <w:szCs w:val="20"/>
              </w:rPr>
            </w:pPr>
            <w:r w:rsidRPr="008403F5">
              <w:rPr>
                <w:sz w:val="20"/>
                <w:szCs w:val="20"/>
              </w:rPr>
              <w:t>4.02</w:t>
            </w:r>
          </w:p>
          <w:p w14:paraId="512A6BCE" w14:textId="77777777"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sz w:val="20"/>
                <w:szCs w:val="20"/>
              </w:rPr>
            </w:pPr>
            <w:r w:rsidRPr="008403F5">
              <w:rPr>
                <w:sz w:val="20"/>
                <w:szCs w:val="20"/>
              </w:rPr>
              <w:t>80%</w:t>
            </w:r>
          </w:p>
          <w:p w14:paraId="72831EC6" w14:textId="6376980C"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76%</w:t>
            </w:r>
          </w:p>
        </w:tc>
        <w:tc>
          <w:tcPr>
            <w:tcW w:w="993" w:type="dxa"/>
          </w:tcPr>
          <w:p w14:paraId="2B4084B9" w14:textId="2E5F6E29"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&lt;0.0001</w:t>
            </w:r>
          </w:p>
        </w:tc>
        <w:tc>
          <w:tcPr>
            <w:tcW w:w="1134" w:type="dxa"/>
          </w:tcPr>
          <w:p w14:paraId="65306B2C" w14:textId="3070F2C8"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3.3</w:t>
            </w:r>
          </w:p>
        </w:tc>
        <w:tc>
          <w:tcPr>
            <w:tcW w:w="1134" w:type="dxa"/>
          </w:tcPr>
          <w:p w14:paraId="0D8C5925" w14:textId="4DED28E9"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6.4</w:t>
            </w:r>
          </w:p>
        </w:tc>
      </w:tr>
      <w:tr w:rsidR="00990EB7" w:rsidRPr="008403F5" w14:paraId="4BCE01F3" w14:textId="77777777" w:rsidTr="00511777">
        <w:trPr>
          <w:trHeight w:val="999"/>
        </w:trPr>
        <w:tc>
          <w:tcPr>
            <w:cnfStyle w:val="001000000000" w:firstRow="0" w:lastRow="0" w:firstColumn="1" w:lastColumn="0" w:oddVBand="0" w:evenVBand="0" w:oddHBand="0" w:evenHBand="0" w:firstRowFirstColumn="0" w:firstRowLastColumn="0" w:lastRowFirstColumn="0" w:lastRowLastColumn="0"/>
            <w:tcW w:w="988" w:type="dxa"/>
          </w:tcPr>
          <w:p w14:paraId="33955CF5" w14:textId="77777777" w:rsidR="00990EB7" w:rsidRPr="008403F5" w:rsidRDefault="00990EB7" w:rsidP="00511777">
            <w:pPr>
              <w:rPr>
                <w:rFonts w:cstheme="minorHAnsi"/>
                <w:sz w:val="20"/>
                <w:szCs w:val="20"/>
              </w:rPr>
            </w:pPr>
            <w:r w:rsidRPr="008403F5">
              <w:rPr>
                <w:rFonts w:cstheme="minorHAnsi"/>
                <w:sz w:val="20"/>
                <w:szCs w:val="20"/>
              </w:rPr>
              <w:t>Model 8</w:t>
            </w:r>
          </w:p>
          <w:p w14:paraId="4DA0B368" w14:textId="1E47625D" w:rsidR="00990EB7" w:rsidRPr="008403F5" w:rsidRDefault="00990EB7" w:rsidP="00511777">
            <w:pPr>
              <w:rPr>
                <w:rFonts w:cstheme="minorHAnsi"/>
                <w:sz w:val="20"/>
                <w:szCs w:val="20"/>
              </w:rPr>
            </w:pPr>
          </w:p>
        </w:tc>
        <w:tc>
          <w:tcPr>
            <w:tcW w:w="1701" w:type="dxa"/>
          </w:tcPr>
          <w:p w14:paraId="290F6E3B" w14:textId="3E92153B"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True progression vs pseudo progression</w:t>
            </w:r>
          </w:p>
        </w:tc>
        <w:tc>
          <w:tcPr>
            <w:tcW w:w="992" w:type="dxa"/>
          </w:tcPr>
          <w:p w14:paraId="500491EB" w14:textId="4E75247B"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12 months</w:t>
            </w:r>
          </w:p>
        </w:tc>
        <w:tc>
          <w:tcPr>
            <w:tcW w:w="992" w:type="dxa"/>
          </w:tcPr>
          <w:p w14:paraId="0E44F521" w14:textId="77777777"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Baseline: Vp</w:t>
            </w:r>
          </w:p>
          <w:p w14:paraId="7FD0ADFE" w14:textId="067C9B61"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3-months: Kep, Vp</w:t>
            </w:r>
          </w:p>
        </w:tc>
        <w:tc>
          <w:tcPr>
            <w:tcW w:w="2126" w:type="dxa"/>
          </w:tcPr>
          <w:p w14:paraId="03AFE62F" w14:textId="39ACE37D"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rFonts w:cstheme="minorHAnsi"/>
                <w:sz w:val="20"/>
                <w:szCs w:val="20"/>
              </w:rPr>
              <w:t>model_8 = 1.069261 * age_baseline + 1.363248 * B_VpMap + 1.3278 * m3_K21map + 1 * m3_VpMap</w:t>
            </w:r>
          </w:p>
        </w:tc>
        <w:tc>
          <w:tcPr>
            <w:tcW w:w="1134" w:type="dxa"/>
          </w:tcPr>
          <w:p w14:paraId="7078741B" w14:textId="77777777"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sz w:val="20"/>
                <w:szCs w:val="20"/>
              </w:rPr>
            </w:pPr>
            <w:r w:rsidRPr="008403F5">
              <w:rPr>
                <w:sz w:val="20"/>
                <w:szCs w:val="20"/>
              </w:rPr>
              <w:t>66.51</w:t>
            </w:r>
          </w:p>
          <w:p w14:paraId="580B30E9" w14:textId="77777777"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sz w:val="20"/>
                <w:szCs w:val="20"/>
              </w:rPr>
            </w:pPr>
            <w:r w:rsidRPr="008403F5">
              <w:rPr>
                <w:sz w:val="20"/>
                <w:szCs w:val="20"/>
              </w:rPr>
              <w:t>50%</w:t>
            </w:r>
          </w:p>
          <w:p w14:paraId="5BBABBF3" w14:textId="40603349"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81%</w:t>
            </w:r>
          </w:p>
        </w:tc>
        <w:tc>
          <w:tcPr>
            <w:tcW w:w="993" w:type="dxa"/>
          </w:tcPr>
          <w:p w14:paraId="25C94D45" w14:textId="183AAFFC"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&lt;0.0001</w:t>
            </w:r>
          </w:p>
        </w:tc>
        <w:tc>
          <w:tcPr>
            <w:tcW w:w="1134" w:type="dxa"/>
          </w:tcPr>
          <w:p w14:paraId="36A60A70" w14:textId="676F9607"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3.4</w:t>
            </w:r>
          </w:p>
        </w:tc>
        <w:tc>
          <w:tcPr>
            <w:tcW w:w="1134" w:type="dxa"/>
          </w:tcPr>
          <w:p w14:paraId="1AEB3146" w14:textId="02FCE5E3" w:rsidR="00990EB7" w:rsidRPr="008403F5" w:rsidRDefault="00990EB7" w:rsidP="00511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03F5">
              <w:rPr>
                <w:sz w:val="20"/>
                <w:szCs w:val="20"/>
              </w:rPr>
              <w:t>7.8</w:t>
            </w:r>
          </w:p>
        </w:tc>
      </w:tr>
    </w:tbl>
    <w:p w14:paraId="2811B4B5" w14:textId="20768A07" w:rsidR="006206A6" w:rsidRPr="00163827" w:rsidRDefault="00163827" w:rsidP="006206A6">
      <w:pPr>
        <w:pStyle w:val="Heading3"/>
        <w:rPr>
          <w:rFonts w:asciiTheme="minorHAnsi" w:hAnsiTheme="minorHAnsi" w:cstheme="minorHAnsi"/>
          <w:b/>
          <w:bCs/>
          <w:color w:val="000000" w:themeColor="text1"/>
          <w:shd w:val="clear" w:color="auto" w:fill="FFFFFF"/>
        </w:rPr>
      </w:pPr>
      <w:r w:rsidRPr="00163827">
        <w:rPr>
          <w:rFonts w:asciiTheme="minorHAnsi" w:hAnsiTheme="minorHAnsi" w:cstheme="minorHAnsi"/>
          <w:b/>
          <w:bCs/>
          <w:color w:val="000000" w:themeColor="text1"/>
          <w:shd w:val="clear" w:color="auto" w:fill="FFFFFF"/>
        </w:rPr>
        <w:t>2.</w:t>
      </w:r>
      <w:r w:rsidR="00C976CE">
        <w:rPr>
          <w:rFonts w:asciiTheme="minorHAnsi" w:hAnsiTheme="minorHAnsi" w:cstheme="minorHAnsi"/>
          <w:b/>
          <w:bCs/>
          <w:color w:val="000000" w:themeColor="text1"/>
          <w:shd w:val="clear" w:color="auto" w:fill="FFFFFF"/>
        </w:rPr>
        <w:t>3</w:t>
      </w:r>
      <w:r w:rsidRPr="00163827">
        <w:rPr>
          <w:rFonts w:asciiTheme="minorHAnsi" w:hAnsiTheme="minorHAnsi" w:cstheme="minorHAnsi"/>
          <w:b/>
          <w:bCs/>
          <w:color w:val="000000" w:themeColor="text1"/>
          <w:shd w:val="clear" w:color="auto" w:fill="FFFFFF"/>
        </w:rPr>
        <w:t xml:space="preserve"> </w:t>
      </w:r>
      <w:r w:rsidR="006206A6" w:rsidRPr="00163827">
        <w:rPr>
          <w:rFonts w:asciiTheme="minorHAnsi" w:hAnsiTheme="minorHAnsi" w:cstheme="minorHAnsi"/>
          <w:b/>
          <w:bCs/>
          <w:color w:val="000000" w:themeColor="text1"/>
          <w:shd w:val="clear" w:color="auto" w:fill="FFFFFF"/>
        </w:rPr>
        <w:t>Assessment of the disease state</w:t>
      </w:r>
      <w:bookmarkEnd w:id="7"/>
    </w:p>
    <w:p w14:paraId="29777AFA" w14:textId="4A649991" w:rsidR="006206A6" w:rsidRDefault="00AA2CC9" w:rsidP="00163827">
      <w:pPr>
        <w:jc w:val="both"/>
        <w:rPr>
          <w:rFonts w:cstheme="minorHAnsi"/>
          <w:color w:val="000000" w:themeColor="text1"/>
          <w:shd w:val="clear" w:color="auto" w:fill="FFFFFF"/>
        </w:rPr>
      </w:pPr>
      <w:r w:rsidRPr="006206A6">
        <w:rPr>
          <w:rFonts w:cstheme="minorHAnsi"/>
          <w:color w:val="000000" w:themeColor="text1"/>
          <w:shd w:val="clear" w:color="auto" w:fill="FFFFFF"/>
        </w:rPr>
        <w:t>To</w:t>
      </w:r>
      <w:r w:rsidR="006206A6" w:rsidRPr="006206A6">
        <w:rPr>
          <w:rFonts w:cstheme="minorHAnsi"/>
          <w:color w:val="000000" w:themeColor="text1"/>
          <w:shd w:val="clear" w:color="auto" w:fill="FFFFFF"/>
        </w:rPr>
        <w:t xml:space="preserve"> assess the cases and categorise them into groups of stable or responding, progression and pseudo-progression, the percent change of the volume of the ROIs </w:t>
      </w:r>
      <w:r w:rsidR="0038023E">
        <w:rPr>
          <w:rFonts w:cstheme="minorHAnsi"/>
          <w:color w:val="000000" w:themeColor="text1"/>
          <w:shd w:val="clear" w:color="auto" w:fill="FFFFFF"/>
        </w:rPr>
        <w:t xml:space="preserve">was evaluated </w:t>
      </w:r>
      <w:r w:rsidR="006206A6" w:rsidRPr="006206A6">
        <w:rPr>
          <w:rFonts w:cstheme="minorHAnsi"/>
          <w:color w:val="000000" w:themeColor="text1"/>
          <w:shd w:val="clear" w:color="auto" w:fill="FFFFFF"/>
        </w:rPr>
        <w:t>using the equation: 100*(V</w:t>
      </w:r>
      <w:r w:rsidR="006206A6" w:rsidRPr="006206A6">
        <w:rPr>
          <w:rFonts w:cstheme="minorHAnsi"/>
          <w:color w:val="000000" w:themeColor="text1"/>
          <w:shd w:val="clear" w:color="auto" w:fill="FFFFFF"/>
          <w:vertAlign w:val="subscript"/>
        </w:rPr>
        <w:t>t2</w:t>
      </w:r>
      <w:r w:rsidR="006206A6" w:rsidRPr="006206A6">
        <w:rPr>
          <w:rFonts w:cstheme="minorHAnsi"/>
          <w:color w:val="000000" w:themeColor="text1"/>
          <w:shd w:val="clear" w:color="auto" w:fill="FFFFFF"/>
        </w:rPr>
        <w:t>-V</w:t>
      </w:r>
      <w:r w:rsidR="006206A6" w:rsidRPr="006206A6">
        <w:rPr>
          <w:rFonts w:cstheme="minorHAnsi"/>
          <w:color w:val="000000" w:themeColor="text1"/>
          <w:shd w:val="clear" w:color="auto" w:fill="FFFFFF"/>
          <w:vertAlign w:val="subscript"/>
        </w:rPr>
        <w:t>t1</w:t>
      </w:r>
      <w:r w:rsidR="006206A6" w:rsidRPr="006206A6">
        <w:rPr>
          <w:rFonts w:cstheme="minorHAnsi"/>
          <w:color w:val="000000" w:themeColor="text1"/>
          <w:shd w:val="clear" w:color="auto" w:fill="FFFFFF"/>
        </w:rPr>
        <w:t>)/V</w:t>
      </w:r>
      <w:r w:rsidR="006206A6" w:rsidRPr="006206A6">
        <w:rPr>
          <w:rFonts w:cstheme="minorHAnsi"/>
          <w:color w:val="000000" w:themeColor="text1"/>
          <w:shd w:val="clear" w:color="auto" w:fill="FFFFFF"/>
          <w:vertAlign w:val="subscript"/>
        </w:rPr>
        <w:t>t1</w:t>
      </w:r>
      <w:r w:rsidR="006206A6" w:rsidRPr="006206A6">
        <w:rPr>
          <w:rFonts w:cstheme="minorHAnsi"/>
          <w:color w:val="000000" w:themeColor="text1"/>
          <w:shd w:val="clear" w:color="auto" w:fill="FFFFFF"/>
        </w:rPr>
        <w:t xml:space="preserve"> for each of the subsequent time points; t1 was determined as baseline, and t2 the second timepoint in which the percent change was to be evaluated. This percent change was used to assess if the disease was progressing, by having a percent change more than or equal to 25%, remaining stable, by holding a percent change between 0% and 25% or regressing by exhibiting a negative percentage change. Pseudo-progression was determined by presenting as regression after a period of progression. The survival analysis which was used classified the patients at 6 and 12 months in two ways: (1) stable/responding disease vs progressive disease; (2) true-progressive disease vs pseudo-progression. </w:t>
      </w:r>
    </w:p>
    <w:p w14:paraId="1D9EC04C" w14:textId="6E43DC67" w:rsidR="00374970" w:rsidRDefault="00374970" w:rsidP="00374970">
      <w:pPr>
        <w:jc w:val="both"/>
        <w:rPr>
          <w:rFonts w:cstheme="minorHAnsi"/>
          <w:color w:val="000000" w:themeColor="text1"/>
          <w:shd w:val="clear" w:color="auto" w:fill="FFFFFF"/>
        </w:rPr>
      </w:pPr>
    </w:p>
    <w:p w14:paraId="7BD50975" w14:textId="38C66FD9" w:rsidR="00374970" w:rsidRPr="00163827" w:rsidRDefault="00163827" w:rsidP="00374970">
      <w:pPr>
        <w:pStyle w:val="Heading2"/>
        <w:rPr>
          <w:rFonts w:asciiTheme="minorHAnsi" w:hAnsiTheme="minorHAnsi" w:cstheme="minorHAnsi"/>
          <w:b/>
          <w:bCs/>
          <w:color w:val="000000" w:themeColor="text1"/>
          <w:sz w:val="24"/>
          <w:szCs w:val="24"/>
          <w:bdr w:val="none" w:sz="0" w:space="0" w:color="auto" w:frame="1"/>
        </w:rPr>
      </w:pPr>
      <w:bookmarkStart w:id="8" w:name="_Toc82961594"/>
      <w:r w:rsidRPr="00163827">
        <w:rPr>
          <w:rFonts w:asciiTheme="minorHAnsi" w:hAnsiTheme="minorHAnsi" w:cstheme="minorHAnsi"/>
          <w:b/>
          <w:bCs/>
          <w:color w:val="000000" w:themeColor="text1"/>
          <w:sz w:val="24"/>
          <w:szCs w:val="24"/>
          <w:bdr w:val="none" w:sz="0" w:space="0" w:color="auto" w:frame="1"/>
        </w:rPr>
        <w:t>2.</w:t>
      </w:r>
      <w:r w:rsidR="00C976CE">
        <w:rPr>
          <w:rFonts w:asciiTheme="minorHAnsi" w:hAnsiTheme="minorHAnsi" w:cstheme="minorHAnsi"/>
          <w:b/>
          <w:bCs/>
          <w:color w:val="000000" w:themeColor="text1"/>
          <w:sz w:val="24"/>
          <w:szCs w:val="24"/>
          <w:bdr w:val="none" w:sz="0" w:space="0" w:color="auto" w:frame="1"/>
        </w:rPr>
        <w:t>4</w:t>
      </w:r>
      <w:r w:rsidRPr="00163827">
        <w:rPr>
          <w:rFonts w:asciiTheme="minorHAnsi" w:hAnsiTheme="minorHAnsi" w:cstheme="minorHAnsi"/>
          <w:b/>
          <w:bCs/>
          <w:color w:val="000000" w:themeColor="text1"/>
          <w:sz w:val="24"/>
          <w:szCs w:val="24"/>
          <w:bdr w:val="none" w:sz="0" w:space="0" w:color="auto" w:frame="1"/>
        </w:rPr>
        <w:t xml:space="preserve"> </w:t>
      </w:r>
      <w:r w:rsidR="00374970" w:rsidRPr="00163827">
        <w:rPr>
          <w:rFonts w:asciiTheme="minorHAnsi" w:hAnsiTheme="minorHAnsi" w:cstheme="minorHAnsi"/>
          <w:b/>
          <w:bCs/>
          <w:color w:val="000000" w:themeColor="text1"/>
          <w:sz w:val="24"/>
          <w:szCs w:val="24"/>
          <w:bdr w:val="none" w:sz="0" w:space="0" w:color="auto" w:frame="1"/>
        </w:rPr>
        <w:t>Statistical analysis</w:t>
      </w:r>
      <w:bookmarkEnd w:id="8"/>
    </w:p>
    <w:p w14:paraId="1ED5B375" w14:textId="3AEABC33" w:rsidR="00AA2CC9" w:rsidRDefault="00374970" w:rsidP="00BD65F5">
      <w:pPr>
        <w:jc w:val="both"/>
        <w:rPr>
          <w:rFonts w:cstheme="minorHAnsi"/>
          <w:color w:val="000000" w:themeColor="text1"/>
          <w:shd w:val="clear" w:color="auto" w:fill="FFFFFF"/>
        </w:rPr>
      </w:pPr>
      <w:r w:rsidRPr="00374970">
        <w:rPr>
          <w:rFonts w:cstheme="minorHAnsi"/>
          <w:color w:val="000000" w:themeColor="text1"/>
          <w:shd w:val="clear" w:color="auto" w:fill="FFFFFF"/>
        </w:rPr>
        <w:t>The data was tested objectively for normality</w:t>
      </w:r>
      <w:r w:rsidR="002E6A65">
        <w:rPr>
          <w:rFonts w:cstheme="minorHAnsi"/>
          <w:color w:val="000000" w:themeColor="text1"/>
          <w:shd w:val="clear" w:color="auto" w:fill="FFFFFF"/>
        </w:rPr>
        <w:t xml:space="preserve">, </w:t>
      </w:r>
      <w:r w:rsidR="003D437D">
        <w:rPr>
          <w:rFonts w:cstheme="minorHAnsi"/>
          <w:color w:val="000000" w:themeColor="text1"/>
          <w:shd w:val="clear" w:color="auto" w:fill="FFFFFF"/>
        </w:rPr>
        <w:t xml:space="preserve">equality in disease status and for relevant correlations </w:t>
      </w:r>
      <w:r w:rsidR="003D437D" w:rsidRPr="00374970">
        <w:rPr>
          <w:rFonts w:cstheme="minorHAnsi"/>
          <w:color w:val="000000" w:themeColor="text1"/>
          <w:shd w:val="clear" w:color="auto" w:fill="FFFFFF"/>
        </w:rPr>
        <w:t>(Rebekić et al., 2015</w:t>
      </w:r>
      <w:r w:rsidR="003D437D">
        <w:rPr>
          <w:rFonts w:cstheme="minorHAnsi"/>
          <w:color w:val="000000" w:themeColor="text1"/>
          <w:shd w:val="clear" w:color="auto" w:fill="FFFFFF"/>
        </w:rPr>
        <w:t xml:space="preserve">; </w:t>
      </w:r>
      <w:r w:rsidR="003D437D" w:rsidRPr="00374970">
        <w:rPr>
          <w:rFonts w:cstheme="minorHAnsi"/>
          <w:color w:val="000000" w:themeColor="text1"/>
          <w:shd w:val="clear" w:color="auto" w:fill="FFFFFF"/>
        </w:rPr>
        <w:t>Sheard, 2018).</w:t>
      </w:r>
      <w:r w:rsidR="003D437D">
        <w:rPr>
          <w:rFonts w:cstheme="minorHAnsi"/>
          <w:color w:val="000000" w:themeColor="text1"/>
          <w:shd w:val="clear" w:color="auto" w:fill="FFFFFF"/>
        </w:rPr>
        <w:t xml:space="preserve"> </w:t>
      </w:r>
      <w:r w:rsidRPr="00374970">
        <w:rPr>
          <w:rFonts w:cstheme="minorHAnsi"/>
          <w:color w:val="000000" w:themeColor="text1"/>
          <w:shd w:val="clear" w:color="auto" w:fill="FFFFFF"/>
        </w:rPr>
        <w:t>A survival analysis assessment was performed, to identify which baseline and 3 months information would predict progression and pseudo-progression at the 6- and 12-month time points.</w:t>
      </w:r>
      <w:r w:rsidR="00BD65F5">
        <w:rPr>
          <w:rFonts w:cstheme="minorHAnsi"/>
          <w:color w:val="000000" w:themeColor="text1"/>
          <w:shd w:val="clear" w:color="auto" w:fill="FFFFFF"/>
        </w:rPr>
        <w:t xml:space="preserve"> </w:t>
      </w:r>
      <w:r w:rsidR="00F334DC">
        <w:rPr>
          <w:rFonts w:cstheme="minorHAnsi"/>
          <w:color w:val="000000" w:themeColor="text1"/>
          <w:shd w:val="clear" w:color="auto" w:fill="FFFFFF"/>
        </w:rPr>
        <w:t>A</w:t>
      </w:r>
      <w:r w:rsidRPr="00374970">
        <w:rPr>
          <w:rFonts w:cstheme="minorHAnsi"/>
          <w:color w:val="000000" w:themeColor="text1"/>
          <w:shd w:val="clear" w:color="auto" w:fill="FFFFFF"/>
        </w:rPr>
        <w:t xml:space="preserve"> threshold</w:t>
      </w:r>
      <w:r w:rsidR="00F334DC">
        <w:rPr>
          <w:rFonts w:cstheme="minorHAnsi"/>
          <w:color w:val="000000" w:themeColor="text1"/>
          <w:shd w:val="clear" w:color="auto" w:fill="FFFFFF"/>
        </w:rPr>
        <w:t xml:space="preserve"> was established and</w:t>
      </w:r>
      <w:r w:rsidRPr="00374970">
        <w:rPr>
          <w:rFonts w:cstheme="minorHAnsi"/>
          <w:color w:val="000000" w:themeColor="text1"/>
          <w:shd w:val="clear" w:color="auto" w:fill="FFFFFF"/>
        </w:rPr>
        <w:t xml:space="preserve"> divided the patients into two groups, patients with high perfusion </w:t>
      </w:r>
      <w:r w:rsidR="00FE07ED" w:rsidRPr="00374970">
        <w:rPr>
          <w:rFonts w:cstheme="minorHAnsi"/>
          <w:color w:val="000000" w:themeColor="text1"/>
          <w:shd w:val="clear" w:color="auto" w:fill="FFFFFF"/>
        </w:rPr>
        <w:t>values and</w:t>
      </w:r>
      <w:r w:rsidRPr="00374970">
        <w:rPr>
          <w:rFonts w:cstheme="minorHAnsi"/>
          <w:color w:val="000000" w:themeColor="text1"/>
          <w:shd w:val="clear" w:color="auto" w:fill="FFFFFF"/>
        </w:rPr>
        <w:t xml:space="preserve"> patients with low perfusion values, where the median survival time could be established, and the cumulative progression based on the perfusion values could be graphed using the Kaplan-Meier survival analyses</w:t>
      </w:r>
      <w:r w:rsidR="00403DEC">
        <w:rPr>
          <w:rFonts w:cstheme="minorHAnsi"/>
          <w:color w:val="000000" w:themeColor="text1"/>
          <w:shd w:val="clear" w:color="auto" w:fill="FFFFFF"/>
        </w:rPr>
        <w:t xml:space="preserve"> </w:t>
      </w:r>
      <w:r w:rsidRPr="00374970">
        <w:rPr>
          <w:rFonts w:cstheme="minorHAnsi"/>
          <w:color w:val="000000" w:themeColor="text1"/>
          <w:shd w:val="clear" w:color="auto" w:fill="FFFFFF"/>
        </w:rPr>
        <w:t xml:space="preserve">(Etikan, 2018). </w:t>
      </w:r>
    </w:p>
    <w:p w14:paraId="6E3ACE8C" w14:textId="275B6384" w:rsidR="00A32FDD" w:rsidRDefault="00EA39D8" w:rsidP="00A32FDD">
      <w:pPr>
        <w:ind w:firstLine="340"/>
        <w:jc w:val="both"/>
        <w:rPr>
          <w:rFonts w:cstheme="minorHAnsi"/>
          <w:color w:val="000000" w:themeColor="text1"/>
          <w:shd w:val="clear" w:color="auto" w:fill="FFFFFF"/>
        </w:rPr>
      </w:pPr>
      <w:r w:rsidRPr="00374970">
        <w:rPr>
          <w:rFonts w:cstheme="minorHAnsi"/>
          <w:color w:val="000000" w:themeColor="text1"/>
          <w:shd w:val="clear" w:color="auto" w:fill="FFFFFF"/>
        </w:rPr>
        <w:t xml:space="preserve">Eight models were generated, as detailed in Table </w:t>
      </w:r>
      <w:r>
        <w:rPr>
          <w:rFonts w:cstheme="minorHAnsi"/>
          <w:color w:val="000000" w:themeColor="text1"/>
          <w:shd w:val="clear" w:color="auto" w:fill="FFFFFF"/>
        </w:rPr>
        <w:t>1</w:t>
      </w:r>
      <w:r w:rsidRPr="00374970">
        <w:rPr>
          <w:rFonts w:cstheme="minorHAnsi"/>
          <w:color w:val="000000" w:themeColor="text1"/>
          <w:shd w:val="clear" w:color="auto" w:fill="FFFFFF"/>
        </w:rPr>
        <w:t>. Models 1 to 4 only considered baseline DCE-MRI maps, whist models 5 to 8 included DCE-MRI maps at both baseline and 3-months. Models 1, 2, 5 and 6 differentiated stable/regression</w:t>
      </w:r>
      <w:r>
        <w:rPr>
          <w:rFonts w:cstheme="minorHAnsi"/>
          <w:color w:val="000000" w:themeColor="text1"/>
          <w:shd w:val="clear" w:color="auto" w:fill="FFFFFF"/>
        </w:rPr>
        <w:t xml:space="preserve"> disease</w:t>
      </w:r>
      <w:r w:rsidRPr="00374970">
        <w:rPr>
          <w:rFonts w:cstheme="minorHAnsi"/>
          <w:color w:val="000000" w:themeColor="text1"/>
          <w:shd w:val="clear" w:color="auto" w:fill="FFFFFF"/>
        </w:rPr>
        <w:t xml:space="preserve"> from pseudo-progression, whilst models 3, 4, 7 and 8 differentiated true progression from pseudo-progression. Models 1, 3, 5, and 7 assessed the survival at 6 months, whilst models 2, 4, 6, and 8 assessed the survival at 12 months. The DCE-MRI maps that were significant in the univariate Cox proportional hazard regression and were therefore included in the model, are detailed in Table </w:t>
      </w:r>
      <w:r>
        <w:rPr>
          <w:rFonts w:cstheme="minorHAnsi"/>
          <w:color w:val="000000" w:themeColor="text1"/>
          <w:shd w:val="clear" w:color="auto" w:fill="FFFFFF"/>
        </w:rPr>
        <w:t>1</w:t>
      </w:r>
      <w:r w:rsidRPr="00374970">
        <w:rPr>
          <w:rFonts w:cstheme="minorHAnsi"/>
          <w:color w:val="000000" w:themeColor="text1"/>
          <w:shd w:val="clear" w:color="auto" w:fill="FFFFFF"/>
        </w:rPr>
        <w:t>. For all models the time of progression was set at the earliest time point with the outcome of progression for models 1, 2, 5, 6 and with the outcome of true progression for the models 3, 4, 7, 8.</w:t>
      </w:r>
      <w:r w:rsidR="005413D8">
        <w:rPr>
          <w:rFonts w:cstheme="minorHAnsi"/>
          <w:color w:val="000000" w:themeColor="text1"/>
          <w:shd w:val="clear" w:color="auto" w:fill="FFFFFF"/>
        </w:rPr>
        <w:t xml:space="preserve"> </w:t>
      </w:r>
    </w:p>
    <w:p w14:paraId="78058A67" w14:textId="77777777" w:rsidR="00136F93" w:rsidRDefault="00136F93" w:rsidP="00A32FDD">
      <w:pPr>
        <w:ind w:firstLine="340"/>
        <w:jc w:val="both"/>
        <w:rPr>
          <w:rFonts w:cstheme="minorHAnsi"/>
          <w:color w:val="000000" w:themeColor="text1"/>
          <w:shd w:val="clear" w:color="auto" w:fill="FFFFFF"/>
        </w:rPr>
      </w:pPr>
    </w:p>
    <w:p w14:paraId="29FD2F4B" w14:textId="77777777" w:rsidR="00B131C6" w:rsidRPr="00374970" w:rsidRDefault="00B131C6" w:rsidP="00B131C6">
      <w:pPr>
        <w:rPr>
          <w:rFonts w:cstheme="minorHAnsi"/>
          <w:b/>
          <w:bCs/>
          <w:i/>
          <w:iCs/>
          <w:color w:val="000000" w:themeColor="text1"/>
          <w:sz w:val="28"/>
          <w:szCs w:val="28"/>
          <w:shd w:val="clear" w:color="auto" w:fill="FFFFFF"/>
        </w:rPr>
      </w:pPr>
      <w:r>
        <w:rPr>
          <w:rFonts w:cstheme="minorHAnsi"/>
          <w:b/>
          <w:bCs/>
          <w:color w:val="000000" w:themeColor="text1"/>
          <w:sz w:val="28"/>
          <w:szCs w:val="28"/>
          <w:shd w:val="clear" w:color="auto" w:fill="FFFFFF"/>
        </w:rPr>
        <w:t xml:space="preserve">3. </w:t>
      </w:r>
      <w:r w:rsidRPr="00374970">
        <w:rPr>
          <w:rFonts w:cstheme="minorHAnsi"/>
          <w:b/>
          <w:bCs/>
          <w:color w:val="000000" w:themeColor="text1"/>
          <w:sz w:val="28"/>
          <w:szCs w:val="28"/>
          <w:shd w:val="clear" w:color="auto" w:fill="FFFFFF"/>
        </w:rPr>
        <w:t>Results</w:t>
      </w:r>
    </w:p>
    <w:p w14:paraId="710C1A6C" w14:textId="77777777" w:rsidR="00B131C6" w:rsidRPr="00163827" w:rsidRDefault="00B131C6" w:rsidP="00B131C6">
      <w:pPr>
        <w:rPr>
          <w:b/>
          <w:bCs/>
          <w:shd w:val="clear" w:color="auto" w:fill="FFFFFF"/>
        </w:rPr>
      </w:pPr>
      <w:r w:rsidRPr="00163827">
        <w:rPr>
          <w:b/>
          <w:bCs/>
          <w:shd w:val="clear" w:color="auto" w:fill="FFFFFF"/>
        </w:rPr>
        <w:t>3.1 Patient characteristics</w:t>
      </w:r>
    </w:p>
    <w:p w14:paraId="3CF219BE" w14:textId="699EF098" w:rsidR="00374970" w:rsidRPr="00374970" w:rsidRDefault="00374970" w:rsidP="7222993A">
      <w:pPr>
        <w:jc w:val="both"/>
        <w:rPr>
          <w:i/>
          <w:iCs/>
          <w:color w:val="000000" w:themeColor="text1"/>
          <w:sz w:val="21"/>
          <w:szCs w:val="21"/>
          <w:shd w:val="clear" w:color="auto" w:fill="FFFFFF"/>
        </w:rPr>
      </w:pPr>
      <w:r w:rsidRPr="7222993A">
        <w:rPr>
          <w:color w:val="000000" w:themeColor="text1"/>
          <w:shd w:val="clear" w:color="auto" w:fill="FFFFFF"/>
        </w:rPr>
        <w:t xml:space="preserve">As demonstrated in table 1 </w:t>
      </w:r>
      <w:r w:rsidR="3404BF28" w:rsidRPr="7222993A">
        <w:t>48</w:t>
      </w:r>
      <w:r w:rsidRPr="7222993A">
        <w:t xml:space="preserve"> patients met the inclusion criteria and were analysed within the time constraints of the study. The mean </w:t>
      </w:r>
      <w:r w:rsidRPr="7222993A">
        <w:rPr>
          <w:color w:val="000000" w:themeColor="text1"/>
        </w:rPr>
        <w:t xml:space="preserve">age of the patients was 49.85 </w:t>
      </w:r>
      <w:r w:rsidRPr="7222993A">
        <w:rPr>
          <w:rFonts w:ascii="Symbol" w:eastAsia="Symbol" w:hAnsi="Symbol"/>
          <w:color w:val="000000" w:themeColor="text1"/>
        </w:rPr>
        <w:t></w:t>
      </w:r>
      <w:r w:rsidRPr="7222993A">
        <w:rPr>
          <w:color w:val="000000" w:themeColor="text1"/>
        </w:rPr>
        <w:t xml:space="preserve"> 12.81</w:t>
      </w:r>
      <w:r w:rsidR="50DEF3E9" w:rsidRPr="7222993A">
        <w:rPr>
          <w:color w:val="000000" w:themeColor="text1"/>
        </w:rPr>
        <w:t xml:space="preserve"> years</w:t>
      </w:r>
      <w:r w:rsidRPr="7222993A">
        <w:rPr>
          <w:color w:val="000000" w:themeColor="text1"/>
        </w:rPr>
        <w:t xml:space="preserve">, with a range of 24-76, with </w:t>
      </w:r>
      <w:r w:rsidR="33B1CBC7" w:rsidRPr="7222993A">
        <w:rPr>
          <w:color w:val="000000" w:themeColor="text1"/>
        </w:rPr>
        <w:t>58%</w:t>
      </w:r>
      <w:r w:rsidRPr="7222993A">
        <w:rPr>
          <w:color w:val="000000" w:themeColor="text1"/>
        </w:rPr>
        <w:t xml:space="preserve"> of patients being male and </w:t>
      </w:r>
      <w:r w:rsidR="02BBECEB" w:rsidRPr="7222993A">
        <w:rPr>
          <w:color w:val="000000" w:themeColor="text1"/>
        </w:rPr>
        <w:t>42%</w:t>
      </w:r>
      <w:r w:rsidRPr="7222993A">
        <w:rPr>
          <w:color w:val="000000" w:themeColor="text1"/>
        </w:rPr>
        <w:t xml:space="preserve"> being female. Seven of the </w:t>
      </w:r>
      <w:r w:rsidR="271C7287" w:rsidRPr="7222993A">
        <w:rPr>
          <w:color w:val="000000" w:themeColor="text1"/>
        </w:rPr>
        <w:t>48</w:t>
      </w:r>
      <w:r w:rsidRPr="7222993A">
        <w:rPr>
          <w:color w:val="000000" w:themeColor="text1"/>
        </w:rPr>
        <w:t xml:space="preserve"> patients presented with grade III tumours, one patient was ungradable, and the remaining patients presented with grade IV. </w:t>
      </w:r>
    </w:p>
    <w:p w14:paraId="2ED26D42" w14:textId="77777777" w:rsidR="00374970" w:rsidRPr="00374970" w:rsidRDefault="00374970" w:rsidP="00374970">
      <w:pPr>
        <w:rPr>
          <w:rFonts w:cstheme="minorHAnsi"/>
          <w:color w:val="000000" w:themeColor="text1"/>
          <w:shd w:val="clear" w:color="auto" w:fill="FFFFFF"/>
        </w:rPr>
      </w:pPr>
    </w:p>
    <w:p w14:paraId="42670A85" w14:textId="7F74E82F" w:rsidR="00374970" w:rsidRPr="00163827" w:rsidRDefault="00163827" w:rsidP="00374970">
      <w:pPr>
        <w:rPr>
          <w:rFonts w:eastAsiaTheme="majorEastAsia" w:cstheme="minorHAnsi"/>
          <w:b/>
          <w:bCs/>
          <w:color w:val="000000" w:themeColor="text1"/>
          <w:sz w:val="26"/>
          <w:szCs w:val="26"/>
          <w:shd w:val="clear" w:color="auto" w:fill="FFFFFF"/>
        </w:rPr>
      </w:pPr>
      <w:bookmarkStart w:id="9" w:name="_Toc82961597"/>
      <w:r w:rsidRPr="00163827">
        <w:rPr>
          <w:rFonts w:cstheme="minorHAnsi"/>
          <w:b/>
          <w:bCs/>
          <w:color w:val="000000" w:themeColor="text1"/>
          <w:shd w:val="clear" w:color="auto" w:fill="FFFFFF"/>
        </w:rPr>
        <w:t xml:space="preserve">3.2 </w:t>
      </w:r>
      <w:r w:rsidR="00374970" w:rsidRPr="00163827">
        <w:rPr>
          <w:rFonts w:cstheme="minorHAnsi"/>
          <w:b/>
          <w:bCs/>
          <w:color w:val="000000" w:themeColor="text1"/>
          <w:shd w:val="clear" w:color="auto" w:fill="FFFFFF"/>
        </w:rPr>
        <w:t>Pseudo-progression vs Progression</w:t>
      </w:r>
      <w:bookmarkEnd w:id="9"/>
    </w:p>
    <w:p w14:paraId="060B7985" w14:textId="3281CCAD" w:rsidR="00374970" w:rsidRPr="00374970" w:rsidRDefault="00374970" w:rsidP="7222993A">
      <w:pPr>
        <w:jc w:val="both"/>
        <w:rPr>
          <w:color w:val="000000" w:themeColor="text1"/>
          <w:shd w:val="clear" w:color="auto" w:fill="FFFFFF"/>
        </w:rPr>
      </w:pPr>
      <w:r w:rsidRPr="7222993A">
        <w:rPr>
          <w:color w:val="000000" w:themeColor="text1"/>
          <w:shd w:val="clear" w:color="auto" w:fill="FFFFFF"/>
        </w:rPr>
        <w:t xml:space="preserve">This study aside from differentiating between progression and stable disease also distinguished true progression from pseudo-progression. At the 6-month follow up there were </w:t>
      </w:r>
      <w:r w:rsidR="788C089B" w:rsidRPr="7222993A">
        <w:rPr>
          <w:color w:val="000000" w:themeColor="text1"/>
          <w:shd w:val="clear" w:color="auto" w:fill="FFFFFF"/>
        </w:rPr>
        <w:t>15</w:t>
      </w:r>
      <w:r w:rsidRPr="7222993A">
        <w:rPr>
          <w:color w:val="000000" w:themeColor="text1"/>
          <w:shd w:val="clear" w:color="auto" w:fill="FFFFFF"/>
        </w:rPr>
        <w:t xml:space="preserve"> patients with enhancing lesions on their follow-up scans. 47% of those cases were determined to be pseudo-progressive. Furthermore, at the 12-month follow-up out of the </w:t>
      </w:r>
      <w:r w:rsidR="007E7093" w:rsidRPr="7222993A">
        <w:rPr>
          <w:color w:val="000000" w:themeColor="text1"/>
          <w:shd w:val="clear" w:color="auto" w:fill="FFFFFF"/>
        </w:rPr>
        <w:t>13</w:t>
      </w:r>
      <w:r w:rsidRPr="7222993A">
        <w:rPr>
          <w:color w:val="000000" w:themeColor="text1"/>
          <w:shd w:val="clear" w:color="auto" w:fill="FFFFFF"/>
        </w:rPr>
        <w:t xml:space="preserve"> patients remaining 46% of the progressive cases were deemed to be pseudo-progression. </w:t>
      </w:r>
    </w:p>
    <w:p w14:paraId="364DBD80" w14:textId="725A79EB" w:rsidR="00374970" w:rsidRDefault="00374970" w:rsidP="00374970">
      <w:pPr>
        <w:jc w:val="both"/>
        <w:rPr>
          <w:rFonts w:cstheme="minorHAnsi"/>
          <w:color w:val="000000" w:themeColor="text1"/>
          <w:shd w:val="clear" w:color="auto" w:fill="FFFFFF"/>
        </w:rPr>
      </w:pPr>
    </w:p>
    <w:p w14:paraId="7F6E124D" w14:textId="048D341D" w:rsidR="000035C8" w:rsidRPr="00163827" w:rsidRDefault="00163827" w:rsidP="000035C8">
      <w:pPr>
        <w:pStyle w:val="Heading2"/>
        <w:rPr>
          <w:rFonts w:asciiTheme="minorHAnsi" w:hAnsiTheme="minorHAnsi" w:cstheme="minorHAnsi"/>
          <w:b/>
          <w:bCs/>
          <w:color w:val="000000" w:themeColor="text1"/>
          <w:sz w:val="24"/>
          <w:szCs w:val="24"/>
          <w:shd w:val="clear" w:color="auto" w:fill="FFFFFF"/>
        </w:rPr>
      </w:pPr>
      <w:bookmarkStart w:id="10" w:name="_Toc82961598"/>
      <w:r w:rsidRPr="00163827">
        <w:rPr>
          <w:rFonts w:asciiTheme="minorHAnsi" w:hAnsiTheme="minorHAnsi" w:cstheme="minorHAnsi"/>
          <w:b/>
          <w:bCs/>
          <w:color w:val="000000" w:themeColor="text1"/>
          <w:sz w:val="24"/>
          <w:szCs w:val="24"/>
          <w:shd w:val="clear" w:color="auto" w:fill="FFFFFF"/>
        </w:rPr>
        <w:t xml:space="preserve">3.3 </w:t>
      </w:r>
      <w:r w:rsidR="000035C8" w:rsidRPr="00163827">
        <w:rPr>
          <w:rFonts w:asciiTheme="minorHAnsi" w:hAnsiTheme="minorHAnsi" w:cstheme="minorHAnsi"/>
          <w:b/>
          <w:bCs/>
          <w:color w:val="000000" w:themeColor="text1"/>
          <w:sz w:val="24"/>
          <w:szCs w:val="24"/>
          <w:shd w:val="clear" w:color="auto" w:fill="FFFFFF"/>
        </w:rPr>
        <w:t>Significance of perfusion maps</w:t>
      </w:r>
      <w:bookmarkEnd w:id="10"/>
    </w:p>
    <w:p w14:paraId="3CC10CC2" w14:textId="57D7B009" w:rsidR="000035C8" w:rsidRPr="000035C8" w:rsidRDefault="000035C8" w:rsidP="00163827">
      <w:pPr>
        <w:jc w:val="both"/>
        <w:rPr>
          <w:rFonts w:cstheme="minorHAnsi"/>
          <w:color w:val="000000" w:themeColor="text1"/>
          <w:shd w:val="clear" w:color="auto" w:fill="FFFFFF"/>
        </w:rPr>
      </w:pPr>
      <w:r w:rsidRPr="000035C8">
        <w:rPr>
          <w:rFonts w:cstheme="minorHAnsi"/>
          <w:color w:val="000000" w:themeColor="text1"/>
          <w:shd w:val="clear" w:color="auto" w:fill="FFFFFF"/>
        </w:rPr>
        <w:t xml:space="preserve">The two-sample Wilcoxon rank-sum (Mann-Witney) test, for not normally distributed data, was insignificant, which signifies that the individual maps cannot distinguish between progression and stable disease or true progression and pseudo-progression. The correlations between BF and AUC, Ktrans and BF, Ktrans and AUC, Ve and BF, Ve and AUC, Ve and Ktrans, in addition to Ve and Kep are significant (P &lt; 0.005), however the relationships between the remaining maps were not significantly correlated.  </w:t>
      </w:r>
    </w:p>
    <w:p w14:paraId="396D4159" w14:textId="163A1273" w:rsidR="000035C8" w:rsidRDefault="000035C8" w:rsidP="00374970">
      <w:pPr>
        <w:jc w:val="both"/>
        <w:rPr>
          <w:rFonts w:cstheme="minorHAnsi"/>
          <w:color w:val="000000" w:themeColor="text1"/>
          <w:shd w:val="clear" w:color="auto" w:fill="FFFFFF"/>
        </w:rPr>
      </w:pPr>
    </w:p>
    <w:p w14:paraId="4CE27655" w14:textId="5099D56D" w:rsidR="000035C8" w:rsidRPr="00163827" w:rsidRDefault="00163827" w:rsidP="00C17F66">
      <w:pPr>
        <w:rPr>
          <w:b/>
          <w:bCs/>
          <w:shd w:val="clear" w:color="auto" w:fill="FFFFFF"/>
        </w:rPr>
      </w:pPr>
      <w:bookmarkStart w:id="11" w:name="_Toc82961599"/>
      <w:r w:rsidRPr="00163827">
        <w:rPr>
          <w:b/>
          <w:bCs/>
          <w:shd w:val="clear" w:color="auto" w:fill="FFFFFF"/>
        </w:rPr>
        <w:t xml:space="preserve">3.4 </w:t>
      </w:r>
      <w:r w:rsidR="00AB3B10" w:rsidRPr="00163827">
        <w:rPr>
          <w:b/>
          <w:bCs/>
          <w:shd w:val="clear" w:color="auto" w:fill="FFFFFF"/>
        </w:rPr>
        <w:t>Survival analysis models</w:t>
      </w:r>
      <w:bookmarkEnd w:id="11"/>
    </w:p>
    <w:p w14:paraId="7ED81D6A" w14:textId="2F0B09EF" w:rsidR="006E53A4" w:rsidRDefault="00AB3B10" w:rsidP="00AA2CC9">
      <w:pPr>
        <w:jc w:val="both"/>
        <w:rPr>
          <w:color w:val="000000" w:themeColor="text1"/>
          <w:shd w:val="clear" w:color="auto" w:fill="FFFFFF"/>
        </w:rPr>
      </w:pPr>
      <w:r>
        <w:rPr>
          <w:color w:val="000000" w:themeColor="text1"/>
          <w:shd w:val="clear" w:color="auto" w:fill="FFFFFF"/>
        </w:rPr>
        <w:t xml:space="preserve">The </w:t>
      </w:r>
      <w:r w:rsidRPr="00136929">
        <w:rPr>
          <w:color w:val="000000" w:themeColor="text1"/>
          <w:shd w:val="clear" w:color="auto" w:fill="FFFFFF"/>
        </w:rPr>
        <w:t>Wilcoxon–Breslow–Gehan test</w:t>
      </w:r>
      <w:r>
        <w:rPr>
          <w:color w:val="000000" w:themeColor="text1"/>
          <w:shd w:val="clear" w:color="auto" w:fill="FFFFFF"/>
        </w:rPr>
        <w:t xml:space="preserve"> conveyed that the probability for </w:t>
      </w:r>
      <w:r w:rsidR="00882FB0">
        <w:rPr>
          <w:color w:val="000000" w:themeColor="text1"/>
          <w:shd w:val="clear" w:color="auto" w:fill="FFFFFF"/>
        </w:rPr>
        <w:t xml:space="preserve">all </w:t>
      </w:r>
      <w:r>
        <w:rPr>
          <w:color w:val="000000" w:themeColor="text1"/>
          <w:shd w:val="clear" w:color="auto" w:fill="FFFFFF"/>
        </w:rPr>
        <w:t>model</w:t>
      </w:r>
      <w:r w:rsidR="00882FB0">
        <w:rPr>
          <w:color w:val="000000" w:themeColor="text1"/>
          <w:shd w:val="clear" w:color="auto" w:fill="FFFFFF"/>
        </w:rPr>
        <w:t>s were statistically significant</w:t>
      </w:r>
      <w:r w:rsidR="004B5883">
        <w:rPr>
          <w:color w:val="000000" w:themeColor="text1"/>
          <w:shd w:val="clear" w:color="auto" w:fill="FFFFFF"/>
        </w:rPr>
        <w:t xml:space="preserve"> </w:t>
      </w:r>
      <w:r w:rsidR="00E96071">
        <w:rPr>
          <w:color w:val="000000" w:themeColor="text1"/>
          <w:shd w:val="clear" w:color="auto" w:fill="FFFFFF"/>
        </w:rPr>
        <w:t>(</w:t>
      </w:r>
      <w:r w:rsidR="004B5883" w:rsidRPr="00217D9A">
        <w:rPr>
          <w:color w:val="000000" w:themeColor="text1"/>
          <w:shd w:val="clear" w:color="auto" w:fill="FFFFFF"/>
        </w:rPr>
        <w:t xml:space="preserve">table </w:t>
      </w:r>
      <w:r w:rsidR="00E663CD">
        <w:rPr>
          <w:color w:val="000000" w:themeColor="text1"/>
          <w:shd w:val="clear" w:color="auto" w:fill="FFFFFF"/>
        </w:rPr>
        <w:t>1</w:t>
      </w:r>
      <w:r w:rsidR="00E96071">
        <w:rPr>
          <w:color w:val="000000" w:themeColor="text1"/>
          <w:shd w:val="clear" w:color="auto" w:fill="FFFFFF"/>
        </w:rPr>
        <w:t>)</w:t>
      </w:r>
      <w:r w:rsidR="004B5883">
        <w:rPr>
          <w:color w:val="000000" w:themeColor="text1"/>
          <w:shd w:val="clear" w:color="auto" w:fill="FFFFFF"/>
        </w:rPr>
        <w:t xml:space="preserve">. </w:t>
      </w:r>
      <w:r w:rsidR="00E96071">
        <w:rPr>
          <w:color w:val="000000" w:themeColor="text1"/>
          <w:shd w:val="clear" w:color="auto" w:fill="FFFFFF"/>
        </w:rPr>
        <w:t xml:space="preserve">The Kaplan-Meier survival curve for each </w:t>
      </w:r>
      <w:r w:rsidR="0083034C">
        <w:rPr>
          <w:color w:val="000000" w:themeColor="text1"/>
          <w:shd w:val="clear" w:color="auto" w:fill="FFFFFF"/>
        </w:rPr>
        <w:t>model</w:t>
      </w:r>
      <w:r w:rsidR="00E96071">
        <w:rPr>
          <w:color w:val="000000" w:themeColor="text1"/>
          <w:shd w:val="clear" w:color="auto" w:fill="FFFFFF"/>
        </w:rPr>
        <w:t xml:space="preserve"> can be </w:t>
      </w:r>
      <w:r w:rsidR="00E96071">
        <w:rPr>
          <w:color w:val="000000" w:themeColor="text1"/>
          <w:shd w:val="clear" w:color="auto" w:fill="FFFFFF"/>
        </w:rPr>
        <w:lastRenderedPageBreak/>
        <w:t xml:space="preserve">visualised in figures </w:t>
      </w:r>
      <w:r w:rsidR="00A8630C">
        <w:rPr>
          <w:color w:val="000000" w:themeColor="text1"/>
          <w:shd w:val="clear" w:color="auto" w:fill="FFFFFF"/>
        </w:rPr>
        <w:t>1</w:t>
      </w:r>
      <w:r w:rsidR="00E96071">
        <w:rPr>
          <w:color w:val="000000" w:themeColor="text1"/>
          <w:shd w:val="clear" w:color="auto" w:fill="FFFFFF"/>
        </w:rPr>
        <w:t xml:space="preserve"> to </w:t>
      </w:r>
      <w:r w:rsidR="00A8630C">
        <w:rPr>
          <w:color w:val="000000" w:themeColor="text1"/>
          <w:shd w:val="clear" w:color="auto" w:fill="FFFFFF"/>
        </w:rPr>
        <w:t>8</w:t>
      </w:r>
      <w:r w:rsidR="007F7072">
        <w:rPr>
          <w:color w:val="000000" w:themeColor="text1"/>
          <w:shd w:val="clear" w:color="auto" w:fill="FFFFFF"/>
        </w:rPr>
        <w:t xml:space="preserve">. </w:t>
      </w:r>
      <w:r w:rsidR="009B6001">
        <w:rPr>
          <w:color w:val="000000" w:themeColor="text1"/>
          <w:shd w:val="clear" w:color="auto" w:fill="FFFFFF"/>
        </w:rPr>
        <w:t>M</w:t>
      </w:r>
      <w:r w:rsidR="007F7072">
        <w:rPr>
          <w:color w:val="000000" w:themeColor="text1"/>
          <w:shd w:val="clear" w:color="auto" w:fill="FFFFFF"/>
        </w:rPr>
        <w:t>odels 1, 2, 5, and 6 evaluated the difference between stable or regressing disease and progression, while models 3, 4, 7, and 8 differentiated between true progression and pseudo-progression. The sensitivity and spe</w:t>
      </w:r>
      <w:r w:rsidR="006E53A4">
        <w:rPr>
          <w:color w:val="000000" w:themeColor="text1"/>
          <w:shd w:val="clear" w:color="auto" w:fill="FFFFFF"/>
        </w:rPr>
        <w:t>cificity can be appreciated in T</w:t>
      </w:r>
      <w:r w:rsidR="007F7072">
        <w:rPr>
          <w:color w:val="000000" w:themeColor="text1"/>
          <w:shd w:val="clear" w:color="auto" w:fill="FFFFFF"/>
        </w:rPr>
        <w:t xml:space="preserve">able </w:t>
      </w:r>
      <w:r w:rsidR="002162B5">
        <w:rPr>
          <w:color w:val="000000" w:themeColor="text1"/>
          <w:shd w:val="clear" w:color="auto" w:fill="FFFFFF"/>
        </w:rPr>
        <w:t>1</w:t>
      </w:r>
      <w:r w:rsidR="007F7072">
        <w:rPr>
          <w:color w:val="000000" w:themeColor="text1"/>
          <w:shd w:val="clear" w:color="auto" w:fill="FFFFFF"/>
        </w:rPr>
        <w:t>.</w:t>
      </w:r>
    </w:p>
    <w:tbl>
      <w:tblPr>
        <w:tblStyle w:val="TableGrid"/>
        <w:tblW w:w="0" w:type="auto"/>
        <w:tblLook w:val="04A0" w:firstRow="1" w:lastRow="0" w:firstColumn="1" w:lastColumn="0" w:noHBand="0" w:noVBand="1"/>
      </w:tblPr>
      <w:tblGrid>
        <w:gridCol w:w="4508"/>
        <w:gridCol w:w="4508"/>
      </w:tblGrid>
      <w:tr w:rsidR="006E53A4" w14:paraId="10ACAFB9" w14:textId="77777777" w:rsidTr="006E53A4">
        <w:tc>
          <w:tcPr>
            <w:tcW w:w="4508" w:type="dxa"/>
          </w:tcPr>
          <w:p w14:paraId="5396D20B" w14:textId="7CF3BCDE" w:rsidR="006E53A4" w:rsidRPr="000E085B" w:rsidRDefault="006E53A4" w:rsidP="00AA2CC9">
            <w:pPr>
              <w:jc w:val="both"/>
              <w:rPr>
                <w:color w:val="000000" w:themeColor="text1"/>
                <w:sz w:val="22"/>
                <w:szCs w:val="22"/>
                <w:shd w:val="clear" w:color="auto" w:fill="FFFFFF"/>
              </w:rPr>
            </w:pPr>
            <w:r w:rsidRPr="00F7284B">
              <w:rPr>
                <w:iCs/>
                <w:color w:val="000000" w:themeColor="text1"/>
                <w:sz w:val="22"/>
                <w:szCs w:val="22"/>
                <w:shd w:val="clear" w:color="auto" w:fill="FFFFFF"/>
              </w:rPr>
              <w:t xml:space="preserve">Model 1 </w:t>
            </w:r>
          </w:p>
          <w:p w14:paraId="107DEC91" w14:textId="0689CCEF" w:rsidR="006E53A4" w:rsidRPr="000E085B" w:rsidRDefault="006E53A4">
            <w:pPr>
              <w:jc w:val="both"/>
              <w:rPr>
                <w:color w:val="000000" w:themeColor="text1"/>
                <w:sz w:val="22"/>
                <w:szCs w:val="22"/>
                <w:shd w:val="clear" w:color="auto" w:fill="FFFFFF"/>
              </w:rPr>
            </w:pPr>
            <w:r w:rsidRPr="006F126A">
              <w:rPr>
                <w:noProof/>
                <w:color w:val="000000" w:themeColor="text1"/>
                <w:sz w:val="22"/>
                <w:szCs w:val="22"/>
                <w:shd w:val="clear" w:color="auto" w:fill="FFFFFF"/>
                <w:lang w:val="el-GR" w:eastAsia="el-GR"/>
              </w:rPr>
              <w:drawing>
                <wp:inline distT="0" distB="0" distL="0" distR="0" wp14:anchorId="6F87AF48" wp14:editId="435C61C8">
                  <wp:extent cx="2605428" cy="1893600"/>
                  <wp:effectExtent l="0" t="0" r="0" b="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5428" cy="1893600"/>
                          </a:xfrm>
                          <a:prstGeom prst="rect">
                            <a:avLst/>
                          </a:prstGeom>
                        </pic:spPr>
                      </pic:pic>
                    </a:graphicData>
                  </a:graphic>
                </wp:inline>
              </w:drawing>
            </w:r>
          </w:p>
        </w:tc>
        <w:tc>
          <w:tcPr>
            <w:tcW w:w="4508" w:type="dxa"/>
          </w:tcPr>
          <w:p w14:paraId="706639EB" w14:textId="7DEA8A7D" w:rsidR="006E53A4" w:rsidRPr="000E085B" w:rsidRDefault="006E53A4" w:rsidP="00AA2CC9">
            <w:pPr>
              <w:jc w:val="both"/>
              <w:rPr>
                <w:color w:val="000000" w:themeColor="text1"/>
                <w:sz w:val="22"/>
                <w:szCs w:val="22"/>
                <w:shd w:val="clear" w:color="auto" w:fill="FFFFFF"/>
              </w:rPr>
            </w:pPr>
            <w:r w:rsidRPr="000E085B">
              <w:rPr>
                <w:color w:val="000000" w:themeColor="text1"/>
                <w:sz w:val="22"/>
                <w:szCs w:val="22"/>
                <w:shd w:val="clear" w:color="auto" w:fill="FFFFFF"/>
              </w:rPr>
              <w:t xml:space="preserve">Model 5 </w:t>
            </w:r>
          </w:p>
          <w:p w14:paraId="49E927E7" w14:textId="3B469CEC" w:rsidR="006E53A4" w:rsidRPr="000E085B" w:rsidRDefault="006E53A4">
            <w:pPr>
              <w:jc w:val="both"/>
              <w:rPr>
                <w:color w:val="000000" w:themeColor="text1"/>
                <w:sz w:val="22"/>
                <w:szCs w:val="22"/>
                <w:shd w:val="clear" w:color="auto" w:fill="FFFFFF"/>
              </w:rPr>
            </w:pPr>
            <w:r w:rsidRPr="006F126A">
              <w:rPr>
                <w:noProof/>
                <w:color w:val="000000" w:themeColor="text1"/>
                <w:sz w:val="22"/>
                <w:szCs w:val="22"/>
                <w:shd w:val="clear" w:color="auto" w:fill="FFFFFF"/>
                <w:lang w:val="el-GR" w:eastAsia="el-GR"/>
              </w:rPr>
              <w:drawing>
                <wp:inline distT="0" distB="0" distL="0" distR="0" wp14:anchorId="1EFEE2E7" wp14:editId="3353713D">
                  <wp:extent cx="2617961" cy="1901228"/>
                  <wp:effectExtent l="0" t="0" r="0" b="381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1407" cy="1940042"/>
                          </a:xfrm>
                          <a:prstGeom prst="rect">
                            <a:avLst/>
                          </a:prstGeom>
                        </pic:spPr>
                      </pic:pic>
                    </a:graphicData>
                  </a:graphic>
                </wp:inline>
              </w:drawing>
            </w:r>
          </w:p>
        </w:tc>
      </w:tr>
      <w:tr w:rsidR="006E53A4" w14:paraId="012C2C79" w14:textId="77777777" w:rsidTr="006E53A4">
        <w:tc>
          <w:tcPr>
            <w:tcW w:w="4508" w:type="dxa"/>
          </w:tcPr>
          <w:p w14:paraId="5213B9DB" w14:textId="59CDDA54" w:rsidR="006E53A4" w:rsidRPr="000E085B" w:rsidRDefault="006E53A4" w:rsidP="00AA2CC9">
            <w:pPr>
              <w:jc w:val="both"/>
              <w:rPr>
                <w:color w:val="000000" w:themeColor="text1"/>
                <w:sz w:val="22"/>
                <w:szCs w:val="22"/>
                <w:shd w:val="clear" w:color="auto" w:fill="FFFFFF"/>
              </w:rPr>
            </w:pPr>
            <w:r w:rsidRPr="000E085B">
              <w:rPr>
                <w:color w:val="000000" w:themeColor="text1"/>
                <w:sz w:val="22"/>
                <w:szCs w:val="22"/>
                <w:shd w:val="clear" w:color="auto" w:fill="FFFFFF"/>
              </w:rPr>
              <w:t>Model 2</w:t>
            </w:r>
          </w:p>
          <w:p w14:paraId="4BDE07C6" w14:textId="493DA534" w:rsidR="006E53A4" w:rsidRPr="000E085B" w:rsidRDefault="006E53A4" w:rsidP="00AA2CC9">
            <w:pPr>
              <w:jc w:val="both"/>
              <w:rPr>
                <w:color w:val="000000" w:themeColor="text1"/>
                <w:sz w:val="22"/>
                <w:szCs w:val="22"/>
                <w:shd w:val="clear" w:color="auto" w:fill="FFFFFF"/>
              </w:rPr>
            </w:pPr>
            <w:r w:rsidRPr="006F126A">
              <w:rPr>
                <w:noProof/>
                <w:color w:val="000000" w:themeColor="text1"/>
                <w:sz w:val="22"/>
                <w:szCs w:val="22"/>
                <w:shd w:val="clear" w:color="auto" w:fill="FFFFFF"/>
                <w:lang w:val="el-GR" w:eastAsia="el-GR"/>
              </w:rPr>
              <w:drawing>
                <wp:inline distT="0" distB="0" distL="0" distR="0" wp14:anchorId="5CF789D1" wp14:editId="1F6EED2C">
                  <wp:extent cx="2593026" cy="1883120"/>
                  <wp:effectExtent l="0" t="0" r="0" b="0"/>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7204" cy="1929728"/>
                          </a:xfrm>
                          <a:prstGeom prst="rect">
                            <a:avLst/>
                          </a:prstGeom>
                        </pic:spPr>
                      </pic:pic>
                    </a:graphicData>
                  </a:graphic>
                </wp:inline>
              </w:drawing>
            </w:r>
          </w:p>
        </w:tc>
        <w:tc>
          <w:tcPr>
            <w:tcW w:w="4508" w:type="dxa"/>
          </w:tcPr>
          <w:p w14:paraId="2350EB21" w14:textId="77777777" w:rsidR="006E53A4" w:rsidRPr="000E085B" w:rsidRDefault="006E53A4" w:rsidP="00AA2CC9">
            <w:pPr>
              <w:jc w:val="both"/>
              <w:rPr>
                <w:color w:val="000000" w:themeColor="text1"/>
                <w:sz w:val="22"/>
                <w:szCs w:val="22"/>
                <w:shd w:val="clear" w:color="auto" w:fill="FFFFFF"/>
              </w:rPr>
            </w:pPr>
            <w:r w:rsidRPr="000E085B">
              <w:rPr>
                <w:color w:val="000000" w:themeColor="text1"/>
                <w:sz w:val="22"/>
                <w:szCs w:val="22"/>
                <w:shd w:val="clear" w:color="auto" w:fill="FFFFFF"/>
              </w:rPr>
              <w:t>Model 6</w:t>
            </w:r>
          </w:p>
          <w:p w14:paraId="1FDD2048" w14:textId="72592056" w:rsidR="006E53A4" w:rsidRPr="000E085B" w:rsidRDefault="006E53A4" w:rsidP="00AA2CC9">
            <w:pPr>
              <w:jc w:val="both"/>
              <w:rPr>
                <w:color w:val="000000" w:themeColor="text1"/>
                <w:sz w:val="22"/>
                <w:szCs w:val="22"/>
                <w:shd w:val="clear" w:color="auto" w:fill="FFFFFF"/>
              </w:rPr>
            </w:pPr>
            <w:r w:rsidRPr="00B131C6">
              <w:rPr>
                <w:noProof/>
                <w:color w:val="000000" w:themeColor="text1"/>
                <w:sz w:val="22"/>
                <w:szCs w:val="22"/>
                <w:shd w:val="clear" w:color="auto" w:fill="FFFFFF"/>
                <w:lang w:val="el-GR" w:eastAsia="el-GR"/>
              </w:rPr>
              <w:t xml:space="preserve"> </w:t>
            </w:r>
            <w:r w:rsidRPr="006F126A">
              <w:rPr>
                <w:noProof/>
                <w:color w:val="000000" w:themeColor="text1"/>
                <w:sz w:val="22"/>
                <w:szCs w:val="22"/>
                <w:shd w:val="clear" w:color="auto" w:fill="FFFFFF"/>
                <w:lang w:val="el-GR" w:eastAsia="el-GR"/>
              </w:rPr>
              <w:drawing>
                <wp:inline distT="0" distB="0" distL="0" distR="0" wp14:anchorId="6ED03E19" wp14:editId="45EB26B7">
                  <wp:extent cx="2541182" cy="1846907"/>
                  <wp:effectExtent l="0" t="0" r="0" b="0"/>
                  <wp:docPr id="11" name="Picture 1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ox and whiske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0875" cy="1890291"/>
                          </a:xfrm>
                          <a:prstGeom prst="rect">
                            <a:avLst/>
                          </a:prstGeom>
                        </pic:spPr>
                      </pic:pic>
                    </a:graphicData>
                  </a:graphic>
                </wp:inline>
              </w:drawing>
            </w:r>
          </w:p>
        </w:tc>
      </w:tr>
    </w:tbl>
    <w:p w14:paraId="57C58623" w14:textId="4FC7EF45" w:rsidR="00B131C6" w:rsidRPr="00536C2E" w:rsidRDefault="00B131C6" w:rsidP="00B131C6">
      <w:pPr>
        <w:rPr>
          <w:iCs/>
          <w:color w:val="000000" w:themeColor="text1"/>
          <w:sz w:val="22"/>
          <w:szCs w:val="22"/>
          <w:shd w:val="clear" w:color="auto" w:fill="FFFFFF"/>
        </w:rPr>
      </w:pPr>
      <w:r w:rsidRPr="00B131C6">
        <w:rPr>
          <w:sz w:val="22"/>
          <w:szCs w:val="22"/>
        </w:rPr>
        <w:t>Figure 1</w:t>
      </w:r>
      <w:r w:rsidRPr="00536C2E">
        <w:rPr>
          <w:iCs/>
          <w:color w:val="000000" w:themeColor="text1"/>
          <w:sz w:val="22"/>
          <w:szCs w:val="22"/>
          <w:shd w:val="clear" w:color="auto" w:fill="FFFFFF"/>
        </w:rPr>
        <w:t xml:space="preserve">: </w:t>
      </w:r>
      <w:r w:rsidRPr="00B131C6">
        <w:rPr>
          <w:sz w:val="22"/>
          <w:szCs w:val="22"/>
          <w:shd w:val="clear" w:color="auto" w:fill="FFFFFF"/>
          <w:lang w:val="fr-FR"/>
        </w:rPr>
        <w:t xml:space="preserve">Kaplan-Meier survival estimates </w:t>
      </w:r>
      <w:r w:rsidRPr="00536C2E">
        <w:rPr>
          <w:iCs/>
          <w:color w:val="000000" w:themeColor="text1"/>
          <w:sz w:val="22"/>
          <w:szCs w:val="22"/>
          <w:shd w:val="clear" w:color="auto" w:fill="FFFFFF"/>
        </w:rPr>
        <w:t xml:space="preserve">0=progression, 1=stable disease or regression. The analyses time is in months. The blue line indicates the group of patients with high perfusion values and the red line indicates the group of patients with low perfusion values. </w:t>
      </w:r>
    </w:p>
    <w:tbl>
      <w:tblPr>
        <w:tblStyle w:val="TableGrid"/>
        <w:tblpPr w:leftFromText="180" w:rightFromText="180" w:vertAnchor="text" w:horzAnchor="margin" w:tblpY="111"/>
        <w:tblW w:w="0" w:type="auto"/>
        <w:tblLook w:val="04A0" w:firstRow="1" w:lastRow="0" w:firstColumn="1" w:lastColumn="0" w:noHBand="0" w:noVBand="1"/>
      </w:tblPr>
      <w:tblGrid>
        <w:gridCol w:w="4508"/>
        <w:gridCol w:w="4508"/>
      </w:tblGrid>
      <w:tr w:rsidR="00990EB7" w14:paraId="74066611" w14:textId="77777777" w:rsidTr="00FC3C14">
        <w:tc>
          <w:tcPr>
            <w:tcW w:w="4508" w:type="dxa"/>
          </w:tcPr>
          <w:p w14:paraId="5E03E7CD" w14:textId="77777777" w:rsidR="00990EB7" w:rsidRPr="00467ECF" w:rsidRDefault="00990EB7" w:rsidP="00FC3C14">
            <w:pPr>
              <w:jc w:val="both"/>
              <w:rPr>
                <w:color w:val="000000" w:themeColor="text1"/>
                <w:sz w:val="22"/>
                <w:szCs w:val="22"/>
                <w:shd w:val="clear" w:color="auto" w:fill="FFFFFF"/>
              </w:rPr>
            </w:pPr>
            <w:r w:rsidRPr="00467ECF">
              <w:rPr>
                <w:color w:val="000000" w:themeColor="text1"/>
                <w:sz w:val="22"/>
                <w:szCs w:val="22"/>
                <w:shd w:val="clear" w:color="auto" w:fill="FFFFFF"/>
              </w:rPr>
              <w:t>Model 3</w:t>
            </w:r>
          </w:p>
          <w:p w14:paraId="56E0803C" w14:textId="77777777" w:rsidR="00990EB7" w:rsidRDefault="00990EB7" w:rsidP="00FC3C14">
            <w:pPr>
              <w:jc w:val="both"/>
              <w:rPr>
                <w:color w:val="000000" w:themeColor="text1"/>
                <w:shd w:val="clear" w:color="auto" w:fill="FFFFFF"/>
              </w:rPr>
            </w:pPr>
            <w:r w:rsidRPr="00536C2E">
              <w:rPr>
                <w:noProof/>
                <w:color w:val="000000" w:themeColor="text1"/>
                <w:sz w:val="22"/>
                <w:szCs w:val="22"/>
                <w:shd w:val="clear" w:color="auto" w:fill="FFFFFF"/>
                <w:lang w:val="el-GR" w:eastAsia="el-GR"/>
              </w:rPr>
              <w:drawing>
                <wp:inline distT="0" distB="0" distL="0" distR="0" wp14:anchorId="1650DA05" wp14:editId="36C8B5C7">
                  <wp:extent cx="2543162" cy="1846907"/>
                  <wp:effectExtent l="0" t="0" r="0" b="0"/>
                  <wp:docPr id="21" name="Picture 2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2211" cy="1889790"/>
                          </a:xfrm>
                          <a:prstGeom prst="rect">
                            <a:avLst/>
                          </a:prstGeom>
                        </pic:spPr>
                      </pic:pic>
                    </a:graphicData>
                  </a:graphic>
                </wp:inline>
              </w:drawing>
            </w:r>
          </w:p>
        </w:tc>
        <w:tc>
          <w:tcPr>
            <w:tcW w:w="4508" w:type="dxa"/>
          </w:tcPr>
          <w:p w14:paraId="7DA452B0" w14:textId="77777777" w:rsidR="00990EB7" w:rsidRPr="00292AFB" w:rsidRDefault="00990EB7" w:rsidP="00FC3C14">
            <w:pPr>
              <w:jc w:val="both"/>
              <w:rPr>
                <w:color w:val="000000" w:themeColor="text1"/>
                <w:sz w:val="22"/>
                <w:szCs w:val="22"/>
                <w:shd w:val="clear" w:color="auto" w:fill="FFFFFF"/>
              </w:rPr>
            </w:pPr>
            <w:r w:rsidRPr="00292AFB">
              <w:rPr>
                <w:color w:val="000000" w:themeColor="text1"/>
                <w:sz w:val="22"/>
                <w:szCs w:val="22"/>
                <w:shd w:val="clear" w:color="auto" w:fill="FFFFFF"/>
              </w:rPr>
              <w:t>Model 7</w:t>
            </w:r>
          </w:p>
          <w:p w14:paraId="2405226D" w14:textId="77777777" w:rsidR="00990EB7" w:rsidRDefault="00990EB7" w:rsidP="00FC3C14">
            <w:pPr>
              <w:jc w:val="both"/>
              <w:rPr>
                <w:color w:val="000000" w:themeColor="text1"/>
                <w:shd w:val="clear" w:color="auto" w:fill="FFFFFF"/>
              </w:rPr>
            </w:pPr>
            <w:r w:rsidRPr="006F126A">
              <w:rPr>
                <w:noProof/>
                <w:color w:val="000000" w:themeColor="text1"/>
                <w:sz w:val="22"/>
                <w:szCs w:val="22"/>
                <w:shd w:val="clear" w:color="auto" w:fill="FFFFFF"/>
                <w:lang w:val="el-GR" w:eastAsia="el-GR"/>
              </w:rPr>
              <w:drawing>
                <wp:inline distT="0" distB="0" distL="0" distR="0" wp14:anchorId="4CF26377" wp14:editId="09DEB3B6">
                  <wp:extent cx="2480828" cy="1801639"/>
                  <wp:effectExtent l="0" t="0" r="0" b="1905"/>
                  <wp:docPr id="22" name="Picture 2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4278" cy="1847718"/>
                          </a:xfrm>
                          <a:prstGeom prst="rect">
                            <a:avLst/>
                          </a:prstGeom>
                        </pic:spPr>
                      </pic:pic>
                    </a:graphicData>
                  </a:graphic>
                </wp:inline>
              </w:drawing>
            </w:r>
          </w:p>
        </w:tc>
      </w:tr>
      <w:tr w:rsidR="00990EB7" w14:paraId="7884B641" w14:textId="77777777" w:rsidTr="00FC3C14">
        <w:tc>
          <w:tcPr>
            <w:tcW w:w="4508" w:type="dxa"/>
          </w:tcPr>
          <w:p w14:paraId="34869C67" w14:textId="77777777" w:rsidR="00990EB7" w:rsidRPr="00536C2E" w:rsidRDefault="00990EB7" w:rsidP="00FC3C14">
            <w:pPr>
              <w:jc w:val="both"/>
              <w:rPr>
                <w:color w:val="000000" w:themeColor="text1"/>
                <w:sz w:val="22"/>
                <w:szCs w:val="22"/>
                <w:shd w:val="clear" w:color="auto" w:fill="FFFFFF"/>
              </w:rPr>
            </w:pPr>
            <w:r w:rsidRPr="00DE7362">
              <w:rPr>
                <w:color w:val="000000" w:themeColor="text1"/>
                <w:sz w:val="22"/>
                <w:szCs w:val="22"/>
                <w:shd w:val="clear" w:color="auto" w:fill="FFFFFF"/>
              </w:rPr>
              <w:t>Model 4</w:t>
            </w:r>
          </w:p>
          <w:p w14:paraId="2B2AE992" w14:textId="77777777" w:rsidR="00990EB7" w:rsidRDefault="00990EB7" w:rsidP="00FC3C14">
            <w:pPr>
              <w:jc w:val="both"/>
              <w:rPr>
                <w:color w:val="000000" w:themeColor="text1"/>
                <w:shd w:val="clear" w:color="auto" w:fill="FFFFFF"/>
              </w:rPr>
            </w:pPr>
            <w:r w:rsidRPr="00AC1B35">
              <w:rPr>
                <w:noProof/>
                <w:color w:val="000000" w:themeColor="text1"/>
                <w:sz w:val="22"/>
                <w:szCs w:val="22"/>
                <w:shd w:val="clear" w:color="auto" w:fill="FFFFFF"/>
                <w:lang w:val="el-GR" w:eastAsia="el-GR"/>
              </w:rPr>
              <w:lastRenderedPageBreak/>
              <w:drawing>
                <wp:inline distT="0" distB="0" distL="0" distR="0" wp14:anchorId="3FA0FAAD" wp14:editId="1DBD831C">
                  <wp:extent cx="2480650" cy="1801510"/>
                  <wp:effectExtent l="0" t="0" r="0" b="1905"/>
                  <wp:docPr id="19" name="Picture 1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9458" cy="1836955"/>
                          </a:xfrm>
                          <a:prstGeom prst="rect">
                            <a:avLst/>
                          </a:prstGeom>
                        </pic:spPr>
                      </pic:pic>
                    </a:graphicData>
                  </a:graphic>
                </wp:inline>
              </w:drawing>
            </w:r>
          </w:p>
        </w:tc>
        <w:tc>
          <w:tcPr>
            <w:tcW w:w="4508" w:type="dxa"/>
          </w:tcPr>
          <w:p w14:paraId="284F4AD3" w14:textId="77777777" w:rsidR="00990EB7" w:rsidRPr="00DB6A54" w:rsidRDefault="00990EB7" w:rsidP="00FC3C14">
            <w:pPr>
              <w:jc w:val="both"/>
              <w:rPr>
                <w:color w:val="000000" w:themeColor="text1"/>
                <w:sz w:val="22"/>
                <w:szCs w:val="22"/>
                <w:shd w:val="clear" w:color="auto" w:fill="FFFFFF"/>
              </w:rPr>
            </w:pPr>
            <w:r w:rsidRPr="00DB6A54">
              <w:rPr>
                <w:color w:val="000000" w:themeColor="text1"/>
                <w:sz w:val="22"/>
                <w:szCs w:val="22"/>
                <w:shd w:val="clear" w:color="auto" w:fill="FFFFFF"/>
              </w:rPr>
              <w:lastRenderedPageBreak/>
              <w:t>Model 8</w:t>
            </w:r>
          </w:p>
          <w:p w14:paraId="04F650C1" w14:textId="77777777" w:rsidR="00990EB7" w:rsidRDefault="00990EB7" w:rsidP="00FC3C14">
            <w:pPr>
              <w:jc w:val="both"/>
              <w:rPr>
                <w:color w:val="000000" w:themeColor="text1"/>
                <w:shd w:val="clear" w:color="auto" w:fill="FFFFFF"/>
              </w:rPr>
            </w:pPr>
            <w:r w:rsidRPr="006F126A">
              <w:rPr>
                <w:noProof/>
                <w:color w:val="000000" w:themeColor="text1"/>
                <w:sz w:val="22"/>
                <w:szCs w:val="22"/>
                <w:shd w:val="clear" w:color="auto" w:fill="FFFFFF"/>
                <w:lang w:val="el-GR" w:eastAsia="el-GR"/>
              </w:rPr>
              <w:lastRenderedPageBreak/>
              <w:drawing>
                <wp:inline distT="0" distB="0" distL="0" distR="0" wp14:anchorId="0A5B8EDC" wp14:editId="75843E8C">
                  <wp:extent cx="2443431" cy="1774480"/>
                  <wp:effectExtent l="0" t="0" r="0" b="3810"/>
                  <wp:docPr id="20" name="Picture 2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72932" cy="1795904"/>
                          </a:xfrm>
                          <a:prstGeom prst="rect">
                            <a:avLst/>
                          </a:prstGeom>
                        </pic:spPr>
                      </pic:pic>
                    </a:graphicData>
                  </a:graphic>
                </wp:inline>
              </w:drawing>
            </w:r>
          </w:p>
        </w:tc>
      </w:tr>
    </w:tbl>
    <w:p w14:paraId="57427CFC" w14:textId="345E50B9" w:rsidR="00B131C6" w:rsidRPr="00536C2E" w:rsidRDefault="00B131C6" w:rsidP="00B131C6">
      <w:pPr>
        <w:rPr>
          <w:iCs/>
          <w:color w:val="000000" w:themeColor="text1"/>
          <w:sz w:val="22"/>
          <w:szCs w:val="22"/>
          <w:shd w:val="clear" w:color="auto" w:fill="FFFFFF"/>
        </w:rPr>
      </w:pPr>
      <w:r w:rsidRPr="00B131C6">
        <w:rPr>
          <w:sz w:val="22"/>
          <w:szCs w:val="22"/>
        </w:rPr>
        <w:lastRenderedPageBreak/>
        <w:t xml:space="preserve">Figure </w:t>
      </w:r>
      <w:r>
        <w:rPr>
          <w:sz w:val="22"/>
          <w:szCs w:val="22"/>
        </w:rPr>
        <w:t>2</w:t>
      </w:r>
      <w:r w:rsidRPr="00536C2E">
        <w:rPr>
          <w:iCs/>
          <w:color w:val="000000" w:themeColor="text1"/>
          <w:sz w:val="22"/>
          <w:szCs w:val="22"/>
          <w:shd w:val="clear" w:color="auto" w:fill="FFFFFF"/>
        </w:rPr>
        <w:t xml:space="preserve">: </w:t>
      </w:r>
      <w:r w:rsidRPr="00B131C6">
        <w:rPr>
          <w:sz w:val="22"/>
          <w:szCs w:val="22"/>
          <w:shd w:val="clear" w:color="auto" w:fill="FFFFFF"/>
          <w:lang w:val="fr-FR"/>
        </w:rPr>
        <w:t xml:space="preserve">Kaplan-Meier survival estimates </w:t>
      </w:r>
      <w:r w:rsidRPr="00B131C6">
        <w:rPr>
          <w:iCs/>
          <w:color w:val="000000" w:themeColor="text1"/>
          <w:sz w:val="22"/>
          <w:szCs w:val="22"/>
          <w:shd w:val="clear" w:color="auto" w:fill="FFFFFF"/>
        </w:rPr>
        <w:t>0=true progression, 1=pseudo-progression or stable disease. The analyses time is in months.</w:t>
      </w:r>
      <w:r>
        <w:rPr>
          <w:iCs/>
          <w:color w:val="000000" w:themeColor="text1"/>
          <w:sz w:val="22"/>
          <w:szCs w:val="22"/>
          <w:shd w:val="clear" w:color="auto" w:fill="FFFFFF"/>
        </w:rPr>
        <w:t xml:space="preserve"> </w:t>
      </w:r>
      <w:r w:rsidRPr="00536C2E">
        <w:rPr>
          <w:iCs/>
          <w:color w:val="000000" w:themeColor="text1"/>
          <w:sz w:val="22"/>
          <w:szCs w:val="22"/>
          <w:shd w:val="clear" w:color="auto" w:fill="FFFFFF"/>
        </w:rPr>
        <w:t xml:space="preserve">The blue line indicates the group of patients with high perfusion values and the red line indicates the group of patients with low perfusion values. </w:t>
      </w:r>
    </w:p>
    <w:p w14:paraId="1067DF27" w14:textId="77777777" w:rsidR="00B131C6" w:rsidRDefault="00B131C6" w:rsidP="00AA2CC9">
      <w:pPr>
        <w:jc w:val="both"/>
        <w:rPr>
          <w:color w:val="000000" w:themeColor="text1"/>
          <w:shd w:val="clear" w:color="auto" w:fill="FFFFFF"/>
        </w:rPr>
      </w:pPr>
    </w:p>
    <w:p w14:paraId="5B361EB9" w14:textId="1EFCD2C3" w:rsidR="00AA2CC9" w:rsidRDefault="007F7072" w:rsidP="00AA2CC9">
      <w:pPr>
        <w:ind w:firstLine="340"/>
        <w:jc w:val="both"/>
        <w:rPr>
          <w:color w:val="000000" w:themeColor="text1"/>
          <w:shd w:val="clear" w:color="auto" w:fill="FFFFFF"/>
        </w:rPr>
      </w:pPr>
      <w:r>
        <w:rPr>
          <w:color w:val="000000" w:themeColor="text1"/>
          <w:shd w:val="clear" w:color="auto" w:fill="FFFFFF"/>
        </w:rPr>
        <w:t>T</w:t>
      </w:r>
      <w:r w:rsidRPr="00B10300">
        <w:rPr>
          <w:color w:val="000000" w:themeColor="text1"/>
          <w:shd w:val="clear" w:color="auto" w:fill="FFFFFF"/>
        </w:rPr>
        <w:t xml:space="preserve">he comparison of Model 1 and </w:t>
      </w:r>
      <w:r>
        <w:rPr>
          <w:color w:val="000000" w:themeColor="text1"/>
          <w:shd w:val="clear" w:color="auto" w:fill="FFFFFF"/>
        </w:rPr>
        <w:t xml:space="preserve">Model 5 suggests the use of the baseline and 3-month DCE-MRI assessments combined provides a more accurate measurement of progression (higher sensitivity and specificity in Model 5, Table </w:t>
      </w:r>
      <w:r w:rsidR="00572D05">
        <w:rPr>
          <w:color w:val="000000" w:themeColor="text1"/>
          <w:shd w:val="clear" w:color="auto" w:fill="FFFFFF"/>
        </w:rPr>
        <w:t>1</w:t>
      </w:r>
      <w:r>
        <w:rPr>
          <w:color w:val="000000" w:themeColor="text1"/>
          <w:shd w:val="clear" w:color="auto" w:fill="FFFFFF"/>
        </w:rPr>
        <w:t>). A</w:t>
      </w:r>
      <w:r w:rsidRPr="00B10300">
        <w:rPr>
          <w:color w:val="000000" w:themeColor="text1"/>
          <w:shd w:val="clear" w:color="auto" w:fill="FFFFFF"/>
        </w:rPr>
        <w:t xml:space="preserve">lthough both models evaluated identical patients during the same timeframe, the time to progression </w:t>
      </w:r>
      <w:r>
        <w:rPr>
          <w:color w:val="000000" w:themeColor="text1"/>
          <w:shd w:val="clear" w:color="auto" w:fill="FFFFFF"/>
        </w:rPr>
        <w:t>for patients with high perfusion values</w:t>
      </w:r>
      <w:r w:rsidRPr="00B10300">
        <w:rPr>
          <w:color w:val="000000" w:themeColor="text1"/>
          <w:shd w:val="clear" w:color="auto" w:fill="FFFFFF"/>
        </w:rPr>
        <w:t xml:space="preserve"> was 1.1-month later in Model 5 when compared to Model 1. The findings of </w:t>
      </w:r>
      <w:r>
        <w:rPr>
          <w:color w:val="000000" w:themeColor="text1"/>
          <w:shd w:val="clear" w:color="auto" w:fill="FFFFFF"/>
        </w:rPr>
        <w:t>M</w:t>
      </w:r>
      <w:r w:rsidRPr="00B10300">
        <w:rPr>
          <w:color w:val="000000" w:themeColor="text1"/>
          <w:shd w:val="clear" w:color="auto" w:fill="FFFFFF"/>
        </w:rPr>
        <w:t xml:space="preserve">odel 6 are similar to the findings of </w:t>
      </w:r>
      <w:r>
        <w:rPr>
          <w:color w:val="000000" w:themeColor="text1"/>
          <w:shd w:val="clear" w:color="auto" w:fill="FFFFFF"/>
        </w:rPr>
        <w:t>M</w:t>
      </w:r>
      <w:r w:rsidRPr="00B10300">
        <w:rPr>
          <w:color w:val="000000" w:themeColor="text1"/>
          <w:shd w:val="clear" w:color="auto" w:fill="FFFFFF"/>
        </w:rPr>
        <w:t>odel 2, which did not incorporate the perfusion maps of the 3-month measurement during the survival analysis, thus suggesting that the differentiation of stable disease and disease change or progression</w:t>
      </w:r>
      <w:r>
        <w:rPr>
          <w:color w:val="000000" w:themeColor="text1"/>
          <w:shd w:val="clear" w:color="auto" w:fill="FFFFFF"/>
        </w:rPr>
        <w:t xml:space="preserve"> at 12 months</w:t>
      </w:r>
      <w:r w:rsidRPr="00B10300">
        <w:rPr>
          <w:color w:val="000000" w:themeColor="text1"/>
          <w:shd w:val="clear" w:color="auto" w:fill="FFFFFF"/>
        </w:rPr>
        <w:t xml:space="preserve"> is not dependant on a second assessment with DCE-MRI</w:t>
      </w:r>
      <w:r>
        <w:rPr>
          <w:color w:val="000000" w:themeColor="text1"/>
          <w:shd w:val="clear" w:color="auto" w:fill="FFFFFF"/>
        </w:rPr>
        <w:t xml:space="preserve">. The two models predict a different median survival time for the patients with low perfusion: 10.5 months for Model 2 and more than 12 months for Model 6. </w:t>
      </w:r>
    </w:p>
    <w:p w14:paraId="5381937C" w14:textId="78C5E6DA" w:rsidR="007F7072" w:rsidRDefault="007F7072" w:rsidP="00AA2CC9">
      <w:pPr>
        <w:ind w:firstLine="340"/>
        <w:jc w:val="both"/>
        <w:rPr>
          <w:color w:val="000000" w:themeColor="text1"/>
          <w:shd w:val="clear" w:color="auto" w:fill="FFFFFF"/>
        </w:rPr>
      </w:pPr>
      <w:r>
        <w:rPr>
          <w:color w:val="000000" w:themeColor="text1"/>
          <w:shd w:val="clear" w:color="auto" w:fill="FFFFFF"/>
        </w:rPr>
        <w:t xml:space="preserve">Moreover, models 5 and 6 had a higher sensitivity and specificity than models 1 and 2, suggesting a more accurate prediction of progression (differentiating it from stable/regressing disease) at both 6 months and 12 months when 3-months measurements are included in the models. Model 7 also had higher sensitivity and specificity than Model 3, however, Model 8, when compared to Model 4, produced a lower sensitivity, but a higher specificity. This indicates that the incorporation of the 3-month follow-up for the prediction of true progression (differentiating form pseudo-progression) was beneficial at 6 months, but it was not beneficial at 12 months. </w:t>
      </w:r>
    </w:p>
    <w:p w14:paraId="784B0883" w14:textId="51BC1BCB" w:rsidR="004F7957" w:rsidRDefault="004F7957" w:rsidP="007F7072"/>
    <w:p w14:paraId="018DEECF" w14:textId="77777777" w:rsidR="001E6604" w:rsidRDefault="001E6604" w:rsidP="002C3EFA">
      <w:pPr>
        <w:pStyle w:val="Heading1"/>
        <w:rPr>
          <w:rFonts w:asciiTheme="minorHAnsi" w:hAnsiTheme="minorHAnsi" w:cstheme="minorHAnsi"/>
          <w:b/>
          <w:bCs/>
          <w:color w:val="000000" w:themeColor="text1"/>
          <w:sz w:val="28"/>
          <w:szCs w:val="28"/>
          <w:shd w:val="clear" w:color="auto" w:fill="FFFFFF"/>
        </w:rPr>
        <w:sectPr w:rsidR="001E6604" w:rsidSect="00C6344F">
          <w:type w:val="continuous"/>
          <w:pgSz w:w="11906" w:h="16838"/>
          <w:pgMar w:top="1440" w:right="1440" w:bottom="1440" w:left="1440" w:header="510" w:footer="708" w:gutter="0"/>
          <w:cols w:space="708"/>
          <w:docGrid w:linePitch="360"/>
        </w:sectPr>
      </w:pPr>
      <w:bookmarkStart w:id="12" w:name="_Toc82961609"/>
    </w:p>
    <w:p w14:paraId="31F54740" w14:textId="1FF4C553" w:rsidR="002C3EFA" w:rsidRPr="001E6604" w:rsidRDefault="00163827" w:rsidP="001E6604">
      <w:pPr>
        <w:rPr>
          <w:b/>
          <w:bCs/>
          <w:sz w:val="28"/>
          <w:szCs w:val="28"/>
          <w:shd w:val="clear" w:color="auto" w:fill="FFFFFF"/>
        </w:rPr>
      </w:pPr>
      <w:r>
        <w:rPr>
          <w:b/>
          <w:bCs/>
          <w:sz w:val="28"/>
          <w:szCs w:val="28"/>
          <w:shd w:val="clear" w:color="auto" w:fill="FFFFFF"/>
        </w:rPr>
        <w:t xml:space="preserve">4. </w:t>
      </w:r>
      <w:r w:rsidR="002C3EFA" w:rsidRPr="001E6604">
        <w:rPr>
          <w:b/>
          <w:bCs/>
          <w:sz w:val="28"/>
          <w:szCs w:val="28"/>
          <w:shd w:val="clear" w:color="auto" w:fill="FFFFFF"/>
        </w:rPr>
        <w:t>Discussion</w:t>
      </w:r>
      <w:bookmarkEnd w:id="12"/>
    </w:p>
    <w:p w14:paraId="0763005E" w14:textId="40F0FE83" w:rsidR="002C3EFA" w:rsidRPr="007177E4" w:rsidRDefault="002E3592" w:rsidP="00163827">
      <w:pPr>
        <w:jc w:val="both"/>
        <w:rPr>
          <w:rFonts w:cstheme="minorHAnsi"/>
          <w:color w:val="000000" w:themeColor="text1"/>
          <w:shd w:val="clear" w:color="auto" w:fill="FFFFFF"/>
        </w:rPr>
      </w:pPr>
      <w:r>
        <w:rPr>
          <w:rFonts w:cstheme="minorHAnsi"/>
          <w:color w:val="000000" w:themeColor="text1"/>
          <w:shd w:val="clear" w:color="auto" w:fill="FFFFFF"/>
        </w:rPr>
        <w:t xml:space="preserve">This study </w:t>
      </w:r>
      <w:r w:rsidR="002C3EFA" w:rsidRPr="002C3EFA">
        <w:rPr>
          <w:rFonts w:cstheme="minorHAnsi"/>
          <w:color w:val="000000" w:themeColor="text1"/>
          <w:shd w:val="clear" w:color="auto" w:fill="FFFFFF"/>
        </w:rPr>
        <w:t>utilises DCE-MRI for not only the baseline measurement, but all the implemented follow-ups.</w:t>
      </w:r>
      <w:r w:rsidR="00EC1348">
        <w:rPr>
          <w:rFonts w:cstheme="minorHAnsi"/>
          <w:color w:val="000000" w:themeColor="text1"/>
          <w:shd w:val="clear" w:color="auto" w:fill="FFFFFF"/>
        </w:rPr>
        <w:t xml:space="preserve"> At the time of </w:t>
      </w:r>
      <w:r w:rsidR="00413428">
        <w:rPr>
          <w:rFonts w:cstheme="minorHAnsi"/>
          <w:color w:val="000000" w:themeColor="text1"/>
          <w:shd w:val="clear" w:color="auto" w:fill="FFFFFF"/>
        </w:rPr>
        <w:t>research,</w:t>
      </w:r>
      <w:r w:rsidR="00EC1348">
        <w:rPr>
          <w:rFonts w:cstheme="minorHAnsi"/>
          <w:color w:val="000000" w:themeColor="text1"/>
          <w:shd w:val="clear" w:color="auto" w:fill="FFFFFF"/>
        </w:rPr>
        <w:t xml:space="preserve"> no other studies of this kind had been published. </w:t>
      </w:r>
      <w:r w:rsidR="002C3EFA" w:rsidRPr="002C3EFA">
        <w:rPr>
          <w:rFonts w:cstheme="minorHAnsi"/>
          <w:color w:val="000000" w:themeColor="text1"/>
          <w:shd w:val="clear" w:color="auto" w:fill="FFFFFF"/>
        </w:rPr>
        <w:t xml:space="preserve"> Previously conducted studies used DCE-MRI to evaluate the tumour at baseline for diagnostic purposes or at a follow-up timepoint for surveillance purposes to distinguish between progression and pseudo-progression (Bisdas et al., 2011; Narang et al., 2011; Larsen et al., 2012; Choi et al., 2013; Suh et al., 2013; Hamilton et al., 2014; Shin et al., 2014; Alcaide-Leon et al., 2015; Arevalo-Perez et al., 2015; Yun et al., 2015; Thomas et al., 2015; Abbasi et al., 2017; Zhang et al., 2017; Rowe et al., 2018;</w:t>
      </w:r>
      <w:r w:rsidR="002C3EFA" w:rsidRPr="002C3EFA">
        <w:rPr>
          <w:rFonts w:cstheme="minorHAnsi"/>
        </w:rPr>
        <w:t xml:space="preserve"> </w:t>
      </w:r>
      <w:r w:rsidR="002C3EFA" w:rsidRPr="002C3EFA">
        <w:rPr>
          <w:rFonts w:cstheme="minorHAnsi"/>
          <w:color w:val="000000" w:themeColor="text1"/>
          <w:shd w:val="clear" w:color="auto" w:fill="FFFFFF"/>
        </w:rPr>
        <w:t>van Dijken et al., 2019; Zakhari et al., 2019; Filice, Ortenzia and Crisi, 2021).</w:t>
      </w:r>
    </w:p>
    <w:p w14:paraId="2C0E4213" w14:textId="277812D1" w:rsidR="00AA2CC9" w:rsidRDefault="002C3EFA" w:rsidP="00AA2CC9">
      <w:pPr>
        <w:ind w:firstLine="340"/>
        <w:jc w:val="both"/>
        <w:rPr>
          <w:color w:val="000000" w:themeColor="text1"/>
          <w:shd w:val="clear" w:color="auto" w:fill="FFFFFF"/>
        </w:rPr>
      </w:pPr>
      <w:r>
        <w:rPr>
          <w:color w:val="000000" w:themeColor="text1"/>
          <w:shd w:val="clear" w:color="auto" w:fill="FFFFFF"/>
        </w:rPr>
        <w:t xml:space="preserve">This study found that all models were statistically significant, thus showing that perfusion parameters can accurately and consistently distinguish tumour progression from stable disease and true progression from pseudo-progression. This supports </w:t>
      </w:r>
      <w:r w:rsidR="008B71BE">
        <w:rPr>
          <w:color w:val="000000" w:themeColor="text1"/>
          <w:shd w:val="clear" w:color="auto" w:fill="FFFFFF"/>
        </w:rPr>
        <w:t>the</w:t>
      </w:r>
      <w:r>
        <w:rPr>
          <w:color w:val="000000" w:themeColor="text1"/>
          <w:shd w:val="clear" w:color="auto" w:fill="FFFFFF"/>
        </w:rPr>
        <w:t xml:space="preserve"> first hypothesis </w:t>
      </w:r>
      <w:r>
        <w:rPr>
          <w:color w:val="000000" w:themeColor="text1"/>
          <w:shd w:val="clear" w:color="auto" w:fill="FFFFFF"/>
        </w:rPr>
        <w:lastRenderedPageBreak/>
        <w:t xml:space="preserve">stating that the DCE-MRI is an accurate and clinically useful tool in the surveillance of high-grade gliomas, by being able to depict the differences, clearly and accurately, between tumour growth and treatment related changes, such as pseudo-progression. </w:t>
      </w:r>
    </w:p>
    <w:p w14:paraId="745E7B05" w14:textId="77777777" w:rsidR="00AA2CC9" w:rsidRDefault="002C3EFA" w:rsidP="00AA2CC9">
      <w:pPr>
        <w:ind w:firstLine="340"/>
        <w:jc w:val="both"/>
        <w:rPr>
          <w:color w:val="000000" w:themeColor="text1"/>
          <w:shd w:val="clear" w:color="auto" w:fill="FFFFFF"/>
        </w:rPr>
      </w:pPr>
      <w:r>
        <w:rPr>
          <w:color w:val="000000" w:themeColor="text1"/>
          <w:shd w:val="clear" w:color="auto" w:fill="FFFFFF"/>
        </w:rPr>
        <w:t xml:space="preserve">Furthermore, another finding was that the models using the 3-month DCE-MRI measurement in addition to the baseline measurements were statistically significant and had higher sensitivity and specificity, when compared to the models which only utilised the baseline DCE-MRI scan. This was true for the prediction of progression vs stable/regressing disease at both 6 months and 12 months and for the prediction of true progression vs pseudo-progression at 6 months. Thereby, supporting the second hypothesis that the use of the measurements from the secondary DCE-MRI scan will enhance diagnostic accuracy and subsequently more reliable results. Higher specificity but lower sensitivity was observed including the 3 months maps for the prediction of true vs pseudo-progression at 12 months, suggesting that the inclusion of the 3 months follow-up is more relevant for short term prediction than for long term predictions. </w:t>
      </w:r>
    </w:p>
    <w:p w14:paraId="5CB62E57" w14:textId="77777777" w:rsidR="00AA2CC9" w:rsidRDefault="002C3EFA" w:rsidP="00AA2CC9">
      <w:pPr>
        <w:ind w:firstLine="340"/>
        <w:jc w:val="both"/>
        <w:rPr>
          <w:color w:val="000000" w:themeColor="text1"/>
          <w:shd w:val="clear" w:color="auto" w:fill="FFFFFF"/>
        </w:rPr>
      </w:pPr>
      <w:r>
        <w:rPr>
          <w:color w:val="000000" w:themeColor="text1"/>
          <w:shd w:val="clear" w:color="auto" w:fill="FFFFFF"/>
        </w:rPr>
        <w:t xml:space="preserve">This study highlights and demonstrates the importance and relevance of </w:t>
      </w:r>
      <w:r w:rsidRPr="002D16E3">
        <w:rPr>
          <w:color w:val="000000" w:themeColor="text1"/>
          <w:shd w:val="clear" w:color="auto" w:fill="FFFFFF"/>
        </w:rPr>
        <w:t>longitudinal</w:t>
      </w:r>
      <w:r>
        <w:rPr>
          <w:color w:val="000000" w:themeColor="text1"/>
          <w:shd w:val="clear" w:color="auto" w:fill="FFFFFF"/>
        </w:rPr>
        <w:t xml:space="preserve"> perfusion timepoints during the surveillance of high-grade gliomas. Furthermore, as reported in the results, models </w:t>
      </w:r>
      <w:r w:rsidRPr="004D34FC">
        <w:rPr>
          <w:color w:val="000000" w:themeColor="text1"/>
          <w:shd w:val="clear" w:color="auto" w:fill="FFFFFF"/>
        </w:rPr>
        <w:t>5, 6, and 7 had a higher sensitivity and specificity than models 1, 2, and 3</w:t>
      </w:r>
      <w:r>
        <w:rPr>
          <w:color w:val="000000" w:themeColor="text1"/>
          <w:shd w:val="clear" w:color="auto" w:fill="FFFFFF"/>
        </w:rPr>
        <w:t>. However, interestingly, model 8 reported a lower sensitivity than model 4, which connoted that the use of the baseline measurement alone is sufficient when establishing true progression with the use of DCE-MRI. Additionally, it is important to bring light to the result of specificity in model 8, as this was higher when compared to model 4. This finding is momentous, as it indicates that the consecutive use of DCE-MRI and the incorporation of the 3-month measurement can accurately differentiate between true progression and pseudo-progression during the 12-month post-treatment surveillance of patients with high-grade gliomas</w:t>
      </w:r>
      <w:r w:rsidR="00DF7457">
        <w:rPr>
          <w:color w:val="000000" w:themeColor="text1"/>
          <w:shd w:val="clear" w:color="auto" w:fill="FFFFFF"/>
        </w:rPr>
        <w:t xml:space="preserve">. </w:t>
      </w:r>
    </w:p>
    <w:p w14:paraId="31F15AB2" w14:textId="77777777" w:rsidR="00DF7457" w:rsidRDefault="00DF7457" w:rsidP="00F74F1E">
      <w:bookmarkStart w:id="13" w:name="_Toc82961611"/>
      <w:bookmarkStart w:id="14" w:name="_Toc82961612"/>
    </w:p>
    <w:p w14:paraId="4203C687" w14:textId="3817E030" w:rsidR="00FB5125" w:rsidRPr="00163827" w:rsidRDefault="00163827" w:rsidP="00F74F1E">
      <w:pPr>
        <w:rPr>
          <w:b/>
          <w:bCs/>
        </w:rPr>
      </w:pPr>
      <w:r w:rsidRPr="00163827">
        <w:rPr>
          <w:b/>
          <w:bCs/>
        </w:rPr>
        <w:t xml:space="preserve">4.1 </w:t>
      </w:r>
      <w:r w:rsidR="00FB5125" w:rsidRPr="00163827">
        <w:rPr>
          <w:b/>
          <w:bCs/>
        </w:rPr>
        <w:t>Clinical application of DCE-MRI</w:t>
      </w:r>
      <w:bookmarkEnd w:id="13"/>
    </w:p>
    <w:p w14:paraId="25E4117F" w14:textId="2621CB95" w:rsidR="00FB5125" w:rsidRDefault="00FB5125" w:rsidP="00163827">
      <w:pPr>
        <w:jc w:val="both"/>
      </w:pPr>
      <w:r>
        <w:t xml:space="preserve">DCE-MRI is not a widely used method of MRI for the management of high-grade gliomas. The use of conventional MRI is preferred when diagnosing and observing the tumour, with advanced imaging techniques, such as MR perfusion and MR spectroscopy, being considered for uncharacteristic outcomes of the conventional MRI </w:t>
      </w:r>
      <w:r w:rsidRPr="00F35BA4">
        <w:t>(</w:t>
      </w:r>
      <w:r w:rsidRPr="00641695">
        <w:t>Stupp et al., 2014</w:t>
      </w:r>
      <w:r>
        <w:t xml:space="preserve">; </w:t>
      </w:r>
      <w:r w:rsidRPr="00F35BA4">
        <w:t>NICE guideline, 2021)</w:t>
      </w:r>
      <w:r>
        <w:t xml:space="preserve">. </w:t>
      </w:r>
    </w:p>
    <w:p w14:paraId="7C3C52FF" w14:textId="4A94B21E" w:rsidR="00FB5125" w:rsidRDefault="00722F53" w:rsidP="00AA2CC9">
      <w:pPr>
        <w:ind w:firstLine="340"/>
        <w:jc w:val="both"/>
      </w:pPr>
      <w:r>
        <w:t xml:space="preserve">However, </w:t>
      </w:r>
      <w:r w:rsidR="00FB5125">
        <w:t>DCE-MRI can more accurately determine microvascular permeability and quantit</w:t>
      </w:r>
      <w:r w:rsidR="00C2300E">
        <w:t>ati</w:t>
      </w:r>
      <w:r w:rsidR="00FB5125">
        <w:t xml:space="preserve">vely assess the blood brain barrier in comparison to the more widely available DSC-MRI. Furthermore, the higher spatial resolution provided by DCE-MRI allows for differentiation of artefacts, such as air, bone, and blood interfaces </w:t>
      </w:r>
      <w:r w:rsidR="00FB5125" w:rsidRPr="00016AB7">
        <w:t>(Dongas et al., 2018)</w:t>
      </w:r>
      <w:r w:rsidR="00FB5125">
        <w:t xml:space="preserve">. </w:t>
      </w:r>
      <w:r>
        <w:t>Moreover</w:t>
      </w:r>
      <w:r w:rsidR="00FB5125">
        <w:t>, previous research (</w:t>
      </w:r>
      <w:r w:rsidR="00FB5125" w:rsidRPr="00366AB6">
        <w:rPr>
          <w:color w:val="000000" w:themeColor="text1"/>
          <w:shd w:val="clear" w:color="auto" w:fill="FFFFFF"/>
        </w:rPr>
        <w:t xml:space="preserve">Narang et al., (2011), Larsen et al., (2012), </w:t>
      </w:r>
      <w:r w:rsidR="00FB5125" w:rsidRPr="001E1D64">
        <w:rPr>
          <w:color w:val="000000" w:themeColor="text1"/>
          <w:shd w:val="clear" w:color="auto" w:fill="FFFFFF"/>
        </w:rPr>
        <w:t xml:space="preserve">Bisdas et al., </w:t>
      </w:r>
      <w:r w:rsidR="00FB5125">
        <w:rPr>
          <w:color w:val="000000" w:themeColor="text1"/>
          <w:shd w:val="clear" w:color="auto" w:fill="FFFFFF"/>
        </w:rPr>
        <w:t>(</w:t>
      </w:r>
      <w:r w:rsidR="00FB5125" w:rsidRPr="001E1D64">
        <w:rPr>
          <w:color w:val="000000" w:themeColor="text1"/>
          <w:shd w:val="clear" w:color="auto" w:fill="FFFFFF"/>
        </w:rPr>
        <w:t>2014</w:t>
      </w:r>
      <w:r w:rsidR="00FB5125">
        <w:rPr>
          <w:color w:val="000000" w:themeColor="text1"/>
          <w:shd w:val="clear" w:color="auto" w:fill="FFFFFF"/>
        </w:rPr>
        <w:t xml:space="preserve">), </w:t>
      </w:r>
      <w:r w:rsidR="00FB5125" w:rsidRPr="00366AB6">
        <w:rPr>
          <w:color w:val="000000" w:themeColor="text1"/>
          <w:shd w:val="clear" w:color="auto" w:fill="FFFFFF"/>
        </w:rPr>
        <w:t>Suh et al., (2013), Hamilton et al., (2014), Yun et al., (2015), Thomas et al., (2015), Filice, Ortenzia and Crisi, (2021)</w:t>
      </w:r>
      <w:r w:rsidR="00FB5125">
        <w:rPr>
          <w:color w:val="000000" w:themeColor="text1"/>
          <w:shd w:val="clear" w:color="auto" w:fill="FFFFFF"/>
        </w:rPr>
        <w:t xml:space="preserve">) as well as this current study suggest that DCE-MRI has the potential or ability to differentiate pseudo-progression from true progression or recurring disease. This distinguishment is highly important, as clinical decisions regarding the continuations of treatment or disease status can be affected. </w:t>
      </w:r>
    </w:p>
    <w:p w14:paraId="4D229039" w14:textId="77777777" w:rsidR="00FB5125" w:rsidRDefault="00FB5125" w:rsidP="00FB5125">
      <w:pPr>
        <w:pStyle w:val="Heading2"/>
        <w:rPr>
          <w:rFonts w:asciiTheme="majorBidi" w:hAnsiTheme="majorBidi"/>
          <w:i/>
          <w:iCs/>
          <w:color w:val="000000" w:themeColor="text1"/>
        </w:rPr>
      </w:pPr>
    </w:p>
    <w:p w14:paraId="5FECB031" w14:textId="257AA522" w:rsidR="00FB5125" w:rsidRPr="00163827" w:rsidRDefault="00163827" w:rsidP="003B58D1">
      <w:pPr>
        <w:rPr>
          <w:b/>
          <w:bCs/>
        </w:rPr>
      </w:pPr>
      <w:r w:rsidRPr="00163827">
        <w:rPr>
          <w:b/>
          <w:bCs/>
        </w:rPr>
        <w:t xml:space="preserve">4.2 </w:t>
      </w:r>
      <w:r w:rsidR="00FB5125" w:rsidRPr="00163827">
        <w:rPr>
          <w:b/>
          <w:bCs/>
        </w:rPr>
        <w:t>Limitations</w:t>
      </w:r>
      <w:bookmarkEnd w:id="14"/>
    </w:p>
    <w:p w14:paraId="520FCB8C" w14:textId="06CF7CF6" w:rsidR="00FB5125" w:rsidRDefault="00FB5125" w:rsidP="00C5204D">
      <w:pPr>
        <w:jc w:val="both"/>
      </w:pPr>
      <w:r>
        <w:t xml:space="preserve">Despite these interesting and optimistic results, some difficulties arise during the clinical application of DCE-MRI, as there are variations across institutions that cannot be accounted for in the realm of theoretical research. Some of these disparities can be seen relating to (i) </w:t>
      </w:r>
      <w:r>
        <w:lastRenderedPageBreak/>
        <w:t>MR scanners, (ii) imaging acquisition protocols,</w:t>
      </w:r>
      <w:r w:rsidR="00E37B20">
        <w:t xml:space="preserve"> </w:t>
      </w:r>
      <w:r>
        <w:t>(iii) contrast administration,</w:t>
      </w:r>
      <w:r w:rsidR="00E37B20">
        <w:t xml:space="preserve"> </w:t>
      </w:r>
      <w:r>
        <w:t xml:space="preserve">(iv) method of post-processing, </w:t>
      </w:r>
      <w:r w:rsidRPr="00F90E25">
        <w:t>(Zhang et al., 2017)</w:t>
      </w:r>
      <w:r>
        <w:t>. Additionally, the lack if standardisation when post-processing and quantifying the images presents a disadvantage, as the optimal pharmacokinetic model is not known</w:t>
      </w:r>
      <w:r w:rsidR="00C421C4">
        <w:t xml:space="preserve">, leading to disparities in the measurements of the perfusion maps. This has already been determined for the Ktrans map </w:t>
      </w:r>
      <w:r w:rsidR="00C421C4" w:rsidRPr="00B27220">
        <w:t>(Sourbron and Buckley, 2013)</w:t>
      </w:r>
      <w:r w:rsidR="00C421C4">
        <w:t xml:space="preserve">. </w:t>
      </w:r>
      <w:r>
        <w:t xml:space="preserve">The limitations relating to methodology of this study include </w:t>
      </w:r>
      <w:r w:rsidR="009B2746">
        <w:t>the</w:t>
      </w:r>
      <w:r>
        <w:t xml:space="preserve"> single-arm design, which had a smaller than desired sample siz</w:t>
      </w:r>
      <w:r w:rsidR="009B2746">
        <w:t>e</w:t>
      </w:r>
      <w:r>
        <w:t xml:space="preserve">. </w:t>
      </w:r>
    </w:p>
    <w:p w14:paraId="43008DB4" w14:textId="77777777" w:rsidR="00FB5125" w:rsidRDefault="00FB5125" w:rsidP="00FB5125">
      <w:pPr>
        <w:jc w:val="both"/>
      </w:pPr>
    </w:p>
    <w:p w14:paraId="0749160D" w14:textId="6C31656F" w:rsidR="00FB5125" w:rsidRPr="00163827" w:rsidRDefault="00163827" w:rsidP="008532C6">
      <w:pPr>
        <w:rPr>
          <w:b/>
          <w:bCs/>
        </w:rPr>
      </w:pPr>
      <w:bookmarkStart w:id="15" w:name="_Toc82961613"/>
      <w:r w:rsidRPr="00163827">
        <w:rPr>
          <w:b/>
          <w:bCs/>
        </w:rPr>
        <w:t xml:space="preserve">4.3 </w:t>
      </w:r>
      <w:r w:rsidR="00FB5125" w:rsidRPr="00163827">
        <w:rPr>
          <w:b/>
          <w:bCs/>
        </w:rPr>
        <w:t>Future direction</w:t>
      </w:r>
      <w:bookmarkEnd w:id="15"/>
      <w:r w:rsidR="00FB5125" w:rsidRPr="00163827">
        <w:rPr>
          <w:b/>
          <w:bCs/>
        </w:rPr>
        <w:t xml:space="preserve"> </w:t>
      </w:r>
    </w:p>
    <w:p w14:paraId="3143E5E0" w14:textId="219FB42A" w:rsidR="00FB5125" w:rsidRDefault="00FB5125" w:rsidP="00163827">
      <w:pPr>
        <w:jc w:val="both"/>
      </w:pPr>
      <w:r>
        <w:t xml:space="preserve">This study adds to the existing literature and previous research, which have evaluated the effectiveness of DCE-MRI for the surveillance of high-grade gliomas, the diagnostic accuracy for progressive disease and the differentiation of pseudo-progression from true progression. </w:t>
      </w:r>
    </w:p>
    <w:p w14:paraId="05BFE320" w14:textId="3380892C" w:rsidR="009C4CB3" w:rsidRDefault="00FB5125" w:rsidP="00AA2CC9">
      <w:pPr>
        <w:ind w:firstLine="340"/>
        <w:jc w:val="both"/>
      </w:pPr>
      <w:r>
        <w:t xml:space="preserve">In future studies, it would be interesting to determine the prevalence of patients with pseudo-progression, as determined by the DCE-MRI assessments, who also underwent immunotherapy. This could verify the results seen in previous studies that evaluated the cause of pseudo-progression and the diagnostic accuracy of DCE-MRI, such as the meta-analysis conducted by </w:t>
      </w:r>
      <w:r w:rsidR="00295F28" w:rsidRPr="00295F28">
        <w:t xml:space="preserve">Zhang </w:t>
      </w:r>
      <w:r w:rsidRPr="00B33847">
        <w:t xml:space="preserve">et al., </w:t>
      </w:r>
      <w:r>
        <w:t>(</w:t>
      </w:r>
      <w:r w:rsidRPr="00B33847">
        <w:t>20</w:t>
      </w:r>
      <w:r w:rsidR="00295F28">
        <w:t>2</w:t>
      </w:r>
      <w:r w:rsidR="00C5204D">
        <w:t>2</w:t>
      </w:r>
      <w:r w:rsidRPr="00B33847">
        <w:t>)</w:t>
      </w:r>
      <w:r>
        <w:t>. Additionally, further studies must be conducted, not only assessing the effectiveness of DCE-MRI for the observation and management of high-grade gliomas, but also into the model analysis in order to provide solid solutions</w:t>
      </w:r>
      <w:r w:rsidR="008532C6">
        <w:t xml:space="preserve"> and standardisation</w:t>
      </w:r>
      <w:r>
        <w:t xml:space="preserve"> to overcome the challenges that DCE-MRI faces in a clinical setting. </w:t>
      </w:r>
    </w:p>
    <w:p w14:paraId="3D0F3040" w14:textId="26A564B8" w:rsidR="009C4CB3" w:rsidRDefault="009C4CB3" w:rsidP="009C4CB3">
      <w:pPr>
        <w:jc w:val="both"/>
        <w:sectPr w:rsidR="009C4CB3" w:rsidSect="001E6604">
          <w:type w:val="continuous"/>
          <w:pgSz w:w="11906" w:h="16838"/>
          <w:pgMar w:top="1440" w:right="1440" w:bottom="1440" w:left="1440" w:header="708" w:footer="708" w:gutter="0"/>
          <w:cols w:space="708"/>
          <w:docGrid w:linePitch="360"/>
        </w:sectPr>
      </w:pPr>
    </w:p>
    <w:p w14:paraId="1D299959" w14:textId="33D78734" w:rsidR="00FB5125" w:rsidRDefault="00FB5125" w:rsidP="007F7072"/>
    <w:p w14:paraId="12CF3703" w14:textId="77777777" w:rsidR="007C79B7" w:rsidRPr="00A61E50" w:rsidRDefault="007C79B7" w:rsidP="00A61E50">
      <w:pPr>
        <w:rPr>
          <w:b/>
          <w:bCs/>
          <w:sz w:val="28"/>
          <w:szCs w:val="28"/>
        </w:rPr>
      </w:pPr>
      <w:bookmarkStart w:id="16" w:name="_Toc82961615"/>
      <w:r w:rsidRPr="00A61E50">
        <w:rPr>
          <w:b/>
          <w:bCs/>
          <w:sz w:val="28"/>
          <w:szCs w:val="28"/>
        </w:rPr>
        <w:t>Reference list</w:t>
      </w:r>
      <w:bookmarkEnd w:id="16"/>
    </w:p>
    <w:p w14:paraId="60E516A9"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Abbasi, A.W., Westerlaan, H.E., Holtman, G.A., Aden, K.M., van Laar, P.J. and van der Hoorn, A. (2017). Incidence of Tumour Progression and Pseudoprogression in High-Grade Gliomas: a Systematic Review and Meta-Analysis. </w:t>
      </w:r>
      <w:r w:rsidRPr="00A61E50">
        <w:rPr>
          <w:rFonts w:cstheme="minorHAnsi"/>
          <w:i/>
          <w:iCs/>
          <w:sz w:val="20"/>
          <w:szCs w:val="20"/>
        </w:rPr>
        <w:t>Clinical Neuroradiology</w:t>
      </w:r>
      <w:r w:rsidRPr="00A61E50">
        <w:rPr>
          <w:rFonts w:cstheme="minorHAnsi"/>
          <w:sz w:val="20"/>
          <w:szCs w:val="20"/>
        </w:rPr>
        <w:t>, 28(3), pp.401–411.</w:t>
      </w:r>
    </w:p>
    <w:p w14:paraId="1A219C6D"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Anzalone, N., Castellano, A., Cadioli, M., Conte, G.M., Cuccarini, V., Bizzi, A., Grimaldi, M., Costa, A., Grillea, G., Vitali, P., Aquino, D., Terreni, M.R., Torri, V., Erickson, B.J. and Caulo, M. (2018). Brain Gliomas: Multicenter Standardized Assessment of Dynamic Contrast-enhanced and Dynamic Susceptibility Contrast MR Images. </w:t>
      </w:r>
      <w:r w:rsidRPr="00A61E50">
        <w:rPr>
          <w:rFonts w:cstheme="minorHAnsi"/>
          <w:i/>
          <w:iCs/>
          <w:sz w:val="20"/>
          <w:szCs w:val="20"/>
        </w:rPr>
        <w:t>Radiology</w:t>
      </w:r>
      <w:r w:rsidRPr="00A61E50">
        <w:rPr>
          <w:rFonts w:cstheme="minorHAnsi"/>
          <w:sz w:val="20"/>
          <w:szCs w:val="20"/>
        </w:rPr>
        <w:t>, 287(3), pp.933–943.</w:t>
      </w:r>
    </w:p>
    <w:p w14:paraId="01EAB9F1"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Arevalo-Perez, J., Peck, K.K., Young, R.J., Holodny, A.I., Karimi, S. and Lyo, J.K. (2015). Dynamic Contrast-Enhanced Perfusion MRI and Diffusion-Weighted Imaging in Grading of Gliomas. </w:t>
      </w:r>
      <w:r w:rsidRPr="00A61E50">
        <w:rPr>
          <w:rFonts w:cstheme="minorHAnsi"/>
          <w:i/>
          <w:iCs/>
          <w:sz w:val="20"/>
          <w:szCs w:val="20"/>
        </w:rPr>
        <w:t>Journal of Neuroimaging</w:t>
      </w:r>
      <w:r w:rsidRPr="00A61E50">
        <w:rPr>
          <w:rFonts w:cstheme="minorHAnsi"/>
          <w:sz w:val="20"/>
          <w:szCs w:val="20"/>
        </w:rPr>
        <w:t>, 25(5), pp.792–798.</w:t>
      </w:r>
    </w:p>
    <w:p w14:paraId="0E525BD1"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Barajas, R.F., Chang, J.S., Segal, M.R., Parsa, A.T., McDermott, M.W., Berger, M.S. and Cha, S. (2009). Differentiation of Recurrent Glioblastoma Multiforme from Radiation Necrosis after External Beam Radiation Therapy with Dynamic Susceptibility-weighted Contrast-enhanced Perfusion MR Imaging. </w:t>
      </w:r>
      <w:r w:rsidRPr="00A61E50">
        <w:rPr>
          <w:rFonts w:cstheme="minorHAnsi"/>
          <w:i/>
          <w:iCs/>
          <w:sz w:val="20"/>
          <w:szCs w:val="20"/>
        </w:rPr>
        <w:t>Radiology</w:t>
      </w:r>
      <w:r w:rsidRPr="00A61E50">
        <w:rPr>
          <w:rFonts w:cstheme="minorHAnsi"/>
          <w:sz w:val="20"/>
          <w:szCs w:val="20"/>
        </w:rPr>
        <w:t>, 253(2), pp.486–496.</w:t>
      </w:r>
    </w:p>
    <w:p w14:paraId="2C888A1F"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Barajas, R.F., Chang, J.S., Sneed, P.K., Segal, M.R., McDermott, M.W. and Cha, S. (2008). Distinguishing Recurrent Intra-Axial Metastatic Tumor from Radiation Necrosis Following Gamma Knife Radiosurgery Using Dynamic Susceptibility-Weighted Contrast-Enhanced Perfusion MR Imaging. </w:t>
      </w:r>
      <w:r w:rsidRPr="00A61E50">
        <w:rPr>
          <w:rFonts w:cstheme="minorHAnsi"/>
          <w:i/>
          <w:iCs/>
          <w:sz w:val="20"/>
          <w:szCs w:val="20"/>
        </w:rPr>
        <w:t>American Journal of Neuroradiology</w:t>
      </w:r>
      <w:r w:rsidRPr="00A61E50">
        <w:rPr>
          <w:rFonts w:cstheme="minorHAnsi"/>
          <w:sz w:val="20"/>
          <w:szCs w:val="20"/>
        </w:rPr>
        <w:t>, 30(2), pp.367–372.</w:t>
      </w:r>
    </w:p>
    <w:p w14:paraId="7AEE2C01"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Bazyar, S., Ramalho, J., Eldeniz, C., An, H. and Lee, Y.Z. (2016). Comparison of Cerebral Blood Volume and Plasma Volume in Untreated Intracranial Tumors. </w:t>
      </w:r>
      <w:r w:rsidRPr="00A61E50">
        <w:rPr>
          <w:rFonts w:cstheme="minorHAnsi"/>
          <w:i/>
          <w:iCs/>
          <w:sz w:val="20"/>
          <w:szCs w:val="20"/>
        </w:rPr>
        <w:t>PLOS ONE</w:t>
      </w:r>
      <w:r w:rsidRPr="00A61E50">
        <w:rPr>
          <w:rFonts w:cstheme="minorHAnsi"/>
          <w:sz w:val="20"/>
          <w:szCs w:val="20"/>
        </w:rPr>
        <w:t>, 11(9), p.e0161807.</w:t>
      </w:r>
    </w:p>
    <w:p w14:paraId="21780F00"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Bisdas, S., Naegele, T., Ritz, R., Dimostheni, A., Pfannenberg, C., Reimold, M., Koh, T.S. and Ernemann, U. (2011). Distinguishing Recurrent High-grade Gliomas from Radiation Injury. </w:t>
      </w:r>
      <w:r w:rsidRPr="00A61E50">
        <w:rPr>
          <w:rFonts w:cstheme="minorHAnsi"/>
          <w:i/>
          <w:iCs/>
          <w:sz w:val="20"/>
          <w:szCs w:val="20"/>
        </w:rPr>
        <w:t>Academic Radiology</w:t>
      </w:r>
      <w:r w:rsidRPr="00A61E50">
        <w:rPr>
          <w:rFonts w:cstheme="minorHAnsi"/>
          <w:sz w:val="20"/>
          <w:szCs w:val="20"/>
        </w:rPr>
        <w:t>, 18(5), pp.575–583.</w:t>
      </w:r>
    </w:p>
    <w:p w14:paraId="1CDA2F64"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Bisdas, S., Smrdel, U., Bajrovic, F.F. and Surlan-Popovic, K. (2014). Assessment of Progression-Free-Survival in Glioblastomas by Intratreatment Dynamic Contrast-Enhanced MRI. </w:t>
      </w:r>
      <w:r w:rsidRPr="00A61E50">
        <w:rPr>
          <w:rFonts w:cstheme="minorHAnsi"/>
          <w:i/>
          <w:iCs/>
          <w:sz w:val="20"/>
          <w:szCs w:val="20"/>
        </w:rPr>
        <w:t>Clinical Neuroradiology</w:t>
      </w:r>
      <w:r w:rsidRPr="00A61E50">
        <w:rPr>
          <w:rFonts w:cstheme="minorHAnsi"/>
          <w:sz w:val="20"/>
          <w:szCs w:val="20"/>
        </w:rPr>
        <w:t>, 26(1), pp.39–45.</w:t>
      </w:r>
    </w:p>
    <w:p w14:paraId="31C25E43"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Bonekamp, D., Degaonkar, M. and Barker, P.B. (2011). Quantitative cerebral blood flow in dynamic susceptibility contrast MRI using total cerebral flow from phase contrast magnetic resonance angiography. </w:t>
      </w:r>
      <w:r w:rsidRPr="00A61E50">
        <w:rPr>
          <w:rFonts w:cstheme="minorHAnsi"/>
          <w:i/>
          <w:iCs/>
          <w:sz w:val="20"/>
          <w:szCs w:val="20"/>
        </w:rPr>
        <w:t>Magnetic Resonance in Medicine</w:t>
      </w:r>
      <w:r w:rsidRPr="00A61E50">
        <w:rPr>
          <w:rFonts w:cstheme="minorHAnsi"/>
          <w:sz w:val="20"/>
          <w:szCs w:val="20"/>
        </w:rPr>
        <w:t>, 66(1), pp.57–66.</w:t>
      </w:r>
    </w:p>
    <w:p w14:paraId="73FCBB56"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Brandsma, D. and van den Bent, M.J. (2009). Pseudoprogression and pseudoresponse in the treatment of gliomas. </w:t>
      </w:r>
      <w:r w:rsidRPr="00A61E50">
        <w:rPr>
          <w:rFonts w:cstheme="minorHAnsi"/>
          <w:i/>
          <w:iCs/>
          <w:sz w:val="20"/>
          <w:szCs w:val="20"/>
        </w:rPr>
        <w:t>Current Opinion in Neurology</w:t>
      </w:r>
      <w:r w:rsidRPr="00A61E50">
        <w:rPr>
          <w:rFonts w:cstheme="minorHAnsi"/>
          <w:sz w:val="20"/>
          <w:szCs w:val="20"/>
        </w:rPr>
        <w:t>, 22(6), pp.633–638.</w:t>
      </w:r>
    </w:p>
    <w:p w14:paraId="0F80F9E6" w14:textId="77777777" w:rsidR="00AA2CC9" w:rsidRDefault="007C79B7" w:rsidP="00AA2CC9">
      <w:pPr>
        <w:ind w:left="340" w:hanging="340"/>
        <w:jc w:val="both"/>
        <w:rPr>
          <w:rFonts w:cstheme="minorHAnsi"/>
          <w:sz w:val="20"/>
          <w:szCs w:val="20"/>
        </w:rPr>
      </w:pPr>
      <w:r w:rsidRPr="00A61E50">
        <w:rPr>
          <w:rFonts w:cstheme="minorHAnsi"/>
          <w:sz w:val="20"/>
          <w:szCs w:val="20"/>
        </w:rPr>
        <w:lastRenderedPageBreak/>
        <w:t xml:space="preserve">Brix, G., Semmler, W., Port, R., Schad, L.R., Layer, G. and Lorenz, W.J. (1991). Pharmacokinetic Parameters in CNS Gd-DTPA Enhanced MR Imaging. </w:t>
      </w:r>
      <w:r w:rsidRPr="00A61E50">
        <w:rPr>
          <w:rFonts w:cstheme="minorHAnsi"/>
          <w:i/>
          <w:iCs/>
          <w:sz w:val="20"/>
          <w:szCs w:val="20"/>
        </w:rPr>
        <w:t>Journal of Computer Assisted Tomography</w:t>
      </w:r>
      <w:r w:rsidRPr="00A61E50">
        <w:rPr>
          <w:rFonts w:cstheme="minorHAnsi"/>
          <w:sz w:val="20"/>
          <w:szCs w:val="20"/>
        </w:rPr>
        <w:t>, 15(4), pp.621–628.</w:t>
      </w:r>
    </w:p>
    <w:p w14:paraId="251ABF5A"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Choi, H.S., Kim, A.H., Ahn, S.S., Shin, N., Kim, J. and Lee, S.-K. (2013). Glioma Grading Capability: Comparisons among Parameters from Dynamic Contrast-Enhanced MRI and ADC Value on DWI. </w:t>
      </w:r>
      <w:r w:rsidRPr="00A61E50">
        <w:rPr>
          <w:rFonts w:cstheme="minorHAnsi"/>
          <w:i/>
          <w:iCs/>
          <w:sz w:val="20"/>
          <w:szCs w:val="20"/>
        </w:rPr>
        <w:t>Korean Journal of Radiology</w:t>
      </w:r>
      <w:r w:rsidRPr="00A61E50">
        <w:rPr>
          <w:rFonts w:cstheme="minorHAnsi"/>
          <w:sz w:val="20"/>
          <w:szCs w:val="20"/>
        </w:rPr>
        <w:t>, 14(3), p.487.</w:t>
      </w:r>
    </w:p>
    <w:p w14:paraId="1BD04613"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Chung, W.J., Kim, H.S., Kim, N., Choi, C.G. and Kim, S.J. (2013). Recurrent Glioblastoma: Optimum Area under the Curve Method Derived from Dynamic Contrast-enhanced T1-weighted Perfusion MR Imaging. </w:t>
      </w:r>
      <w:r w:rsidRPr="00A61E50">
        <w:rPr>
          <w:rFonts w:cstheme="minorHAnsi"/>
          <w:i/>
          <w:iCs/>
          <w:sz w:val="20"/>
          <w:szCs w:val="20"/>
        </w:rPr>
        <w:t>Radiology</w:t>
      </w:r>
      <w:r w:rsidRPr="00A61E50">
        <w:rPr>
          <w:rFonts w:cstheme="minorHAnsi"/>
          <w:sz w:val="20"/>
          <w:szCs w:val="20"/>
        </w:rPr>
        <w:t>, 269(2), pp.561–568.</w:t>
      </w:r>
    </w:p>
    <w:p w14:paraId="57F48131"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Colman, H. (2020). Adult Gliomas. </w:t>
      </w:r>
      <w:r w:rsidRPr="00A61E50">
        <w:rPr>
          <w:rFonts w:cstheme="minorHAnsi"/>
          <w:i/>
          <w:iCs/>
          <w:sz w:val="20"/>
          <w:szCs w:val="20"/>
        </w:rPr>
        <w:t>CONTINUUM: Lifelong Learning in Neurology</w:t>
      </w:r>
      <w:r w:rsidRPr="00A61E50">
        <w:rPr>
          <w:rFonts w:cstheme="minorHAnsi"/>
          <w:sz w:val="20"/>
          <w:szCs w:val="20"/>
        </w:rPr>
        <w:t>, 26(6), pp.1452–1475.</w:t>
      </w:r>
    </w:p>
    <w:p w14:paraId="268CE89F"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Etikan, İ. (2018). Choosing statistical tests for survival analysis. </w:t>
      </w:r>
      <w:r w:rsidRPr="00A61E50">
        <w:rPr>
          <w:rFonts w:cstheme="minorHAnsi"/>
          <w:i/>
          <w:iCs/>
          <w:sz w:val="20"/>
          <w:szCs w:val="20"/>
        </w:rPr>
        <w:t>Biometrics &amp; Biostatistics International Journal</w:t>
      </w:r>
      <w:r w:rsidRPr="00A61E50">
        <w:rPr>
          <w:rFonts w:cstheme="minorHAnsi"/>
          <w:sz w:val="20"/>
          <w:szCs w:val="20"/>
        </w:rPr>
        <w:t>, 7(5).</w:t>
      </w:r>
    </w:p>
    <w:p w14:paraId="1EEEAC20"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Filice, S., Ortenzia, O. and Crisi, G. (2021). How tissue T1-variability influences DCE-MRI perfusion parameters estimation of recurrent high-grade glioma after surgery followed by radiochemotherapy. </w:t>
      </w:r>
      <w:r w:rsidRPr="00A61E50">
        <w:rPr>
          <w:rFonts w:cstheme="minorHAnsi"/>
          <w:i/>
          <w:iCs/>
          <w:sz w:val="20"/>
          <w:szCs w:val="20"/>
        </w:rPr>
        <w:t>Acta Radiologica</w:t>
      </w:r>
      <w:r w:rsidRPr="00A61E50">
        <w:rPr>
          <w:rFonts w:cstheme="minorHAnsi"/>
          <w:sz w:val="20"/>
          <w:szCs w:val="20"/>
        </w:rPr>
        <w:t>, p.028418512110359.</w:t>
      </w:r>
    </w:p>
    <w:p w14:paraId="1ADF15F8"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Fink, J., Born, D. and Chamberlain, M.C. (2011). Pseudoprogression: Relevance With Respect to Treatment of High-Grade Gliomas. </w:t>
      </w:r>
      <w:r w:rsidRPr="00A61E50">
        <w:rPr>
          <w:rFonts w:cstheme="minorHAnsi"/>
          <w:i/>
          <w:iCs/>
          <w:sz w:val="20"/>
          <w:szCs w:val="20"/>
        </w:rPr>
        <w:t>Current Treatment Options in Oncology</w:t>
      </w:r>
      <w:r w:rsidRPr="00A61E50">
        <w:rPr>
          <w:rFonts w:cstheme="minorHAnsi"/>
          <w:sz w:val="20"/>
          <w:szCs w:val="20"/>
        </w:rPr>
        <w:t>, 12(3), pp.240–252.</w:t>
      </w:r>
    </w:p>
    <w:p w14:paraId="1CF4C0F9"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Hamilton, J.D., Lin, J., Ison, C., Leeds, N.E., Jackson, E.F., Fuller, G.N., Ketonen, L. and Kumar, A.J. (2014). Dynamic Contrast-Enhanced Perfusion Processing for Neuroradiologists: Model-Dependent Analysis May Not Be Necessary for Determining Recurrent High-Grade Glioma versus Treatment Effect. </w:t>
      </w:r>
      <w:r w:rsidRPr="00A61E50">
        <w:rPr>
          <w:rFonts w:cstheme="minorHAnsi"/>
          <w:i/>
          <w:iCs/>
          <w:sz w:val="20"/>
          <w:szCs w:val="20"/>
        </w:rPr>
        <w:t>American Journal of Neuroradiology</w:t>
      </w:r>
      <w:r w:rsidRPr="00A61E50">
        <w:rPr>
          <w:rFonts w:cstheme="minorHAnsi"/>
          <w:sz w:val="20"/>
          <w:szCs w:val="20"/>
        </w:rPr>
        <w:t>, 36(4), pp.686–693.</w:t>
      </w:r>
    </w:p>
    <w:p w14:paraId="401FD7C6"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Jansen, J.F. (2016). Texture analysis on parametric maps derived from dynamic contrast-enhanced magnetic resonance imaging in head and neck cancer. </w:t>
      </w:r>
      <w:r w:rsidRPr="00A61E50">
        <w:rPr>
          <w:rFonts w:cstheme="minorHAnsi"/>
          <w:i/>
          <w:iCs/>
          <w:sz w:val="20"/>
          <w:szCs w:val="20"/>
        </w:rPr>
        <w:t>World Journal of Radiology</w:t>
      </w:r>
      <w:r w:rsidRPr="00A61E50">
        <w:rPr>
          <w:rFonts w:cstheme="minorHAnsi"/>
          <w:sz w:val="20"/>
          <w:szCs w:val="20"/>
        </w:rPr>
        <w:t>, 8(1), p.90.</w:t>
      </w:r>
    </w:p>
    <w:p w14:paraId="78F85DBF"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Larsen, V.A., Simonsen, H.J., Law, I., Larsson, H.B.W. and Hansen, A.E. (2012). Evaluation of dynamic contrast-enhanced T1-weighted perfusion MRI in the differentiation of tumor recurrence from radiation necrosis. </w:t>
      </w:r>
      <w:r w:rsidRPr="00A61E50">
        <w:rPr>
          <w:rFonts w:cstheme="minorHAnsi"/>
          <w:i/>
          <w:iCs/>
          <w:sz w:val="20"/>
          <w:szCs w:val="20"/>
        </w:rPr>
        <w:t>Neuroradiology</w:t>
      </w:r>
      <w:r w:rsidRPr="00A61E50">
        <w:rPr>
          <w:rFonts w:cstheme="minorHAnsi"/>
          <w:sz w:val="20"/>
          <w:szCs w:val="20"/>
        </w:rPr>
        <w:t>, 55(3), pp.361–369.</w:t>
      </w:r>
    </w:p>
    <w:p w14:paraId="54EE4C14"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Malara, N. and Donato, G. (2019). Blood-Brain Barrier Breakdown by Combined Detection of Circulating Tumor and Endothelial Cells in Liquid Biopsy. </w:t>
      </w:r>
      <w:r w:rsidRPr="00A61E50">
        <w:rPr>
          <w:rFonts w:cstheme="minorHAnsi"/>
          <w:i/>
          <w:iCs/>
          <w:sz w:val="20"/>
          <w:szCs w:val="20"/>
        </w:rPr>
        <w:t>Liquid Biopsy</w:t>
      </w:r>
      <w:r w:rsidRPr="00A61E50">
        <w:rPr>
          <w:rFonts w:cstheme="minorHAnsi"/>
          <w:sz w:val="20"/>
          <w:szCs w:val="20"/>
        </w:rPr>
        <w:t>.</w:t>
      </w:r>
    </w:p>
    <w:p w14:paraId="1F867C12"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Narang, J., Jain, R., Arbab, A.S., Mikkelsen, T., Scarpace, L., Rosenblum, M.L., Hearshen, D. and Babajani-Feremi, A. (2011). Differentiating treatment-induced necrosis from recurrent/progressive brain tumor using nonmodel-based semiquantitative indices derived from dynamic contrast-enhanced T1-weighted MR perfusion. </w:t>
      </w:r>
      <w:r w:rsidRPr="00A61E50">
        <w:rPr>
          <w:rFonts w:cstheme="minorHAnsi"/>
          <w:i/>
          <w:iCs/>
          <w:sz w:val="20"/>
          <w:szCs w:val="20"/>
        </w:rPr>
        <w:t>Neuro-Oncology</w:t>
      </w:r>
      <w:r w:rsidRPr="00A61E50">
        <w:rPr>
          <w:rFonts w:cstheme="minorHAnsi"/>
          <w:sz w:val="20"/>
          <w:szCs w:val="20"/>
        </w:rPr>
        <w:t>, 13(9), pp.1037–1046.</w:t>
      </w:r>
    </w:p>
    <w:p w14:paraId="2BB5BEFA" w14:textId="0B0672F3" w:rsidR="00AA2CC9" w:rsidRDefault="007C79B7" w:rsidP="00AA2CC9">
      <w:pPr>
        <w:ind w:left="340" w:hanging="340"/>
        <w:jc w:val="both"/>
        <w:rPr>
          <w:rFonts w:cstheme="minorHAnsi"/>
          <w:sz w:val="20"/>
          <w:szCs w:val="20"/>
        </w:rPr>
      </w:pPr>
      <w:r w:rsidRPr="00A61E50">
        <w:rPr>
          <w:rFonts w:cstheme="minorHAnsi"/>
          <w:sz w:val="20"/>
          <w:szCs w:val="20"/>
        </w:rPr>
        <w:t xml:space="preserve">NICE guideline (2021). </w:t>
      </w:r>
      <w:r w:rsidRPr="00A61E50">
        <w:rPr>
          <w:rFonts w:cstheme="minorHAnsi"/>
          <w:i/>
          <w:iCs/>
          <w:sz w:val="20"/>
          <w:szCs w:val="20"/>
        </w:rPr>
        <w:t>Recommendations | Brain tumours (primary) and brain metastases in adults | Guidance | NICE</w:t>
      </w:r>
      <w:r w:rsidRPr="00A61E50">
        <w:rPr>
          <w:rFonts w:cstheme="minorHAnsi"/>
          <w:sz w:val="20"/>
          <w:szCs w:val="20"/>
        </w:rPr>
        <w:t xml:space="preserve">. [online] www.nice.org.uk. Available at: </w:t>
      </w:r>
      <w:hyperlink r:id="rId16" w:anchor="management-of-glioma" w:history="1">
        <w:r w:rsidR="00AA2CC9" w:rsidRPr="006B34E3">
          <w:rPr>
            <w:rStyle w:val="Hyperlink"/>
            <w:rFonts w:cstheme="minorHAnsi"/>
            <w:sz w:val="20"/>
            <w:szCs w:val="20"/>
          </w:rPr>
          <w:t>https://www.nice.org.uk/guidance/ng99/chapter/recommendations#management-of-glioma</w:t>
        </w:r>
      </w:hyperlink>
      <w:r w:rsidRPr="00A61E50">
        <w:rPr>
          <w:rFonts w:cstheme="minorHAnsi"/>
          <w:sz w:val="20"/>
          <w:szCs w:val="20"/>
        </w:rPr>
        <w:t>.</w:t>
      </w:r>
    </w:p>
    <w:p w14:paraId="2A1BAC5D"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Onishi, N., Sadinski, M., Hughes, M.C., Ko, E.S., Gibbs, P., Gallagher, K.M., Fung, M.M., Hunt, T.J., Martinez, D.F., Shukla-Dave, A., Morris, E.A. and Sutton, E.J. (2020). Ultrafast dynamic contrast-enhanced breast MRI may generate prognostic imaging markers of breast cancer. </w:t>
      </w:r>
      <w:r w:rsidRPr="00A61E50">
        <w:rPr>
          <w:rFonts w:cstheme="minorHAnsi"/>
          <w:i/>
          <w:iCs/>
          <w:sz w:val="20"/>
          <w:szCs w:val="20"/>
        </w:rPr>
        <w:t>Breast Cancer Research</w:t>
      </w:r>
      <w:r w:rsidRPr="00A61E50">
        <w:rPr>
          <w:rFonts w:cstheme="minorHAnsi"/>
          <w:sz w:val="20"/>
          <w:szCs w:val="20"/>
        </w:rPr>
        <w:t>, 22(1).</w:t>
      </w:r>
    </w:p>
    <w:p w14:paraId="56F0D9AE"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Park, J.E., Kim, H.S., Goh, M.J., Kim, S.J. and Kim, J.H. (2015). Pseudoprogression in Patients with Glioblastoma: Assessment by Using Volume-weighted Voxel-based Multiparametric Clustering of MR Imaging Data in an Independent Test Set. </w:t>
      </w:r>
      <w:r w:rsidRPr="00A61E50">
        <w:rPr>
          <w:rFonts w:cstheme="minorHAnsi"/>
          <w:i/>
          <w:iCs/>
          <w:sz w:val="20"/>
          <w:szCs w:val="20"/>
        </w:rPr>
        <w:t>Radiology</w:t>
      </w:r>
      <w:r w:rsidRPr="00A61E50">
        <w:rPr>
          <w:rFonts w:cstheme="minorHAnsi"/>
          <w:sz w:val="20"/>
          <w:szCs w:val="20"/>
        </w:rPr>
        <w:t>, 275(3), pp.792–802.</w:t>
      </w:r>
    </w:p>
    <w:p w14:paraId="222C5D6C" w14:textId="72EF41FB" w:rsidR="00AA2CC9" w:rsidRDefault="007C79B7" w:rsidP="00AA2CC9">
      <w:pPr>
        <w:ind w:left="340" w:hanging="340"/>
        <w:jc w:val="both"/>
        <w:rPr>
          <w:rFonts w:cstheme="minorHAnsi"/>
          <w:sz w:val="20"/>
          <w:szCs w:val="20"/>
        </w:rPr>
      </w:pPr>
      <w:r w:rsidRPr="00A61E50">
        <w:rPr>
          <w:rFonts w:cstheme="minorHAnsi"/>
          <w:sz w:val="20"/>
          <w:szCs w:val="20"/>
        </w:rPr>
        <w:t xml:space="preserve">Philips, A., Henshaw, D.L., Lamburn, G. and O’Carroll, M.J. (2018). Authors’ Comment on “Brain Tumours: Rise in Glioblastoma Multiforme Incidence in England 1995–2015 Suggests an Adverse Environmental or Lifestyle Factor.” </w:t>
      </w:r>
      <w:r w:rsidRPr="00A61E50">
        <w:rPr>
          <w:rFonts w:cstheme="minorHAnsi"/>
          <w:i/>
          <w:iCs/>
          <w:sz w:val="20"/>
          <w:szCs w:val="20"/>
        </w:rPr>
        <w:t>Journal of Environmental and Public Health</w:t>
      </w:r>
      <w:r w:rsidRPr="00A61E50">
        <w:rPr>
          <w:rFonts w:cstheme="minorHAnsi"/>
          <w:sz w:val="20"/>
          <w:szCs w:val="20"/>
        </w:rPr>
        <w:t xml:space="preserve">, [online] 2018, pp.1–3. Available at: </w:t>
      </w:r>
      <w:hyperlink r:id="rId17" w:history="1">
        <w:r w:rsidR="00AA2CC9" w:rsidRPr="006B34E3">
          <w:rPr>
            <w:rStyle w:val="Hyperlink"/>
            <w:rFonts w:cstheme="minorHAnsi"/>
            <w:sz w:val="20"/>
            <w:szCs w:val="20"/>
          </w:rPr>
          <w:t>https://www.hindawi.com/journals/jeph/2018/2170208/</w:t>
        </w:r>
      </w:hyperlink>
      <w:r w:rsidRPr="00A61E50">
        <w:rPr>
          <w:rFonts w:cstheme="minorHAnsi"/>
          <w:sz w:val="20"/>
          <w:szCs w:val="20"/>
        </w:rPr>
        <w:t>.</w:t>
      </w:r>
    </w:p>
    <w:p w14:paraId="0AF1DE50"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Pope, W.B. (2015). Genomics of Brain Tumor Imaging. </w:t>
      </w:r>
      <w:r w:rsidRPr="00A61E50">
        <w:rPr>
          <w:rFonts w:cstheme="minorHAnsi"/>
          <w:i/>
          <w:iCs/>
          <w:sz w:val="20"/>
          <w:szCs w:val="20"/>
        </w:rPr>
        <w:t>Neuroimaging Clinics of North America</w:t>
      </w:r>
      <w:r w:rsidRPr="00A61E50">
        <w:rPr>
          <w:rFonts w:cstheme="minorHAnsi"/>
          <w:sz w:val="20"/>
          <w:szCs w:val="20"/>
        </w:rPr>
        <w:t>, 25(1), pp.105–119.</w:t>
      </w:r>
    </w:p>
    <w:p w14:paraId="652FECF2"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Rebekić, A., Lončarić, Z., Petrović, S. and Marić, S. (2015). PEARSON’S OR SPEARMAN’S CORRELATION COEFFICIENT - WHICH ONE TO USE? </w:t>
      </w:r>
      <w:r w:rsidRPr="00A61E50">
        <w:rPr>
          <w:rFonts w:cstheme="minorHAnsi"/>
          <w:i/>
          <w:iCs/>
          <w:sz w:val="20"/>
          <w:szCs w:val="20"/>
        </w:rPr>
        <w:t>Poljoprivreda</w:t>
      </w:r>
      <w:r w:rsidRPr="00A61E50">
        <w:rPr>
          <w:rFonts w:cstheme="minorHAnsi"/>
          <w:sz w:val="20"/>
          <w:szCs w:val="20"/>
        </w:rPr>
        <w:t>, 21(2), pp.47–54.</w:t>
      </w:r>
    </w:p>
    <w:p w14:paraId="056268E3" w14:textId="0D82E23C" w:rsidR="00AA2CC9" w:rsidRDefault="007C79B7" w:rsidP="00AA2CC9">
      <w:pPr>
        <w:ind w:left="340" w:hanging="340"/>
        <w:jc w:val="both"/>
        <w:rPr>
          <w:rFonts w:cstheme="minorHAnsi"/>
          <w:sz w:val="20"/>
          <w:szCs w:val="20"/>
        </w:rPr>
      </w:pPr>
      <w:r w:rsidRPr="00A61E50">
        <w:rPr>
          <w:rFonts w:cstheme="minorHAnsi"/>
          <w:sz w:val="20"/>
          <w:szCs w:val="20"/>
        </w:rPr>
        <w:t xml:space="preserve">Ribas, A. and Wolchok, J.D. (2018). Cancer immunotherapy using checkpoint blockade. </w:t>
      </w:r>
      <w:r w:rsidRPr="00A61E50">
        <w:rPr>
          <w:rFonts w:cstheme="minorHAnsi"/>
          <w:i/>
          <w:iCs/>
          <w:sz w:val="20"/>
          <w:szCs w:val="20"/>
        </w:rPr>
        <w:t>Science</w:t>
      </w:r>
      <w:r w:rsidRPr="00A61E50">
        <w:rPr>
          <w:rFonts w:cstheme="minorHAnsi"/>
          <w:sz w:val="20"/>
          <w:szCs w:val="20"/>
        </w:rPr>
        <w:t xml:space="preserve">, [online] 359(6382), pp.1350–1355. Available at: </w:t>
      </w:r>
      <w:hyperlink r:id="rId18" w:history="1">
        <w:r w:rsidR="00AA2CC9" w:rsidRPr="006B34E3">
          <w:rPr>
            <w:rStyle w:val="Hyperlink"/>
            <w:rFonts w:cstheme="minorHAnsi"/>
            <w:sz w:val="20"/>
            <w:szCs w:val="20"/>
          </w:rPr>
          <w:t>https://science.sciencemag.org/content/sci/359/6382/1350.full.pdf</w:t>
        </w:r>
      </w:hyperlink>
      <w:r w:rsidRPr="00A61E50">
        <w:rPr>
          <w:rFonts w:cstheme="minorHAnsi"/>
          <w:sz w:val="20"/>
          <w:szCs w:val="20"/>
        </w:rPr>
        <w:t>.</w:t>
      </w:r>
    </w:p>
    <w:p w14:paraId="3DD8EF7E"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Rowe, L.S., Butman, J.A., Mackey, M., Shih, J.H., Cooley-Zgela, T., Ning, H., Gilbert, M.R., Smart, D.K., Camphausen, K. and Krauze, A.V. (2018). Differentiating pseudoprogression from true progression: analysis of radiographic, biologic, and clinical clues in GBM. </w:t>
      </w:r>
      <w:r w:rsidRPr="00A61E50">
        <w:rPr>
          <w:rFonts w:cstheme="minorHAnsi"/>
          <w:i/>
          <w:iCs/>
          <w:sz w:val="20"/>
          <w:szCs w:val="20"/>
        </w:rPr>
        <w:t>Journal of Neuro-Oncology</w:t>
      </w:r>
      <w:r w:rsidRPr="00A61E50">
        <w:rPr>
          <w:rFonts w:cstheme="minorHAnsi"/>
          <w:sz w:val="20"/>
          <w:szCs w:val="20"/>
        </w:rPr>
        <w:t>, 139(1), pp.145–152.</w:t>
      </w:r>
    </w:p>
    <w:p w14:paraId="2DC60E91"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Seeger, A., Braun, C., Skardelly, M., Paulsen, F., Schittenhelm, J., Ernemann, U. and Bisdas, S. (2013). Comparison of Three Different MR Perfusion Techniques and MR Spectroscopy for Multiparametric Assessment in </w:t>
      </w:r>
      <w:r w:rsidRPr="00A61E50">
        <w:rPr>
          <w:rFonts w:cstheme="minorHAnsi"/>
          <w:sz w:val="20"/>
          <w:szCs w:val="20"/>
        </w:rPr>
        <w:lastRenderedPageBreak/>
        <w:t xml:space="preserve">Distinguishing Recurrent High-Grade Gliomas from Stable Disease. </w:t>
      </w:r>
      <w:r w:rsidRPr="00A61E50">
        <w:rPr>
          <w:rFonts w:cstheme="minorHAnsi"/>
          <w:i/>
          <w:iCs/>
          <w:sz w:val="20"/>
          <w:szCs w:val="20"/>
        </w:rPr>
        <w:t>Academic Radiology</w:t>
      </w:r>
      <w:r w:rsidRPr="00A61E50">
        <w:rPr>
          <w:rFonts w:cstheme="minorHAnsi"/>
          <w:sz w:val="20"/>
          <w:szCs w:val="20"/>
        </w:rPr>
        <w:t>, 20(12), pp.1557–1565.</w:t>
      </w:r>
    </w:p>
    <w:p w14:paraId="7367E291"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Sharma, M., Juthani, R.G. and Vogelbaum, M.A. (2017). Updated response assessment criteria for high-grade glioma: beyond the MacDonald criteria. </w:t>
      </w:r>
      <w:r w:rsidRPr="00A61E50">
        <w:rPr>
          <w:rFonts w:cstheme="minorHAnsi"/>
          <w:i/>
          <w:iCs/>
          <w:sz w:val="20"/>
          <w:szCs w:val="20"/>
        </w:rPr>
        <w:t>Chinese Clinical Oncology</w:t>
      </w:r>
      <w:r w:rsidRPr="00A61E50">
        <w:rPr>
          <w:rFonts w:cstheme="minorHAnsi"/>
          <w:sz w:val="20"/>
          <w:szCs w:val="20"/>
        </w:rPr>
        <w:t>, 6(4), pp.37–37.</w:t>
      </w:r>
    </w:p>
    <w:p w14:paraId="48FE41DE"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Sheard, J. (2018). Quantitative data analysis. </w:t>
      </w:r>
      <w:r w:rsidRPr="00A61E50">
        <w:rPr>
          <w:rFonts w:cstheme="minorHAnsi"/>
          <w:i/>
          <w:iCs/>
          <w:sz w:val="20"/>
          <w:szCs w:val="20"/>
        </w:rPr>
        <w:t>Research Methods</w:t>
      </w:r>
      <w:r w:rsidRPr="00A61E50">
        <w:rPr>
          <w:rFonts w:cstheme="minorHAnsi"/>
          <w:sz w:val="20"/>
          <w:szCs w:val="20"/>
        </w:rPr>
        <w:t>, pp.429–452.</w:t>
      </w:r>
    </w:p>
    <w:p w14:paraId="6979361E"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Shin, K.E., Ahn, K.J., Choi, H.S., Jung, S.L., Kim, B.S., Jeon, S.S. and Hong, Y.G. (2014). DCE and DSC MR perfusion imaging in the differentiation of recurrent tumour from treatment-related changes in patients with glioma. </w:t>
      </w:r>
      <w:r w:rsidRPr="00A61E50">
        <w:rPr>
          <w:rFonts w:cstheme="minorHAnsi"/>
          <w:i/>
          <w:iCs/>
          <w:sz w:val="20"/>
          <w:szCs w:val="20"/>
        </w:rPr>
        <w:t>Clinical Radiology</w:t>
      </w:r>
      <w:r w:rsidRPr="00A61E50">
        <w:rPr>
          <w:rFonts w:cstheme="minorHAnsi"/>
          <w:sz w:val="20"/>
          <w:szCs w:val="20"/>
        </w:rPr>
        <w:t>, 69(6), pp.e264–e272.</w:t>
      </w:r>
    </w:p>
    <w:p w14:paraId="73EEE70E"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Song, X., Ren, J.-L., Zhao, D., Wang, L., Ren, H. and Niu, J. (2020). Radiomics derived from dynamic contrast-enhanced MRI pharmacokinetic protocol features: the value of precision diagnosis ovarian neoplasms. </w:t>
      </w:r>
      <w:r w:rsidRPr="00A61E50">
        <w:rPr>
          <w:rFonts w:cstheme="minorHAnsi"/>
          <w:i/>
          <w:iCs/>
          <w:sz w:val="20"/>
          <w:szCs w:val="20"/>
        </w:rPr>
        <w:t>European Radiology</w:t>
      </w:r>
      <w:r w:rsidRPr="00A61E50">
        <w:rPr>
          <w:rFonts w:cstheme="minorHAnsi"/>
          <w:sz w:val="20"/>
          <w:szCs w:val="20"/>
        </w:rPr>
        <w:t>, 31(1), pp.368–378.</w:t>
      </w:r>
    </w:p>
    <w:p w14:paraId="34BFB50E"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Sourbron, S.P. and Buckley, D.L. (2013). Classic models for dynamic contrast-enhanced MRI. </w:t>
      </w:r>
      <w:r w:rsidRPr="00A61E50">
        <w:rPr>
          <w:rFonts w:cstheme="minorHAnsi"/>
          <w:i/>
          <w:iCs/>
          <w:sz w:val="20"/>
          <w:szCs w:val="20"/>
        </w:rPr>
        <w:t>NMR in Biomedicine</w:t>
      </w:r>
      <w:r w:rsidRPr="00A61E50">
        <w:rPr>
          <w:rFonts w:cstheme="minorHAnsi"/>
          <w:sz w:val="20"/>
          <w:szCs w:val="20"/>
        </w:rPr>
        <w:t>, 26(8), pp.1004–1027.</w:t>
      </w:r>
    </w:p>
    <w:p w14:paraId="7BCAAF04"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Stupp, R., Brada, M., van den Bent, M.J., Tonn, J.-C. . and Pentheroudakis, G. (2014). High-grade glioma: ESMO Clinical Practice Guidelines for diagnosis, treatment and follow-up. </w:t>
      </w:r>
      <w:r w:rsidRPr="00A61E50">
        <w:rPr>
          <w:rFonts w:cstheme="minorHAnsi"/>
          <w:i/>
          <w:iCs/>
          <w:sz w:val="20"/>
          <w:szCs w:val="20"/>
        </w:rPr>
        <w:t>Annals of Oncology</w:t>
      </w:r>
      <w:r w:rsidRPr="00A61E50">
        <w:rPr>
          <w:rFonts w:cstheme="minorHAnsi"/>
          <w:sz w:val="20"/>
          <w:szCs w:val="20"/>
        </w:rPr>
        <w:t>, 25, pp.iii93–iii101.</w:t>
      </w:r>
    </w:p>
    <w:p w14:paraId="4FD8FC0C"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Suh, C.H., Kim, H.S., Choi, Y.J., Kim, N. and Kim, S.J. (2013). Prediction of Pseudoprogression in Patients with Glioblastomas Using the Initial and Final Area Under the Curves Ratio Derived from Dynamic Contrast-Enhanced T1-Weighted Perfusion MR Imaging. </w:t>
      </w:r>
      <w:r w:rsidRPr="00A61E50">
        <w:rPr>
          <w:rFonts w:cstheme="minorHAnsi"/>
          <w:i/>
          <w:iCs/>
          <w:sz w:val="20"/>
          <w:szCs w:val="20"/>
        </w:rPr>
        <w:t>American Journal of Neuroradiology</w:t>
      </w:r>
      <w:r w:rsidRPr="00A61E50">
        <w:rPr>
          <w:rFonts w:cstheme="minorHAnsi"/>
          <w:sz w:val="20"/>
          <w:szCs w:val="20"/>
        </w:rPr>
        <w:t>, 34(12), pp.2278–2286.</w:t>
      </w:r>
    </w:p>
    <w:p w14:paraId="3FF23532"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Thomas, A.A., Arevalo-Perez, J., Kaley, T., Lyo, J., Peck, K.K., Shi, W., Zhang, Z. and Young, R.J. (2015). Dynamic contrast enhanced T1 MRI perfusion differentiates pseudoprogression from recurrent glioblastoma. </w:t>
      </w:r>
      <w:r w:rsidRPr="00A61E50">
        <w:rPr>
          <w:rFonts w:cstheme="minorHAnsi"/>
          <w:i/>
          <w:iCs/>
          <w:sz w:val="20"/>
          <w:szCs w:val="20"/>
        </w:rPr>
        <w:t>Journal of Neuro-Oncology</w:t>
      </w:r>
      <w:r w:rsidRPr="00A61E50">
        <w:rPr>
          <w:rFonts w:cstheme="minorHAnsi"/>
          <w:sz w:val="20"/>
          <w:szCs w:val="20"/>
        </w:rPr>
        <w:t>, 125(1), pp.183–190.</w:t>
      </w:r>
    </w:p>
    <w:p w14:paraId="220A8353"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Tofts, P.S., Brix, G., Buckley, D.L., Evelhoch, J.L., Henderson, E., Knopp, M.V., Larsson, H.B., Lee, T.Y., Mayr, N.A., Parker, G.J., Port, R.E., Taylor, J. and Weisskoff, R.M. (1999). Estimating kinetic parameters from dynamic contrast-enhanced T(1)-weighted MRI of a diffusable tracer: standardized quantities and symbols. </w:t>
      </w:r>
      <w:r w:rsidRPr="00A61E50">
        <w:rPr>
          <w:rFonts w:cstheme="minorHAnsi"/>
          <w:i/>
          <w:iCs/>
          <w:sz w:val="20"/>
          <w:szCs w:val="20"/>
        </w:rPr>
        <w:t>Journal of magnetic resonance imaging : JMRI</w:t>
      </w:r>
      <w:r w:rsidRPr="00A61E50">
        <w:rPr>
          <w:rFonts w:cstheme="minorHAnsi"/>
          <w:sz w:val="20"/>
          <w:szCs w:val="20"/>
        </w:rPr>
        <w:t>, [online] 10(3), pp.223–32. Available at: https://www.ncbi.nlm.nih.gov/pubmed/10508281 [Accessed 12 Jan. 2020].</w:t>
      </w:r>
    </w:p>
    <w:p w14:paraId="01C9B6D9" w14:textId="77777777" w:rsidR="00AA2CC9" w:rsidRDefault="007C79B7" w:rsidP="00AA2CC9">
      <w:pPr>
        <w:ind w:left="340" w:hanging="340"/>
        <w:jc w:val="both"/>
        <w:rPr>
          <w:rFonts w:cstheme="minorHAnsi"/>
          <w:sz w:val="20"/>
          <w:szCs w:val="20"/>
        </w:rPr>
      </w:pPr>
      <w:r w:rsidRPr="00A61E50">
        <w:rPr>
          <w:rFonts w:cstheme="minorHAnsi"/>
          <w:sz w:val="20"/>
          <w:szCs w:val="20"/>
          <w:lang w:val="nl-NL"/>
        </w:rPr>
        <w:t xml:space="preserve">van Dijken, B.R.J., van Laar, P.J., Holtman, G.A. and van der Hoorn, A. (2017). </w:t>
      </w:r>
      <w:r w:rsidRPr="00A61E50">
        <w:rPr>
          <w:rFonts w:cstheme="minorHAnsi"/>
          <w:sz w:val="20"/>
          <w:szCs w:val="20"/>
        </w:rPr>
        <w:t xml:space="preserve">Diagnostic accuracy of magnetic resonance imaging techniques for treatment response evaluation in patients with high-grade glioma, a systematic review and meta-analysis. </w:t>
      </w:r>
      <w:r w:rsidRPr="00A61E50">
        <w:rPr>
          <w:rFonts w:cstheme="minorHAnsi"/>
          <w:i/>
          <w:iCs/>
          <w:sz w:val="20"/>
          <w:szCs w:val="20"/>
        </w:rPr>
        <w:t>European Radiology</w:t>
      </w:r>
      <w:r w:rsidRPr="00A61E50">
        <w:rPr>
          <w:rFonts w:cstheme="minorHAnsi"/>
          <w:sz w:val="20"/>
          <w:szCs w:val="20"/>
        </w:rPr>
        <w:t>, 27(10), pp.4129–4144.</w:t>
      </w:r>
    </w:p>
    <w:p w14:paraId="1E161C9A"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van Dijken, B.R.J., van Laar, P.J., Smits, M., Dankbaar, J.W., Enting, R.H. and van der Hoorn, A. (2019). Perfusion MRI in treatment evaluation of glioblastomas: Clinical relevance of current and future techniques. </w:t>
      </w:r>
      <w:r w:rsidRPr="00A61E50">
        <w:rPr>
          <w:rFonts w:cstheme="minorHAnsi"/>
          <w:i/>
          <w:iCs/>
          <w:sz w:val="20"/>
          <w:szCs w:val="20"/>
        </w:rPr>
        <w:t>Journal of Magnetic Resonance Imaging</w:t>
      </w:r>
      <w:r w:rsidRPr="00A61E50">
        <w:rPr>
          <w:rFonts w:cstheme="minorHAnsi"/>
          <w:sz w:val="20"/>
          <w:szCs w:val="20"/>
        </w:rPr>
        <w:t>, [online] 49(1), pp.11–22. Available at: https://www.ncbi.nlm.nih.gov/pmc/articles/PMC6590309/ [Accessed 16 Apr. 2020].</w:t>
      </w:r>
    </w:p>
    <w:p w14:paraId="4AEC4248"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Young, R.J., Gupta, A., Shah, A.D., Graber, J.J., Chan, T.A., Zhang, Z., Shi, W., Beal, K. and Omuro, A.M. (2013). MRI perfusion in determining pseudoprogression in patients with glioblastoma. </w:t>
      </w:r>
      <w:r w:rsidRPr="00A61E50">
        <w:rPr>
          <w:rFonts w:cstheme="minorHAnsi"/>
          <w:i/>
          <w:iCs/>
          <w:sz w:val="20"/>
          <w:szCs w:val="20"/>
        </w:rPr>
        <w:t>Clinical Imaging</w:t>
      </w:r>
      <w:r w:rsidRPr="00A61E50">
        <w:rPr>
          <w:rFonts w:cstheme="minorHAnsi"/>
          <w:sz w:val="20"/>
          <w:szCs w:val="20"/>
        </w:rPr>
        <w:t>, 37(1), pp.41–49.</w:t>
      </w:r>
    </w:p>
    <w:p w14:paraId="31F63C72"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Yun, T.J., Park, C.-K., Kim, T.M., Lee, S.-H., Kim, J.-H., Sohn, C.-H., Park, S.-H., Kim, I.H. and Choi, S.H. (2015). Glioblastoma Treated with Concurrent Radiation Therapy and Temozolomide Chemotherapy: Differentiation of True Progression from Pseudoprogression with Quantitative Dynamic Contrast-enhanced MR Imaging. </w:t>
      </w:r>
      <w:r w:rsidRPr="00A61E50">
        <w:rPr>
          <w:rFonts w:cstheme="minorHAnsi"/>
          <w:i/>
          <w:iCs/>
          <w:sz w:val="20"/>
          <w:szCs w:val="20"/>
        </w:rPr>
        <w:t>Radiology</w:t>
      </w:r>
      <w:r w:rsidRPr="00A61E50">
        <w:rPr>
          <w:rFonts w:cstheme="minorHAnsi"/>
          <w:sz w:val="20"/>
          <w:szCs w:val="20"/>
        </w:rPr>
        <w:t>, 274(3), pp.830–840.</w:t>
      </w:r>
    </w:p>
    <w:p w14:paraId="1CA16176" w14:textId="77777777" w:rsidR="00AA2CC9" w:rsidRDefault="007C79B7" w:rsidP="00AA2CC9">
      <w:pPr>
        <w:ind w:left="340" w:hanging="340"/>
        <w:jc w:val="both"/>
        <w:rPr>
          <w:rFonts w:cstheme="minorHAnsi"/>
          <w:sz w:val="20"/>
          <w:szCs w:val="20"/>
        </w:rPr>
      </w:pPr>
      <w:r w:rsidRPr="00A61E50">
        <w:rPr>
          <w:rFonts w:cstheme="minorHAnsi"/>
          <w:sz w:val="20"/>
          <w:szCs w:val="20"/>
        </w:rPr>
        <w:t xml:space="preserve">Zakhari, N., Taccone, M.S., Torres, C.H., Chakraborty, S., Sinclair, J., Woulfe, J., Jansen, G.H., Cron, G.O., Thornhill, R.E., McInnes, M.D.F. and Nguyen, T.B. (2019). Prospective comparative diagnostic accuracy evaluation of dynamic contrast-enhanced (DCE) vs. dynamic susceptibility contrast (DSC) MR perfusion in differentiating tumor recurrence from radiation necrosis in treated high-grade gliomas. </w:t>
      </w:r>
      <w:r w:rsidRPr="00A61E50">
        <w:rPr>
          <w:rFonts w:cstheme="minorHAnsi"/>
          <w:i/>
          <w:iCs/>
          <w:sz w:val="20"/>
          <w:szCs w:val="20"/>
        </w:rPr>
        <w:t>Journal of Magnetic Resonance Imaging</w:t>
      </w:r>
      <w:r w:rsidRPr="00A61E50">
        <w:rPr>
          <w:rFonts w:cstheme="minorHAnsi"/>
          <w:sz w:val="20"/>
          <w:szCs w:val="20"/>
        </w:rPr>
        <w:t>, 50(2), pp.573–582.</w:t>
      </w:r>
    </w:p>
    <w:p w14:paraId="38F4BBCF" w14:textId="3F51D8A6" w:rsidR="00AA2CC9" w:rsidRDefault="007C79B7" w:rsidP="00AA2CC9">
      <w:pPr>
        <w:ind w:left="340" w:hanging="340"/>
        <w:jc w:val="both"/>
        <w:rPr>
          <w:rFonts w:cstheme="minorHAnsi"/>
          <w:sz w:val="20"/>
          <w:szCs w:val="20"/>
        </w:rPr>
      </w:pPr>
      <w:r w:rsidRPr="00A61E50">
        <w:rPr>
          <w:rFonts w:cstheme="minorHAnsi"/>
          <w:sz w:val="20"/>
          <w:szCs w:val="20"/>
        </w:rPr>
        <w:t xml:space="preserve">Zhang, J., Liu, H., Tong, H., Wang, S., Yang, Y., Liu, G. and Zhang, W. (2017). Clinical Applications of Contrast-Enhanced Perfusion MRI Techniques in Gliomas: Recent Advances and Current Challenges. </w:t>
      </w:r>
      <w:r w:rsidRPr="00A61E50">
        <w:rPr>
          <w:rFonts w:cstheme="minorHAnsi"/>
          <w:i/>
          <w:iCs/>
          <w:sz w:val="20"/>
          <w:szCs w:val="20"/>
        </w:rPr>
        <w:t>Contrast Media &amp; Molecular Imaging</w:t>
      </w:r>
      <w:r w:rsidRPr="00A61E50">
        <w:rPr>
          <w:rFonts w:cstheme="minorHAnsi"/>
          <w:sz w:val="20"/>
          <w:szCs w:val="20"/>
        </w:rPr>
        <w:t>, 2017, pp.1–27.</w:t>
      </w:r>
    </w:p>
    <w:p w14:paraId="37F752B0" w14:textId="3C6C44DE" w:rsidR="00AC76FC" w:rsidRPr="00AC76FC" w:rsidRDefault="005903C5" w:rsidP="00AC76FC">
      <w:pPr>
        <w:ind w:left="340" w:hanging="340"/>
        <w:jc w:val="both"/>
        <w:rPr>
          <w:rFonts w:cstheme="minorHAnsi"/>
          <w:sz w:val="20"/>
          <w:szCs w:val="20"/>
        </w:rPr>
      </w:pPr>
      <w:r w:rsidRPr="005903C5">
        <w:rPr>
          <w:rFonts w:cstheme="minorHAnsi"/>
          <w:sz w:val="20"/>
          <w:szCs w:val="20"/>
        </w:rPr>
        <w:t>Zhang</w:t>
      </w:r>
      <w:r>
        <w:rPr>
          <w:rFonts w:cstheme="minorHAnsi"/>
          <w:sz w:val="20"/>
          <w:szCs w:val="20"/>
        </w:rPr>
        <w:t>, J.</w:t>
      </w:r>
      <w:r w:rsidRPr="005903C5">
        <w:rPr>
          <w:rFonts w:cstheme="minorHAnsi"/>
          <w:sz w:val="20"/>
          <w:szCs w:val="20"/>
        </w:rPr>
        <w:t>, Wang</w:t>
      </w:r>
      <w:r>
        <w:rPr>
          <w:rFonts w:cstheme="minorHAnsi"/>
          <w:sz w:val="20"/>
          <w:szCs w:val="20"/>
        </w:rPr>
        <w:t>, Y.,</w:t>
      </w:r>
      <w:r w:rsidRPr="005903C5">
        <w:rPr>
          <w:rFonts w:cstheme="minorHAnsi"/>
          <w:sz w:val="20"/>
          <w:szCs w:val="20"/>
        </w:rPr>
        <w:t xml:space="preserve"> Wang</w:t>
      </w:r>
      <w:r>
        <w:rPr>
          <w:rFonts w:cstheme="minorHAnsi"/>
          <w:sz w:val="20"/>
          <w:szCs w:val="20"/>
        </w:rPr>
        <w:t>, Y.,</w:t>
      </w:r>
      <w:r w:rsidRPr="005903C5">
        <w:rPr>
          <w:rFonts w:cstheme="minorHAnsi"/>
          <w:sz w:val="20"/>
          <w:szCs w:val="20"/>
        </w:rPr>
        <w:t>Xiao</w:t>
      </w:r>
      <w:r>
        <w:rPr>
          <w:rFonts w:cstheme="minorHAnsi"/>
          <w:sz w:val="20"/>
          <w:szCs w:val="20"/>
        </w:rPr>
        <w:t xml:space="preserve">, H., </w:t>
      </w:r>
      <w:r w:rsidRPr="005903C5">
        <w:rPr>
          <w:rFonts w:cstheme="minorHAnsi"/>
          <w:sz w:val="20"/>
          <w:szCs w:val="20"/>
        </w:rPr>
        <w:t>Chen</w:t>
      </w:r>
      <w:r>
        <w:rPr>
          <w:rFonts w:cstheme="minorHAnsi"/>
          <w:sz w:val="20"/>
          <w:szCs w:val="20"/>
        </w:rPr>
        <w:t xml:space="preserve">, X., </w:t>
      </w:r>
      <w:r w:rsidRPr="005903C5">
        <w:rPr>
          <w:rFonts w:cstheme="minorHAnsi"/>
          <w:sz w:val="20"/>
          <w:szCs w:val="20"/>
        </w:rPr>
        <w:t>Lei</w:t>
      </w:r>
      <w:r>
        <w:rPr>
          <w:rFonts w:cstheme="minorHAnsi"/>
          <w:sz w:val="20"/>
          <w:szCs w:val="20"/>
        </w:rPr>
        <w:t xml:space="preserve">, Y., </w:t>
      </w:r>
      <w:r w:rsidRPr="005903C5">
        <w:rPr>
          <w:rFonts w:cstheme="minorHAnsi"/>
          <w:sz w:val="20"/>
          <w:szCs w:val="20"/>
        </w:rPr>
        <w:t>Feng</w:t>
      </w:r>
      <w:r>
        <w:rPr>
          <w:rFonts w:cstheme="minorHAnsi"/>
          <w:sz w:val="20"/>
          <w:szCs w:val="20"/>
        </w:rPr>
        <w:t xml:space="preserve">, Z., </w:t>
      </w:r>
      <w:r w:rsidRPr="005903C5">
        <w:rPr>
          <w:rFonts w:cstheme="minorHAnsi"/>
          <w:sz w:val="20"/>
          <w:szCs w:val="20"/>
        </w:rPr>
        <w:t>Ma</w:t>
      </w:r>
      <w:r>
        <w:rPr>
          <w:rFonts w:cstheme="minorHAnsi"/>
          <w:sz w:val="20"/>
          <w:szCs w:val="20"/>
        </w:rPr>
        <w:t xml:space="preserve">, X., </w:t>
      </w:r>
      <w:r w:rsidRPr="005903C5">
        <w:rPr>
          <w:rFonts w:cstheme="minorHAnsi"/>
          <w:sz w:val="20"/>
          <w:szCs w:val="20"/>
        </w:rPr>
        <w:t>Ma</w:t>
      </w:r>
      <w:r>
        <w:rPr>
          <w:rFonts w:cstheme="minorHAnsi"/>
          <w:sz w:val="20"/>
          <w:szCs w:val="20"/>
        </w:rPr>
        <w:t>, L.</w:t>
      </w:r>
      <w:r w:rsidR="00AC76FC">
        <w:rPr>
          <w:rFonts w:cstheme="minorHAnsi"/>
          <w:sz w:val="20"/>
          <w:szCs w:val="20"/>
        </w:rPr>
        <w:t xml:space="preserve"> (2022). </w:t>
      </w:r>
      <w:r w:rsidR="00AC76FC" w:rsidRPr="00AC76FC">
        <w:rPr>
          <w:rFonts w:cstheme="minorHAnsi"/>
          <w:sz w:val="20"/>
          <w:szCs w:val="20"/>
        </w:rPr>
        <w:t xml:space="preserve">Perfusion magnetic resonance imaging in the differentiation between glioma recurrence and pseudoprogression: a systematic </w:t>
      </w:r>
    </w:p>
    <w:p w14:paraId="0118DC3C" w14:textId="51A44D48" w:rsidR="00AC76FC" w:rsidRPr="0099752B" w:rsidRDefault="00AC76FC" w:rsidP="00AC76FC">
      <w:pPr>
        <w:ind w:left="340" w:hanging="340"/>
        <w:jc w:val="both"/>
        <w:rPr>
          <w:rFonts w:cstheme="minorHAnsi"/>
          <w:sz w:val="20"/>
          <w:szCs w:val="20"/>
        </w:rPr>
      </w:pPr>
      <w:r w:rsidRPr="00AC76FC">
        <w:rPr>
          <w:rFonts w:cstheme="minorHAnsi"/>
          <w:sz w:val="20"/>
          <w:szCs w:val="20"/>
        </w:rPr>
        <w:t>review, meta-analysis and meta-regression</w:t>
      </w:r>
      <w:r>
        <w:rPr>
          <w:rFonts w:cstheme="minorHAnsi"/>
          <w:sz w:val="20"/>
          <w:szCs w:val="20"/>
        </w:rPr>
        <w:t xml:space="preserve">. </w:t>
      </w:r>
      <w:r w:rsidR="00216D08" w:rsidRPr="00216D08">
        <w:rPr>
          <w:rFonts w:cstheme="minorHAnsi"/>
          <w:i/>
          <w:iCs/>
          <w:sz w:val="20"/>
          <w:szCs w:val="20"/>
        </w:rPr>
        <w:t>Quantitative Imaging in Medicine and Surgery</w:t>
      </w:r>
      <w:r w:rsidR="0099752B">
        <w:rPr>
          <w:rFonts w:cstheme="minorHAnsi"/>
          <w:i/>
          <w:iCs/>
          <w:sz w:val="20"/>
          <w:szCs w:val="20"/>
        </w:rPr>
        <w:t>,</w:t>
      </w:r>
      <w:r w:rsidR="0099752B">
        <w:rPr>
          <w:rFonts w:cstheme="minorHAnsi"/>
          <w:sz w:val="20"/>
          <w:szCs w:val="20"/>
        </w:rPr>
        <w:t xml:space="preserve"> 12, pp.4805-4822</w:t>
      </w:r>
    </w:p>
    <w:p w14:paraId="3B9ABD64" w14:textId="7F587F4E" w:rsidR="007C79B7" w:rsidRPr="00A61E50" w:rsidRDefault="007C79B7" w:rsidP="00AA2CC9">
      <w:pPr>
        <w:ind w:left="340" w:hanging="340"/>
        <w:jc w:val="both"/>
        <w:rPr>
          <w:rFonts w:cstheme="minorHAnsi"/>
          <w:sz w:val="20"/>
          <w:szCs w:val="20"/>
        </w:rPr>
      </w:pPr>
      <w:r w:rsidRPr="00A61E50">
        <w:rPr>
          <w:rFonts w:cstheme="minorHAnsi"/>
          <w:sz w:val="20"/>
          <w:szCs w:val="20"/>
        </w:rPr>
        <w:t xml:space="preserve">Zhu, G., Luo, J., Ouyang, Z., Deng, Y., Guan, Y., Du, G. and Zhao, F. (2021). The Assessment of Prostate Cancer Aggressiveness Using a Combination of Quantitative Diffusion-Weighted Imaging and Dynamic Contrast-Enhanced Magnetic Resonance Imaging. </w:t>
      </w:r>
      <w:r w:rsidRPr="00A61E50">
        <w:rPr>
          <w:rFonts w:cstheme="minorHAnsi"/>
          <w:i/>
          <w:iCs/>
          <w:sz w:val="20"/>
          <w:szCs w:val="20"/>
        </w:rPr>
        <w:t>Cancer Management and Research</w:t>
      </w:r>
      <w:r w:rsidRPr="00A61E50">
        <w:rPr>
          <w:rFonts w:cstheme="minorHAnsi"/>
          <w:sz w:val="20"/>
          <w:szCs w:val="20"/>
        </w:rPr>
        <w:t>, 13, pp.5287–5295.</w:t>
      </w:r>
    </w:p>
    <w:p w14:paraId="6E6A9581" w14:textId="77777777" w:rsidR="007C79B7" w:rsidRPr="00A61E50" w:rsidRDefault="007C79B7" w:rsidP="00A61E50">
      <w:pPr>
        <w:jc w:val="both"/>
        <w:rPr>
          <w:rFonts w:cstheme="minorHAnsi"/>
          <w:sz w:val="20"/>
          <w:szCs w:val="20"/>
        </w:rPr>
      </w:pPr>
    </w:p>
    <w:sectPr w:rsidR="007C79B7" w:rsidRPr="00A61E50" w:rsidSect="000413C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5890" w14:textId="77777777" w:rsidR="003C0B75" w:rsidRDefault="003C0B75" w:rsidP="00FF4164">
      <w:r>
        <w:separator/>
      </w:r>
    </w:p>
  </w:endnote>
  <w:endnote w:type="continuationSeparator" w:id="0">
    <w:p w14:paraId="795E3B84" w14:textId="77777777" w:rsidR="003C0B75" w:rsidRDefault="003C0B75" w:rsidP="00FF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6E5E" w14:textId="77777777" w:rsidR="003C0B75" w:rsidRDefault="003C0B75" w:rsidP="00FF4164">
      <w:r>
        <w:separator/>
      </w:r>
    </w:p>
  </w:footnote>
  <w:footnote w:type="continuationSeparator" w:id="0">
    <w:p w14:paraId="221D30ED" w14:textId="77777777" w:rsidR="003C0B75" w:rsidRDefault="003C0B75" w:rsidP="00FF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203"/>
    <w:multiLevelType w:val="hybridMultilevel"/>
    <w:tmpl w:val="F984E2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C0C0766"/>
    <w:multiLevelType w:val="hybridMultilevel"/>
    <w:tmpl w:val="DB1A02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82534343">
    <w:abstractNumId w:val="1"/>
  </w:num>
  <w:num w:numId="2" w16cid:durableId="110436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C5"/>
    <w:rsid w:val="000035C8"/>
    <w:rsid w:val="00005762"/>
    <w:rsid w:val="00040B92"/>
    <w:rsid w:val="000413C3"/>
    <w:rsid w:val="00066484"/>
    <w:rsid w:val="00080FD9"/>
    <w:rsid w:val="00094DCB"/>
    <w:rsid w:val="00097293"/>
    <w:rsid w:val="000E085B"/>
    <w:rsid w:val="000F6C59"/>
    <w:rsid w:val="00113F56"/>
    <w:rsid w:val="001271E1"/>
    <w:rsid w:val="00136F93"/>
    <w:rsid w:val="00160037"/>
    <w:rsid w:val="00163827"/>
    <w:rsid w:val="00175551"/>
    <w:rsid w:val="001C7A17"/>
    <w:rsid w:val="001D6187"/>
    <w:rsid w:val="001D6251"/>
    <w:rsid w:val="001D6C62"/>
    <w:rsid w:val="001E5770"/>
    <w:rsid w:val="001E6604"/>
    <w:rsid w:val="001F29AE"/>
    <w:rsid w:val="001F5EAF"/>
    <w:rsid w:val="002162B5"/>
    <w:rsid w:val="00216D08"/>
    <w:rsid w:val="00217471"/>
    <w:rsid w:val="00217D9A"/>
    <w:rsid w:val="00222692"/>
    <w:rsid w:val="00241A42"/>
    <w:rsid w:val="00267582"/>
    <w:rsid w:val="00277518"/>
    <w:rsid w:val="00295F28"/>
    <w:rsid w:val="00296AB9"/>
    <w:rsid w:val="002C0FBA"/>
    <w:rsid w:val="002C3EFA"/>
    <w:rsid w:val="002D786C"/>
    <w:rsid w:val="002E3592"/>
    <w:rsid w:val="002E6A65"/>
    <w:rsid w:val="002F26EF"/>
    <w:rsid w:val="00300DF6"/>
    <w:rsid w:val="00311649"/>
    <w:rsid w:val="00342B80"/>
    <w:rsid w:val="00356F64"/>
    <w:rsid w:val="00360548"/>
    <w:rsid w:val="00365380"/>
    <w:rsid w:val="00374970"/>
    <w:rsid w:val="00377245"/>
    <w:rsid w:val="0038023E"/>
    <w:rsid w:val="00383F7C"/>
    <w:rsid w:val="00390505"/>
    <w:rsid w:val="00390669"/>
    <w:rsid w:val="003A249E"/>
    <w:rsid w:val="003B3E5F"/>
    <w:rsid w:val="003B58D1"/>
    <w:rsid w:val="003C0B75"/>
    <w:rsid w:val="003C32B3"/>
    <w:rsid w:val="003D437D"/>
    <w:rsid w:val="003E0F94"/>
    <w:rsid w:val="00403DEC"/>
    <w:rsid w:val="00413428"/>
    <w:rsid w:val="00415A88"/>
    <w:rsid w:val="00425A08"/>
    <w:rsid w:val="00442E77"/>
    <w:rsid w:val="004706E0"/>
    <w:rsid w:val="004820C7"/>
    <w:rsid w:val="0049492D"/>
    <w:rsid w:val="004B571C"/>
    <w:rsid w:val="004B5883"/>
    <w:rsid w:val="004D02D3"/>
    <w:rsid w:val="004D11BB"/>
    <w:rsid w:val="004D5E17"/>
    <w:rsid w:val="004F1348"/>
    <w:rsid w:val="004F7957"/>
    <w:rsid w:val="00506B53"/>
    <w:rsid w:val="00511777"/>
    <w:rsid w:val="0052724C"/>
    <w:rsid w:val="00530790"/>
    <w:rsid w:val="00536C2E"/>
    <w:rsid w:val="005377E9"/>
    <w:rsid w:val="005413D8"/>
    <w:rsid w:val="00546D32"/>
    <w:rsid w:val="00572D05"/>
    <w:rsid w:val="005903C5"/>
    <w:rsid w:val="00592457"/>
    <w:rsid w:val="0059766F"/>
    <w:rsid w:val="005A55D5"/>
    <w:rsid w:val="005E43F4"/>
    <w:rsid w:val="005E595D"/>
    <w:rsid w:val="00606BA6"/>
    <w:rsid w:val="006206A6"/>
    <w:rsid w:val="0064224F"/>
    <w:rsid w:val="0064518D"/>
    <w:rsid w:val="00647DB6"/>
    <w:rsid w:val="006522C3"/>
    <w:rsid w:val="00660E2F"/>
    <w:rsid w:val="00665532"/>
    <w:rsid w:val="00667AA7"/>
    <w:rsid w:val="00667F73"/>
    <w:rsid w:val="00697E26"/>
    <w:rsid w:val="006A5CF3"/>
    <w:rsid w:val="006B3840"/>
    <w:rsid w:val="006D1270"/>
    <w:rsid w:val="006E1B84"/>
    <w:rsid w:val="006E53A4"/>
    <w:rsid w:val="006F126A"/>
    <w:rsid w:val="00701E6B"/>
    <w:rsid w:val="00703950"/>
    <w:rsid w:val="00703DE0"/>
    <w:rsid w:val="007177E4"/>
    <w:rsid w:val="00720DCF"/>
    <w:rsid w:val="00722F53"/>
    <w:rsid w:val="0074751F"/>
    <w:rsid w:val="00757C7D"/>
    <w:rsid w:val="007A1929"/>
    <w:rsid w:val="007A562D"/>
    <w:rsid w:val="007A73A0"/>
    <w:rsid w:val="007B2C7E"/>
    <w:rsid w:val="007C79B7"/>
    <w:rsid w:val="007E7093"/>
    <w:rsid w:val="007F687E"/>
    <w:rsid w:val="007F7072"/>
    <w:rsid w:val="00812D33"/>
    <w:rsid w:val="0083034C"/>
    <w:rsid w:val="00831CF7"/>
    <w:rsid w:val="008403F5"/>
    <w:rsid w:val="008505C8"/>
    <w:rsid w:val="008532C6"/>
    <w:rsid w:val="00853E72"/>
    <w:rsid w:val="008641AA"/>
    <w:rsid w:val="00867F16"/>
    <w:rsid w:val="008715B5"/>
    <w:rsid w:val="00882FB0"/>
    <w:rsid w:val="0089110C"/>
    <w:rsid w:val="008A7353"/>
    <w:rsid w:val="008B71BE"/>
    <w:rsid w:val="008C42D0"/>
    <w:rsid w:val="008D239C"/>
    <w:rsid w:val="008E4057"/>
    <w:rsid w:val="00967EAD"/>
    <w:rsid w:val="00977438"/>
    <w:rsid w:val="00985D60"/>
    <w:rsid w:val="00990EB7"/>
    <w:rsid w:val="0099752B"/>
    <w:rsid w:val="009B2746"/>
    <w:rsid w:val="009B6001"/>
    <w:rsid w:val="009C4CB3"/>
    <w:rsid w:val="009C5624"/>
    <w:rsid w:val="009E5387"/>
    <w:rsid w:val="009E6F0B"/>
    <w:rsid w:val="00A01639"/>
    <w:rsid w:val="00A32FDD"/>
    <w:rsid w:val="00A42BB8"/>
    <w:rsid w:val="00A4721D"/>
    <w:rsid w:val="00A510C3"/>
    <w:rsid w:val="00A61E50"/>
    <w:rsid w:val="00A7171F"/>
    <w:rsid w:val="00A74DC8"/>
    <w:rsid w:val="00A8630C"/>
    <w:rsid w:val="00AA2CC9"/>
    <w:rsid w:val="00AA4B7B"/>
    <w:rsid w:val="00AA75A1"/>
    <w:rsid w:val="00AB0078"/>
    <w:rsid w:val="00AB2B4E"/>
    <w:rsid w:val="00AB3B10"/>
    <w:rsid w:val="00AB42F2"/>
    <w:rsid w:val="00AC0D6C"/>
    <w:rsid w:val="00AC76FC"/>
    <w:rsid w:val="00AF66F8"/>
    <w:rsid w:val="00B131C6"/>
    <w:rsid w:val="00B20B28"/>
    <w:rsid w:val="00B22D08"/>
    <w:rsid w:val="00B26614"/>
    <w:rsid w:val="00B34383"/>
    <w:rsid w:val="00B4340E"/>
    <w:rsid w:val="00B574AD"/>
    <w:rsid w:val="00B62636"/>
    <w:rsid w:val="00B641FD"/>
    <w:rsid w:val="00B9242A"/>
    <w:rsid w:val="00BA1DEF"/>
    <w:rsid w:val="00BA788A"/>
    <w:rsid w:val="00BC03E9"/>
    <w:rsid w:val="00BC73CA"/>
    <w:rsid w:val="00BD408A"/>
    <w:rsid w:val="00BD65F5"/>
    <w:rsid w:val="00C017C0"/>
    <w:rsid w:val="00C03FE1"/>
    <w:rsid w:val="00C17F66"/>
    <w:rsid w:val="00C2300E"/>
    <w:rsid w:val="00C24DEA"/>
    <w:rsid w:val="00C308CE"/>
    <w:rsid w:val="00C31B59"/>
    <w:rsid w:val="00C41DBF"/>
    <w:rsid w:val="00C421C4"/>
    <w:rsid w:val="00C5204D"/>
    <w:rsid w:val="00C6344F"/>
    <w:rsid w:val="00C84E78"/>
    <w:rsid w:val="00C911C0"/>
    <w:rsid w:val="00C9436F"/>
    <w:rsid w:val="00C976CE"/>
    <w:rsid w:val="00CB5DAF"/>
    <w:rsid w:val="00D743AD"/>
    <w:rsid w:val="00D91824"/>
    <w:rsid w:val="00D96701"/>
    <w:rsid w:val="00DB661E"/>
    <w:rsid w:val="00DC6621"/>
    <w:rsid w:val="00DD0404"/>
    <w:rsid w:val="00DE55AD"/>
    <w:rsid w:val="00DF7457"/>
    <w:rsid w:val="00E12437"/>
    <w:rsid w:val="00E36356"/>
    <w:rsid w:val="00E37B20"/>
    <w:rsid w:val="00E42126"/>
    <w:rsid w:val="00E5235B"/>
    <w:rsid w:val="00E5603B"/>
    <w:rsid w:val="00E56081"/>
    <w:rsid w:val="00E663CD"/>
    <w:rsid w:val="00E76C92"/>
    <w:rsid w:val="00E912FA"/>
    <w:rsid w:val="00E94997"/>
    <w:rsid w:val="00E96071"/>
    <w:rsid w:val="00EA39D8"/>
    <w:rsid w:val="00EA5F33"/>
    <w:rsid w:val="00EC1312"/>
    <w:rsid w:val="00EC1348"/>
    <w:rsid w:val="00EC5639"/>
    <w:rsid w:val="00EE6857"/>
    <w:rsid w:val="00EF15E5"/>
    <w:rsid w:val="00F21472"/>
    <w:rsid w:val="00F24091"/>
    <w:rsid w:val="00F334DC"/>
    <w:rsid w:val="00F538F3"/>
    <w:rsid w:val="00F7284B"/>
    <w:rsid w:val="00F74F1E"/>
    <w:rsid w:val="00F84104"/>
    <w:rsid w:val="00F97E04"/>
    <w:rsid w:val="00FA18EA"/>
    <w:rsid w:val="00FB0C55"/>
    <w:rsid w:val="00FB25C5"/>
    <w:rsid w:val="00FB5125"/>
    <w:rsid w:val="00FC0034"/>
    <w:rsid w:val="00FC34CC"/>
    <w:rsid w:val="00FC3C14"/>
    <w:rsid w:val="00FC5DF8"/>
    <w:rsid w:val="00FE07ED"/>
    <w:rsid w:val="00FE09D3"/>
    <w:rsid w:val="00FF25EC"/>
    <w:rsid w:val="00FF4164"/>
    <w:rsid w:val="02BBECEB"/>
    <w:rsid w:val="0E92A8E0"/>
    <w:rsid w:val="10E7A26C"/>
    <w:rsid w:val="16AEB57D"/>
    <w:rsid w:val="20D44617"/>
    <w:rsid w:val="23130154"/>
    <w:rsid w:val="23973376"/>
    <w:rsid w:val="23CB90B8"/>
    <w:rsid w:val="23FAE329"/>
    <w:rsid w:val="245D056B"/>
    <w:rsid w:val="271C7287"/>
    <w:rsid w:val="299DA5DC"/>
    <w:rsid w:val="30856796"/>
    <w:rsid w:val="33B1CBC7"/>
    <w:rsid w:val="3404BF28"/>
    <w:rsid w:val="3EE692A2"/>
    <w:rsid w:val="50DEF3E9"/>
    <w:rsid w:val="523C44B4"/>
    <w:rsid w:val="53393C64"/>
    <w:rsid w:val="599C4E6A"/>
    <w:rsid w:val="5A3717E1"/>
    <w:rsid w:val="63C4D1CA"/>
    <w:rsid w:val="67507943"/>
    <w:rsid w:val="6DF00D9B"/>
    <w:rsid w:val="70AC620C"/>
    <w:rsid w:val="7222993A"/>
    <w:rsid w:val="788C08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1C79C"/>
  <w15:chartTrackingRefBased/>
  <w15:docId w15:val="{1E3FBEA8-CD12-F540-B7A8-6F376E72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5D5"/>
  </w:style>
  <w:style w:type="paragraph" w:styleId="Heading1">
    <w:name w:val="heading 1"/>
    <w:basedOn w:val="Normal"/>
    <w:next w:val="Normal"/>
    <w:link w:val="Heading1Char"/>
    <w:uiPriority w:val="9"/>
    <w:qFormat/>
    <w:rsid w:val="006206A6"/>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AC0D6C"/>
    <w:pPr>
      <w:keepNext/>
      <w:keepLines/>
      <w:spacing w:before="4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6206A6"/>
    <w:pPr>
      <w:keepNext/>
      <w:keepLines/>
      <w:spacing w:before="40"/>
      <w:outlineLvl w:val="2"/>
    </w:pPr>
    <w:rPr>
      <w:rFonts w:asciiTheme="majorHAnsi" w:eastAsiaTheme="majorEastAsia" w:hAnsiTheme="majorHAnsi" w:cstheme="majorBidi"/>
      <w:color w:val="6E6E6E" w:themeColor="accent1" w:themeShade="7F"/>
    </w:rPr>
  </w:style>
  <w:style w:type="paragraph" w:styleId="Heading4">
    <w:name w:val="heading 4"/>
    <w:basedOn w:val="Normal"/>
    <w:next w:val="Normal"/>
    <w:link w:val="Heading4Char"/>
    <w:uiPriority w:val="9"/>
    <w:unhideWhenUsed/>
    <w:qFormat/>
    <w:rsid w:val="00374970"/>
    <w:pPr>
      <w:keepNext/>
      <w:keepLines/>
      <w:spacing w:before="4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857"/>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AC0D6C"/>
    <w:rPr>
      <w:rFonts w:asciiTheme="majorHAnsi" w:eastAsiaTheme="majorEastAsia" w:hAnsiTheme="majorHAnsi" w:cstheme="majorBidi"/>
      <w:color w:val="A5A5A5" w:themeColor="accent1" w:themeShade="BF"/>
      <w:sz w:val="26"/>
      <w:szCs w:val="26"/>
    </w:rPr>
  </w:style>
  <w:style w:type="character" w:customStyle="1" w:styleId="Heading1Char">
    <w:name w:val="Heading 1 Char"/>
    <w:basedOn w:val="DefaultParagraphFont"/>
    <w:link w:val="Heading1"/>
    <w:uiPriority w:val="9"/>
    <w:rsid w:val="006206A6"/>
    <w:rPr>
      <w:rFonts w:asciiTheme="majorHAnsi" w:eastAsiaTheme="majorEastAsia" w:hAnsiTheme="majorHAnsi" w:cstheme="majorBidi"/>
      <w:color w:val="A5A5A5" w:themeColor="accent1" w:themeShade="BF"/>
      <w:sz w:val="32"/>
      <w:szCs w:val="32"/>
    </w:rPr>
  </w:style>
  <w:style w:type="character" w:customStyle="1" w:styleId="Heading3Char">
    <w:name w:val="Heading 3 Char"/>
    <w:basedOn w:val="DefaultParagraphFont"/>
    <w:link w:val="Heading3"/>
    <w:uiPriority w:val="9"/>
    <w:rsid w:val="006206A6"/>
    <w:rPr>
      <w:rFonts w:asciiTheme="majorHAnsi" w:eastAsiaTheme="majorEastAsia" w:hAnsiTheme="majorHAnsi" w:cstheme="majorBidi"/>
      <w:color w:val="6E6E6E" w:themeColor="accent1" w:themeShade="7F"/>
    </w:rPr>
  </w:style>
  <w:style w:type="character" w:customStyle="1" w:styleId="Heading4Char">
    <w:name w:val="Heading 4 Char"/>
    <w:basedOn w:val="DefaultParagraphFont"/>
    <w:link w:val="Heading4"/>
    <w:uiPriority w:val="9"/>
    <w:rsid w:val="00374970"/>
    <w:rPr>
      <w:rFonts w:asciiTheme="majorHAnsi" w:eastAsiaTheme="majorEastAsia" w:hAnsiTheme="majorHAnsi" w:cstheme="majorBidi"/>
      <w:i/>
      <w:iCs/>
      <w:color w:val="A5A5A5" w:themeColor="accent1" w:themeShade="BF"/>
    </w:rPr>
  </w:style>
  <w:style w:type="table" w:styleId="TableGrid">
    <w:name w:val="Table Grid"/>
    <w:basedOn w:val="TableNormal"/>
    <w:uiPriority w:val="39"/>
    <w:rsid w:val="0037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3749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1Light-Accent3">
    <w:name w:val="Grid Table 1 Light Accent 3"/>
    <w:basedOn w:val="TableNormal"/>
    <w:uiPriority w:val="46"/>
    <w:rsid w:val="00374970"/>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63827"/>
    <w:rPr>
      <w:sz w:val="16"/>
      <w:szCs w:val="16"/>
    </w:rPr>
  </w:style>
  <w:style w:type="paragraph" w:styleId="CommentText">
    <w:name w:val="annotation text"/>
    <w:basedOn w:val="Normal"/>
    <w:link w:val="CommentTextChar"/>
    <w:uiPriority w:val="99"/>
    <w:unhideWhenUsed/>
    <w:rsid w:val="00163827"/>
    <w:rPr>
      <w:sz w:val="20"/>
      <w:szCs w:val="20"/>
    </w:rPr>
  </w:style>
  <w:style w:type="character" w:customStyle="1" w:styleId="CommentTextChar">
    <w:name w:val="Comment Text Char"/>
    <w:basedOn w:val="DefaultParagraphFont"/>
    <w:link w:val="CommentText"/>
    <w:uiPriority w:val="99"/>
    <w:rsid w:val="00163827"/>
    <w:rPr>
      <w:sz w:val="20"/>
      <w:szCs w:val="20"/>
    </w:rPr>
  </w:style>
  <w:style w:type="paragraph" w:styleId="CommentSubject">
    <w:name w:val="annotation subject"/>
    <w:basedOn w:val="CommentText"/>
    <w:next w:val="CommentText"/>
    <w:link w:val="CommentSubjectChar"/>
    <w:uiPriority w:val="99"/>
    <w:semiHidden/>
    <w:unhideWhenUsed/>
    <w:rsid w:val="00163827"/>
    <w:rPr>
      <w:b/>
      <w:bCs/>
    </w:rPr>
  </w:style>
  <w:style w:type="character" w:customStyle="1" w:styleId="CommentSubjectChar">
    <w:name w:val="Comment Subject Char"/>
    <w:basedOn w:val="CommentTextChar"/>
    <w:link w:val="CommentSubject"/>
    <w:uiPriority w:val="99"/>
    <w:semiHidden/>
    <w:rsid w:val="00163827"/>
    <w:rPr>
      <w:b/>
      <w:bCs/>
      <w:sz w:val="20"/>
      <w:szCs w:val="20"/>
    </w:rPr>
  </w:style>
  <w:style w:type="paragraph" w:styleId="ListParagraph">
    <w:name w:val="List Paragraph"/>
    <w:basedOn w:val="Normal"/>
    <w:uiPriority w:val="34"/>
    <w:qFormat/>
    <w:rsid w:val="00163827"/>
    <w:pPr>
      <w:ind w:left="720"/>
      <w:contextualSpacing/>
    </w:pPr>
  </w:style>
  <w:style w:type="character" w:styleId="Hyperlink">
    <w:name w:val="Hyperlink"/>
    <w:basedOn w:val="DefaultParagraphFont"/>
    <w:uiPriority w:val="99"/>
    <w:unhideWhenUsed/>
    <w:rsid w:val="00AA2CC9"/>
    <w:rPr>
      <w:color w:val="5F5F5F" w:themeColor="hyperlink"/>
      <w:u w:val="single"/>
    </w:rPr>
  </w:style>
  <w:style w:type="character" w:customStyle="1" w:styleId="UnresolvedMention1">
    <w:name w:val="Unresolved Mention1"/>
    <w:basedOn w:val="DefaultParagraphFont"/>
    <w:uiPriority w:val="99"/>
    <w:semiHidden/>
    <w:unhideWhenUsed/>
    <w:rsid w:val="00AA2CC9"/>
    <w:rPr>
      <w:color w:val="605E5C"/>
      <w:shd w:val="clear" w:color="auto" w:fill="E1DFDD"/>
    </w:rPr>
  </w:style>
  <w:style w:type="paragraph" w:styleId="Revision">
    <w:name w:val="Revision"/>
    <w:hidden/>
    <w:uiPriority w:val="99"/>
    <w:semiHidden/>
    <w:rsid w:val="006F126A"/>
  </w:style>
  <w:style w:type="paragraph" w:styleId="Header">
    <w:name w:val="header"/>
    <w:basedOn w:val="Normal"/>
    <w:link w:val="HeaderChar"/>
    <w:uiPriority w:val="99"/>
    <w:unhideWhenUsed/>
    <w:rsid w:val="00FF4164"/>
    <w:pPr>
      <w:tabs>
        <w:tab w:val="center" w:pos="4513"/>
        <w:tab w:val="right" w:pos="9026"/>
      </w:tabs>
    </w:pPr>
  </w:style>
  <w:style w:type="character" w:customStyle="1" w:styleId="HeaderChar">
    <w:name w:val="Header Char"/>
    <w:basedOn w:val="DefaultParagraphFont"/>
    <w:link w:val="Header"/>
    <w:uiPriority w:val="99"/>
    <w:rsid w:val="00FF4164"/>
  </w:style>
  <w:style w:type="paragraph" w:styleId="Footer">
    <w:name w:val="footer"/>
    <w:basedOn w:val="Normal"/>
    <w:link w:val="FooterChar"/>
    <w:uiPriority w:val="99"/>
    <w:unhideWhenUsed/>
    <w:rsid w:val="00FF4164"/>
    <w:pPr>
      <w:tabs>
        <w:tab w:val="center" w:pos="4513"/>
        <w:tab w:val="right" w:pos="9026"/>
      </w:tabs>
    </w:pPr>
  </w:style>
  <w:style w:type="character" w:customStyle="1" w:styleId="FooterChar">
    <w:name w:val="Footer Char"/>
    <w:basedOn w:val="DefaultParagraphFont"/>
    <w:link w:val="Footer"/>
    <w:uiPriority w:val="99"/>
    <w:rsid w:val="00FF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095893">
      <w:bodyDiv w:val="1"/>
      <w:marLeft w:val="0"/>
      <w:marRight w:val="0"/>
      <w:marTop w:val="0"/>
      <w:marBottom w:val="0"/>
      <w:divBdr>
        <w:top w:val="none" w:sz="0" w:space="0" w:color="auto"/>
        <w:left w:val="none" w:sz="0" w:space="0" w:color="auto"/>
        <w:bottom w:val="none" w:sz="0" w:space="0" w:color="auto"/>
        <w:right w:val="none" w:sz="0" w:space="0" w:color="auto"/>
      </w:divBdr>
      <w:divsChild>
        <w:div w:id="380860908">
          <w:marLeft w:val="0"/>
          <w:marRight w:val="0"/>
          <w:marTop w:val="0"/>
          <w:marBottom w:val="0"/>
          <w:divBdr>
            <w:top w:val="none" w:sz="0" w:space="0" w:color="auto"/>
            <w:left w:val="none" w:sz="0" w:space="0" w:color="auto"/>
            <w:bottom w:val="none" w:sz="0" w:space="0" w:color="auto"/>
            <w:right w:val="none" w:sz="0" w:space="0" w:color="auto"/>
          </w:divBdr>
          <w:divsChild>
            <w:div w:id="1571960810">
              <w:marLeft w:val="0"/>
              <w:marRight w:val="0"/>
              <w:marTop w:val="0"/>
              <w:marBottom w:val="0"/>
              <w:divBdr>
                <w:top w:val="none" w:sz="0" w:space="0" w:color="auto"/>
                <w:left w:val="none" w:sz="0" w:space="0" w:color="auto"/>
                <w:bottom w:val="none" w:sz="0" w:space="0" w:color="auto"/>
                <w:right w:val="none" w:sz="0" w:space="0" w:color="auto"/>
              </w:divBdr>
              <w:divsChild>
                <w:div w:id="2673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71257">
      <w:bodyDiv w:val="1"/>
      <w:marLeft w:val="0"/>
      <w:marRight w:val="0"/>
      <w:marTop w:val="0"/>
      <w:marBottom w:val="0"/>
      <w:divBdr>
        <w:top w:val="none" w:sz="0" w:space="0" w:color="auto"/>
        <w:left w:val="none" w:sz="0" w:space="0" w:color="auto"/>
        <w:bottom w:val="none" w:sz="0" w:space="0" w:color="auto"/>
        <w:right w:val="none" w:sz="0" w:space="0" w:color="auto"/>
      </w:divBdr>
      <w:divsChild>
        <w:div w:id="33041224">
          <w:marLeft w:val="0"/>
          <w:marRight w:val="0"/>
          <w:marTop w:val="0"/>
          <w:marBottom w:val="0"/>
          <w:divBdr>
            <w:top w:val="none" w:sz="0" w:space="0" w:color="auto"/>
            <w:left w:val="none" w:sz="0" w:space="0" w:color="auto"/>
            <w:bottom w:val="none" w:sz="0" w:space="0" w:color="auto"/>
            <w:right w:val="none" w:sz="0" w:space="0" w:color="auto"/>
          </w:divBdr>
          <w:divsChild>
            <w:div w:id="1028489118">
              <w:marLeft w:val="0"/>
              <w:marRight w:val="0"/>
              <w:marTop w:val="0"/>
              <w:marBottom w:val="0"/>
              <w:divBdr>
                <w:top w:val="none" w:sz="0" w:space="0" w:color="auto"/>
                <w:left w:val="none" w:sz="0" w:space="0" w:color="auto"/>
                <w:bottom w:val="none" w:sz="0" w:space="0" w:color="auto"/>
                <w:right w:val="none" w:sz="0" w:space="0" w:color="auto"/>
              </w:divBdr>
              <w:divsChild>
                <w:div w:id="4214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science.sciencemag.org/content/sci/359/6382/1350.ful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hindawi.com/journals/jeph/2018/2170208/" TargetMode="External"/><Relationship Id="rId2" Type="http://schemas.openxmlformats.org/officeDocument/2006/relationships/numbering" Target="numbering.xml"/><Relationship Id="rId16" Type="http://schemas.openxmlformats.org/officeDocument/2006/relationships/hyperlink" Target="https://www.nice.org.uk/guidance/ng99/chapter/recommend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6174F-F466-428C-A164-6B1AC868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11</Pages>
  <Words>5597</Words>
  <Characters>31905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Pigott</dc:creator>
  <cp:keywords/>
  <dc:description/>
  <cp:lastModifiedBy>Pigott, Laura</cp:lastModifiedBy>
  <cp:revision>129</cp:revision>
  <dcterms:created xsi:type="dcterms:W3CDTF">2022-12-18T21:53:00Z</dcterms:created>
  <dcterms:modified xsi:type="dcterms:W3CDTF">2023-03-27T12:04:00Z</dcterms:modified>
</cp:coreProperties>
</file>