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6BE0C" w14:textId="77777777" w:rsidR="00376A58" w:rsidRPr="008C11BE" w:rsidRDefault="00376A58" w:rsidP="008C11BE">
      <w:pPr>
        <w:spacing w:line="480" w:lineRule="auto"/>
        <w:rPr>
          <w:rFonts w:ascii="Times New Roman" w:hAnsi="Times New Roman" w:cs="Times New Roman"/>
        </w:rPr>
      </w:pPr>
    </w:p>
    <w:p w14:paraId="3565A588" w14:textId="77777777" w:rsidR="00376A58" w:rsidRPr="008C11BE" w:rsidRDefault="00376A58" w:rsidP="002C0176">
      <w:pPr>
        <w:spacing w:line="480" w:lineRule="auto"/>
        <w:outlineLvl w:val="0"/>
        <w:rPr>
          <w:rFonts w:ascii="Times New Roman" w:hAnsi="Times New Roman" w:cs="Times New Roman"/>
        </w:rPr>
      </w:pPr>
      <w:r w:rsidRPr="008C11BE">
        <w:rPr>
          <w:rFonts w:ascii="Times New Roman" w:hAnsi="Times New Roman" w:cs="Times New Roman"/>
          <w:b/>
        </w:rPr>
        <w:t>Critical Health Literacy for the Marginalised: Empirical Findings</w:t>
      </w:r>
      <w:r w:rsidRPr="008C11BE">
        <w:rPr>
          <w:rFonts w:ascii="Times New Roman" w:hAnsi="Times New Roman" w:cs="Times New Roman"/>
        </w:rPr>
        <w:t xml:space="preserve"> </w:t>
      </w:r>
    </w:p>
    <w:p w14:paraId="178C1DB6" w14:textId="77777777" w:rsidR="00376A58" w:rsidRPr="008C11BE" w:rsidRDefault="00376A58" w:rsidP="008C11BE">
      <w:pPr>
        <w:spacing w:line="480" w:lineRule="auto"/>
        <w:rPr>
          <w:rFonts w:ascii="Times New Roman" w:hAnsi="Times New Roman" w:cs="Times New Roman"/>
        </w:rPr>
      </w:pPr>
    </w:p>
    <w:p w14:paraId="755C97A5" w14:textId="77777777" w:rsidR="00376A58" w:rsidRPr="008C11BE" w:rsidRDefault="00376A58" w:rsidP="002C0176">
      <w:pPr>
        <w:spacing w:line="480" w:lineRule="auto"/>
        <w:outlineLvl w:val="0"/>
        <w:rPr>
          <w:rFonts w:ascii="Times New Roman" w:hAnsi="Times New Roman" w:cs="Times New Roman"/>
        </w:rPr>
      </w:pPr>
      <w:r w:rsidRPr="008C11BE">
        <w:rPr>
          <w:rFonts w:ascii="Times New Roman" w:hAnsi="Times New Roman" w:cs="Times New Roman"/>
        </w:rPr>
        <w:t>Susie Sykes and Jane Wills</w:t>
      </w:r>
    </w:p>
    <w:p w14:paraId="7C328E8C" w14:textId="77777777" w:rsidR="00376A58" w:rsidRPr="008C11BE" w:rsidRDefault="00376A58" w:rsidP="008C11BE">
      <w:pPr>
        <w:spacing w:line="480" w:lineRule="auto"/>
        <w:rPr>
          <w:rFonts w:ascii="Times New Roman" w:hAnsi="Times New Roman" w:cs="Times New Roman"/>
        </w:rPr>
      </w:pPr>
    </w:p>
    <w:p w14:paraId="3A938992" w14:textId="77777777" w:rsidR="00376A58" w:rsidRPr="008C11BE" w:rsidRDefault="00376A58" w:rsidP="008C11BE">
      <w:pPr>
        <w:spacing w:line="480" w:lineRule="auto"/>
        <w:rPr>
          <w:rFonts w:ascii="Times New Roman" w:hAnsi="Times New Roman" w:cs="Times New Roman"/>
          <w:b/>
        </w:rPr>
      </w:pPr>
      <w:r w:rsidRPr="008C11BE">
        <w:rPr>
          <w:rFonts w:ascii="Times New Roman" w:hAnsi="Times New Roman" w:cs="Times New Roman"/>
        </w:rPr>
        <w:t>&lt;h1&gt;</w:t>
      </w:r>
      <w:r w:rsidRPr="008C11BE">
        <w:rPr>
          <w:rFonts w:ascii="Times New Roman" w:hAnsi="Times New Roman" w:cs="Times New Roman"/>
          <w:b/>
        </w:rPr>
        <w:t xml:space="preserve"> Introduction</w:t>
      </w:r>
    </w:p>
    <w:p w14:paraId="4911717E" w14:textId="77777777" w:rsidR="00376A58" w:rsidRPr="008C11BE" w:rsidRDefault="00376A58" w:rsidP="008C11BE">
      <w:pPr>
        <w:spacing w:line="480" w:lineRule="auto"/>
        <w:rPr>
          <w:rFonts w:ascii="Times New Roman" w:hAnsi="Times New Roman" w:cs="Times New Roman"/>
        </w:rPr>
      </w:pPr>
    </w:p>
    <w:p w14:paraId="3D3BC53E" w14:textId="2791530C" w:rsidR="00376A58" w:rsidRPr="001645B4" w:rsidRDefault="00376A58" w:rsidP="008C11BE">
      <w:pPr>
        <w:spacing w:line="480" w:lineRule="auto"/>
        <w:rPr>
          <w:rFonts w:ascii="Times New Roman" w:hAnsi="Times New Roman" w:cs="Times New Roman"/>
        </w:rPr>
      </w:pPr>
      <w:r w:rsidRPr="008C11BE">
        <w:rPr>
          <w:rFonts w:ascii="Times New Roman" w:hAnsi="Times New Roman" w:cs="Times New Roman"/>
        </w:rPr>
        <w:t xml:space="preserve">Definitions of health literacy have differentiated between functional, interactive and critical health literacy (CHL). The latter describes advanced literacy skills which may be used to critically analyse information but crucially to use this information to exert greater control over life events and situations that impact on health. CHL includes the development of </w:t>
      </w:r>
      <w:r w:rsidRPr="008C11BE">
        <w:rPr>
          <w:rFonts w:ascii="Times New Roman" w:eastAsia="Helvetica" w:hAnsi="Times New Roman" w:cs="Times New Roman"/>
        </w:rPr>
        <w:t>“skills and abilities that enable citizens to become aware of public issues to p</w:t>
      </w:r>
      <w:r w:rsidRPr="008C11BE">
        <w:rPr>
          <w:rFonts w:ascii="Times New Roman" w:hAnsi="Times New Roman" w:cs="Times New Roman"/>
        </w:rPr>
        <w:t>articipate in critical dialogue about them, and to become involved in decision-making processes</w:t>
      </w:r>
      <w:r w:rsidRPr="008C11BE">
        <w:rPr>
          <w:rFonts w:ascii="Times New Roman" w:eastAsia="Helvetica" w:hAnsi="Times New Roman" w:cs="Times New Roman"/>
        </w:rPr>
        <w:t>” (</w:t>
      </w:r>
      <w:proofErr w:type="spellStart"/>
      <w:r w:rsidRPr="00EB24EE">
        <w:rPr>
          <w:rFonts w:ascii="Times New Roman" w:eastAsia="Helvetica" w:hAnsi="Times New Roman" w:cs="Times New Roman"/>
          <w:color w:val="000000" w:themeColor="text1"/>
        </w:rPr>
        <w:t>Zarcadoolas</w:t>
      </w:r>
      <w:proofErr w:type="spellEnd"/>
      <w:r w:rsidRPr="008C11BE">
        <w:rPr>
          <w:rFonts w:ascii="Times New Roman" w:eastAsia="Helvetica" w:hAnsi="Times New Roman" w:cs="Times New Roman"/>
        </w:rPr>
        <w:t xml:space="preserve"> et al 2006, p61)</w:t>
      </w:r>
      <w:r w:rsidRPr="00A25B0A">
        <w:rPr>
          <w:rFonts w:ascii="Times New Roman" w:hAnsi="Times New Roman" w:cs="Times New Roman"/>
        </w:rPr>
        <w:t>. CHL connects closely to the concept of health promotion and is a key outcom</w:t>
      </w:r>
      <w:r w:rsidRPr="001645B4">
        <w:rPr>
          <w:rFonts w:ascii="Times New Roman" w:hAnsi="Times New Roman" w:cs="Times New Roman"/>
        </w:rPr>
        <w:t>e of empowerment strategies that seek to develop personal skills, build healthy public policy and create supportive environments.</w:t>
      </w:r>
    </w:p>
    <w:p w14:paraId="390AA687" w14:textId="77777777" w:rsidR="00376A58" w:rsidRPr="001645B4" w:rsidRDefault="00376A58" w:rsidP="008C11BE">
      <w:pPr>
        <w:spacing w:line="480" w:lineRule="auto"/>
        <w:rPr>
          <w:rFonts w:ascii="Times New Roman" w:hAnsi="Times New Roman" w:cs="Times New Roman"/>
        </w:rPr>
      </w:pPr>
    </w:p>
    <w:p w14:paraId="38C4E8B3" w14:textId="22D147C3" w:rsidR="00B370BD" w:rsidRPr="008C11BE" w:rsidRDefault="00376A58" w:rsidP="008C11BE">
      <w:pPr>
        <w:spacing w:line="480" w:lineRule="auto"/>
        <w:rPr>
          <w:rFonts w:ascii="Times New Roman" w:hAnsi="Times New Roman" w:cs="Times New Roman"/>
        </w:rPr>
      </w:pPr>
      <w:r w:rsidRPr="008C11BE">
        <w:rPr>
          <w:rFonts w:ascii="Times New Roman" w:hAnsi="Times New Roman" w:cs="Times New Roman"/>
        </w:rPr>
        <w:t>Individual lifestyle factors, social and community networks, living and working conditions and general socio-economic, cultural and environmental conditions have all been presented as important in determining health (Dahlgren and Whitehead</w:t>
      </w:r>
      <w:r w:rsidR="00757482" w:rsidRPr="008C11BE">
        <w:rPr>
          <w:rFonts w:ascii="Times New Roman" w:hAnsi="Times New Roman" w:cs="Times New Roman"/>
        </w:rPr>
        <w:t>,</w:t>
      </w:r>
      <w:r w:rsidRPr="008C11BE">
        <w:rPr>
          <w:rFonts w:ascii="Times New Roman" w:hAnsi="Times New Roman" w:cs="Times New Roman"/>
        </w:rPr>
        <w:t xml:space="preserve"> 1991). The body of work evidencing the impact of these social determinants of health has grown considerably over the last ten years and links are now well established and more fully understood </w:t>
      </w:r>
      <w:r w:rsidRPr="00EB24EE">
        <w:rPr>
          <w:rFonts w:ascii="Times New Roman" w:hAnsi="Times New Roman" w:cs="Times New Roman"/>
        </w:rPr>
        <w:t>(Marmot et al</w:t>
      </w:r>
      <w:r w:rsidR="00757482" w:rsidRPr="008C11BE">
        <w:rPr>
          <w:rFonts w:ascii="Times New Roman" w:hAnsi="Times New Roman" w:cs="Times New Roman"/>
        </w:rPr>
        <w:t>,</w:t>
      </w:r>
      <w:r w:rsidRPr="008C11BE">
        <w:rPr>
          <w:rFonts w:ascii="Times New Roman" w:hAnsi="Times New Roman" w:cs="Times New Roman"/>
        </w:rPr>
        <w:t xml:space="preserve"> </w:t>
      </w:r>
    </w:p>
    <w:p w14:paraId="68A35C10" w14:textId="4211F149" w:rsidR="00376A58" w:rsidRPr="00E97CD2" w:rsidRDefault="00376A58" w:rsidP="00E97CD2">
      <w:pPr>
        <w:spacing w:line="480" w:lineRule="auto"/>
        <w:rPr>
          <w:rFonts w:ascii="Times New Roman" w:hAnsi="Times New Roman" w:cs="Times New Roman"/>
        </w:rPr>
      </w:pPr>
      <w:r w:rsidRPr="00E97CD2">
        <w:rPr>
          <w:rFonts w:ascii="Times New Roman" w:hAnsi="Times New Roman" w:cs="Times New Roman"/>
        </w:rPr>
        <w:t xml:space="preserve">2012). Literacy </w:t>
      </w:r>
      <w:r w:rsidR="00BA7631" w:rsidRPr="00E97CD2">
        <w:rPr>
          <w:rFonts w:ascii="Times New Roman" w:hAnsi="Times New Roman" w:cs="Times New Roman"/>
        </w:rPr>
        <w:t xml:space="preserve">is a social determinant </w:t>
      </w:r>
      <w:r w:rsidRPr="00E97CD2">
        <w:rPr>
          <w:rFonts w:ascii="Times New Roman" w:hAnsi="Times New Roman" w:cs="Times New Roman"/>
        </w:rPr>
        <w:t>influenc</w:t>
      </w:r>
      <w:r w:rsidR="00BA7631" w:rsidRPr="00E97CD2">
        <w:rPr>
          <w:rFonts w:ascii="Times New Roman" w:hAnsi="Times New Roman" w:cs="Times New Roman"/>
        </w:rPr>
        <w:t>ing</w:t>
      </w:r>
      <w:r w:rsidRPr="00E97CD2">
        <w:rPr>
          <w:rFonts w:ascii="Times New Roman" w:hAnsi="Times New Roman" w:cs="Times New Roman"/>
        </w:rPr>
        <w:t xml:space="preserve"> health both directly and indirectly:</w:t>
      </w:r>
      <w:r w:rsidR="00762977" w:rsidRPr="00E97CD2">
        <w:rPr>
          <w:rFonts w:ascii="Times New Roman" w:hAnsi="Times New Roman" w:cs="Times New Roman"/>
        </w:rPr>
        <w:t xml:space="preserve"> </w:t>
      </w:r>
      <w:r w:rsidR="00750A0F">
        <w:rPr>
          <w:rFonts w:ascii="Times New Roman" w:hAnsi="Times New Roman" w:cs="Times New Roman"/>
        </w:rPr>
        <w:t>d</w:t>
      </w:r>
      <w:r w:rsidRPr="00E97CD2">
        <w:rPr>
          <w:rFonts w:ascii="Times New Roman" w:hAnsi="Times New Roman" w:cs="Times New Roman"/>
        </w:rPr>
        <w:t>irectly through the difficult</w:t>
      </w:r>
      <w:r w:rsidR="000C681A">
        <w:rPr>
          <w:rFonts w:ascii="Times New Roman" w:hAnsi="Times New Roman" w:cs="Times New Roman"/>
        </w:rPr>
        <w:t>y of</w:t>
      </w:r>
      <w:r w:rsidRPr="00E97CD2">
        <w:rPr>
          <w:rFonts w:ascii="Times New Roman" w:hAnsi="Times New Roman" w:cs="Times New Roman"/>
        </w:rPr>
        <w:t xml:space="preserve"> gathering and comprehending health information and the organization and functioning of </w:t>
      </w:r>
      <w:r w:rsidR="00DC1D7F">
        <w:rPr>
          <w:rFonts w:ascii="Times New Roman" w:hAnsi="Times New Roman" w:cs="Times New Roman"/>
        </w:rPr>
        <w:t xml:space="preserve">the </w:t>
      </w:r>
      <w:r w:rsidRPr="00E97CD2">
        <w:rPr>
          <w:rFonts w:ascii="Times New Roman" w:hAnsi="Times New Roman" w:cs="Times New Roman"/>
        </w:rPr>
        <w:t>health</w:t>
      </w:r>
      <w:r w:rsidR="00DC1D7F">
        <w:rPr>
          <w:rFonts w:ascii="Times New Roman" w:hAnsi="Times New Roman" w:cs="Times New Roman"/>
        </w:rPr>
        <w:t xml:space="preserve"> </w:t>
      </w:r>
      <w:r w:rsidRPr="00E97CD2">
        <w:rPr>
          <w:rFonts w:ascii="Times New Roman" w:hAnsi="Times New Roman" w:cs="Times New Roman"/>
        </w:rPr>
        <w:t>care system</w:t>
      </w:r>
      <w:r w:rsidR="000C681A">
        <w:rPr>
          <w:rFonts w:ascii="Times New Roman" w:hAnsi="Times New Roman" w:cs="Times New Roman"/>
        </w:rPr>
        <w:t>;</w:t>
      </w:r>
      <w:r w:rsidRPr="00E97CD2">
        <w:rPr>
          <w:rFonts w:ascii="Times New Roman" w:hAnsi="Times New Roman" w:cs="Times New Roman"/>
        </w:rPr>
        <w:t xml:space="preserve"> and indirectly through the personal </w:t>
      </w:r>
      <w:r w:rsidRPr="00E97CD2">
        <w:rPr>
          <w:rFonts w:ascii="Times New Roman" w:hAnsi="Times New Roman" w:cs="Times New Roman"/>
        </w:rPr>
        <w:lastRenderedPageBreak/>
        <w:t xml:space="preserve">and socioeconomic challenges that often go with limited literacy: e.g. self-confidence, employment, income, housing, healthy eating, and the stress that comes from constant worry about meeting these basic human needs for ourselves and our families. Research has shown that people with a better education have lower morbidity rates from the most common chronic diseases (Cutler and </w:t>
      </w:r>
      <w:proofErr w:type="spellStart"/>
      <w:r w:rsidRPr="00E97CD2">
        <w:rPr>
          <w:rFonts w:ascii="Times New Roman" w:hAnsi="Times New Roman" w:cs="Times New Roman"/>
        </w:rPr>
        <w:t>Llera-Mune</w:t>
      </w:r>
      <w:proofErr w:type="spellEnd"/>
      <w:r w:rsidR="00757482" w:rsidRPr="00E97CD2">
        <w:rPr>
          <w:rFonts w:ascii="Times New Roman" w:hAnsi="Times New Roman" w:cs="Times New Roman"/>
        </w:rPr>
        <w:t>,</w:t>
      </w:r>
      <w:r w:rsidRPr="00E97CD2">
        <w:rPr>
          <w:rFonts w:ascii="Times New Roman" w:hAnsi="Times New Roman" w:cs="Times New Roman"/>
        </w:rPr>
        <w:t xml:space="preserve"> 200</w:t>
      </w:r>
      <w:r w:rsidR="00673D03" w:rsidRPr="00E97CD2">
        <w:rPr>
          <w:rFonts w:ascii="Times New Roman" w:hAnsi="Times New Roman" w:cs="Times New Roman"/>
        </w:rPr>
        <w:t>6</w:t>
      </w:r>
      <w:r w:rsidRPr="00E97CD2">
        <w:rPr>
          <w:rFonts w:ascii="Times New Roman" w:hAnsi="Times New Roman" w:cs="Times New Roman"/>
        </w:rPr>
        <w:t>) which is, in part, because of the effects of education on adult income, employment and living conditions (Marmot et al</w:t>
      </w:r>
      <w:r w:rsidR="00673D03" w:rsidRPr="00E97CD2">
        <w:rPr>
          <w:rFonts w:ascii="Times New Roman" w:hAnsi="Times New Roman" w:cs="Times New Roman"/>
        </w:rPr>
        <w:t>,</w:t>
      </w:r>
      <w:r w:rsidRPr="00E97CD2">
        <w:rPr>
          <w:rFonts w:ascii="Times New Roman" w:hAnsi="Times New Roman" w:cs="Times New Roman"/>
        </w:rPr>
        <w:t xml:space="preserve"> 2012). The opportunities </w:t>
      </w:r>
      <w:r w:rsidR="00762977" w:rsidRPr="00E97CD2">
        <w:rPr>
          <w:rFonts w:ascii="Times New Roman" w:hAnsi="Times New Roman" w:cs="Times New Roman"/>
        </w:rPr>
        <w:t xml:space="preserve">then </w:t>
      </w:r>
      <w:r w:rsidRPr="00E97CD2">
        <w:rPr>
          <w:rFonts w:ascii="Times New Roman" w:eastAsia="Times New Roman" w:hAnsi="Times New Roman" w:cs="Times New Roman"/>
        </w:rPr>
        <w:t xml:space="preserve">for marginalised, vulnerable and disadvantaged groups to be actively involved in decisions about their health and </w:t>
      </w:r>
      <w:r w:rsidRPr="00E97CD2">
        <w:rPr>
          <w:rFonts w:ascii="Times New Roman" w:eastAsia="Helvetica" w:hAnsi="Times New Roman" w:cs="Times New Roman"/>
        </w:rPr>
        <w:t xml:space="preserve">to take control of their health and the conditions that affect their health </w:t>
      </w:r>
      <w:r w:rsidR="00762977" w:rsidRPr="00E97CD2">
        <w:rPr>
          <w:rFonts w:ascii="Times New Roman" w:eastAsia="Helvetica" w:hAnsi="Times New Roman" w:cs="Times New Roman"/>
        </w:rPr>
        <w:t xml:space="preserve">may be limited by </w:t>
      </w:r>
      <w:r w:rsidRPr="00E97CD2">
        <w:rPr>
          <w:rFonts w:ascii="Times New Roman" w:eastAsia="Helvetica" w:hAnsi="Times New Roman" w:cs="Times New Roman"/>
        </w:rPr>
        <w:t>their health literacy skills.</w:t>
      </w:r>
      <w:r w:rsidR="00E97CD2">
        <w:rPr>
          <w:rFonts w:ascii="Times New Roman" w:eastAsia="Helvetica" w:hAnsi="Times New Roman" w:cs="Times New Roman"/>
        </w:rPr>
        <w:t xml:space="preserve"> </w:t>
      </w:r>
      <w:r w:rsidR="00E97CD2" w:rsidRPr="001B0738">
        <w:rPr>
          <w:rFonts w:ascii="Times New Roman" w:eastAsia="Times New Roman" w:hAnsi="Times New Roman" w:cs="Times New Roman"/>
          <w:color w:val="000000" w:themeColor="text1"/>
          <w:lang w:eastAsia="en-GB"/>
        </w:rPr>
        <w:t>As lifelong learning (both formal and informal) improves health literacy which influences health outcomes</w:t>
      </w:r>
      <w:r w:rsidR="002C0176" w:rsidRPr="001B0738">
        <w:rPr>
          <w:rFonts w:ascii="Times New Roman" w:eastAsia="Times New Roman" w:hAnsi="Times New Roman" w:cs="Times New Roman"/>
          <w:color w:val="000000" w:themeColor="text1"/>
          <w:lang w:eastAsia="en-GB"/>
        </w:rPr>
        <w:t>,</w:t>
      </w:r>
      <w:r w:rsidR="00E97CD2" w:rsidRPr="001B0738">
        <w:rPr>
          <w:rFonts w:ascii="Times New Roman" w:eastAsia="Times New Roman" w:hAnsi="Times New Roman" w:cs="Times New Roman"/>
          <w:color w:val="000000" w:themeColor="text1"/>
          <w:lang w:eastAsia="en-GB"/>
        </w:rPr>
        <w:t xml:space="preserve"> there is a need to develop health literacy across the life course. </w:t>
      </w:r>
      <w:r w:rsidR="00BF2871" w:rsidRPr="001B0738">
        <w:rPr>
          <w:rFonts w:ascii="Times New Roman" w:eastAsia="Times New Roman" w:hAnsi="Times New Roman" w:cs="Times New Roman"/>
          <w:color w:val="000000" w:themeColor="text1"/>
          <w:lang w:eastAsia="en-GB"/>
        </w:rPr>
        <w:t>T</w:t>
      </w:r>
      <w:r w:rsidR="00E97CD2" w:rsidRPr="001B0738">
        <w:rPr>
          <w:rFonts w:ascii="Times New Roman" w:eastAsia="Times New Roman" w:hAnsi="Times New Roman" w:cs="Times New Roman"/>
          <w:color w:val="000000" w:themeColor="text1"/>
          <w:lang w:eastAsia="en-GB"/>
        </w:rPr>
        <w:t xml:space="preserve">here is </w:t>
      </w:r>
      <w:r w:rsidR="00037998" w:rsidRPr="001B0738">
        <w:rPr>
          <w:rFonts w:ascii="Times New Roman" w:eastAsia="Times New Roman" w:hAnsi="Times New Roman" w:cs="Times New Roman"/>
          <w:color w:val="000000" w:themeColor="text1"/>
          <w:lang w:eastAsia="en-GB"/>
        </w:rPr>
        <w:t xml:space="preserve">for example, </w:t>
      </w:r>
      <w:r w:rsidR="00E97CD2" w:rsidRPr="001B0738">
        <w:rPr>
          <w:rFonts w:ascii="Times New Roman" w:hAnsi="Times New Roman" w:cs="Times New Roman"/>
        </w:rPr>
        <w:t>substantial evidence that low health literacy is associated with older age and difficulties coping with health system demands, complex information environments including m</w:t>
      </w:r>
      <w:r w:rsidR="0085412C" w:rsidRPr="001B0738">
        <w:rPr>
          <w:rFonts w:ascii="Times New Roman" w:hAnsi="Times New Roman" w:cs="Times New Roman"/>
        </w:rPr>
        <w:t xml:space="preserve">ental </w:t>
      </w:r>
      <w:r w:rsidR="00E97CD2" w:rsidRPr="001B0738">
        <w:rPr>
          <w:rFonts w:ascii="Times New Roman" w:hAnsi="Times New Roman" w:cs="Times New Roman"/>
        </w:rPr>
        <w:t xml:space="preserve">health and declining cognitive </w:t>
      </w:r>
      <w:r w:rsidR="00E97CD2" w:rsidRPr="001B0738">
        <w:rPr>
          <w:rFonts w:ascii="Times New Roman" w:hAnsi="Times New Roman" w:cs="Times New Roman"/>
          <w:color w:val="000000" w:themeColor="text1"/>
        </w:rPr>
        <w:t>function</w:t>
      </w:r>
      <w:r w:rsidR="00E45780" w:rsidRPr="001B0738">
        <w:rPr>
          <w:rFonts w:ascii="Times New Roman" w:hAnsi="Times New Roman" w:cs="Times New Roman"/>
          <w:color w:val="000000" w:themeColor="text1"/>
        </w:rPr>
        <w:t xml:space="preserve"> (Wister et al, 2010, Murray et al, 2011)</w:t>
      </w:r>
      <w:r w:rsidR="00E97CD2" w:rsidRPr="001B0738">
        <w:rPr>
          <w:rFonts w:ascii="Times New Roman" w:hAnsi="Times New Roman" w:cs="Times New Roman"/>
          <w:color w:val="000000" w:themeColor="text1"/>
        </w:rPr>
        <w:t xml:space="preserve">, </w:t>
      </w:r>
      <w:r w:rsidR="002C0176" w:rsidRPr="001B0738">
        <w:rPr>
          <w:rFonts w:ascii="Times New Roman" w:hAnsi="Times New Roman" w:cs="Times New Roman"/>
          <w:color w:val="000000" w:themeColor="text1"/>
        </w:rPr>
        <w:t xml:space="preserve">yet </w:t>
      </w:r>
      <w:r w:rsidR="00E97CD2" w:rsidRPr="001B0738">
        <w:rPr>
          <w:rFonts w:ascii="Times New Roman" w:hAnsi="Times New Roman" w:cs="Times New Roman"/>
          <w:color w:val="000000" w:themeColor="text1"/>
        </w:rPr>
        <w:t xml:space="preserve">the opportunities for </w:t>
      </w:r>
      <w:r w:rsidR="00BF2871" w:rsidRPr="001B0738">
        <w:rPr>
          <w:rFonts w:ascii="Times New Roman" w:hAnsi="Times New Roman" w:cs="Times New Roman"/>
          <w:color w:val="000000" w:themeColor="text1"/>
        </w:rPr>
        <w:t xml:space="preserve">this age group to develop </w:t>
      </w:r>
      <w:r w:rsidR="00391180" w:rsidRPr="001B0738">
        <w:rPr>
          <w:rFonts w:ascii="Times New Roman" w:hAnsi="Times New Roman" w:cs="Times New Roman"/>
          <w:color w:val="000000" w:themeColor="text1"/>
        </w:rPr>
        <w:t xml:space="preserve">CHL </w:t>
      </w:r>
      <w:r w:rsidR="00BF2871" w:rsidRPr="001B0738">
        <w:rPr>
          <w:rFonts w:ascii="Times New Roman" w:hAnsi="Times New Roman" w:cs="Times New Roman"/>
          <w:color w:val="000000" w:themeColor="text1"/>
        </w:rPr>
        <w:t xml:space="preserve">are </w:t>
      </w:r>
      <w:r w:rsidR="002C0176" w:rsidRPr="001B0738">
        <w:rPr>
          <w:rFonts w:ascii="Times New Roman" w:hAnsi="Times New Roman" w:cs="Times New Roman"/>
          <w:color w:val="000000" w:themeColor="text1"/>
        </w:rPr>
        <w:t>correspondingly limited.</w:t>
      </w:r>
    </w:p>
    <w:p w14:paraId="5E0FB58A" w14:textId="77777777" w:rsidR="00376A58" w:rsidRPr="008C11BE" w:rsidRDefault="00376A58" w:rsidP="008C11BE">
      <w:pPr>
        <w:spacing w:line="480" w:lineRule="auto"/>
        <w:rPr>
          <w:rFonts w:ascii="Times New Roman" w:hAnsi="Times New Roman" w:cs="Times New Roman"/>
        </w:rPr>
      </w:pPr>
    </w:p>
    <w:p w14:paraId="1BB46645" w14:textId="02811854" w:rsidR="00376A58" w:rsidRDefault="00376A58" w:rsidP="00A25B0A">
      <w:pPr>
        <w:spacing w:line="480" w:lineRule="auto"/>
        <w:rPr>
          <w:rFonts w:ascii="Times New Roman" w:eastAsia="Helvetica" w:hAnsi="Times New Roman" w:cs="Times New Roman"/>
        </w:rPr>
      </w:pPr>
      <w:r w:rsidRPr="008C11BE">
        <w:rPr>
          <w:rFonts w:ascii="Times New Roman" w:hAnsi="Times New Roman" w:cs="Times New Roman"/>
        </w:rPr>
        <w:t xml:space="preserve">CHL has built on the idea of </w:t>
      </w:r>
      <w:r w:rsidRPr="008C11BE">
        <w:rPr>
          <w:rFonts w:ascii="Times New Roman" w:eastAsia="Helvetica" w:hAnsi="Times New Roman" w:cs="Times New Roman"/>
        </w:rPr>
        <w:t>“</w:t>
      </w:r>
      <w:r w:rsidRPr="008C11BE">
        <w:rPr>
          <w:rFonts w:ascii="Times New Roman" w:hAnsi="Times New Roman" w:cs="Times New Roman"/>
        </w:rPr>
        <w:t>critical consciousness</w:t>
      </w:r>
      <w:r w:rsidRPr="008C11BE">
        <w:rPr>
          <w:rFonts w:ascii="Times New Roman" w:eastAsia="Helvetica" w:hAnsi="Times New Roman" w:cs="Times New Roman"/>
        </w:rPr>
        <w:t>”</w:t>
      </w:r>
      <w:r w:rsidRPr="008C11BE">
        <w:rPr>
          <w:rFonts w:ascii="Times New Roman" w:hAnsi="Times New Roman" w:cs="Times New Roman"/>
        </w:rPr>
        <w:t xml:space="preserve"> derived from the emancipatory adult education and participatory empowerment philosophy of Paolo Freire. Freire </w:t>
      </w:r>
      <w:r w:rsidRPr="008C11BE">
        <w:rPr>
          <w:rFonts w:ascii="Times New Roman" w:eastAsia="Helvetica" w:hAnsi="Times New Roman" w:cs="Times New Roman"/>
        </w:rPr>
        <w:t xml:space="preserve">developed a pedagogy in Brazil with illiterate workers </w:t>
      </w:r>
      <w:r w:rsidRPr="008C11BE">
        <w:rPr>
          <w:rFonts w:ascii="Times New Roman" w:hAnsi="Times New Roman" w:cs="Times New Roman"/>
        </w:rPr>
        <w:t>based on an education of questioning, in which the development of the vocabulary of the learners</w:t>
      </w:r>
      <w:r w:rsidRPr="008C11BE">
        <w:rPr>
          <w:rFonts w:ascii="Times New Roman" w:eastAsia="Helvetica" w:hAnsi="Times New Roman" w:cs="Times New Roman"/>
        </w:rPr>
        <w:t>’ daily life promoted dialogue between the participants which would address the questions of their social conditions. Thus</w:t>
      </w:r>
      <w:r w:rsidR="00762977" w:rsidRPr="008C11BE">
        <w:rPr>
          <w:rFonts w:ascii="Times New Roman" w:eastAsia="Helvetica" w:hAnsi="Times New Roman" w:cs="Times New Roman"/>
        </w:rPr>
        <w:t xml:space="preserve">, </w:t>
      </w:r>
      <w:r w:rsidRPr="008C11BE">
        <w:rPr>
          <w:rFonts w:ascii="Times New Roman" w:eastAsia="Helvetica" w:hAnsi="Times New Roman" w:cs="Times New Roman"/>
        </w:rPr>
        <w:t>teaching words becomes a means to tea</w:t>
      </w:r>
      <w:r w:rsidRPr="008C11BE">
        <w:rPr>
          <w:rFonts w:ascii="Times New Roman" w:hAnsi="Times New Roman" w:cs="Times New Roman"/>
        </w:rPr>
        <w:t xml:space="preserve">ching about the world rather than an end in itself. Mastering the tools of the dominant language was, for Freire: </w:t>
      </w:r>
      <w:r w:rsidRPr="008C11BE">
        <w:rPr>
          <w:rFonts w:ascii="Times New Roman" w:eastAsia="Helvetica" w:hAnsi="Times New Roman" w:cs="Times New Roman"/>
        </w:rPr>
        <w:t>‘</w:t>
      </w:r>
      <w:r w:rsidRPr="008C11BE">
        <w:rPr>
          <w:rFonts w:ascii="Times New Roman" w:hAnsi="Times New Roman" w:cs="Times New Roman"/>
          <w:i/>
        </w:rPr>
        <w:t>not only to survive but also to fight for the transformation of an unjust and cruel society where the subordinate groups are rejected, insulted and humiliated</w:t>
      </w:r>
      <w:r w:rsidRPr="008C11BE">
        <w:rPr>
          <w:rFonts w:ascii="Times New Roman" w:eastAsia="Helvetica" w:hAnsi="Times New Roman" w:cs="Times New Roman"/>
          <w:i/>
        </w:rPr>
        <w:t>’</w:t>
      </w:r>
      <w:r w:rsidRPr="008C11BE">
        <w:rPr>
          <w:rFonts w:ascii="Times New Roman" w:hAnsi="Times New Roman" w:cs="Times New Roman"/>
        </w:rPr>
        <w:t xml:space="preserve"> (Freire</w:t>
      </w:r>
      <w:r w:rsidR="00673D03" w:rsidRPr="00EB24EE">
        <w:rPr>
          <w:rFonts w:ascii="Times New Roman" w:hAnsi="Times New Roman" w:cs="Times New Roman"/>
        </w:rPr>
        <w:t>,</w:t>
      </w:r>
      <w:r w:rsidRPr="00EB24EE">
        <w:rPr>
          <w:rFonts w:ascii="Times New Roman" w:hAnsi="Times New Roman" w:cs="Times New Roman"/>
        </w:rPr>
        <w:t xml:space="preserve"> 1993 p135</w:t>
      </w:r>
      <w:r w:rsidRPr="008C11BE">
        <w:rPr>
          <w:rFonts w:ascii="Times New Roman" w:hAnsi="Times New Roman" w:cs="Times New Roman"/>
        </w:rPr>
        <w:t xml:space="preserve">). </w:t>
      </w:r>
      <w:r w:rsidR="00522E95" w:rsidRPr="008C11BE">
        <w:rPr>
          <w:rFonts w:ascii="Times New Roman" w:hAnsi="Times New Roman" w:cs="Times New Roman"/>
        </w:rPr>
        <w:t xml:space="preserve">For </w:t>
      </w:r>
      <w:r w:rsidRPr="008C11BE">
        <w:rPr>
          <w:rFonts w:ascii="Times New Roman" w:hAnsi="Times New Roman" w:cs="Times New Roman"/>
        </w:rPr>
        <w:t xml:space="preserve">Freire, literacy is not just about reading and </w:t>
      </w:r>
      <w:r w:rsidRPr="008C11BE">
        <w:rPr>
          <w:rFonts w:ascii="Times New Roman" w:hAnsi="Times New Roman" w:cs="Times New Roman"/>
        </w:rPr>
        <w:lastRenderedPageBreak/>
        <w:t xml:space="preserve">writing skills but is also about mobilising social resources and social capital in communities to confront and analyse their surrounding </w:t>
      </w:r>
      <w:r w:rsidRPr="00A25B0A">
        <w:rPr>
          <w:rFonts w:ascii="Times New Roman" w:eastAsia="Helvetica" w:hAnsi="Times New Roman" w:cs="Times New Roman"/>
        </w:rPr>
        <w:t>social, political and economic structures.</w:t>
      </w:r>
    </w:p>
    <w:p w14:paraId="2D8F0A3C" w14:textId="638870B8" w:rsidR="00BB7E63" w:rsidRDefault="00BB7E63" w:rsidP="00A25B0A">
      <w:pPr>
        <w:spacing w:line="480" w:lineRule="auto"/>
        <w:rPr>
          <w:rFonts w:ascii="Times New Roman" w:eastAsia="Helvetica" w:hAnsi="Times New Roman" w:cs="Times New Roman"/>
        </w:rPr>
      </w:pPr>
    </w:p>
    <w:p w14:paraId="72C4378F" w14:textId="45626645" w:rsidR="00376A58" w:rsidRPr="008C11BE" w:rsidRDefault="00376A58" w:rsidP="001645B4">
      <w:pPr>
        <w:spacing w:line="480" w:lineRule="auto"/>
        <w:rPr>
          <w:rFonts w:ascii="Times New Roman" w:hAnsi="Times New Roman" w:cs="Times New Roman"/>
        </w:rPr>
      </w:pPr>
    </w:p>
    <w:p w14:paraId="6C9468A0" w14:textId="667F28BF" w:rsidR="00376A58" w:rsidRPr="008C11BE" w:rsidRDefault="00376A58">
      <w:pPr>
        <w:spacing w:line="480" w:lineRule="auto"/>
        <w:rPr>
          <w:rFonts w:ascii="Times New Roman" w:eastAsia="Times New Roman" w:hAnsi="Times New Roman" w:cs="Times New Roman"/>
          <w:lang w:eastAsia="en-GB"/>
        </w:rPr>
      </w:pPr>
      <w:r w:rsidRPr="008C11BE">
        <w:rPr>
          <w:rFonts w:ascii="Times New Roman" w:eastAsia="Helvetica" w:hAnsi="Times New Roman" w:cs="Times New Roman"/>
          <w:lang w:eastAsia="en-GB"/>
        </w:rPr>
        <w:t xml:space="preserve">This chapter reports </w:t>
      </w:r>
      <w:r w:rsidRPr="008C11BE">
        <w:rPr>
          <w:rFonts w:ascii="Times New Roman" w:eastAsia="Times New Roman" w:hAnsi="Times New Roman" w:cs="Times New Roman"/>
          <w:lang w:eastAsia="en-GB"/>
        </w:rPr>
        <w:t>on the available evidence about strategies to improve</w:t>
      </w:r>
      <w:r w:rsidR="00391180">
        <w:rPr>
          <w:rFonts w:ascii="Times New Roman" w:eastAsia="Times New Roman" w:hAnsi="Times New Roman" w:cs="Times New Roman"/>
          <w:lang w:eastAsia="en-GB"/>
        </w:rPr>
        <w:t xml:space="preserve"> CHL</w:t>
      </w:r>
      <w:r w:rsidR="00895FCF">
        <w:rPr>
          <w:rFonts w:ascii="Times New Roman" w:eastAsia="Times New Roman" w:hAnsi="Times New Roman" w:cs="Times New Roman"/>
          <w:lang w:eastAsia="en-GB"/>
        </w:rPr>
        <w:t>. Such strategies are</w:t>
      </w:r>
      <w:r w:rsidRPr="008C11BE">
        <w:rPr>
          <w:rFonts w:ascii="Times New Roman" w:eastAsia="Times New Roman" w:hAnsi="Times New Roman" w:cs="Times New Roman"/>
          <w:lang w:eastAsia="en-GB"/>
        </w:rPr>
        <w:t xml:space="preserve"> important empowerment tools which have the potential to reduce health inequalities because the most vulnerable and disadvantaged people in society are at risk of limited health literacy and are known to have the poorest health outcomes. </w:t>
      </w:r>
    </w:p>
    <w:p w14:paraId="147EAFC0" w14:textId="77777777" w:rsidR="00376A58" w:rsidRPr="008C11BE" w:rsidRDefault="00376A58">
      <w:pPr>
        <w:spacing w:line="480" w:lineRule="auto"/>
        <w:rPr>
          <w:rFonts w:ascii="Times New Roman" w:hAnsi="Times New Roman" w:cs="Times New Roman"/>
        </w:rPr>
      </w:pPr>
    </w:p>
    <w:p w14:paraId="5B290255" w14:textId="77777777" w:rsidR="00376A58" w:rsidRPr="008C11BE" w:rsidRDefault="00376A58">
      <w:pPr>
        <w:spacing w:line="480" w:lineRule="auto"/>
        <w:rPr>
          <w:rFonts w:ascii="Times New Roman" w:hAnsi="Times New Roman" w:cs="Times New Roman"/>
        </w:rPr>
      </w:pPr>
    </w:p>
    <w:p w14:paraId="4F4B6FD0" w14:textId="77777777" w:rsidR="00376A58" w:rsidRPr="008C11BE" w:rsidRDefault="00376A58">
      <w:pPr>
        <w:spacing w:line="480" w:lineRule="auto"/>
        <w:rPr>
          <w:rFonts w:ascii="Times New Roman" w:hAnsi="Times New Roman" w:cs="Times New Roman"/>
          <w:b/>
        </w:rPr>
      </w:pPr>
      <w:r w:rsidRPr="008C11BE">
        <w:rPr>
          <w:rFonts w:ascii="Times New Roman" w:hAnsi="Times New Roman" w:cs="Times New Roman"/>
        </w:rPr>
        <w:t xml:space="preserve">&lt;h1&gt; </w:t>
      </w:r>
      <w:r w:rsidRPr="008C11BE">
        <w:rPr>
          <w:rFonts w:ascii="Times New Roman" w:hAnsi="Times New Roman" w:cs="Times New Roman"/>
          <w:b/>
        </w:rPr>
        <w:t>Defining Critical Health Literacy</w:t>
      </w:r>
    </w:p>
    <w:p w14:paraId="1C0D5ED9" w14:textId="77777777" w:rsidR="00376A58" w:rsidRPr="008C11BE" w:rsidRDefault="00376A58">
      <w:pPr>
        <w:spacing w:line="480" w:lineRule="auto"/>
        <w:rPr>
          <w:rFonts w:ascii="Times New Roman" w:hAnsi="Times New Roman" w:cs="Times New Roman"/>
          <w:b/>
        </w:rPr>
      </w:pPr>
    </w:p>
    <w:p w14:paraId="47FC6DF8" w14:textId="374B0F3D" w:rsidR="00376A58" w:rsidRPr="00EB24EE" w:rsidRDefault="00376A58">
      <w:pPr>
        <w:widowControl w:val="0"/>
        <w:autoSpaceDE w:val="0"/>
        <w:autoSpaceDN w:val="0"/>
        <w:adjustRightInd w:val="0"/>
        <w:spacing w:after="240" w:line="480" w:lineRule="auto"/>
        <w:rPr>
          <w:rFonts w:ascii="Times New Roman" w:hAnsi="Times New Roman" w:cs="Times New Roman"/>
          <w:color w:val="000000" w:themeColor="text1"/>
        </w:rPr>
      </w:pPr>
      <w:r w:rsidRPr="008C11BE">
        <w:rPr>
          <w:rFonts w:ascii="Times New Roman" w:hAnsi="Times New Roman" w:cs="Times New Roman"/>
        </w:rPr>
        <w:t xml:space="preserve">CHL is the domain of health literacy that is least well defined and developed perhaps because it takes us away from the association of health literacy with health education and forms of communication towards political action. There have been several major attempts to clarify the concept of </w:t>
      </w:r>
      <w:r w:rsidR="00391180">
        <w:rPr>
          <w:rFonts w:ascii="Times New Roman" w:hAnsi="Times New Roman" w:cs="Times New Roman"/>
        </w:rPr>
        <w:t xml:space="preserve">CHL </w:t>
      </w:r>
      <w:r w:rsidRPr="008C11BE">
        <w:rPr>
          <w:rFonts w:ascii="Times New Roman" w:hAnsi="Times New Roman" w:cs="Times New Roman"/>
        </w:rPr>
        <w:t xml:space="preserve">and each has a different conclusion about its core elements but they share a view that CHL </w:t>
      </w:r>
      <w:r w:rsidRPr="008C11BE">
        <w:rPr>
          <w:rFonts w:ascii="Times New Roman" w:hAnsi="Times New Roman" w:cs="Times New Roman"/>
          <w:color w:val="000000"/>
        </w:rPr>
        <w:t xml:space="preserve">is not only an individual </w:t>
      </w:r>
      <w:r w:rsidR="00EB306C" w:rsidRPr="008C11BE">
        <w:rPr>
          <w:rFonts w:ascii="Times New Roman" w:hAnsi="Times New Roman" w:cs="Times New Roman"/>
          <w:color w:val="000000"/>
        </w:rPr>
        <w:t xml:space="preserve">(as in having abilities to critically assess information) </w:t>
      </w:r>
      <w:r w:rsidRPr="008C11BE">
        <w:rPr>
          <w:rFonts w:ascii="Times New Roman" w:hAnsi="Times New Roman" w:cs="Times New Roman"/>
          <w:color w:val="000000"/>
        </w:rPr>
        <w:t>but also a population asset offering a route to greater autonomy and control over health decision-</w:t>
      </w:r>
      <w:r w:rsidRPr="00EB24EE">
        <w:rPr>
          <w:rFonts w:ascii="Times New Roman" w:hAnsi="Times New Roman" w:cs="Times New Roman"/>
          <w:color w:val="000000" w:themeColor="text1"/>
        </w:rPr>
        <w:t>making (</w:t>
      </w:r>
      <w:proofErr w:type="spellStart"/>
      <w:r w:rsidRPr="00EB24EE">
        <w:rPr>
          <w:rFonts w:ascii="Times New Roman" w:hAnsi="Times New Roman" w:cs="Times New Roman"/>
          <w:color w:val="000000" w:themeColor="text1"/>
        </w:rPr>
        <w:t>Nutbeam</w:t>
      </w:r>
      <w:proofErr w:type="spellEnd"/>
      <w:r w:rsidRPr="00EB24EE">
        <w:rPr>
          <w:rFonts w:ascii="Times New Roman" w:hAnsi="Times New Roman" w:cs="Times New Roman"/>
          <w:color w:val="000000" w:themeColor="text1"/>
        </w:rPr>
        <w:t xml:space="preserve">, 2008; </w:t>
      </w:r>
      <w:proofErr w:type="spellStart"/>
      <w:r w:rsidRPr="00EB24EE">
        <w:rPr>
          <w:rFonts w:ascii="Times New Roman" w:hAnsi="Times New Roman" w:cs="Times New Roman"/>
          <w:color w:val="000000" w:themeColor="text1"/>
        </w:rPr>
        <w:t>Martensson</w:t>
      </w:r>
      <w:proofErr w:type="spellEnd"/>
      <w:r w:rsidRPr="00EB24EE">
        <w:rPr>
          <w:rFonts w:ascii="Times New Roman" w:hAnsi="Times New Roman" w:cs="Times New Roman"/>
          <w:color w:val="000000" w:themeColor="text1"/>
        </w:rPr>
        <w:t xml:space="preserve"> and </w:t>
      </w:r>
      <w:proofErr w:type="spellStart"/>
      <w:r w:rsidRPr="00EB24EE">
        <w:rPr>
          <w:rFonts w:ascii="Times New Roman" w:hAnsi="Times New Roman" w:cs="Times New Roman"/>
          <w:color w:val="000000" w:themeColor="text1"/>
        </w:rPr>
        <w:t>Hensing</w:t>
      </w:r>
      <w:proofErr w:type="spellEnd"/>
      <w:r w:rsidRPr="00EB24EE">
        <w:rPr>
          <w:rFonts w:ascii="Times New Roman" w:hAnsi="Times New Roman" w:cs="Times New Roman"/>
          <w:color w:val="000000" w:themeColor="text1"/>
        </w:rPr>
        <w:t xml:space="preserve">, 2012). </w:t>
      </w:r>
    </w:p>
    <w:p w14:paraId="3A139358" w14:textId="139CC40B" w:rsidR="00376A58" w:rsidRPr="008C11BE" w:rsidRDefault="00376A58">
      <w:pPr>
        <w:spacing w:line="480" w:lineRule="auto"/>
        <w:rPr>
          <w:rFonts w:ascii="Times New Roman" w:eastAsia="Helvetica" w:hAnsi="Times New Roman" w:cs="Times New Roman"/>
          <w:lang w:eastAsia="en-GB"/>
        </w:rPr>
      </w:pPr>
      <w:r w:rsidRPr="008C11BE">
        <w:rPr>
          <w:rFonts w:ascii="Times New Roman" w:eastAsia="Times New Roman" w:hAnsi="Times New Roman" w:cs="Times New Roman"/>
          <w:lang w:eastAsia="en-GB"/>
        </w:rPr>
        <w:t xml:space="preserve">The first area of CHL identified by </w:t>
      </w:r>
      <w:r w:rsidRPr="00EB24EE">
        <w:rPr>
          <w:rFonts w:ascii="Times New Roman" w:eastAsia="Times New Roman" w:hAnsi="Times New Roman" w:cs="Times New Roman"/>
          <w:lang w:eastAsia="en-GB"/>
        </w:rPr>
        <w:t>Sykes et al (2013</w:t>
      </w:r>
      <w:r w:rsidRPr="008C11BE">
        <w:rPr>
          <w:rFonts w:ascii="Times New Roman" w:eastAsia="Times New Roman" w:hAnsi="Times New Roman" w:cs="Times New Roman"/>
          <w:lang w:eastAsia="en-GB"/>
        </w:rPr>
        <w:t>) in their concept analysis involves higher level cognitive an</w:t>
      </w:r>
      <w:r w:rsidRPr="00A25B0A">
        <w:rPr>
          <w:rFonts w:ascii="Times New Roman" w:eastAsia="Times New Roman" w:hAnsi="Times New Roman" w:cs="Times New Roman"/>
          <w:lang w:eastAsia="en-GB"/>
        </w:rPr>
        <w:t>d social skills that allow critical thinking and informed decision making. The</w:t>
      </w:r>
      <w:r w:rsidRPr="001645B4">
        <w:rPr>
          <w:rFonts w:ascii="Times New Roman" w:eastAsia="Times New Roman" w:hAnsi="Times New Roman" w:cs="Times New Roman"/>
          <w:lang w:eastAsia="en-GB"/>
        </w:rPr>
        <w:t xml:space="preserve">se </w:t>
      </w:r>
      <w:r w:rsidRPr="008C11BE">
        <w:rPr>
          <w:rFonts w:ascii="Times New Roman" w:eastAsia="Helvetica" w:hAnsi="Times New Roman" w:cs="Times New Roman"/>
          <w:lang w:eastAsia="en-GB"/>
        </w:rPr>
        <w:t>cognitive skills enable someone to contextualize health information and apply it to their personal situation and context, in order to make an informed decision that benefi</w:t>
      </w:r>
      <w:r w:rsidRPr="008C11BE">
        <w:rPr>
          <w:rFonts w:ascii="Times New Roman" w:eastAsia="Times New Roman" w:hAnsi="Times New Roman" w:cs="Times New Roman"/>
          <w:lang w:eastAsia="en-GB"/>
        </w:rPr>
        <w:t xml:space="preserve">ts health and wellbeing. This area of CHL can be viewed as an asset, supporting people to </w:t>
      </w:r>
      <w:r w:rsidRPr="008C11BE">
        <w:rPr>
          <w:rFonts w:ascii="Times New Roman" w:eastAsia="Times New Roman" w:hAnsi="Times New Roman" w:cs="Times New Roman"/>
          <w:lang w:eastAsia="en-GB"/>
        </w:rPr>
        <w:lastRenderedPageBreak/>
        <w:t xml:space="preserve">engage with health information and the health care system, and exert greater control over their </w:t>
      </w:r>
      <w:r w:rsidR="00BE6ED1" w:rsidRPr="008C11BE">
        <w:rPr>
          <w:rFonts w:ascii="Times New Roman" w:eastAsia="Times New Roman" w:hAnsi="Times New Roman" w:cs="Times New Roman"/>
          <w:lang w:eastAsia="en-GB"/>
        </w:rPr>
        <w:t xml:space="preserve">own </w:t>
      </w:r>
      <w:r w:rsidRPr="008C11BE">
        <w:rPr>
          <w:rFonts w:ascii="Times New Roman" w:eastAsia="Times New Roman" w:hAnsi="Times New Roman" w:cs="Times New Roman"/>
          <w:lang w:eastAsia="en-GB"/>
        </w:rPr>
        <w:t xml:space="preserve">health and decision making. </w:t>
      </w:r>
    </w:p>
    <w:p w14:paraId="1C085F0D" w14:textId="77777777" w:rsidR="00376A58" w:rsidRPr="008C11BE" w:rsidRDefault="00376A58">
      <w:pPr>
        <w:spacing w:line="480" w:lineRule="auto"/>
        <w:rPr>
          <w:rFonts w:ascii="Times New Roman" w:eastAsia="Helvetica" w:hAnsi="Times New Roman" w:cs="Times New Roman"/>
          <w:lang w:eastAsia="en-GB"/>
        </w:rPr>
      </w:pPr>
    </w:p>
    <w:p w14:paraId="08334586" w14:textId="5594678F" w:rsidR="00376A58" w:rsidRPr="008C11BE" w:rsidRDefault="00376A58">
      <w:pPr>
        <w:spacing w:line="480" w:lineRule="auto"/>
        <w:rPr>
          <w:rFonts w:ascii="Times New Roman" w:eastAsia="Times New Roman" w:hAnsi="Times New Roman" w:cs="Times New Roman"/>
          <w:lang w:eastAsia="en-GB"/>
        </w:rPr>
      </w:pPr>
      <w:r w:rsidRPr="008C11BE">
        <w:rPr>
          <w:rFonts w:ascii="Times New Roman" w:eastAsia="Helvetica" w:hAnsi="Times New Roman" w:cs="Times New Roman"/>
          <w:lang w:eastAsia="en-GB"/>
        </w:rPr>
        <w:t>The second area of CHL acknowl</w:t>
      </w:r>
      <w:r w:rsidRPr="008C11BE">
        <w:rPr>
          <w:rFonts w:ascii="Times New Roman" w:eastAsia="Times New Roman" w:hAnsi="Times New Roman" w:cs="Times New Roman"/>
          <w:lang w:eastAsia="en-GB"/>
        </w:rPr>
        <w:t>edges the importance of existing structural factors that indirectly influence someone</w:t>
      </w:r>
      <w:r w:rsidRPr="008C11BE">
        <w:rPr>
          <w:rFonts w:ascii="Times New Roman" w:eastAsia="Helvetica" w:hAnsi="Times New Roman" w:cs="Times New Roman"/>
          <w:lang w:eastAsia="en-GB"/>
        </w:rPr>
        <w:t>’s health and wellbeing, comprising social and community networks, living and working conditions, and socio-economic, cultural and environmental conditions. CHL enco</w:t>
      </w:r>
      <w:r w:rsidRPr="008C11BE">
        <w:rPr>
          <w:rFonts w:ascii="Times New Roman" w:eastAsia="Times New Roman" w:hAnsi="Times New Roman" w:cs="Times New Roman"/>
          <w:lang w:eastAsia="en-GB"/>
        </w:rPr>
        <w:t xml:space="preserve">mpasses the empowerment of people to challenge and take actions regarding these determinants of health and wellbeing. </w:t>
      </w:r>
      <w:r w:rsidR="00522E95" w:rsidRPr="008C11BE">
        <w:rPr>
          <w:rFonts w:ascii="Times New Roman" w:eastAsia="Times New Roman" w:hAnsi="Times New Roman" w:cs="Times New Roman"/>
          <w:lang w:eastAsia="en-GB"/>
        </w:rPr>
        <w:t xml:space="preserve">This might be for example, challenging drug dealing and associated safety concerns in a neighbourhood or the use of green space. </w:t>
      </w:r>
      <w:r w:rsidRPr="008C11BE">
        <w:rPr>
          <w:rFonts w:ascii="Times New Roman" w:eastAsia="Times New Roman" w:hAnsi="Times New Roman" w:cs="Times New Roman"/>
          <w:lang w:eastAsia="en-GB"/>
        </w:rPr>
        <w:t xml:space="preserve">CHL is about people engaging in collective activities regarding </w:t>
      </w:r>
      <w:r w:rsidR="00522E95" w:rsidRPr="008C11BE">
        <w:rPr>
          <w:rFonts w:ascii="Times New Roman" w:eastAsia="Times New Roman" w:hAnsi="Times New Roman" w:cs="Times New Roman"/>
          <w:lang w:eastAsia="en-GB"/>
        </w:rPr>
        <w:t xml:space="preserve">such health issues. </w:t>
      </w:r>
      <w:proofErr w:type="spellStart"/>
      <w:r w:rsidR="00522E95" w:rsidRPr="00EB24EE">
        <w:rPr>
          <w:rFonts w:ascii="Times New Roman" w:hAnsi="Times New Roman" w:cs="Times New Roman"/>
        </w:rPr>
        <w:t>Porr</w:t>
      </w:r>
      <w:proofErr w:type="spellEnd"/>
      <w:r w:rsidR="00522E95" w:rsidRPr="00EB24EE">
        <w:rPr>
          <w:rFonts w:ascii="Times New Roman" w:hAnsi="Times New Roman" w:cs="Times New Roman"/>
        </w:rPr>
        <w:t xml:space="preserve"> et al</w:t>
      </w:r>
      <w:r w:rsidR="00522E95" w:rsidRPr="008C11BE">
        <w:rPr>
          <w:rFonts w:ascii="Times New Roman" w:hAnsi="Times New Roman" w:cs="Times New Roman"/>
        </w:rPr>
        <w:t xml:space="preserve"> (2006) describe a project with low income mothers in Australia in which the health care professional facilitates exploration of problems (e.</w:t>
      </w:r>
      <w:r w:rsidR="00B370BD" w:rsidRPr="00A25B0A">
        <w:rPr>
          <w:rFonts w:ascii="Times New Roman" w:hAnsi="Times New Roman" w:cs="Times New Roman"/>
        </w:rPr>
        <w:t xml:space="preserve"> </w:t>
      </w:r>
      <w:r w:rsidR="00522E95" w:rsidRPr="00652443">
        <w:rPr>
          <w:rFonts w:ascii="Times New Roman" w:hAnsi="Times New Roman" w:cs="Times New Roman"/>
        </w:rPr>
        <w:t>g, inadequate financial support, lack of affordable housing and transportation concerns); the underlying commonal</w:t>
      </w:r>
      <w:r w:rsidR="00522E95" w:rsidRPr="001645B4">
        <w:rPr>
          <w:rFonts w:ascii="Times New Roman" w:hAnsi="Times New Roman" w:cs="Times New Roman"/>
        </w:rPr>
        <w:t xml:space="preserve">ity is that they have affected the lives of the mothers, thus leaving them powerless. The search for the sources of powerlessness goes beyond the individual, to the surrounding economic, social, and political forces. </w:t>
      </w:r>
      <w:r w:rsidR="00BE6ED1" w:rsidRPr="00EB24EE">
        <w:rPr>
          <w:rFonts w:ascii="Times New Roman" w:hAnsi="Times New Roman" w:cs="Times New Roman"/>
        </w:rPr>
        <w:t xml:space="preserve">Chinn </w:t>
      </w:r>
      <w:r w:rsidR="00D61B2F" w:rsidRPr="00EB24EE">
        <w:rPr>
          <w:rFonts w:ascii="Times New Roman" w:hAnsi="Times New Roman" w:cs="Times New Roman"/>
        </w:rPr>
        <w:t>(2011</w:t>
      </w:r>
      <w:r w:rsidR="00D61B2F" w:rsidRPr="008C11BE">
        <w:rPr>
          <w:rFonts w:ascii="Times New Roman" w:hAnsi="Times New Roman" w:cs="Times New Roman"/>
        </w:rPr>
        <w:t>)</w:t>
      </w:r>
      <w:r w:rsidR="007E3D1F" w:rsidRPr="008C11BE">
        <w:rPr>
          <w:rFonts w:ascii="Times New Roman" w:hAnsi="Times New Roman" w:cs="Times New Roman"/>
        </w:rPr>
        <w:t xml:space="preserve"> </w:t>
      </w:r>
      <w:r w:rsidR="00D61B2F" w:rsidRPr="008C11BE">
        <w:rPr>
          <w:rFonts w:ascii="Times New Roman" w:eastAsia="Times New Roman" w:hAnsi="Times New Roman" w:cs="Times New Roman"/>
          <w:lang w:eastAsia="en-GB"/>
        </w:rPr>
        <w:t>identifies</w:t>
      </w:r>
      <w:r w:rsidR="007E3D1F" w:rsidRPr="008C11BE">
        <w:rPr>
          <w:rFonts w:ascii="Times New Roman" w:eastAsia="Times New Roman" w:hAnsi="Times New Roman" w:cs="Times New Roman"/>
          <w:lang w:eastAsia="en-GB"/>
        </w:rPr>
        <w:t xml:space="preserve"> </w:t>
      </w:r>
      <w:r w:rsidR="00D61B2F" w:rsidRPr="008C11BE">
        <w:rPr>
          <w:rFonts w:ascii="Times New Roman" w:eastAsia="Times New Roman" w:hAnsi="Times New Roman" w:cs="Times New Roman"/>
          <w:lang w:eastAsia="en-GB"/>
        </w:rPr>
        <w:t xml:space="preserve">the </w:t>
      </w:r>
      <w:r w:rsidR="007E3D1F" w:rsidRPr="008C11BE">
        <w:rPr>
          <w:rFonts w:ascii="Times New Roman" w:eastAsia="Times New Roman" w:hAnsi="Times New Roman" w:cs="Times New Roman"/>
          <w:lang w:eastAsia="en-GB"/>
        </w:rPr>
        <w:t xml:space="preserve">CHL competences needed for collective actions as </w:t>
      </w:r>
      <w:r w:rsidR="00D61B2F" w:rsidRPr="00A25B0A">
        <w:rPr>
          <w:rFonts w:ascii="Times New Roman" w:eastAsia="Times New Roman" w:hAnsi="Times New Roman" w:cs="Times New Roman"/>
          <w:lang w:eastAsia="en-GB"/>
        </w:rPr>
        <w:t xml:space="preserve">recognising that an individual can contribute to community outcomes and having </w:t>
      </w:r>
      <w:r w:rsidR="007E3D1F" w:rsidRPr="001645B4">
        <w:rPr>
          <w:rFonts w:ascii="Times New Roman" w:eastAsia="Times New Roman" w:hAnsi="Times New Roman" w:cs="Times New Roman"/>
          <w:lang w:eastAsia="en-GB"/>
        </w:rPr>
        <w:t xml:space="preserve">skills in working </w:t>
      </w:r>
      <w:r w:rsidR="00D61B2F" w:rsidRPr="008C11BE">
        <w:rPr>
          <w:rFonts w:ascii="Times New Roman" w:eastAsia="Times New Roman" w:hAnsi="Times New Roman" w:cs="Times New Roman"/>
          <w:lang w:eastAsia="en-GB"/>
        </w:rPr>
        <w:t xml:space="preserve">in </w:t>
      </w:r>
      <w:r w:rsidR="007E3D1F" w:rsidRPr="008C11BE">
        <w:rPr>
          <w:rFonts w:ascii="Times New Roman" w:eastAsia="Times New Roman" w:hAnsi="Times New Roman" w:cs="Times New Roman"/>
          <w:lang w:eastAsia="en-GB"/>
        </w:rPr>
        <w:t>groups and knowledge of the local community.</w:t>
      </w:r>
      <w:r w:rsidR="00D61B2F" w:rsidRPr="008C11BE">
        <w:rPr>
          <w:rFonts w:ascii="Times New Roman" w:eastAsia="Times New Roman" w:hAnsi="Times New Roman" w:cs="Times New Roman"/>
          <w:lang w:eastAsia="en-GB"/>
        </w:rPr>
        <w:t xml:space="preserve"> </w:t>
      </w:r>
    </w:p>
    <w:p w14:paraId="31FEEA51" w14:textId="77777777" w:rsidR="00376A58" w:rsidRPr="008C11BE" w:rsidRDefault="00376A58">
      <w:pPr>
        <w:spacing w:line="480" w:lineRule="auto"/>
        <w:rPr>
          <w:rFonts w:ascii="Times New Roman" w:eastAsia="Times New Roman" w:hAnsi="Times New Roman" w:cs="Times New Roman"/>
          <w:lang w:eastAsia="en-GB"/>
        </w:rPr>
      </w:pPr>
    </w:p>
    <w:p w14:paraId="1B6FE797" w14:textId="3955AEF8" w:rsidR="00FB457E" w:rsidRPr="008C11BE" w:rsidRDefault="00522E95">
      <w:pPr>
        <w:spacing w:line="480" w:lineRule="auto"/>
        <w:rPr>
          <w:rFonts w:ascii="Times New Roman" w:hAnsi="Times New Roman" w:cs="Times New Roman"/>
          <w:b/>
        </w:rPr>
      </w:pPr>
      <w:r w:rsidRPr="008C11BE">
        <w:rPr>
          <w:rFonts w:ascii="Times New Roman" w:hAnsi="Times New Roman" w:cs="Times New Roman"/>
        </w:rPr>
        <w:t xml:space="preserve">&lt;h1&gt; </w:t>
      </w:r>
      <w:r w:rsidRPr="008C11BE">
        <w:rPr>
          <w:rFonts w:ascii="Times New Roman" w:hAnsi="Times New Roman" w:cs="Times New Roman"/>
          <w:b/>
        </w:rPr>
        <w:t>A review of the evidence on the effectiveness of interventions to promote critical health literacy</w:t>
      </w:r>
    </w:p>
    <w:p w14:paraId="2F144E3E" w14:textId="77777777" w:rsidR="008A7A0F" w:rsidRPr="008C11BE" w:rsidRDefault="008A7A0F">
      <w:pPr>
        <w:spacing w:line="480" w:lineRule="auto"/>
        <w:rPr>
          <w:rFonts w:ascii="Times New Roman" w:hAnsi="Times New Roman" w:cs="Times New Roman"/>
          <w:b/>
        </w:rPr>
      </w:pPr>
    </w:p>
    <w:p w14:paraId="59DA9022" w14:textId="14D18F35" w:rsidR="0054658D" w:rsidRPr="008C11BE" w:rsidRDefault="008A7A0F">
      <w:pPr>
        <w:spacing w:line="480" w:lineRule="auto"/>
        <w:rPr>
          <w:rFonts w:ascii="Times New Roman" w:hAnsi="Times New Roman" w:cs="Times New Roman"/>
        </w:rPr>
      </w:pPr>
      <w:r w:rsidRPr="008C11BE">
        <w:rPr>
          <w:rFonts w:ascii="Times New Roman" w:hAnsi="Times New Roman" w:cs="Times New Roman"/>
        </w:rPr>
        <w:t xml:space="preserve">As the focus on health literacy has expanded over the past decade so have the number of reported interventions and reviews of effectiveness </w:t>
      </w:r>
      <w:r w:rsidRPr="00EB24EE">
        <w:rPr>
          <w:rFonts w:ascii="Times New Roman" w:eastAsia="Times New Roman" w:hAnsi="Times New Roman" w:cs="Times New Roman"/>
          <w:lang w:eastAsia="en-GB"/>
        </w:rPr>
        <w:t xml:space="preserve">(Sheridan et al, 2011; </w:t>
      </w:r>
      <w:proofErr w:type="spellStart"/>
      <w:r w:rsidRPr="00EB24EE">
        <w:rPr>
          <w:rFonts w:ascii="Times New Roman" w:eastAsia="Times New Roman" w:hAnsi="Times New Roman" w:cs="Times New Roman"/>
          <w:lang w:eastAsia="en-GB"/>
        </w:rPr>
        <w:t>Manafo</w:t>
      </w:r>
      <w:proofErr w:type="spellEnd"/>
      <w:r w:rsidRPr="00EB24EE">
        <w:rPr>
          <w:rFonts w:ascii="Times New Roman" w:eastAsia="Times New Roman" w:hAnsi="Times New Roman" w:cs="Times New Roman"/>
          <w:lang w:eastAsia="en-GB"/>
        </w:rPr>
        <w:t xml:space="preserve"> and Wong, 2012; Taggart et al, 2012</w:t>
      </w:r>
      <w:r w:rsidR="001C73B9" w:rsidRPr="00EB24EE">
        <w:rPr>
          <w:rFonts w:ascii="Times New Roman" w:eastAsia="Times New Roman" w:hAnsi="Times New Roman" w:cs="Times New Roman"/>
          <w:lang w:eastAsia="en-GB"/>
        </w:rPr>
        <w:t xml:space="preserve">, </w:t>
      </w:r>
      <w:proofErr w:type="spellStart"/>
      <w:r w:rsidR="001C73B9" w:rsidRPr="00EB24EE">
        <w:rPr>
          <w:rFonts w:ascii="Times New Roman" w:eastAsia="Times New Roman" w:hAnsi="Times New Roman" w:cs="Times New Roman"/>
          <w:lang w:eastAsia="en-GB"/>
        </w:rPr>
        <w:t>D</w:t>
      </w:r>
      <w:r w:rsidR="00817FAA">
        <w:rPr>
          <w:rFonts w:ascii="Times New Roman" w:eastAsia="Times New Roman" w:hAnsi="Times New Roman" w:cs="Times New Roman"/>
          <w:lang w:eastAsia="en-GB"/>
        </w:rPr>
        <w:t>’</w:t>
      </w:r>
      <w:r w:rsidR="001C73B9" w:rsidRPr="00EB24EE">
        <w:rPr>
          <w:rFonts w:ascii="Times New Roman" w:eastAsia="Times New Roman" w:hAnsi="Times New Roman" w:cs="Times New Roman"/>
          <w:lang w:eastAsia="en-GB"/>
        </w:rPr>
        <w:t>e</w:t>
      </w:r>
      <w:r w:rsidR="00817FAA">
        <w:rPr>
          <w:rFonts w:ascii="Times New Roman" w:eastAsia="Times New Roman" w:hAnsi="Times New Roman" w:cs="Times New Roman"/>
          <w:lang w:eastAsia="en-GB"/>
        </w:rPr>
        <w:t>a</w:t>
      </w:r>
      <w:r w:rsidR="001C73B9" w:rsidRPr="00EB24EE">
        <w:rPr>
          <w:rFonts w:ascii="Times New Roman" w:eastAsia="Times New Roman" w:hAnsi="Times New Roman" w:cs="Times New Roman"/>
          <w:lang w:eastAsia="en-GB"/>
        </w:rPr>
        <w:t>th</w:t>
      </w:r>
      <w:proofErr w:type="spellEnd"/>
      <w:r w:rsidR="001C73B9" w:rsidRPr="00EB24EE">
        <w:rPr>
          <w:rFonts w:ascii="Times New Roman" w:eastAsia="Times New Roman" w:hAnsi="Times New Roman" w:cs="Times New Roman"/>
          <w:lang w:eastAsia="en-GB"/>
        </w:rPr>
        <w:t xml:space="preserve"> et al</w:t>
      </w:r>
      <w:r w:rsidR="00E2211E" w:rsidRPr="00EB24EE">
        <w:rPr>
          <w:rFonts w:ascii="Times New Roman" w:eastAsia="Times New Roman" w:hAnsi="Times New Roman" w:cs="Times New Roman"/>
          <w:lang w:eastAsia="en-GB"/>
        </w:rPr>
        <w:t>,</w:t>
      </w:r>
      <w:r w:rsidR="001C73B9" w:rsidRPr="00EB24EE">
        <w:rPr>
          <w:rFonts w:ascii="Times New Roman" w:eastAsia="Times New Roman" w:hAnsi="Times New Roman" w:cs="Times New Roman"/>
          <w:lang w:eastAsia="en-GB"/>
        </w:rPr>
        <w:t xml:space="preserve"> 2012</w:t>
      </w:r>
      <w:r w:rsidRPr="00EB24EE">
        <w:rPr>
          <w:rFonts w:ascii="Times New Roman" w:eastAsia="Times New Roman" w:hAnsi="Times New Roman" w:cs="Times New Roman"/>
          <w:lang w:eastAsia="en-GB"/>
        </w:rPr>
        <w:t>).</w:t>
      </w:r>
      <w:r w:rsidRPr="008C11BE">
        <w:rPr>
          <w:rFonts w:ascii="Times New Roman" w:eastAsia="Times New Roman" w:hAnsi="Times New Roman" w:cs="Times New Roman"/>
          <w:lang w:eastAsia="en-GB"/>
        </w:rPr>
        <w:t xml:space="preserve"> </w:t>
      </w:r>
      <w:r w:rsidR="007528C5" w:rsidRPr="008C11BE">
        <w:rPr>
          <w:rFonts w:ascii="Times New Roman" w:eastAsia="Times New Roman" w:hAnsi="Times New Roman" w:cs="Times New Roman"/>
          <w:lang w:eastAsia="en-GB"/>
        </w:rPr>
        <w:t xml:space="preserve">As </w:t>
      </w:r>
      <w:r w:rsidR="007528C5" w:rsidRPr="00EB24EE">
        <w:rPr>
          <w:rFonts w:ascii="Times New Roman" w:eastAsia="Times New Roman" w:hAnsi="Times New Roman" w:cs="Times New Roman"/>
          <w:lang w:eastAsia="en-GB"/>
        </w:rPr>
        <w:t>Nutbeam et al (2017</w:t>
      </w:r>
      <w:r w:rsidR="007528C5" w:rsidRPr="008C11BE">
        <w:rPr>
          <w:rFonts w:ascii="Times New Roman" w:eastAsia="Times New Roman" w:hAnsi="Times New Roman" w:cs="Times New Roman"/>
          <w:lang w:eastAsia="en-GB"/>
        </w:rPr>
        <w:t xml:space="preserve">) point out many of the </w:t>
      </w:r>
      <w:r w:rsidR="007528C5" w:rsidRPr="008C11BE">
        <w:rPr>
          <w:rFonts w:ascii="Times New Roman" w:eastAsia="Times New Roman" w:hAnsi="Times New Roman" w:cs="Times New Roman"/>
          <w:lang w:eastAsia="en-GB"/>
        </w:rPr>
        <w:lastRenderedPageBreak/>
        <w:t>intervention studies that are included in such reviews have very broad definitions of health literacy. F</w:t>
      </w:r>
      <w:r w:rsidR="00B370BD" w:rsidRPr="008C11BE">
        <w:rPr>
          <w:rFonts w:ascii="Times New Roman" w:eastAsia="Times New Roman" w:hAnsi="Times New Roman" w:cs="Times New Roman"/>
          <w:lang w:eastAsia="en-GB"/>
        </w:rPr>
        <w:t xml:space="preserve">ew of the studies included </w:t>
      </w:r>
      <w:r w:rsidR="007528C5" w:rsidRPr="00A25B0A">
        <w:rPr>
          <w:rFonts w:ascii="Times New Roman" w:eastAsia="Times New Roman" w:hAnsi="Times New Roman" w:cs="Times New Roman"/>
          <w:lang w:eastAsia="en-GB"/>
        </w:rPr>
        <w:t>have a focus on developi</w:t>
      </w:r>
      <w:r w:rsidR="007528C5" w:rsidRPr="00652443">
        <w:rPr>
          <w:rFonts w:ascii="Times New Roman" w:eastAsia="Times New Roman" w:hAnsi="Times New Roman" w:cs="Times New Roman"/>
          <w:lang w:eastAsia="en-GB"/>
        </w:rPr>
        <w:t xml:space="preserve">ng </w:t>
      </w:r>
      <w:r w:rsidR="00391180">
        <w:rPr>
          <w:rFonts w:ascii="Times New Roman" w:eastAsia="Times New Roman" w:hAnsi="Times New Roman" w:cs="Times New Roman"/>
          <w:lang w:eastAsia="en-GB"/>
        </w:rPr>
        <w:t xml:space="preserve">CHL </w:t>
      </w:r>
      <w:r w:rsidR="007528C5" w:rsidRPr="00652443">
        <w:rPr>
          <w:rFonts w:ascii="Times New Roman" w:eastAsia="Times New Roman" w:hAnsi="Times New Roman" w:cs="Times New Roman"/>
          <w:lang w:eastAsia="en-GB"/>
        </w:rPr>
        <w:t>although there are other reviews that synthesise the evidence of interventions explicitly designed to build empowerment</w:t>
      </w:r>
      <w:r w:rsidR="003C7772" w:rsidRPr="00652443">
        <w:rPr>
          <w:rFonts w:ascii="Times New Roman" w:eastAsia="Times New Roman" w:hAnsi="Times New Roman" w:cs="Times New Roman"/>
          <w:lang w:eastAsia="en-GB"/>
        </w:rPr>
        <w:t xml:space="preserve"> (</w:t>
      </w:r>
      <w:r w:rsidR="00B370BD" w:rsidRPr="00EB24EE">
        <w:rPr>
          <w:rFonts w:ascii="Times New Roman" w:eastAsia="Times New Roman" w:hAnsi="Times New Roman" w:cs="Times New Roman"/>
          <w:lang w:eastAsia="en-GB"/>
        </w:rPr>
        <w:t>W</w:t>
      </w:r>
      <w:r w:rsidR="003C7772" w:rsidRPr="00EB24EE">
        <w:rPr>
          <w:rFonts w:ascii="Times New Roman" w:eastAsia="Times New Roman" w:hAnsi="Times New Roman" w:cs="Times New Roman"/>
          <w:lang w:eastAsia="en-GB"/>
        </w:rPr>
        <w:t>oodall</w:t>
      </w:r>
      <w:r w:rsidR="00E2211E" w:rsidRPr="00EB24EE">
        <w:rPr>
          <w:rFonts w:ascii="Times New Roman" w:eastAsia="Times New Roman" w:hAnsi="Times New Roman" w:cs="Times New Roman"/>
          <w:lang w:eastAsia="en-GB"/>
        </w:rPr>
        <w:t>,</w:t>
      </w:r>
      <w:r w:rsidR="003C7772" w:rsidRPr="00EB24EE">
        <w:rPr>
          <w:rFonts w:ascii="Times New Roman" w:eastAsia="Times New Roman" w:hAnsi="Times New Roman" w:cs="Times New Roman"/>
          <w:lang w:eastAsia="en-GB"/>
        </w:rPr>
        <w:t xml:space="preserve"> 2010)</w:t>
      </w:r>
      <w:r w:rsidR="007528C5" w:rsidRPr="00EB24EE">
        <w:rPr>
          <w:rFonts w:ascii="Times New Roman" w:eastAsia="Times New Roman" w:hAnsi="Times New Roman" w:cs="Times New Roman"/>
          <w:lang w:eastAsia="en-GB"/>
        </w:rPr>
        <w:t>.</w:t>
      </w:r>
      <w:r w:rsidR="00EB306C" w:rsidRPr="008C11BE">
        <w:rPr>
          <w:rFonts w:ascii="Times New Roman" w:eastAsia="Times New Roman" w:hAnsi="Times New Roman" w:cs="Times New Roman"/>
          <w:lang w:eastAsia="en-GB"/>
        </w:rPr>
        <w:t xml:space="preserve"> </w:t>
      </w:r>
      <w:r w:rsidR="0054658D" w:rsidRPr="008C11BE">
        <w:rPr>
          <w:rFonts w:ascii="Times New Roman" w:eastAsia="Times New Roman" w:hAnsi="Times New Roman" w:cs="Times New Roman"/>
          <w:lang w:eastAsia="en-GB"/>
        </w:rPr>
        <w:t xml:space="preserve">Four reviews have included intervention studies about building CHL </w:t>
      </w:r>
      <w:r w:rsidR="0054658D" w:rsidRPr="00EB24EE">
        <w:rPr>
          <w:rFonts w:ascii="Times New Roman" w:eastAsia="Times New Roman" w:hAnsi="Times New Roman" w:cs="Times New Roman"/>
          <w:lang w:eastAsia="en-GB"/>
        </w:rPr>
        <w:t>(</w:t>
      </w:r>
      <w:r w:rsidR="00E2211E" w:rsidRPr="00EB24EE">
        <w:rPr>
          <w:rFonts w:ascii="Times New Roman" w:eastAsia="Times New Roman" w:hAnsi="Times New Roman" w:cs="Times New Roman"/>
          <w:lang w:eastAsia="en-GB"/>
        </w:rPr>
        <w:t xml:space="preserve">Taggart et al, 2012; De Wit et al, 2017; </w:t>
      </w:r>
      <w:proofErr w:type="spellStart"/>
      <w:r w:rsidR="00E2211E" w:rsidRPr="008C11BE">
        <w:rPr>
          <w:rFonts w:ascii="Times New Roman" w:eastAsia="Times New Roman" w:hAnsi="Times New Roman" w:cs="Times New Roman"/>
          <w:lang w:eastAsia="en-GB"/>
        </w:rPr>
        <w:t>Fernández</w:t>
      </w:r>
      <w:proofErr w:type="spellEnd"/>
      <w:r w:rsidR="00E2211E" w:rsidRPr="008C11BE">
        <w:rPr>
          <w:rFonts w:ascii="Times New Roman" w:eastAsia="Times New Roman" w:hAnsi="Times New Roman" w:cs="Times New Roman"/>
          <w:lang w:eastAsia="en-GB"/>
        </w:rPr>
        <w:t>-Gutiérrez</w:t>
      </w:r>
      <w:r w:rsidR="00E2211E" w:rsidRPr="00EB24EE">
        <w:rPr>
          <w:rFonts w:ascii="Times New Roman" w:eastAsia="Times New Roman" w:hAnsi="Times New Roman" w:cs="Times New Roman"/>
          <w:lang w:eastAsia="en-GB"/>
        </w:rPr>
        <w:t xml:space="preserve"> et al, 2017; Nutbeam et al, 2017</w:t>
      </w:r>
      <w:r w:rsidR="0054658D" w:rsidRPr="00EB24EE">
        <w:rPr>
          <w:rFonts w:ascii="Times New Roman" w:eastAsia="Times New Roman" w:hAnsi="Times New Roman" w:cs="Times New Roman"/>
          <w:lang w:eastAsia="en-GB"/>
        </w:rPr>
        <w:t>)</w:t>
      </w:r>
      <w:r w:rsidR="0054658D" w:rsidRPr="008C11BE">
        <w:rPr>
          <w:rFonts w:ascii="Times New Roman" w:eastAsia="Times New Roman" w:hAnsi="Times New Roman" w:cs="Times New Roman"/>
          <w:lang w:eastAsia="en-GB"/>
        </w:rPr>
        <w:t xml:space="preserve">. </w:t>
      </w:r>
      <w:r w:rsidR="00B370BD" w:rsidRPr="008C11BE">
        <w:rPr>
          <w:rFonts w:ascii="Times New Roman" w:eastAsia="Times New Roman" w:hAnsi="Times New Roman" w:cs="Times New Roman"/>
          <w:lang w:eastAsia="en-GB"/>
        </w:rPr>
        <w:t xml:space="preserve">Yet </w:t>
      </w:r>
      <w:r w:rsidR="0054658D" w:rsidRPr="008C11BE">
        <w:rPr>
          <w:rFonts w:ascii="Times New Roman" w:hAnsi="Times New Roman" w:cs="Times New Roman"/>
        </w:rPr>
        <w:t>the impact that they have on critical health literary competencies are not well evidenced</w:t>
      </w:r>
      <w:r w:rsidR="00817FAA">
        <w:rPr>
          <w:rFonts w:ascii="Times New Roman" w:hAnsi="Times New Roman" w:cs="Times New Roman"/>
        </w:rPr>
        <w:t xml:space="preserve"> and the reviews </w:t>
      </w:r>
      <w:r w:rsidR="0054658D" w:rsidRPr="008C11BE">
        <w:rPr>
          <w:rFonts w:ascii="Times New Roman" w:hAnsi="Times New Roman" w:cs="Times New Roman"/>
        </w:rPr>
        <w:t>recognise</w:t>
      </w:r>
      <w:r w:rsidR="00817FAA">
        <w:rPr>
          <w:rFonts w:ascii="Times New Roman" w:hAnsi="Times New Roman" w:cs="Times New Roman"/>
        </w:rPr>
        <w:t xml:space="preserve"> that this is, </w:t>
      </w:r>
      <w:r w:rsidR="0054658D" w:rsidRPr="008C11BE">
        <w:rPr>
          <w:rFonts w:ascii="Times New Roman" w:hAnsi="Times New Roman" w:cs="Times New Roman"/>
        </w:rPr>
        <w:t>in part, due to the limited availability of useful tools to measure CHL</w:t>
      </w:r>
      <w:r w:rsidR="00817FAA">
        <w:rPr>
          <w:rFonts w:ascii="Times New Roman" w:hAnsi="Times New Roman" w:cs="Times New Roman"/>
        </w:rPr>
        <w:t xml:space="preserve">. </w:t>
      </w:r>
    </w:p>
    <w:p w14:paraId="7D2770F2" w14:textId="6DC5D71E" w:rsidR="000A12D2" w:rsidRPr="00A25B0A" w:rsidRDefault="000A12D2">
      <w:pPr>
        <w:spacing w:line="480" w:lineRule="auto"/>
        <w:rPr>
          <w:rFonts w:ascii="Times New Roman" w:eastAsia="Times New Roman" w:hAnsi="Times New Roman" w:cs="Times New Roman"/>
          <w:lang w:eastAsia="en-GB"/>
        </w:rPr>
      </w:pPr>
    </w:p>
    <w:p w14:paraId="390A77D1" w14:textId="466FA3DE" w:rsidR="008A7A0F" w:rsidRPr="008C11BE" w:rsidRDefault="0054658D">
      <w:pPr>
        <w:spacing w:line="480" w:lineRule="auto"/>
        <w:rPr>
          <w:rFonts w:ascii="Times New Roman" w:hAnsi="Times New Roman" w:cs="Times New Roman"/>
        </w:rPr>
      </w:pPr>
      <w:r w:rsidRPr="00652443">
        <w:rPr>
          <w:rFonts w:ascii="Times New Roman" w:hAnsi="Times New Roman" w:cs="Times New Roman"/>
        </w:rPr>
        <w:t>A review by d</w:t>
      </w:r>
      <w:r w:rsidRPr="00EB24EE">
        <w:rPr>
          <w:rFonts w:ascii="Times New Roman" w:hAnsi="Times New Roman" w:cs="Times New Roman"/>
        </w:rPr>
        <w:t>e Wit el al (201</w:t>
      </w:r>
      <w:r w:rsidR="00E2211E" w:rsidRPr="00EB24EE">
        <w:rPr>
          <w:rFonts w:ascii="Times New Roman" w:hAnsi="Times New Roman" w:cs="Times New Roman"/>
        </w:rPr>
        <w:t>7</w:t>
      </w:r>
      <w:r w:rsidRPr="008C11BE">
        <w:rPr>
          <w:rFonts w:ascii="Times New Roman" w:hAnsi="Times New Roman" w:cs="Times New Roman"/>
        </w:rPr>
        <w:t xml:space="preserve">) </w:t>
      </w:r>
      <w:r w:rsidR="000A12D2" w:rsidRPr="008C11BE">
        <w:rPr>
          <w:rFonts w:ascii="Times New Roman" w:hAnsi="Times New Roman" w:cs="Times New Roman"/>
        </w:rPr>
        <w:t xml:space="preserve">focusses on CHL in older adults </w:t>
      </w:r>
      <w:r w:rsidR="00817FAA">
        <w:rPr>
          <w:rFonts w:ascii="Times New Roman" w:hAnsi="Times New Roman" w:cs="Times New Roman"/>
        </w:rPr>
        <w:t xml:space="preserve">and </w:t>
      </w:r>
      <w:r w:rsidR="000A12D2" w:rsidRPr="008C11BE">
        <w:rPr>
          <w:rFonts w:ascii="Times New Roman" w:hAnsi="Times New Roman" w:cs="Times New Roman"/>
        </w:rPr>
        <w:t xml:space="preserve">included interventions that sought to build comparable concepts such as empowerment. De Wit et </w:t>
      </w:r>
      <w:proofErr w:type="spellStart"/>
      <w:r w:rsidR="000A12D2" w:rsidRPr="008C11BE">
        <w:rPr>
          <w:rFonts w:ascii="Times New Roman" w:hAnsi="Times New Roman" w:cs="Times New Roman"/>
        </w:rPr>
        <w:t>al’s</w:t>
      </w:r>
      <w:proofErr w:type="spellEnd"/>
      <w:r w:rsidR="000A12D2" w:rsidRPr="008C11BE">
        <w:rPr>
          <w:rFonts w:ascii="Times New Roman" w:hAnsi="Times New Roman" w:cs="Times New Roman"/>
        </w:rPr>
        <w:t xml:space="preserve"> review </w:t>
      </w:r>
      <w:r w:rsidRPr="008C11BE">
        <w:rPr>
          <w:rFonts w:ascii="Times New Roman" w:hAnsi="Times New Roman" w:cs="Times New Roman"/>
        </w:rPr>
        <w:t>(</w:t>
      </w:r>
      <w:r w:rsidR="00E2211E" w:rsidRPr="008C11BE">
        <w:rPr>
          <w:rFonts w:ascii="Times New Roman" w:hAnsi="Times New Roman" w:cs="Times New Roman"/>
        </w:rPr>
        <w:t>2017</w:t>
      </w:r>
      <w:r w:rsidRPr="008C11BE">
        <w:rPr>
          <w:rFonts w:ascii="Times New Roman" w:hAnsi="Times New Roman" w:cs="Times New Roman"/>
        </w:rPr>
        <w:t xml:space="preserve">) </w:t>
      </w:r>
      <w:r w:rsidR="000A12D2" w:rsidRPr="00A25B0A">
        <w:rPr>
          <w:rFonts w:ascii="Times New Roman" w:hAnsi="Times New Roman" w:cs="Times New Roman"/>
        </w:rPr>
        <w:t>found that two practices were important in effective interventions to develop CHL. Firstly, collaborative learning, whereby reciprocal learning about health took place between older adults and family, community members, peers and hea</w:t>
      </w:r>
      <w:r w:rsidR="000A12D2" w:rsidRPr="001645B4">
        <w:rPr>
          <w:rFonts w:ascii="Times New Roman" w:hAnsi="Times New Roman" w:cs="Times New Roman"/>
        </w:rPr>
        <w:t xml:space="preserve">lth care professionals and which de Wit et al </w:t>
      </w:r>
      <w:r w:rsidRPr="008C11BE">
        <w:rPr>
          <w:rFonts w:ascii="Times New Roman" w:hAnsi="Times New Roman" w:cs="Times New Roman"/>
        </w:rPr>
        <w:t>(</w:t>
      </w:r>
      <w:r w:rsidR="00E2211E" w:rsidRPr="008C11BE">
        <w:rPr>
          <w:rFonts w:ascii="Times New Roman" w:hAnsi="Times New Roman" w:cs="Times New Roman"/>
        </w:rPr>
        <w:t>2017</w:t>
      </w:r>
      <w:r w:rsidRPr="008C11BE">
        <w:rPr>
          <w:rFonts w:ascii="Times New Roman" w:hAnsi="Times New Roman" w:cs="Times New Roman"/>
        </w:rPr>
        <w:t xml:space="preserve">) </w:t>
      </w:r>
      <w:r w:rsidR="000A12D2" w:rsidRPr="008C11BE">
        <w:rPr>
          <w:rFonts w:ascii="Times New Roman" w:hAnsi="Times New Roman" w:cs="Times New Roman"/>
        </w:rPr>
        <w:t xml:space="preserve">argue is crucial for critical thinking; and secondly, social support as older adults gave it to and received it from members in their community. </w:t>
      </w:r>
      <w:r w:rsidR="00EB306C" w:rsidRPr="008C11BE">
        <w:rPr>
          <w:rFonts w:ascii="Times New Roman" w:eastAsia="Times New Roman" w:hAnsi="Times New Roman" w:cs="Times New Roman"/>
          <w:lang w:eastAsia="en-GB"/>
        </w:rPr>
        <w:t>The next sectio</w:t>
      </w:r>
      <w:r w:rsidR="000A12D2" w:rsidRPr="008C11BE">
        <w:rPr>
          <w:rFonts w:ascii="Times New Roman" w:eastAsia="Times New Roman" w:hAnsi="Times New Roman" w:cs="Times New Roman"/>
          <w:lang w:eastAsia="en-GB"/>
        </w:rPr>
        <w:t>n summarises the evidence on st</w:t>
      </w:r>
      <w:r w:rsidR="00EB306C" w:rsidRPr="008C11BE">
        <w:rPr>
          <w:rFonts w:ascii="Times New Roman" w:eastAsia="Times New Roman" w:hAnsi="Times New Roman" w:cs="Times New Roman"/>
          <w:lang w:eastAsia="en-GB"/>
        </w:rPr>
        <w:t>rategies and interventions for improving</w:t>
      </w:r>
      <w:r w:rsidR="00E77760">
        <w:rPr>
          <w:rFonts w:ascii="Times New Roman" w:eastAsia="Times New Roman" w:hAnsi="Times New Roman" w:cs="Times New Roman"/>
          <w:lang w:eastAsia="en-GB"/>
        </w:rPr>
        <w:t xml:space="preserve"> </w:t>
      </w:r>
      <w:proofErr w:type="gramStart"/>
      <w:r w:rsidR="00391180">
        <w:rPr>
          <w:rFonts w:ascii="Times New Roman" w:eastAsia="Times New Roman" w:hAnsi="Times New Roman" w:cs="Times New Roman"/>
          <w:lang w:eastAsia="en-GB"/>
        </w:rPr>
        <w:t xml:space="preserve">CHL </w:t>
      </w:r>
      <w:r w:rsidR="00EB306C" w:rsidRPr="008C11BE">
        <w:rPr>
          <w:rFonts w:ascii="Times New Roman" w:eastAsia="Times New Roman" w:hAnsi="Times New Roman" w:cs="Times New Roman"/>
          <w:lang w:eastAsia="en-GB"/>
        </w:rPr>
        <w:t>.</w:t>
      </w:r>
      <w:proofErr w:type="gramEnd"/>
    </w:p>
    <w:p w14:paraId="61A357DA" w14:textId="77777777" w:rsidR="008A7A0F" w:rsidRPr="008C11BE" w:rsidRDefault="008A7A0F">
      <w:pPr>
        <w:spacing w:line="480" w:lineRule="auto"/>
        <w:rPr>
          <w:rFonts w:ascii="Times New Roman" w:hAnsi="Times New Roman" w:cs="Times New Roman"/>
        </w:rPr>
      </w:pPr>
    </w:p>
    <w:p w14:paraId="5EF9F2A6" w14:textId="59115EDB" w:rsidR="00376A58" w:rsidRPr="008C11BE" w:rsidRDefault="00EB306C">
      <w:pPr>
        <w:spacing w:line="480" w:lineRule="auto"/>
        <w:rPr>
          <w:rFonts w:ascii="Times New Roman" w:hAnsi="Times New Roman" w:cs="Times New Roman"/>
          <w:b/>
        </w:rPr>
      </w:pPr>
      <w:r w:rsidRPr="008C11BE">
        <w:rPr>
          <w:rFonts w:ascii="Times New Roman" w:hAnsi="Times New Roman" w:cs="Times New Roman"/>
          <w:b/>
        </w:rPr>
        <w:t xml:space="preserve">&lt;h2&gt; </w:t>
      </w:r>
      <w:r w:rsidR="00376A58" w:rsidRPr="008C11BE">
        <w:rPr>
          <w:rFonts w:ascii="Times New Roman" w:hAnsi="Times New Roman" w:cs="Times New Roman"/>
          <w:b/>
        </w:rPr>
        <w:t>Methods</w:t>
      </w:r>
    </w:p>
    <w:p w14:paraId="215B90DD" w14:textId="320E443A" w:rsidR="00EB306C" w:rsidRPr="00652443" w:rsidRDefault="00FC724D">
      <w:pPr>
        <w:spacing w:line="480" w:lineRule="auto"/>
        <w:rPr>
          <w:rFonts w:ascii="Times New Roman" w:hAnsi="Times New Roman" w:cs="Times New Roman"/>
        </w:rPr>
      </w:pPr>
      <w:r w:rsidRPr="008C11BE">
        <w:rPr>
          <w:rFonts w:ascii="Times New Roman" w:hAnsi="Times New Roman" w:cs="Times New Roman"/>
        </w:rPr>
        <w:t xml:space="preserve">In identifying the empirical evidence base of interventions designed to build </w:t>
      </w:r>
      <w:r w:rsidR="00391180">
        <w:rPr>
          <w:rFonts w:ascii="Times New Roman" w:hAnsi="Times New Roman" w:cs="Times New Roman"/>
        </w:rPr>
        <w:t xml:space="preserve">CHL </w:t>
      </w:r>
      <w:r w:rsidRPr="008C11BE">
        <w:rPr>
          <w:rFonts w:ascii="Times New Roman" w:hAnsi="Times New Roman" w:cs="Times New Roman"/>
        </w:rPr>
        <w:t xml:space="preserve">a search of </w:t>
      </w:r>
      <w:r w:rsidR="00D4124F" w:rsidRPr="008C11BE">
        <w:rPr>
          <w:rFonts w:ascii="Times New Roman" w:hAnsi="Times New Roman" w:cs="Times New Roman"/>
        </w:rPr>
        <w:t xml:space="preserve">health, education and psychology </w:t>
      </w:r>
      <w:r w:rsidRPr="008C11BE">
        <w:rPr>
          <w:rFonts w:ascii="Times New Roman" w:hAnsi="Times New Roman" w:cs="Times New Roman"/>
        </w:rPr>
        <w:t xml:space="preserve">electronic databases </w:t>
      </w:r>
      <w:r w:rsidR="00EB306C" w:rsidRPr="008C11BE">
        <w:rPr>
          <w:rFonts w:ascii="Times New Roman" w:hAnsi="Times New Roman" w:cs="Times New Roman"/>
        </w:rPr>
        <w:t>including</w:t>
      </w:r>
      <w:r w:rsidR="00A40F2C">
        <w:rPr>
          <w:rFonts w:ascii="Times New Roman" w:hAnsi="Times New Roman" w:cs="Times New Roman"/>
        </w:rPr>
        <w:t>;</w:t>
      </w:r>
      <w:r w:rsidR="00EB306C" w:rsidRPr="00A40F2C">
        <w:rPr>
          <w:rFonts w:ascii="Times New Roman" w:hAnsi="Times New Roman" w:cs="Times New Roman"/>
        </w:rPr>
        <w:t xml:space="preserve"> </w:t>
      </w:r>
      <w:r w:rsidR="00EB306C" w:rsidRPr="00EB24EE">
        <w:rPr>
          <w:rFonts w:ascii="Times New Roman" w:hAnsi="Times New Roman" w:cs="Times New Roman"/>
        </w:rPr>
        <w:t xml:space="preserve">Scopus, </w:t>
      </w:r>
      <w:r w:rsidR="00652443">
        <w:rPr>
          <w:rFonts w:ascii="Times New Roman" w:hAnsi="Times New Roman" w:cs="Times New Roman"/>
        </w:rPr>
        <w:t xml:space="preserve">PubMed, </w:t>
      </w:r>
      <w:proofErr w:type="spellStart"/>
      <w:r w:rsidR="00A40F2C">
        <w:rPr>
          <w:rFonts w:ascii="Times New Roman" w:hAnsi="Times New Roman" w:cs="Times New Roman"/>
        </w:rPr>
        <w:t>PsycI</w:t>
      </w:r>
      <w:r w:rsidR="00652443">
        <w:rPr>
          <w:rFonts w:ascii="Times New Roman" w:hAnsi="Times New Roman" w:cs="Times New Roman"/>
        </w:rPr>
        <w:t>nfo</w:t>
      </w:r>
      <w:proofErr w:type="spellEnd"/>
      <w:r w:rsidR="00652443">
        <w:rPr>
          <w:rFonts w:ascii="Times New Roman" w:hAnsi="Times New Roman" w:cs="Times New Roman"/>
        </w:rPr>
        <w:t xml:space="preserve">, </w:t>
      </w:r>
      <w:proofErr w:type="spellStart"/>
      <w:r w:rsidR="00652443">
        <w:rPr>
          <w:rFonts w:ascii="Times New Roman" w:hAnsi="Times New Roman" w:cs="Times New Roman"/>
        </w:rPr>
        <w:t>Cinahl</w:t>
      </w:r>
      <w:proofErr w:type="spellEnd"/>
      <w:r w:rsidR="00652443">
        <w:rPr>
          <w:rFonts w:ascii="Times New Roman" w:hAnsi="Times New Roman" w:cs="Times New Roman"/>
        </w:rPr>
        <w:t xml:space="preserve">, Academic Search Complete, </w:t>
      </w:r>
      <w:proofErr w:type="spellStart"/>
      <w:r w:rsidR="00652443">
        <w:rPr>
          <w:rFonts w:ascii="Times New Roman" w:hAnsi="Times New Roman" w:cs="Times New Roman"/>
        </w:rPr>
        <w:t>BioMed</w:t>
      </w:r>
      <w:proofErr w:type="spellEnd"/>
      <w:r w:rsidR="00652443">
        <w:rPr>
          <w:rFonts w:ascii="Times New Roman" w:hAnsi="Times New Roman" w:cs="Times New Roman"/>
        </w:rPr>
        <w:t xml:space="preserve"> Central, </w:t>
      </w:r>
      <w:proofErr w:type="spellStart"/>
      <w:r w:rsidR="00652443">
        <w:rPr>
          <w:rFonts w:ascii="Times New Roman" w:hAnsi="Times New Roman" w:cs="Times New Roman"/>
        </w:rPr>
        <w:t>PsycArticles</w:t>
      </w:r>
      <w:proofErr w:type="spellEnd"/>
      <w:r w:rsidR="00652443">
        <w:rPr>
          <w:rFonts w:ascii="Times New Roman" w:hAnsi="Times New Roman" w:cs="Times New Roman"/>
        </w:rPr>
        <w:t xml:space="preserve">, Science Direct, </w:t>
      </w:r>
      <w:proofErr w:type="spellStart"/>
      <w:r w:rsidR="00652443">
        <w:rPr>
          <w:rFonts w:ascii="Times New Roman" w:hAnsi="Times New Roman" w:cs="Times New Roman"/>
        </w:rPr>
        <w:t>SocIndex</w:t>
      </w:r>
      <w:proofErr w:type="spellEnd"/>
      <w:r w:rsidR="00652443">
        <w:rPr>
          <w:rFonts w:ascii="Times New Roman" w:hAnsi="Times New Roman" w:cs="Times New Roman"/>
        </w:rPr>
        <w:t xml:space="preserve"> and </w:t>
      </w:r>
      <w:r w:rsidR="00A40F2C">
        <w:rPr>
          <w:rFonts w:ascii="Times New Roman" w:hAnsi="Times New Roman" w:cs="Times New Roman"/>
        </w:rPr>
        <w:t xml:space="preserve">Education Research Complete </w:t>
      </w:r>
      <w:r w:rsidR="006A21E2" w:rsidRPr="008C11BE">
        <w:rPr>
          <w:rFonts w:ascii="Times New Roman" w:hAnsi="Times New Roman" w:cs="Times New Roman"/>
        </w:rPr>
        <w:t>was carried out using the search term “critical health literacy”. While it is recognised that interventions may actively work t</w:t>
      </w:r>
      <w:r w:rsidR="006A21E2" w:rsidRPr="00A25B0A">
        <w:rPr>
          <w:rFonts w:ascii="Times New Roman" w:hAnsi="Times New Roman" w:cs="Times New Roman"/>
        </w:rPr>
        <w:t xml:space="preserve">o build the components of </w:t>
      </w:r>
      <w:r w:rsidR="00391180">
        <w:rPr>
          <w:rFonts w:ascii="Times New Roman" w:hAnsi="Times New Roman" w:cs="Times New Roman"/>
        </w:rPr>
        <w:t>CHL</w:t>
      </w:r>
      <w:r w:rsidR="006A21E2" w:rsidRPr="00A25B0A">
        <w:rPr>
          <w:rFonts w:ascii="Times New Roman" w:hAnsi="Times New Roman" w:cs="Times New Roman"/>
        </w:rPr>
        <w:t xml:space="preserve"> without actually using the terminology </w:t>
      </w:r>
      <w:r w:rsidR="00C852C2" w:rsidRPr="00652443">
        <w:rPr>
          <w:rFonts w:ascii="Times New Roman" w:hAnsi="Times New Roman" w:cs="Times New Roman"/>
        </w:rPr>
        <w:t>itself</w:t>
      </w:r>
      <w:r w:rsidR="006A21E2" w:rsidRPr="00652443">
        <w:rPr>
          <w:rFonts w:ascii="Times New Roman" w:hAnsi="Times New Roman" w:cs="Times New Roman"/>
        </w:rPr>
        <w:t xml:space="preserve"> and may therefore be useful in the </w:t>
      </w:r>
      <w:r w:rsidR="006A21E2" w:rsidRPr="00652443">
        <w:rPr>
          <w:rFonts w:ascii="Times New Roman" w:hAnsi="Times New Roman" w:cs="Times New Roman"/>
        </w:rPr>
        <w:lastRenderedPageBreak/>
        <w:t xml:space="preserve">learning </w:t>
      </w:r>
      <w:r w:rsidR="002B71CA" w:rsidRPr="00652443">
        <w:rPr>
          <w:rFonts w:ascii="Times New Roman" w:hAnsi="Times New Roman" w:cs="Times New Roman"/>
        </w:rPr>
        <w:t>they identify</w:t>
      </w:r>
      <w:r w:rsidR="002873DE" w:rsidRPr="00652443">
        <w:rPr>
          <w:rFonts w:ascii="Times New Roman" w:hAnsi="Times New Roman" w:cs="Times New Roman"/>
        </w:rPr>
        <w:t>, this review</w:t>
      </w:r>
      <w:r w:rsidR="006A21E2" w:rsidRPr="00652443">
        <w:rPr>
          <w:rFonts w:ascii="Times New Roman" w:hAnsi="Times New Roman" w:cs="Times New Roman"/>
        </w:rPr>
        <w:t xml:space="preserve"> was specifically interested in those interventions that had a stated intention to build</w:t>
      </w:r>
      <w:r w:rsidR="00E77760">
        <w:rPr>
          <w:rFonts w:ascii="Times New Roman" w:hAnsi="Times New Roman" w:cs="Times New Roman"/>
        </w:rPr>
        <w:t xml:space="preserve"> </w:t>
      </w:r>
      <w:r w:rsidR="00391180">
        <w:rPr>
          <w:rFonts w:ascii="Times New Roman" w:hAnsi="Times New Roman" w:cs="Times New Roman"/>
        </w:rPr>
        <w:t>CHL</w:t>
      </w:r>
      <w:r w:rsidR="006A21E2" w:rsidRPr="00652443">
        <w:rPr>
          <w:rFonts w:ascii="Times New Roman" w:hAnsi="Times New Roman" w:cs="Times New Roman"/>
        </w:rPr>
        <w:t xml:space="preserve">.  </w:t>
      </w:r>
      <w:r w:rsidR="00C852C2" w:rsidRPr="00652443">
        <w:rPr>
          <w:rFonts w:ascii="Times New Roman" w:hAnsi="Times New Roman" w:cs="Times New Roman"/>
        </w:rPr>
        <w:t>A decision was therefore made not to include search terms of overlapping concepts</w:t>
      </w:r>
      <w:r w:rsidR="00EB306C" w:rsidRPr="00652443">
        <w:rPr>
          <w:rFonts w:ascii="Times New Roman" w:hAnsi="Times New Roman" w:cs="Times New Roman"/>
        </w:rPr>
        <w:t xml:space="preserve"> such as empowerment or community action</w:t>
      </w:r>
      <w:r w:rsidR="00391180">
        <w:rPr>
          <w:rFonts w:ascii="Times New Roman" w:hAnsi="Times New Roman" w:cs="Times New Roman"/>
        </w:rPr>
        <w:t xml:space="preserve"> (see </w:t>
      </w:r>
      <w:proofErr w:type="spellStart"/>
      <w:r w:rsidR="00391180">
        <w:rPr>
          <w:rFonts w:ascii="Times New Roman" w:hAnsi="Times New Roman" w:cs="Times New Roman"/>
        </w:rPr>
        <w:t>Crondahl</w:t>
      </w:r>
      <w:proofErr w:type="spellEnd"/>
      <w:r w:rsidR="00391180">
        <w:rPr>
          <w:rFonts w:ascii="Times New Roman" w:hAnsi="Times New Roman" w:cs="Times New Roman"/>
        </w:rPr>
        <w:t xml:space="preserve"> and </w:t>
      </w:r>
      <w:proofErr w:type="spellStart"/>
      <w:r w:rsidR="00391180">
        <w:rPr>
          <w:rFonts w:ascii="Times New Roman" w:hAnsi="Times New Roman" w:cs="Times New Roman"/>
        </w:rPr>
        <w:t>Karlsson</w:t>
      </w:r>
      <w:proofErr w:type="spellEnd"/>
      <w:r w:rsidR="00391180">
        <w:rPr>
          <w:rFonts w:ascii="Times New Roman" w:hAnsi="Times New Roman" w:cs="Times New Roman"/>
        </w:rPr>
        <w:t xml:space="preserve"> 2016)</w:t>
      </w:r>
      <w:r w:rsidR="00C852C2" w:rsidRPr="00652443">
        <w:rPr>
          <w:rFonts w:ascii="Times New Roman" w:hAnsi="Times New Roman" w:cs="Times New Roman"/>
        </w:rPr>
        <w:t xml:space="preserve">. Given the limited pool of published literature on this subject, electronic database searches were complemented with a search of </w:t>
      </w:r>
      <w:r w:rsidR="000C681A">
        <w:rPr>
          <w:rFonts w:ascii="Times New Roman" w:hAnsi="Times New Roman" w:cs="Times New Roman"/>
        </w:rPr>
        <w:t>G</w:t>
      </w:r>
      <w:r w:rsidR="00C852C2" w:rsidRPr="00652443">
        <w:rPr>
          <w:rFonts w:ascii="Times New Roman" w:hAnsi="Times New Roman" w:cs="Times New Roman"/>
        </w:rPr>
        <w:t xml:space="preserve">oogle </w:t>
      </w:r>
      <w:r w:rsidR="000C681A">
        <w:rPr>
          <w:rFonts w:ascii="Times New Roman" w:hAnsi="Times New Roman" w:cs="Times New Roman"/>
        </w:rPr>
        <w:t>S</w:t>
      </w:r>
      <w:r w:rsidR="00C852C2" w:rsidRPr="00652443">
        <w:rPr>
          <w:rFonts w:ascii="Times New Roman" w:hAnsi="Times New Roman" w:cs="Times New Roman"/>
        </w:rPr>
        <w:t xml:space="preserve">cholar, grey literature and </w:t>
      </w:r>
      <w:r w:rsidR="00B256A1" w:rsidRPr="00652443">
        <w:rPr>
          <w:rFonts w:ascii="Times New Roman" w:hAnsi="Times New Roman" w:cs="Times New Roman"/>
        </w:rPr>
        <w:t>reference</w:t>
      </w:r>
      <w:r w:rsidR="00C852C2" w:rsidRPr="00652443">
        <w:rPr>
          <w:rFonts w:ascii="Times New Roman" w:hAnsi="Times New Roman" w:cs="Times New Roman"/>
        </w:rPr>
        <w:t xml:space="preserve"> tracing. </w:t>
      </w:r>
    </w:p>
    <w:p w14:paraId="17477068" w14:textId="77777777" w:rsidR="00EB306C" w:rsidRPr="00652443" w:rsidRDefault="00EB306C">
      <w:pPr>
        <w:spacing w:line="480" w:lineRule="auto"/>
        <w:rPr>
          <w:rFonts w:ascii="Times New Roman" w:hAnsi="Times New Roman" w:cs="Times New Roman"/>
        </w:rPr>
      </w:pPr>
    </w:p>
    <w:p w14:paraId="35DEABCA" w14:textId="247780EB" w:rsidR="00D27A73" w:rsidRPr="008C11BE" w:rsidRDefault="00EB306C">
      <w:pPr>
        <w:spacing w:line="480" w:lineRule="auto"/>
        <w:rPr>
          <w:rFonts w:ascii="Times New Roman" w:hAnsi="Times New Roman" w:cs="Times New Roman"/>
        </w:rPr>
      </w:pPr>
      <w:r w:rsidRPr="001645B4">
        <w:rPr>
          <w:rFonts w:ascii="Times New Roman" w:hAnsi="Times New Roman" w:cs="Times New Roman"/>
        </w:rPr>
        <w:t xml:space="preserve">The </w:t>
      </w:r>
      <w:r w:rsidR="00B256A1" w:rsidRPr="008C11BE">
        <w:rPr>
          <w:rFonts w:ascii="Times New Roman" w:hAnsi="Times New Roman" w:cs="Times New Roman"/>
        </w:rPr>
        <w:t xml:space="preserve">initial </w:t>
      </w:r>
      <w:r w:rsidRPr="008C11BE">
        <w:rPr>
          <w:rFonts w:ascii="Times New Roman" w:hAnsi="Times New Roman" w:cs="Times New Roman"/>
        </w:rPr>
        <w:t xml:space="preserve">search of databases found </w:t>
      </w:r>
      <w:r w:rsidR="00B256A1" w:rsidRPr="008C11BE">
        <w:rPr>
          <w:rFonts w:ascii="Times New Roman" w:hAnsi="Times New Roman" w:cs="Times New Roman"/>
        </w:rPr>
        <w:t xml:space="preserve">155 </w:t>
      </w:r>
      <w:r w:rsidRPr="008C11BE">
        <w:rPr>
          <w:rFonts w:ascii="Times New Roman" w:hAnsi="Times New Roman" w:cs="Times New Roman"/>
        </w:rPr>
        <w:t xml:space="preserve">papers </w:t>
      </w:r>
      <w:r w:rsidR="00B256A1" w:rsidRPr="008C11BE">
        <w:rPr>
          <w:rFonts w:ascii="Times New Roman" w:hAnsi="Times New Roman" w:cs="Times New Roman"/>
        </w:rPr>
        <w:t xml:space="preserve">plus </w:t>
      </w:r>
      <w:r w:rsidRPr="008C11BE">
        <w:rPr>
          <w:rFonts w:ascii="Times New Roman" w:hAnsi="Times New Roman" w:cs="Times New Roman"/>
        </w:rPr>
        <w:t xml:space="preserve">an additional </w:t>
      </w:r>
      <w:r w:rsidR="00B256A1" w:rsidRPr="008C11BE">
        <w:rPr>
          <w:rFonts w:ascii="Times New Roman" w:hAnsi="Times New Roman" w:cs="Times New Roman"/>
        </w:rPr>
        <w:t xml:space="preserve">1,504 </w:t>
      </w:r>
      <w:r w:rsidRPr="008C11BE">
        <w:rPr>
          <w:rFonts w:ascii="Times New Roman" w:hAnsi="Times New Roman" w:cs="Times New Roman"/>
        </w:rPr>
        <w:t xml:space="preserve">references </w:t>
      </w:r>
      <w:r w:rsidR="00B256A1" w:rsidRPr="008C11BE">
        <w:rPr>
          <w:rFonts w:ascii="Times New Roman" w:hAnsi="Times New Roman" w:cs="Times New Roman"/>
        </w:rPr>
        <w:t xml:space="preserve">through </w:t>
      </w:r>
      <w:r w:rsidR="000C681A">
        <w:rPr>
          <w:rFonts w:ascii="Times New Roman" w:hAnsi="Times New Roman" w:cs="Times New Roman"/>
        </w:rPr>
        <w:t>G</w:t>
      </w:r>
      <w:r w:rsidR="00B256A1" w:rsidRPr="008C11BE">
        <w:rPr>
          <w:rFonts w:ascii="Times New Roman" w:hAnsi="Times New Roman" w:cs="Times New Roman"/>
        </w:rPr>
        <w:t xml:space="preserve">oogle </w:t>
      </w:r>
      <w:r w:rsidR="000C681A">
        <w:rPr>
          <w:rFonts w:ascii="Times New Roman" w:hAnsi="Times New Roman" w:cs="Times New Roman"/>
        </w:rPr>
        <w:t>S</w:t>
      </w:r>
      <w:r w:rsidR="00B256A1" w:rsidRPr="008C11BE">
        <w:rPr>
          <w:rFonts w:ascii="Times New Roman" w:hAnsi="Times New Roman" w:cs="Times New Roman"/>
        </w:rPr>
        <w:t>cholar.  Inclusion and exclusion criteria were applie</w:t>
      </w:r>
      <w:r w:rsidR="00DC2DDA" w:rsidRPr="008C11BE">
        <w:rPr>
          <w:rFonts w:ascii="Times New Roman" w:hAnsi="Times New Roman" w:cs="Times New Roman"/>
        </w:rPr>
        <w:t xml:space="preserve">d that limited studies to empirical papers that included an intervention designed to build </w:t>
      </w:r>
      <w:r w:rsidR="00391180">
        <w:rPr>
          <w:rFonts w:ascii="Times New Roman" w:hAnsi="Times New Roman" w:cs="Times New Roman"/>
        </w:rPr>
        <w:t xml:space="preserve">CHL </w:t>
      </w:r>
      <w:r w:rsidRPr="008C11BE">
        <w:rPr>
          <w:rFonts w:ascii="Times New Roman" w:hAnsi="Times New Roman" w:cs="Times New Roman"/>
        </w:rPr>
        <w:t>and theoretical papers or concept analyses were excluded</w:t>
      </w:r>
      <w:r w:rsidR="00DC2DDA" w:rsidRPr="008C11BE">
        <w:rPr>
          <w:rFonts w:ascii="Times New Roman" w:hAnsi="Times New Roman" w:cs="Times New Roman"/>
        </w:rPr>
        <w:t xml:space="preserve">. </w:t>
      </w:r>
      <w:r w:rsidR="00206309" w:rsidRPr="008C11BE">
        <w:rPr>
          <w:rFonts w:ascii="Times New Roman" w:hAnsi="Times New Roman" w:cs="Times New Roman"/>
        </w:rPr>
        <w:t xml:space="preserve">No limiter was placed on date or geography. </w:t>
      </w:r>
      <w:r w:rsidR="00DC2DDA" w:rsidRPr="008C11BE">
        <w:rPr>
          <w:rFonts w:ascii="Times New Roman" w:hAnsi="Times New Roman" w:cs="Times New Roman"/>
        </w:rPr>
        <w:t xml:space="preserve">Studies were not excluded if they did not include an assessment of levels of </w:t>
      </w:r>
      <w:r w:rsidR="00391180">
        <w:rPr>
          <w:rFonts w:ascii="Times New Roman" w:hAnsi="Times New Roman" w:cs="Times New Roman"/>
        </w:rPr>
        <w:t xml:space="preserve">CHL </w:t>
      </w:r>
      <w:r w:rsidR="00AC15F3" w:rsidRPr="008C11BE">
        <w:rPr>
          <w:rFonts w:ascii="Times New Roman" w:hAnsi="Times New Roman" w:cs="Times New Roman"/>
        </w:rPr>
        <w:t>as a way of evaluating impact. As t</w:t>
      </w:r>
      <w:r w:rsidR="00DC2DDA" w:rsidRPr="008C11BE">
        <w:rPr>
          <w:rFonts w:ascii="Times New Roman" w:hAnsi="Times New Roman" w:cs="Times New Roman"/>
        </w:rPr>
        <w:t>here are a limited number of validated tools to measur</w:t>
      </w:r>
      <w:r w:rsidR="00B370BD" w:rsidRPr="008C11BE">
        <w:rPr>
          <w:rFonts w:ascii="Times New Roman" w:hAnsi="Times New Roman" w:cs="Times New Roman"/>
        </w:rPr>
        <w:t>e</w:t>
      </w:r>
      <w:r w:rsidR="00E77760">
        <w:rPr>
          <w:rFonts w:ascii="Times New Roman" w:hAnsi="Times New Roman" w:cs="Times New Roman"/>
        </w:rPr>
        <w:t xml:space="preserve"> </w:t>
      </w:r>
      <w:r w:rsidR="00391180">
        <w:rPr>
          <w:rFonts w:ascii="Times New Roman" w:hAnsi="Times New Roman" w:cs="Times New Roman"/>
        </w:rPr>
        <w:t>CHL</w:t>
      </w:r>
      <w:r w:rsidR="00AC15F3" w:rsidRPr="008C11BE">
        <w:rPr>
          <w:rFonts w:ascii="Times New Roman" w:hAnsi="Times New Roman" w:cs="Times New Roman"/>
        </w:rPr>
        <w:t xml:space="preserve">, </w:t>
      </w:r>
      <w:r w:rsidR="00DC2DDA" w:rsidRPr="00A25B0A">
        <w:rPr>
          <w:rFonts w:ascii="Times New Roman" w:hAnsi="Times New Roman" w:cs="Times New Roman"/>
        </w:rPr>
        <w:t xml:space="preserve">this </w:t>
      </w:r>
      <w:r w:rsidR="00AC15F3" w:rsidRPr="00652443">
        <w:rPr>
          <w:rFonts w:ascii="Times New Roman" w:hAnsi="Times New Roman" w:cs="Times New Roman"/>
        </w:rPr>
        <w:t xml:space="preserve">would have </w:t>
      </w:r>
      <w:r w:rsidR="00DC2DDA" w:rsidRPr="00652443">
        <w:rPr>
          <w:rFonts w:ascii="Times New Roman" w:hAnsi="Times New Roman" w:cs="Times New Roman"/>
        </w:rPr>
        <w:t>restrict</w:t>
      </w:r>
      <w:r w:rsidR="00AC15F3" w:rsidRPr="00652443">
        <w:rPr>
          <w:rFonts w:ascii="Times New Roman" w:hAnsi="Times New Roman" w:cs="Times New Roman"/>
        </w:rPr>
        <w:t>ed</w:t>
      </w:r>
      <w:r w:rsidR="00DC2DDA" w:rsidRPr="00652443">
        <w:rPr>
          <w:rFonts w:ascii="Times New Roman" w:hAnsi="Times New Roman" w:cs="Times New Roman"/>
        </w:rPr>
        <w:t xml:space="preserve"> the returns too </w:t>
      </w:r>
      <w:r w:rsidR="00B015A6" w:rsidRPr="00652443">
        <w:rPr>
          <w:rFonts w:ascii="Times New Roman" w:hAnsi="Times New Roman" w:cs="Times New Roman"/>
        </w:rPr>
        <w:t>significantly</w:t>
      </w:r>
      <w:r w:rsidR="000C681A">
        <w:rPr>
          <w:rFonts w:ascii="Times New Roman" w:hAnsi="Times New Roman" w:cs="Times New Roman"/>
        </w:rPr>
        <w:t>,</w:t>
      </w:r>
      <w:r w:rsidR="00AC15F3" w:rsidRPr="00652443">
        <w:rPr>
          <w:rFonts w:ascii="Times New Roman" w:hAnsi="Times New Roman" w:cs="Times New Roman"/>
        </w:rPr>
        <w:t xml:space="preserve"> but </w:t>
      </w:r>
      <w:r w:rsidR="007A7C09" w:rsidRPr="001645B4">
        <w:rPr>
          <w:rFonts w:ascii="Times New Roman" w:hAnsi="Times New Roman" w:cs="Times New Roman"/>
        </w:rPr>
        <w:t xml:space="preserve">impact or outcomes </w:t>
      </w:r>
      <w:r w:rsidR="00AC15F3" w:rsidRPr="008C11BE">
        <w:rPr>
          <w:rFonts w:ascii="Times New Roman" w:hAnsi="Times New Roman" w:cs="Times New Roman"/>
        </w:rPr>
        <w:t xml:space="preserve">are reported </w:t>
      </w:r>
      <w:r w:rsidR="007A7C09" w:rsidRPr="008C11BE">
        <w:rPr>
          <w:rFonts w:ascii="Times New Roman" w:hAnsi="Times New Roman" w:cs="Times New Roman"/>
        </w:rPr>
        <w:t>where they have been shown</w:t>
      </w:r>
      <w:r w:rsidR="00DC2DDA" w:rsidRPr="008C11BE">
        <w:rPr>
          <w:rFonts w:ascii="Times New Roman" w:hAnsi="Times New Roman" w:cs="Times New Roman"/>
        </w:rPr>
        <w:t>.</w:t>
      </w:r>
      <w:r w:rsidR="00B015A6" w:rsidRPr="008C11BE">
        <w:rPr>
          <w:rFonts w:ascii="Times New Roman" w:hAnsi="Times New Roman" w:cs="Times New Roman"/>
        </w:rPr>
        <w:t xml:space="preserve"> </w:t>
      </w:r>
    </w:p>
    <w:p w14:paraId="3A7123EC" w14:textId="77777777" w:rsidR="00D27A73" w:rsidRPr="008C11BE" w:rsidRDefault="00D27A73">
      <w:pPr>
        <w:spacing w:line="480" w:lineRule="auto"/>
        <w:rPr>
          <w:rFonts w:ascii="Times New Roman" w:hAnsi="Times New Roman" w:cs="Times New Roman"/>
        </w:rPr>
      </w:pPr>
    </w:p>
    <w:p w14:paraId="44035D4F" w14:textId="77777777" w:rsidR="00AC15F3" w:rsidRPr="008C11BE" w:rsidRDefault="00AC15F3">
      <w:pPr>
        <w:spacing w:line="480" w:lineRule="auto"/>
        <w:rPr>
          <w:rFonts w:ascii="Times New Roman" w:hAnsi="Times New Roman" w:cs="Times New Roman"/>
          <w:b/>
        </w:rPr>
      </w:pPr>
      <w:r w:rsidRPr="008C11BE">
        <w:rPr>
          <w:rFonts w:ascii="Times New Roman" w:hAnsi="Times New Roman" w:cs="Times New Roman"/>
          <w:b/>
        </w:rPr>
        <w:t>&lt;h2&gt; Findings</w:t>
      </w:r>
    </w:p>
    <w:p w14:paraId="154ACDC0" w14:textId="75FABD9A" w:rsidR="00D710ED" w:rsidRPr="008C11BE" w:rsidRDefault="00B015A6">
      <w:pPr>
        <w:spacing w:line="480" w:lineRule="auto"/>
        <w:rPr>
          <w:rFonts w:ascii="Times New Roman" w:hAnsi="Times New Roman" w:cs="Times New Roman"/>
        </w:rPr>
      </w:pPr>
      <w:r w:rsidRPr="008C11BE">
        <w:rPr>
          <w:rFonts w:ascii="Times New Roman" w:hAnsi="Times New Roman" w:cs="Times New Roman"/>
        </w:rPr>
        <w:t xml:space="preserve">Applying the inclusion and exclusion criteria </w:t>
      </w:r>
      <w:r w:rsidR="003A0573" w:rsidRPr="008C11BE">
        <w:rPr>
          <w:rFonts w:ascii="Times New Roman" w:hAnsi="Times New Roman" w:cs="Times New Roman"/>
        </w:rPr>
        <w:t>to the returns resulted in 13</w:t>
      </w:r>
      <w:r w:rsidRPr="008C11BE">
        <w:rPr>
          <w:rFonts w:ascii="Times New Roman" w:hAnsi="Times New Roman" w:cs="Times New Roman"/>
        </w:rPr>
        <w:t xml:space="preserve"> articles</w:t>
      </w:r>
      <w:r w:rsidR="00FA4426" w:rsidRPr="008C11BE">
        <w:rPr>
          <w:rFonts w:ascii="Times New Roman" w:hAnsi="Times New Roman" w:cs="Times New Roman"/>
        </w:rPr>
        <w:t xml:space="preserve"> included in the review</w:t>
      </w:r>
      <w:r w:rsidR="003A0573" w:rsidRPr="008C11BE">
        <w:rPr>
          <w:rFonts w:ascii="Times New Roman" w:hAnsi="Times New Roman" w:cs="Times New Roman"/>
        </w:rPr>
        <w:t xml:space="preserve"> which drew on 12 </w:t>
      </w:r>
      <w:r w:rsidR="001F27AB" w:rsidRPr="008C11BE">
        <w:rPr>
          <w:rFonts w:ascii="Times New Roman" w:hAnsi="Times New Roman" w:cs="Times New Roman"/>
        </w:rPr>
        <w:t>interventions</w:t>
      </w:r>
      <w:r w:rsidR="00FA4426" w:rsidRPr="008C11BE">
        <w:rPr>
          <w:rFonts w:ascii="Times New Roman" w:hAnsi="Times New Roman" w:cs="Times New Roman"/>
        </w:rPr>
        <w:t>. Of these studies</w:t>
      </w:r>
      <w:r w:rsidR="00817FAA">
        <w:rPr>
          <w:rFonts w:ascii="Times New Roman" w:hAnsi="Times New Roman" w:cs="Times New Roman"/>
        </w:rPr>
        <w:t>,</w:t>
      </w:r>
      <w:r w:rsidR="00FA4426" w:rsidRPr="008C11BE">
        <w:rPr>
          <w:rFonts w:ascii="Times New Roman" w:hAnsi="Times New Roman" w:cs="Times New Roman"/>
        </w:rPr>
        <w:t xml:space="preserve"> </w:t>
      </w:r>
      <w:r w:rsidR="00AC15F3" w:rsidRPr="008C11BE">
        <w:rPr>
          <w:rFonts w:ascii="Times New Roman" w:hAnsi="Times New Roman" w:cs="Times New Roman"/>
        </w:rPr>
        <w:t xml:space="preserve">three </w:t>
      </w:r>
      <w:r w:rsidR="001F27AB" w:rsidRPr="008C11BE">
        <w:rPr>
          <w:rFonts w:ascii="Times New Roman" w:hAnsi="Times New Roman" w:cs="Times New Roman"/>
        </w:rPr>
        <w:t xml:space="preserve">were reflections rather than empirical studies. </w:t>
      </w:r>
      <w:r w:rsidR="0053726C">
        <w:rPr>
          <w:rFonts w:ascii="Times New Roman" w:hAnsi="Times New Roman" w:cs="Times New Roman"/>
        </w:rPr>
        <w:t>A</w:t>
      </w:r>
      <w:r w:rsidR="00D27A73" w:rsidRPr="008C11BE">
        <w:rPr>
          <w:rFonts w:ascii="Times New Roman" w:hAnsi="Times New Roman" w:cs="Times New Roman"/>
        </w:rPr>
        <w:t xml:space="preserve">s they were presented as case studies of interventions and were published in peer review journals, a decision was made to include them. </w:t>
      </w:r>
    </w:p>
    <w:p w14:paraId="0694DCB6" w14:textId="77777777" w:rsidR="00D710ED" w:rsidRPr="008C11BE" w:rsidRDefault="00D710ED">
      <w:pPr>
        <w:spacing w:line="480" w:lineRule="auto"/>
        <w:rPr>
          <w:rFonts w:ascii="Times New Roman" w:hAnsi="Times New Roman" w:cs="Times New Roman"/>
        </w:rPr>
      </w:pPr>
    </w:p>
    <w:p w14:paraId="09603B5E" w14:textId="2F48AF83" w:rsidR="00327AF9" w:rsidRPr="008C11BE" w:rsidRDefault="00D710ED">
      <w:pPr>
        <w:spacing w:line="480" w:lineRule="auto"/>
        <w:rPr>
          <w:rFonts w:ascii="Times New Roman" w:hAnsi="Times New Roman" w:cs="Times New Roman"/>
        </w:rPr>
      </w:pPr>
      <w:r w:rsidRPr="008C11BE">
        <w:rPr>
          <w:rFonts w:ascii="Times New Roman" w:hAnsi="Times New Roman" w:cs="Times New Roman"/>
        </w:rPr>
        <w:t xml:space="preserve">Table 1 shows the approach of the reported intervention, </w:t>
      </w:r>
      <w:r w:rsidR="00327AF9" w:rsidRPr="008C11BE">
        <w:rPr>
          <w:rFonts w:ascii="Times New Roman" w:hAnsi="Times New Roman" w:cs="Times New Roman"/>
        </w:rPr>
        <w:t xml:space="preserve">its context or setting, </w:t>
      </w:r>
      <w:r w:rsidR="00817FAA">
        <w:rPr>
          <w:rFonts w:ascii="Times New Roman" w:hAnsi="Times New Roman" w:cs="Times New Roman"/>
        </w:rPr>
        <w:t xml:space="preserve">and </w:t>
      </w:r>
      <w:r w:rsidR="00327AF9" w:rsidRPr="008C11BE">
        <w:rPr>
          <w:rFonts w:ascii="Times New Roman" w:hAnsi="Times New Roman" w:cs="Times New Roman"/>
        </w:rPr>
        <w:t xml:space="preserve">the participants. The studies were drawn from Australia, USA, UK, Canada, Denmark, the Philippines and Germany. Seven of the studies focussed on interventions that targeted young </w:t>
      </w:r>
      <w:r w:rsidR="00327AF9" w:rsidRPr="008C11BE">
        <w:rPr>
          <w:rFonts w:ascii="Times New Roman" w:hAnsi="Times New Roman" w:cs="Times New Roman"/>
        </w:rPr>
        <w:lastRenderedPageBreak/>
        <w:t xml:space="preserve">people, the majority of which took place in schools.  The rest targeted indigenous communities, socially disadvantaged adults or black and minority ethnic communities. </w:t>
      </w:r>
    </w:p>
    <w:p w14:paraId="5BDF4230" w14:textId="77777777" w:rsidR="00B64E69" w:rsidRPr="008C11BE" w:rsidRDefault="00B64E69">
      <w:pPr>
        <w:spacing w:line="480" w:lineRule="auto"/>
        <w:rPr>
          <w:rFonts w:ascii="Times New Roman" w:hAnsi="Times New Roman" w:cs="Times New Roman"/>
        </w:rPr>
      </w:pPr>
    </w:p>
    <w:p w14:paraId="21AE17D8" w14:textId="380007C1" w:rsidR="00B64E69" w:rsidRPr="008C11BE" w:rsidRDefault="00B64E69">
      <w:pPr>
        <w:spacing w:line="480" w:lineRule="auto"/>
        <w:rPr>
          <w:rFonts w:ascii="Times New Roman" w:hAnsi="Times New Roman" w:cs="Times New Roman"/>
        </w:rPr>
      </w:pPr>
      <w:r w:rsidRPr="008C11BE">
        <w:rPr>
          <w:rFonts w:ascii="Times New Roman" w:hAnsi="Times New Roman" w:cs="Times New Roman"/>
        </w:rPr>
        <w:t xml:space="preserve">There was considerable variation in the nature of interventions used to build CHL as shown in Table 1. Two of the studies focused on arts based and creative strategies such as role play, </w:t>
      </w:r>
      <w:proofErr w:type="spellStart"/>
      <w:r w:rsidRPr="008C11BE">
        <w:rPr>
          <w:rFonts w:ascii="Times New Roman" w:hAnsi="Times New Roman" w:cs="Times New Roman"/>
        </w:rPr>
        <w:t>iMovies</w:t>
      </w:r>
      <w:proofErr w:type="spellEnd"/>
      <w:r w:rsidRPr="008C11BE">
        <w:rPr>
          <w:rFonts w:ascii="Times New Roman" w:hAnsi="Times New Roman" w:cs="Times New Roman"/>
        </w:rPr>
        <w:t xml:space="preserve"> and the creation of graphic novels </w:t>
      </w:r>
      <w:r w:rsidR="00C7365B" w:rsidRPr="008C11BE">
        <w:rPr>
          <w:rFonts w:ascii="Times New Roman" w:hAnsi="Times New Roman" w:cs="Times New Roman"/>
        </w:rPr>
        <w:t xml:space="preserve">(Banister et al, 2011; </w:t>
      </w:r>
      <w:proofErr w:type="spellStart"/>
      <w:r w:rsidR="00C7365B" w:rsidRPr="008C11BE">
        <w:rPr>
          <w:rFonts w:ascii="Times New Roman" w:hAnsi="Times New Roman" w:cs="Times New Roman"/>
        </w:rPr>
        <w:t>Begoray</w:t>
      </w:r>
      <w:proofErr w:type="spellEnd"/>
      <w:r w:rsidR="00C7365B" w:rsidRPr="008C11BE">
        <w:rPr>
          <w:rFonts w:ascii="Times New Roman" w:hAnsi="Times New Roman" w:cs="Times New Roman"/>
        </w:rPr>
        <w:t xml:space="preserve"> et al, 2014)</w:t>
      </w:r>
      <w:r w:rsidRPr="008C11BE">
        <w:rPr>
          <w:rFonts w:ascii="Times New Roman" w:hAnsi="Times New Roman" w:cs="Times New Roman"/>
        </w:rPr>
        <w:t xml:space="preserve">. Four of the interventions were offered as complementary school curriculum programmes run over a period of several weeks delivered either by external providers or by the teachers </w:t>
      </w:r>
      <w:r w:rsidR="00C7365B" w:rsidRPr="008C11BE">
        <w:rPr>
          <w:rFonts w:ascii="Times New Roman" w:hAnsi="Times New Roman" w:cs="Times New Roman"/>
        </w:rPr>
        <w:t>(</w:t>
      </w:r>
      <w:proofErr w:type="spellStart"/>
      <w:r w:rsidR="00500E02" w:rsidRPr="008C11BE">
        <w:rPr>
          <w:rFonts w:ascii="Times New Roman" w:hAnsi="Times New Roman" w:cs="Times New Roman"/>
        </w:rPr>
        <w:t>Steckelberg</w:t>
      </w:r>
      <w:proofErr w:type="spellEnd"/>
      <w:r w:rsidR="00500E02" w:rsidRPr="008C11BE">
        <w:rPr>
          <w:rFonts w:ascii="Times New Roman" w:hAnsi="Times New Roman" w:cs="Times New Roman"/>
        </w:rPr>
        <w:t xml:space="preserve"> et al, 2009; Gould et al, 2010; </w:t>
      </w:r>
      <w:proofErr w:type="spellStart"/>
      <w:r w:rsidR="00500E02" w:rsidRPr="008C11BE">
        <w:rPr>
          <w:rFonts w:ascii="Times New Roman" w:hAnsi="Times New Roman" w:cs="Times New Roman"/>
        </w:rPr>
        <w:t>Mogford</w:t>
      </w:r>
      <w:proofErr w:type="spellEnd"/>
      <w:r w:rsidR="00500E02" w:rsidRPr="008C11BE">
        <w:rPr>
          <w:rFonts w:ascii="Times New Roman" w:hAnsi="Times New Roman" w:cs="Times New Roman"/>
        </w:rPr>
        <w:t xml:space="preserve"> et al, 2011; </w:t>
      </w:r>
      <w:proofErr w:type="spellStart"/>
      <w:r w:rsidR="00500E02" w:rsidRPr="008C11BE">
        <w:rPr>
          <w:rFonts w:ascii="Times New Roman" w:hAnsi="Times New Roman" w:cs="Times New Roman"/>
        </w:rPr>
        <w:t>McCuaig</w:t>
      </w:r>
      <w:proofErr w:type="spellEnd"/>
      <w:r w:rsidR="00500E02" w:rsidRPr="008C11BE">
        <w:rPr>
          <w:rFonts w:ascii="Times New Roman" w:hAnsi="Times New Roman" w:cs="Times New Roman"/>
        </w:rPr>
        <w:t xml:space="preserve"> et al, 2014; </w:t>
      </w:r>
      <w:proofErr w:type="spellStart"/>
      <w:r w:rsidR="00C7365B" w:rsidRPr="008C11BE">
        <w:rPr>
          <w:rFonts w:ascii="Times New Roman" w:eastAsia="Times New Roman" w:hAnsi="Times New Roman" w:cs="Times New Roman"/>
          <w:lang w:eastAsia="en-GB"/>
        </w:rPr>
        <w:t>Bruselius</w:t>
      </w:r>
      <w:proofErr w:type="spellEnd"/>
      <w:r w:rsidR="00C7365B" w:rsidRPr="008C11BE">
        <w:rPr>
          <w:rFonts w:ascii="Times New Roman" w:eastAsia="Times New Roman" w:hAnsi="Times New Roman" w:cs="Times New Roman"/>
          <w:lang w:eastAsia="en-GB"/>
        </w:rPr>
        <w:t>-Jensen et al, 2017</w:t>
      </w:r>
      <w:r w:rsidR="00500E02" w:rsidRPr="008C11BE">
        <w:rPr>
          <w:rFonts w:ascii="Times New Roman" w:eastAsia="Times New Roman" w:hAnsi="Times New Roman" w:cs="Times New Roman"/>
          <w:lang w:eastAsia="en-GB"/>
        </w:rPr>
        <w:t>)</w:t>
      </w:r>
      <w:r w:rsidR="00205B8B">
        <w:rPr>
          <w:rFonts w:ascii="Times New Roman" w:eastAsia="Times New Roman" w:hAnsi="Times New Roman" w:cs="Times New Roman"/>
          <w:lang w:eastAsia="en-GB"/>
        </w:rPr>
        <w:t xml:space="preserve">. </w:t>
      </w:r>
      <w:r w:rsidR="00500E02" w:rsidRPr="008C11BE">
        <w:rPr>
          <w:rFonts w:ascii="Times New Roman" w:eastAsia="Times New Roman" w:hAnsi="Times New Roman" w:cs="Times New Roman"/>
          <w:lang w:eastAsia="en-GB"/>
        </w:rPr>
        <w:t xml:space="preserve"> </w:t>
      </w:r>
      <w:r w:rsidRPr="008C11BE">
        <w:rPr>
          <w:rFonts w:ascii="Times New Roman" w:hAnsi="Times New Roman" w:cs="Times New Roman"/>
        </w:rPr>
        <w:t>Curriculum based programmes were also offered to adults in two of studies</w:t>
      </w:r>
      <w:r w:rsidR="00500E02" w:rsidRPr="008C11BE">
        <w:rPr>
          <w:rFonts w:ascii="Times New Roman" w:hAnsi="Times New Roman" w:cs="Times New Roman"/>
        </w:rPr>
        <w:t xml:space="preserve"> (Muscat et al, 2017; Sykes and Wills, 2017)</w:t>
      </w:r>
      <w:r w:rsidRPr="008C11BE">
        <w:rPr>
          <w:rFonts w:ascii="Times New Roman" w:hAnsi="Times New Roman" w:cs="Times New Roman"/>
        </w:rPr>
        <w:t>. Four studies were community development interventions using participatory approaches such as lay educators, citizen’s juries, critical reflection and community capacity building and community action research</w:t>
      </w:r>
      <w:r w:rsidR="00500E02" w:rsidRPr="008C11BE">
        <w:rPr>
          <w:rFonts w:ascii="Times New Roman" w:hAnsi="Times New Roman" w:cs="Times New Roman"/>
        </w:rPr>
        <w:t xml:space="preserve"> (</w:t>
      </w:r>
      <w:r w:rsidR="000D2683" w:rsidRPr="008C11BE">
        <w:rPr>
          <w:rFonts w:ascii="Times New Roman" w:hAnsi="Times New Roman" w:cs="Times New Roman"/>
        </w:rPr>
        <w:t xml:space="preserve">Estacio, 2013; </w:t>
      </w:r>
      <w:proofErr w:type="spellStart"/>
      <w:r w:rsidR="000D2683" w:rsidRPr="008C11BE">
        <w:rPr>
          <w:rFonts w:ascii="Times New Roman" w:hAnsi="Times New Roman" w:cs="Times New Roman"/>
        </w:rPr>
        <w:t>Scheib</w:t>
      </w:r>
      <w:proofErr w:type="spellEnd"/>
      <w:r w:rsidR="000D2683" w:rsidRPr="008C11BE">
        <w:rPr>
          <w:rFonts w:ascii="Times New Roman" w:hAnsi="Times New Roman" w:cs="Times New Roman"/>
        </w:rPr>
        <w:t xml:space="preserve"> and </w:t>
      </w:r>
      <w:proofErr w:type="spellStart"/>
      <w:r w:rsidR="000D2683" w:rsidRPr="008C11BE">
        <w:rPr>
          <w:rFonts w:ascii="Times New Roman" w:hAnsi="Times New Roman" w:cs="Times New Roman"/>
        </w:rPr>
        <w:t>Lykes</w:t>
      </w:r>
      <w:proofErr w:type="spellEnd"/>
      <w:r w:rsidR="000D2683" w:rsidRPr="008C11BE">
        <w:rPr>
          <w:rFonts w:ascii="Times New Roman" w:hAnsi="Times New Roman" w:cs="Times New Roman"/>
        </w:rPr>
        <w:t>, 2013; Drew, 2014; Sykes et al, 2017</w:t>
      </w:r>
      <w:r w:rsidR="008C11BE" w:rsidRPr="008C11BE">
        <w:rPr>
          <w:rFonts w:ascii="Times New Roman" w:hAnsi="Times New Roman" w:cs="Times New Roman"/>
        </w:rPr>
        <w:t>)</w:t>
      </w:r>
      <w:r w:rsidRPr="008C11BE">
        <w:rPr>
          <w:rFonts w:ascii="Times New Roman" w:hAnsi="Times New Roman" w:cs="Times New Roman"/>
        </w:rPr>
        <w:t>.</w:t>
      </w:r>
    </w:p>
    <w:p w14:paraId="2272AEFB" w14:textId="24AF9400" w:rsidR="00B370BD" w:rsidRPr="008C11BE" w:rsidRDefault="00B370BD">
      <w:pPr>
        <w:spacing w:line="480" w:lineRule="auto"/>
        <w:rPr>
          <w:rFonts w:ascii="Times New Roman" w:hAnsi="Times New Roman" w:cs="Times New Roman"/>
        </w:rPr>
      </w:pPr>
    </w:p>
    <w:p w14:paraId="7ECD7C0B" w14:textId="767590F7" w:rsidR="00B370BD" w:rsidRPr="008C11BE" w:rsidRDefault="00B370BD" w:rsidP="002C0176">
      <w:pPr>
        <w:spacing w:line="480" w:lineRule="auto"/>
        <w:outlineLvl w:val="0"/>
        <w:rPr>
          <w:rFonts w:ascii="Times New Roman" w:hAnsi="Times New Roman" w:cs="Times New Roman"/>
          <w:b/>
        </w:rPr>
      </w:pPr>
      <w:r w:rsidRPr="008C11BE">
        <w:rPr>
          <w:rFonts w:ascii="Times New Roman" w:hAnsi="Times New Roman" w:cs="Times New Roman"/>
          <w:b/>
        </w:rPr>
        <w:t>Table 1 Studies of Interventions to promote Critical Health Literacy</w:t>
      </w:r>
    </w:p>
    <w:p w14:paraId="1EFB1700" w14:textId="1B2A2295" w:rsidR="00B64E69" w:rsidRPr="008C11BE" w:rsidRDefault="00B64E69">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447"/>
        <w:gridCol w:w="1303"/>
        <w:gridCol w:w="1253"/>
        <w:gridCol w:w="1317"/>
        <w:gridCol w:w="1533"/>
        <w:gridCol w:w="1751"/>
        <w:gridCol w:w="1406"/>
      </w:tblGrid>
      <w:tr w:rsidR="00B370BD" w:rsidRPr="008C11BE" w14:paraId="432DB210" w14:textId="77777777" w:rsidTr="00B370BD">
        <w:tc>
          <w:tcPr>
            <w:tcW w:w="221" w:type="dxa"/>
          </w:tcPr>
          <w:p w14:paraId="7EDA6EB5" w14:textId="77777777" w:rsidR="00B370BD" w:rsidRPr="008C11BE" w:rsidRDefault="00B370BD" w:rsidP="00EB24EE">
            <w:pPr>
              <w:spacing w:line="276" w:lineRule="auto"/>
              <w:rPr>
                <w:rFonts w:ascii="Times New Roman" w:hAnsi="Times New Roman" w:cs="Times New Roman"/>
                <w:b/>
              </w:rPr>
            </w:pPr>
          </w:p>
        </w:tc>
        <w:tc>
          <w:tcPr>
            <w:tcW w:w="1337" w:type="dxa"/>
          </w:tcPr>
          <w:p w14:paraId="253B32F4" w14:textId="687F833B" w:rsidR="00B370BD" w:rsidRPr="008C11BE" w:rsidRDefault="00B370BD" w:rsidP="00EB24EE">
            <w:pPr>
              <w:spacing w:line="276" w:lineRule="auto"/>
              <w:rPr>
                <w:rFonts w:ascii="Times New Roman" w:hAnsi="Times New Roman" w:cs="Times New Roman"/>
                <w:b/>
              </w:rPr>
            </w:pPr>
            <w:r w:rsidRPr="008C11BE">
              <w:rPr>
                <w:rFonts w:ascii="Times New Roman" w:hAnsi="Times New Roman" w:cs="Times New Roman"/>
                <w:b/>
              </w:rPr>
              <w:t>Study</w:t>
            </w:r>
          </w:p>
        </w:tc>
        <w:tc>
          <w:tcPr>
            <w:tcW w:w="1285" w:type="dxa"/>
          </w:tcPr>
          <w:p w14:paraId="6B1E6F03" w14:textId="77777777" w:rsidR="00B370BD" w:rsidRPr="008C11BE" w:rsidRDefault="00B370BD" w:rsidP="00EB24EE">
            <w:pPr>
              <w:spacing w:line="276" w:lineRule="auto"/>
              <w:rPr>
                <w:rFonts w:ascii="Times New Roman" w:hAnsi="Times New Roman" w:cs="Times New Roman"/>
                <w:b/>
              </w:rPr>
            </w:pPr>
            <w:r w:rsidRPr="008C11BE">
              <w:rPr>
                <w:rFonts w:ascii="Times New Roman" w:hAnsi="Times New Roman" w:cs="Times New Roman"/>
                <w:b/>
              </w:rPr>
              <w:t>Country</w:t>
            </w:r>
          </w:p>
        </w:tc>
        <w:tc>
          <w:tcPr>
            <w:tcW w:w="1351" w:type="dxa"/>
          </w:tcPr>
          <w:p w14:paraId="0995C506" w14:textId="77777777" w:rsidR="00B370BD" w:rsidRPr="008C11BE" w:rsidRDefault="00B370BD" w:rsidP="00EB24EE">
            <w:pPr>
              <w:spacing w:line="276" w:lineRule="auto"/>
              <w:rPr>
                <w:rFonts w:ascii="Times New Roman" w:hAnsi="Times New Roman" w:cs="Times New Roman"/>
                <w:b/>
              </w:rPr>
            </w:pPr>
            <w:r w:rsidRPr="008C11BE">
              <w:rPr>
                <w:rFonts w:ascii="Times New Roman" w:hAnsi="Times New Roman" w:cs="Times New Roman"/>
                <w:b/>
              </w:rPr>
              <w:t>Setting</w:t>
            </w:r>
          </w:p>
        </w:tc>
        <w:tc>
          <w:tcPr>
            <w:tcW w:w="1574" w:type="dxa"/>
          </w:tcPr>
          <w:p w14:paraId="51B41F44" w14:textId="77777777" w:rsidR="00B370BD" w:rsidRPr="008C11BE" w:rsidRDefault="00B370BD" w:rsidP="00EB24EE">
            <w:pPr>
              <w:spacing w:line="276" w:lineRule="auto"/>
              <w:rPr>
                <w:rFonts w:ascii="Times New Roman" w:hAnsi="Times New Roman" w:cs="Times New Roman"/>
                <w:b/>
              </w:rPr>
            </w:pPr>
            <w:r w:rsidRPr="008C11BE">
              <w:rPr>
                <w:rFonts w:ascii="Times New Roman" w:hAnsi="Times New Roman" w:cs="Times New Roman"/>
                <w:b/>
              </w:rPr>
              <w:t>Participants</w:t>
            </w:r>
          </w:p>
        </w:tc>
        <w:tc>
          <w:tcPr>
            <w:tcW w:w="1799" w:type="dxa"/>
          </w:tcPr>
          <w:p w14:paraId="0620545D" w14:textId="77777777" w:rsidR="00B370BD" w:rsidRPr="008C11BE" w:rsidRDefault="00B370BD" w:rsidP="00EB24EE">
            <w:pPr>
              <w:spacing w:line="276" w:lineRule="auto"/>
              <w:rPr>
                <w:rFonts w:ascii="Times New Roman" w:hAnsi="Times New Roman" w:cs="Times New Roman"/>
                <w:b/>
              </w:rPr>
            </w:pPr>
            <w:r w:rsidRPr="008C11BE">
              <w:rPr>
                <w:rFonts w:ascii="Times New Roman" w:hAnsi="Times New Roman" w:cs="Times New Roman"/>
                <w:b/>
              </w:rPr>
              <w:t>Approach</w:t>
            </w:r>
          </w:p>
        </w:tc>
        <w:tc>
          <w:tcPr>
            <w:tcW w:w="1443" w:type="dxa"/>
          </w:tcPr>
          <w:p w14:paraId="21513367" w14:textId="77777777" w:rsidR="00B370BD" w:rsidRPr="008C11BE" w:rsidRDefault="00B370BD" w:rsidP="00EB24EE">
            <w:pPr>
              <w:spacing w:line="276" w:lineRule="auto"/>
              <w:rPr>
                <w:rFonts w:ascii="Times New Roman" w:hAnsi="Times New Roman" w:cs="Times New Roman"/>
                <w:b/>
              </w:rPr>
            </w:pPr>
            <w:r w:rsidRPr="008C11BE">
              <w:rPr>
                <w:rFonts w:ascii="Times New Roman" w:hAnsi="Times New Roman" w:cs="Times New Roman"/>
                <w:b/>
              </w:rPr>
              <w:t>Evaluation</w:t>
            </w:r>
          </w:p>
        </w:tc>
      </w:tr>
      <w:tr w:rsidR="00B370BD" w:rsidRPr="008C11BE" w14:paraId="7ADC22E6" w14:textId="77777777" w:rsidTr="00B370BD">
        <w:tc>
          <w:tcPr>
            <w:tcW w:w="221" w:type="dxa"/>
          </w:tcPr>
          <w:p w14:paraId="5BE72BD2" w14:textId="2F809FEF"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1</w:t>
            </w:r>
          </w:p>
        </w:tc>
        <w:tc>
          <w:tcPr>
            <w:tcW w:w="1337" w:type="dxa"/>
          </w:tcPr>
          <w:p w14:paraId="4B14D9C4" w14:textId="377974F7" w:rsidR="00B370BD" w:rsidRPr="008C11BE" w:rsidRDefault="00B370BD" w:rsidP="00EB24EE">
            <w:pPr>
              <w:spacing w:line="276" w:lineRule="auto"/>
              <w:rPr>
                <w:rFonts w:ascii="Times New Roman" w:hAnsi="Times New Roman" w:cs="Times New Roman"/>
              </w:rPr>
            </w:pPr>
            <w:r w:rsidRPr="00A25B0A">
              <w:rPr>
                <w:rFonts w:ascii="Times New Roman" w:hAnsi="Times New Roman" w:cs="Times New Roman"/>
              </w:rPr>
              <w:t>Banister et al (</w:t>
            </w:r>
            <w:r w:rsidR="0067600A" w:rsidRPr="001645B4">
              <w:rPr>
                <w:rFonts w:ascii="Times New Roman" w:hAnsi="Times New Roman" w:cs="Times New Roman"/>
              </w:rPr>
              <w:t>2011)</w:t>
            </w:r>
          </w:p>
        </w:tc>
        <w:tc>
          <w:tcPr>
            <w:tcW w:w="1285" w:type="dxa"/>
          </w:tcPr>
          <w:p w14:paraId="79F318C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Canada</w:t>
            </w:r>
          </w:p>
        </w:tc>
        <w:tc>
          <w:tcPr>
            <w:tcW w:w="1351" w:type="dxa"/>
          </w:tcPr>
          <w:p w14:paraId="7E099B2C"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Health care settings</w:t>
            </w:r>
          </w:p>
        </w:tc>
        <w:tc>
          <w:tcPr>
            <w:tcW w:w="1574" w:type="dxa"/>
          </w:tcPr>
          <w:p w14:paraId="5192D8F3"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Adolescent women </w:t>
            </w:r>
          </w:p>
        </w:tc>
        <w:tc>
          <w:tcPr>
            <w:tcW w:w="1799" w:type="dxa"/>
          </w:tcPr>
          <w:p w14:paraId="0999C6C3"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Package of strategies for health care providers to develop functional, interactive and critical health literacy. These include use of text messaging, role </w:t>
            </w:r>
            <w:proofErr w:type="gramStart"/>
            <w:r w:rsidRPr="008C11BE">
              <w:rPr>
                <w:rFonts w:ascii="Times New Roman" w:hAnsi="Times New Roman" w:cs="Times New Roman"/>
              </w:rPr>
              <w:t>playing,  targeted</w:t>
            </w:r>
            <w:proofErr w:type="gramEnd"/>
            <w:r w:rsidRPr="008C11BE">
              <w:rPr>
                <w:rFonts w:ascii="Times New Roman" w:hAnsi="Times New Roman" w:cs="Times New Roman"/>
              </w:rPr>
              <w:t xml:space="preserve"> </w:t>
            </w:r>
            <w:r w:rsidRPr="008C11BE">
              <w:rPr>
                <w:rFonts w:ascii="Times New Roman" w:hAnsi="Times New Roman" w:cs="Times New Roman"/>
              </w:rPr>
              <w:lastRenderedPageBreak/>
              <w:t xml:space="preserve">internet sources, blog writing, small group work </w:t>
            </w:r>
          </w:p>
        </w:tc>
        <w:tc>
          <w:tcPr>
            <w:tcW w:w="1443" w:type="dxa"/>
          </w:tcPr>
          <w:p w14:paraId="6B6ACA34"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Case reflections</w:t>
            </w:r>
          </w:p>
        </w:tc>
      </w:tr>
      <w:tr w:rsidR="00B370BD" w:rsidRPr="008C11BE" w14:paraId="27116DE5" w14:textId="77777777" w:rsidTr="00B370BD">
        <w:tc>
          <w:tcPr>
            <w:tcW w:w="221" w:type="dxa"/>
          </w:tcPr>
          <w:p w14:paraId="75F37807" w14:textId="74845126"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2</w:t>
            </w:r>
          </w:p>
        </w:tc>
        <w:tc>
          <w:tcPr>
            <w:tcW w:w="1337" w:type="dxa"/>
          </w:tcPr>
          <w:p w14:paraId="6A33D50D" w14:textId="4E88ECDB" w:rsidR="00B370BD" w:rsidRPr="00A25B0A" w:rsidRDefault="00B370BD" w:rsidP="00EB24EE">
            <w:pPr>
              <w:spacing w:line="276" w:lineRule="auto"/>
              <w:rPr>
                <w:rFonts w:ascii="Times New Roman" w:hAnsi="Times New Roman" w:cs="Times New Roman"/>
              </w:rPr>
            </w:pPr>
            <w:proofErr w:type="spellStart"/>
            <w:r w:rsidRPr="00A25B0A">
              <w:rPr>
                <w:rFonts w:ascii="Times New Roman" w:hAnsi="Times New Roman" w:cs="Times New Roman"/>
              </w:rPr>
              <w:t>Begoray</w:t>
            </w:r>
            <w:proofErr w:type="spellEnd"/>
            <w:r w:rsidRPr="00A25B0A">
              <w:rPr>
                <w:rFonts w:ascii="Times New Roman" w:hAnsi="Times New Roman" w:cs="Times New Roman"/>
              </w:rPr>
              <w:t xml:space="preserve"> et al (2014)</w:t>
            </w:r>
          </w:p>
        </w:tc>
        <w:tc>
          <w:tcPr>
            <w:tcW w:w="1285" w:type="dxa"/>
          </w:tcPr>
          <w:p w14:paraId="61814B88"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Canada</w:t>
            </w:r>
          </w:p>
        </w:tc>
        <w:tc>
          <w:tcPr>
            <w:tcW w:w="1351" w:type="dxa"/>
          </w:tcPr>
          <w:p w14:paraId="383B8B4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School</w:t>
            </w:r>
          </w:p>
        </w:tc>
        <w:tc>
          <w:tcPr>
            <w:tcW w:w="1574" w:type="dxa"/>
          </w:tcPr>
          <w:p w14:paraId="5F5A1733"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Adolescents</w:t>
            </w:r>
          </w:p>
        </w:tc>
        <w:tc>
          <w:tcPr>
            <w:tcW w:w="1799" w:type="dxa"/>
          </w:tcPr>
          <w:p w14:paraId="1E38F086" w14:textId="767E36E6"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Project to involve adolescents in the development of multi-media to build critical media health literacy. Two interventions described using </w:t>
            </w:r>
            <w:proofErr w:type="spellStart"/>
            <w:r w:rsidRPr="008C11BE">
              <w:rPr>
                <w:rFonts w:ascii="Times New Roman" w:hAnsi="Times New Roman" w:cs="Times New Roman"/>
              </w:rPr>
              <w:t>iMovies</w:t>
            </w:r>
            <w:proofErr w:type="spellEnd"/>
            <w:r w:rsidRPr="008C11BE">
              <w:rPr>
                <w:rFonts w:ascii="Times New Roman" w:hAnsi="Times New Roman" w:cs="Times New Roman"/>
              </w:rPr>
              <w:t xml:space="preserve">/puppets and creating graphic novels. </w:t>
            </w:r>
          </w:p>
        </w:tc>
        <w:tc>
          <w:tcPr>
            <w:tcW w:w="1443" w:type="dxa"/>
          </w:tcPr>
          <w:p w14:paraId="096FF4DD"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Case Study</w:t>
            </w:r>
          </w:p>
        </w:tc>
      </w:tr>
      <w:tr w:rsidR="00B370BD" w:rsidRPr="008C11BE" w14:paraId="44C8167A" w14:textId="77777777" w:rsidTr="00B370BD">
        <w:tc>
          <w:tcPr>
            <w:tcW w:w="221" w:type="dxa"/>
          </w:tcPr>
          <w:p w14:paraId="6970DDAF" w14:textId="132A25A4" w:rsidR="00B370BD" w:rsidRPr="008C11BE" w:rsidRDefault="00B370BD" w:rsidP="00EB24EE">
            <w:pPr>
              <w:spacing w:line="276" w:lineRule="auto"/>
              <w:rPr>
                <w:rFonts w:ascii="Times New Roman" w:eastAsia="Times New Roman" w:hAnsi="Times New Roman" w:cs="Times New Roman"/>
                <w:lang w:eastAsia="en-GB"/>
              </w:rPr>
            </w:pPr>
            <w:r w:rsidRPr="008C11BE">
              <w:rPr>
                <w:rFonts w:ascii="Times New Roman" w:eastAsia="Times New Roman" w:hAnsi="Times New Roman" w:cs="Times New Roman"/>
                <w:lang w:eastAsia="en-GB"/>
              </w:rPr>
              <w:t>3</w:t>
            </w:r>
          </w:p>
        </w:tc>
        <w:tc>
          <w:tcPr>
            <w:tcW w:w="1337" w:type="dxa"/>
          </w:tcPr>
          <w:p w14:paraId="62B1B917" w14:textId="1850A905" w:rsidR="00B370BD" w:rsidRPr="001645B4" w:rsidRDefault="00B370BD" w:rsidP="00EB24EE">
            <w:pPr>
              <w:spacing w:line="276" w:lineRule="auto"/>
              <w:rPr>
                <w:rFonts w:ascii="Times New Roman" w:hAnsi="Times New Roman" w:cs="Times New Roman"/>
              </w:rPr>
            </w:pPr>
            <w:proofErr w:type="spellStart"/>
            <w:r w:rsidRPr="00A25B0A">
              <w:rPr>
                <w:rFonts w:ascii="Times New Roman" w:eastAsia="Times New Roman" w:hAnsi="Times New Roman" w:cs="Times New Roman"/>
                <w:lang w:eastAsia="en-GB"/>
              </w:rPr>
              <w:t>Bruselius</w:t>
            </w:r>
            <w:proofErr w:type="spellEnd"/>
            <w:r w:rsidRPr="00A25B0A">
              <w:rPr>
                <w:rFonts w:ascii="Times New Roman" w:eastAsia="Times New Roman" w:hAnsi="Times New Roman" w:cs="Times New Roman"/>
                <w:lang w:eastAsia="en-GB"/>
              </w:rPr>
              <w:t>-Jensen et al (2017)</w:t>
            </w:r>
          </w:p>
        </w:tc>
        <w:tc>
          <w:tcPr>
            <w:tcW w:w="1285" w:type="dxa"/>
          </w:tcPr>
          <w:p w14:paraId="57168B75"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Denmark</w:t>
            </w:r>
          </w:p>
        </w:tc>
        <w:tc>
          <w:tcPr>
            <w:tcW w:w="1351" w:type="dxa"/>
          </w:tcPr>
          <w:p w14:paraId="16F0FB1F"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School</w:t>
            </w:r>
          </w:p>
        </w:tc>
        <w:tc>
          <w:tcPr>
            <w:tcW w:w="1574" w:type="dxa"/>
          </w:tcPr>
          <w:p w14:paraId="35DE9227"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Adolescents</w:t>
            </w:r>
          </w:p>
        </w:tc>
        <w:tc>
          <w:tcPr>
            <w:tcW w:w="1799" w:type="dxa"/>
          </w:tcPr>
          <w:p w14:paraId="3699BD5B"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A </w:t>
            </w:r>
            <w:proofErr w:type="gramStart"/>
            <w:r w:rsidRPr="008C11BE">
              <w:rPr>
                <w:rFonts w:ascii="Times New Roman" w:hAnsi="Times New Roman" w:cs="Times New Roman"/>
              </w:rPr>
              <w:t>two week</w:t>
            </w:r>
            <w:proofErr w:type="gramEnd"/>
            <w:r w:rsidRPr="008C11BE">
              <w:rPr>
                <w:rFonts w:ascii="Times New Roman" w:hAnsi="Times New Roman" w:cs="Times New Roman"/>
              </w:rPr>
              <w:t xml:space="preserve"> curriculum-integrated programme combining maths and health education to improve physical activity health literacy at functional, interactive and critical level.</w:t>
            </w:r>
          </w:p>
        </w:tc>
        <w:tc>
          <w:tcPr>
            <w:tcW w:w="1443" w:type="dxa"/>
          </w:tcPr>
          <w:p w14:paraId="43022812"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Deductive data analysis of classroom dialogue using a framework derived from </w:t>
            </w:r>
            <w:proofErr w:type="spellStart"/>
            <w:r w:rsidRPr="008C11BE">
              <w:rPr>
                <w:rFonts w:ascii="Times New Roman" w:hAnsi="Times New Roman" w:cs="Times New Roman"/>
              </w:rPr>
              <w:t>Nutbeam’s</w:t>
            </w:r>
            <w:proofErr w:type="spellEnd"/>
            <w:r w:rsidRPr="008C11BE">
              <w:rPr>
                <w:rFonts w:ascii="Times New Roman" w:hAnsi="Times New Roman" w:cs="Times New Roman"/>
              </w:rPr>
              <w:t xml:space="preserve"> domains of Health Literacy.</w:t>
            </w:r>
          </w:p>
        </w:tc>
      </w:tr>
      <w:tr w:rsidR="00B370BD" w:rsidRPr="008C11BE" w14:paraId="2BDAB236" w14:textId="77777777" w:rsidTr="00B370BD">
        <w:tc>
          <w:tcPr>
            <w:tcW w:w="221" w:type="dxa"/>
          </w:tcPr>
          <w:p w14:paraId="49E086E3" w14:textId="52F2C5FD"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4</w:t>
            </w:r>
          </w:p>
        </w:tc>
        <w:tc>
          <w:tcPr>
            <w:tcW w:w="1337" w:type="dxa"/>
          </w:tcPr>
          <w:p w14:paraId="4B131B4A" w14:textId="29F57D9C" w:rsidR="00B370BD" w:rsidRPr="00A25B0A" w:rsidRDefault="00B370BD" w:rsidP="00EB24EE">
            <w:pPr>
              <w:spacing w:line="276" w:lineRule="auto"/>
              <w:rPr>
                <w:rFonts w:ascii="Times New Roman" w:hAnsi="Times New Roman" w:cs="Times New Roman"/>
              </w:rPr>
            </w:pPr>
            <w:r w:rsidRPr="00A25B0A">
              <w:rPr>
                <w:rFonts w:ascii="Times New Roman" w:hAnsi="Times New Roman" w:cs="Times New Roman"/>
              </w:rPr>
              <w:t>Drew (2015)</w:t>
            </w:r>
          </w:p>
        </w:tc>
        <w:tc>
          <w:tcPr>
            <w:tcW w:w="1285" w:type="dxa"/>
          </w:tcPr>
          <w:p w14:paraId="370ABEF9"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Australia</w:t>
            </w:r>
          </w:p>
        </w:tc>
        <w:tc>
          <w:tcPr>
            <w:tcW w:w="1351" w:type="dxa"/>
          </w:tcPr>
          <w:p w14:paraId="324D2F2C"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Community</w:t>
            </w:r>
          </w:p>
        </w:tc>
        <w:tc>
          <w:tcPr>
            <w:tcW w:w="1574" w:type="dxa"/>
          </w:tcPr>
          <w:p w14:paraId="56178738"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Aboriginal Community</w:t>
            </w:r>
          </w:p>
        </w:tc>
        <w:tc>
          <w:tcPr>
            <w:tcW w:w="1799" w:type="dxa"/>
          </w:tcPr>
          <w:p w14:paraId="5FAB602F"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Develops use of ‘natural helpers’ situated between those in need and services. They work to develop knowledge and </w:t>
            </w:r>
            <w:r w:rsidRPr="008C11BE">
              <w:rPr>
                <w:rFonts w:ascii="Times New Roman" w:hAnsi="Times New Roman" w:cs="Times New Roman"/>
              </w:rPr>
              <w:lastRenderedPageBreak/>
              <w:t xml:space="preserve">skills on both sides.   </w:t>
            </w:r>
          </w:p>
        </w:tc>
        <w:tc>
          <w:tcPr>
            <w:tcW w:w="1443" w:type="dxa"/>
          </w:tcPr>
          <w:p w14:paraId="4C95DA0B"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Reflections</w:t>
            </w:r>
          </w:p>
        </w:tc>
      </w:tr>
      <w:tr w:rsidR="00B370BD" w:rsidRPr="008C11BE" w14:paraId="2551DD51" w14:textId="77777777" w:rsidTr="00B370BD">
        <w:tc>
          <w:tcPr>
            <w:tcW w:w="221" w:type="dxa"/>
          </w:tcPr>
          <w:p w14:paraId="3097A37F" w14:textId="46A26AB4"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5</w:t>
            </w:r>
          </w:p>
        </w:tc>
        <w:tc>
          <w:tcPr>
            <w:tcW w:w="1337" w:type="dxa"/>
          </w:tcPr>
          <w:p w14:paraId="7FF38FC4" w14:textId="45A39BAA" w:rsidR="00B370BD" w:rsidRPr="00A25B0A" w:rsidRDefault="00B370BD" w:rsidP="00EB24EE">
            <w:pPr>
              <w:spacing w:line="276" w:lineRule="auto"/>
              <w:rPr>
                <w:rFonts w:ascii="Times New Roman" w:hAnsi="Times New Roman" w:cs="Times New Roman"/>
              </w:rPr>
            </w:pPr>
            <w:r w:rsidRPr="00A25B0A">
              <w:rPr>
                <w:rFonts w:ascii="Times New Roman" w:hAnsi="Times New Roman" w:cs="Times New Roman"/>
              </w:rPr>
              <w:t>Estacio (2013)</w:t>
            </w:r>
          </w:p>
        </w:tc>
        <w:tc>
          <w:tcPr>
            <w:tcW w:w="1285" w:type="dxa"/>
          </w:tcPr>
          <w:p w14:paraId="3DDF3D5A"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Philippines</w:t>
            </w:r>
          </w:p>
        </w:tc>
        <w:tc>
          <w:tcPr>
            <w:tcW w:w="1351" w:type="dxa"/>
          </w:tcPr>
          <w:p w14:paraId="384175F2"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Community</w:t>
            </w:r>
          </w:p>
        </w:tc>
        <w:tc>
          <w:tcPr>
            <w:tcW w:w="1574" w:type="dxa"/>
          </w:tcPr>
          <w:p w14:paraId="42568CFF"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Indigenous community</w:t>
            </w:r>
          </w:p>
        </w:tc>
        <w:tc>
          <w:tcPr>
            <w:tcW w:w="1799" w:type="dxa"/>
          </w:tcPr>
          <w:p w14:paraId="0D6BE270"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Empowerment education model using critical reflection to gain a better understanding of how health is conceptualised within the socio-economic and political environment and its implications for practice.</w:t>
            </w:r>
          </w:p>
        </w:tc>
        <w:tc>
          <w:tcPr>
            <w:tcW w:w="1443" w:type="dxa"/>
          </w:tcPr>
          <w:p w14:paraId="7EDAA75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Case study focussing on the discourses used by participants in the project.</w:t>
            </w:r>
          </w:p>
        </w:tc>
      </w:tr>
      <w:tr w:rsidR="00B370BD" w:rsidRPr="008C11BE" w14:paraId="34FEF4B2" w14:textId="77777777" w:rsidTr="00B370BD">
        <w:tc>
          <w:tcPr>
            <w:tcW w:w="221" w:type="dxa"/>
          </w:tcPr>
          <w:p w14:paraId="686222B0" w14:textId="5FE4558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6</w:t>
            </w:r>
          </w:p>
        </w:tc>
        <w:tc>
          <w:tcPr>
            <w:tcW w:w="1337" w:type="dxa"/>
          </w:tcPr>
          <w:p w14:paraId="50A42EE3" w14:textId="446817B4" w:rsidR="00B370BD" w:rsidRPr="00652443" w:rsidRDefault="00B370BD" w:rsidP="00EB24EE">
            <w:pPr>
              <w:spacing w:line="276" w:lineRule="auto"/>
              <w:rPr>
                <w:rFonts w:ascii="Times New Roman" w:hAnsi="Times New Roman" w:cs="Times New Roman"/>
              </w:rPr>
            </w:pPr>
            <w:r w:rsidRPr="00A25B0A">
              <w:rPr>
                <w:rFonts w:ascii="Times New Roman" w:hAnsi="Times New Roman" w:cs="Times New Roman"/>
              </w:rPr>
              <w:t>Go</w:t>
            </w:r>
            <w:r w:rsidRPr="00652443">
              <w:rPr>
                <w:rFonts w:ascii="Times New Roman" w:hAnsi="Times New Roman" w:cs="Times New Roman"/>
              </w:rPr>
              <w:t xml:space="preserve">uld et al (2010) and </w:t>
            </w:r>
            <w:proofErr w:type="spellStart"/>
            <w:r w:rsidRPr="00652443">
              <w:rPr>
                <w:rFonts w:ascii="Times New Roman" w:hAnsi="Times New Roman" w:cs="Times New Roman"/>
              </w:rPr>
              <w:t>Mogford</w:t>
            </w:r>
            <w:proofErr w:type="spellEnd"/>
            <w:r w:rsidRPr="00652443">
              <w:rPr>
                <w:rFonts w:ascii="Times New Roman" w:hAnsi="Times New Roman" w:cs="Times New Roman"/>
              </w:rPr>
              <w:t xml:space="preserve"> et al (2011)</w:t>
            </w:r>
          </w:p>
        </w:tc>
        <w:tc>
          <w:tcPr>
            <w:tcW w:w="1285" w:type="dxa"/>
          </w:tcPr>
          <w:p w14:paraId="45A798BA"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USA</w:t>
            </w:r>
          </w:p>
        </w:tc>
        <w:tc>
          <w:tcPr>
            <w:tcW w:w="1351" w:type="dxa"/>
          </w:tcPr>
          <w:p w14:paraId="499ADE6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Schools</w:t>
            </w:r>
          </w:p>
        </w:tc>
        <w:tc>
          <w:tcPr>
            <w:tcW w:w="1574" w:type="dxa"/>
          </w:tcPr>
          <w:p w14:paraId="5551FBAA"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Adolescents</w:t>
            </w:r>
          </w:p>
        </w:tc>
        <w:tc>
          <w:tcPr>
            <w:tcW w:w="1799" w:type="dxa"/>
          </w:tcPr>
          <w:p w14:paraId="45308D16"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Curriculum programme with two components: teaching the social determinants of health and teaching skills to take action on them. </w:t>
            </w:r>
          </w:p>
        </w:tc>
        <w:tc>
          <w:tcPr>
            <w:tcW w:w="1443" w:type="dxa"/>
          </w:tcPr>
          <w:p w14:paraId="72A16725"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Reflections</w:t>
            </w:r>
          </w:p>
        </w:tc>
      </w:tr>
      <w:tr w:rsidR="00B370BD" w:rsidRPr="008C11BE" w14:paraId="3A3C2CF5" w14:textId="77777777" w:rsidTr="00B370BD">
        <w:tc>
          <w:tcPr>
            <w:tcW w:w="221" w:type="dxa"/>
          </w:tcPr>
          <w:p w14:paraId="15B5B50A" w14:textId="55B20996"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7</w:t>
            </w:r>
          </w:p>
        </w:tc>
        <w:tc>
          <w:tcPr>
            <w:tcW w:w="1337" w:type="dxa"/>
          </w:tcPr>
          <w:p w14:paraId="33FE2D0D" w14:textId="17D9B306" w:rsidR="00B370BD" w:rsidRPr="00A25B0A" w:rsidRDefault="00B370BD" w:rsidP="00EB24EE">
            <w:pPr>
              <w:spacing w:line="276" w:lineRule="auto"/>
              <w:rPr>
                <w:rFonts w:ascii="Times New Roman" w:hAnsi="Times New Roman" w:cs="Times New Roman"/>
              </w:rPr>
            </w:pPr>
            <w:proofErr w:type="spellStart"/>
            <w:r w:rsidRPr="00A25B0A">
              <w:rPr>
                <w:rFonts w:ascii="Times New Roman" w:hAnsi="Times New Roman" w:cs="Times New Roman"/>
              </w:rPr>
              <w:t>McCuaig</w:t>
            </w:r>
            <w:proofErr w:type="spellEnd"/>
            <w:r w:rsidRPr="00A25B0A">
              <w:rPr>
                <w:rFonts w:ascii="Times New Roman" w:hAnsi="Times New Roman" w:cs="Times New Roman"/>
              </w:rPr>
              <w:t xml:space="preserve"> et al (2014)</w:t>
            </w:r>
          </w:p>
        </w:tc>
        <w:tc>
          <w:tcPr>
            <w:tcW w:w="1285" w:type="dxa"/>
          </w:tcPr>
          <w:p w14:paraId="39132424"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Australia</w:t>
            </w:r>
          </w:p>
        </w:tc>
        <w:tc>
          <w:tcPr>
            <w:tcW w:w="1351" w:type="dxa"/>
          </w:tcPr>
          <w:p w14:paraId="2E5E397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Schools</w:t>
            </w:r>
          </w:p>
        </w:tc>
        <w:tc>
          <w:tcPr>
            <w:tcW w:w="1574" w:type="dxa"/>
          </w:tcPr>
          <w:p w14:paraId="6FCE7F03"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Adolescents</w:t>
            </w:r>
          </w:p>
        </w:tc>
        <w:tc>
          <w:tcPr>
            <w:tcW w:w="1799" w:type="dxa"/>
          </w:tcPr>
          <w:p w14:paraId="5FEB838F"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The purpose of the HL@RS was to design, implement and evaluate a critically</w:t>
            </w:r>
          </w:p>
          <w:p w14:paraId="6922ED52"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oriented health literacy unit to establish the ability of schools and their teachers to</w:t>
            </w:r>
          </w:p>
          <w:p w14:paraId="7BF763F6"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deliver such a unit within a school.</w:t>
            </w:r>
          </w:p>
        </w:tc>
        <w:tc>
          <w:tcPr>
            <w:tcW w:w="1443" w:type="dxa"/>
          </w:tcPr>
          <w:p w14:paraId="5CC2DA43"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 xml:space="preserve">Qualitative methods including focus groups with students and teachers to assess experience and responses to </w:t>
            </w:r>
            <w:r w:rsidRPr="008C11BE">
              <w:rPr>
                <w:rFonts w:ascii="Times New Roman" w:hAnsi="Times New Roman" w:cs="Times New Roman"/>
              </w:rPr>
              <w:lastRenderedPageBreak/>
              <w:t xml:space="preserve">the curriculum. </w:t>
            </w:r>
          </w:p>
        </w:tc>
      </w:tr>
      <w:tr w:rsidR="00B370BD" w:rsidRPr="008C11BE" w14:paraId="435389CE" w14:textId="77777777" w:rsidTr="00B370BD">
        <w:tc>
          <w:tcPr>
            <w:tcW w:w="221" w:type="dxa"/>
          </w:tcPr>
          <w:p w14:paraId="49343B0A" w14:textId="2A26AEC3"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8</w:t>
            </w:r>
          </w:p>
        </w:tc>
        <w:tc>
          <w:tcPr>
            <w:tcW w:w="1337" w:type="dxa"/>
          </w:tcPr>
          <w:p w14:paraId="31958D12" w14:textId="76EEFB86" w:rsidR="00B370BD" w:rsidRPr="00A25B0A" w:rsidRDefault="00B370BD" w:rsidP="00EB24EE">
            <w:pPr>
              <w:spacing w:line="276" w:lineRule="auto"/>
              <w:rPr>
                <w:rFonts w:ascii="Times New Roman" w:hAnsi="Times New Roman" w:cs="Times New Roman"/>
              </w:rPr>
            </w:pPr>
            <w:r w:rsidRPr="00A25B0A">
              <w:rPr>
                <w:rFonts w:ascii="Times New Roman" w:hAnsi="Times New Roman" w:cs="Times New Roman"/>
              </w:rPr>
              <w:t>Muscat et al (2017)</w:t>
            </w:r>
          </w:p>
        </w:tc>
        <w:tc>
          <w:tcPr>
            <w:tcW w:w="1285" w:type="dxa"/>
          </w:tcPr>
          <w:p w14:paraId="5151ABC0"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Australia</w:t>
            </w:r>
          </w:p>
        </w:tc>
        <w:tc>
          <w:tcPr>
            <w:tcW w:w="1351" w:type="dxa"/>
          </w:tcPr>
          <w:p w14:paraId="4536D824"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Adult Education</w:t>
            </w:r>
          </w:p>
        </w:tc>
        <w:tc>
          <w:tcPr>
            <w:tcW w:w="1574" w:type="dxa"/>
          </w:tcPr>
          <w:p w14:paraId="640EAC6D"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Socially disadvantaged Australians. </w:t>
            </w:r>
          </w:p>
        </w:tc>
        <w:tc>
          <w:tcPr>
            <w:tcW w:w="1799" w:type="dxa"/>
          </w:tcPr>
          <w:p w14:paraId="21F9B927"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A ‘shared decision-making’ training programme designed to build communicative and critical health literacy. Delivered as a core component of a broader health literacy programme. </w:t>
            </w:r>
          </w:p>
        </w:tc>
        <w:tc>
          <w:tcPr>
            <w:tcW w:w="1443" w:type="dxa"/>
          </w:tcPr>
          <w:p w14:paraId="0440C1B2"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Qualitative interview study with the adult educators delivering the programme.  </w:t>
            </w:r>
          </w:p>
        </w:tc>
      </w:tr>
      <w:tr w:rsidR="00B370BD" w:rsidRPr="008C11BE" w14:paraId="1402641B" w14:textId="77777777" w:rsidTr="00B370BD">
        <w:tc>
          <w:tcPr>
            <w:tcW w:w="221" w:type="dxa"/>
          </w:tcPr>
          <w:p w14:paraId="2127C418" w14:textId="290B3E91"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9</w:t>
            </w:r>
          </w:p>
        </w:tc>
        <w:tc>
          <w:tcPr>
            <w:tcW w:w="1337" w:type="dxa"/>
          </w:tcPr>
          <w:p w14:paraId="76DA69E4" w14:textId="73C9D61B" w:rsidR="00B370BD" w:rsidRPr="00A25B0A" w:rsidRDefault="00B370BD" w:rsidP="00EB24EE">
            <w:pPr>
              <w:spacing w:line="276" w:lineRule="auto"/>
              <w:rPr>
                <w:rFonts w:ascii="Times New Roman" w:hAnsi="Times New Roman" w:cs="Times New Roman"/>
              </w:rPr>
            </w:pPr>
            <w:proofErr w:type="spellStart"/>
            <w:r w:rsidRPr="00A25B0A">
              <w:rPr>
                <w:rFonts w:ascii="Times New Roman" w:hAnsi="Times New Roman" w:cs="Times New Roman"/>
              </w:rPr>
              <w:t>Scheib</w:t>
            </w:r>
            <w:proofErr w:type="spellEnd"/>
            <w:r w:rsidRPr="00A25B0A">
              <w:rPr>
                <w:rFonts w:ascii="Times New Roman" w:hAnsi="Times New Roman" w:cs="Times New Roman"/>
              </w:rPr>
              <w:t xml:space="preserve"> and </w:t>
            </w:r>
            <w:proofErr w:type="spellStart"/>
            <w:r w:rsidRPr="00A25B0A">
              <w:rPr>
                <w:rFonts w:ascii="Times New Roman" w:hAnsi="Times New Roman" w:cs="Times New Roman"/>
              </w:rPr>
              <w:t>Lykes</w:t>
            </w:r>
            <w:proofErr w:type="spellEnd"/>
            <w:r w:rsidRPr="00A25B0A">
              <w:rPr>
                <w:rFonts w:ascii="Times New Roman" w:hAnsi="Times New Roman" w:cs="Times New Roman"/>
              </w:rPr>
              <w:t xml:space="preserve"> (2013) </w:t>
            </w:r>
          </w:p>
        </w:tc>
        <w:tc>
          <w:tcPr>
            <w:tcW w:w="1285" w:type="dxa"/>
          </w:tcPr>
          <w:p w14:paraId="341D49AA"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USA</w:t>
            </w:r>
          </w:p>
        </w:tc>
        <w:tc>
          <w:tcPr>
            <w:tcW w:w="1351" w:type="dxa"/>
          </w:tcPr>
          <w:p w14:paraId="629FBFB8"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Community</w:t>
            </w:r>
          </w:p>
        </w:tc>
        <w:tc>
          <w:tcPr>
            <w:tcW w:w="1574" w:type="dxa"/>
          </w:tcPr>
          <w:p w14:paraId="258AE23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African-American and Latina women community health workers in pot-Katrina New Orleans. </w:t>
            </w:r>
          </w:p>
        </w:tc>
        <w:tc>
          <w:tcPr>
            <w:tcW w:w="1799" w:type="dxa"/>
          </w:tcPr>
          <w:p w14:paraId="5C143E4D"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Participatory community development project that used photography and a facilitated process of reflection and analysis to document and respond to a range of social inequalities</w:t>
            </w:r>
          </w:p>
        </w:tc>
        <w:tc>
          <w:tcPr>
            <w:tcW w:w="1443" w:type="dxa"/>
          </w:tcPr>
          <w:p w14:paraId="0FA6FB46"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Participatory action and photo elicitation research project. </w:t>
            </w:r>
          </w:p>
        </w:tc>
      </w:tr>
      <w:tr w:rsidR="00B370BD" w:rsidRPr="008C11BE" w14:paraId="7F997390" w14:textId="77777777" w:rsidTr="00B370BD">
        <w:tc>
          <w:tcPr>
            <w:tcW w:w="221" w:type="dxa"/>
          </w:tcPr>
          <w:p w14:paraId="7DB8B2DD" w14:textId="5D093C40"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10</w:t>
            </w:r>
          </w:p>
        </w:tc>
        <w:tc>
          <w:tcPr>
            <w:tcW w:w="1337" w:type="dxa"/>
          </w:tcPr>
          <w:p w14:paraId="3AC711B6" w14:textId="0D9A90FB" w:rsidR="00B370BD" w:rsidRPr="00A25B0A" w:rsidRDefault="00B370BD" w:rsidP="00EB24EE">
            <w:pPr>
              <w:spacing w:line="276" w:lineRule="auto"/>
              <w:rPr>
                <w:rFonts w:ascii="Times New Roman" w:hAnsi="Times New Roman" w:cs="Times New Roman"/>
              </w:rPr>
            </w:pPr>
            <w:proofErr w:type="spellStart"/>
            <w:r w:rsidRPr="00A25B0A">
              <w:rPr>
                <w:rFonts w:ascii="Times New Roman" w:hAnsi="Times New Roman" w:cs="Times New Roman"/>
              </w:rPr>
              <w:t>Steckelberg</w:t>
            </w:r>
            <w:proofErr w:type="spellEnd"/>
            <w:r w:rsidRPr="00A25B0A">
              <w:rPr>
                <w:rFonts w:ascii="Times New Roman" w:hAnsi="Times New Roman" w:cs="Times New Roman"/>
              </w:rPr>
              <w:t xml:space="preserve"> et al (2009)</w:t>
            </w:r>
          </w:p>
        </w:tc>
        <w:tc>
          <w:tcPr>
            <w:tcW w:w="1285" w:type="dxa"/>
          </w:tcPr>
          <w:p w14:paraId="01FF4BE9"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Germany</w:t>
            </w:r>
          </w:p>
        </w:tc>
        <w:tc>
          <w:tcPr>
            <w:tcW w:w="1351" w:type="dxa"/>
          </w:tcPr>
          <w:p w14:paraId="3A0FE67D"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School</w:t>
            </w:r>
          </w:p>
        </w:tc>
        <w:tc>
          <w:tcPr>
            <w:tcW w:w="1574" w:type="dxa"/>
          </w:tcPr>
          <w:p w14:paraId="0F0A0FC6"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Adolescents</w:t>
            </w:r>
          </w:p>
        </w:tc>
        <w:tc>
          <w:tcPr>
            <w:tcW w:w="1799" w:type="dxa"/>
          </w:tcPr>
          <w:p w14:paraId="100BD88E"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Curriculum programme to build critical health literacy consisting of 6 modules and based on concept of evidence based medicine. </w:t>
            </w:r>
          </w:p>
        </w:tc>
        <w:tc>
          <w:tcPr>
            <w:tcW w:w="1443" w:type="dxa"/>
          </w:tcPr>
          <w:p w14:paraId="317F66D9"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Critical health competency test used to evaluate change in critical health literacy. </w:t>
            </w:r>
          </w:p>
        </w:tc>
      </w:tr>
      <w:tr w:rsidR="00B370BD" w:rsidRPr="008C11BE" w14:paraId="19F04E8E" w14:textId="77777777" w:rsidTr="00B370BD">
        <w:tc>
          <w:tcPr>
            <w:tcW w:w="221" w:type="dxa"/>
          </w:tcPr>
          <w:p w14:paraId="3254FA13" w14:textId="6AB713F0"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lastRenderedPageBreak/>
              <w:t>11</w:t>
            </w:r>
          </w:p>
        </w:tc>
        <w:tc>
          <w:tcPr>
            <w:tcW w:w="1337" w:type="dxa"/>
          </w:tcPr>
          <w:p w14:paraId="3CF34842" w14:textId="31B2C5A4" w:rsidR="00B370BD" w:rsidRPr="00A25B0A" w:rsidRDefault="00B370BD" w:rsidP="00EB24EE">
            <w:pPr>
              <w:spacing w:line="276" w:lineRule="auto"/>
              <w:rPr>
                <w:rFonts w:ascii="Times New Roman" w:hAnsi="Times New Roman" w:cs="Times New Roman"/>
              </w:rPr>
            </w:pPr>
            <w:r w:rsidRPr="00A25B0A">
              <w:rPr>
                <w:rFonts w:ascii="Times New Roman" w:hAnsi="Times New Roman" w:cs="Times New Roman"/>
              </w:rPr>
              <w:t>Sykes et al (2017)</w:t>
            </w:r>
          </w:p>
        </w:tc>
        <w:tc>
          <w:tcPr>
            <w:tcW w:w="1285" w:type="dxa"/>
          </w:tcPr>
          <w:p w14:paraId="5C27EA03"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UK</w:t>
            </w:r>
          </w:p>
        </w:tc>
        <w:tc>
          <w:tcPr>
            <w:tcW w:w="1351" w:type="dxa"/>
          </w:tcPr>
          <w:p w14:paraId="02494D5C"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Community</w:t>
            </w:r>
          </w:p>
        </w:tc>
        <w:tc>
          <w:tcPr>
            <w:tcW w:w="1574" w:type="dxa"/>
          </w:tcPr>
          <w:p w14:paraId="512974D9"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Socially disadvantaged communities </w:t>
            </w:r>
          </w:p>
        </w:tc>
        <w:tc>
          <w:tcPr>
            <w:tcW w:w="1799" w:type="dxa"/>
          </w:tcPr>
          <w:p w14:paraId="3E748C0A"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Participatory community development project using citizen’s jury model. Communities, identified barriers to healthy eating in their community and identified opportunities and strategies to campaign and implement change.</w:t>
            </w:r>
          </w:p>
        </w:tc>
        <w:tc>
          <w:tcPr>
            <w:tcW w:w="1443" w:type="dxa"/>
          </w:tcPr>
          <w:p w14:paraId="182D38FF"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Case study</w:t>
            </w:r>
          </w:p>
        </w:tc>
      </w:tr>
      <w:tr w:rsidR="00B370BD" w:rsidRPr="008C11BE" w14:paraId="054F4E6E" w14:textId="77777777" w:rsidTr="00B370BD">
        <w:tc>
          <w:tcPr>
            <w:tcW w:w="221" w:type="dxa"/>
          </w:tcPr>
          <w:p w14:paraId="0746503B" w14:textId="5B6F2C62"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12</w:t>
            </w:r>
          </w:p>
        </w:tc>
        <w:tc>
          <w:tcPr>
            <w:tcW w:w="1337" w:type="dxa"/>
          </w:tcPr>
          <w:p w14:paraId="33024EBD" w14:textId="7EAB555D" w:rsidR="00B370BD" w:rsidRPr="001645B4" w:rsidRDefault="00B370BD" w:rsidP="00EB24EE">
            <w:pPr>
              <w:spacing w:line="276" w:lineRule="auto"/>
              <w:rPr>
                <w:rFonts w:ascii="Times New Roman" w:hAnsi="Times New Roman" w:cs="Times New Roman"/>
              </w:rPr>
            </w:pPr>
            <w:r w:rsidRPr="00A25B0A">
              <w:rPr>
                <w:rFonts w:ascii="Times New Roman" w:hAnsi="Times New Roman" w:cs="Times New Roman"/>
              </w:rPr>
              <w:t xml:space="preserve">Sykes </w:t>
            </w:r>
            <w:r w:rsidR="00500E02" w:rsidRPr="00652443">
              <w:rPr>
                <w:rFonts w:ascii="Times New Roman" w:hAnsi="Times New Roman" w:cs="Times New Roman"/>
              </w:rPr>
              <w:t>and Wills</w:t>
            </w:r>
            <w:r w:rsidRPr="00652443">
              <w:rPr>
                <w:rFonts w:ascii="Times New Roman" w:hAnsi="Times New Roman" w:cs="Times New Roman"/>
              </w:rPr>
              <w:t xml:space="preserve"> (2017</w:t>
            </w:r>
            <w:r w:rsidRPr="001645B4">
              <w:rPr>
                <w:rFonts w:ascii="Times New Roman" w:hAnsi="Times New Roman" w:cs="Times New Roman"/>
              </w:rPr>
              <w:t>)</w:t>
            </w:r>
          </w:p>
        </w:tc>
        <w:tc>
          <w:tcPr>
            <w:tcW w:w="1285" w:type="dxa"/>
          </w:tcPr>
          <w:p w14:paraId="7A93887D" w14:textId="77777777" w:rsidR="00B370BD" w:rsidRPr="001645B4" w:rsidRDefault="00B370BD" w:rsidP="00EB24EE">
            <w:pPr>
              <w:spacing w:line="276" w:lineRule="auto"/>
              <w:rPr>
                <w:rFonts w:ascii="Times New Roman" w:hAnsi="Times New Roman" w:cs="Times New Roman"/>
              </w:rPr>
            </w:pPr>
            <w:r w:rsidRPr="001645B4">
              <w:rPr>
                <w:rFonts w:ascii="Times New Roman" w:hAnsi="Times New Roman" w:cs="Times New Roman"/>
              </w:rPr>
              <w:t>UK</w:t>
            </w:r>
          </w:p>
        </w:tc>
        <w:tc>
          <w:tcPr>
            <w:tcW w:w="1351" w:type="dxa"/>
          </w:tcPr>
          <w:p w14:paraId="08E82FD4"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Community</w:t>
            </w:r>
          </w:p>
        </w:tc>
        <w:tc>
          <w:tcPr>
            <w:tcW w:w="1574" w:type="dxa"/>
          </w:tcPr>
          <w:p w14:paraId="4E7F9AC7" w14:textId="5F9C170A" w:rsidR="00B370BD" w:rsidRPr="008C11BE" w:rsidRDefault="005E68DE" w:rsidP="00EB24EE">
            <w:pPr>
              <w:spacing w:line="276" w:lineRule="auto"/>
              <w:rPr>
                <w:rFonts w:ascii="Times New Roman" w:hAnsi="Times New Roman" w:cs="Times New Roman"/>
              </w:rPr>
            </w:pPr>
            <w:r>
              <w:rPr>
                <w:rFonts w:ascii="Times New Roman" w:hAnsi="Times New Roman" w:cs="Times New Roman"/>
              </w:rPr>
              <w:t>Parents</w:t>
            </w:r>
            <w:r w:rsidRPr="008C11BE">
              <w:rPr>
                <w:rFonts w:ascii="Times New Roman" w:hAnsi="Times New Roman" w:cs="Times New Roman"/>
              </w:rPr>
              <w:t xml:space="preserve"> </w:t>
            </w:r>
            <w:r w:rsidR="00B370BD" w:rsidRPr="008C11BE">
              <w:rPr>
                <w:rFonts w:ascii="Times New Roman" w:hAnsi="Times New Roman" w:cs="Times New Roman"/>
              </w:rPr>
              <w:t>with low literacy levels</w:t>
            </w:r>
          </w:p>
        </w:tc>
        <w:tc>
          <w:tcPr>
            <w:tcW w:w="1799" w:type="dxa"/>
          </w:tcPr>
          <w:p w14:paraId="1061981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Programme to build all domains of health literacy using informal education strategies. Participants learnt about different health topics, engaged with health providers, researched and appraised health information </w:t>
            </w:r>
          </w:p>
        </w:tc>
        <w:tc>
          <w:tcPr>
            <w:tcW w:w="1443" w:type="dxa"/>
          </w:tcPr>
          <w:p w14:paraId="0B137A81" w14:textId="77777777" w:rsidR="00B370BD" w:rsidRPr="008C11BE" w:rsidRDefault="00B370BD" w:rsidP="00EB24EE">
            <w:pPr>
              <w:spacing w:line="276" w:lineRule="auto"/>
              <w:rPr>
                <w:rFonts w:ascii="Times New Roman" w:hAnsi="Times New Roman" w:cs="Times New Roman"/>
              </w:rPr>
            </w:pPr>
            <w:r w:rsidRPr="008C11BE">
              <w:rPr>
                <w:rFonts w:ascii="Times New Roman" w:hAnsi="Times New Roman" w:cs="Times New Roman"/>
              </w:rPr>
              <w:t xml:space="preserve">All Aspects Health Literacy Scale. </w:t>
            </w:r>
          </w:p>
        </w:tc>
      </w:tr>
    </w:tbl>
    <w:p w14:paraId="065BC5F9" w14:textId="09C68A4C" w:rsidR="002D3C61" w:rsidRPr="008C11BE" w:rsidRDefault="002D3C61" w:rsidP="008C11BE">
      <w:pPr>
        <w:spacing w:line="480" w:lineRule="auto"/>
        <w:rPr>
          <w:rFonts w:ascii="Times New Roman" w:hAnsi="Times New Roman" w:cs="Times New Roman"/>
        </w:rPr>
      </w:pPr>
    </w:p>
    <w:p w14:paraId="20B438DD" w14:textId="0AF43686" w:rsidR="002D3C61" w:rsidRPr="008C11BE" w:rsidRDefault="002D3C61" w:rsidP="008C11BE">
      <w:pPr>
        <w:spacing w:line="480" w:lineRule="auto"/>
        <w:rPr>
          <w:rFonts w:ascii="Times New Roman" w:hAnsi="Times New Roman" w:cs="Times New Roman"/>
        </w:rPr>
      </w:pPr>
      <w:r w:rsidRPr="00A25B0A">
        <w:rPr>
          <w:rFonts w:ascii="Times New Roman" w:hAnsi="Times New Roman" w:cs="Times New Roman"/>
        </w:rPr>
        <w:t xml:space="preserve">The detail about interventions is </w:t>
      </w:r>
      <w:r w:rsidR="007B4BE2" w:rsidRPr="00652443">
        <w:rPr>
          <w:rFonts w:ascii="Times New Roman" w:hAnsi="Times New Roman" w:cs="Times New Roman"/>
        </w:rPr>
        <w:t>lacking in many studies but the school-based intervention ‘Just</w:t>
      </w:r>
      <w:r w:rsidR="007B4BE2" w:rsidRPr="001645B4">
        <w:rPr>
          <w:rFonts w:ascii="Times New Roman" w:hAnsi="Times New Roman" w:cs="Times New Roman"/>
        </w:rPr>
        <w:t xml:space="preserve"> Health Action’ reported on by </w:t>
      </w:r>
      <w:r w:rsidRPr="008C11BE">
        <w:rPr>
          <w:rFonts w:ascii="Times New Roman" w:hAnsi="Times New Roman" w:cs="Times New Roman"/>
        </w:rPr>
        <w:t>Gould et al (</w:t>
      </w:r>
      <w:r w:rsidR="007B4BE2" w:rsidRPr="008C11BE">
        <w:rPr>
          <w:rFonts w:ascii="Times New Roman" w:hAnsi="Times New Roman" w:cs="Times New Roman"/>
        </w:rPr>
        <w:t xml:space="preserve">2011) and </w:t>
      </w:r>
      <w:proofErr w:type="spellStart"/>
      <w:r w:rsidR="007B4BE2" w:rsidRPr="008C11BE">
        <w:rPr>
          <w:rFonts w:ascii="Times New Roman" w:hAnsi="Times New Roman" w:cs="Times New Roman"/>
        </w:rPr>
        <w:t>Mogford</w:t>
      </w:r>
      <w:proofErr w:type="spellEnd"/>
      <w:r w:rsidR="007B4BE2" w:rsidRPr="008C11BE">
        <w:rPr>
          <w:rFonts w:ascii="Times New Roman" w:hAnsi="Times New Roman" w:cs="Times New Roman"/>
        </w:rPr>
        <w:t xml:space="preserve"> et al (2011) </w:t>
      </w:r>
      <w:r w:rsidR="0011263A" w:rsidRPr="008C11BE">
        <w:rPr>
          <w:rFonts w:ascii="Times New Roman" w:hAnsi="Times New Roman" w:cs="Times New Roman"/>
        </w:rPr>
        <w:t>does describe</w:t>
      </w:r>
      <w:r w:rsidR="007B4BE2" w:rsidRPr="008C11BE">
        <w:rPr>
          <w:rFonts w:ascii="Times New Roman" w:hAnsi="Times New Roman" w:cs="Times New Roman"/>
        </w:rPr>
        <w:t xml:space="preserve"> </w:t>
      </w:r>
      <w:r w:rsidRPr="008C11BE">
        <w:rPr>
          <w:rFonts w:ascii="Times New Roman" w:hAnsi="Times New Roman" w:cs="Times New Roman"/>
        </w:rPr>
        <w:t>a ‘Social Deter</w:t>
      </w:r>
      <w:r w:rsidR="007B4BE2" w:rsidRPr="008C11BE">
        <w:rPr>
          <w:rFonts w:ascii="Times New Roman" w:hAnsi="Times New Roman" w:cs="Times New Roman"/>
        </w:rPr>
        <w:t>minants of Health’ curriculum for</w:t>
      </w:r>
      <w:r w:rsidRPr="008C11BE">
        <w:rPr>
          <w:rFonts w:ascii="Times New Roman" w:hAnsi="Times New Roman" w:cs="Times New Roman"/>
        </w:rPr>
        <w:t xml:space="preserve"> secondary school children. The curriculum is based on an ecological model and focusses on upstream factors that affect </w:t>
      </w:r>
      <w:r w:rsidRPr="008C11BE">
        <w:rPr>
          <w:rFonts w:ascii="Times New Roman" w:hAnsi="Times New Roman" w:cs="Times New Roman"/>
        </w:rPr>
        <w:lastRenderedPageBreak/>
        <w:t xml:space="preserve">health though a social justice lens. Through interactive activities, students are taught about the social determinants of health and then </w:t>
      </w:r>
      <w:r w:rsidR="0053726C">
        <w:rPr>
          <w:rFonts w:ascii="Times New Roman" w:hAnsi="Times New Roman" w:cs="Times New Roman"/>
        </w:rPr>
        <w:t>students are empowered</w:t>
      </w:r>
      <w:r w:rsidRPr="008C11BE">
        <w:rPr>
          <w:rFonts w:ascii="Times New Roman" w:hAnsi="Times New Roman" w:cs="Times New Roman"/>
        </w:rPr>
        <w:t xml:space="preserve"> to take action to influence policy and work with communities to reduce societal inequities.</w:t>
      </w:r>
    </w:p>
    <w:p w14:paraId="17E3D902" w14:textId="5599D3D3" w:rsidR="00D710ED" w:rsidRPr="008C11BE" w:rsidRDefault="00D710ED" w:rsidP="008C11BE">
      <w:pPr>
        <w:spacing w:line="480" w:lineRule="auto"/>
        <w:rPr>
          <w:rFonts w:ascii="Times New Roman" w:hAnsi="Times New Roman" w:cs="Times New Roman"/>
        </w:rPr>
      </w:pPr>
    </w:p>
    <w:p w14:paraId="217BEFC6" w14:textId="061694DE" w:rsidR="008C11BE" w:rsidRPr="008C11BE" w:rsidRDefault="0011263A" w:rsidP="008C11BE">
      <w:pPr>
        <w:spacing w:line="480" w:lineRule="auto"/>
        <w:rPr>
          <w:rFonts w:ascii="Times New Roman" w:hAnsi="Times New Roman" w:cs="Times New Roman"/>
        </w:rPr>
      </w:pPr>
      <w:r w:rsidRPr="008C11BE">
        <w:rPr>
          <w:rFonts w:ascii="Times New Roman" w:hAnsi="Times New Roman" w:cs="Times New Roman"/>
        </w:rPr>
        <w:t xml:space="preserve">Table 1 also </w:t>
      </w:r>
      <w:r w:rsidR="00327AF9" w:rsidRPr="008C11BE">
        <w:rPr>
          <w:rFonts w:ascii="Times New Roman" w:hAnsi="Times New Roman" w:cs="Times New Roman"/>
        </w:rPr>
        <w:t xml:space="preserve">reports on the CHL measure if any </w:t>
      </w:r>
      <w:r w:rsidR="00AA38FC">
        <w:rPr>
          <w:rFonts w:ascii="Times New Roman" w:hAnsi="Times New Roman" w:cs="Times New Roman"/>
        </w:rPr>
        <w:t xml:space="preserve">are </w:t>
      </w:r>
      <w:r w:rsidR="00327AF9" w:rsidRPr="008C11BE">
        <w:rPr>
          <w:rFonts w:ascii="Times New Roman" w:hAnsi="Times New Roman" w:cs="Times New Roman"/>
        </w:rPr>
        <w:t xml:space="preserve">used in the intervention. </w:t>
      </w:r>
      <w:r w:rsidR="00D3546D" w:rsidRPr="008C11BE">
        <w:rPr>
          <w:rFonts w:ascii="Times New Roman" w:hAnsi="Times New Roman" w:cs="Times New Roman"/>
        </w:rPr>
        <w:t xml:space="preserve">Five of the studies were categorised as case studies of interventions upon which observations and data about the process and experience were collected </w:t>
      </w:r>
      <w:r w:rsidR="00D3546D" w:rsidRPr="008C11BE">
        <w:rPr>
          <w:rFonts w:ascii="Times New Roman" w:hAnsi="Times New Roman" w:cs="Times New Roman"/>
        </w:rPr>
        <w:fldChar w:fldCharType="begin" w:fldLock="1"/>
      </w:r>
      <w:r w:rsidR="00D3546D" w:rsidRPr="008C11BE">
        <w:rPr>
          <w:rFonts w:ascii="Times New Roman" w:hAnsi="Times New Roman" w:cs="Times New Roman"/>
        </w:rPr>
        <w:instrText>ADDIN CSL_CITATION { "citationItems" : [ { "id" : "ITEM-1", "itemData" : { "ISSN" : "07399332", "abstract" : "Adolescents have particular needs in health care that are often not met. Health care providers can help overcome barriers that hinder adolescents' effective use of health services by incorporating health literacy strategies that are developmentally and contextually appropriate, and that actively involve adolescents in their own learning. Based on extensive practice and research experience in Canada with rural and urban high school adolescent women, we offer suggestions for how health care providers can respond to adolescent women's reproductive health concerns by teaching these young women how to increase their skills in functional, communicative/interactive, and critical health literacy. [ABSTRACT FROM AUTHOR]", "author" : [ { "dropping-particle" : "", "family" : "Banister", "given" : "Elizabeth M", "non-dropping-particle" : "", "parse-names" : false, "suffix" : "" }, { "dropping-particle" : "", "family" : "Begoray", "given" : "Deborah L", "non-dropping-particle" : "", "parse-names" : false, "suffix" : "" }, { "dropping-particle" : "", "family" : "Daly", "given" : "L Kim", "non-dropping-particle" : "", "parse-names" : false, "suffix" : "" } ], "container-title" : "Health Care for Women International", "id" : "ITEM-1", "issue" : "4", "issued" : { "date-parts" : [ [ "2011", "4" ] ] }, "note" : "Accession Number: 59330305; Banister, Elizabeth M. 1; Email Address: ebaniste@uvic.ca Begoray, Deborah L. 2 Daly, L. Kim 3; Affiliation:  1: School of Nursing, University of Victoria, Victoria, British Columbia, Canada  2: Faculty of Education, University of Victoria, Victoria, British Columbia, Canada  3: School of Nursing, University of British Columbia, Vancouver, British Columbia, Canada; Source Info: Apr2011, Vol. 32 Issue 4, p344; Subject Term: ADOLESCENCE; Subject Term: HEALTH education; Subject Term: HEALTH services accessibility; Subject Term: SEXUAL health; Subject Term: SELF-efficacy; Subject Term: HUMAN sexuality; Subject Term: TEACHING methods; Number of Pages: 11p; Document Type: Article", "page" : "344-354", "publisher" : "Routledge", "title" : "Responding to Adolescent Women's Reproductive Health Concerns: Empowering Clients Through Health Literacy.", "type" : "article-journal", "volume" : "32" }, "uris" : [ "http://www.mendeley.com/documents/?uuid=df3698fd-2ff5-3200-85ca-3c4636132cc3" ] }, { "id" : "ITEM-2", "itemData" : { "ISSN" : "1837-7122", "abstract" : "The commercial media is an influential sociocultural force and transmitter of health information especially for adolescents. Instruction in critical media health literacy, a combination of concepts from critical health literacy and critical media literacy, is a potentially effective means of raising adolescents' awareness about commercial media and its influence on their health. We first provide background on critical media health literacy for adolescents. We then discuss the potential for involving adolescents in creating multimedia to demonstrate basic principles of critical media health literacy skills. Using excerpts from two of our research projects to illustrate our ideas, we draw conclusions and suggest future research in critical media health literacy for adolescents.", "author" : [ { "dropping-particle" : "", "family" : "Begoray", "given" : "Deborah L", "non-dropping-particle" : "", "parse-names" : false, "suffix" : "" }, { "dropping-particle" : "", "family" : "Banister", "given" : "Elizabeth M", "non-dropping-particle" : "", "parse-names" : false, "suffix" : "" }, { "dropping-particle" : "", "family" : "Wharf Higgins", "given" : "Joan", "non-dropping-particle" : "", "parse-names" : false, "suffix" : "" }, { "dropping-particle" : "", "family" : "Wilmot", "given" : "Robin", "non-dropping-particle" : "", "parse-names" : false, "suffix" : "" } ], "container-title" : "Asia-Pacific Journal of Health, Sport and Physical Education", "id" : "ITEM-2", "issue" : "3", "issued" : { "date-parts" : [ [ "2014", "1", "1" ] ] }, "note" : "Accession Number: EJ1040229; Acquisition Information: Routledge. Available from: Taylor &amp;amp; Francis, Ltd. 325 Chestnut Street Suite 800, Philadelphia, PA 19106. Tel: 800-354-1420; Fax: 215-625-2940; Web site: http://www.tandf.co.uk/journals; Education Level: Middle SchoolsSecondary EducationJunior High Schools; Reference Count: 59; Journal Code: JAN2017; Level of Availability: Not available from ERIC; Publication Type: Journal Articles; Publication Type: Reports - Research; Entry Date: 2014", "page" : "267-280", "publisher" : "Asia-Pacific Journal of Health, Sport and Physical Education", "title" : "Online, Tuned In, Turned On: Multimedia Approaches to Fostering Critical Media Health Literacy for Adolescents", "type" : "article-journal", "volume" : "5" }, "uris" : [ "http://www.mendeley.com/documents/?uuid=92a86a9f-7779-4d63-bdc5-bc74505920a4" ] }, { "id" : "ITEM-3", "itemData" : { "DOI" : "10.1177/1039856215604979", "ISSN" : "1440-1665", "abstract" : "Objective: The tripartite framework for principled practice was developed as part of the Wundargoodie Aboriginal Youth and Community Wellbeing Programme. The programme engages natural helpers to enhance critical health literacy. This paper examines the importance of translational research to enhancing critical health literacy for this group of de facto health workers using the work of the Australian Indigenous HealthInfoNet as an example. Translational research provides workforce support for those who are time poor and overburdened. Connecting these concepts and natural helpers will make a positive difference to Aboriginal health outcomes.; Conclusions: There is a need for the development of translational research products that enhance the critical health literacy of natural helpers. The tripartite framework for principled practice supports reflective and accountable practice in the intercultural space to build trust and confidence between Aboriginal and non-Aboriginal people to enhance the opportunity for authentic knowledge production and transfer.; \u00a9 The Royal Australian and New Zealand College of Psychiatrists 2015.", "author" : [ { "dropping-particle" : "", "family" : "Drew", "given" : "Neil", "non-dropping-particle" : "", "parse-names" : false, "suffix" : "" } ], "container-title" : "Australasian Psychiatry: Bulletin Of Royal Australian And New Zealand College Of Psychiatrists", "id" : "ITEM-3", "issue" : "6", "issued" : { "date-parts" : [ [ "2015", "12" ] ] }, "note" : "Accession Number: 26400450. Language: English. Date Revised: 20151202. Date Created: 20151202. Date Completed: 20160921. Update Code: 20161213. Publication Type: Journal Article. Journal ID: 9613603. Publication Model: Print-Electronic. Cited Medium: Internet. NLM ISO Abbr: Australas Psychiatry. Linking ISSN: 10398562. Subset: IM; Date of Electronic Publication: 2015 Sep 23. Current Imprints: Publication: 2012- : London : Sage; Original Imprints: Publication: Carlton, VIC : Blackwell Science", "page" : "620-622", "publisher" : "Sage", "publisher-place" : "Director, Australian Indigenous HealthInfoNet, Edith Cowan University, Mount Lawley, WA, Australia n.drew@ecu.edu.au.", "title" : "Social and emotional wellbeing, natural helpers, critical health literacy and translational research: connecting the dots for positive health outcomes.", "type" : "article-journal", "volume" : "23" }, "uris" : [ "http://www.mendeley.com/documents/?uuid=bf54a515-e9b2-4aaa-9b12-b89fc376517f" ] }, { "id" : "ITEM-4", "itemData" : { "DOI" : "10.1177/1359105312470126", "ISSN" : "1359-1053", "author" : [ { "dropping-particle" : "", "family" : "Estacio", "given" : "Emee Vida", "non-dropping-particle" : "", "parse-names" : false, "suffix" : "" } ], "container-title" : "Journal of Health Psychology", "id" : "ITEM-4", "issue" : "8", "issued" : { "date-parts" : [ [ "2013", "8", "24" ] ] }, "page" : "1056-1068", "title" : "Health literacy and community empowerment: It is more than just reading, writing and counting", "type" : "article-journal", "volume" : "18" }, "uris" : [ "http://www.mendeley.com/documents/?uuid=d5459cb1-2437-35f9-9020-ebbc069e8ebd" ] }, { "id" : "ITEM-5", "itemData" : { "DOI" : "10.1093/cdj/bsx019", "ISSN" : "0010-3802", "author" : [ { "dropping-particle" : "", "family" : "Sykes", "given" : "Susie", "non-dropping-particle" : "", "parse-names" : false, "suffix" : "" }, { "dropping-particle" : "", "family" : "Wills", "given" : "Jane", "non-dropping-particle" : "", "parse-names" : false, "suffix" : "" }, { "dropping-particle" : "", "family" : "Popple", "given" : "Keith", "non-dropping-particle" : "", "parse-names" : false, "suffix" : "" } ], "container-title" : "Community Development Journal", "id" : "ITEM-5", "issued" : { "date-parts" : [ [ "2017" ] ] }, "page" : "1-17", "title" : "The role of community development in building critical health literacy", "type" : "article-journal" }, "uris" : [ "http://www.mendeley.com/documents/?uuid=b90ca806-ec08-4e6f-b9a3-fb095094af18" ] } ], "mendeley" : { "formattedCitation" : "(Banister &lt;i&gt;et al.&lt;/i&gt;, 2011; Begoray &lt;i&gt;et al.&lt;/i&gt;, 2014; Drew, 2015; Estacio, 2013; Sykes &lt;i&gt;et al.&lt;/i&gt;, 2017)", "plainTextFormattedCitation" : "(Banister et al., 2011; Begoray et al., 2014; Drew, 2015; Estacio, 2013; Sykes et al., 2017)", "previouslyFormattedCitation" : "(Banister &lt;i&gt;et al.&lt;/i&gt;, 2011; Begoray &lt;i&gt;et al.&lt;/i&gt;, 2014; Drew, 2015; Estacio, 2013; Sykes &lt;i&gt;et al.&lt;/i&gt;, 2017)" }, "properties" : { "noteIndex" : 0 }, "schema" : "https://github.com/citation-style-language/schema/raw/master/csl-citation.json" }</w:instrText>
      </w:r>
      <w:r w:rsidR="00D3546D" w:rsidRPr="008C11BE">
        <w:rPr>
          <w:rFonts w:ascii="Times New Roman" w:hAnsi="Times New Roman" w:cs="Times New Roman"/>
        </w:rPr>
        <w:fldChar w:fldCharType="separate"/>
      </w:r>
      <w:r w:rsidR="00D3546D" w:rsidRPr="00EB24EE">
        <w:rPr>
          <w:rFonts w:ascii="Times New Roman" w:hAnsi="Times New Roman" w:cs="Times New Roman"/>
          <w:noProof/>
        </w:rPr>
        <w:t>(Banister et al, 2011; Begoray et al, 2014; Drew, 2015; Estacio, 2013; Sykes et al, 2017</w:t>
      </w:r>
      <w:r w:rsidR="00D3546D" w:rsidRPr="008C11BE">
        <w:rPr>
          <w:rFonts w:ascii="Times New Roman" w:hAnsi="Times New Roman" w:cs="Times New Roman"/>
          <w:noProof/>
        </w:rPr>
        <w:t>)</w:t>
      </w:r>
      <w:r w:rsidR="00D3546D" w:rsidRPr="008C11BE">
        <w:rPr>
          <w:rFonts w:ascii="Times New Roman" w:hAnsi="Times New Roman" w:cs="Times New Roman"/>
        </w:rPr>
        <w:fldChar w:fldCharType="end"/>
      </w:r>
      <w:r w:rsidR="00D3546D" w:rsidRPr="008C11BE">
        <w:rPr>
          <w:rFonts w:ascii="Times New Roman" w:hAnsi="Times New Roman" w:cs="Times New Roman"/>
        </w:rPr>
        <w:t>. Seven of the studies included an evaluative element in order to capture impact or outcome</w:t>
      </w:r>
      <w:r w:rsidR="00307A57" w:rsidRPr="00A25B0A">
        <w:rPr>
          <w:rFonts w:ascii="Times New Roman" w:hAnsi="Times New Roman" w:cs="Times New Roman"/>
        </w:rPr>
        <w:t xml:space="preserve"> </w:t>
      </w:r>
      <w:r w:rsidR="00B370BD" w:rsidRPr="00652443">
        <w:rPr>
          <w:rFonts w:ascii="Times New Roman" w:hAnsi="Times New Roman" w:cs="Times New Roman"/>
        </w:rPr>
        <w:t>(</w:t>
      </w:r>
      <w:proofErr w:type="spellStart"/>
      <w:r w:rsidR="00EA1593" w:rsidRPr="001645B4">
        <w:rPr>
          <w:rFonts w:ascii="Times New Roman" w:hAnsi="Times New Roman" w:cs="Times New Roman"/>
        </w:rPr>
        <w:t>Steckelberg</w:t>
      </w:r>
      <w:proofErr w:type="spellEnd"/>
      <w:r w:rsidR="00EA1593" w:rsidRPr="001645B4">
        <w:rPr>
          <w:rFonts w:ascii="Times New Roman" w:hAnsi="Times New Roman" w:cs="Times New Roman"/>
        </w:rPr>
        <w:t xml:space="preserve"> et al, 2009; Gould et al, 2010;</w:t>
      </w:r>
      <w:r w:rsidR="000D2683" w:rsidRPr="001645B4">
        <w:rPr>
          <w:rFonts w:ascii="Times New Roman" w:hAnsi="Times New Roman" w:cs="Times New Roman"/>
        </w:rPr>
        <w:t xml:space="preserve"> </w:t>
      </w:r>
      <w:proofErr w:type="spellStart"/>
      <w:r w:rsidR="000D2683" w:rsidRPr="001645B4">
        <w:rPr>
          <w:rFonts w:ascii="Times New Roman" w:hAnsi="Times New Roman" w:cs="Times New Roman"/>
        </w:rPr>
        <w:t>Mogford</w:t>
      </w:r>
      <w:proofErr w:type="spellEnd"/>
      <w:r w:rsidR="000D2683" w:rsidRPr="001645B4">
        <w:rPr>
          <w:rFonts w:ascii="Times New Roman" w:hAnsi="Times New Roman" w:cs="Times New Roman"/>
        </w:rPr>
        <w:t xml:space="preserve"> et al</w:t>
      </w:r>
      <w:r w:rsidR="00EA1593" w:rsidRPr="001645B4">
        <w:rPr>
          <w:rFonts w:ascii="Times New Roman" w:hAnsi="Times New Roman" w:cs="Times New Roman"/>
        </w:rPr>
        <w:t>, 2011;</w:t>
      </w:r>
      <w:r w:rsidR="000D2683" w:rsidRPr="001645B4">
        <w:rPr>
          <w:rFonts w:ascii="Times New Roman" w:hAnsi="Times New Roman" w:cs="Times New Roman"/>
        </w:rPr>
        <w:t xml:space="preserve"> </w:t>
      </w:r>
      <w:proofErr w:type="spellStart"/>
      <w:r w:rsidR="00EA1593" w:rsidRPr="001645B4">
        <w:rPr>
          <w:rFonts w:ascii="Times New Roman" w:hAnsi="Times New Roman" w:cs="Times New Roman"/>
        </w:rPr>
        <w:t>Scheib</w:t>
      </w:r>
      <w:proofErr w:type="spellEnd"/>
      <w:r w:rsidR="00EA1593" w:rsidRPr="001645B4">
        <w:rPr>
          <w:rFonts w:ascii="Times New Roman" w:hAnsi="Times New Roman" w:cs="Times New Roman"/>
        </w:rPr>
        <w:t xml:space="preserve"> and </w:t>
      </w:r>
      <w:proofErr w:type="spellStart"/>
      <w:r w:rsidR="00EA1593" w:rsidRPr="001645B4">
        <w:rPr>
          <w:rFonts w:ascii="Times New Roman" w:hAnsi="Times New Roman" w:cs="Times New Roman"/>
        </w:rPr>
        <w:t>Lykes</w:t>
      </w:r>
      <w:proofErr w:type="spellEnd"/>
      <w:r w:rsidR="00EA1593" w:rsidRPr="001645B4">
        <w:rPr>
          <w:rFonts w:ascii="Times New Roman" w:hAnsi="Times New Roman" w:cs="Times New Roman"/>
        </w:rPr>
        <w:t xml:space="preserve">, 2013; </w:t>
      </w:r>
      <w:proofErr w:type="spellStart"/>
      <w:r w:rsidR="000D2683" w:rsidRPr="001645B4">
        <w:rPr>
          <w:rFonts w:ascii="Times New Roman" w:hAnsi="Times New Roman" w:cs="Times New Roman"/>
        </w:rPr>
        <w:t>McCuaig</w:t>
      </w:r>
      <w:proofErr w:type="spellEnd"/>
      <w:r w:rsidR="000D2683" w:rsidRPr="001645B4">
        <w:rPr>
          <w:rFonts w:ascii="Times New Roman" w:hAnsi="Times New Roman" w:cs="Times New Roman"/>
        </w:rPr>
        <w:t xml:space="preserve"> et al</w:t>
      </w:r>
      <w:r w:rsidR="00EA1593" w:rsidRPr="008C11BE">
        <w:rPr>
          <w:rFonts w:ascii="Times New Roman" w:hAnsi="Times New Roman" w:cs="Times New Roman"/>
        </w:rPr>
        <w:t xml:space="preserve">, 2014; Muscat et al, </w:t>
      </w:r>
      <w:r w:rsidR="000D2683" w:rsidRPr="008C11BE">
        <w:rPr>
          <w:rFonts w:ascii="Times New Roman" w:hAnsi="Times New Roman" w:cs="Times New Roman"/>
        </w:rPr>
        <w:t>2017</w:t>
      </w:r>
      <w:r w:rsidR="00EA1593" w:rsidRPr="008C11BE">
        <w:rPr>
          <w:rFonts w:ascii="Times New Roman" w:hAnsi="Times New Roman" w:cs="Times New Roman"/>
        </w:rPr>
        <w:t xml:space="preserve">; </w:t>
      </w:r>
      <w:r w:rsidR="000D2683" w:rsidRPr="008C11BE">
        <w:rPr>
          <w:rFonts w:ascii="Times New Roman" w:hAnsi="Times New Roman" w:cs="Times New Roman"/>
        </w:rPr>
        <w:t>Sykes and Wills</w:t>
      </w:r>
      <w:r w:rsidR="00EA1593" w:rsidRPr="008C11BE">
        <w:rPr>
          <w:rFonts w:ascii="Times New Roman" w:hAnsi="Times New Roman" w:cs="Times New Roman"/>
        </w:rPr>
        <w:t xml:space="preserve">, </w:t>
      </w:r>
      <w:r w:rsidR="000D2683" w:rsidRPr="008C11BE">
        <w:rPr>
          <w:rFonts w:ascii="Times New Roman" w:hAnsi="Times New Roman" w:cs="Times New Roman"/>
        </w:rPr>
        <w:t>2017</w:t>
      </w:r>
      <w:r w:rsidR="00EA1593" w:rsidRPr="008C11BE">
        <w:rPr>
          <w:rFonts w:ascii="Times New Roman" w:hAnsi="Times New Roman" w:cs="Times New Roman"/>
        </w:rPr>
        <w:t>;</w:t>
      </w:r>
      <w:r w:rsidR="000D2683" w:rsidRPr="008C11BE">
        <w:rPr>
          <w:rFonts w:ascii="Times New Roman" w:hAnsi="Times New Roman" w:cs="Times New Roman"/>
        </w:rPr>
        <w:t xml:space="preserve"> </w:t>
      </w:r>
      <w:proofErr w:type="spellStart"/>
      <w:r w:rsidR="000D2683" w:rsidRPr="008C11BE">
        <w:rPr>
          <w:rFonts w:ascii="Times New Roman" w:eastAsia="Times New Roman" w:hAnsi="Times New Roman" w:cs="Times New Roman"/>
          <w:lang w:eastAsia="en-GB"/>
        </w:rPr>
        <w:t>Bruselius</w:t>
      </w:r>
      <w:proofErr w:type="spellEnd"/>
      <w:r w:rsidR="000D2683" w:rsidRPr="008C11BE">
        <w:rPr>
          <w:rFonts w:ascii="Times New Roman" w:eastAsia="Times New Roman" w:hAnsi="Times New Roman" w:cs="Times New Roman"/>
          <w:lang w:eastAsia="en-GB"/>
        </w:rPr>
        <w:t>-Jensen et al</w:t>
      </w:r>
      <w:r w:rsidR="00EA1593" w:rsidRPr="008C11BE">
        <w:rPr>
          <w:rFonts w:ascii="Times New Roman" w:eastAsia="Times New Roman" w:hAnsi="Times New Roman" w:cs="Times New Roman"/>
          <w:lang w:eastAsia="en-GB"/>
        </w:rPr>
        <w:t>, 2017</w:t>
      </w:r>
      <w:r w:rsidR="00B370BD" w:rsidRPr="00EB24EE">
        <w:rPr>
          <w:rFonts w:ascii="Times New Roman" w:hAnsi="Times New Roman" w:cs="Times New Roman"/>
        </w:rPr>
        <w:t>).</w:t>
      </w:r>
      <w:r w:rsidR="00B370BD" w:rsidRPr="008C11BE">
        <w:rPr>
          <w:rFonts w:ascii="Times New Roman" w:hAnsi="Times New Roman" w:cs="Times New Roman"/>
        </w:rPr>
        <w:t xml:space="preserve"> </w:t>
      </w:r>
      <w:r w:rsidR="00D3546D" w:rsidRPr="008C11BE">
        <w:rPr>
          <w:rFonts w:ascii="Times New Roman" w:hAnsi="Times New Roman" w:cs="Times New Roman"/>
        </w:rPr>
        <w:t>Only one of these studies used a validated tool for measuring CHL (</w:t>
      </w:r>
      <w:r w:rsidR="00D3546D" w:rsidRPr="00EB24EE">
        <w:rPr>
          <w:rFonts w:ascii="Times New Roman" w:hAnsi="Times New Roman" w:cs="Times New Roman"/>
        </w:rPr>
        <w:t xml:space="preserve">Sykes </w:t>
      </w:r>
      <w:r w:rsidR="000D2683" w:rsidRPr="00EB24EE">
        <w:rPr>
          <w:rFonts w:ascii="Times New Roman" w:hAnsi="Times New Roman" w:cs="Times New Roman"/>
        </w:rPr>
        <w:t>and Wills</w:t>
      </w:r>
      <w:r w:rsidR="00D3546D" w:rsidRPr="00EB24EE">
        <w:rPr>
          <w:rFonts w:ascii="Times New Roman" w:hAnsi="Times New Roman" w:cs="Times New Roman"/>
        </w:rPr>
        <w:t>, 2017</w:t>
      </w:r>
      <w:r w:rsidR="00D3546D" w:rsidRPr="008C11BE">
        <w:rPr>
          <w:rFonts w:ascii="Times New Roman" w:hAnsi="Times New Roman" w:cs="Times New Roman"/>
        </w:rPr>
        <w:t xml:space="preserve">) </w:t>
      </w:r>
      <w:r w:rsidR="00F212AB" w:rsidRPr="008C11BE">
        <w:rPr>
          <w:rFonts w:ascii="Times New Roman" w:hAnsi="Times New Roman" w:cs="Times New Roman"/>
        </w:rPr>
        <w:t>while the rest</w:t>
      </w:r>
      <w:r w:rsidR="00D3546D" w:rsidRPr="008C11BE">
        <w:rPr>
          <w:rFonts w:ascii="Times New Roman" w:hAnsi="Times New Roman" w:cs="Times New Roman"/>
        </w:rPr>
        <w:t xml:space="preserve"> used qualitative evaluation.</w:t>
      </w:r>
      <w:r w:rsidR="008B7BCB" w:rsidRPr="008C11BE">
        <w:rPr>
          <w:rFonts w:ascii="Times New Roman" w:hAnsi="Times New Roman" w:cs="Times New Roman"/>
        </w:rPr>
        <w:t xml:space="preserve"> </w:t>
      </w:r>
    </w:p>
    <w:p w14:paraId="5D34EB3C" w14:textId="6233CA1D" w:rsidR="00376A58" w:rsidRPr="00A25B0A" w:rsidRDefault="00376A58" w:rsidP="00A25B0A">
      <w:pPr>
        <w:spacing w:line="480" w:lineRule="auto"/>
        <w:rPr>
          <w:rFonts w:ascii="Times New Roman" w:hAnsi="Times New Roman" w:cs="Times New Roman"/>
        </w:rPr>
      </w:pPr>
    </w:p>
    <w:p w14:paraId="4496E20F" w14:textId="467D68F0" w:rsidR="002E77FC" w:rsidRPr="008C11BE" w:rsidRDefault="00B64E69" w:rsidP="001645B4">
      <w:pPr>
        <w:spacing w:line="480" w:lineRule="auto"/>
        <w:rPr>
          <w:rFonts w:ascii="Times New Roman" w:hAnsi="Times New Roman" w:cs="Times New Roman"/>
          <w:b/>
        </w:rPr>
      </w:pPr>
      <w:r w:rsidRPr="001645B4">
        <w:rPr>
          <w:rFonts w:ascii="Times New Roman" w:hAnsi="Times New Roman" w:cs="Times New Roman"/>
        </w:rPr>
        <w:t xml:space="preserve">&lt;h1&gt; </w:t>
      </w:r>
      <w:r w:rsidR="0051068F" w:rsidRPr="008C11BE">
        <w:rPr>
          <w:rFonts w:ascii="Times New Roman" w:hAnsi="Times New Roman" w:cs="Times New Roman"/>
          <w:b/>
        </w:rPr>
        <w:t>Key learning from the evidence</w:t>
      </w:r>
    </w:p>
    <w:p w14:paraId="542F8C36" w14:textId="3F22E954" w:rsidR="0051068F" w:rsidRPr="008C11BE" w:rsidRDefault="0051068F">
      <w:pPr>
        <w:spacing w:line="480" w:lineRule="auto"/>
        <w:rPr>
          <w:rFonts w:ascii="Times New Roman" w:hAnsi="Times New Roman" w:cs="Times New Roman"/>
          <w:b/>
        </w:rPr>
      </w:pPr>
    </w:p>
    <w:p w14:paraId="395E2311" w14:textId="4B6D605F" w:rsidR="0051068F" w:rsidRPr="008C11BE" w:rsidRDefault="0051068F">
      <w:pPr>
        <w:spacing w:line="480" w:lineRule="auto"/>
        <w:rPr>
          <w:rFonts w:ascii="Times New Roman" w:hAnsi="Times New Roman" w:cs="Times New Roman"/>
          <w:b/>
        </w:rPr>
      </w:pPr>
      <w:r w:rsidRPr="008C11BE">
        <w:rPr>
          <w:rFonts w:ascii="Times New Roman" w:hAnsi="Times New Roman" w:cs="Times New Roman"/>
          <w:b/>
        </w:rPr>
        <w:t>&lt;h2&gt; Settings for promoting critical health literacy</w:t>
      </w:r>
    </w:p>
    <w:p w14:paraId="3E16F8E6" w14:textId="125767F9" w:rsidR="0051068F" w:rsidRPr="008C11BE" w:rsidRDefault="0051068F">
      <w:pPr>
        <w:spacing w:line="480" w:lineRule="auto"/>
        <w:rPr>
          <w:rFonts w:ascii="Times New Roman" w:hAnsi="Times New Roman" w:cs="Times New Roman"/>
          <w:b/>
        </w:rPr>
      </w:pPr>
    </w:p>
    <w:p w14:paraId="31670241" w14:textId="4D7E4BFE" w:rsidR="0051068F" w:rsidRPr="001645B4" w:rsidRDefault="0051068F">
      <w:pPr>
        <w:spacing w:line="480" w:lineRule="auto"/>
        <w:rPr>
          <w:rFonts w:ascii="Times New Roman" w:hAnsi="Times New Roman" w:cs="Times New Roman"/>
        </w:rPr>
      </w:pPr>
      <w:r w:rsidRPr="008C11BE">
        <w:rPr>
          <w:rFonts w:ascii="Times New Roman" w:hAnsi="Times New Roman" w:cs="Times New Roman"/>
        </w:rPr>
        <w:t xml:space="preserve">While schools offer an accessible setting for developing health literacy it was observed </w:t>
      </w:r>
      <w:r w:rsidR="00B370BD" w:rsidRPr="008C11BE">
        <w:rPr>
          <w:rFonts w:ascii="Times New Roman" w:hAnsi="Times New Roman" w:cs="Times New Roman"/>
        </w:rPr>
        <w:t xml:space="preserve">in two studies </w:t>
      </w:r>
      <w:r w:rsidRPr="00EB24EE">
        <w:rPr>
          <w:rFonts w:ascii="Times New Roman" w:hAnsi="Times New Roman" w:cs="Times New Roman"/>
        </w:rPr>
        <w:t xml:space="preserve">that the school setting </w:t>
      </w:r>
      <w:r w:rsidR="0053726C">
        <w:rPr>
          <w:rFonts w:ascii="Times New Roman" w:hAnsi="Times New Roman" w:cs="Times New Roman"/>
        </w:rPr>
        <w:t>reduces</w:t>
      </w:r>
      <w:r w:rsidRPr="00EB24EE">
        <w:rPr>
          <w:rFonts w:ascii="Times New Roman" w:hAnsi="Times New Roman" w:cs="Times New Roman"/>
        </w:rPr>
        <w:t xml:space="preserve"> </w:t>
      </w:r>
      <w:r w:rsidR="0053726C">
        <w:rPr>
          <w:rFonts w:ascii="Times New Roman" w:hAnsi="Times New Roman" w:cs="Times New Roman"/>
        </w:rPr>
        <w:t>CHL</w:t>
      </w:r>
      <w:r w:rsidRPr="00EB24EE">
        <w:rPr>
          <w:rFonts w:ascii="Times New Roman" w:hAnsi="Times New Roman" w:cs="Times New Roman"/>
        </w:rPr>
        <w:t xml:space="preserve"> </w:t>
      </w:r>
      <w:r w:rsidR="0011263A" w:rsidRPr="00EB24EE">
        <w:rPr>
          <w:rFonts w:ascii="Times New Roman" w:hAnsi="Times New Roman" w:cs="Times New Roman"/>
        </w:rPr>
        <w:t xml:space="preserve">to cognitive skills </w:t>
      </w:r>
      <w:r w:rsidRPr="00EB24EE">
        <w:rPr>
          <w:rFonts w:ascii="Times New Roman" w:hAnsi="Times New Roman" w:cs="Times New Roman"/>
        </w:rPr>
        <w:t>(</w:t>
      </w:r>
      <w:proofErr w:type="spellStart"/>
      <w:r w:rsidR="00EA1593" w:rsidRPr="008C11BE">
        <w:rPr>
          <w:rFonts w:ascii="Times New Roman" w:hAnsi="Times New Roman" w:cs="Times New Roman"/>
        </w:rPr>
        <w:t>McCuaig</w:t>
      </w:r>
      <w:proofErr w:type="spellEnd"/>
      <w:r w:rsidR="00EA1593" w:rsidRPr="008C11BE">
        <w:rPr>
          <w:rFonts w:ascii="Times New Roman" w:hAnsi="Times New Roman" w:cs="Times New Roman"/>
        </w:rPr>
        <w:t xml:space="preserve"> et al, 2014; </w:t>
      </w:r>
      <w:proofErr w:type="spellStart"/>
      <w:r w:rsidR="00B370BD" w:rsidRPr="00EB24EE">
        <w:rPr>
          <w:rFonts w:ascii="Times New Roman" w:eastAsia="Times New Roman" w:hAnsi="Times New Roman" w:cs="Times New Roman"/>
          <w:lang w:eastAsia="en-GB"/>
        </w:rPr>
        <w:t>Bruselius</w:t>
      </w:r>
      <w:proofErr w:type="spellEnd"/>
      <w:r w:rsidR="00B370BD" w:rsidRPr="00EB24EE">
        <w:rPr>
          <w:rFonts w:ascii="Times New Roman" w:eastAsia="Times New Roman" w:hAnsi="Times New Roman" w:cs="Times New Roman"/>
          <w:lang w:eastAsia="en-GB"/>
        </w:rPr>
        <w:t>-Jensen et al</w:t>
      </w:r>
      <w:r w:rsidR="00EA1593" w:rsidRPr="00EB24EE">
        <w:rPr>
          <w:rFonts w:ascii="Times New Roman" w:eastAsia="Times New Roman" w:hAnsi="Times New Roman" w:cs="Times New Roman"/>
          <w:lang w:eastAsia="en-GB"/>
        </w:rPr>
        <w:t xml:space="preserve">, </w:t>
      </w:r>
      <w:r w:rsidR="00B370BD" w:rsidRPr="00EB24EE">
        <w:rPr>
          <w:rFonts w:ascii="Times New Roman" w:eastAsia="Times New Roman" w:hAnsi="Times New Roman" w:cs="Times New Roman"/>
          <w:lang w:eastAsia="en-GB"/>
        </w:rPr>
        <w:t>2017</w:t>
      </w:r>
      <w:r w:rsidRPr="00EB24EE">
        <w:rPr>
          <w:rFonts w:ascii="Times New Roman" w:hAnsi="Times New Roman" w:cs="Times New Roman"/>
        </w:rPr>
        <w:t>).</w:t>
      </w:r>
      <w:r w:rsidRPr="008C11BE">
        <w:rPr>
          <w:rFonts w:ascii="Times New Roman" w:hAnsi="Times New Roman" w:cs="Times New Roman"/>
        </w:rPr>
        <w:t xml:space="preserve"> Gould et al (</w:t>
      </w:r>
      <w:r w:rsidR="00B370BD" w:rsidRPr="008C11BE">
        <w:rPr>
          <w:rFonts w:ascii="Times New Roman" w:hAnsi="Times New Roman" w:cs="Times New Roman"/>
        </w:rPr>
        <w:t>2010</w:t>
      </w:r>
      <w:r w:rsidRPr="008C11BE">
        <w:rPr>
          <w:rFonts w:ascii="Times New Roman" w:hAnsi="Times New Roman" w:cs="Times New Roman"/>
        </w:rPr>
        <w:t>) offer some explanation for this stating that there is a dominant societal belief that individual choice leads to po</w:t>
      </w:r>
      <w:r w:rsidRPr="00A25B0A">
        <w:rPr>
          <w:rFonts w:ascii="Times New Roman" w:hAnsi="Times New Roman" w:cs="Times New Roman"/>
        </w:rPr>
        <w:t>or health outcomes and therefore that individual behaviour modification is the dominant pathway to good health. This belief, they observe, t</w:t>
      </w:r>
      <w:r w:rsidRPr="001645B4">
        <w:rPr>
          <w:rFonts w:ascii="Times New Roman" w:hAnsi="Times New Roman" w:cs="Times New Roman"/>
        </w:rPr>
        <w:t>ranslates into an institutional focus on teaching functional and communicative health literacy over</w:t>
      </w:r>
      <w:r w:rsidR="00E77760">
        <w:rPr>
          <w:rFonts w:ascii="Times New Roman" w:hAnsi="Times New Roman" w:cs="Times New Roman"/>
        </w:rPr>
        <w:t xml:space="preserve"> </w:t>
      </w:r>
      <w:r w:rsidR="00391180">
        <w:rPr>
          <w:rFonts w:ascii="Times New Roman" w:hAnsi="Times New Roman" w:cs="Times New Roman"/>
        </w:rPr>
        <w:t>CHL</w:t>
      </w:r>
      <w:r w:rsidRPr="001645B4">
        <w:rPr>
          <w:rFonts w:ascii="Times New Roman" w:hAnsi="Times New Roman" w:cs="Times New Roman"/>
        </w:rPr>
        <w:t xml:space="preserve">. </w:t>
      </w:r>
    </w:p>
    <w:p w14:paraId="57CE3EB8" w14:textId="77777777" w:rsidR="0051068F" w:rsidRPr="008C11BE" w:rsidRDefault="0051068F">
      <w:pPr>
        <w:spacing w:line="480" w:lineRule="auto"/>
        <w:rPr>
          <w:rFonts w:ascii="Times New Roman" w:hAnsi="Times New Roman" w:cs="Times New Roman"/>
        </w:rPr>
      </w:pPr>
    </w:p>
    <w:p w14:paraId="1E490125" w14:textId="150238A7" w:rsidR="0051068F" w:rsidRPr="008C11BE" w:rsidRDefault="004A1E9A">
      <w:pPr>
        <w:spacing w:line="480" w:lineRule="auto"/>
        <w:rPr>
          <w:rFonts w:ascii="Times New Roman" w:hAnsi="Times New Roman" w:cs="Times New Roman"/>
        </w:rPr>
      </w:pPr>
      <w:r w:rsidRPr="008C11BE">
        <w:rPr>
          <w:rFonts w:ascii="Times New Roman" w:hAnsi="Times New Roman" w:cs="Times New Roman"/>
        </w:rPr>
        <w:t>The hierarchies of the school structure and curriculum expectations may also limit opportunities to develop personal agency in young people</w:t>
      </w:r>
      <w:r w:rsidRPr="00EB24EE">
        <w:rPr>
          <w:rFonts w:ascii="Times New Roman" w:hAnsi="Times New Roman" w:cs="Times New Roman"/>
        </w:rPr>
        <w:t>.</w:t>
      </w:r>
      <w:r w:rsidR="0067600A" w:rsidRPr="008C11BE">
        <w:rPr>
          <w:rFonts w:ascii="Times New Roman" w:hAnsi="Times New Roman" w:cs="Times New Roman"/>
        </w:rPr>
        <w:t xml:space="preserve"> </w:t>
      </w:r>
      <w:proofErr w:type="spellStart"/>
      <w:r w:rsidR="0051068F" w:rsidRPr="008C11BE">
        <w:rPr>
          <w:rFonts w:ascii="Times New Roman" w:hAnsi="Times New Roman" w:cs="Times New Roman"/>
        </w:rPr>
        <w:t>Bruselius</w:t>
      </w:r>
      <w:proofErr w:type="spellEnd"/>
      <w:r w:rsidR="0051068F" w:rsidRPr="008C11BE">
        <w:rPr>
          <w:rFonts w:ascii="Times New Roman" w:hAnsi="Times New Roman" w:cs="Times New Roman"/>
        </w:rPr>
        <w:t>-Jensen et al</w:t>
      </w:r>
      <w:r w:rsidR="00895FCF">
        <w:rPr>
          <w:rFonts w:ascii="Times New Roman" w:hAnsi="Times New Roman" w:cs="Times New Roman"/>
        </w:rPr>
        <w:t xml:space="preserve"> </w:t>
      </w:r>
      <w:r w:rsidR="0051068F" w:rsidRPr="008C11BE">
        <w:rPr>
          <w:rFonts w:ascii="Times New Roman" w:hAnsi="Times New Roman" w:cs="Times New Roman"/>
        </w:rPr>
        <w:t>(</w:t>
      </w:r>
      <w:r w:rsidRPr="008C11BE">
        <w:rPr>
          <w:rFonts w:ascii="Times New Roman" w:hAnsi="Times New Roman" w:cs="Times New Roman"/>
        </w:rPr>
        <w:t>2017</w:t>
      </w:r>
      <w:r w:rsidR="0051068F" w:rsidRPr="008C11BE">
        <w:rPr>
          <w:rFonts w:ascii="Times New Roman" w:hAnsi="Times New Roman" w:cs="Times New Roman"/>
        </w:rPr>
        <w:t xml:space="preserve">), for example, conducted research into a Danish classroom-based health education programme designed to develop the three tiers of health literacy related to physical activity. Through their analysis of classroom dialogue, they demonstrated that teachers </w:t>
      </w:r>
      <w:r w:rsidR="0051068F" w:rsidRPr="00A25B0A">
        <w:rPr>
          <w:rFonts w:ascii="Times New Roman" w:hAnsi="Times New Roman" w:cs="Times New Roman"/>
        </w:rPr>
        <w:t>facilitate</w:t>
      </w:r>
      <w:r w:rsidR="0053726C">
        <w:rPr>
          <w:rFonts w:ascii="Times New Roman" w:hAnsi="Times New Roman" w:cs="Times New Roman"/>
        </w:rPr>
        <w:t>d</w:t>
      </w:r>
      <w:r w:rsidR="0051068F" w:rsidRPr="00A25B0A">
        <w:rPr>
          <w:rFonts w:ascii="Times New Roman" w:hAnsi="Times New Roman" w:cs="Times New Roman"/>
        </w:rPr>
        <w:t xml:space="preserve"> the functional and</w:t>
      </w:r>
      <w:r w:rsidR="0067600A" w:rsidRPr="001645B4">
        <w:rPr>
          <w:rFonts w:ascii="Times New Roman" w:hAnsi="Times New Roman" w:cs="Times New Roman"/>
        </w:rPr>
        <w:t>,</w:t>
      </w:r>
      <w:r w:rsidR="0051068F" w:rsidRPr="008C11BE">
        <w:rPr>
          <w:rFonts w:ascii="Times New Roman" w:hAnsi="Times New Roman" w:cs="Times New Roman"/>
        </w:rPr>
        <w:t xml:space="preserve"> to some extent interactive</w:t>
      </w:r>
      <w:r w:rsidR="0067600A" w:rsidRPr="008C11BE">
        <w:rPr>
          <w:rFonts w:ascii="Times New Roman" w:hAnsi="Times New Roman" w:cs="Times New Roman"/>
        </w:rPr>
        <w:t>,</w:t>
      </w:r>
      <w:r w:rsidR="0051068F" w:rsidRPr="008C11BE">
        <w:rPr>
          <w:rFonts w:ascii="Times New Roman" w:hAnsi="Times New Roman" w:cs="Times New Roman"/>
        </w:rPr>
        <w:t xml:space="preserve"> levels of health literacy but struggled to facilitate critical discussions. They observed opportunities where teachers could have been more supportive of pupil’s attempts to be critical in their discussions and of attempts to identify their own health agency. </w:t>
      </w:r>
    </w:p>
    <w:p w14:paraId="151C2319" w14:textId="77777777" w:rsidR="004A1E9A" w:rsidRPr="008C11BE" w:rsidRDefault="004A1E9A">
      <w:pPr>
        <w:spacing w:line="480" w:lineRule="auto"/>
        <w:rPr>
          <w:rFonts w:ascii="Times New Roman" w:hAnsi="Times New Roman" w:cs="Times New Roman"/>
        </w:rPr>
      </w:pPr>
    </w:p>
    <w:p w14:paraId="74815CBB" w14:textId="77777777" w:rsidR="004A1E9A" w:rsidRPr="008C11BE" w:rsidRDefault="004A1E9A">
      <w:pPr>
        <w:spacing w:line="480" w:lineRule="auto"/>
        <w:rPr>
          <w:rFonts w:ascii="Times New Roman" w:hAnsi="Times New Roman" w:cs="Times New Roman"/>
        </w:rPr>
      </w:pPr>
    </w:p>
    <w:p w14:paraId="484520A1" w14:textId="71BDBC49" w:rsidR="0051068F" w:rsidRPr="008C11BE" w:rsidRDefault="0051068F">
      <w:pPr>
        <w:spacing w:line="480" w:lineRule="auto"/>
        <w:rPr>
          <w:rFonts w:ascii="Times New Roman" w:hAnsi="Times New Roman" w:cs="Times New Roman"/>
          <w:b/>
        </w:rPr>
      </w:pPr>
      <w:r w:rsidRPr="008C11BE">
        <w:rPr>
          <w:rFonts w:ascii="Times New Roman" w:hAnsi="Times New Roman" w:cs="Times New Roman"/>
          <w:b/>
        </w:rPr>
        <w:t>&lt;h2&gt; Approaches to developing Critical Health Literacy</w:t>
      </w:r>
    </w:p>
    <w:p w14:paraId="0DE4926B" w14:textId="602D78C8" w:rsidR="0067600A" w:rsidRPr="001645B4" w:rsidRDefault="0051068F">
      <w:pPr>
        <w:spacing w:line="480" w:lineRule="auto"/>
        <w:rPr>
          <w:rFonts w:ascii="Times New Roman" w:hAnsi="Times New Roman" w:cs="Times New Roman"/>
        </w:rPr>
      </w:pPr>
      <w:r w:rsidRPr="008C11BE">
        <w:rPr>
          <w:rFonts w:ascii="Times New Roman" w:hAnsi="Times New Roman" w:cs="Times New Roman"/>
        </w:rPr>
        <w:t xml:space="preserve">Whilst all the studies aimed to develop CHL, those that had curriculum or structured programmes were </w:t>
      </w:r>
      <w:r w:rsidR="00AA38FC">
        <w:rPr>
          <w:rFonts w:ascii="Times New Roman" w:hAnsi="Times New Roman" w:cs="Times New Roman"/>
        </w:rPr>
        <w:t xml:space="preserve">less </w:t>
      </w:r>
      <w:r w:rsidRPr="008C11BE">
        <w:rPr>
          <w:rFonts w:ascii="Times New Roman" w:hAnsi="Times New Roman" w:cs="Times New Roman"/>
        </w:rPr>
        <w:t xml:space="preserve">likely to be effective. </w:t>
      </w:r>
      <w:r w:rsidR="00AA38FC">
        <w:rPr>
          <w:rFonts w:ascii="Times New Roman" w:hAnsi="Times New Roman" w:cs="Times New Roman"/>
        </w:rPr>
        <w:t xml:space="preserve"> </w:t>
      </w:r>
      <w:r w:rsidR="00DB4E02" w:rsidRPr="00A25B0A">
        <w:rPr>
          <w:rFonts w:ascii="Times New Roman" w:hAnsi="Times New Roman" w:cs="Times New Roman"/>
        </w:rPr>
        <w:t>M</w:t>
      </w:r>
      <w:r w:rsidR="0067600A" w:rsidRPr="00652443">
        <w:rPr>
          <w:rFonts w:ascii="Times New Roman" w:hAnsi="Times New Roman" w:cs="Times New Roman"/>
        </w:rPr>
        <w:t xml:space="preserve">ost of the </w:t>
      </w:r>
      <w:r w:rsidR="00A63436" w:rsidRPr="001645B4">
        <w:rPr>
          <w:rFonts w:ascii="Times New Roman" w:hAnsi="Times New Roman" w:cs="Times New Roman"/>
        </w:rPr>
        <w:t>studies point to the value of participatory</w:t>
      </w:r>
      <w:r w:rsidR="0053726C">
        <w:rPr>
          <w:rFonts w:ascii="Times New Roman" w:hAnsi="Times New Roman" w:cs="Times New Roman"/>
        </w:rPr>
        <w:t xml:space="preserve"> and action based </w:t>
      </w:r>
      <w:r w:rsidR="00A63436" w:rsidRPr="001645B4">
        <w:rPr>
          <w:rFonts w:ascii="Times New Roman" w:hAnsi="Times New Roman" w:cs="Times New Roman"/>
        </w:rPr>
        <w:t>learning</w:t>
      </w:r>
      <w:r w:rsidR="0053726C">
        <w:rPr>
          <w:rFonts w:ascii="Times New Roman" w:hAnsi="Times New Roman" w:cs="Times New Roman"/>
        </w:rPr>
        <w:t xml:space="preserve"> </w:t>
      </w:r>
      <w:r w:rsidR="00A63436" w:rsidRPr="001645B4">
        <w:rPr>
          <w:rFonts w:ascii="Times New Roman" w:hAnsi="Times New Roman" w:cs="Times New Roman"/>
        </w:rPr>
        <w:t>and reflection (</w:t>
      </w:r>
      <w:r w:rsidR="008D0FB7" w:rsidRPr="001645B4">
        <w:rPr>
          <w:rFonts w:ascii="Times New Roman" w:hAnsi="Times New Roman" w:cs="Times New Roman"/>
        </w:rPr>
        <w:t xml:space="preserve">Gould et al, 2010; </w:t>
      </w:r>
      <w:proofErr w:type="spellStart"/>
      <w:r w:rsidR="008D0FB7" w:rsidRPr="008C11BE">
        <w:rPr>
          <w:rFonts w:ascii="Times New Roman" w:hAnsi="Times New Roman" w:cs="Times New Roman"/>
        </w:rPr>
        <w:t>Mogford</w:t>
      </w:r>
      <w:proofErr w:type="spellEnd"/>
      <w:r w:rsidR="008D0FB7" w:rsidRPr="008C11BE">
        <w:rPr>
          <w:rFonts w:ascii="Times New Roman" w:hAnsi="Times New Roman" w:cs="Times New Roman"/>
        </w:rPr>
        <w:t xml:space="preserve"> et al</w:t>
      </w:r>
      <w:r w:rsidR="00895FCF">
        <w:rPr>
          <w:rFonts w:ascii="Times New Roman" w:hAnsi="Times New Roman" w:cs="Times New Roman"/>
        </w:rPr>
        <w:t>,</w:t>
      </w:r>
      <w:r w:rsidR="008D0FB7" w:rsidRPr="008C11BE">
        <w:rPr>
          <w:rFonts w:ascii="Times New Roman" w:hAnsi="Times New Roman" w:cs="Times New Roman"/>
        </w:rPr>
        <w:t xml:space="preserve"> 2011; Banister et al, 2011; Estacio, 2013; </w:t>
      </w:r>
      <w:proofErr w:type="spellStart"/>
      <w:r w:rsidR="008D0FB7" w:rsidRPr="008C11BE">
        <w:rPr>
          <w:rFonts w:ascii="Times New Roman" w:hAnsi="Times New Roman" w:cs="Times New Roman"/>
        </w:rPr>
        <w:t>Scheib</w:t>
      </w:r>
      <w:proofErr w:type="spellEnd"/>
      <w:r w:rsidR="008D0FB7" w:rsidRPr="008C11BE">
        <w:rPr>
          <w:rFonts w:ascii="Times New Roman" w:hAnsi="Times New Roman" w:cs="Times New Roman"/>
        </w:rPr>
        <w:t xml:space="preserve"> and </w:t>
      </w:r>
      <w:proofErr w:type="spellStart"/>
      <w:r w:rsidR="008D0FB7" w:rsidRPr="008C11BE">
        <w:rPr>
          <w:rFonts w:ascii="Times New Roman" w:hAnsi="Times New Roman" w:cs="Times New Roman"/>
        </w:rPr>
        <w:t>Lykes</w:t>
      </w:r>
      <w:proofErr w:type="spellEnd"/>
      <w:r w:rsidR="008D0FB7" w:rsidRPr="008C11BE">
        <w:rPr>
          <w:rFonts w:ascii="Times New Roman" w:hAnsi="Times New Roman" w:cs="Times New Roman"/>
        </w:rPr>
        <w:t xml:space="preserve">, 2013; </w:t>
      </w:r>
      <w:proofErr w:type="spellStart"/>
      <w:r w:rsidR="008D0FB7" w:rsidRPr="008C11BE">
        <w:rPr>
          <w:rFonts w:ascii="Times New Roman" w:hAnsi="Times New Roman" w:cs="Times New Roman"/>
        </w:rPr>
        <w:t>Begoray</w:t>
      </w:r>
      <w:proofErr w:type="spellEnd"/>
      <w:r w:rsidR="008D0FB7" w:rsidRPr="008C11BE">
        <w:rPr>
          <w:rFonts w:ascii="Times New Roman" w:hAnsi="Times New Roman" w:cs="Times New Roman"/>
        </w:rPr>
        <w:t xml:space="preserve"> et al, 2014; </w:t>
      </w:r>
      <w:proofErr w:type="spellStart"/>
      <w:r w:rsidR="008C11BE">
        <w:rPr>
          <w:rFonts w:ascii="Times New Roman" w:hAnsi="Times New Roman" w:cs="Times New Roman"/>
        </w:rPr>
        <w:t>McCuai</w:t>
      </w:r>
      <w:r w:rsidR="008D0FB7" w:rsidRPr="008C11BE">
        <w:rPr>
          <w:rFonts w:ascii="Times New Roman" w:hAnsi="Times New Roman" w:cs="Times New Roman"/>
        </w:rPr>
        <w:t>g</w:t>
      </w:r>
      <w:proofErr w:type="spellEnd"/>
      <w:r w:rsidR="008D0FB7" w:rsidRPr="008C11BE">
        <w:rPr>
          <w:rFonts w:ascii="Times New Roman" w:hAnsi="Times New Roman" w:cs="Times New Roman"/>
        </w:rPr>
        <w:t xml:space="preserve"> et al, 2014; </w:t>
      </w:r>
      <w:proofErr w:type="spellStart"/>
      <w:r w:rsidR="008D0FB7" w:rsidRPr="008C11BE">
        <w:rPr>
          <w:rFonts w:ascii="Times New Roman" w:hAnsi="Times New Roman" w:cs="Times New Roman"/>
        </w:rPr>
        <w:t>Bruselius</w:t>
      </w:r>
      <w:proofErr w:type="spellEnd"/>
      <w:r w:rsidR="008D0FB7" w:rsidRPr="008C11BE">
        <w:rPr>
          <w:rFonts w:ascii="Times New Roman" w:hAnsi="Times New Roman" w:cs="Times New Roman"/>
        </w:rPr>
        <w:t>-Jensen, 2017; Sykes et al, 2017; Sykes and Wills, 2017)</w:t>
      </w:r>
      <w:r w:rsidR="00DB4E02" w:rsidRPr="00EB24EE">
        <w:rPr>
          <w:rFonts w:ascii="Times New Roman" w:hAnsi="Times New Roman" w:cs="Times New Roman"/>
        </w:rPr>
        <w:t xml:space="preserve"> which several studies liken </w:t>
      </w:r>
      <w:r w:rsidR="00DB4E02" w:rsidRPr="008C11BE">
        <w:rPr>
          <w:rFonts w:ascii="Times New Roman" w:hAnsi="Times New Roman" w:cs="Times New Roman"/>
        </w:rPr>
        <w:t>to</w:t>
      </w:r>
      <w:r w:rsidR="00DE0625">
        <w:rPr>
          <w:rFonts w:ascii="Times New Roman" w:hAnsi="Times New Roman" w:cs="Times New Roman"/>
        </w:rPr>
        <w:t xml:space="preserve"> an</w:t>
      </w:r>
      <w:r w:rsidR="00DB4E02" w:rsidRPr="008C11BE">
        <w:rPr>
          <w:rFonts w:ascii="Times New Roman" w:hAnsi="Times New Roman" w:cs="Times New Roman"/>
        </w:rPr>
        <w:t xml:space="preserve"> education for ‘critical consciousness’ advocated by Freire (</w:t>
      </w:r>
      <w:r w:rsidR="008D0FB7" w:rsidRPr="008C11BE">
        <w:rPr>
          <w:rFonts w:ascii="Times New Roman" w:hAnsi="Times New Roman" w:cs="Times New Roman"/>
        </w:rPr>
        <w:t>1993</w:t>
      </w:r>
      <w:r w:rsidR="00DB4E02" w:rsidRPr="008C11BE">
        <w:rPr>
          <w:rFonts w:ascii="Times New Roman" w:hAnsi="Times New Roman" w:cs="Times New Roman"/>
        </w:rPr>
        <w:t>). This approach is more commonly associated with community development wo</w:t>
      </w:r>
      <w:r w:rsidR="00DB4E02" w:rsidRPr="00A25B0A">
        <w:rPr>
          <w:rFonts w:ascii="Times New Roman" w:hAnsi="Times New Roman" w:cs="Times New Roman"/>
        </w:rPr>
        <w:t xml:space="preserve">rk </w:t>
      </w:r>
      <w:proofErr w:type="gramStart"/>
      <w:r w:rsidR="00DB4E02" w:rsidRPr="00A25B0A">
        <w:rPr>
          <w:rFonts w:ascii="Times New Roman" w:hAnsi="Times New Roman" w:cs="Times New Roman"/>
        </w:rPr>
        <w:t>and  can</w:t>
      </w:r>
      <w:proofErr w:type="gramEnd"/>
      <w:r w:rsidR="00DB4E02" w:rsidRPr="00A25B0A">
        <w:rPr>
          <w:rFonts w:ascii="Times New Roman" w:hAnsi="Times New Roman" w:cs="Times New Roman"/>
        </w:rPr>
        <w:t xml:space="preserve"> be seen to underpin the approaches taken by the four </w:t>
      </w:r>
      <w:r w:rsidR="00DE0625">
        <w:rPr>
          <w:rFonts w:ascii="Times New Roman" w:hAnsi="Times New Roman" w:cs="Times New Roman"/>
        </w:rPr>
        <w:t xml:space="preserve">included </w:t>
      </w:r>
      <w:r w:rsidR="00391180">
        <w:rPr>
          <w:rFonts w:ascii="Times New Roman" w:hAnsi="Times New Roman" w:cs="Times New Roman"/>
        </w:rPr>
        <w:t xml:space="preserve">CHL </w:t>
      </w:r>
      <w:r w:rsidR="00DB4E02" w:rsidRPr="00A25B0A">
        <w:rPr>
          <w:rFonts w:ascii="Times New Roman" w:hAnsi="Times New Roman" w:cs="Times New Roman"/>
        </w:rPr>
        <w:t>interventions based in commu</w:t>
      </w:r>
      <w:r w:rsidR="00DB4E02" w:rsidRPr="001645B4">
        <w:rPr>
          <w:rFonts w:ascii="Times New Roman" w:hAnsi="Times New Roman" w:cs="Times New Roman"/>
        </w:rPr>
        <w:t xml:space="preserve">nities </w:t>
      </w:r>
      <w:r w:rsidR="00DB4E02" w:rsidRPr="00EB24EE">
        <w:rPr>
          <w:rFonts w:ascii="Times New Roman" w:hAnsi="Times New Roman" w:cs="Times New Roman"/>
        </w:rPr>
        <w:t>(</w:t>
      </w:r>
      <w:r w:rsidR="008D0FB7" w:rsidRPr="00EB24EE">
        <w:rPr>
          <w:rFonts w:ascii="Times New Roman" w:hAnsi="Times New Roman" w:cs="Times New Roman"/>
        </w:rPr>
        <w:t xml:space="preserve">Estacio, 2013; </w:t>
      </w:r>
      <w:proofErr w:type="spellStart"/>
      <w:r w:rsidR="008D0FB7" w:rsidRPr="00EB24EE">
        <w:rPr>
          <w:rFonts w:ascii="Times New Roman" w:hAnsi="Times New Roman" w:cs="Times New Roman"/>
        </w:rPr>
        <w:t>Scheib</w:t>
      </w:r>
      <w:proofErr w:type="spellEnd"/>
      <w:r w:rsidR="008D0FB7" w:rsidRPr="00EB24EE">
        <w:rPr>
          <w:rFonts w:ascii="Times New Roman" w:hAnsi="Times New Roman" w:cs="Times New Roman"/>
        </w:rPr>
        <w:t xml:space="preserve"> and </w:t>
      </w:r>
      <w:proofErr w:type="spellStart"/>
      <w:r w:rsidR="008D0FB7" w:rsidRPr="00EB24EE">
        <w:rPr>
          <w:rFonts w:ascii="Times New Roman" w:hAnsi="Times New Roman" w:cs="Times New Roman"/>
        </w:rPr>
        <w:t>Lykes</w:t>
      </w:r>
      <w:proofErr w:type="spellEnd"/>
      <w:r w:rsidR="008D0FB7" w:rsidRPr="00EB24EE">
        <w:rPr>
          <w:rFonts w:ascii="Times New Roman" w:hAnsi="Times New Roman" w:cs="Times New Roman"/>
        </w:rPr>
        <w:t>, 2013; Drew, 2015; Sykes et al, 2017)</w:t>
      </w:r>
      <w:r w:rsidR="00DB4E02" w:rsidRPr="00EB24EE">
        <w:rPr>
          <w:rFonts w:ascii="Times New Roman" w:hAnsi="Times New Roman" w:cs="Times New Roman"/>
        </w:rPr>
        <w:t>.</w:t>
      </w:r>
      <w:r w:rsidR="00DB4E02" w:rsidRPr="008C11BE">
        <w:rPr>
          <w:rFonts w:ascii="Times New Roman" w:hAnsi="Times New Roman" w:cs="Times New Roman"/>
        </w:rPr>
        <w:t xml:space="preserve"> Typical across these interventions are approaches that seek to achieve greater social justice, with communities themselves identifying structural issues that may impact on health and working together towards a collective solution</w:t>
      </w:r>
      <w:r w:rsidR="004224E7">
        <w:rPr>
          <w:rFonts w:ascii="Times New Roman" w:hAnsi="Times New Roman" w:cs="Times New Roman"/>
        </w:rPr>
        <w:t xml:space="preserve">. </w:t>
      </w:r>
      <w:r w:rsidR="00DB4E02" w:rsidRPr="008C11BE">
        <w:rPr>
          <w:rFonts w:ascii="Times New Roman" w:hAnsi="Times New Roman" w:cs="Times New Roman"/>
        </w:rPr>
        <w:t xml:space="preserve">The focus becomes one of developing </w:t>
      </w:r>
      <w:r w:rsidR="00DB4E02" w:rsidRPr="008C11BE">
        <w:rPr>
          <w:rFonts w:ascii="Times New Roman" w:hAnsi="Times New Roman" w:cs="Times New Roman"/>
        </w:rPr>
        <w:lastRenderedPageBreak/>
        <w:t xml:space="preserve">critically health literate communities rather than individuals. </w:t>
      </w:r>
      <w:r w:rsidR="00DB4E02" w:rsidRPr="00A25B0A">
        <w:rPr>
          <w:rFonts w:ascii="Times New Roman" w:hAnsi="Times New Roman" w:cs="Times New Roman"/>
        </w:rPr>
        <w:t xml:space="preserve">The community-based studies did not offer measurements of </w:t>
      </w:r>
      <w:r w:rsidR="00391180">
        <w:rPr>
          <w:rFonts w:ascii="Times New Roman" w:hAnsi="Times New Roman" w:cs="Times New Roman"/>
        </w:rPr>
        <w:t xml:space="preserve">CHL </w:t>
      </w:r>
      <w:r w:rsidR="00DB4E02" w:rsidRPr="00A25B0A">
        <w:rPr>
          <w:rFonts w:ascii="Times New Roman" w:hAnsi="Times New Roman" w:cs="Times New Roman"/>
        </w:rPr>
        <w:t>but the qualitative research associated with three of them (</w:t>
      </w:r>
      <w:r w:rsidR="008D0FB7" w:rsidRPr="00A25B0A">
        <w:rPr>
          <w:rFonts w:ascii="Times New Roman" w:hAnsi="Times New Roman" w:cs="Times New Roman"/>
        </w:rPr>
        <w:t xml:space="preserve">Estacio, 2013; </w:t>
      </w:r>
      <w:proofErr w:type="spellStart"/>
      <w:r w:rsidR="008D0FB7" w:rsidRPr="00EB24EE">
        <w:rPr>
          <w:rFonts w:ascii="Times New Roman" w:hAnsi="Times New Roman" w:cs="Times New Roman"/>
        </w:rPr>
        <w:t>Scheib</w:t>
      </w:r>
      <w:proofErr w:type="spellEnd"/>
      <w:r w:rsidR="008D0FB7" w:rsidRPr="00EB24EE">
        <w:rPr>
          <w:rFonts w:ascii="Times New Roman" w:hAnsi="Times New Roman" w:cs="Times New Roman"/>
        </w:rPr>
        <w:t xml:space="preserve"> and </w:t>
      </w:r>
      <w:proofErr w:type="spellStart"/>
      <w:r w:rsidR="008D0FB7" w:rsidRPr="00EB24EE">
        <w:rPr>
          <w:rFonts w:ascii="Times New Roman" w:hAnsi="Times New Roman" w:cs="Times New Roman"/>
        </w:rPr>
        <w:t>Lykes</w:t>
      </w:r>
      <w:proofErr w:type="spellEnd"/>
      <w:r w:rsidR="008D0FB7" w:rsidRPr="00EB24EE">
        <w:rPr>
          <w:rFonts w:ascii="Times New Roman" w:hAnsi="Times New Roman" w:cs="Times New Roman"/>
        </w:rPr>
        <w:t>, 2013; Sykes et al, 2017</w:t>
      </w:r>
      <w:r w:rsidR="00DB4E02" w:rsidRPr="00EB24EE">
        <w:rPr>
          <w:rFonts w:ascii="Times New Roman" w:hAnsi="Times New Roman" w:cs="Times New Roman"/>
        </w:rPr>
        <w:t>),</w:t>
      </w:r>
      <w:r w:rsidR="00DB4E02" w:rsidRPr="008C11BE">
        <w:rPr>
          <w:rFonts w:ascii="Times New Roman" w:hAnsi="Times New Roman" w:cs="Times New Roman"/>
        </w:rPr>
        <w:t xml:space="preserve"> clearly evidence</w:t>
      </w:r>
      <w:r w:rsidR="00DE0625">
        <w:rPr>
          <w:rFonts w:ascii="Times New Roman" w:hAnsi="Times New Roman" w:cs="Times New Roman"/>
        </w:rPr>
        <w:t xml:space="preserve">d </w:t>
      </w:r>
      <w:r w:rsidR="00DB4E02" w:rsidRPr="008C11BE">
        <w:rPr>
          <w:rFonts w:ascii="Times New Roman" w:hAnsi="Times New Roman" w:cs="Times New Roman"/>
        </w:rPr>
        <w:t>action to address structural determinants of health by participants at a co</w:t>
      </w:r>
      <w:r w:rsidR="00DB4E02" w:rsidRPr="00A25B0A">
        <w:rPr>
          <w:rFonts w:ascii="Times New Roman" w:hAnsi="Times New Roman" w:cs="Times New Roman"/>
        </w:rPr>
        <w:t xml:space="preserve">mmunity level, the attribute of </w:t>
      </w:r>
      <w:r w:rsidR="00391180">
        <w:rPr>
          <w:rFonts w:ascii="Times New Roman" w:hAnsi="Times New Roman" w:cs="Times New Roman"/>
        </w:rPr>
        <w:t xml:space="preserve">CHL </w:t>
      </w:r>
      <w:r w:rsidR="00DB4E02" w:rsidRPr="00A25B0A">
        <w:rPr>
          <w:rFonts w:ascii="Times New Roman" w:hAnsi="Times New Roman" w:cs="Times New Roman"/>
        </w:rPr>
        <w:t xml:space="preserve">less successfully evidenced by curriculum-based approaches. </w:t>
      </w:r>
    </w:p>
    <w:p w14:paraId="418AF08D" w14:textId="77777777" w:rsidR="00DB4E02" w:rsidRPr="008C11BE" w:rsidRDefault="00DB4E02">
      <w:pPr>
        <w:spacing w:line="480" w:lineRule="auto"/>
        <w:rPr>
          <w:rFonts w:ascii="Times New Roman" w:hAnsi="Times New Roman" w:cs="Times New Roman"/>
        </w:rPr>
      </w:pPr>
    </w:p>
    <w:p w14:paraId="42A3CD05" w14:textId="5B16E2FE" w:rsidR="0067600A" w:rsidRPr="008C11BE" w:rsidRDefault="0067600A">
      <w:pPr>
        <w:spacing w:line="480" w:lineRule="auto"/>
        <w:rPr>
          <w:rFonts w:ascii="Times New Roman" w:hAnsi="Times New Roman" w:cs="Times New Roman"/>
        </w:rPr>
      </w:pPr>
      <w:r w:rsidRPr="008C11BE">
        <w:rPr>
          <w:rFonts w:ascii="Times New Roman" w:hAnsi="Times New Roman" w:cs="Times New Roman"/>
        </w:rPr>
        <w:t xml:space="preserve">In </w:t>
      </w:r>
      <w:proofErr w:type="spellStart"/>
      <w:r w:rsidRPr="008C11BE">
        <w:rPr>
          <w:rFonts w:ascii="Times New Roman" w:hAnsi="Times New Roman" w:cs="Times New Roman"/>
        </w:rPr>
        <w:t>Scheib</w:t>
      </w:r>
      <w:proofErr w:type="spellEnd"/>
      <w:r w:rsidRPr="008C11BE">
        <w:rPr>
          <w:rFonts w:ascii="Times New Roman" w:hAnsi="Times New Roman" w:cs="Times New Roman"/>
        </w:rPr>
        <w:t xml:space="preserve"> and </w:t>
      </w:r>
      <w:proofErr w:type="spellStart"/>
      <w:r w:rsidRPr="008C11BE">
        <w:rPr>
          <w:rFonts w:ascii="Times New Roman" w:hAnsi="Times New Roman" w:cs="Times New Roman"/>
        </w:rPr>
        <w:t>Lykes</w:t>
      </w:r>
      <w:proofErr w:type="spellEnd"/>
      <w:r w:rsidR="00DE0625">
        <w:rPr>
          <w:rFonts w:ascii="Times New Roman" w:hAnsi="Times New Roman" w:cs="Times New Roman"/>
        </w:rPr>
        <w:t>’ study</w:t>
      </w:r>
      <w:r w:rsidRPr="008C11BE">
        <w:rPr>
          <w:rFonts w:ascii="Times New Roman" w:hAnsi="Times New Roman" w:cs="Times New Roman"/>
        </w:rPr>
        <w:t xml:space="preserve"> (2013) participatory action research was used with community health workers in the aftermath of hurricane Katrina in New Orleans. Participants used photography and a facilitated process of reflection and analysis to document individual recovery </w:t>
      </w:r>
      <w:r w:rsidR="00DE0625">
        <w:rPr>
          <w:rFonts w:ascii="Times New Roman" w:hAnsi="Times New Roman" w:cs="Times New Roman"/>
        </w:rPr>
        <w:t>responses</w:t>
      </w:r>
      <w:r w:rsidRPr="008C11BE">
        <w:rPr>
          <w:rFonts w:ascii="Times New Roman" w:hAnsi="Times New Roman" w:cs="Times New Roman"/>
        </w:rPr>
        <w:t xml:space="preserve"> to a range of social inequalities. The data gathered pointed to an acquisition of skills and capacities that facilitated critical analyses of structural inequalities and selected responses to them amongst participants. Authors concluded that the creative process that encouraged participants to voice their concerns and understandings through images, storytelling and critical reflections, allowed participants to recognise themselves and be recognised by others as both producers of health knowledge and contributors to the responses to the post-disaster challenges. </w:t>
      </w:r>
    </w:p>
    <w:p w14:paraId="53376696" w14:textId="77777777" w:rsidR="0067600A" w:rsidRPr="008C11BE" w:rsidRDefault="0067600A">
      <w:pPr>
        <w:spacing w:line="480" w:lineRule="auto"/>
        <w:rPr>
          <w:rFonts w:ascii="Times New Roman" w:hAnsi="Times New Roman" w:cs="Times New Roman"/>
        </w:rPr>
      </w:pPr>
    </w:p>
    <w:p w14:paraId="19AFAE93" w14:textId="4860EEFD" w:rsidR="0067600A" w:rsidRPr="008C11BE" w:rsidRDefault="0067600A">
      <w:pPr>
        <w:spacing w:line="480" w:lineRule="auto"/>
        <w:rPr>
          <w:rFonts w:ascii="Times New Roman" w:hAnsi="Times New Roman" w:cs="Times New Roman"/>
        </w:rPr>
      </w:pPr>
      <w:r w:rsidRPr="008C11BE">
        <w:rPr>
          <w:rFonts w:ascii="Times New Roman" w:hAnsi="Times New Roman" w:cs="Times New Roman"/>
        </w:rPr>
        <w:t xml:space="preserve">The case study presented by Sykes et al (2017) demonstrates critical health action for change at a community level as an outcome of a community development project using a citizen’s jury model. The aim of this project was for a disadvantaged community to create a vision of a better food system for which community members and the wider organisation could campaign. This was based on a position that community members have a right to be involved in deciding what kind of food system they have. The case study demonstrates that </w:t>
      </w:r>
      <w:proofErr w:type="gramStart"/>
      <w:r w:rsidRPr="008C11BE">
        <w:rPr>
          <w:rFonts w:ascii="Times New Roman" w:hAnsi="Times New Roman" w:cs="Times New Roman"/>
        </w:rPr>
        <w:t>through  participatory</w:t>
      </w:r>
      <w:proofErr w:type="gramEnd"/>
      <w:r w:rsidRPr="008C11BE">
        <w:rPr>
          <w:rFonts w:ascii="Times New Roman" w:hAnsi="Times New Roman" w:cs="Times New Roman"/>
        </w:rPr>
        <w:t xml:space="preserve"> process</w:t>
      </w:r>
      <w:r w:rsidR="00DE0625">
        <w:rPr>
          <w:rFonts w:ascii="Times New Roman" w:hAnsi="Times New Roman" w:cs="Times New Roman"/>
        </w:rPr>
        <w:t>es</w:t>
      </w:r>
      <w:r w:rsidRPr="008C11BE">
        <w:rPr>
          <w:rFonts w:ascii="Times New Roman" w:hAnsi="Times New Roman" w:cs="Times New Roman"/>
        </w:rPr>
        <w:t xml:space="preserve"> whereby participants identif</w:t>
      </w:r>
      <w:r w:rsidR="00DE0625">
        <w:rPr>
          <w:rFonts w:ascii="Times New Roman" w:hAnsi="Times New Roman" w:cs="Times New Roman"/>
        </w:rPr>
        <w:t>ied</w:t>
      </w:r>
      <w:r w:rsidRPr="008C11BE">
        <w:rPr>
          <w:rFonts w:ascii="Times New Roman" w:hAnsi="Times New Roman" w:cs="Times New Roman"/>
        </w:rPr>
        <w:t xml:space="preserve">  barriers faced </w:t>
      </w:r>
      <w:r w:rsidR="0069209A">
        <w:rPr>
          <w:rFonts w:ascii="Times New Roman" w:hAnsi="Times New Roman" w:cs="Times New Roman"/>
        </w:rPr>
        <w:t>by the</w:t>
      </w:r>
      <w:r w:rsidRPr="008C11BE">
        <w:rPr>
          <w:rFonts w:ascii="Times New Roman" w:hAnsi="Times New Roman" w:cs="Times New Roman"/>
        </w:rPr>
        <w:t xml:space="preserve">  community to eating  healthy </w:t>
      </w:r>
      <w:r w:rsidR="00DE0625">
        <w:rPr>
          <w:rFonts w:ascii="Times New Roman" w:hAnsi="Times New Roman" w:cs="Times New Roman"/>
        </w:rPr>
        <w:t>food</w:t>
      </w:r>
      <w:r w:rsidR="00DE0625" w:rsidRPr="008C11BE">
        <w:rPr>
          <w:rFonts w:ascii="Times New Roman" w:hAnsi="Times New Roman" w:cs="Times New Roman"/>
        </w:rPr>
        <w:t xml:space="preserve"> </w:t>
      </w:r>
      <w:r w:rsidRPr="008C11BE">
        <w:rPr>
          <w:rFonts w:ascii="Times New Roman" w:hAnsi="Times New Roman" w:cs="Times New Roman"/>
        </w:rPr>
        <w:t xml:space="preserve">and then to question ‘expert’ stakeholders on why those barriers existed, </w:t>
      </w:r>
      <w:r w:rsidRPr="008C11BE">
        <w:rPr>
          <w:rFonts w:ascii="Times New Roman" w:hAnsi="Times New Roman" w:cs="Times New Roman"/>
        </w:rPr>
        <w:lastRenderedPageBreak/>
        <w:t>they became critically informed about the determinants of their diet</w:t>
      </w:r>
      <w:r w:rsidR="00DE0625">
        <w:rPr>
          <w:rFonts w:ascii="Times New Roman" w:hAnsi="Times New Roman" w:cs="Times New Roman"/>
        </w:rPr>
        <w:t>. T</w:t>
      </w:r>
      <w:r w:rsidRPr="008C11BE">
        <w:rPr>
          <w:rFonts w:ascii="Times New Roman" w:hAnsi="Times New Roman" w:cs="Times New Roman"/>
        </w:rPr>
        <w:t xml:space="preserve">he process of identifying areas for change meant they also became agents of change. The processes involved in these projects are complex but address the need identified by </w:t>
      </w:r>
      <w:proofErr w:type="spellStart"/>
      <w:r w:rsidRPr="008C11BE">
        <w:rPr>
          <w:rFonts w:ascii="Times New Roman" w:hAnsi="Times New Roman" w:cs="Times New Roman"/>
        </w:rPr>
        <w:t>Begoray</w:t>
      </w:r>
      <w:proofErr w:type="spellEnd"/>
      <w:r w:rsidRPr="008C11BE">
        <w:rPr>
          <w:rFonts w:ascii="Times New Roman" w:hAnsi="Times New Roman" w:cs="Times New Roman"/>
        </w:rPr>
        <w:t xml:space="preserve"> et al (</w:t>
      </w:r>
      <w:r w:rsidR="00A67C12" w:rsidRPr="008C11BE">
        <w:rPr>
          <w:rFonts w:ascii="Times New Roman" w:hAnsi="Times New Roman" w:cs="Times New Roman"/>
        </w:rPr>
        <w:t>2014</w:t>
      </w:r>
      <w:r w:rsidRPr="008C11BE">
        <w:rPr>
          <w:rFonts w:ascii="Times New Roman" w:hAnsi="Times New Roman" w:cs="Times New Roman"/>
        </w:rPr>
        <w:t xml:space="preserve">) for CHL interventions to involve the broader community to address multiple factors at the intrapersonal, interpersonal and community level. </w:t>
      </w:r>
    </w:p>
    <w:p w14:paraId="539A412D" w14:textId="74125FC3" w:rsidR="004A1E9A" w:rsidRPr="008C11BE" w:rsidRDefault="004A1E9A">
      <w:pPr>
        <w:spacing w:line="480" w:lineRule="auto"/>
        <w:rPr>
          <w:rFonts w:ascii="Times New Roman" w:hAnsi="Times New Roman" w:cs="Times New Roman"/>
        </w:rPr>
      </w:pPr>
    </w:p>
    <w:p w14:paraId="1B9D4989" w14:textId="5ADB2D18" w:rsidR="00A63436" w:rsidRPr="008C11BE" w:rsidRDefault="004A1E9A">
      <w:pPr>
        <w:spacing w:line="480" w:lineRule="auto"/>
        <w:rPr>
          <w:rFonts w:ascii="Times New Roman" w:hAnsi="Times New Roman" w:cs="Times New Roman"/>
          <w:b/>
        </w:rPr>
      </w:pPr>
      <w:r w:rsidRPr="008C11BE">
        <w:rPr>
          <w:rFonts w:ascii="Times New Roman" w:hAnsi="Times New Roman" w:cs="Times New Roman"/>
          <w:b/>
        </w:rPr>
        <w:t>&lt;h2&gt; Critical Health Literacy and the Marginalised</w:t>
      </w:r>
    </w:p>
    <w:p w14:paraId="15FCAAA1" w14:textId="324F1FF0" w:rsidR="00A63436" w:rsidRPr="008C11BE" w:rsidRDefault="00C610E9">
      <w:pPr>
        <w:autoSpaceDE w:val="0"/>
        <w:autoSpaceDN w:val="0"/>
        <w:adjustRightInd w:val="0"/>
        <w:spacing w:line="480" w:lineRule="auto"/>
        <w:jc w:val="both"/>
        <w:rPr>
          <w:rFonts w:ascii="Times New Roman" w:hAnsi="Times New Roman" w:cs="Times New Roman"/>
        </w:rPr>
      </w:pPr>
      <w:r w:rsidRPr="008C11BE">
        <w:rPr>
          <w:rFonts w:ascii="Times New Roman" w:hAnsi="Times New Roman" w:cs="Times New Roman"/>
        </w:rPr>
        <w:t>Six</w:t>
      </w:r>
      <w:r w:rsidR="00A63436" w:rsidRPr="008C11BE">
        <w:rPr>
          <w:rFonts w:ascii="Times New Roman" w:hAnsi="Times New Roman" w:cs="Times New Roman"/>
        </w:rPr>
        <w:t xml:space="preserve"> of the studies were interventions that worked with marginalised </w:t>
      </w:r>
      <w:r w:rsidR="00DB4E02" w:rsidRPr="008C11BE">
        <w:rPr>
          <w:rFonts w:ascii="Times New Roman" w:hAnsi="Times New Roman" w:cs="Times New Roman"/>
        </w:rPr>
        <w:t>communities</w:t>
      </w:r>
      <w:r w:rsidR="00A67C12" w:rsidRPr="008C11BE">
        <w:rPr>
          <w:rFonts w:ascii="Times New Roman" w:hAnsi="Times New Roman" w:cs="Times New Roman"/>
        </w:rPr>
        <w:t xml:space="preserve"> (</w:t>
      </w:r>
      <w:r w:rsidRPr="008C11BE">
        <w:rPr>
          <w:rFonts w:ascii="Times New Roman" w:hAnsi="Times New Roman" w:cs="Times New Roman"/>
        </w:rPr>
        <w:t xml:space="preserve">Estacio, 2013; </w:t>
      </w:r>
      <w:proofErr w:type="spellStart"/>
      <w:r w:rsidR="00A67C12" w:rsidRPr="008C11BE">
        <w:rPr>
          <w:rFonts w:ascii="Times New Roman" w:hAnsi="Times New Roman" w:cs="Times New Roman"/>
        </w:rPr>
        <w:t>Scheib</w:t>
      </w:r>
      <w:proofErr w:type="spellEnd"/>
      <w:r w:rsidR="00A67C12" w:rsidRPr="008C11BE">
        <w:rPr>
          <w:rFonts w:ascii="Times New Roman" w:hAnsi="Times New Roman" w:cs="Times New Roman"/>
        </w:rPr>
        <w:t xml:space="preserve"> and </w:t>
      </w:r>
      <w:proofErr w:type="spellStart"/>
      <w:r w:rsidR="00A67C12" w:rsidRPr="008C11BE">
        <w:rPr>
          <w:rFonts w:ascii="Times New Roman" w:hAnsi="Times New Roman" w:cs="Times New Roman"/>
        </w:rPr>
        <w:t>Lykes</w:t>
      </w:r>
      <w:proofErr w:type="spellEnd"/>
      <w:r w:rsidR="004224E7">
        <w:rPr>
          <w:rFonts w:ascii="Times New Roman" w:hAnsi="Times New Roman" w:cs="Times New Roman"/>
        </w:rPr>
        <w:t>,</w:t>
      </w:r>
      <w:r w:rsidR="00A67C12" w:rsidRPr="008C11BE">
        <w:rPr>
          <w:rFonts w:ascii="Times New Roman" w:hAnsi="Times New Roman" w:cs="Times New Roman"/>
        </w:rPr>
        <w:t xml:space="preserve"> 2013; Drew, 2015; Muscat et al, 2017; Sykes et al, 2017; Sykes and Wills, 2017)</w:t>
      </w:r>
      <w:r w:rsidR="00DE0625">
        <w:rPr>
          <w:rFonts w:ascii="Times New Roman" w:hAnsi="Times New Roman" w:cs="Times New Roman"/>
        </w:rPr>
        <w:t xml:space="preserve"> M</w:t>
      </w:r>
      <w:r w:rsidR="00A63436" w:rsidRPr="008C11BE">
        <w:rPr>
          <w:rFonts w:ascii="Times New Roman" w:hAnsi="Times New Roman" w:cs="Times New Roman"/>
        </w:rPr>
        <w:t>ost</w:t>
      </w:r>
      <w:r w:rsidR="00DB4E02" w:rsidRPr="008C11BE">
        <w:rPr>
          <w:rFonts w:ascii="Times New Roman" w:hAnsi="Times New Roman" w:cs="Times New Roman"/>
        </w:rPr>
        <w:t xml:space="preserve"> </w:t>
      </w:r>
      <w:r w:rsidR="00A63436" w:rsidRPr="008C11BE">
        <w:rPr>
          <w:rFonts w:ascii="Times New Roman" w:hAnsi="Times New Roman" w:cs="Times New Roman"/>
        </w:rPr>
        <w:t>had a focus on communicative health literacy and the ability to use information. Such interventions</w:t>
      </w:r>
      <w:r w:rsidR="00DE0625">
        <w:rPr>
          <w:rFonts w:ascii="Times New Roman" w:hAnsi="Times New Roman" w:cs="Times New Roman"/>
        </w:rPr>
        <w:t>,</w:t>
      </w:r>
      <w:r w:rsidR="00A63436" w:rsidRPr="008C11BE">
        <w:rPr>
          <w:rFonts w:ascii="Times New Roman" w:hAnsi="Times New Roman" w:cs="Times New Roman"/>
        </w:rPr>
        <w:t xml:space="preserve"> where the goal is for the user of health care or information to become autonomous and responsible, are focused on the individual and far away from the view of health literacy and communities which Chinn (2011</w:t>
      </w:r>
      <w:r w:rsidR="002B6588">
        <w:rPr>
          <w:rFonts w:ascii="Times New Roman" w:hAnsi="Times New Roman" w:cs="Times New Roman"/>
        </w:rPr>
        <w:t>, p66</w:t>
      </w:r>
      <w:r w:rsidR="00A63436" w:rsidRPr="008C11BE">
        <w:rPr>
          <w:rFonts w:ascii="Times New Roman" w:hAnsi="Times New Roman" w:cs="Times New Roman"/>
        </w:rPr>
        <w:t>) calls the “collectivist-minded, socially active citizen who prioritizes the common good and public health goals”.</w:t>
      </w:r>
    </w:p>
    <w:p w14:paraId="7597EDA8" w14:textId="77777777" w:rsidR="00DB4E02" w:rsidRPr="008C11BE" w:rsidRDefault="00DB4E02">
      <w:pPr>
        <w:autoSpaceDE w:val="0"/>
        <w:autoSpaceDN w:val="0"/>
        <w:adjustRightInd w:val="0"/>
        <w:spacing w:line="480" w:lineRule="auto"/>
        <w:jc w:val="both"/>
        <w:rPr>
          <w:rFonts w:ascii="Times New Roman" w:hAnsi="Times New Roman" w:cs="Times New Roman"/>
        </w:rPr>
      </w:pPr>
    </w:p>
    <w:p w14:paraId="2DDBA643" w14:textId="56216A4A" w:rsidR="0011263A" w:rsidRPr="008C11BE" w:rsidRDefault="00A63436">
      <w:pPr>
        <w:autoSpaceDE w:val="0"/>
        <w:autoSpaceDN w:val="0"/>
        <w:adjustRightInd w:val="0"/>
        <w:spacing w:line="480" w:lineRule="auto"/>
        <w:jc w:val="both"/>
        <w:rPr>
          <w:rFonts w:ascii="Times New Roman" w:hAnsi="Times New Roman" w:cs="Times New Roman"/>
        </w:rPr>
      </w:pPr>
      <w:r w:rsidRPr="008C11BE">
        <w:rPr>
          <w:rFonts w:ascii="Times New Roman" w:hAnsi="Times New Roman" w:cs="Times New Roman"/>
        </w:rPr>
        <w:t xml:space="preserve"> </w:t>
      </w:r>
      <w:r w:rsidR="0011263A" w:rsidRPr="008C11BE">
        <w:rPr>
          <w:rFonts w:ascii="Times New Roman" w:hAnsi="Times New Roman" w:cs="Times New Roman"/>
        </w:rPr>
        <w:t>One of the key learning points is the importance of interventions being aware of</w:t>
      </w:r>
      <w:r w:rsidR="00EB24EE">
        <w:rPr>
          <w:rFonts w:ascii="Times New Roman" w:hAnsi="Times New Roman" w:cs="Times New Roman"/>
        </w:rPr>
        <w:t>,</w:t>
      </w:r>
      <w:r w:rsidR="0011263A" w:rsidRPr="008C11BE">
        <w:rPr>
          <w:rFonts w:ascii="Times New Roman" w:hAnsi="Times New Roman" w:cs="Times New Roman"/>
        </w:rPr>
        <w:t xml:space="preserve"> and responsive to</w:t>
      </w:r>
      <w:r w:rsidR="00EB24EE">
        <w:rPr>
          <w:rFonts w:ascii="Times New Roman" w:hAnsi="Times New Roman" w:cs="Times New Roman"/>
        </w:rPr>
        <w:t>,</w:t>
      </w:r>
      <w:r w:rsidR="0011263A" w:rsidRPr="008C11BE">
        <w:rPr>
          <w:rFonts w:ascii="Times New Roman" w:hAnsi="Times New Roman" w:cs="Times New Roman"/>
        </w:rPr>
        <w:t xml:space="preserve"> the social, cultural and psychological context of participants (</w:t>
      </w:r>
      <w:proofErr w:type="spellStart"/>
      <w:r w:rsidR="00C610E9" w:rsidRPr="00EB24EE">
        <w:rPr>
          <w:rFonts w:ascii="Times New Roman" w:hAnsi="Times New Roman" w:cs="Times New Roman"/>
        </w:rPr>
        <w:t>Bansister</w:t>
      </w:r>
      <w:proofErr w:type="spellEnd"/>
      <w:r w:rsidR="00C610E9" w:rsidRPr="00EB24EE">
        <w:rPr>
          <w:rFonts w:ascii="Times New Roman" w:hAnsi="Times New Roman" w:cs="Times New Roman"/>
        </w:rPr>
        <w:t xml:space="preserve"> et al, 2011</w:t>
      </w:r>
      <w:r w:rsidR="0011263A" w:rsidRPr="00EB24EE">
        <w:rPr>
          <w:rFonts w:ascii="Times New Roman" w:hAnsi="Times New Roman" w:cs="Times New Roman"/>
        </w:rPr>
        <w:t>).</w:t>
      </w:r>
      <w:r w:rsidR="0011263A" w:rsidRPr="008C11BE">
        <w:rPr>
          <w:rFonts w:ascii="Times New Roman" w:hAnsi="Times New Roman" w:cs="Times New Roman"/>
        </w:rPr>
        <w:t xml:space="preserve">  The tailoring of interventions to cultural needs of the target groups was emphasised</w:t>
      </w:r>
      <w:r w:rsidR="0011263A" w:rsidRPr="00A25B0A">
        <w:rPr>
          <w:rFonts w:ascii="Times New Roman" w:hAnsi="Times New Roman" w:cs="Times New Roman"/>
        </w:rPr>
        <w:t xml:space="preserve"> by </w:t>
      </w:r>
      <w:proofErr w:type="spellStart"/>
      <w:r w:rsidR="0011263A" w:rsidRPr="00A25B0A">
        <w:rPr>
          <w:rFonts w:ascii="Times New Roman" w:hAnsi="Times New Roman" w:cs="Times New Roman"/>
        </w:rPr>
        <w:t>Begoray</w:t>
      </w:r>
      <w:proofErr w:type="spellEnd"/>
      <w:r w:rsidR="0011263A" w:rsidRPr="00A25B0A">
        <w:rPr>
          <w:rFonts w:ascii="Times New Roman" w:hAnsi="Times New Roman" w:cs="Times New Roman"/>
        </w:rPr>
        <w:t xml:space="preserve"> et al (</w:t>
      </w:r>
      <w:r w:rsidR="00C610E9" w:rsidRPr="00652443">
        <w:rPr>
          <w:rFonts w:ascii="Times New Roman" w:hAnsi="Times New Roman" w:cs="Times New Roman"/>
        </w:rPr>
        <w:t>2014</w:t>
      </w:r>
      <w:r w:rsidR="0011263A" w:rsidRPr="001645B4">
        <w:rPr>
          <w:rFonts w:ascii="Times New Roman" w:hAnsi="Times New Roman" w:cs="Times New Roman"/>
        </w:rPr>
        <w:t>) who concluded that students’ ability to learn was tied to how harmoniously their cultural identifiers aligned with the pedagogical practices used in their learning environment</w:t>
      </w:r>
      <w:r w:rsidR="00DE0625">
        <w:rPr>
          <w:rFonts w:ascii="Times New Roman" w:hAnsi="Times New Roman" w:cs="Times New Roman"/>
        </w:rPr>
        <w:t>,</w:t>
      </w:r>
      <w:r w:rsidR="0011263A" w:rsidRPr="001645B4">
        <w:rPr>
          <w:rFonts w:ascii="Times New Roman" w:hAnsi="Times New Roman" w:cs="Times New Roman"/>
        </w:rPr>
        <w:t xml:space="preserve"> while </w:t>
      </w:r>
      <w:proofErr w:type="spellStart"/>
      <w:r w:rsidR="004A1E9A" w:rsidRPr="001645B4">
        <w:rPr>
          <w:rFonts w:ascii="Times New Roman" w:hAnsi="Times New Roman" w:cs="Times New Roman"/>
        </w:rPr>
        <w:t>McCuaig</w:t>
      </w:r>
      <w:proofErr w:type="spellEnd"/>
      <w:r w:rsidR="004A1E9A" w:rsidRPr="001645B4">
        <w:rPr>
          <w:rFonts w:ascii="Times New Roman" w:hAnsi="Times New Roman" w:cs="Times New Roman"/>
        </w:rPr>
        <w:t xml:space="preserve"> et al (2014</w:t>
      </w:r>
      <w:r w:rsidR="0011263A" w:rsidRPr="008C11BE">
        <w:rPr>
          <w:rFonts w:ascii="Times New Roman" w:hAnsi="Times New Roman" w:cs="Times New Roman"/>
        </w:rPr>
        <w:t xml:space="preserve">) stress the importance of learning for CHL </w:t>
      </w:r>
      <w:r w:rsidR="00DE0625">
        <w:rPr>
          <w:rFonts w:ascii="Times New Roman" w:hAnsi="Times New Roman" w:cs="Times New Roman"/>
        </w:rPr>
        <w:t>to be</w:t>
      </w:r>
      <w:r w:rsidR="0011263A" w:rsidRPr="008C11BE">
        <w:rPr>
          <w:rFonts w:ascii="Times New Roman" w:hAnsi="Times New Roman" w:cs="Times New Roman"/>
        </w:rPr>
        <w:t xml:space="preserve"> relevant, engaging and contemporary in order to be valued.</w:t>
      </w:r>
      <w:r w:rsidR="00D12944" w:rsidRPr="008C11BE">
        <w:rPr>
          <w:rFonts w:ascii="Times New Roman" w:hAnsi="Times New Roman" w:cs="Times New Roman"/>
        </w:rPr>
        <w:t xml:space="preserve"> Sykes and Wills (2017) report that the community/family-based intervention that created learning opportunities in participants’ own homes and drew on family experiences in group dialogue helped to create a knowledge-building community of learners.</w:t>
      </w:r>
    </w:p>
    <w:p w14:paraId="5E25520B" w14:textId="47C3234E" w:rsidR="0051068F" w:rsidRPr="008C11BE" w:rsidRDefault="0051068F">
      <w:pPr>
        <w:spacing w:line="480" w:lineRule="auto"/>
        <w:rPr>
          <w:rFonts w:ascii="Times New Roman" w:hAnsi="Times New Roman" w:cs="Times New Roman"/>
          <w:b/>
        </w:rPr>
      </w:pPr>
    </w:p>
    <w:p w14:paraId="3DDD4002" w14:textId="03F1E304" w:rsidR="0051068F" w:rsidRPr="008C11BE" w:rsidRDefault="0051068F">
      <w:pPr>
        <w:spacing w:line="480" w:lineRule="auto"/>
        <w:rPr>
          <w:rFonts w:ascii="Times New Roman" w:hAnsi="Times New Roman" w:cs="Times New Roman"/>
          <w:b/>
        </w:rPr>
      </w:pPr>
      <w:r w:rsidRPr="008C11BE">
        <w:rPr>
          <w:rFonts w:ascii="Times New Roman" w:hAnsi="Times New Roman" w:cs="Times New Roman"/>
          <w:b/>
        </w:rPr>
        <w:t>&lt;h2&gt; Measuring critical health literacy</w:t>
      </w:r>
    </w:p>
    <w:p w14:paraId="5993AD6D" w14:textId="599D7A18" w:rsidR="002D3C61" w:rsidRPr="008C11BE" w:rsidRDefault="00857239">
      <w:pPr>
        <w:spacing w:line="480" w:lineRule="auto"/>
        <w:rPr>
          <w:rFonts w:ascii="Times New Roman" w:hAnsi="Times New Roman" w:cs="Times New Roman"/>
        </w:rPr>
      </w:pPr>
      <w:r w:rsidRPr="008C11BE">
        <w:rPr>
          <w:rFonts w:ascii="Times New Roman" w:hAnsi="Times New Roman" w:cs="Times New Roman"/>
        </w:rPr>
        <w:t>Evaluative findings are rarely reported</w:t>
      </w:r>
      <w:r w:rsidR="00DB4E02" w:rsidRPr="008C11BE">
        <w:rPr>
          <w:rFonts w:ascii="Times New Roman" w:hAnsi="Times New Roman" w:cs="Times New Roman"/>
        </w:rPr>
        <w:t xml:space="preserve"> </w:t>
      </w:r>
      <w:r w:rsidR="00376C28">
        <w:rPr>
          <w:rFonts w:ascii="Times New Roman" w:hAnsi="Times New Roman" w:cs="Times New Roman"/>
        </w:rPr>
        <w:t xml:space="preserve">in the studies </w:t>
      </w:r>
      <w:r w:rsidR="00DB4E02" w:rsidRPr="008C11BE">
        <w:rPr>
          <w:rFonts w:ascii="Times New Roman" w:hAnsi="Times New Roman" w:cs="Times New Roman"/>
        </w:rPr>
        <w:t>and there is no established measure of</w:t>
      </w:r>
      <w:r w:rsidR="00E77760">
        <w:rPr>
          <w:rFonts w:ascii="Times New Roman" w:hAnsi="Times New Roman" w:cs="Times New Roman"/>
        </w:rPr>
        <w:t xml:space="preserve"> </w:t>
      </w:r>
      <w:r w:rsidR="00391180">
        <w:rPr>
          <w:rFonts w:ascii="Times New Roman" w:hAnsi="Times New Roman" w:cs="Times New Roman"/>
        </w:rPr>
        <w:t>CHL</w:t>
      </w:r>
      <w:r w:rsidRPr="008C11BE">
        <w:rPr>
          <w:rFonts w:ascii="Times New Roman" w:hAnsi="Times New Roman" w:cs="Times New Roman"/>
        </w:rPr>
        <w:t xml:space="preserve">. Gould et al (2011) describe a pre </w:t>
      </w:r>
      <w:r w:rsidR="00EB24EE">
        <w:rPr>
          <w:rFonts w:ascii="Times New Roman" w:hAnsi="Times New Roman" w:cs="Times New Roman"/>
        </w:rPr>
        <w:t>–</w:t>
      </w:r>
      <w:r w:rsidRPr="008C11BE">
        <w:rPr>
          <w:rFonts w:ascii="Times New Roman" w:hAnsi="Times New Roman" w:cs="Times New Roman"/>
        </w:rPr>
        <w:t>and</w:t>
      </w:r>
      <w:r w:rsidR="00EB24EE">
        <w:rPr>
          <w:rFonts w:ascii="Times New Roman" w:hAnsi="Times New Roman" w:cs="Times New Roman"/>
        </w:rPr>
        <w:t>-</w:t>
      </w:r>
      <w:r w:rsidRPr="008C11BE">
        <w:rPr>
          <w:rFonts w:ascii="Times New Roman" w:hAnsi="Times New Roman" w:cs="Times New Roman"/>
        </w:rPr>
        <w:t xml:space="preserve"> post intervention survey that measures four dimensions of</w:t>
      </w:r>
      <w:r w:rsidR="00E77760">
        <w:rPr>
          <w:rFonts w:ascii="Times New Roman" w:hAnsi="Times New Roman" w:cs="Times New Roman"/>
        </w:rPr>
        <w:t xml:space="preserve"> </w:t>
      </w:r>
      <w:r w:rsidR="00391180">
        <w:rPr>
          <w:rFonts w:ascii="Times New Roman" w:hAnsi="Times New Roman" w:cs="Times New Roman"/>
        </w:rPr>
        <w:t>CHL</w:t>
      </w:r>
      <w:r w:rsidRPr="008C11BE">
        <w:rPr>
          <w:rFonts w:ascii="Times New Roman" w:hAnsi="Times New Roman" w:cs="Times New Roman"/>
        </w:rPr>
        <w:t xml:space="preserve">; knowledge of the social determinants of health, health inequities and health as a human right; attitudes regarding social determinants of health, human rights and activism; feelings of empowerment to use new skills and take action on the social determinants of health and; future intentions to take action. </w:t>
      </w:r>
      <w:r w:rsidR="00EB24EE">
        <w:rPr>
          <w:rFonts w:ascii="Times New Roman" w:hAnsi="Times New Roman" w:cs="Times New Roman"/>
        </w:rPr>
        <w:t>A</w:t>
      </w:r>
      <w:r w:rsidRPr="008C11BE">
        <w:rPr>
          <w:rFonts w:ascii="Times New Roman" w:hAnsi="Times New Roman" w:cs="Times New Roman"/>
        </w:rPr>
        <w:t xml:space="preserve">nalysis of the post-test returns is reported as being positive across all four dimensions. Other studies, such as that by Muscat et al (2017), report qualitative data on </w:t>
      </w:r>
      <w:r w:rsidR="002D3C61" w:rsidRPr="008C11BE">
        <w:rPr>
          <w:rFonts w:ascii="Times New Roman" w:hAnsi="Times New Roman" w:cs="Times New Roman"/>
        </w:rPr>
        <w:t xml:space="preserve">barriers and facilitators </w:t>
      </w:r>
      <w:r w:rsidRPr="008C11BE">
        <w:rPr>
          <w:rFonts w:ascii="Times New Roman" w:hAnsi="Times New Roman" w:cs="Times New Roman"/>
        </w:rPr>
        <w:t>to implement</w:t>
      </w:r>
      <w:r w:rsidR="002A2CFD">
        <w:rPr>
          <w:rFonts w:ascii="Times New Roman" w:hAnsi="Times New Roman" w:cs="Times New Roman"/>
        </w:rPr>
        <w:t>ation</w:t>
      </w:r>
      <w:r w:rsidRPr="008C11BE">
        <w:rPr>
          <w:rFonts w:ascii="Times New Roman" w:hAnsi="Times New Roman" w:cs="Times New Roman"/>
        </w:rPr>
        <w:t xml:space="preserve"> </w:t>
      </w:r>
      <w:r w:rsidR="002D3C61" w:rsidRPr="008C11BE">
        <w:rPr>
          <w:rFonts w:ascii="Times New Roman" w:hAnsi="Times New Roman" w:cs="Times New Roman"/>
        </w:rPr>
        <w:t xml:space="preserve">as well as student reactions. </w:t>
      </w:r>
      <w:r w:rsidR="00376C28">
        <w:rPr>
          <w:rFonts w:ascii="Times New Roman" w:hAnsi="Times New Roman" w:cs="Times New Roman"/>
        </w:rPr>
        <w:t>T</w:t>
      </w:r>
      <w:r w:rsidR="002D3C61" w:rsidRPr="008C11BE">
        <w:rPr>
          <w:rFonts w:ascii="Times New Roman" w:hAnsi="Times New Roman" w:cs="Times New Roman"/>
        </w:rPr>
        <w:t xml:space="preserve">hey concluded that a focus on this aspect of health literacy was appropriate and feasible for adult education settings and could be designed for groups with lower literacy when tailored for population needs. </w:t>
      </w:r>
    </w:p>
    <w:p w14:paraId="66E4E6AA" w14:textId="7671E737" w:rsidR="00D12944" w:rsidRPr="008C11BE" w:rsidRDefault="00D12944">
      <w:pPr>
        <w:spacing w:line="480" w:lineRule="auto"/>
        <w:rPr>
          <w:rFonts w:ascii="Times New Roman" w:hAnsi="Times New Roman" w:cs="Times New Roman"/>
        </w:rPr>
      </w:pPr>
    </w:p>
    <w:p w14:paraId="0594A8E2" w14:textId="0B088239" w:rsidR="00D12944" w:rsidRDefault="00D12944">
      <w:pPr>
        <w:spacing w:line="480" w:lineRule="auto"/>
        <w:rPr>
          <w:rFonts w:ascii="Times New Roman" w:hAnsi="Times New Roman" w:cs="Times New Roman"/>
          <w:color w:val="000000"/>
        </w:rPr>
      </w:pPr>
      <w:r w:rsidRPr="008C11BE">
        <w:rPr>
          <w:rFonts w:ascii="Times New Roman" w:hAnsi="Times New Roman" w:cs="Times New Roman"/>
        </w:rPr>
        <w:t>The study reported by Sykes and Wills (2017</w:t>
      </w:r>
      <w:r w:rsidRPr="00EB24EE">
        <w:rPr>
          <w:rFonts w:ascii="Times New Roman" w:hAnsi="Times New Roman" w:cs="Times New Roman"/>
        </w:rPr>
        <w:t>)</w:t>
      </w:r>
      <w:r w:rsidRPr="008C11BE">
        <w:rPr>
          <w:rFonts w:ascii="Times New Roman" w:hAnsi="Times New Roman" w:cs="Times New Roman"/>
        </w:rPr>
        <w:t xml:space="preserve"> used the AAHLS </w:t>
      </w:r>
      <w:r w:rsidR="00C610E9" w:rsidRPr="008C11BE">
        <w:rPr>
          <w:rFonts w:ascii="Times New Roman" w:hAnsi="Times New Roman" w:cs="Times New Roman"/>
        </w:rPr>
        <w:t xml:space="preserve">(Chinn and </w:t>
      </w:r>
      <w:r w:rsidR="00C610E9" w:rsidRPr="00A25B0A">
        <w:rPr>
          <w:rFonts w:ascii="Times New Roman" w:hAnsi="Times New Roman" w:cs="Times New Roman"/>
        </w:rPr>
        <w:t xml:space="preserve">McCarthy, 2012) </w:t>
      </w:r>
      <w:r w:rsidRPr="001645B4">
        <w:rPr>
          <w:rFonts w:ascii="Times New Roman" w:hAnsi="Times New Roman" w:cs="Times New Roman"/>
        </w:rPr>
        <w:t xml:space="preserve">which includes questions on </w:t>
      </w:r>
      <w:r w:rsidRPr="008C11BE">
        <w:rPr>
          <w:rFonts w:ascii="Times New Roman" w:hAnsi="Times New Roman" w:cs="Times New Roman"/>
          <w:color w:val="000000"/>
        </w:rPr>
        <w:t>participants’ attitudes about government responsibilities for addressing the wider determinants of health and found an equal split between those thinking that information and encouragement to lead healthy lifestyles was the most important matter for everyone’s health and those thinking that structural issues of good housing, education, jobs and good local facilities were the priority. The post intervention AAHLS assessment showed a slight increase in participants’ understanding of how they themselves could get involved at a political level but no evidence of participants taking any action.</w:t>
      </w:r>
    </w:p>
    <w:p w14:paraId="7B31B840" w14:textId="77777777" w:rsidR="00E90A21" w:rsidRDefault="00E90A21">
      <w:pPr>
        <w:spacing w:line="480" w:lineRule="auto"/>
        <w:rPr>
          <w:rFonts w:ascii="Times New Roman" w:hAnsi="Times New Roman" w:cs="Times New Roman"/>
          <w:color w:val="000000"/>
        </w:rPr>
      </w:pPr>
    </w:p>
    <w:p w14:paraId="5212E4C8" w14:textId="263D2A1C" w:rsidR="00355CF2" w:rsidRDefault="00355CF2">
      <w:pPr>
        <w:spacing w:line="480" w:lineRule="auto"/>
        <w:rPr>
          <w:rFonts w:ascii="Times New Roman" w:hAnsi="Times New Roman" w:cs="Times New Roman"/>
          <w:color w:val="000000"/>
        </w:rPr>
      </w:pPr>
      <w:r>
        <w:rPr>
          <w:rFonts w:ascii="Times New Roman" w:hAnsi="Times New Roman" w:cs="Times New Roman"/>
          <w:color w:val="000000"/>
        </w:rPr>
        <w:t>Although programmes do exist that claim to be developing CHL, and many more will have explicit aims to contribute to the empowerment of individuals and communities (</w:t>
      </w:r>
      <w:proofErr w:type="spellStart"/>
      <w:r>
        <w:rPr>
          <w:rFonts w:ascii="Times New Roman" w:hAnsi="Times New Roman" w:cs="Times New Roman"/>
          <w:color w:val="000000"/>
        </w:rPr>
        <w:t>Crondahl</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 xml:space="preserve">and </w:t>
      </w:r>
      <w:proofErr w:type="spellStart"/>
      <w:r>
        <w:rPr>
          <w:rFonts w:ascii="Times New Roman" w:hAnsi="Times New Roman" w:cs="Times New Roman"/>
          <w:color w:val="000000"/>
        </w:rPr>
        <w:t>Karlsson</w:t>
      </w:r>
      <w:proofErr w:type="spellEnd"/>
      <w:r>
        <w:rPr>
          <w:rFonts w:ascii="Times New Roman" w:hAnsi="Times New Roman" w:cs="Times New Roman"/>
          <w:color w:val="000000"/>
        </w:rPr>
        <w:t xml:space="preserve"> 2016), there is </w:t>
      </w:r>
      <w:r w:rsidR="00E90A21">
        <w:rPr>
          <w:rFonts w:ascii="Times New Roman" w:hAnsi="Times New Roman" w:cs="Times New Roman"/>
          <w:color w:val="000000"/>
        </w:rPr>
        <w:t xml:space="preserve">currently </w:t>
      </w:r>
      <w:r>
        <w:rPr>
          <w:rFonts w:ascii="Times New Roman" w:hAnsi="Times New Roman" w:cs="Times New Roman"/>
          <w:color w:val="000000"/>
        </w:rPr>
        <w:t xml:space="preserve">very little </w:t>
      </w:r>
      <w:proofErr w:type="gramStart"/>
      <w:r>
        <w:rPr>
          <w:rFonts w:ascii="Times New Roman" w:hAnsi="Times New Roman" w:cs="Times New Roman"/>
          <w:color w:val="000000"/>
        </w:rPr>
        <w:t xml:space="preserve">evidence </w:t>
      </w:r>
      <w:r w:rsidR="00E90A21">
        <w:rPr>
          <w:rFonts w:ascii="Times New Roman" w:hAnsi="Times New Roman" w:cs="Times New Roman"/>
          <w:color w:val="000000"/>
        </w:rPr>
        <w:t xml:space="preserve"> </w:t>
      </w:r>
      <w:r>
        <w:rPr>
          <w:rFonts w:ascii="Times New Roman" w:hAnsi="Times New Roman" w:cs="Times New Roman"/>
          <w:color w:val="000000"/>
        </w:rPr>
        <w:t>that</w:t>
      </w:r>
      <w:proofErr w:type="gramEnd"/>
      <w:r>
        <w:rPr>
          <w:rFonts w:ascii="Times New Roman" w:hAnsi="Times New Roman" w:cs="Times New Roman"/>
          <w:color w:val="000000"/>
        </w:rPr>
        <w:t xml:space="preserve"> such programmes are effective in improving health outcomes</w:t>
      </w:r>
      <w:r w:rsidR="00E37F1D">
        <w:rPr>
          <w:rFonts w:ascii="Times New Roman" w:hAnsi="Times New Roman" w:cs="Times New Roman"/>
          <w:color w:val="000000"/>
        </w:rPr>
        <w:t xml:space="preserve">. </w:t>
      </w:r>
      <w:r>
        <w:rPr>
          <w:rFonts w:ascii="Times New Roman" w:hAnsi="Times New Roman" w:cs="Times New Roman"/>
          <w:color w:val="000000"/>
        </w:rPr>
        <w:t>Evaluations show improved self-esteem</w:t>
      </w:r>
      <w:r w:rsidR="002A2CFD">
        <w:rPr>
          <w:rFonts w:ascii="Times New Roman" w:hAnsi="Times New Roman" w:cs="Times New Roman"/>
          <w:color w:val="000000"/>
        </w:rPr>
        <w:t>,</w:t>
      </w:r>
      <w:r>
        <w:rPr>
          <w:rFonts w:ascii="Times New Roman" w:hAnsi="Times New Roman" w:cs="Times New Roman"/>
          <w:color w:val="000000"/>
        </w:rPr>
        <w:t xml:space="preserve"> greater awareness and even broadened networks and social support but little evidence of community mobilisation or an intention to be more active in taking</w:t>
      </w:r>
      <w:r w:rsidR="00025EAC">
        <w:rPr>
          <w:rFonts w:ascii="Times New Roman" w:hAnsi="Times New Roman" w:cs="Times New Roman"/>
          <w:color w:val="000000"/>
        </w:rPr>
        <w:t xml:space="preserve"> control over th</w:t>
      </w:r>
      <w:r w:rsidR="00D8110A">
        <w:rPr>
          <w:rFonts w:ascii="Times New Roman" w:hAnsi="Times New Roman" w:cs="Times New Roman"/>
          <w:color w:val="000000"/>
        </w:rPr>
        <w:t>o</w:t>
      </w:r>
      <w:r w:rsidR="00025EAC">
        <w:rPr>
          <w:rFonts w:ascii="Times New Roman" w:hAnsi="Times New Roman" w:cs="Times New Roman"/>
          <w:color w:val="000000"/>
        </w:rPr>
        <w:t>se</w:t>
      </w:r>
      <w:r>
        <w:rPr>
          <w:rFonts w:ascii="Times New Roman" w:hAnsi="Times New Roman" w:cs="Times New Roman"/>
          <w:color w:val="000000"/>
        </w:rPr>
        <w:t xml:space="preserve"> factors that influence health</w:t>
      </w:r>
      <w:r w:rsidR="00025EAC">
        <w:rPr>
          <w:rFonts w:ascii="Times New Roman" w:hAnsi="Times New Roman" w:cs="Times New Roman"/>
          <w:color w:val="000000"/>
        </w:rPr>
        <w:t xml:space="preserve"> chances. This is partly due to a dearth of focused measurement instruments for CHL, weak methodologies based on small samples and limited time frames for projects. </w:t>
      </w:r>
    </w:p>
    <w:p w14:paraId="44C7FF6D" w14:textId="77777777" w:rsidR="00895FCF" w:rsidRDefault="00895FCF">
      <w:pPr>
        <w:spacing w:line="480" w:lineRule="auto"/>
        <w:rPr>
          <w:rFonts w:ascii="Times New Roman" w:hAnsi="Times New Roman" w:cs="Times New Roman"/>
          <w:color w:val="000000"/>
        </w:rPr>
      </w:pPr>
    </w:p>
    <w:p w14:paraId="2E545022" w14:textId="63BBCDC5" w:rsidR="002C0176" w:rsidRDefault="002C0176">
      <w:pPr>
        <w:spacing w:line="480" w:lineRule="auto"/>
        <w:rPr>
          <w:rFonts w:ascii="Times New Roman" w:hAnsi="Times New Roman" w:cs="Times New Roman"/>
          <w:b/>
          <w:color w:val="000000"/>
        </w:rPr>
      </w:pPr>
      <w:r>
        <w:rPr>
          <w:rFonts w:ascii="Times New Roman" w:hAnsi="Times New Roman" w:cs="Times New Roman"/>
          <w:color w:val="000000"/>
        </w:rPr>
        <w:t xml:space="preserve">&lt;h1&gt; </w:t>
      </w:r>
      <w:r w:rsidRPr="001B0738">
        <w:rPr>
          <w:rFonts w:ascii="Times New Roman" w:hAnsi="Times New Roman" w:cs="Times New Roman"/>
          <w:b/>
          <w:color w:val="000000"/>
        </w:rPr>
        <w:t>Discussion</w:t>
      </w:r>
    </w:p>
    <w:p w14:paraId="4120AB57" w14:textId="017F9002" w:rsidR="00D8110A" w:rsidRDefault="00BD1022">
      <w:pPr>
        <w:spacing w:line="480" w:lineRule="auto"/>
        <w:rPr>
          <w:rFonts w:ascii="Times New Roman" w:hAnsi="Times New Roman" w:cs="Times New Roman"/>
        </w:rPr>
      </w:pPr>
      <w:r w:rsidRPr="001B0738">
        <w:rPr>
          <w:rFonts w:ascii="Times New Roman" w:hAnsi="Times New Roman" w:cs="Times New Roman"/>
          <w:color w:val="000000"/>
        </w:rPr>
        <w:t>Despite the huge acceleration in interest and research in health literacy over the past decade, there has been relatively little attention to</w:t>
      </w:r>
      <w:r w:rsidR="00D8110A">
        <w:rPr>
          <w:rFonts w:ascii="Times New Roman" w:hAnsi="Times New Roman" w:cs="Times New Roman"/>
          <w:color w:val="000000"/>
        </w:rPr>
        <w:t xml:space="preserve"> </w:t>
      </w:r>
      <w:r w:rsidR="00391180">
        <w:rPr>
          <w:rFonts w:ascii="Times New Roman" w:hAnsi="Times New Roman" w:cs="Times New Roman"/>
          <w:color w:val="000000"/>
        </w:rPr>
        <w:t>CHL</w:t>
      </w:r>
      <w:r w:rsidRPr="001B0738">
        <w:rPr>
          <w:rFonts w:ascii="Times New Roman" w:hAnsi="Times New Roman" w:cs="Times New Roman"/>
          <w:color w:val="000000"/>
        </w:rPr>
        <w:t>. This review found only twelve interventions that sought to explicitly develop</w:t>
      </w:r>
      <w:r w:rsidR="00D8110A">
        <w:rPr>
          <w:rFonts w:ascii="Times New Roman" w:hAnsi="Times New Roman" w:cs="Times New Roman"/>
          <w:color w:val="000000"/>
        </w:rPr>
        <w:t xml:space="preserve"> </w:t>
      </w:r>
      <w:r w:rsidR="00391180">
        <w:rPr>
          <w:rFonts w:ascii="Times New Roman" w:hAnsi="Times New Roman" w:cs="Times New Roman"/>
          <w:color w:val="000000"/>
        </w:rPr>
        <w:t>CHL</w:t>
      </w:r>
      <w:r w:rsidRPr="001B0738">
        <w:rPr>
          <w:rFonts w:ascii="Times New Roman" w:hAnsi="Times New Roman" w:cs="Times New Roman"/>
          <w:color w:val="000000"/>
        </w:rPr>
        <w:t>.</w:t>
      </w:r>
      <w:r>
        <w:rPr>
          <w:rFonts w:ascii="Times New Roman" w:hAnsi="Times New Roman" w:cs="Times New Roman"/>
        </w:rPr>
        <w:t xml:space="preserve"> </w:t>
      </w:r>
      <w:r w:rsidR="005E68DE">
        <w:rPr>
          <w:rFonts w:ascii="Times New Roman" w:hAnsi="Times New Roman" w:cs="Times New Roman"/>
        </w:rPr>
        <w:t xml:space="preserve">The </w:t>
      </w:r>
      <w:r w:rsidR="00037998">
        <w:rPr>
          <w:rFonts w:ascii="Times New Roman" w:hAnsi="Times New Roman" w:cs="Times New Roman"/>
        </w:rPr>
        <w:t xml:space="preserve">most common </w:t>
      </w:r>
      <w:r w:rsidR="005E68DE">
        <w:rPr>
          <w:rFonts w:ascii="Times New Roman" w:hAnsi="Times New Roman" w:cs="Times New Roman"/>
        </w:rPr>
        <w:t xml:space="preserve">target of these interventions is young people with six of the studies solely working with adolescents. </w:t>
      </w:r>
      <w:r w:rsidR="000F752C">
        <w:rPr>
          <w:rFonts w:ascii="Times New Roman" w:hAnsi="Times New Roman" w:cs="Times New Roman"/>
        </w:rPr>
        <w:t>This focus is p</w:t>
      </w:r>
      <w:r w:rsidR="00E1701A">
        <w:rPr>
          <w:rFonts w:ascii="Times New Roman" w:hAnsi="Times New Roman" w:cs="Times New Roman"/>
        </w:rPr>
        <w:t xml:space="preserve">erhaps understandable given the important stage of their development, their growing involvement with their </w:t>
      </w:r>
      <w:r w:rsidR="007D6FEC">
        <w:rPr>
          <w:rFonts w:ascii="Times New Roman" w:hAnsi="Times New Roman" w:cs="Times New Roman"/>
        </w:rPr>
        <w:t xml:space="preserve">own </w:t>
      </w:r>
      <w:r w:rsidR="00E1701A">
        <w:rPr>
          <w:rFonts w:ascii="Times New Roman" w:hAnsi="Times New Roman" w:cs="Times New Roman"/>
        </w:rPr>
        <w:t xml:space="preserve">health care and the </w:t>
      </w:r>
      <w:r w:rsidR="007D6FEC">
        <w:rPr>
          <w:rFonts w:ascii="Times New Roman" w:hAnsi="Times New Roman" w:cs="Times New Roman"/>
        </w:rPr>
        <w:t>large amount of health information that is targeted at them (</w:t>
      </w:r>
      <w:proofErr w:type="spellStart"/>
      <w:r w:rsidR="007D6FEC">
        <w:rPr>
          <w:rFonts w:ascii="Times New Roman" w:hAnsi="Times New Roman" w:cs="Times New Roman"/>
        </w:rPr>
        <w:t>Manganello</w:t>
      </w:r>
      <w:proofErr w:type="spellEnd"/>
      <w:r w:rsidR="007D6FEC">
        <w:rPr>
          <w:rFonts w:ascii="Times New Roman" w:hAnsi="Times New Roman" w:cs="Times New Roman"/>
        </w:rPr>
        <w:t xml:space="preserve">, 2007). Schools also offer a relatively accessible setting through which to reach this group. However, the review demonstrates a lack of interventions targeted across the life course, particularly </w:t>
      </w:r>
      <w:r w:rsidR="00DB0843">
        <w:rPr>
          <w:rFonts w:ascii="Times New Roman" w:hAnsi="Times New Roman" w:cs="Times New Roman"/>
        </w:rPr>
        <w:t xml:space="preserve">for </w:t>
      </w:r>
      <w:r w:rsidR="007D6FEC">
        <w:rPr>
          <w:rFonts w:ascii="Times New Roman" w:hAnsi="Times New Roman" w:cs="Times New Roman"/>
        </w:rPr>
        <w:t xml:space="preserve">older people.  </w:t>
      </w:r>
      <w:r w:rsidR="005A5C9A">
        <w:rPr>
          <w:rFonts w:ascii="Times New Roman" w:hAnsi="Times New Roman" w:cs="Times New Roman"/>
        </w:rPr>
        <w:t xml:space="preserve">With an aging population and a growing number of older people living with long term conditions, there is a need for older adults to </w:t>
      </w:r>
      <w:r w:rsidR="00CA090A">
        <w:rPr>
          <w:rFonts w:ascii="Times New Roman" w:hAnsi="Times New Roman" w:cs="Times New Roman"/>
        </w:rPr>
        <w:t xml:space="preserve">fully participate in all aspects of health care. </w:t>
      </w:r>
      <w:r w:rsidR="009B46E5">
        <w:rPr>
          <w:rFonts w:ascii="Times New Roman" w:hAnsi="Times New Roman" w:cs="Times New Roman"/>
        </w:rPr>
        <w:t>D</w:t>
      </w:r>
      <w:r w:rsidR="008B17C6">
        <w:rPr>
          <w:rFonts w:ascii="Times New Roman" w:hAnsi="Times New Roman" w:cs="Times New Roman"/>
        </w:rPr>
        <w:t>isproportionately high levels of inadequate health literacy levels have been reported amongst older populations</w:t>
      </w:r>
      <w:r w:rsidR="005E2DEA">
        <w:rPr>
          <w:rFonts w:ascii="Times New Roman" w:hAnsi="Times New Roman" w:cs="Times New Roman"/>
        </w:rPr>
        <w:t xml:space="preserve"> (Bostock et al 2012)</w:t>
      </w:r>
      <w:r w:rsidR="008B17C6">
        <w:rPr>
          <w:rFonts w:ascii="Times New Roman" w:hAnsi="Times New Roman" w:cs="Times New Roman"/>
        </w:rPr>
        <w:t xml:space="preserve">. </w:t>
      </w:r>
      <w:r w:rsidR="005A5C9A">
        <w:rPr>
          <w:rFonts w:ascii="Times New Roman" w:hAnsi="Times New Roman" w:cs="Times New Roman"/>
        </w:rPr>
        <w:t xml:space="preserve"> </w:t>
      </w:r>
      <w:r w:rsidR="005F0FB6">
        <w:rPr>
          <w:rFonts w:ascii="Times New Roman" w:hAnsi="Times New Roman" w:cs="Times New Roman"/>
        </w:rPr>
        <w:t xml:space="preserve">Interventions to address low levels of health literacy amongst older people </w:t>
      </w:r>
      <w:r w:rsidR="00037998">
        <w:rPr>
          <w:rFonts w:ascii="Times New Roman" w:hAnsi="Times New Roman" w:cs="Times New Roman"/>
        </w:rPr>
        <w:t xml:space="preserve">tend to focus </w:t>
      </w:r>
      <w:r w:rsidR="005F0FB6">
        <w:rPr>
          <w:rFonts w:ascii="Times New Roman" w:hAnsi="Times New Roman" w:cs="Times New Roman"/>
        </w:rPr>
        <w:t xml:space="preserve">on functional aspects </w:t>
      </w:r>
      <w:r w:rsidR="00037998">
        <w:rPr>
          <w:rFonts w:ascii="Times New Roman" w:hAnsi="Times New Roman" w:cs="Times New Roman"/>
        </w:rPr>
        <w:t>such as medicine adherence (</w:t>
      </w:r>
      <w:proofErr w:type="spellStart"/>
      <w:r w:rsidR="00037998">
        <w:rPr>
          <w:rFonts w:ascii="Times New Roman" w:hAnsi="Times New Roman" w:cs="Times New Roman"/>
        </w:rPr>
        <w:t>Chesser</w:t>
      </w:r>
      <w:proofErr w:type="spellEnd"/>
      <w:r w:rsidR="00037998">
        <w:rPr>
          <w:rFonts w:ascii="Times New Roman" w:hAnsi="Times New Roman" w:cs="Times New Roman"/>
        </w:rPr>
        <w:t xml:space="preserve"> et al 2016) and </w:t>
      </w:r>
      <w:proofErr w:type="spellStart"/>
      <w:r w:rsidR="00037998">
        <w:rPr>
          <w:rFonts w:ascii="Times New Roman" w:hAnsi="Times New Roman" w:cs="Times New Roman"/>
        </w:rPr>
        <w:t>Manofo</w:t>
      </w:r>
      <w:proofErr w:type="spellEnd"/>
      <w:r w:rsidR="00037998">
        <w:rPr>
          <w:rFonts w:ascii="Times New Roman" w:hAnsi="Times New Roman" w:cs="Times New Roman"/>
        </w:rPr>
        <w:t xml:space="preserve"> and Wong’s review (2012) found no studies on </w:t>
      </w:r>
      <w:r w:rsidR="00391180">
        <w:rPr>
          <w:rFonts w:ascii="Times New Roman" w:hAnsi="Times New Roman" w:cs="Times New Roman"/>
        </w:rPr>
        <w:t xml:space="preserve">CHL </w:t>
      </w:r>
      <w:r w:rsidR="00037998">
        <w:rPr>
          <w:rFonts w:ascii="Times New Roman" w:hAnsi="Times New Roman" w:cs="Times New Roman"/>
        </w:rPr>
        <w:t xml:space="preserve">that aimed to support greater community action and advocacy. </w:t>
      </w:r>
      <w:r w:rsidR="00BB7E63">
        <w:rPr>
          <w:rFonts w:ascii="Times New Roman" w:hAnsi="Times New Roman" w:cs="Times New Roman"/>
        </w:rPr>
        <w:t>De</w:t>
      </w:r>
      <w:r w:rsidR="005F0FB6">
        <w:rPr>
          <w:rFonts w:ascii="Times New Roman" w:hAnsi="Times New Roman" w:cs="Times New Roman"/>
        </w:rPr>
        <w:t xml:space="preserve"> Wit et </w:t>
      </w:r>
      <w:proofErr w:type="spellStart"/>
      <w:r w:rsidR="005F0FB6">
        <w:rPr>
          <w:rFonts w:ascii="Times New Roman" w:hAnsi="Times New Roman" w:cs="Times New Roman"/>
        </w:rPr>
        <w:t>al’s</w:t>
      </w:r>
      <w:proofErr w:type="spellEnd"/>
      <w:r w:rsidR="005F0FB6">
        <w:rPr>
          <w:rFonts w:ascii="Times New Roman" w:hAnsi="Times New Roman" w:cs="Times New Roman"/>
        </w:rPr>
        <w:t xml:space="preserve"> review of community based interventions with older people (2017) </w:t>
      </w:r>
      <w:r w:rsidR="005F0FB6">
        <w:rPr>
          <w:rFonts w:ascii="Times New Roman" w:hAnsi="Times New Roman" w:cs="Times New Roman"/>
        </w:rPr>
        <w:lastRenderedPageBreak/>
        <w:t xml:space="preserve">shows </w:t>
      </w:r>
      <w:r w:rsidR="00A212E9">
        <w:rPr>
          <w:rFonts w:ascii="Times New Roman" w:hAnsi="Times New Roman" w:cs="Times New Roman"/>
        </w:rPr>
        <w:t xml:space="preserve">successful strategies and </w:t>
      </w:r>
      <w:r w:rsidR="005F0FB6">
        <w:rPr>
          <w:rFonts w:ascii="Times New Roman" w:hAnsi="Times New Roman" w:cs="Times New Roman"/>
        </w:rPr>
        <w:t xml:space="preserve">the potential reciprocal </w:t>
      </w:r>
      <w:r w:rsidR="00A212E9">
        <w:rPr>
          <w:rFonts w:ascii="Times New Roman" w:hAnsi="Times New Roman" w:cs="Times New Roman"/>
        </w:rPr>
        <w:t xml:space="preserve">benefits of building CHL with this group. </w:t>
      </w:r>
    </w:p>
    <w:p w14:paraId="2386A548" w14:textId="77777777" w:rsidR="00D8110A" w:rsidRDefault="00D8110A">
      <w:pPr>
        <w:spacing w:line="480" w:lineRule="auto"/>
        <w:rPr>
          <w:rFonts w:ascii="Times New Roman" w:hAnsi="Times New Roman" w:cs="Times New Roman"/>
        </w:rPr>
      </w:pPr>
    </w:p>
    <w:p w14:paraId="623C14DD" w14:textId="6A7B1FEA" w:rsidR="000A12D2" w:rsidRDefault="0011263A">
      <w:pPr>
        <w:spacing w:line="480" w:lineRule="auto"/>
        <w:rPr>
          <w:rFonts w:ascii="Times New Roman" w:hAnsi="Times New Roman" w:cs="Times New Roman"/>
        </w:rPr>
      </w:pPr>
      <w:r w:rsidRPr="008C11BE">
        <w:rPr>
          <w:rFonts w:ascii="Times New Roman" w:hAnsi="Times New Roman" w:cs="Times New Roman"/>
        </w:rPr>
        <w:t xml:space="preserve">Although some have argued that the interventions that attempt to promote all three aspects of functional, interactive and </w:t>
      </w:r>
      <w:r w:rsidR="00391180">
        <w:rPr>
          <w:rFonts w:ascii="Times New Roman" w:hAnsi="Times New Roman" w:cs="Times New Roman"/>
        </w:rPr>
        <w:t xml:space="preserve">CHL </w:t>
      </w:r>
      <w:r w:rsidRPr="008C11BE">
        <w:rPr>
          <w:rFonts w:ascii="Times New Roman" w:hAnsi="Times New Roman" w:cs="Times New Roman"/>
        </w:rPr>
        <w:t>are more likely to be effective (Renwick 2013), this review found that interventions that sought to build all three domains of health literacy</w:t>
      </w:r>
      <w:r w:rsidR="009B46E5">
        <w:rPr>
          <w:rFonts w:ascii="Times New Roman" w:hAnsi="Times New Roman" w:cs="Times New Roman"/>
        </w:rPr>
        <w:t xml:space="preserve"> </w:t>
      </w:r>
      <w:r w:rsidRPr="008C11BE">
        <w:rPr>
          <w:rFonts w:ascii="Times New Roman" w:hAnsi="Times New Roman" w:cs="Times New Roman"/>
        </w:rPr>
        <w:t>as part of a combined prog</w:t>
      </w:r>
      <w:r w:rsidRPr="00A25B0A">
        <w:rPr>
          <w:rFonts w:ascii="Times New Roman" w:hAnsi="Times New Roman" w:cs="Times New Roman"/>
        </w:rPr>
        <w:t>ramme, reported more success in developing the first two domains than the third (</w:t>
      </w:r>
      <w:proofErr w:type="spellStart"/>
      <w:r w:rsidR="00294CB7" w:rsidRPr="00652443">
        <w:rPr>
          <w:rFonts w:ascii="Times New Roman" w:hAnsi="Times New Roman" w:cs="Times New Roman"/>
        </w:rPr>
        <w:t>McCuaig</w:t>
      </w:r>
      <w:proofErr w:type="spellEnd"/>
      <w:r w:rsidR="00294CB7" w:rsidRPr="00652443">
        <w:rPr>
          <w:rFonts w:ascii="Times New Roman" w:hAnsi="Times New Roman" w:cs="Times New Roman"/>
        </w:rPr>
        <w:t xml:space="preserve"> et al, 2014; </w:t>
      </w:r>
      <w:proofErr w:type="spellStart"/>
      <w:r w:rsidR="00294CB7" w:rsidRPr="001645B4">
        <w:rPr>
          <w:rFonts w:ascii="Times New Roman" w:hAnsi="Times New Roman" w:cs="Times New Roman"/>
        </w:rPr>
        <w:t>Bruselius</w:t>
      </w:r>
      <w:proofErr w:type="spellEnd"/>
      <w:r w:rsidR="00294CB7" w:rsidRPr="001645B4">
        <w:rPr>
          <w:rFonts w:ascii="Times New Roman" w:hAnsi="Times New Roman" w:cs="Times New Roman"/>
        </w:rPr>
        <w:t>-Jensen, 2017; Sykes and Wills, 2017</w:t>
      </w:r>
      <w:r w:rsidR="00DB4E02" w:rsidRPr="00EB24EE">
        <w:rPr>
          <w:rFonts w:ascii="Times New Roman" w:hAnsi="Times New Roman" w:cs="Times New Roman"/>
        </w:rPr>
        <w:t>)</w:t>
      </w:r>
      <w:r w:rsidR="009B46E5">
        <w:rPr>
          <w:rFonts w:ascii="Times New Roman" w:hAnsi="Times New Roman" w:cs="Times New Roman"/>
        </w:rPr>
        <w:t xml:space="preserve">. </w:t>
      </w:r>
      <w:r w:rsidR="00391180">
        <w:rPr>
          <w:rFonts w:ascii="Times New Roman" w:hAnsi="Times New Roman" w:cs="Times New Roman"/>
        </w:rPr>
        <w:t xml:space="preserve">CHL </w:t>
      </w:r>
      <w:r w:rsidR="00DB4E02" w:rsidRPr="008C11BE">
        <w:rPr>
          <w:rFonts w:ascii="Times New Roman" w:hAnsi="Times New Roman" w:cs="Times New Roman"/>
        </w:rPr>
        <w:t xml:space="preserve">then becomes more focussed on cognitive skills development than social action. </w:t>
      </w:r>
      <w:proofErr w:type="spellStart"/>
      <w:r w:rsidRPr="00EB24EE">
        <w:rPr>
          <w:rFonts w:ascii="Times New Roman" w:hAnsi="Times New Roman" w:cs="Times New Roman"/>
        </w:rPr>
        <w:t>McCuaig</w:t>
      </w:r>
      <w:proofErr w:type="spellEnd"/>
      <w:r w:rsidRPr="00EB24EE">
        <w:rPr>
          <w:rFonts w:ascii="Times New Roman" w:hAnsi="Times New Roman" w:cs="Times New Roman"/>
        </w:rPr>
        <w:t xml:space="preserve"> et </w:t>
      </w:r>
      <w:proofErr w:type="spellStart"/>
      <w:r w:rsidRPr="00EB24EE">
        <w:rPr>
          <w:rFonts w:ascii="Times New Roman" w:hAnsi="Times New Roman" w:cs="Times New Roman"/>
        </w:rPr>
        <w:t>al’s</w:t>
      </w:r>
      <w:proofErr w:type="spellEnd"/>
      <w:r w:rsidRPr="008C11BE">
        <w:rPr>
          <w:rFonts w:ascii="Times New Roman" w:hAnsi="Times New Roman" w:cs="Times New Roman"/>
        </w:rPr>
        <w:t xml:space="preserve"> (2014) study, which evaluated a critically oriented health literacy unit, sought to build all three domains of </w:t>
      </w:r>
      <w:r w:rsidR="00895FCF">
        <w:rPr>
          <w:rFonts w:ascii="Times New Roman" w:hAnsi="Times New Roman" w:cs="Times New Roman"/>
        </w:rPr>
        <w:t>h</w:t>
      </w:r>
      <w:r w:rsidRPr="008C11BE">
        <w:rPr>
          <w:rFonts w:ascii="Times New Roman" w:hAnsi="Times New Roman" w:cs="Times New Roman"/>
        </w:rPr>
        <w:t xml:space="preserve">ealth </w:t>
      </w:r>
      <w:r w:rsidR="00895FCF">
        <w:rPr>
          <w:rFonts w:ascii="Times New Roman" w:hAnsi="Times New Roman" w:cs="Times New Roman"/>
        </w:rPr>
        <w:t>l</w:t>
      </w:r>
      <w:r w:rsidRPr="008C11BE">
        <w:rPr>
          <w:rFonts w:ascii="Times New Roman" w:hAnsi="Times New Roman" w:cs="Times New Roman"/>
        </w:rPr>
        <w:t>iteracy and found only modest indicators of success in relation to</w:t>
      </w:r>
      <w:r w:rsidR="00D8110A">
        <w:rPr>
          <w:rFonts w:ascii="Times New Roman" w:hAnsi="Times New Roman" w:cs="Times New Roman"/>
        </w:rPr>
        <w:t xml:space="preserve"> </w:t>
      </w:r>
      <w:r w:rsidR="00391180">
        <w:rPr>
          <w:rFonts w:ascii="Times New Roman" w:hAnsi="Times New Roman" w:cs="Times New Roman"/>
        </w:rPr>
        <w:t>CHL</w:t>
      </w:r>
      <w:r w:rsidRPr="008C11BE">
        <w:rPr>
          <w:rFonts w:ascii="Times New Roman" w:hAnsi="Times New Roman" w:cs="Times New Roman"/>
        </w:rPr>
        <w:t xml:space="preserve">, focussing on critical analysis skills of internet health resources and an </w:t>
      </w:r>
      <w:r w:rsidR="009B46E5">
        <w:rPr>
          <w:rFonts w:ascii="Times New Roman" w:hAnsi="Times New Roman" w:cs="Times New Roman"/>
        </w:rPr>
        <w:t>increased intention</w:t>
      </w:r>
      <w:r w:rsidRPr="00A25B0A">
        <w:rPr>
          <w:rFonts w:ascii="Times New Roman" w:hAnsi="Times New Roman" w:cs="Times New Roman"/>
        </w:rPr>
        <w:t xml:space="preserve"> to help others. The study did not show an improvement in either the student, or teachers’ understanding of the social determinants of health or any</w:t>
      </w:r>
      <w:r w:rsidRPr="001645B4">
        <w:rPr>
          <w:rFonts w:ascii="Times New Roman" w:hAnsi="Times New Roman" w:cs="Times New Roman"/>
        </w:rPr>
        <w:t xml:space="preserve"> evidence of action for change. Outside the school setting, a community based health literacy programme designed to build functional, communicative and </w:t>
      </w:r>
      <w:r w:rsidR="00391180">
        <w:rPr>
          <w:rFonts w:ascii="Times New Roman" w:hAnsi="Times New Roman" w:cs="Times New Roman"/>
        </w:rPr>
        <w:t xml:space="preserve">CHL </w:t>
      </w:r>
      <w:r w:rsidRPr="001645B4">
        <w:rPr>
          <w:rFonts w:ascii="Times New Roman" w:hAnsi="Times New Roman" w:cs="Times New Roman"/>
        </w:rPr>
        <w:t>skills o</w:t>
      </w:r>
      <w:r w:rsidR="007B3C80">
        <w:rPr>
          <w:rFonts w:ascii="Times New Roman" w:hAnsi="Times New Roman" w:cs="Times New Roman"/>
        </w:rPr>
        <w:t>f</w:t>
      </w:r>
      <w:r w:rsidRPr="001645B4">
        <w:rPr>
          <w:rFonts w:ascii="Times New Roman" w:hAnsi="Times New Roman" w:cs="Times New Roman"/>
        </w:rPr>
        <w:t xml:space="preserve"> parents showed similar outcomes (Sykes </w:t>
      </w:r>
      <w:r w:rsidR="00514F6F" w:rsidRPr="008C11BE">
        <w:rPr>
          <w:rFonts w:ascii="Times New Roman" w:hAnsi="Times New Roman" w:cs="Times New Roman"/>
        </w:rPr>
        <w:t xml:space="preserve">and Wills, </w:t>
      </w:r>
      <w:r w:rsidRPr="008C11BE">
        <w:rPr>
          <w:rFonts w:ascii="Times New Roman" w:hAnsi="Times New Roman" w:cs="Times New Roman"/>
        </w:rPr>
        <w:t xml:space="preserve">2017). In this programme, an impact was demonstrated on participants’ ability to critically appraise health information and a limited impact on participants’ ability to critically question professionals. However, there was no real change in participants’ understanding of the determinants of health or involvement in activities to challenge those factors. </w:t>
      </w:r>
      <w:r w:rsidR="00560D3D">
        <w:rPr>
          <w:rFonts w:ascii="Times New Roman" w:hAnsi="Times New Roman" w:cs="Times New Roman"/>
        </w:rPr>
        <w:t xml:space="preserve">Without a fully developed mechanism </w:t>
      </w:r>
      <w:proofErr w:type="gramStart"/>
      <w:r w:rsidR="00560D3D">
        <w:rPr>
          <w:rFonts w:ascii="Times New Roman" w:hAnsi="Times New Roman" w:cs="Times New Roman"/>
        </w:rPr>
        <w:t xml:space="preserve">for </w:t>
      </w:r>
      <w:r w:rsidR="00BF1A7A">
        <w:rPr>
          <w:rFonts w:ascii="Times New Roman" w:hAnsi="Times New Roman" w:cs="Times New Roman"/>
        </w:rPr>
        <w:t xml:space="preserve"> </w:t>
      </w:r>
      <w:r w:rsidR="00560D3D">
        <w:rPr>
          <w:rFonts w:ascii="Times New Roman" w:hAnsi="Times New Roman" w:cs="Times New Roman"/>
        </w:rPr>
        <w:t>measuring</w:t>
      </w:r>
      <w:proofErr w:type="gramEnd"/>
      <w:r w:rsidR="00560D3D">
        <w:rPr>
          <w:rFonts w:ascii="Times New Roman" w:hAnsi="Times New Roman" w:cs="Times New Roman"/>
        </w:rPr>
        <w:t xml:space="preserve"> CHL, understandings of the impact of interventions will remain limited. </w:t>
      </w:r>
    </w:p>
    <w:p w14:paraId="3A15DB90" w14:textId="73950039" w:rsidR="00391180" w:rsidRDefault="00391180">
      <w:pPr>
        <w:spacing w:line="480" w:lineRule="auto"/>
        <w:rPr>
          <w:rFonts w:ascii="Times New Roman" w:hAnsi="Times New Roman" w:cs="Times New Roman"/>
        </w:rPr>
      </w:pPr>
    </w:p>
    <w:p w14:paraId="1EADC2A4" w14:textId="77777777" w:rsidR="00CD3B78" w:rsidRDefault="00CD3B78">
      <w:pPr>
        <w:spacing w:line="480" w:lineRule="auto"/>
        <w:rPr>
          <w:rFonts w:ascii="Times New Roman" w:hAnsi="Times New Roman" w:cs="Times New Roman"/>
        </w:rPr>
      </w:pPr>
    </w:p>
    <w:p w14:paraId="0B10DF67" w14:textId="164A0A70" w:rsidR="00CD3B78" w:rsidRDefault="00AA135C">
      <w:pPr>
        <w:spacing w:line="480" w:lineRule="auto"/>
        <w:rPr>
          <w:rFonts w:ascii="Times New Roman" w:hAnsi="Times New Roman" w:cs="Times New Roman"/>
        </w:rPr>
      </w:pPr>
      <w:r>
        <w:rPr>
          <w:rFonts w:ascii="Times New Roman" w:hAnsi="Times New Roman" w:cs="Times New Roman"/>
        </w:rPr>
        <w:lastRenderedPageBreak/>
        <w:t xml:space="preserve">Challenges in </w:t>
      </w:r>
      <w:r w:rsidR="00D8110A">
        <w:rPr>
          <w:rFonts w:ascii="Times New Roman" w:hAnsi="Times New Roman" w:cs="Times New Roman"/>
        </w:rPr>
        <w:t xml:space="preserve">operationalising CHL </w:t>
      </w:r>
      <w:r w:rsidR="007D6FEC">
        <w:rPr>
          <w:rFonts w:ascii="Times New Roman" w:hAnsi="Times New Roman" w:cs="Times New Roman"/>
        </w:rPr>
        <w:t xml:space="preserve">and </w:t>
      </w:r>
      <w:r>
        <w:rPr>
          <w:rFonts w:ascii="Times New Roman" w:hAnsi="Times New Roman" w:cs="Times New Roman"/>
        </w:rPr>
        <w:t xml:space="preserve">successfully building the empowerment and political action element of </w:t>
      </w:r>
      <w:r w:rsidR="00D8110A">
        <w:rPr>
          <w:rFonts w:ascii="Times New Roman" w:hAnsi="Times New Roman" w:cs="Times New Roman"/>
        </w:rPr>
        <w:t>the concept</w:t>
      </w:r>
      <w:r>
        <w:rPr>
          <w:rFonts w:ascii="Times New Roman" w:hAnsi="Times New Roman" w:cs="Times New Roman"/>
        </w:rPr>
        <w:t xml:space="preserve"> </w:t>
      </w:r>
      <w:r w:rsidR="003851F6">
        <w:rPr>
          <w:rFonts w:ascii="Times New Roman" w:hAnsi="Times New Roman" w:cs="Times New Roman"/>
        </w:rPr>
        <w:t xml:space="preserve">can be seen to arise for a number of reasons. </w:t>
      </w:r>
      <w:r w:rsidR="00ED6D25">
        <w:rPr>
          <w:rFonts w:ascii="Times New Roman" w:hAnsi="Times New Roman" w:cs="Times New Roman"/>
        </w:rPr>
        <w:t>Programmes that seek to build all three domains of health literacy may</w:t>
      </w:r>
      <w:r w:rsidR="001D2214">
        <w:rPr>
          <w:rFonts w:ascii="Times New Roman" w:hAnsi="Times New Roman" w:cs="Times New Roman"/>
        </w:rPr>
        <w:t xml:space="preserve"> simply be too ambitious with too many skills and knowledge requirements to successfully address within one time limited programme. In this case, the more tangible and measurable aspects of health literacy are likely to become the focus. The constraints that exist within institutional settings such as schools when developing social and political agency have already been </w:t>
      </w:r>
      <w:r w:rsidR="009B46E5">
        <w:rPr>
          <w:rFonts w:ascii="Times New Roman" w:hAnsi="Times New Roman" w:cs="Times New Roman"/>
        </w:rPr>
        <w:t>discussed</w:t>
      </w:r>
      <w:r w:rsidR="00E478C0">
        <w:rPr>
          <w:rFonts w:ascii="Times New Roman" w:hAnsi="Times New Roman" w:cs="Times New Roman"/>
        </w:rPr>
        <w:t xml:space="preserve"> but the nature of curriculum based interventions may also create constraints. This review has shown the studies that have most successfully developed an understanding of the social determinants of health and political a</w:t>
      </w:r>
      <w:r w:rsidR="005138EA">
        <w:rPr>
          <w:rFonts w:ascii="Times New Roman" w:hAnsi="Times New Roman" w:cs="Times New Roman"/>
        </w:rPr>
        <w:t xml:space="preserve">ction for change are those based on a critical pedagogical cycle of </w:t>
      </w:r>
      <w:r w:rsidR="002F7969">
        <w:rPr>
          <w:rFonts w:ascii="Times New Roman" w:hAnsi="Times New Roman" w:cs="Times New Roman"/>
        </w:rPr>
        <w:t xml:space="preserve">identifying the issue, reflection and dialogue on the causes of the issue and the promotion of social action (Freire, 1993). </w:t>
      </w:r>
      <w:r w:rsidR="00BA02B4">
        <w:rPr>
          <w:rFonts w:ascii="Times New Roman" w:hAnsi="Times New Roman" w:cs="Times New Roman"/>
        </w:rPr>
        <w:t xml:space="preserve">The last </w:t>
      </w:r>
      <w:r w:rsidR="00EE65FE">
        <w:rPr>
          <w:rFonts w:ascii="Times New Roman" w:hAnsi="Times New Roman" w:cs="Times New Roman"/>
        </w:rPr>
        <w:t xml:space="preserve">stage in this cycle </w:t>
      </w:r>
      <w:r w:rsidR="00BA02B4">
        <w:rPr>
          <w:rFonts w:ascii="Times New Roman" w:hAnsi="Times New Roman" w:cs="Times New Roman"/>
        </w:rPr>
        <w:t xml:space="preserve">has been shown to be the hardest to achieve </w:t>
      </w:r>
      <w:r w:rsidR="00207BE3">
        <w:rPr>
          <w:rFonts w:ascii="Times New Roman" w:hAnsi="Times New Roman" w:cs="Times New Roman"/>
        </w:rPr>
        <w:t xml:space="preserve">(Matthews, 2013) </w:t>
      </w:r>
      <w:r w:rsidR="00EE65FE">
        <w:rPr>
          <w:rFonts w:ascii="Times New Roman" w:hAnsi="Times New Roman" w:cs="Times New Roman"/>
        </w:rPr>
        <w:t xml:space="preserve">and has been described as ‘difficult and slow…a continuing process, not a single event.’ (Matthews, 2013, p608), requiring </w:t>
      </w:r>
      <w:r w:rsidR="009B46E5">
        <w:rPr>
          <w:rFonts w:ascii="Times New Roman" w:hAnsi="Times New Roman" w:cs="Times New Roman"/>
        </w:rPr>
        <w:t>advanced facilitations skills with an</w:t>
      </w:r>
      <w:r w:rsidR="00EE65FE">
        <w:rPr>
          <w:rFonts w:ascii="Times New Roman" w:hAnsi="Times New Roman" w:cs="Times New Roman"/>
        </w:rPr>
        <w:t xml:space="preserve"> active commitment to a democratic learning environment (Dawkins-</w:t>
      </w:r>
      <w:proofErr w:type="spellStart"/>
      <w:r w:rsidR="00EE65FE">
        <w:rPr>
          <w:rFonts w:ascii="Times New Roman" w:hAnsi="Times New Roman" w:cs="Times New Roman"/>
        </w:rPr>
        <w:t>Moultin</w:t>
      </w:r>
      <w:proofErr w:type="spellEnd"/>
      <w:r w:rsidR="00EE65FE">
        <w:rPr>
          <w:rFonts w:ascii="Times New Roman" w:hAnsi="Times New Roman" w:cs="Times New Roman"/>
        </w:rPr>
        <w:t xml:space="preserve"> et al, 2016; Kaufman and </w:t>
      </w:r>
      <w:proofErr w:type="spellStart"/>
      <w:r w:rsidR="00EE65FE">
        <w:rPr>
          <w:rFonts w:ascii="Times New Roman" w:hAnsi="Times New Roman" w:cs="Times New Roman"/>
        </w:rPr>
        <w:t>Fobes</w:t>
      </w:r>
      <w:proofErr w:type="spellEnd"/>
      <w:r w:rsidR="00EE65FE">
        <w:rPr>
          <w:rFonts w:ascii="Times New Roman" w:hAnsi="Times New Roman" w:cs="Times New Roman"/>
        </w:rPr>
        <w:t xml:space="preserve">, 2008). </w:t>
      </w:r>
    </w:p>
    <w:p w14:paraId="479ECACB" w14:textId="77777777" w:rsidR="00895FCF" w:rsidRPr="008C11BE" w:rsidRDefault="00895FCF">
      <w:pPr>
        <w:spacing w:line="480" w:lineRule="auto"/>
        <w:rPr>
          <w:rFonts w:ascii="Times New Roman" w:hAnsi="Times New Roman" w:cs="Times New Roman"/>
        </w:rPr>
      </w:pPr>
    </w:p>
    <w:p w14:paraId="3578E9D1" w14:textId="7B14DB60" w:rsidR="000A12D2" w:rsidRPr="008C11BE" w:rsidRDefault="000A12D2" w:rsidP="002C0176">
      <w:pPr>
        <w:spacing w:line="480" w:lineRule="auto"/>
        <w:outlineLvl w:val="0"/>
        <w:rPr>
          <w:rFonts w:ascii="Times New Roman" w:hAnsi="Times New Roman" w:cs="Times New Roman"/>
          <w:b/>
        </w:rPr>
      </w:pPr>
      <w:r w:rsidRPr="008C11BE">
        <w:rPr>
          <w:rFonts w:ascii="Times New Roman" w:hAnsi="Times New Roman" w:cs="Times New Roman"/>
          <w:b/>
        </w:rPr>
        <w:t>&lt;h1 &gt; Conclusions</w:t>
      </w:r>
    </w:p>
    <w:p w14:paraId="4590AA7F" w14:textId="5E5FE5C2" w:rsidR="00674BB6" w:rsidRDefault="00D12944" w:rsidP="001B0738">
      <w:pPr>
        <w:spacing w:line="480" w:lineRule="auto"/>
        <w:rPr>
          <w:rFonts w:ascii="Times New Roman" w:hAnsi="Times New Roman" w:cs="Times New Roman"/>
        </w:rPr>
      </w:pPr>
      <w:proofErr w:type="spellStart"/>
      <w:r w:rsidRPr="00EB24EE">
        <w:rPr>
          <w:rFonts w:ascii="Times New Roman" w:hAnsi="Times New Roman" w:cs="Times New Roman"/>
        </w:rPr>
        <w:t>Nutbeams</w:t>
      </w:r>
      <w:proofErr w:type="spellEnd"/>
      <w:r w:rsidRPr="00EB24EE">
        <w:rPr>
          <w:rFonts w:ascii="Times New Roman" w:hAnsi="Times New Roman" w:cs="Times New Roman"/>
        </w:rPr>
        <w:t xml:space="preserve">’ original presentation of the concept of </w:t>
      </w:r>
      <w:r w:rsidR="00391180">
        <w:rPr>
          <w:rFonts w:ascii="Times New Roman" w:hAnsi="Times New Roman" w:cs="Times New Roman"/>
        </w:rPr>
        <w:t xml:space="preserve">CHL </w:t>
      </w:r>
      <w:r w:rsidRPr="00EB24EE">
        <w:rPr>
          <w:rFonts w:ascii="Times New Roman" w:hAnsi="Times New Roman" w:cs="Times New Roman"/>
        </w:rPr>
        <w:t>explicitly incorporated within it the ‘</w:t>
      </w:r>
      <w:r w:rsidRPr="00EB24EE">
        <w:rPr>
          <w:rFonts w:ascii="Times New Roman" w:hAnsi="Times New Roman" w:cs="Times New Roman"/>
          <w:i/>
        </w:rPr>
        <w:t xml:space="preserve">skills which investigate the political feasibility and organisational possibility of various forms of action to address social, economic and environmental determinants of health’ </w:t>
      </w:r>
      <w:r w:rsidRPr="00EB24EE">
        <w:rPr>
          <w:rFonts w:ascii="Times New Roman" w:hAnsi="Times New Roman" w:cs="Times New Roman"/>
        </w:rPr>
        <w:t>(2000 p265).</w:t>
      </w:r>
      <w:r w:rsidRPr="00EB24EE">
        <w:rPr>
          <w:rFonts w:ascii="Times New Roman" w:hAnsi="Times New Roman" w:cs="Times New Roman"/>
          <w:i/>
        </w:rPr>
        <w:t xml:space="preserve">  </w:t>
      </w:r>
      <w:r w:rsidRPr="00EB24EE">
        <w:rPr>
          <w:rFonts w:ascii="Times New Roman" w:hAnsi="Times New Roman" w:cs="Times New Roman"/>
        </w:rPr>
        <w:t>A lack of understanding and awareness of this aspect of CHL has already been reported (Sykes et al</w:t>
      </w:r>
      <w:r w:rsidR="00514F6F" w:rsidRPr="00EB24EE">
        <w:rPr>
          <w:rFonts w:ascii="Times New Roman" w:hAnsi="Times New Roman" w:cs="Times New Roman"/>
        </w:rPr>
        <w:t>,</w:t>
      </w:r>
      <w:r w:rsidRPr="00EB24EE">
        <w:rPr>
          <w:rFonts w:ascii="Times New Roman" w:hAnsi="Times New Roman" w:cs="Times New Roman"/>
        </w:rPr>
        <w:t xml:space="preserve"> 2013) and this review of effective interventions highlights the challenges of developing CHL </w:t>
      </w:r>
      <w:r w:rsidR="00BF1A7A">
        <w:rPr>
          <w:rFonts w:ascii="Times New Roman" w:hAnsi="Times New Roman" w:cs="Times New Roman"/>
        </w:rPr>
        <w:t>due, in part,</w:t>
      </w:r>
      <w:r w:rsidRPr="00040984">
        <w:rPr>
          <w:rFonts w:ascii="Times New Roman" w:hAnsi="Times New Roman" w:cs="Times New Roman"/>
        </w:rPr>
        <w:t xml:space="preserve"> to </w:t>
      </w:r>
      <w:r w:rsidR="00383663" w:rsidRPr="00040984">
        <w:rPr>
          <w:rFonts w:ascii="Times New Roman" w:hAnsi="Times New Roman" w:cs="Times New Roman"/>
        </w:rPr>
        <w:t>intervention goals that privilege cognitive skills.</w:t>
      </w:r>
      <w:r w:rsidR="00BF1A7A">
        <w:rPr>
          <w:rFonts w:ascii="Times New Roman" w:hAnsi="Times New Roman" w:cs="Times New Roman"/>
        </w:rPr>
        <w:t xml:space="preserve"> </w:t>
      </w:r>
      <w:r w:rsidR="00040984" w:rsidRPr="001B0738">
        <w:rPr>
          <w:rFonts w:ascii="Times New Roman" w:hAnsi="Times New Roman" w:cs="Times New Roman"/>
        </w:rPr>
        <w:t xml:space="preserve">The report of the Commission of the Social Determinants of Health (2008) makes clear </w:t>
      </w:r>
      <w:proofErr w:type="gramStart"/>
      <w:r w:rsidR="00040984" w:rsidRPr="001B0738">
        <w:rPr>
          <w:rFonts w:ascii="Times New Roman" w:hAnsi="Times New Roman" w:cs="Times New Roman"/>
        </w:rPr>
        <w:lastRenderedPageBreak/>
        <w:t>how  inequities</w:t>
      </w:r>
      <w:proofErr w:type="gramEnd"/>
      <w:r w:rsidR="00040984" w:rsidRPr="001B0738">
        <w:rPr>
          <w:rFonts w:ascii="Times New Roman" w:hAnsi="Times New Roman" w:cs="Times New Roman"/>
        </w:rPr>
        <w:t xml:space="preserve"> in health both within and between countries, could be reduced by focusing on the social determinants of health. ‘Closing </w:t>
      </w:r>
      <w:proofErr w:type="gramStart"/>
      <w:r w:rsidR="00040984" w:rsidRPr="001B0738">
        <w:rPr>
          <w:rFonts w:ascii="Times New Roman" w:hAnsi="Times New Roman" w:cs="Times New Roman"/>
        </w:rPr>
        <w:t>The</w:t>
      </w:r>
      <w:proofErr w:type="gramEnd"/>
      <w:r w:rsidR="00040984" w:rsidRPr="001B0738">
        <w:rPr>
          <w:rFonts w:ascii="Times New Roman" w:hAnsi="Times New Roman" w:cs="Times New Roman"/>
        </w:rPr>
        <w:t xml:space="preserve"> Gap In A Generation’ (CSDOH 2008), the final report produced by the Commission on Social Determinants of Health, while discussing literacy as a determinant of health, makes little mention of health literacy. This is despite the health literacy movement making claims that health literacy is a critical determinant (WHO 2013). The report does however call for the scope of </w:t>
      </w:r>
      <w:r w:rsidR="00BF1A7A">
        <w:rPr>
          <w:rFonts w:ascii="Times New Roman" w:hAnsi="Times New Roman" w:cs="Times New Roman"/>
        </w:rPr>
        <w:t>h</w:t>
      </w:r>
      <w:r w:rsidR="00040984" w:rsidRPr="001B0738">
        <w:rPr>
          <w:rFonts w:ascii="Times New Roman" w:hAnsi="Times New Roman" w:cs="Times New Roman"/>
        </w:rPr>
        <w:t xml:space="preserve">ealth </w:t>
      </w:r>
      <w:r w:rsidR="00BF1A7A">
        <w:rPr>
          <w:rFonts w:ascii="Times New Roman" w:hAnsi="Times New Roman" w:cs="Times New Roman"/>
        </w:rPr>
        <w:t>l</w:t>
      </w:r>
      <w:r w:rsidR="00040984" w:rsidRPr="001B0738">
        <w:rPr>
          <w:rFonts w:ascii="Times New Roman" w:hAnsi="Times New Roman" w:cs="Times New Roman"/>
        </w:rPr>
        <w:t xml:space="preserve">iteracy to be expanded to include </w:t>
      </w:r>
      <w:r w:rsidR="00040984" w:rsidRPr="001B0738">
        <w:rPr>
          <w:rFonts w:ascii="Times New Roman" w:hAnsi="Times New Roman" w:cs="Times New Roman"/>
          <w:i/>
        </w:rPr>
        <w:t xml:space="preserve">‘the ability to access, understand, evaluate and communicate information on the social determinants of health’ </w:t>
      </w:r>
      <w:r w:rsidR="00040984" w:rsidRPr="001B0738">
        <w:rPr>
          <w:rFonts w:ascii="Times New Roman" w:hAnsi="Times New Roman" w:cs="Times New Roman"/>
        </w:rPr>
        <w:t xml:space="preserve">(CSDOH 2008 p189). </w:t>
      </w:r>
      <w:r w:rsidR="00674BB6" w:rsidRPr="00674BB6">
        <w:rPr>
          <w:rFonts w:ascii="Times New Roman" w:hAnsi="Times New Roman" w:cs="Times New Roman"/>
        </w:rPr>
        <w:t xml:space="preserve">The Shanghai Declaration </w:t>
      </w:r>
      <w:r w:rsidR="00674BB6" w:rsidRPr="001B0738">
        <w:rPr>
          <w:rFonts w:ascii="Times New Roman" w:hAnsi="Times New Roman" w:cs="Times New Roman"/>
        </w:rPr>
        <w:t>on promoting health in the 2030 Agenda for Sustainable Development (WHO 2016</w:t>
      </w:r>
      <w:bookmarkStart w:id="0" w:name="_GoBack"/>
      <w:bookmarkEnd w:id="0"/>
      <w:r w:rsidR="00674BB6" w:rsidRPr="001B0738">
        <w:rPr>
          <w:rFonts w:ascii="Times New Roman" w:hAnsi="Times New Roman" w:cs="Times New Roman"/>
        </w:rPr>
        <w:t xml:space="preserve">) similarly refers to health literacy as a critical determinant of health and </w:t>
      </w:r>
      <w:r w:rsidR="00674BB6">
        <w:rPr>
          <w:rFonts w:ascii="Times New Roman" w:hAnsi="Times New Roman" w:cs="Times New Roman"/>
        </w:rPr>
        <w:t xml:space="preserve">states that the outcome of </w:t>
      </w:r>
      <w:r w:rsidR="00674BB6" w:rsidRPr="00674BB6">
        <w:rPr>
          <w:rFonts w:ascii="Times New Roman" w:hAnsi="Times New Roman" w:cs="Times New Roman"/>
        </w:rPr>
        <w:t>h</w:t>
      </w:r>
      <w:r w:rsidR="00674BB6" w:rsidRPr="001B0738">
        <w:rPr>
          <w:rFonts w:ascii="Times New Roman" w:hAnsi="Times New Roman" w:cs="Times New Roman"/>
        </w:rPr>
        <w:t xml:space="preserve">ealth literacy </w:t>
      </w:r>
      <w:r w:rsidR="00674BB6">
        <w:rPr>
          <w:rFonts w:ascii="Times New Roman" w:hAnsi="Times New Roman" w:cs="Times New Roman"/>
        </w:rPr>
        <w:t xml:space="preserve">is not only to </w:t>
      </w:r>
      <w:r w:rsidR="00674BB6" w:rsidRPr="00674BB6">
        <w:rPr>
          <w:rFonts w:ascii="Times New Roman" w:hAnsi="Times New Roman" w:cs="Times New Roman"/>
        </w:rPr>
        <w:t>empower</w:t>
      </w:r>
      <w:r w:rsidR="00674BB6">
        <w:rPr>
          <w:rFonts w:ascii="Times New Roman" w:hAnsi="Times New Roman" w:cs="Times New Roman"/>
        </w:rPr>
        <w:t xml:space="preserve"> individual citizens but al</w:t>
      </w:r>
      <w:r w:rsidR="00674BB6" w:rsidRPr="00674BB6">
        <w:rPr>
          <w:rFonts w:ascii="Times New Roman" w:hAnsi="Times New Roman" w:cs="Times New Roman"/>
        </w:rPr>
        <w:t>so to enable</w:t>
      </w:r>
      <w:r w:rsidR="00674BB6" w:rsidRPr="001B0738">
        <w:rPr>
          <w:rFonts w:ascii="Times New Roman" w:hAnsi="Times New Roman" w:cs="Times New Roman"/>
        </w:rPr>
        <w:t xml:space="preserve"> their engagement in </w:t>
      </w:r>
      <w:r w:rsidR="00674BB6" w:rsidRPr="001B0738">
        <w:rPr>
          <w:rFonts w:ascii="Times New Roman" w:hAnsi="Times New Roman" w:cs="Times New Roman"/>
          <w:b/>
        </w:rPr>
        <w:t xml:space="preserve">collective </w:t>
      </w:r>
      <w:r w:rsidR="00674BB6" w:rsidRPr="00674BB6">
        <w:rPr>
          <w:rFonts w:ascii="Times New Roman" w:hAnsi="Times New Roman" w:cs="Times New Roman"/>
        </w:rPr>
        <w:t xml:space="preserve">health promotion action which is described as </w:t>
      </w:r>
      <w:r w:rsidR="00674BB6" w:rsidRPr="001B0738">
        <w:rPr>
          <w:rFonts w:ascii="Times New Roman" w:hAnsi="Times New Roman" w:cs="Times New Roman"/>
        </w:rPr>
        <w:t>effective action on the determinants of health</w:t>
      </w:r>
      <w:r w:rsidR="00674BB6">
        <w:rPr>
          <w:rFonts w:ascii="Times New Roman" w:hAnsi="Times New Roman" w:cs="Times New Roman"/>
        </w:rPr>
        <w:t>.</w:t>
      </w:r>
    </w:p>
    <w:p w14:paraId="7C6A1D03" w14:textId="544DA0C4" w:rsidR="00040984" w:rsidRPr="001B0738" w:rsidRDefault="00674BB6" w:rsidP="001B0738">
      <w:pPr>
        <w:spacing w:line="480" w:lineRule="auto"/>
        <w:rPr>
          <w:rFonts w:ascii="Times New Roman" w:hAnsi="Times New Roman" w:cs="Times New Roman"/>
        </w:rPr>
      </w:pPr>
      <w:r>
        <w:rPr>
          <w:rFonts w:ascii="Times New Roman" w:hAnsi="Times New Roman" w:cs="Times New Roman"/>
        </w:rPr>
        <w:t xml:space="preserve">Despite the challenges of conceptualising and operationalising the concept of CHL, its contribution within the health literacy movement should not be neglected. </w:t>
      </w:r>
    </w:p>
    <w:p w14:paraId="013CDD44" w14:textId="77777777" w:rsidR="00040984" w:rsidRDefault="00040984">
      <w:pPr>
        <w:spacing w:line="480" w:lineRule="auto"/>
        <w:rPr>
          <w:rFonts w:ascii="Times New Roman" w:hAnsi="Times New Roman" w:cs="Times New Roman"/>
        </w:rPr>
      </w:pPr>
    </w:p>
    <w:p w14:paraId="5995A950" w14:textId="3D7EF7DC" w:rsidR="00857488" w:rsidRDefault="00857488">
      <w:pPr>
        <w:spacing w:line="480" w:lineRule="auto"/>
        <w:rPr>
          <w:rFonts w:ascii="Times New Roman" w:hAnsi="Times New Roman" w:cs="Times New Roman"/>
        </w:rPr>
      </w:pPr>
      <w:r>
        <w:rPr>
          <w:rFonts w:ascii="Times New Roman" w:hAnsi="Times New Roman" w:cs="Times New Roman"/>
        </w:rPr>
        <w:br w:type="page"/>
      </w:r>
    </w:p>
    <w:p w14:paraId="4AF796CD" w14:textId="77777777" w:rsidR="00EB24EE" w:rsidRPr="00EB24EE" w:rsidRDefault="00EB24EE">
      <w:pPr>
        <w:spacing w:line="480" w:lineRule="auto"/>
        <w:rPr>
          <w:rFonts w:ascii="Times New Roman" w:hAnsi="Times New Roman" w:cs="Times New Roman"/>
        </w:rPr>
      </w:pPr>
    </w:p>
    <w:p w14:paraId="085663E6" w14:textId="2C91522A" w:rsidR="008C11BE" w:rsidRPr="00EB24EE" w:rsidRDefault="008C11BE" w:rsidP="002C0176">
      <w:pPr>
        <w:spacing w:line="480" w:lineRule="auto"/>
        <w:outlineLvl w:val="0"/>
        <w:rPr>
          <w:rFonts w:ascii="Times New Roman" w:hAnsi="Times New Roman" w:cs="Times New Roman"/>
          <w:b/>
        </w:rPr>
      </w:pPr>
      <w:r w:rsidRPr="00EB24EE">
        <w:rPr>
          <w:rFonts w:ascii="Times New Roman" w:hAnsi="Times New Roman" w:cs="Times New Roman"/>
          <w:b/>
        </w:rPr>
        <w:t>References</w:t>
      </w:r>
    </w:p>
    <w:p w14:paraId="5E09E2CF" w14:textId="77777777" w:rsidR="008C11BE" w:rsidRPr="00A25B0A" w:rsidRDefault="008C11BE" w:rsidP="00EB24EE">
      <w:pPr>
        <w:spacing w:line="480" w:lineRule="auto"/>
        <w:rPr>
          <w:rFonts w:ascii="Times New Roman" w:hAnsi="Times New Roman" w:cs="Times New Roman"/>
        </w:rPr>
      </w:pPr>
      <w:r w:rsidRPr="008C11BE">
        <w:rPr>
          <w:rFonts w:ascii="Times New Roman" w:hAnsi="Times New Roman" w:cs="Times New Roman"/>
        </w:rPr>
        <w:t xml:space="preserve">Banister, E., </w:t>
      </w:r>
      <w:proofErr w:type="spellStart"/>
      <w:r w:rsidRPr="008C11BE">
        <w:rPr>
          <w:rFonts w:ascii="Times New Roman" w:hAnsi="Times New Roman" w:cs="Times New Roman"/>
        </w:rPr>
        <w:t>Begoray</w:t>
      </w:r>
      <w:proofErr w:type="spellEnd"/>
      <w:r w:rsidRPr="008C11BE">
        <w:rPr>
          <w:rFonts w:ascii="Times New Roman" w:hAnsi="Times New Roman" w:cs="Times New Roman"/>
        </w:rPr>
        <w:t>, D. and Daly, K. (2011) ‘Responding to adolescent women’s reproductive Health Concerns:</w:t>
      </w:r>
      <w:r w:rsidRPr="00A25B0A">
        <w:rPr>
          <w:rFonts w:ascii="Times New Roman" w:hAnsi="Times New Roman" w:cs="Times New Roman"/>
        </w:rPr>
        <w:t xml:space="preserve"> Empowering clients through health literacy’, Health Care for Women International, 32: 344–354</w:t>
      </w:r>
    </w:p>
    <w:p w14:paraId="3C4EF8F7" w14:textId="77777777" w:rsidR="008C11BE" w:rsidRPr="001645B4" w:rsidRDefault="008C11BE" w:rsidP="00EB24EE">
      <w:pPr>
        <w:spacing w:line="480" w:lineRule="auto"/>
        <w:rPr>
          <w:rFonts w:ascii="Times New Roman" w:hAnsi="Times New Roman" w:cs="Times New Roman"/>
        </w:rPr>
      </w:pPr>
    </w:p>
    <w:p w14:paraId="3CB1E66F" w14:textId="77777777" w:rsidR="008C11BE" w:rsidRPr="008C11BE" w:rsidRDefault="008C11BE" w:rsidP="00EB24EE">
      <w:pPr>
        <w:spacing w:line="480" w:lineRule="auto"/>
        <w:rPr>
          <w:rFonts w:ascii="Times New Roman" w:eastAsia="Times New Roman" w:hAnsi="Times New Roman" w:cs="Times New Roman"/>
          <w:lang w:eastAsia="en-GB"/>
        </w:rPr>
      </w:pPr>
      <w:proofErr w:type="spellStart"/>
      <w:r w:rsidRPr="008C11BE">
        <w:rPr>
          <w:rFonts w:ascii="Times New Roman" w:eastAsia="Times New Roman" w:hAnsi="Times New Roman" w:cs="Times New Roman"/>
          <w:lang w:eastAsia="en-GB"/>
        </w:rPr>
        <w:t>Begoray</w:t>
      </w:r>
      <w:proofErr w:type="spellEnd"/>
      <w:r w:rsidRPr="008C11BE">
        <w:rPr>
          <w:rFonts w:ascii="Times New Roman" w:eastAsia="Times New Roman" w:hAnsi="Times New Roman" w:cs="Times New Roman"/>
          <w:lang w:eastAsia="en-GB"/>
        </w:rPr>
        <w:t xml:space="preserve">, D. L., Banister, E. M., Wharf Higgins, J. and Wilmot, R. (2014) ‘Online, </w:t>
      </w:r>
    </w:p>
    <w:p w14:paraId="0FE20DD7" w14:textId="77777777" w:rsidR="008C11BE" w:rsidRPr="008C11BE" w:rsidRDefault="008C11BE" w:rsidP="00EB24EE">
      <w:pPr>
        <w:spacing w:line="480" w:lineRule="auto"/>
        <w:rPr>
          <w:rFonts w:ascii="Times New Roman" w:eastAsia="Times New Roman" w:hAnsi="Times New Roman" w:cs="Times New Roman"/>
          <w:lang w:eastAsia="en-GB"/>
        </w:rPr>
      </w:pPr>
      <w:r w:rsidRPr="008C11BE">
        <w:rPr>
          <w:rFonts w:ascii="Times New Roman" w:eastAsia="Times New Roman" w:hAnsi="Times New Roman" w:cs="Times New Roman"/>
          <w:lang w:eastAsia="en-GB"/>
        </w:rPr>
        <w:t xml:space="preserve">tuned in, turned on: Multimedia approaches to fostering critical media health literacy </w:t>
      </w:r>
    </w:p>
    <w:p w14:paraId="6E399897" w14:textId="77777777" w:rsidR="008C11BE" w:rsidRPr="008C11BE" w:rsidRDefault="008C11BE" w:rsidP="00EB24EE">
      <w:pPr>
        <w:spacing w:line="480" w:lineRule="auto"/>
        <w:rPr>
          <w:rFonts w:ascii="Times New Roman" w:eastAsia="Times New Roman" w:hAnsi="Times New Roman" w:cs="Times New Roman"/>
          <w:iCs/>
          <w:lang w:eastAsia="en-GB"/>
        </w:rPr>
      </w:pPr>
      <w:r w:rsidRPr="008C11BE">
        <w:rPr>
          <w:rFonts w:ascii="Times New Roman" w:eastAsia="Times New Roman" w:hAnsi="Times New Roman" w:cs="Times New Roman"/>
          <w:lang w:eastAsia="en-GB"/>
        </w:rPr>
        <w:t xml:space="preserve">for adolescents’, </w:t>
      </w:r>
      <w:r w:rsidRPr="008C11BE">
        <w:rPr>
          <w:rFonts w:ascii="Times New Roman" w:eastAsia="Times New Roman" w:hAnsi="Times New Roman" w:cs="Times New Roman"/>
          <w:iCs/>
          <w:lang w:eastAsia="en-GB"/>
        </w:rPr>
        <w:t>Asia-Pacific Journal of Health, Sport and Physical Education</w:t>
      </w:r>
      <w:r w:rsidRPr="008C11BE">
        <w:rPr>
          <w:rFonts w:ascii="Times New Roman" w:eastAsia="Times New Roman" w:hAnsi="Times New Roman" w:cs="Times New Roman"/>
          <w:lang w:eastAsia="en-GB"/>
        </w:rPr>
        <w:t>, 5(3): 267–280.</w:t>
      </w:r>
    </w:p>
    <w:p w14:paraId="329FCE7E" w14:textId="77777777" w:rsidR="008C11BE" w:rsidRPr="008C11BE" w:rsidRDefault="008C11BE" w:rsidP="00EB24EE">
      <w:pPr>
        <w:spacing w:line="480" w:lineRule="auto"/>
        <w:rPr>
          <w:rFonts w:ascii="Times New Roman" w:eastAsia="Times New Roman" w:hAnsi="Times New Roman" w:cs="Times New Roman"/>
          <w:lang w:val="en-US" w:eastAsia="en-GB"/>
        </w:rPr>
      </w:pPr>
    </w:p>
    <w:p w14:paraId="37C19882" w14:textId="77777777" w:rsidR="008C11BE" w:rsidRDefault="008C11BE" w:rsidP="00EB24EE">
      <w:pPr>
        <w:spacing w:line="480" w:lineRule="auto"/>
        <w:rPr>
          <w:rFonts w:ascii="Times New Roman" w:eastAsia="Times New Roman" w:hAnsi="Times New Roman" w:cs="Times New Roman"/>
          <w:lang w:eastAsia="en-GB"/>
        </w:rPr>
      </w:pPr>
      <w:proofErr w:type="spellStart"/>
      <w:r w:rsidRPr="008C11BE">
        <w:rPr>
          <w:rFonts w:ascii="Times New Roman" w:eastAsia="Times New Roman" w:hAnsi="Times New Roman" w:cs="Times New Roman"/>
          <w:lang w:eastAsia="en-GB"/>
        </w:rPr>
        <w:t>Bruselius</w:t>
      </w:r>
      <w:proofErr w:type="spellEnd"/>
      <w:r w:rsidRPr="008C11BE">
        <w:rPr>
          <w:rFonts w:ascii="Times New Roman" w:eastAsia="Times New Roman" w:hAnsi="Times New Roman" w:cs="Times New Roman"/>
          <w:lang w:eastAsia="en-GB"/>
        </w:rPr>
        <w:t xml:space="preserve">-Jensen, M., </w:t>
      </w:r>
      <w:proofErr w:type="spellStart"/>
      <w:r w:rsidRPr="008C11BE">
        <w:rPr>
          <w:rFonts w:ascii="Times New Roman" w:eastAsia="Times New Roman" w:hAnsi="Times New Roman" w:cs="Times New Roman"/>
          <w:lang w:eastAsia="en-GB"/>
        </w:rPr>
        <w:t>Bonde</w:t>
      </w:r>
      <w:proofErr w:type="spellEnd"/>
      <w:r w:rsidRPr="008C11BE">
        <w:rPr>
          <w:rFonts w:ascii="Times New Roman" w:eastAsia="Times New Roman" w:hAnsi="Times New Roman" w:cs="Times New Roman"/>
          <w:lang w:eastAsia="en-GB"/>
        </w:rPr>
        <w:t xml:space="preserve">, A. H. and Christensen, J. H. (2017) ‘Promoting health literacy in the classroom’, </w:t>
      </w:r>
      <w:r w:rsidRPr="008C11BE">
        <w:rPr>
          <w:rFonts w:ascii="Times New Roman" w:eastAsia="Times New Roman" w:hAnsi="Times New Roman" w:cs="Times New Roman"/>
          <w:iCs/>
          <w:lang w:eastAsia="en-GB"/>
        </w:rPr>
        <w:t>Health Education Journal</w:t>
      </w:r>
      <w:r w:rsidRPr="008C11BE">
        <w:rPr>
          <w:rFonts w:ascii="Times New Roman" w:eastAsia="Times New Roman" w:hAnsi="Times New Roman" w:cs="Times New Roman"/>
          <w:lang w:eastAsia="en-GB"/>
        </w:rPr>
        <w:t xml:space="preserve">, 76(2): 156–168. </w:t>
      </w:r>
    </w:p>
    <w:p w14:paraId="703D014C" w14:textId="77777777" w:rsidR="00C268DE" w:rsidRPr="008C11BE" w:rsidRDefault="00C268DE" w:rsidP="00EB24EE">
      <w:pPr>
        <w:spacing w:line="480" w:lineRule="auto"/>
        <w:rPr>
          <w:rFonts w:ascii="Times New Roman" w:eastAsia="Times New Roman" w:hAnsi="Times New Roman" w:cs="Times New Roman"/>
          <w:lang w:eastAsia="en-GB"/>
        </w:rPr>
      </w:pPr>
    </w:p>
    <w:p w14:paraId="16B31BC5" w14:textId="3999222C" w:rsidR="00C268DE" w:rsidRPr="00C268DE" w:rsidRDefault="00C268DE" w:rsidP="001B0738">
      <w:pPr>
        <w:spacing w:line="480" w:lineRule="auto"/>
        <w:rPr>
          <w:rFonts w:ascii="Times New Roman" w:eastAsia="Times New Roman" w:hAnsi="Times New Roman" w:cs="Times New Roman"/>
          <w:lang w:eastAsia="en-GB"/>
        </w:rPr>
      </w:pPr>
      <w:proofErr w:type="spellStart"/>
      <w:r w:rsidRPr="001B0738">
        <w:rPr>
          <w:rFonts w:ascii="Times New Roman" w:eastAsia="Times New Roman" w:hAnsi="Times New Roman" w:cs="Times New Roman"/>
          <w:color w:val="303030"/>
          <w:shd w:val="clear" w:color="auto" w:fill="FFFFFF"/>
          <w:lang w:eastAsia="en-GB"/>
        </w:rPr>
        <w:t>Chesser</w:t>
      </w:r>
      <w:proofErr w:type="spellEnd"/>
      <w:r w:rsidRPr="001B0738">
        <w:rPr>
          <w:rFonts w:ascii="Times New Roman" w:eastAsia="Times New Roman" w:hAnsi="Times New Roman" w:cs="Times New Roman"/>
          <w:color w:val="303030"/>
          <w:shd w:val="clear" w:color="auto" w:fill="FFFFFF"/>
          <w:lang w:eastAsia="en-GB"/>
        </w:rPr>
        <w:t xml:space="preserve">, A. K., Keene Woods, N., Smothers, K., &amp; </w:t>
      </w:r>
      <w:r w:rsidR="00D27767" w:rsidRPr="00A35B6A">
        <w:rPr>
          <w:rFonts w:ascii="Times New Roman" w:eastAsia="Times New Roman" w:hAnsi="Times New Roman" w:cs="Times New Roman"/>
          <w:color w:val="303030"/>
          <w:shd w:val="clear" w:color="auto" w:fill="FFFFFF"/>
          <w:lang w:eastAsia="en-GB"/>
        </w:rPr>
        <w:t>Rogers, N. (2016)</w:t>
      </w:r>
      <w:r w:rsidRPr="001B0738">
        <w:rPr>
          <w:rFonts w:ascii="Times New Roman" w:eastAsia="Times New Roman" w:hAnsi="Times New Roman" w:cs="Times New Roman"/>
          <w:color w:val="303030"/>
          <w:shd w:val="clear" w:color="auto" w:fill="FFFFFF"/>
          <w:lang w:eastAsia="en-GB"/>
        </w:rPr>
        <w:t xml:space="preserve"> </w:t>
      </w:r>
      <w:r>
        <w:rPr>
          <w:rFonts w:ascii="Times New Roman" w:eastAsia="Times New Roman" w:hAnsi="Times New Roman" w:cs="Times New Roman"/>
          <w:color w:val="303030"/>
          <w:shd w:val="clear" w:color="auto" w:fill="FFFFFF"/>
          <w:lang w:eastAsia="en-GB"/>
        </w:rPr>
        <w:t>‘</w:t>
      </w:r>
      <w:r w:rsidRPr="001B0738">
        <w:rPr>
          <w:rFonts w:ascii="Times New Roman" w:eastAsia="Times New Roman" w:hAnsi="Times New Roman" w:cs="Times New Roman"/>
          <w:color w:val="303030"/>
          <w:shd w:val="clear" w:color="auto" w:fill="FFFFFF"/>
          <w:lang w:eastAsia="en-GB"/>
        </w:rPr>
        <w:t>Health Literacy and Older Adults: A Systematic Review</w:t>
      </w:r>
      <w:r>
        <w:rPr>
          <w:rFonts w:ascii="Times New Roman" w:eastAsia="Times New Roman" w:hAnsi="Times New Roman" w:cs="Times New Roman"/>
          <w:color w:val="303030"/>
          <w:shd w:val="clear" w:color="auto" w:fill="FFFFFF"/>
          <w:lang w:eastAsia="en-GB"/>
        </w:rPr>
        <w:t>’,</w:t>
      </w:r>
      <w:r w:rsidRPr="001B0738">
        <w:rPr>
          <w:rFonts w:ascii="Times New Roman" w:eastAsia="Times New Roman" w:hAnsi="Times New Roman" w:cs="Times New Roman"/>
          <w:color w:val="303030"/>
          <w:shd w:val="clear" w:color="auto" w:fill="FFFFFF"/>
          <w:lang w:eastAsia="en-GB"/>
        </w:rPr>
        <w:t> </w:t>
      </w:r>
      <w:r w:rsidRPr="001B0738">
        <w:rPr>
          <w:rFonts w:ascii="Times New Roman" w:eastAsia="Times New Roman" w:hAnsi="Times New Roman" w:cs="Times New Roman"/>
          <w:iCs/>
          <w:color w:val="303030"/>
          <w:lang w:eastAsia="en-GB"/>
        </w:rPr>
        <w:t>Gerontology and Geriatric Medicine</w:t>
      </w:r>
      <w:r w:rsidRPr="001B0738">
        <w:rPr>
          <w:rFonts w:ascii="Times New Roman" w:eastAsia="Times New Roman" w:hAnsi="Times New Roman" w:cs="Times New Roman"/>
          <w:color w:val="303030"/>
          <w:shd w:val="clear" w:color="auto" w:fill="FFFFFF"/>
          <w:lang w:eastAsia="en-GB"/>
        </w:rPr>
        <w:t>, </w:t>
      </w:r>
      <w:r w:rsidRPr="001B0738">
        <w:rPr>
          <w:rFonts w:ascii="Times New Roman" w:eastAsia="Times New Roman" w:hAnsi="Times New Roman" w:cs="Times New Roman"/>
          <w:i/>
          <w:iCs/>
          <w:color w:val="303030"/>
          <w:lang w:eastAsia="en-GB"/>
        </w:rPr>
        <w:t>2</w:t>
      </w:r>
      <w:r w:rsidRPr="00DF54C9">
        <w:rPr>
          <w:rFonts w:ascii="Times New Roman" w:eastAsia="Times New Roman" w:hAnsi="Times New Roman" w:cs="Times New Roman"/>
          <w:color w:val="303030"/>
          <w:shd w:val="clear" w:color="auto" w:fill="FFFFFF"/>
          <w:lang w:eastAsia="en-GB"/>
        </w:rPr>
        <w:t>:</w:t>
      </w:r>
      <w:r w:rsidRPr="001B0738">
        <w:rPr>
          <w:rFonts w:ascii="Times New Roman" w:eastAsia="Times New Roman" w:hAnsi="Times New Roman" w:cs="Times New Roman"/>
          <w:color w:val="303030"/>
          <w:shd w:val="clear" w:color="auto" w:fill="FFFFFF"/>
          <w:lang w:eastAsia="en-GB"/>
        </w:rPr>
        <w:t xml:space="preserve"> 2333721416630492.</w:t>
      </w:r>
    </w:p>
    <w:p w14:paraId="190479D0" w14:textId="77777777" w:rsidR="008C11BE" w:rsidRPr="00C268DE" w:rsidRDefault="008C11BE" w:rsidP="00C268DE">
      <w:pPr>
        <w:pStyle w:val="References"/>
        <w:spacing w:line="480" w:lineRule="auto"/>
        <w:ind w:left="0" w:firstLine="0"/>
        <w:rPr>
          <w:rFonts w:ascii="Times New Roman" w:hAnsi="Times New Roman"/>
        </w:rPr>
      </w:pPr>
    </w:p>
    <w:p w14:paraId="5BC1D815" w14:textId="77777777" w:rsidR="008C11BE" w:rsidRPr="008C11BE" w:rsidRDefault="008C11BE" w:rsidP="00EB24EE">
      <w:pPr>
        <w:pStyle w:val="References"/>
        <w:spacing w:line="480" w:lineRule="auto"/>
        <w:ind w:left="0" w:firstLine="0"/>
        <w:rPr>
          <w:rFonts w:ascii="Times New Roman" w:hAnsi="Times New Roman"/>
        </w:rPr>
      </w:pPr>
      <w:r w:rsidRPr="008C11BE">
        <w:rPr>
          <w:rFonts w:ascii="Times New Roman" w:hAnsi="Times New Roman"/>
        </w:rPr>
        <w:t>Chinn, D. (2011) ‘Critical health literacy: a review and critical analysis’, Social Science and Medicine, 73(1): 60-67.</w:t>
      </w:r>
    </w:p>
    <w:p w14:paraId="368B8E52" w14:textId="1FFE2868" w:rsidR="008C11BE" w:rsidRDefault="008C11BE" w:rsidP="00EB24EE">
      <w:pPr>
        <w:pStyle w:val="References"/>
        <w:spacing w:line="480" w:lineRule="auto"/>
        <w:ind w:left="0" w:firstLine="0"/>
        <w:rPr>
          <w:rFonts w:ascii="Times New Roman" w:hAnsi="Times New Roman"/>
        </w:rPr>
      </w:pPr>
      <w:r w:rsidRPr="008C11BE">
        <w:rPr>
          <w:rFonts w:ascii="Times New Roman" w:hAnsi="Times New Roman"/>
        </w:rPr>
        <w:t>Chinn, D. and McCarthy</w:t>
      </w:r>
      <w:r w:rsidR="00A35B6A">
        <w:rPr>
          <w:rFonts w:ascii="Times New Roman" w:hAnsi="Times New Roman"/>
        </w:rPr>
        <w:t>,</w:t>
      </w:r>
      <w:r w:rsidRPr="008C11BE">
        <w:rPr>
          <w:rFonts w:ascii="Times New Roman" w:hAnsi="Times New Roman"/>
        </w:rPr>
        <w:t xml:space="preserve"> C. (2012) ‘All aspects health literacy scale (AAHLS): developing a tool to measure functional, communicative and critical health literacy in primary healthcare settings’, Patient Education and Counselling</w:t>
      </w:r>
      <w:r w:rsidRPr="008C11BE">
        <w:rPr>
          <w:rFonts w:ascii="Times New Roman" w:hAnsi="Times New Roman"/>
          <w:i/>
        </w:rPr>
        <w:t xml:space="preserve">, </w:t>
      </w:r>
      <w:r w:rsidRPr="008C11BE">
        <w:rPr>
          <w:rFonts w:ascii="Times New Roman" w:hAnsi="Times New Roman"/>
        </w:rPr>
        <w:t>90: 247-253.</w:t>
      </w:r>
    </w:p>
    <w:p w14:paraId="52D8B013" w14:textId="74AC0342" w:rsidR="00E90A21" w:rsidRDefault="00E90A21" w:rsidP="00EB24EE">
      <w:pPr>
        <w:pStyle w:val="References"/>
        <w:spacing w:line="480" w:lineRule="auto"/>
        <w:ind w:left="0" w:firstLine="0"/>
        <w:rPr>
          <w:rFonts w:ascii="Times New Roman" w:hAnsi="Times New Roman"/>
        </w:rPr>
      </w:pPr>
      <w:proofErr w:type="spellStart"/>
      <w:r w:rsidRPr="00E90A21">
        <w:rPr>
          <w:rFonts w:ascii="Times New Roman" w:hAnsi="Times New Roman"/>
        </w:rPr>
        <w:lastRenderedPageBreak/>
        <w:t>Crondahl</w:t>
      </w:r>
      <w:proofErr w:type="spellEnd"/>
      <w:r w:rsidRPr="00E90A21">
        <w:rPr>
          <w:rFonts w:ascii="Times New Roman" w:hAnsi="Times New Roman"/>
        </w:rPr>
        <w:t>, K</w:t>
      </w:r>
      <w:r>
        <w:rPr>
          <w:rFonts w:ascii="Times New Roman" w:hAnsi="Times New Roman"/>
        </w:rPr>
        <w:t>.</w:t>
      </w:r>
      <w:r w:rsidRPr="00E90A21">
        <w:rPr>
          <w:rFonts w:ascii="Times New Roman" w:hAnsi="Times New Roman"/>
        </w:rPr>
        <w:t xml:space="preserve"> and </w:t>
      </w:r>
      <w:proofErr w:type="spellStart"/>
      <w:r w:rsidRPr="00E90A21">
        <w:rPr>
          <w:rFonts w:ascii="Times New Roman" w:hAnsi="Times New Roman"/>
        </w:rPr>
        <w:t>Karlsson</w:t>
      </w:r>
      <w:proofErr w:type="spellEnd"/>
      <w:r w:rsidRPr="00E90A21">
        <w:rPr>
          <w:rFonts w:ascii="Times New Roman" w:hAnsi="Times New Roman"/>
        </w:rPr>
        <w:t>, E. (2016)</w:t>
      </w:r>
      <w:r>
        <w:rPr>
          <w:rFonts w:ascii="Times New Roman" w:hAnsi="Times New Roman"/>
        </w:rPr>
        <w:t xml:space="preserve"> </w:t>
      </w:r>
      <w:r w:rsidR="00DF54C9">
        <w:rPr>
          <w:rFonts w:ascii="Times New Roman" w:hAnsi="Times New Roman"/>
        </w:rPr>
        <w:t>‘</w:t>
      </w:r>
      <w:r>
        <w:rPr>
          <w:rFonts w:ascii="Times New Roman" w:hAnsi="Times New Roman"/>
        </w:rPr>
        <w:t>The nexus between health litera</w:t>
      </w:r>
      <w:r w:rsidRPr="00E90A21">
        <w:rPr>
          <w:rFonts w:ascii="Times New Roman" w:hAnsi="Times New Roman"/>
        </w:rPr>
        <w:t>cy and empowerment: a scoping review</w:t>
      </w:r>
      <w:r w:rsidR="00DF54C9">
        <w:rPr>
          <w:rFonts w:ascii="Times New Roman" w:hAnsi="Times New Roman"/>
        </w:rPr>
        <w:t>’.</w:t>
      </w:r>
      <w:r w:rsidRPr="00E90A21">
        <w:rPr>
          <w:rFonts w:ascii="Times New Roman" w:hAnsi="Times New Roman"/>
        </w:rPr>
        <w:t xml:space="preserve"> Sage Open 1-7</w:t>
      </w:r>
      <w:r w:rsidR="00A35B6A">
        <w:rPr>
          <w:rFonts w:ascii="Times New Roman" w:hAnsi="Times New Roman"/>
        </w:rPr>
        <w:t>.</w:t>
      </w:r>
      <w:r w:rsidRPr="00E90A21">
        <w:rPr>
          <w:rFonts w:ascii="Times New Roman" w:hAnsi="Times New Roman"/>
        </w:rPr>
        <w:t xml:space="preserve"> </w:t>
      </w:r>
    </w:p>
    <w:p w14:paraId="7D4C9F74" w14:textId="49E0756E" w:rsidR="00DF54C9" w:rsidRPr="008C11BE" w:rsidRDefault="00DF54C9" w:rsidP="00EB24EE">
      <w:pPr>
        <w:pStyle w:val="References"/>
        <w:spacing w:line="480" w:lineRule="auto"/>
        <w:ind w:left="0" w:firstLine="0"/>
        <w:rPr>
          <w:rFonts w:ascii="Times New Roman" w:hAnsi="Times New Roman"/>
        </w:rPr>
      </w:pPr>
      <w:r w:rsidRPr="00DF54C9">
        <w:rPr>
          <w:rFonts w:ascii="Times New Roman" w:hAnsi="Times New Roman"/>
        </w:rPr>
        <w:t>CSDOH</w:t>
      </w:r>
      <w:r>
        <w:rPr>
          <w:rFonts w:ascii="Times New Roman" w:hAnsi="Times New Roman"/>
        </w:rPr>
        <w:t>.</w:t>
      </w:r>
      <w:r w:rsidRPr="00DF54C9">
        <w:rPr>
          <w:rFonts w:ascii="Times New Roman" w:hAnsi="Times New Roman"/>
        </w:rPr>
        <w:t xml:space="preserve"> (2008) </w:t>
      </w:r>
      <w:r>
        <w:rPr>
          <w:rFonts w:ascii="Times New Roman" w:hAnsi="Times New Roman"/>
        </w:rPr>
        <w:t>‘</w:t>
      </w:r>
      <w:r w:rsidRPr="00DF54C9">
        <w:rPr>
          <w:rFonts w:ascii="Times New Roman" w:hAnsi="Times New Roman"/>
        </w:rPr>
        <w:t>Closing the Gap in a Generation; Health equity through action on the social determinants of health</w:t>
      </w:r>
      <w:r>
        <w:rPr>
          <w:rFonts w:ascii="Times New Roman" w:hAnsi="Times New Roman"/>
        </w:rPr>
        <w:t>’</w:t>
      </w:r>
      <w:r w:rsidRPr="00DF54C9">
        <w:rPr>
          <w:rFonts w:ascii="Times New Roman" w:hAnsi="Times New Roman"/>
        </w:rPr>
        <w:t>. Geneva, WHO.</w:t>
      </w:r>
    </w:p>
    <w:p w14:paraId="22DFC0D3" w14:textId="77777777" w:rsidR="008C11BE" w:rsidRPr="008C11BE" w:rsidRDefault="008C11BE" w:rsidP="00EB24EE">
      <w:pPr>
        <w:pStyle w:val="NormalWeb"/>
        <w:spacing w:line="480" w:lineRule="auto"/>
      </w:pPr>
      <w:r w:rsidRPr="008C11BE">
        <w:rPr>
          <w:color w:val="211E1E"/>
        </w:rPr>
        <w:t xml:space="preserve">Cutler, D. and </w:t>
      </w:r>
      <w:proofErr w:type="spellStart"/>
      <w:r w:rsidRPr="008C11BE">
        <w:rPr>
          <w:color w:val="211E1E"/>
        </w:rPr>
        <w:t>Lleras-Muney</w:t>
      </w:r>
      <w:proofErr w:type="spellEnd"/>
      <w:r w:rsidRPr="008C11BE">
        <w:rPr>
          <w:color w:val="211E1E"/>
        </w:rPr>
        <w:t>, A. (2006) ‘Education and Health: Evaluating Theories and Evidence’ NBER Working Paper No. 12352, National Bureau of Economic Research.</w:t>
      </w:r>
    </w:p>
    <w:p w14:paraId="7CF51ABE" w14:textId="7460EAF4" w:rsidR="008C11BE" w:rsidRDefault="008C11BE" w:rsidP="00EB24EE">
      <w:pPr>
        <w:pStyle w:val="References"/>
        <w:spacing w:line="480" w:lineRule="auto"/>
        <w:ind w:left="0" w:firstLine="0"/>
        <w:rPr>
          <w:rFonts w:ascii="Times New Roman" w:hAnsi="Times New Roman"/>
        </w:rPr>
      </w:pPr>
      <w:r w:rsidRPr="008C11BE">
        <w:rPr>
          <w:rFonts w:ascii="Times New Roman" w:hAnsi="Times New Roman"/>
        </w:rPr>
        <w:t>Dahlgren, G. and Whitehead, M. (1991) Policies and strategies to promote social equity in health.</w:t>
      </w:r>
      <w:r w:rsidRPr="008C11BE">
        <w:rPr>
          <w:rFonts w:ascii="Times New Roman" w:hAnsi="Times New Roman"/>
          <w:i/>
        </w:rPr>
        <w:t xml:space="preserve"> </w:t>
      </w:r>
      <w:r w:rsidRPr="008C11BE">
        <w:rPr>
          <w:rFonts w:ascii="Times New Roman" w:hAnsi="Times New Roman"/>
        </w:rPr>
        <w:t>Stockholm: Institute of Future Studies.</w:t>
      </w:r>
    </w:p>
    <w:p w14:paraId="1EB998A1" w14:textId="2D9530B1" w:rsidR="00EE65FE" w:rsidRPr="001B0738" w:rsidRDefault="00EE65FE" w:rsidP="001B0738">
      <w:pPr>
        <w:pStyle w:val="p1"/>
        <w:spacing w:line="480" w:lineRule="auto"/>
        <w:rPr>
          <w:rFonts w:ascii="Times New Roman" w:hAnsi="Times New Roman"/>
          <w:sz w:val="24"/>
          <w:szCs w:val="24"/>
        </w:rPr>
      </w:pPr>
      <w:r w:rsidRPr="001B0738">
        <w:rPr>
          <w:rFonts w:ascii="Times New Roman" w:hAnsi="Times New Roman"/>
          <w:sz w:val="24"/>
          <w:szCs w:val="24"/>
        </w:rPr>
        <w:t>Dawkins-</w:t>
      </w:r>
      <w:proofErr w:type="spellStart"/>
      <w:r w:rsidRPr="001B0738">
        <w:rPr>
          <w:rFonts w:ascii="Times New Roman" w:hAnsi="Times New Roman"/>
          <w:sz w:val="24"/>
          <w:szCs w:val="24"/>
        </w:rPr>
        <w:t>Moultin</w:t>
      </w:r>
      <w:proofErr w:type="spellEnd"/>
      <w:r w:rsidRPr="001B0738">
        <w:rPr>
          <w:rFonts w:ascii="Times New Roman" w:hAnsi="Times New Roman"/>
          <w:sz w:val="24"/>
          <w:szCs w:val="24"/>
        </w:rPr>
        <w:t xml:space="preserve"> L</w:t>
      </w:r>
      <w:r w:rsidR="00B164BD" w:rsidRPr="001B0738">
        <w:rPr>
          <w:rFonts w:ascii="Times New Roman" w:hAnsi="Times New Roman"/>
          <w:sz w:val="24"/>
          <w:szCs w:val="24"/>
        </w:rPr>
        <w:t>.</w:t>
      </w:r>
      <w:r w:rsidRPr="001B0738">
        <w:rPr>
          <w:rFonts w:ascii="Times New Roman" w:hAnsi="Times New Roman"/>
          <w:sz w:val="24"/>
          <w:szCs w:val="24"/>
        </w:rPr>
        <w:t>, McDonald A</w:t>
      </w:r>
      <w:r w:rsidR="00B164BD" w:rsidRPr="001B0738">
        <w:rPr>
          <w:rFonts w:ascii="Times New Roman" w:hAnsi="Times New Roman"/>
          <w:sz w:val="24"/>
          <w:szCs w:val="24"/>
        </w:rPr>
        <w:t>.</w:t>
      </w:r>
      <w:r w:rsidRPr="001B0738">
        <w:rPr>
          <w:rFonts w:ascii="Times New Roman" w:hAnsi="Times New Roman"/>
          <w:sz w:val="24"/>
          <w:szCs w:val="24"/>
        </w:rPr>
        <w:t xml:space="preserve">, </w:t>
      </w:r>
      <w:proofErr w:type="spellStart"/>
      <w:r w:rsidRPr="001B0738">
        <w:rPr>
          <w:rFonts w:ascii="Times New Roman" w:hAnsi="Times New Roman"/>
          <w:sz w:val="24"/>
          <w:szCs w:val="24"/>
        </w:rPr>
        <w:t>McKyer</w:t>
      </w:r>
      <w:proofErr w:type="spellEnd"/>
      <w:r w:rsidRPr="001B0738">
        <w:rPr>
          <w:rFonts w:ascii="Times New Roman" w:hAnsi="Times New Roman"/>
          <w:sz w:val="24"/>
          <w:szCs w:val="24"/>
        </w:rPr>
        <w:t xml:space="preserve"> L. </w:t>
      </w:r>
      <w:r w:rsidR="00B164BD">
        <w:rPr>
          <w:rFonts w:ascii="Times New Roman" w:hAnsi="Times New Roman"/>
          <w:sz w:val="24"/>
          <w:szCs w:val="24"/>
        </w:rPr>
        <w:t>(2016) “</w:t>
      </w:r>
      <w:r w:rsidRPr="001B0738">
        <w:rPr>
          <w:rFonts w:ascii="Times New Roman" w:hAnsi="Times New Roman"/>
          <w:sz w:val="24"/>
          <w:szCs w:val="24"/>
        </w:rPr>
        <w:t>Integrating the principles of socio-ecology and critical pedagogy for health promotio</w:t>
      </w:r>
      <w:r w:rsidR="00B164BD" w:rsidRPr="00B164BD">
        <w:rPr>
          <w:rFonts w:ascii="Times New Roman" w:hAnsi="Times New Roman"/>
          <w:sz w:val="24"/>
          <w:szCs w:val="24"/>
        </w:rPr>
        <w:t>n health literacy interventions</w:t>
      </w:r>
      <w:r w:rsidR="00B164BD">
        <w:rPr>
          <w:rFonts w:ascii="Times New Roman" w:hAnsi="Times New Roman"/>
          <w:sz w:val="24"/>
          <w:szCs w:val="24"/>
        </w:rPr>
        <w:t>’,</w:t>
      </w:r>
      <w:r w:rsidRPr="001B0738">
        <w:rPr>
          <w:rFonts w:ascii="Times New Roman" w:hAnsi="Times New Roman"/>
          <w:sz w:val="24"/>
          <w:szCs w:val="24"/>
        </w:rPr>
        <w:t xml:space="preserve"> Journal of Health Communication; International Perspectives</w:t>
      </w:r>
      <w:r w:rsidR="00B164BD">
        <w:rPr>
          <w:rFonts w:ascii="Times New Roman" w:hAnsi="Times New Roman"/>
          <w:sz w:val="24"/>
          <w:szCs w:val="24"/>
        </w:rPr>
        <w:t>,</w:t>
      </w:r>
      <w:r w:rsidRPr="001B0738">
        <w:rPr>
          <w:rFonts w:ascii="Times New Roman" w:hAnsi="Times New Roman"/>
          <w:sz w:val="24"/>
          <w:szCs w:val="24"/>
        </w:rPr>
        <w:t xml:space="preserve"> </w:t>
      </w:r>
      <w:proofErr w:type="gramStart"/>
      <w:r w:rsidRPr="001B0738">
        <w:rPr>
          <w:rFonts w:ascii="Times New Roman" w:hAnsi="Times New Roman"/>
          <w:sz w:val="24"/>
          <w:szCs w:val="24"/>
        </w:rPr>
        <w:t>21:supp</w:t>
      </w:r>
      <w:proofErr w:type="gramEnd"/>
      <w:r w:rsidRPr="001B0738">
        <w:rPr>
          <w:rFonts w:ascii="Times New Roman" w:hAnsi="Times New Roman"/>
          <w:sz w:val="24"/>
          <w:szCs w:val="24"/>
        </w:rPr>
        <w:t>2: 30-35.</w:t>
      </w:r>
    </w:p>
    <w:p w14:paraId="0576196A" w14:textId="77777777" w:rsidR="00EE65FE" w:rsidRDefault="00EE65FE" w:rsidP="00B164BD">
      <w:pPr>
        <w:pStyle w:val="References"/>
        <w:spacing w:line="480" w:lineRule="auto"/>
        <w:ind w:left="0" w:firstLine="0"/>
        <w:rPr>
          <w:rFonts w:ascii="Times New Roman" w:hAnsi="Times New Roman"/>
        </w:rPr>
      </w:pPr>
    </w:p>
    <w:p w14:paraId="373F7F5F" w14:textId="1B1C59D8" w:rsidR="00817FAA" w:rsidRPr="00817FAA" w:rsidRDefault="00817FAA" w:rsidP="00817FAA">
      <w:pPr>
        <w:spacing w:line="480" w:lineRule="auto"/>
        <w:rPr>
          <w:rFonts w:ascii="Times New Roman" w:eastAsia="Times New Roman" w:hAnsi="Times New Roman" w:cs="Times New Roman"/>
          <w:lang w:eastAsia="en-GB"/>
        </w:rPr>
      </w:pPr>
      <w:proofErr w:type="spellStart"/>
      <w:r w:rsidRPr="00817FAA">
        <w:rPr>
          <w:rFonts w:ascii="Times New Roman" w:eastAsia="Times New Roman" w:hAnsi="Times New Roman" w:cs="Times New Roman"/>
          <w:lang w:eastAsia="en-GB"/>
        </w:rPr>
        <w:t>D</w:t>
      </w:r>
      <w:r w:rsidRPr="00071B66">
        <w:rPr>
          <w:rFonts w:ascii="Times New Roman" w:eastAsia="Helvetica" w:hAnsi="Times New Roman" w:cs="Times New Roman"/>
          <w:lang w:eastAsia="en-GB"/>
        </w:rPr>
        <w:t>’Eath</w:t>
      </w:r>
      <w:proofErr w:type="spellEnd"/>
      <w:r w:rsidR="00A35B6A">
        <w:rPr>
          <w:rFonts w:ascii="Times New Roman" w:eastAsia="Helvetica" w:hAnsi="Times New Roman" w:cs="Times New Roman"/>
          <w:lang w:eastAsia="en-GB"/>
        </w:rPr>
        <w:t>,</w:t>
      </w:r>
      <w:r w:rsidRPr="00071B66">
        <w:rPr>
          <w:rFonts w:ascii="Times New Roman" w:eastAsia="Helvetica" w:hAnsi="Times New Roman" w:cs="Times New Roman"/>
          <w:lang w:eastAsia="en-GB"/>
        </w:rPr>
        <w:t xml:space="preserve"> M</w:t>
      </w:r>
      <w:r w:rsidR="00A35B6A">
        <w:rPr>
          <w:rFonts w:ascii="Times New Roman" w:eastAsia="Helvetica" w:hAnsi="Times New Roman" w:cs="Times New Roman"/>
          <w:lang w:eastAsia="en-GB"/>
        </w:rPr>
        <w:t>.</w:t>
      </w:r>
      <w:r w:rsidRPr="00071B66">
        <w:rPr>
          <w:rFonts w:ascii="Times New Roman" w:eastAsia="Helvetica" w:hAnsi="Times New Roman" w:cs="Times New Roman"/>
          <w:lang w:eastAsia="en-GB"/>
        </w:rPr>
        <w:t>, Barry</w:t>
      </w:r>
      <w:r w:rsidR="00A35B6A">
        <w:rPr>
          <w:rFonts w:ascii="Times New Roman" w:eastAsia="Helvetica" w:hAnsi="Times New Roman" w:cs="Times New Roman"/>
          <w:lang w:eastAsia="en-GB"/>
        </w:rPr>
        <w:t>,</w:t>
      </w:r>
      <w:r w:rsidRPr="00071B66">
        <w:rPr>
          <w:rFonts w:ascii="Times New Roman" w:eastAsia="Helvetica" w:hAnsi="Times New Roman" w:cs="Times New Roman"/>
          <w:lang w:eastAsia="en-GB"/>
        </w:rPr>
        <w:t xml:space="preserve"> MM</w:t>
      </w:r>
      <w:r w:rsidR="00A35B6A">
        <w:rPr>
          <w:rFonts w:ascii="Times New Roman" w:eastAsia="Helvetica" w:hAnsi="Times New Roman" w:cs="Times New Roman"/>
          <w:lang w:eastAsia="en-GB"/>
        </w:rPr>
        <w:t>.</w:t>
      </w:r>
      <w:r w:rsidRPr="00071B66">
        <w:rPr>
          <w:rFonts w:ascii="Times New Roman" w:eastAsia="Helvetica" w:hAnsi="Times New Roman" w:cs="Times New Roman"/>
          <w:lang w:eastAsia="en-GB"/>
        </w:rPr>
        <w:t>, Sixsmith</w:t>
      </w:r>
      <w:r w:rsidR="00A35B6A">
        <w:rPr>
          <w:rFonts w:ascii="Times New Roman" w:eastAsia="Helvetica" w:hAnsi="Times New Roman" w:cs="Times New Roman"/>
          <w:lang w:eastAsia="en-GB"/>
        </w:rPr>
        <w:t>,</w:t>
      </w:r>
      <w:r w:rsidRPr="00071B66">
        <w:rPr>
          <w:rFonts w:ascii="Times New Roman" w:eastAsia="Helvetica" w:hAnsi="Times New Roman" w:cs="Times New Roman"/>
          <w:lang w:eastAsia="en-GB"/>
        </w:rPr>
        <w:t xml:space="preserve"> J. </w:t>
      </w:r>
      <w:r>
        <w:rPr>
          <w:rFonts w:ascii="Times New Roman" w:eastAsia="Helvetica" w:hAnsi="Times New Roman" w:cs="Times New Roman"/>
          <w:lang w:eastAsia="en-GB"/>
        </w:rPr>
        <w:t xml:space="preserve">(2012) </w:t>
      </w:r>
      <w:r w:rsidRPr="00071B66">
        <w:rPr>
          <w:rFonts w:ascii="Times New Roman" w:eastAsia="Helvetica" w:hAnsi="Times New Roman" w:cs="Times New Roman"/>
          <w:lang w:eastAsia="en-GB"/>
        </w:rPr>
        <w:t>Rapid Evidence Review of Interventions for Improving Health</w:t>
      </w:r>
      <w:r w:rsidRPr="00817FAA">
        <w:rPr>
          <w:rFonts w:ascii="Times New Roman" w:eastAsia="Helvetica" w:hAnsi="Times New Roman" w:cs="Times New Roman"/>
          <w:lang w:eastAsia="en-GB"/>
        </w:rPr>
        <w:t xml:space="preserve"> Literacy. Stockholm: ECDC.</w:t>
      </w:r>
    </w:p>
    <w:p w14:paraId="1B9ED434" w14:textId="77777777" w:rsidR="00817FAA" w:rsidRPr="008C11BE" w:rsidRDefault="00817FAA" w:rsidP="00EB24EE">
      <w:pPr>
        <w:pStyle w:val="References"/>
        <w:spacing w:line="480" w:lineRule="auto"/>
        <w:ind w:left="0" w:firstLine="0"/>
        <w:rPr>
          <w:rFonts w:ascii="Times New Roman" w:hAnsi="Times New Roman"/>
        </w:rPr>
      </w:pPr>
    </w:p>
    <w:p w14:paraId="57D379E3" w14:textId="77777777" w:rsidR="00A35B6A" w:rsidRDefault="008C11BE" w:rsidP="00EB24EE">
      <w:pPr>
        <w:pStyle w:val="p1"/>
        <w:spacing w:line="480" w:lineRule="auto"/>
        <w:rPr>
          <w:rFonts w:ascii="Times New Roman" w:hAnsi="Times New Roman"/>
          <w:sz w:val="24"/>
          <w:szCs w:val="24"/>
        </w:rPr>
      </w:pPr>
      <w:r w:rsidRPr="00A25B0A">
        <w:rPr>
          <w:rFonts w:ascii="Times New Roman" w:hAnsi="Times New Roman"/>
          <w:sz w:val="24"/>
          <w:szCs w:val="24"/>
        </w:rPr>
        <w:t>de Wit</w:t>
      </w:r>
      <w:r w:rsidR="00A35B6A">
        <w:rPr>
          <w:rFonts w:ascii="Times New Roman" w:hAnsi="Times New Roman"/>
          <w:sz w:val="24"/>
          <w:szCs w:val="24"/>
        </w:rPr>
        <w:t>,</w:t>
      </w:r>
      <w:r w:rsidRPr="00A25B0A">
        <w:rPr>
          <w:rFonts w:ascii="Times New Roman" w:hAnsi="Times New Roman"/>
          <w:sz w:val="24"/>
          <w:szCs w:val="24"/>
        </w:rPr>
        <w:t xml:space="preserve"> L</w:t>
      </w:r>
      <w:r w:rsidR="00A35B6A">
        <w:rPr>
          <w:rFonts w:ascii="Times New Roman" w:hAnsi="Times New Roman"/>
          <w:sz w:val="24"/>
          <w:szCs w:val="24"/>
        </w:rPr>
        <w:t>.</w:t>
      </w:r>
      <w:r w:rsidRPr="00A25B0A">
        <w:rPr>
          <w:rFonts w:ascii="Times New Roman" w:hAnsi="Times New Roman"/>
          <w:sz w:val="24"/>
          <w:szCs w:val="24"/>
        </w:rPr>
        <w:t xml:space="preserve">, </w:t>
      </w:r>
      <w:proofErr w:type="spellStart"/>
      <w:r w:rsidRPr="00A25B0A">
        <w:rPr>
          <w:rFonts w:ascii="Times New Roman" w:hAnsi="Times New Roman"/>
          <w:sz w:val="24"/>
          <w:szCs w:val="24"/>
        </w:rPr>
        <w:t>Fenenga</w:t>
      </w:r>
      <w:proofErr w:type="spellEnd"/>
      <w:r w:rsidR="00A35B6A">
        <w:rPr>
          <w:rFonts w:ascii="Times New Roman" w:hAnsi="Times New Roman"/>
          <w:sz w:val="24"/>
          <w:szCs w:val="24"/>
        </w:rPr>
        <w:t>,</w:t>
      </w:r>
      <w:r w:rsidRPr="00A25B0A">
        <w:rPr>
          <w:rFonts w:ascii="Times New Roman" w:hAnsi="Times New Roman"/>
          <w:sz w:val="24"/>
          <w:szCs w:val="24"/>
        </w:rPr>
        <w:t xml:space="preserve"> C</w:t>
      </w:r>
      <w:r w:rsidR="00A35B6A">
        <w:rPr>
          <w:rFonts w:ascii="Times New Roman" w:hAnsi="Times New Roman"/>
          <w:sz w:val="24"/>
          <w:szCs w:val="24"/>
        </w:rPr>
        <w:t>.</w:t>
      </w:r>
      <w:r w:rsidRPr="00A25B0A">
        <w:rPr>
          <w:rFonts w:ascii="Times New Roman" w:hAnsi="Times New Roman"/>
          <w:sz w:val="24"/>
          <w:szCs w:val="24"/>
        </w:rPr>
        <w:t xml:space="preserve">, </w:t>
      </w:r>
      <w:proofErr w:type="spellStart"/>
      <w:r w:rsidRPr="00A25B0A">
        <w:rPr>
          <w:rFonts w:ascii="Times New Roman" w:hAnsi="Times New Roman"/>
          <w:sz w:val="24"/>
          <w:szCs w:val="24"/>
        </w:rPr>
        <w:t>Giammarchi</w:t>
      </w:r>
      <w:proofErr w:type="spellEnd"/>
      <w:r w:rsidR="00A35B6A">
        <w:rPr>
          <w:rFonts w:ascii="Times New Roman" w:hAnsi="Times New Roman"/>
          <w:sz w:val="24"/>
          <w:szCs w:val="24"/>
        </w:rPr>
        <w:t>,</w:t>
      </w:r>
      <w:r w:rsidRPr="00A25B0A">
        <w:rPr>
          <w:rFonts w:ascii="Times New Roman" w:hAnsi="Times New Roman"/>
          <w:sz w:val="24"/>
          <w:szCs w:val="24"/>
        </w:rPr>
        <w:t xml:space="preserve"> C</w:t>
      </w:r>
      <w:r w:rsidR="00A35B6A">
        <w:rPr>
          <w:rFonts w:ascii="Times New Roman" w:hAnsi="Times New Roman"/>
          <w:sz w:val="24"/>
          <w:szCs w:val="24"/>
        </w:rPr>
        <w:t>.</w:t>
      </w:r>
      <w:r w:rsidRPr="00A25B0A">
        <w:rPr>
          <w:rFonts w:ascii="Times New Roman" w:hAnsi="Times New Roman"/>
          <w:sz w:val="24"/>
          <w:szCs w:val="24"/>
        </w:rPr>
        <w:t xml:space="preserve">, di </w:t>
      </w:r>
      <w:proofErr w:type="spellStart"/>
      <w:r w:rsidRPr="00A25B0A">
        <w:rPr>
          <w:rFonts w:ascii="Times New Roman" w:hAnsi="Times New Roman"/>
          <w:sz w:val="24"/>
          <w:szCs w:val="24"/>
        </w:rPr>
        <w:t>Furia</w:t>
      </w:r>
      <w:proofErr w:type="spellEnd"/>
      <w:r w:rsidR="00A35B6A">
        <w:rPr>
          <w:rFonts w:ascii="Times New Roman" w:hAnsi="Times New Roman"/>
          <w:sz w:val="24"/>
          <w:szCs w:val="24"/>
        </w:rPr>
        <w:t>,</w:t>
      </w:r>
      <w:r w:rsidRPr="00A25B0A">
        <w:rPr>
          <w:rFonts w:ascii="Times New Roman" w:hAnsi="Times New Roman"/>
          <w:sz w:val="24"/>
          <w:szCs w:val="24"/>
        </w:rPr>
        <w:t xml:space="preserve"> L</w:t>
      </w:r>
      <w:r w:rsidR="00A35B6A">
        <w:rPr>
          <w:rFonts w:ascii="Times New Roman" w:hAnsi="Times New Roman"/>
          <w:sz w:val="24"/>
          <w:szCs w:val="24"/>
        </w:rPr>
        <w:t>.</w:t>
      </w:r>
      <w:r w:rsidRPr="00A25B0A">
        <w:rPr>
          <w:rFonts w:ascii="Times New Roman" w:hAnsi="Times New Roman"/>
          <w:sz w:val="24"/>
          <w:szCs w:val="24"/>
        </w:rPr>
        <w:t xml:space="preserve">, </w:t>
      </w:r>
      <w:proofErr w:type="spellStart"/>
      <w:r w:rsidRPr="00A25B0A">
        <w:rPr>
          <w:rFonts w:ascii="Times New Roman" w:hAnsi="Times New Roman"/>
          <w:sz w:val="24"/>
          <w:szCs w:val="24"/>
        </w:rPr>
        <w:t>Hutter</w:t>
      </w:r>
      <w:proofErr w:type="spellEnd"/>
      <w:r w:rsidR="00A35B6A">
        <w:rPr>
          <w:rFonts w:ascii="Times New Roman" w:hAnsi="Times New Roman"/>
          <w:sz w:val="24"/>
          <w:szCs w:val="24"/>
        </w:rPr>
        <w:t>,</w:t>
      </w:r>
      <w:r w:rsidRPr="00A25B0A">
        <w:rPr>
          <w:rFonts w:ascii="Times New Roman" w:hAnsi="Times New Roman"/>
          <w:sz w:val="24"/>
          <w:szCs w:val="24"/>
        </w:rPr>
        <w:t xml:space="preserve"> I</w:t>
      </w:r>
      <w:r w:rsidR="00A35B6A">
        <w:rPr>
          <w:rFonts w:ascii="Times New Roman" w:hAnsi="Times New Roman"/>
          <w:sz w:val="24"/>
          <w:szCs w:val="24"/>
        </w:rPr>
        <w:t>.</w:t>
      </w:r>
      <w:r w:rsidRPr="00A25B0A">
        <w:rPr>
          <w:rFonts w:ascii="Times New Roman" w:hAnsi="Times New Roman"/>
          <w:sz w:val="24"/>
          <w:szCs w:val="24"/>
        </w:rPr>
        <w:t>, de Winter</w:t>
      </w:r>
      <w:r w:rsidR="00A35B6A">
        <w:rPr>
          <w:rFonts w:ascii="Times New Roman" w:hAnsi="Times New Roman"/>
          <w:sz w:val="24"/>
          <w:szCs w:val="24"/>
        </w:rPr>
        <w:t>,</w:t>
      </w:r>
      <w:r w:rsidRPr="00A25B0A">
        <w:rPr>
          <w:rFonts w:ascii="Times New Roman" w:hAnsi="Times New Roman"/>
          <w:sz w:val="24"/>
          <w:szCs w:val="24"/>
        </w:rPr>
        <w:t xml:space="preserve"> A</w:t>
      </w:r>
      <w:r w:rsidR="00A35B6A">
        <w:rPr>
          <w:rFonts w:ascii="Times New Roman" w:hAnsi="Times New Roman"/>
          <w:sz w:val="24"/>
          <w:szCs w:val="24"/>
        </w:rPr>
        <w:t>.</w:t>
      </w:r>
      <w:r w:rsidRPr="00A25B0A">
        <w:rPr>
          <w:rFonts w:ascii="Times New Roman" w:hAnsi="Times New Roman"/>
          <w:sz w:val="24"/>
          <w:szCs w:val="24"/>
        </w:rPr>
        <w:t>,</w:t>
      </w:r>
    </w:p>
    <w:p w14:paraId="15E2B74A" w14:textId="4522964A" w:rsidR="008C11BE" w:rsidRDefault="00A35B6A" w:rsidP="00EB24EE">
      <w:pPr>
        <w:pStyle w:val="p1"/>
        <w:spacing w:line="480" w:lineRule="auto"/>
        <w:rPr>
          <w:rFonts w:ascii="Times New Roman" w:hAnsi="Times New Roman"/>
          <w:sz w:val="24"/>
          <w:szCs w:val="24"/>
        </w:rPr>
      </w:pPr>
      <w:r>
        <w:rPr>
          <w:rFonts w:ascii="Times New Roman" w:hAnsi="Times New Roman"/>
          <w:sz w:val="24"/>
          <w:szCs w:val="24"/>
        </w:rPr>
        <w:t xml:space="preserve"> and</w:t>
      </w:r>
      <w:r w:rsidR="008C11BE" w:rsidRPr="00A25B0A">
        <w:rPr>
          <w:rFonts w:ascii="Times New Roman" w:hAnsi="Times New Roman"/>
          <w:sz w:val="24"/>
          <w:szCs w:val="24"/>
        </w:rPr>
        <w:t xml:space="preserve"> </w:t>
      </w:r>
      <w:proofErr w:type="spellStart"/>
      <w:r w:rsidR="008C11BE" w:rsidRPr="00A25B0A">
        <w:rPr>
          <w:rFonts w:ascii="Times New Roman" w:hAnsi="Times New Roman"/>
          <w:sz w:val="24"/>
          <w:szCs w:val="24"/>
        </w:rPr>
        <w:t>Meijering</w:t>
      </w:r>
      <w:proofErr w:type="spellEnd"/>
      <w:r>
        <w:rPr>
          <w:rFonts w:ascii="Times New Roman" w:hAnsi="Times New Roman"/>
          <w:sz w:val="24"/>
          <w:szCs w:val="24"/>
        </w:rPr>
        <w:t>,</w:t>
      </w:r>
      <w:r w:rsidR="008C11BE" w:rsidRPr="00A25B0A">
        <w:rPr>
          <w:rFonts w:ascii="Times New Roman" w:hAnsi="Times New Roman"/>
          <w:sz w:val="24"/>
          <w:szCs w:val="24"/>
        </w:rPr>
        <w:t xml:space="preserve"> L. (2017)</w:t>
      </w:r>
      <w:r w:rsidR="00E90A21">
        <w:rPr>
          <w:rFonts w:ascii="Times New Roman" w:hAnsi="Times New Roman"/>
          <w:sz w:val="24"/>
          <w:szCs w:val="24"/>
        </w:rPr>
        <w:t xml:space="preserve"> </w:t>
      </w:r>
      <w:r>
        <w:rPr>
          <w:rFonts w:ascii="Times New Roman" w:hAnsi="Times New Roman"/>
          <w:sz w:val="24"/>
          <w:szCs w:val="24"/>
        </w:rPr>
        <w:t>‘</w:t>
      </w:r>
      <w:r w:rsidR="008C11BE" w:rsidRPr="00A25B0A">
        <w:rPr>
          <w:rFonts w:ascii="Times New Roman" w:hAnsi="Times New Roman"/>
          <w:sz w:val="24"/>
          <w:szCs w:val="24"/>
        </w:rPr>
        <w:t>Community-based initiatives improving critical health literacy: a systematic review and meta-synthesis of qualitative evidence</w:t>
      </w:r>
      <w:r>
        <w:rPr>
          <w:rFonts w:ascii="Times New Roman" w:hAnsi="Times New Roman"/>
          <w:sz w:val="24"/>
          <w:szCs w:val="24"/>
        </w:rPr>
        <w:t>’,</w:t>
      </w:r>
      <w:r w:rsidR="008C11BE" w:rsidRPr="001645B4">
        <w:rPr>
          <w:rFonts w:ascii="Times New Roman" w:hAnsi="Times New Roman"/>
          <w:sz w:val="24"/>
          <w:szCs w:val="24"/>
        </w:rPr>
        <w:t xml:space="preserve"> BMC Public Health, 18:40.</w:t>
      </w:r>
    </w:p>
    <w:p w14:paraId="359E456F" w14:textId="77777777" w:rsidR="008C11BE" w:rsidRPr="008C11BE" w:rsidRDefault="008C11BE" w:rsidP="00EB24EE">
      <w:pPr>
        <w:pStyle w:val="p1"/>
        <w:spacing w:line="480" w:lineRule="auto"/>
        <w:rPr>
          <w:rFonts w:ascii="Times New Roman" w:hAnsi="Times New Roman"/>
          <w:sz w:val="24"/>
          <w:szCs w:val="24"/>
        </w:rPr>
      </w:pPr>
    </w:p>
    <w:p w14:paraId="13DA8BF8" w14:textId="77777777" w:rsidR="008C11BE" w:rsidRDefault="008C11BE" w:rsidP="00EB24EE">
      <w:pPr>
        <w:spacing w:line="480" w:lineRule="auto"/>
        <w:rPr>
          <w:rFonts w:ascii="Times New Roman" w:eastAsia="Times New Roman" w:hAnsi="Times New Roman" w:cs="Times New Roman"/>
          <w:lang w:eastAsia="en-GB"/>
        </w:rPr>
      </w:pPr>
      <w:r w:rsidRPr="008C11BE">
        <w:rPr>
          <w:rFonts w:ascii="Times New Roman" w:eastAsia="Times New Roman" w:hAnsi="Times New Roman" w:cs="Times New Roman"/>
          <w:lang w:eastAsia="en-GB"/>
        </w:rPr>
        <w:t xml:space="preserve">Drew, N. (2015) ‘Social and emotional wellbeing, natural helpers, critical health literacy and translational research: connecting the dots for positive health outcomes’, </w:t>
      </w:r>
      <w:r w:rsidRPr="008C11BE">
        <w:rPr>
          <w:rFonts w:ascii="Times New Roman" w:eastAsia="Times New Roman" w:hAnsi="Times New Roman" w:cs="Times New Roman"/>
          <w:iCs/>
          <w:lang w:eastAsia="en-GB"/>
        </w:rPr>
        <w:t xml:space="preserve">Australasian Psychiatry: Bulletin </w:t>
      </w:r>
      <w:proofErr w:type="gramStart"/>
      <w:r w:rsidRPr="008C11BE">
        <w:rPr>
          <w:rFonts w:ascii="Times New Roman" w:eastAsia="Times New Roman" w:hAnsi="Times New Roman" w:cs="Times New Roman"/>
          <w:iCs/>
          <w:lang w:eastAsia="en-GB"/>
        </w:rPr>
        <w:t>Of</w:t>
      </w:r>
      <w:proofErr w:type="gramEnd"/>
      <w:r w:rsidRPr="008C11BE">
        <w:rPr>
          <w:rFonts w:ascii="Times New Roman" w:eastAsia="Times New Roman" w:hAnsi="Times New Roman" w:cs="Times New Roman"/>
          <w:iCs/>
          <w:lang w:eastAsia="en-GB"/>
        </w:rPr>
        <w:t xml:space="preserve"> Royal Australian And New Zealand College Of Psychiatrists</w:t>
      </w:r>
      <w:r w:rsidRPr="008C11BE">
        <w:rPr>
          <w:rFonts w:ascii="Times New Roman" w:eastAsia="Times New Roman" w:hAnsi="Times New Roman" w:cs="Times New Roman"/>
          <w:lang w:eastAsia="en-GB"/>
        </w:rPr>
        <w:t xml:space="preserve">, 23(6): 620–622. </w:t>
      </w:r>
    </w:p>
    <w:p w14:paraId="532B9FEF" w14:textId="77777777" w:rsidR="008C11BE" w:rsidRPr="008C11BE" w:rsidRDefault="008C11BE" w:rsidP="00EB24EE">
      <w:pPr>
        <w:spacing w:line="480" w:lineRule="auto"/>
        <w:rPr>
          <w:rFonts w:ascii="Times New Roman" w:eastAsia="Times New Roman" w:hAnsi="Times New Roman" w:cs="Times New Roman"/>
          <w:lang w:eastAsia="en-GB"/>
        </w:rPr>
      </w:pPr>
    </w:p>
    <w:p w14:paraId="42385800" w14:textId="77777777" w:rsidR="008C11BE" w:rsidRPr="008C11BE" w:rsidRDefault="008C11BE" w:rsidP="00EB24EE">
      <w:pPr>
        <w:spacing w:line="480" w:lineRule="auto"/>
        <w:rPr>
          <w:rFonts w:ascii="Times New Roman" w:eastAsia="Times New Roman" w:hAnsi="Times New Roman" w:cs="Times New Roman"/>
          <w:lang w:eastAsia="en-GB"/>
        </w:rPr>
      </w:pPr>
      <w:r w:rsidRPr="00A25B0A">
        <w:rPr>
          <w:rFonts w:ascii="Times New Roman" w:eastAsia="Times New Roman" w:hAnsi="Times New Roman" w:cs="Times New Roman"/>
          <w:lang w:eastAsia="en-GB"/>
        </w:rPr>
        <w:t xml:space="preserve">Estacio, E. V. (2013) ‘Health literacy and community empowerment: It is more than just reading, writing and counting’, </w:t>
      </w:r>
      <w:r w:rsidRPr="001645B4">
        <w:rPr>
          <w:rFonts w:ascii="Times New Roman" w:eastAsia="Times New Roman" w:hAnsi="Times New Roman" w:cs="Times New Roman"/>
          <w:iCs/>
          <w:lang w:eastAsia="en-GB"/>
        </w:rPr>
        <w:t>Journal of Health Psychology</w:t>
      </w:r>
      <w:r w:rsidRPr="008C11BE">
        <w:rPr>
          <w:rFonts w:ascii="Times New Roman" w:eastAsia="Times New Roman" w:hAnsi="Times New Roman" w:cs="Times New Roman"/>
          <w:lang w:eastAsia="en-GB"/>
        </w:rPr>
        <w:t xml:space="preserve">, 18(8): 1056–1068. </w:t>
      </w:r>
    </w:p>
    <w:p w14:paraId="0694C69B" w14:textId="77777777" w:rsidR="008C11BE" w:rsidRPr="008C11BE" w:rsidRDefault="008C11BE" w:rsidP="00EB24EE">
      <w:pPr>
        <w:pStyle w:val="p1"/>
        <w:spacing w:line="480" w:lineRule="auto"/>
        <w:rPr>
          <w:rFonts w:ascii="Times New Roman" w:hAnsi="Times New Roman"/>
          <w:sz w:val="24"/>
          <w:szCs w:val="24"/>
        </w:rPr>
      </w:pPr>
    </w:p>
    <w:p w14:paraId="410B3F16" w14:textId="5AEC7444" w:rsidR="00BF1A7A" w:rsidRPr="008C11BE" w:rsidRDefault="008C11BE" w:rsidP="00EB24EE">
      <w:pPr>
        <w:pStyle w:val="p1"/>
        <w:spacing w:line="480" w:lineRule="auto"/>
        <w:rPr>
          <w:rFonts w:ascii="Times New Roman" w:hAnsi="Times New Roman"/>
          <w:sz w:val="24"/>
          <w:szCs w:val="24"/>
        </w:rPr>
      </w:pPr>
      <w:proofErr w:type="spellStart"/>
      <w:r w:rsidRPr="008C11BE">
        <w:rPr>
          <w:rFonts w:ascii="Times New Roman" w:eastAsia="Times New Roman" w:hAnsi="Times New Roman"/>
          <w:sz w:val="24"/>
          <w:szCs w:val="24"/>
        </w:rPr>
        <w:t>Fernández</w:t>
      </w:r>
      <w:proofErr w:type="spellEnd"/>
      <w:r w:rsidRPr="008C11BE">
        <w:rPr>
          <w:rFonts w:ascii="Times New Roman" w:eastAsia="Times New Roman" w:hAnsi="Times New Roman"/>
          <w:sz w:val="24"/>
          <w:szCs w:val="24"/>
        </w:rPr>
        <w:t xml:space="preserve">-Gutiérrez, M., Bas-Sarmiento, P., </w:t>
      </w:r>
      <w:proofErr w:type="spellStart"/>
      <w:r w:rsidRPr="008C11BE">
        <w:rPr>
          <w:rFonts w:ascii="Times New Roman" w:eastAsia="Times New Roman" w:hAnsi="Times New Roman"/>
          <w:sz w:val="24"/>
          <w:szCs w:val="24"/>
        </w:rPr>
        <w:t>Albar-Marín</w:t>
      </w:r>
      <w:proofErr w:type="spellEnd"/>
      <w:r w:rsidRPr="008C11BE">
        <w:rPr>
          <w:rFonts w:ascii="Times New Roman" w:eastAsia="Times New Roman" w:hAnsi="Times New Roman"/>
          <w:sz w:val="24"/>
          <w:szCs w:val="24"/>
        </w:rPr>
        <w:t xml:space="preserve">, M. J., Paloma-Castro, O. and Romero-Sánchez, J. M. (2017) ‘Health literacy interventions for immigrant populations: a systematic review’, </w:t>
      </w:r>
      <w:r w:rsidRPr="008C11BE">
        <w:rPr>
          <w:rFonts w:ascii="Times New Roman" w:eastAsia="Times New Roman" w:hAnsi="Times New Roman"/>
          <w:iCs/>
          <w:sz w:val="24"/>
          <w:szCs w:val="24"/>
        </w:rPr>
        <w:t>International Nursing Review</w:t>
      </w:r>
      <w:r w:rsidRPr="008C11BE">
        <w:rPr>
          <w:rFonts w:ascii="Times New Roman" w:eastAsia="Times New Roman" w:hAnsi="Times New Roman"/>
          <w:sz w:val="24"/>
          <w:szCs w:val="24"/>
        </w:rPr>
        <w:t xml:space="preserve">. </w:t>
      </w:r>
    </w:p>
    <w:p w14:paraId="04BFFE16" w14:textId="77777777" w:rsidR="008C11BE" w:rsidRPr="008C11BE" w:rsidRDefault="008C11BE" w:rsidP="001B0738">
      <w:pPr>
        <w:pStyle w:val="p1"/>
        <w:spacing w:line="480" w:lineRule="auto"/>
      </w:pPr>
    </w:p>
    <w:p w14:paraId="54834E62" w14:textId="77777777" w:rsidR="008C11BE" w:rsidRPr="008C11BE" w:rsidRDefault="008C11BE" w:rsidP="00EB24EE">
      <w:pPr>
        <w:pStyle w:val="References"/>
        <w:spacing w:line="480" w:lineRule="auto"/>
        <w:ind w:left="0" w:firstLine="0"/>
        <w:rPr>
          <w:rFonts w:ascii="Times New Roman" w:hAnsi="Times New Roman"/>
        </w:rPr>
      </w:pPr>
      <w:r w:rsidRPr="008C11BE">
        <w:rPr>
          <w:rFonts w:ascii="Times New Roman" w:hAnsi="Times New Roman"/>
        </w:rPr>
        <w:t xml:space="preserve">Freire P. (1993) </w:t>
      </w:r>
      <w:r w:rsidRPr="008C11BE">
        <w:rPr>
          <w:rFonts w:ascii="Times New Roman" w:hAnsi="Times New Roman"/>
          <w:iCs/>
        </w:rPr>
        <w:t>Pedagogy of the oppressed</w:t>
      </w:r>
      <w:r w:rsidRPr="008C11BE">
        <w:rPr>
          <w:rFonts w:ascii="Times New Roman" w:hAnsi="Times New Roman"/>
        </w:rPr>
        <w:t>. New York: Continuum/</w:t>
      </w:r>
      <w:proofErr w:type="spellStart"/>
      <w:r w:rsidRPr="008C11BE">
        <w:rPr>
          <w:rFonts w:ascii="Times New Roman" w:hAnsi="Times New Roman"/>
        </w:rPr>
        <w:t>Seabody</w:t>
      </w:r>
      <w:proofErr w:type="spellEnd"/>
      <w:r w:rsidRPr="008C11BE">
        <w:rPr>
          <w:rFonts w:ascii="Times New Roman" w:hAnsi="Times New Roman"/>
        </w:rPr>
        <w:t xml:space="preserve">. </w:t>
      </w:r>
    </w:p>
    <w:p w14:paraId="0A72E916" w14:textId="77777777" w:rsidR="008C11BE" w:rsidRDefault="008C11BE" w:rsidP="00EB24EE">
      <w:pPr>
        <w:spacing w:line="480" w:lineRule="auto"/>
        <w:rPr>
          <w:rFonts w:ascii="Times New Roman" w:eastAsia="Times New Roman" w:hAnsi="Times New Roman" w:cs="Times New Roman"/>
          <w:lang w:eastAsia="en-GB"/>
        </w:rPr>
      </w:pPr>
      <w:r w:rsidRPr="008C11BE">
        <w:rPr>
          <w:rFonts w:ascii="Times New Roman" w:eastAsia="Times New Roman" w:hAnsi="Times New Roman" w:cs="Times New Roman"/>
          <w:lang w:eastAsia="en-GB"/>
        </w:rPr>
        <w:t xml:space="preserve">Gould, L., </w:t>
      </w:r>
      <w:proofErr w:type="spellStart"/>
      <w:r w:rsidRPr="008C11BE">
        <w:rPr>
          <w:rFonts w:ascii="Times New Roman" w:eastAsia="Times New Roman" w:hAnsi="Times New Roman" w:cs="Times New Roman"/>
          <w:lang w:eastAsia="en-GB"/>
        </w:rPr>
        <w:t>Mogford</w:t>
      </w:r>
      <w:proofErr w:type="spellEnd"/>
      <w:r w:rsidRPr="008C11BE">
        <w:rPr>
          <w:rFonts w:ascii="Times New Roman" w:eastAsia="Times New Roman" w:hAnsi="Times New Roman" w:cs="Times New Roman"/>
          <w:lang w:eastAsia="en-GB"/>
        </w:rPr>
        <w:t xml:space="preserve">, E. and </w:t>
      </w:r>
      <w:proofErr w:type="spellStart"/>
      <w:r w:rsidRPr="008C11BE">
        <w:rPr>
          <w:rFonts w:ascii="Times New Roman" w:eastAsia="Times New Roman" w:hAnsi="Times New Roman" w:cs="Times New Roman"/>
          <w:lang w:eastAsia="en-GB"/>
        </w:rPr>
        <w:t>DeVoght</w:t>
      </w:r>
      <w:proofErr w:type="spellEnd"/>
      <w:r w:rsidRPr="008C11BE">
        <w:rPr>
          <w:rFonts w:ascii="Times New Roman" w:eastAsia="Times New Roman" w:hAnsi="Times New Roman" w:cs="Times New Roman"/>
          <w:lang w:eastAsia="en-GB"/>
        </w:rPr>
        <w:t xml:space="preserve">, A. (2010) ‘Successes and challenges of teaching the social determinants of health in secondary schools: Case examples in Seattle, Washington’, </w:t>
      </w:r>
      <w:r w:rsidRPr="001B0738">
        <w:rPr>
          <w:rFonts w:ascii="Times New Roman" w:hAnsi="Times New Roman" w:cs="Times New Roman"/>
        </w:rPr>
        <w:t>Health Promotion Practice</w:t>
      </w:r>
      <w:r w:rsidRPr="008C11BE">
        <w:rPr>
          <w:rFonts w:ascii="Times New Roman" w:hAnsi="Times New Roman" w:cs="Times New Roman"/>
          <w:i/>
        </w:rPr>
        <w:t>,</w:t>
      </w:r>
      <w:r w:rsidRPr="008C11BE">
        <w:rPr>
          <w:rFonts w:ascii="Times New Roman" w:hAnsi="Times New Roman" w:cs="Times New Roman"/>
        </w:rPr>
        <w:t xml:space="preserve"> 11 (3): 26s-33s.</w:t>
      </w:r>
      <w:r w:rsidRPr="008C11BE">
        <w:rPr>
          <w:rFonts w:ascii="Times New Roman" w:eastAsia="Times New Roman" w:hAnsi="Times New Roman" w:cs="Times New Roman"/>
          <w:lang w:eastAsia="en-GB"/>
        </w:rPr>
        <w:t xml:space="preserve"> </w:t>
      </w:r>
    </w:p>
    <w:p w14:paraId="538D17F7" w14:textId="77777777" w:rsidR="00EE65FE" w:rsidRDefault="00EE65FE" w:rsidP="00EB24EE">
      <w:pPr>
        <w:spacing w:line="480" w:lineRule="auto"/>
        <w:rPr>
          <w:rFonts w:ascii="Times New Roman" w:eastAsia="Times New Roman" w:hAnsi="Times New Roman" w:cs="Times New Roman"/>
          <w:lang w:eastAsia="en-GB"/>
        </w:rPr>
      </w:pPr>
    </w:p>
    <w:p w14:paraId="6D6B10A1" w14:textId="5A2C04A8" w:rsidR="00EE65FE" w:rsidRPr="001B0738" w:rsidRDefault="00EE65FE" w:rsidP="001B0738">
      <w:pPr>
        <w:pStyle w:val="p1"/>
        <w:spacing w:line="480" w:lineRule="auto"/>
        <w:rPr>
          <w:rFonts w:ascii="Times New Roman" w:hAnsi="Times New Roman"/>
        </w:rPr>
      </w:pPr>
      <w:r w:rsidRPr="001B0738">
        <w:rPr>
          <w:rFonts w:ascii="Times New Roman" w:hAnsi="Times New Roman"/>
          <w:sz w:val="24"/>
          <w:szCs w:val="24"/>
        </w:rPr>
        <w:t>Kaufman</w:t>
      </w:r>
      <w:r w:rsidR="00A35B6A">
        <w:rPr>
          <w:rFonts w:ascii="Times New Roman" w:hAnsi="Times New Roman"/>
          <w:sz w:val="24"/>
          <w:szCs w:val="24"/>
        </w:rPr>
        <w:t>,</w:t>
      </w:r>
      <w:r w:rsidRPr="001B0738">
        <w:rPr>
          <w:rFonts w:ascii="Times New Roman" w:hAnsi="Times New Roman"/>
          <w:sz w:val="24"/>
          <w:szCs w:val="24"/>
        </w:rPr>
        <w:t xml:space="preserve"> P</w:t>
      </w:r>
      <w:r w:rsidR="00B164BD">
        <w:rPr>
          <w:rFonts w:ascii="Times New Roman" w:hAnsi="Times New Roman"/>
          <w:sz w:val="24"/>
          <w:szCs w:val="24"/>
        </w:rPr>
        <w:t>.</w:t>
      </w:r>
      <w:r w:rsidRPr="001B0738">
        <w:rPr>
          <w:rFonts w:ascii="Times New Roman" w:hAnsi="Times New Roman"/>
          <w:sz w:val="24"/>
          <w:szCs w:val="24"/>
        </w:rPr>
        <w:t xml:space="preserve">, </w:t>
      </w:r>
      <w:proofErr w:type="spellStart"/>
      <w:r w:rsidRPr="001B0738">
        <w:rPr>
          <w:rFonts w:ascii="Times New Roman" w:hAnsi="Times New Roman"/>
          <w:sz w:val="24"/>
          <w:szCs w:val="24"/>
        </w:rPr>
        <w:t>Fobes</w:t>
      </w:r>
      <w:proofErr w:type="spellEnd"/>
      <w:r w:rsidR="00A35B6A">
        <w:rPr>
          <w:rFonts w:ascii="Times New Roman" w:hAnsi="Times New Roman"/>
          <w:sz w:val="24"/>
          <w:szCs w:val="24"/>
        </w:rPr>
        <w:t>,</w:t>
      </w:r>
      <w:r w:rsidRPr="001B0738">
        <w:rPr>
          <w:rFonts w:ascii="Times New Roman" w:hAnsi="Times New Roman"/>
          <w:sz w:val="24"/>
          <w:szCs w:val="24"/>
        </w:rPr>
        <w:t xml:space="preserve"> C. </w:t>
      </w:r>
      <w:r w:rsidR="00B164BD">
        <w:rPr>
          <w:rFonts w:ascii="Times New Roman" w:hAnsi="Times New Roman"/>
          <w:sz w:val="24"/>
          <w:szCs w:val="24"/>
        </w:rPr>
        <w:t>(2008) ‘</w:t>
      </w:r>
      <w:r w:rsidRPr="001B0738">
        <w:rPr>
          <w:rFonts w:ascii="Times New Roman" w:hAnsi="Times New Roman"/>
          <w:sz w:val="24"/>
          <w:szCs w:val="24"/>
        </w:rPr>
        <w:t>Critical Pedagogy in the Sociology Cla</w:t>
      </w:r>
      <w:r w:rsidR="00B164BD" w:rsidRPr="00B164BD">
        <w:rPr>
          <w:rFonts w:ascii="Times New Roman" w:hAnsi="Times New Roman"/>
          <w:sz w:val="24"/>
          <w:szCs w:val="24"/>
        </w:rPr>
        <w:t>ssroom: Challenges and Concerns</w:t>
      </w:r>
      <w:r w:rsidR="00B164BD">
        <w:rPr>
          <w:rFonts w:ascii="Times New Roman" w:hAnsi="Times New Roman"/>
          <w:sz w:val="24"/>
          <w:szCs w:val="24"/>
        </w:rPr>
        <w:t>’,</w:t>
      </w:r>
      <w:r w:rsidRPr="001B0738">
        <w:rPr>
          <w:rFonts w:ascii="Times New Roman" w:hAnsi="Times New Roman"/>
          <w:sz w:val="24"/>
          <w:szCs w:val="24"/>
        </w:rPr>
        <w:t xml:space="preserve"> Teaching Sociolog</w:t>
      </w:r>
      <w:r w:rsidR="00B164BD" w:rsidRPr="00B164BD">
        <w:rPr>
          <w:rFonts w:ascii="Times New Roman" w:hAnsi="Times New Roman"/>
          <w:sz w:val="24"/>
          <w:szCs w:val="24"/>
        </w:rPr>
        <w:t>y,</w:t>
      </w:r>
      <w:r w:rsidRPr="001B0738">
        <w:rPr>
          <w:rFonts w:ascii="Times New Roman" w:hAnsi="Times New Roman"/>
          <w:sz w:val="24"/>
          <w:szCs w:val="24"/>
        </w:rPr>
        <w:t xml:space="preserve"> 36: 26-33</w:t>
      </w:r>
      <w:r w:rsidR="00A35B6A">
        <w:rPr>
          <w:rFonts w:ascii="Times New Roman" w:hAnsi="Times New Roman"/>
          <w:sz w:val="24"/>
          <w:szCs w:val="24"/>
        </w:rPr>
        <w:t>.</w:t>
      </w:r>
    </w:p>
    <w:p w14:paraId="75649F12" w14:textId="77777777" w:rsidR="008C11BE" w:rsidRPr="008C11BE" w:rsidRDefault="008C11BE" w:rsidP="00EB24EE">
      <w:pPr>
        <w:spacing w:line="480" w:lineRule="auto"/>
        <w:rPr>
          <w:rFonts w:ascii="Times New Roman" w:eastAsia="Times New Roman" w:hAnsi="Times New Roman" w:cs="Times New Roman"/>
          <w:lang w:eastAsia="en-GB"/>
        </w:rPr>
      </w:pPr>
    </w:p>
    <w:p w14:paraId="30376A94" w14:textId="09E42FBE" w:rsidR="008C11BE" w:rsidRDefault="008C11BE" w:rsidP="00EB24EE">
      <w:pPr>
        <w:pStyle w:val="References"/>
        <w:spacing w:line="480" w:lineRule="auto"/>
        <w:ind w:left="0" w:firstLine="0"/>
        <w:rPr>
          <w:rFonts w:ascii="Times New Roman" w:hAnsi="Times New Roman"/>
        </w:rPr>
      </w:pPr>
      <w:proofErr w:type="spellStart"/>
      <w:r w:rsidRPr="008C11BE">
        <w:rPr>
          <w:rFonts w:ascii="Times New Roman" w:hAnsi="Times New Roman"/>
        </w:rPr>
        <w:t>Manafo</w:t>
      </w:r>
      <w:proofErr w:type="spellEnd"/>
      <w:r w:rsidRPr="008C11BE">
        <w:rPr>
          <w:rFonts w:ascii="Times New Roman" w:hAnsi="Times New Roman"/>
        </w:rPr>
        <w:t>, E. and Wong, S. (2012) ‘Health literacy programs for older adults: a system</w:t>
      </w:r>
      <w:r w:rsidR="00EE65FE">
        <w:rPr>
          <w:rFonts w:ascii="Times New Roman" w:hAnsi="Times New Roman"/>
        </w:rPr>
        <w:t>a</w:t>
      </w:r>
      <w:r w:rsidRPr="008C11BE">
        <w:rPr>
          <w:rFonts w:ascii="Times New Roman" w:hAnsi="Times New Roman"/>
        </w:rPr>
        <w:t>tic review’, Health Education Research, 27(6): 947-60.</w:t>
      </w:r>
    </w:p>
    <w:p w14:paraId="0D40A581" w14:textId="6AF92E14" w:rsidR="00DB0843" w:rsidRPr="008C11BE" w:rsidRDefault="00DB0843" w:rsidP="00EB24EE">
      <w:pPr>
        <w:pStyle w:val="References"/>
        <w:spacing w:line="480" w:lineRule="auto"/>
        <w:ind w:left="0" w:firstLine="0"/>
        <w:rPr>
          <w:rFonts w:ascii="Times New Roman" w:hAnsi="Times New Roman"/>
        </w:rPr>
      </w:pPr>
      <w:proofErr w:type="spellStart"/>
      <w:r>
        <w:rPr>
          <w:rFonts w:ascii="Times New Roman" w:hAnsi="Times New Roman"/>
        </w:rPr>
        <w:t>Manganello</w:t>
      </w:r>
      <w:proofErr w:type="spellEnd"/>
      <w:r>
        <w:rPr>
          <w:rFonts w:ascii="Times New Roman" w:hAnsi="Times New Roman"/>
        </w:rPr>
        <w:t>, J. (2007) ‘Health literacy and adolescents: a framework and agenda for future research’, Health Education Research, 23: 840-847.</w:t>
      </w:r>
    </w:p>
    <w:p w14:paraId="59007F1D" w14:textId="77777777" w:rsidR="008C11BE" w:rsidRPr="008C11BE" w:rsidRDefault="008C11BE" w:rsidP="00EB24EE">
      <w:pPr>
        <w:pStyle w:val="References"/>
        <w:spacing w:line="480" w:lineRule="auto"/>
        <w:ind w:left="0" w:firstLine="0"/>
        <w:rPr>
          <w:rFonts w:ascii="Times New Roman" w:hAnsi="Times New Roman"/>
        </w:rPr>
      </w:pPr>
      <w:r w:rsidRPr="008C11BE">
        <w:rPr>
          <w:rFonts w:ascii="Times New Roman" w:hAnsi="Times New Roman"/>
        </w:rPr>
        <w:t xml:space="preserve">Marmot, M., Allen, J., Bell, R., Bloomer, E. and </w:t>
      </w:r>
      <w:proofErr w:type="spellStart"/>
      <w:r w:rsidRPr="008C11BE">
        <w:rPr>
          <w:rFonts w:ascii="Times New Roman" w:hAnsi="Times New Roman"/>
        </w:rPr>
        <w:t>Goldblatt</w:t>
      </w:r>
      <w:proofErr w:type="spellEnd"/>
      <w:r w:rsidRPr="008C11BE">
        <w:rPr>
          <w:rFonts w:ascii="Times New Roman" w:hAnsi="Times New Roman"/>
        </w:rPr>
        <w:t>, P. (2012) ‘WHO European review of social determinants of health and the health divide’, The Lancet</w:t>
      </w:r>
      <w:r w:rsidRPr="008C11BE">
        <w:rPr>
          <w:rFonts w:ascii="Times New Roman" w:hAnsi="Times New Roman"/>
          <w:i/>
        </w:rPr>
        <w:t>,</w:t>
      </w:r>
      <w:r w:rsidRPr="008C11BE">
        <w:rPr>
          <w:rFonts w:ascii="Times New Roman" w:hAnsi="Times New Roman"/>
        </w:rPr>
        <w:t xml:space="preserve"> 380(9846): 1011-1029.</w:t>
      </w:r>
    </w:p>
    <w:p w14:paraId="03196317" w14:textId="77777777" w:rsidR="008C11BE" w:rsidRDefault="008C11BE" w:rsidP="00EB24EE">
      <w:pPr>
        <w:pStyle w:val="References"/>
        <w:spacing w:line="480" w:lineRule="auto"/>
        <w:ind w:left="0" w:firstLine="0"/>
        <w:rPr>
          <w:rFonts w:ascii="Times New Roman" w:hAnsi="Times New Roman"/>
          <w:color w:val="000000"/>
        </w:rPr>
      </w:pPr>
      <w:proofErr w:type="spellStart"/>
      <w:r w:rsidRPr="008C11BE">
        <w:rPr>
          <w:rFonts w:ascii="Times New Roman" w:hAnsi="Times New Roman"/>
          <w:color w:val="000000"/>
        </w:rPr>
        <w:lastRenderedPageBreak/>
        <w:t>Martensson</w:t>
      </w:r>
      <w:proofErr w:type="spellEnd"/>
      <w:r w:rsidRPr="008C11BE">
        <w:rPr>
          <w:rFonts w:ascii="Times New Roman" w:hAnsi="Times New Roman"/>
          <w:color w:val="000000"/>
        </w:rPr>
        <w:t xml:space="preserve">, L. and </w:t>
      </w:r>
      <w:proofErr w:type="spellStart"/>
      <w:r w:rsidRPr="008C11BE">
        <w:rPr>
          <w:rFonts w:ascii="Times New Roman" w:hAnsi="Times New Roman"/>
          <w:color w:val="000000"/>
        </w:rPr>
        <w:t>Hensing</w:t>
      </w:r>
      <w:proofErr w:type="spellEnd"/>
      <w:r w:rsidRPr="008C11BE">
        <w:rPr>
          <w:rFonts w:ascii="Times New Roman" w:hAnsi="Times New Roman"/>
          <w:color w:val="000000"/>
        </w:rPr>
        <w:t>, G. (2012) ‘Health literacy–a heterogeneous phenomenon: a literature review’, Scandinavian Journal of Caring Sciences 26: 151–160.</w:t>
      </w:r>
    </w:p>
    <w:p w14:paraId="7D788184" w14:textId="65BB86B5" w:rsidR="00EE65FE" w:rsidRPr="00155DDB" w:rsidRDefault="00EE65FE" w:rsidP="001B0738">
      <w:pPr>
        <w:pStyle w:val="p1"/>
        <w:spacing w:line="480" w:lineRule="auto"/>
        <w:rPr>
          <w:rFonts w:ascii="Times New Roman" w:hAnsi="Times New Roman"/>
        </w:rPr>
      </w:pPr>
      <w:r w:rsidRPr="001B0738">
        <w:rPr>
          <w:rFonts w:ascii="Times New Roman" w:hAnsi="Times New Roman"/>
          <w:sz w:val="24"/>
          <w:szCs w:val="24"/>
        </w:rPr>
        <w:t>Matthews</w:t>
      </w:r>
      <w:r w:rsidR="00A35B6A">
        <w:rPr>
          <w:rFonts w:ascii="Times New Roman" w:hAnsi="Times New Roman"/>
          <w:sz w:val="24"/>
          <w:szCs w:val="24"/>
        </w:rPr>
        <w:t>,</w:t>
      </w:r>
      <w:r w:rsidRPr="001B0738">
        <w:rPr>
          <w:rFonts w:ascii="Times New Roman" w:hAnsi="Times New Roman"/>
          <w:sz w:val="24"/>
          <w:szCs w:val="24"/>
        </w:rPr>
        <w:t xml:space="preserve"> C. </w:t>
      </w:r>
      <w:r w:rsidR="00B164BD" w:rsidRPr="001B0738">
        <w:rPr>
          <w:rFonts w:ascii="Times New Roman" w:hAnsi="Times New Roman"/>
          <w:sz w:val="24"/>
          <w:szCs w:val="24"/>
        </w:rPr>
        <w:t>(2013) ‘</w:t>
      </w:r>
      <w:r w:rsidRPr="001B0738">
        <w:rPr>
          <w:rFonts w:ascii="Times New Roman" w:hAnsi="Times New Roman"/>
          <w:sz w:val="24"/>
          <w:szCs w:val="24"/>
        </w:rPr>
        <w:t>Critical pedagogy in health ed</w:t>
      </w:r>
      <w:r w:rsidR="00B164BD" w:rsidRPr="001B0738">
        <w:rPr>
          <w:rFonts w:ascii="Times New Roman" w:hAnsi="Times New Roman"/>
          <w:sz w:val="24"/>
          <w:szCs w:val="24"/>
        </w:rPr>
        <w:t>ucation’,</w:t>
      </w:r>
      <w:r w:rsidRPr="001B0738">
        <w:rPr>
          <w:rFonts w:ascii="Times New Roman" w:hAnsi="Times New Roman"/>
          <w:sz w:val="24"/>
          <w:szCs w:val="24"/>
        </w:rPr>
        <w:t xml:space="preserve"> Health Education Journal</w:t>
      </w:r>
      <w:r w:rsidR="00B164BD" w:rsidRPr="001B0738">
        <w:rPr>
          <w:rFonts w:ascii="Times New Roman" w:hAnsi="Times New Roman"/>
          <w:sz w:val="24"/>
          <w:szCs w:val="24"/>
        </w:rPr>
        <w:t>,</w:t>
      </w:r>
      <w:r w:rsidRPr="001B0738">
        <w:rPr>
          <w:rFonts w:ascii="Times New Roman" w:hAnsi="Times New Roman"/>
          <w:sz w:val="24"/>
          <w:szCs w:val="24"/>
        </w:rPr>
        <w:t xml:space="preserve"> 73: 600-609.</w:t>
      </w:r>
    </w:p>
    <w:p w14:paraId="7FFB1DE0" w14:textId="77777777" w:rsidR="008C11BE" w:rsidRPr="008C11BE" w:rsidRDefault="008C11BE" w:rsidP="00EB24EE">
      <w:pPr>
        <w:spacing w:line="480" w:lineRule="auto"/>
        <w:rPr>
          <w:rFonts w:ascii="Times New Roman" w:eastAsia="Times New Roman" w:hAnsi="Times New Roman" w:cs="Times New Roman"/>
          <w:lang w:eastAsia="en-GB"/>
        </w:rPr>
      </w:pPr>
      <w:proofErr w:type="spellStart"/>
      <w:r w:rsidRPr="008C11BE">
        <w:rPr>
          <w:rFonts w:ascii="Times New Roman" w:eastAsia="Times New Roman" w:hAnsi="Times New Roman" w:cs="Times New Roman"/>
          <w:lang w:eastAsia="en-GB"/>
        </w:rPr>
        <w:t>McCuaig</w:t>
      </w:r>
      <w:proofErr w:type="spellEnd"/>
      <w:r w:rsidRPr="008C11BE">
        <w:rPr>
          <w:rFonts w:ascii="Times New Roman" w:eastAsia="Times New Roman" w:hAnsi="Times New Roman" w:cs="Times New Roman"/>
          <w:lang w:eastAsia="en-GB"/>
        </w:rPr>
        <w:t xml:space="preserve">, L., Carroll, K. and Macdonald, D. (2014) ‘Enacting critical health literacy in the </w:t>
      </w:r>
    </w:p>
    <w:p w14:paraId="5FB6273E" w14:textId="77777777" w:rsidR="008C11BE" w:rsidRPr="008C11BE" w:rsidRDefault="008C11BE" w:rsidP="00EB24EE">
      <w:pPr>
        <w:spacing w:line="480" w:lineRule="auto"/>
        <w:rPr>
          <w:rFonts w:ascii="Times New Roman" w:eastAsia="Times New Roman" w:hAnsi="Times New Roman" w:cs="Times New Roman"/>
          <w:lang w:eastAsia="en-GB"/>
        </w:rPr>
      </w:pPr>
      <w:r w:rsidRPr="008C11BE">
        <w:rPr>
          <w:rFonts w:ascii="Times New Roman" w:eastAsia="Times New Roman" w:hAnsi="Times New Roman" w:cs="Times New Roman"/>
          <w:lang w:eastAsia="en-GB"/>
        </w:rPr>
        <w:t xml:space="preserve">Australian secondary school curriculum: The possibilities posed by e-health’, </w:t>
      </w:r>
      <w:r w:rsidRPr="008C11BE">
        <w:rPr>
          <w:rFonts w:ascii="Times New Roman" w:eastAsia="Times New Roman" w:hAnsi="Times New Roman" w:cs="Times New Roman"/>
          <w:iCs/>
          <w:lang w:eastAsia="en-GB"/>
        </w:rPr>
        <w:t xml:space="preserve">Asia-Pacific </w:t>
      </w:r>
    </w:p>
    <w:p w14:paraId="6A0C52A8" w14:textId="77777777" w:rsidR="008C11BE" w:rsidRPr="008C11BE" w:rsidRDefault="008C11BE" w:rsidP="00EB24EE">
      <w:pPr>
        <w:spacing w:line="480" w:lineRule="auto"/>
        <w:rPr>
          <w:rFonts w:ascii="Times New Roman" w:eastAsia="Times New Roman" w:hAnsi="Times New Roman" w:cs="Times New Roman"/>
          <w:lang w:eastAsia="en-GB"/>
        </w:rPr>
      </w:pPr>
      <w:r w:rsidRPr="008C11BE">
        <w:rPr>
          <w:rFonts w:ascii="Times New Roman" w:eastAsia="Times New Roman" w:hAnsi="Times New Roman" w:cs="Times New Roman"/>
          <w:iCs/>
          <w:lang w:eastAsia="en-GB"/>
        </w:rPr>
        <w:t>Journal of Health, Sport and Physical Education</w:t>
      </w:r>
      <w:r w:rsidRPr="008C11BE">
        <w:rPr>
          <w:rFonts w:ascii="Times New Roman" w:eastAsia="Times New Roman" w:hAnsi="Times New Roman" w:cs="Times New Roman"/>
          <w:lang w:eastAsia="en-GB"/>
        </w:rPr>
        <w:t>, 5(3): 217–231.</w:t>
      </w:r>
    </w:p>
    <w:p w14:paraId="75CBEEC4" w14:textId="77777777" w:rsidR="008C11BE" w:rsidRPr="008C11BE" w:rsidRDefault="008C11BE" w:rsidP="00EB24EE">
      <w:pPr>
        <w:spacing w:line="480" w:lineRule="auto"/>
        <w:rPr>
          <w:rFonts w:ascii="Times New Roman" w:eastAsia="Times New Roman" w:hAnsi="Times New Roman" w:cs="Times New Roman"/>
          <w:iCs/>
          <w:lang w:eastAsia="en-GB"/>
        </w:rPr>
      </w:pPr>
    </w:p>
    <w:p w14:paraId="2B93B916" w14:textId="77777777" w:rsidR="008C11BE" w:rsidRDefault="008C11BE" w:rsidP="00EB24EE">
      <w:pPr>
        <w:spacing w:line="480" w:lineRule="auto"/>
        <w:rPr>
          <w:rFonts w:ascii="Times New Roman" w:eastAsia="Times New Roman" w:hAnsi="Times New Roman" w:cs="Times New Roman"/>
          <w:lang w:eastAsia="en-GB"/>
        </w:rPr>
      </w:pPr>
      <w:proofErr w:type="spellStart"/>
      <w:r w:rsidRPr="008C11BE">
        <w:rPr>
          <w:rFonts w:ascii="Times New Roman" w:eastAsia="Times New Roman" w:hAnsi="Times New Roman" w:cs="Times New Roman"/>
          <w:lang w:eastAsia="en-GB"/>
        </w:rPr>
        <w:t>Mogford</w:t>
      </w:r>
      <w:proofErr w:type="spellEnd"/>
      <w:r w:rsidRPr="008C11BE">
        <w:rPr>
          <w:rFonts w:ascii="Times New Roman" w:eastAsia="Times New Roman" w:hAnsi="Times New Roman" w:cs="Times New Roman"/>
          <w:lang w:eastAsia="en-GB"/>
        </w:rPr>
        <w:t xml:space="preserve">, E., Gould, L. and </w:t>
      </w:r>
      <w:proofErr w:type="spellStart"/>
      <w:r w:rsidRPr="008C11BE">
        <w:rPr>
          <w:rFonts w:ascii="Times New Roman" w:eastAsia="Times New Roman" w:hAnsi="Times New Roman" w:cs="Times New Roman"/>
          <w:lang w:eastAsia="en-GB"/>
        </w:rPr>
        <w:t>DeVoght</w:t>
      </w:r>
      <w:proofErr w:type="spellEnd"/>
      <w:r w:rsidRPr="008C11BE">
        <w:rPr>
          <w:rFonts w:ascii="Times New Roman" w:eastAsia="Times New Roman" w:hAnsi="Times New Roman" w:cs="Times New Roman"/>
          <w:lang w:eastAsia="en-GB"/>
        </w:rPr>
        <w:t xml:space="preserve">, A. (2011) ‘Teaching critical health literacy in the US as a means to action on the social determinants of health’, </w:t>
      </w:r>
      <w:r w:rsidRPr="008C11BE">
        <w:rPr>
          <w:rFonts w:ascii="Times New Roman" w:eastAsia="Times New Roman" w:hAnsi="Times New Roman" w:cs="Times New Roman"/>
          <w:iCs/>
          <w:lang w:eastAsia="en-GB"/>
        </w:rPr>
        <w:t>Health Promotion International</w:t>
      </w:r>
      <w:r w:rsidRPr="008C11BE">
        <w:rPr>
          <w:rFonts w:ascii="Times New Roman" w:eastAsia="Times New Roman" w:hAnsi="Times New Roman" w:cs="Times New Roman"/>
          <w:lang w:eastAsia="en-GB"/>
        </w:rPr>
        <w:t xml:space="preserve">, 26 (1): 4–13. </w:t>
      </w:r>
    </w:p>
    <w:p w14:paraId="40EE36C4" w14:textId="3ADEF01B" w:rsidR="00E45780" w:rsidRDefault="00E45780" w:rsidP="001B0738">
      <w:pPr>
        <w:pStyle w:val="CommentText"/>
        <w:spacing w:line="480" w:lineRule="auto"/>
      </w:pPr>
      <w:r w:rsidRPr="00902905">
        <w:rPr>
          <w:rFonts w:ascii="Times New Roman" w:eastAsia="Times New Roman" w:hAnsi="Times New Roman" w:cs="Times New Roman"/>
          <w:color w:val="000000"/>
          <w:lang w:eastAsia="en-GB"/>
        </w:rPr>
        <w:t>Murray</w:t>
      </w:r>
      <w:r w:rsidR="00660A52">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xml:space="preserve"> C</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Johnson</w:t>
      </w:r>
      <w:r w:rsidR="00660A52">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xml:space="preserve"> W</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Wolf</w:t>
      </w:r>
      <w:r w:rsidR="00660A52">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xml:space="preserve"> MS</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xml:space="preserve">, </w:t>
      </w:r>
      <w:proofErr w:type="spellStart"/>
      <w:r w:rsidRPr="00902905">
        <w:rPr>
          <w:rFonts w:ascii="Times New Roman" w:eastAsia="Times New Roman" w:hAnsi="Times New Roman" w:cs="Times New Roman"/>
          <w:color w:val="000000"/>
          <w:lang w:eastAsia="en-GB"/>
        </w:rPr>
        <w:t>Deary</w:t>
      </w:r>
      <w:proofErr w:type="spellEnd"/>
      <w:r w:rsidRPr="00902905">
        <w:rPr>
          <w:rFonts w:ascii="Times New Roman" w:eastAsia="Times New Roman" w:hAnsi="Times New Roman" w:cs="Times New Roman"/>
          <w:color w:val="000000"/>
          <w:lang w:eastAsia="en-GB"/>
        </w:rPr>
        <w:t xml:space="preserve"> IJ. </w:t>
      </w:r>
      <w:r>
        <w:rPr>
          <w:rFonts w:ascii="Times New Roman" w:eastAsia="Times New Roman" w:hAnsi="Times New Roman" w:cs="Times New Roman"/>
          <w:color w:val="000000"/>
          <w:lang w:eastAsia="en-GB"/>
        </w:rPr>
        <w:t>(2011) ‘</w:t>
      </w:r>
      <w:r w:rsidRPr="00902905">
        <w:rPr>
          <w:rFonts w:ascii="Times New Roman" w:eastAsia="Times New Roman" w:hAnsi="Times New Roman" w:cs="Times New Roman"/>
          <w:color w:val="000000"/>
          <w:lang w:eastAsia="en-GB"/>
        </w:rPr>
        <w:t>The association between cognitive ability across the lifespan and health literacy in old age: The Lothian Birth Cohort 1936</w:t>
      </w:r>
      <w:r>
        <w:rPr>
          <w:rFonts w:ascii="Times New Roman" w:eastAsia="Times New Roman" w:hAnsi="Times New Roman" w:cs="Times New Roman"/>
          <w:color w:val="000000"/>
          <w:lang w:eastAsia="en-GB"/>
        </w:rPr>
        <w:t>’, Intelligence</w:t>
      </w:r>
      <w:r w:rsidRPr="00902905">
        <w:rPr>
          <w:rFonts w:ascii="Times New Roman" w:eastAsia="Times New Roman" w:hAnsi="Times New Roman" w:cs="Times New Roman"/>
          <w:color w:val="000000"/>
          <w:lang w:eastAsia="en-GB"/>
        </w:rPr>
        <w:t> 39: 178–87.</w:t>
      </w:r>
    </w:p>
    <w:p w14:paraId="5D303969" w14:textId="77777777" w:rsidR="008C11BE" w:rsidRPr="008C11BE" w:rsidRDefault="008C11BE" w:rsidP="00EB24EE">
      <w:pPr>
        <w:spacing w:line="480" w:lineRule="auto"/>
        <w:rPr>
          <w:rFonts w:ascii="Times New Roman" w:eastAsia="Times New Roman" w:hAnsi="Times New Roman" w:cs="Times New Roman"/>
          <w:lang w:eastAsia="en-GB"/>
        </w:rPr>
      </w:pPr>
    </w:p>
    <w:p w14:paraId="1E1768BC" w14:textId="77777777" w:rsidR="008C11BE" w:rsidRPr="008C11BE" w:rsidRDefault="008C11BE" w:rsidP="00EB24EE">
      <w:pPr>
        <w:spacing w:line="480" w:lineRule="auto"/>
        <w:rPr>
          <w:rFonts w:ascii="Times New Roman" w:eastAsia="Times New Roman" w:hAnsi="Times New Roman" w:cs="Times New Roman"/>
          <w:lang w:eastAsia="en-GB"/>
        </w:rPr>
      </w:pPr>
      <w:r w:rsidRPr="008C11BE">
        <w:rPr>
          <w:rFonts w:ascii="Times New Roman" w:eastAsia="Times New Roman" w:hAnsi="Times New Roman" w:cs="Times New Roman"/>
          <w:lang w:eastAsia="en-GB"/>
        </w:rPr>
        <w:t xml:space="preserve">Muscat, D. M., </w:t>
      </w:r>
      <w:proofErr w:type="spellStart"/>
      <w:r w:rsidRPr="008C11BE">
        <w:rPr>
          <w:rFonts w:ascii="Times New Roman" w:eastAsia="Times New Roman" w:hAnsi="Times New Roman" w:cs="Times New Roman"/>
          <w:lang w:eastAsia="en-GB"/>
        </w:rPr>
        <w:t>Morony</w:t>
      </w:r>
      <w:proofErr w:type="spellEnd"/>
      <w:r w:rsidRPr="008C11BE">
        <w:rPr>
          <w:rFonts w:ascii="Times New Roman" w:eastAsia="Times New Roman" w:hAnsi="Times New Roman" w:cs="Times New Roman"/>
          <w:lang w:eastAsia="en-GB"/>
        </w:rPr>
        <w:t xml:space="preserve">, S., Smith, S. K., Shepherd, H. L., Dhillon, H. M., </w:t>
      </w:r>
      <w:proofErr w:type="spellStart"/>
      <w:r w:rsidRPr="008C11BE">
        <w:rPr>
          <w:rFonts w:ascii="Times New Roman" w:eastAsia="Times New Roman" w:hAnsi="Times New Roman" w:cs="Times New Roman"/>
          <w:lang w:eastAsia="en-GB"/>
        </w:rPr>
        <w:t>Hayen</w:t>
      </w:r>
      <w:proofErr w:type="spellEnd"/>
      <w:r w:rsidRPr="008C11BE">
        <w:rPr>
          <w:rFonts w:ascii="Times New Roman" w:eastAsia="Times New Roman" w:hAnsi="Times New Roman" w:cs="Times New Roman"/>
          <w:lang w:eastAsia="en-GB"/>
        </w:rPr>
        <w:t xml:space="preserve">, A., </w:t>
      </w:r>
      <w:r w:rsidRPr="008C11BE">
        <w:rPr>
          <w:rFonts w:ascii="Times New Roman" w:eastAsia="Times New Roman" w:hAnsi="Times New Roman" w:cs="Times New Roman"/>
          <w:i/>
          <w:iCs/>
          <w:lang w:eastAsia="en-GB"/>
        </w:rPr>
        <w:t>et al.</w:t>
      </w:r>
      <w:r w:rsidRPr="008C11BE">
        <w:rPr>
          <w:rFonts w:ascii="Times New Roman" w:eastAsia="Times New Roman" w:hAnsi="Times New Roman" w:cs="Times New Roman"/>
          <w:lang w:eastAsia="en-GB"/>
        </w:rPr>
        <w:t xml:space="preserve"> (2017) ‘Qualitative insights into the experience of teaching shared decision making within adult education health literacy programmes for lower-literacy learners’, </w:t>
      </w:r>
      <w:r w:rsidRPr="008C11BE">
        <w:rPr>
          <w:rFonts w:ascii="Times New Roman" w:eastAsia="Times New Roman" w:hAnsi="Times New Roman" w:cs="Times New Roman"/>
          <w:iCs/>
          <w:lang w:eastAsia="en-GB"/>
        </w:rPr>
        <w:t xml:space="preserve">Health Expectations: An International Journal </w:t>
      </w:r>
      <w:proofErr w:type="gramStart"/>
      <w:r w:rsidRPr="008C11BE">
        <w:rPr>
          <w:rFonts w:ascii="Times New Roman" w:eastAsia="Times New Roman" w:hAnsi="Times New Roman" w:cs="Times New Roman"/>
          <w:iCs/>
          <w:lang w:eastAsia="en-GB"/>
        </w:rPr>
        <w:t>Of</w:t>
      </w:r>
      <w:proofErr w:type="gramEnd"/>
      <w:r w:rsidRPr="008C11BE">
        <w:rPr>
          <w:rFonts w:ascii="Times New Roman" w:eastAsia="Times New Roman" w:hAnsi="Times New Roman" w:cs="Times New Roman"/>
          <w:iCs/>
          <w:lang w:eastAsia="en-GB"/>
        </w:rPr>
        <w:t xml:space="preserve"> Public Participation In Health Care And Health Policy</w:t>
      </w:r>
      <w:r w:rsidRPr="008C11BE">
        <w:rPr>
          <w:rFonts w:ascii="Times New Roman" w:eastAsia="Times New Roman" w:hAnsi="Times New Roman" w:cs="Times New Roman"/>
          <w:lang w:eastAsia="en-GB"/>
        </w:rPr>
        <w:t>. 00:1-8</w:t>
      </w:r>
    </w:p>
    <w:p w14:paraId="62E96CC4" w14:textId="77777777" w:rsidR="00A25B0A" w:rsidRDefault="00A25B0A" w:rsidP="00EB24EE">
      <w:pPr>
        <w:widowControl w:val="0"/>
        <w:autoSpaceDE w:val="0"/>
        <w:autoSpaceDN w:val="0"/>
        <w:adjustRightInd w:val="0"/>
        <w:spacing w:after="240" w:line="480" w:lineRule="auto"/>
        <w:rPr>
          <w:rFonts w:ascii="Times New Roman" w:eastAsiaTheme="minorEastAsia" w:hAnsi="Times New Roman" w:cs="Times New Roman"/>
          <w:lang w:val="en-US"/>
        </w:rPr>
      </w:pPr>
    </w:p>
    <w:p w14:paraId="7863DD2A" w14:textId="15AE0AB6" w:rsidR="007425F8" w:rsidRPr="007425F8" w:rsidRDefault="007425F8" w:rsidP="00EB24EE">
      <w:pPr>
        <w:pStyle w:val="References"/>
        <w:spacing w:line="480" w:lineRule="auto"/>
        <w:rPr>
          <w:rFonts w:ascii="Times New Roman" w:hAnsi="Times New Roman"/>
        </w:rPr>
      </w:pPr>
      <w:proofErr w:type="spellStart"/>
      <w:r>
        <w:rPr>
          <w:rFonts w:ascii="Times New Roman" w:hAnsi="Times New Roman"/>
        </w:rPr>
        <w:t>Nutbeam</w:t>
      </w:r>
      <w:proofErr w:type="spellEnd"/>
      <w:r w:rsidR="00660A52">
        <w:rPr>
          <w:rFonts w:ascii="Times New Roman" w:hAnsi="Times New Roman"/>
        </w:rPr>
        <w:t>,</w:t>
      </w:r>
      <w:r>
        <w:rPr>
          <w:rFonts w:ascii="Times New Roman" w:hAnsi="Times New Roman"/>
        </w:rPr>
        <w:t xml:space="preserve"> D. (2000)</w:t>
      </w:r>
      <w:r w:rsidR="001645B4" w:rsidRPr="00EB24EE">
        <w:rPr>
          <w:rFonts w:ascii="Times New Roman" w:hAnsi="Times New Roman"/>
        </w:rPr>
        <w:t xml:space="preserve"> </w:t>
      </w:r>
      <w:r>
        <w:rPr>
          <w:rFonts w:ascii="Times New Roman" w:hAnsi="Times New Roman"/>
        </w:rPr>
        <w:t>‘</w:t>
      </w:r>
      <w:r w:rsidR="001645B4" w:rsidRPr="00EB24EE">
        <w:rPr>
          <w:rFonts w:ascii="Times New Roman" w:hAnsi="Times New Roman"/>
        </w:rPr>
        <w:t>Health literacy as a public health goa</w:t>
      </w:r>
      <w:r w:rsidRPr="007425F8">
        <w:rPr>
          <w:rFonts w:ascii="Times New Roman" w:hAnsi="Times New Roman"/>
        </w:rPr>
        <w:t>l: a challenge for contemporary</w:t>
      </w:r>
    </w:p>
    <w:p w14:paraId="00FD8CB2" w14:textId="77777777" w:rsidR="007425F8" w:rsidRPr="007425F8" w:rsidRDefault="001645B4" w:rsidP="00EB24EE">
      <w:pPr>
        <w:pStyle w:val="References"/>
        <w:spacing w:line="480" w:lineRule="auto"/>
        <w:rPr>
          <w:rFonts w:ascii="Times New Roman" w:hAnsi="Times New Roman"/>
          <w:iCs/>
        </w:rPr>
      </w:pPr>
      <w:r w:rsidRPr="00EB24EE">
        <w:rPr>
          <w:rFonts w:ascii="Times New Roman" w:hAnsi="Times New Roman"/>
        </w:rPr>
        <w:t>health education and communication strategies into the 21</w:t>
      </w:r>
      <w:r w:rsidRPr="00EB24EE">
        <w:rPr>
          <w:rFonts w:ascii="Times New Roman" w:hAnsi="Times New Roman"/>
          <w:vertAlign w:val="superscript"/>
        </w:rPr>
        <w:t>st</w:t>
      </w:r>
      <w:r w:rsidR="007425F8" w:rsidRPr="007425F8">
        <w:rPr>
          <w:rFonts w:ascii="Times New Roman" w:hAnsi="Times New Roman"/>
        </w:rPr>
        <w:t xml:space="preserve"> century</w:t>
      </w:r>
      <w:r w:rsidR="007425F8">
        <w:rPr>
          <w:rFonts w:ascii="Times New Roman" w:hAnsi="Times New Roman"/>
        </w:rPr>
        <w:t>’,</w:t>
      </w:r>
      <w:r w:rsidRPr="00EB24EE">
        <w:rPr>
          <w:rFonts w:ascii="Times New Roman" w:hAnsi="Times New Roman"/>
        </w:rPr>
        <w:t xml:space="preserve"> </w:t>
      </w:r>
      <w:r w:rsidR="007425F8" w:rsidRPr="007425F8">
        <w:rPr>
          <w:rFonts w:ascii="Times New Roman" w:hAnsi="Times New Roman"/>
          <w:iCs/>
        </w:rPr>
        <w:t>Health Promotion</w:t>
      </w:r>
    </w:p>
    <w:p w14:paraId="544ECB6D" w14:textId="1A0B2D28" w:rsidR="001645B4" w:rsidRPr="00EB24EE" w:rsidRDefault="001645B4" w:rsidP="00EB24EE">
      <w:pPr>
        <w:pStyle w:val="References"/>
        <w:spacing w:line="480" w:lineRule="auto"/>
        <w:rPr>
          <w:rFonts w:ascii="Times New Roman" w:hAnsi="Times New Roman"/>
        </w:rPr>
      </w:pPr>
      <w:r w:rsidRPr="00EB24EE">
        <w:rPr>
          <w:rFonts w:ascii="Times New Roman" w:hAnsi="Times New Roman"/>
          <w:iCs/>
        </w:rPr>
        <w:t>International</w:t>
      </w:r>
      <w:r w:rsidRPr="00EB24EE">
        <w:rPr>
          <w:rFonts w:ascii="Times New Roman" w:hAnsi="Times New Roman"/>
          <w:i/>
          <w:iCs/>
        </w:rPr>
        <w:t xml:space="preserve">, </w:t>
      </w:r>
      <w:r w:rsidRPr="00EB24EE">
        <w:rPr>
          <w:rFonts w:ascii="Times New Roman" w:hAnsi="Times New Roman"/>
        </w:rPr>
        <w:t>15(3)</w:t>
      </w:r>
      <w:r w:rsidR="007425F8" w:rsidRPr="007425F8">
        <w:rPr>
          <w:rFonts w:ascii="Times New Roman" w:hAnsi="Times New Roman"/>
        </w:rPr>
        <w:t>:</w:t>
      </w:r>
      <w:r w:rsidRPr="00EB24EE">
        <w:rPr>
          <w:rFonts w:ascii="Times New Roman" w:hAnsi="Times New Roman"/>
        </w:rPr>
        <w:t xml:space="preserve"> 259-267.</w:t>
      </w:r>
    </w:p>
    <w:p w14:paraId="09B0AF55" w14:textId="77777777" w:rsidR="008C11BE" w:rsidRPr="00A25B0A" w:rsidRDefault="008C11BE" w:rsidP="00EB24EE">
      <w:pPr>
        <w:widowControl w:val="0"/>
        <w:autoSpaceDE w:val="0"/>
        <w:autoSpaceDN w:val="0"/>
        <w:adjustRightInd w:val="0"/>
        <w:spacing w:after="240" w:line="480" w:lineRule="auto"/>
        <w:rPr>
          <w:rFonts w:ascii="Times New Roman" w:hAnsi="Times New Roman" w:cs="Times New Roman"/>
          <w:color w:val="000000"/>
        </w:rPr>
      </w:pPr>
      <w:r w:rsidRPr="00A25B0A">
        <w:rPr>
          <w:rFonts w:ascii="Times New Roman" w:hAnsi="Times New Roman" w:cs="Times New Roman"/>
          <w:color w:val="000000"/>
        </w:rPr>
        <w:lastRenderedPageBreak/>
        <w:t xml:space="preserve">Nutbeam, D. (2008) ‘The evolving concept of health literacy’. Social Science and Medicine 67: 2072–2078. </w:t>
      </w:r>
    </w:p>
    <w:p w14:paraId="5A42F305" w14:textId="77777777" w:rsidR="008C11BE" w:rsidRPr="00A25B0A" w:rsidRDefault="008C11BE" w:rsidP="00EB24EE">
      <w:pPr>
        <w:spacing w:line="480" w:lineRule="auto"/>
        <w:rPr>
          <w:rFonts w:ascii="Times New Roman" w:eastAsia="Times New Roman" w:hAnsi="Times New Roman" w:cs="Times New Roman"/>
          <w:lang w:eastAsia="en-GB"/>
        </w:rPr>
      </w:pPr>
      <w:r w:rsidRPr="00A25B0A">
        <w:rPr>
          <w:rFonts w:ascii="Times New Roman" w:eastAsia="Times New Roman" w:hAnsi="Times New Roman" w:cs="Times New Roman"/>
          <w:color w:val="2A2A2A"/>
          <w:shd w:val="clear" w:color="auto" w:fill="FFFFFF"/>
          <w:lang w:eastAsia="en-GB"/>
        </w:rPr>
        <w:t xml:space="preserve">Nutbeam, D., McGill, B. and </w:t>
      </w:r>
      <w:proofErr w:type="spellStart"/>
      <w:r w:rsidRPr="00A25B0A">
        <w:rPr>
          <w:rFonts w:ascii="Times New Roman" w:eastAsia="Times New Roman" w:hAnsi="Times New Roman" w:cs="Times New Roman"/>
          <w:color w:val="2A2A2A"/>
          <w:shd w:val="clear" w:color="auto" w:fill="FFFFFF"/>
          <w:lang w:eastAsia="en-GB"/>
        </w:rPr>
        <w:t>Premkumar</w:t>
      </w:r>
      <w:proofErr w:type="spellEnd"/>
      <w:r w:rsidRPr="00A25B0A">
        <w:rPr>
          <w:rFonts w:ascii="Times New Roman" w:eastAsia="Times New Roman" w:hAnsi="Times New Roman" w:cs="Times New Roman"/>
          <w:color w:val="2A2A2A"/>
          <w:shd w:val="clear" w:color="auto" w:fill="FFFFFF"/>
          <w:lang w:eastAsia="en-GB"/>
        </w:rPr>
        <w:t>, P. ‘Improving health literacy in community populations: a review of progress’, </w:t>
      </w:r>
      <w:r w:rsidRPr="00A25B0A">
        <w:rPr>
          <w:rFonts w:ascii="Times New Roman" w:eastAsia="Times New Roman" w:hAnsi="Times New Roman" w:cs="Times New Roman"/>
          <w:iCs/>
          <w:color w:val="2A2A2A"/>
          <w:bdr w:val="none" w:sz="0" w:space="0" w:color="auto" w:frame="1"/>
          <w:lang w:eastAsia="en-GB"/>
        </w:rPr>
        <w:t>Health Promotion International</w:t>
      </w:r>
      <w:r w:rsidRPr="00A25B0A">
        <w:rPr>
          <w:rFonts w:ascii="Times New Roman" w:eastAsia="Times New Roman" w:hAnsi="Times New Roman" w:cs="Times New Roman"/>
          <w:color w:val="2A2A2A"/>
          <w:shd w:val="clear" w:color="auto" w:fill="FFFFFF"/>
          <w:lang w:eastAsia="en-GB"/>
        </w:rPr>
        <w:t xml:space="preserve">, 1-11 </w:t>
      </w:r>
      <w:proofErr w:type="spellStart"/>
      <w:r w:rsidRPr="00A25B0A">
        <w:rPr>
          <w:rFonts w:ascii="Times New Roman" w:eastAsia="Times New Roman" w:hAnsi="Times New Roman" w:cs="Times New Roman"/>
          <w:color w:val="2A2A2A"/>
          <w:shd w:val="clear" w:color="auto" w:fill="FFFFFF"/>
          <w:lang w:eastAsia="en-GB"/>
        </w:rPr>
        <w:t>doi</w:t>
      </w:r>
      <w:proofErr w:type="spellEnd"/>
      <w:r w:rsidRPr="00A25B0A">
        <w:rPr>
          <w:rFonts w:ascii="Times New Roman" w:eastAsia="Times New Roman" w:hAnsi="Times New Roman" w:cs="Times New Roman"/>
          <w:color w:val="2A2A2A"/>
          <w:shd w:val="clear" w:color="auto" w:fill="FFFFFF"/>
          <w:lang w:eastAsia="en-GB"/>
        </w:rPr>
        <w:t>: 10.1093/</w:t>
      </w:r>
      <w:proofErr w:type="spellStart"/>
      <w:r w:rsidRPr="00A25B0A">
        <w:rPr>
          <w:rFonts w:ascii="Times New Roman" w:eastAsia="Times New Roman" w:hAnsi="Times New Roman" w:cs="Times New Roman"/>
          <w:color w:val="2A2A2A"/>
          <w:shd w:val="clear" w:color="auto" w:fill="FFFFFF"/>
          <w:lang w:eastAsia="en-GB"/>
        </w:rPr>
        <w:t>heapro</w:t>
      </w:r>
      <w:proofErr w:type="spellEnd"/>
      <w:r w:rsidRPr="00A25B0A">
        <w:rPr>
          <w:rFonts w:ascii="Times New Roman" w:eastAsia="Times New Roman" w:hAnsi="Times New Roman" w:cs="Times New Roman"/>
          <w:color w:val="2A2A2A"/>
          <w:shd w:val="clear" w:color="auto" w:fill="FFFFFF"/>
          <w:lang w:eastAsia="en-GB"/>
        </w:rPr>
        <w:t xml:space="preserve">/dax015 </w:t>
      </w:r>
    </w:p>
    <w:p w14:paraId="59D29BDA" w14:textId="77777777" w:rsidR="00BF1A7A" w:rsidRDefault="00BF1A7A" w:rsidP="00EB24EE">
      <w:pPr>
        <w:pStyle w:val="References"/>
        <w:spacing w:line="480" w:lineRule="auto"/>
        <w:ind w:left="0" w:firstLine="0"/>
        <w:rPr>
          <w:rFonts w:ascii="Times New Roman" w:eastAsiaTheme="minorHAnsi" w:hAnsi="Times New Roman"/>
          <w:color w:val="000000"/>
          <w:lang w:val="en-GB"/>
        </w:rPr>
      </w:pPr>
    </w:p>
    <w:p w14:paraId="5DC7336B" w14:textId="77777777" w:rsidR="008C11BE" w:rsidRPr="008C11BE" w:rsidRDefault="008C11BE" w:rsidP="00EB24EE">
      <w:pPr>
        <w:pStyle w:val="References"/>
        <w:spacing w:line="480" w:lineRule="auto"/>
        <w:ind w:left="0" w:firstLine="0"/>
        <w:rPr>
          <w:rFonts w:ascii="Times New Roman" w:hAnsi="Times New Roman"/>
        </w:rPr>
      </w:pPr>
      <w:proofErr w:type="spellStart"/>
      <w:r w:rsidRPr="001645B4">
        <w:rPr>
          <w:rFonts w:ascii="Times New Roman" w:hAnsi="Times New Roman"/>
        </w:rPr>
        <w:t>Porr</w:t>
      </w:r>
      <w:proofErr w:type="spellEnd"/>
      <w:r w:rsidRPr="001645B4">
        <w:rPr>
          <w:rFonts w:ascii="Times New Roman" w:hAnsi="Times New Roman"/>
        </w:rPr>
        <w:t xml:space="preserve">, C. Drummond, L. and </w:t>
      </w:r>
      <w:proofErr w:type="spellStart"/>
      <w:r w:rsidRPr="001645B4">
        <w:rPr>
          <w:rFonts w:ascii="Times New Roman" w:hAnsi="Times New Roman"/>
        </w:rPr>
        <w:t>Rishter</w:t>
      </w:r>
      <w:proofErr w:type="spellEnd"/>
      <w:r w:rsidRPr="001645B4">
        <w:rPr>
          <w:rFonts w:ascii="Times New Roman" w:hAnsi="Times New Roman"/>
        </w:rPr>
        <w:t>, S. (2006) ‘Health literacy as an empowerment tool for low income mothers’, Family Community Health</w:t>
      </w:r>
      <w:r w:rsidRPr="008C11BE">
        <w:rPr>
          <w:rFonts w:ascii="Times New Roman" w:hAnsi="Times New Roman"/>
          <w:i/>
        </w:rPr>
        <w:t>,</w:t>
      </w:r>
      <w:r w:rsidRPr="008C11BE">
        <w:rPr>
          <w:rFonts w:ascii="Times New Roman" w:hAnsi="Times New Roman"/>
        </w:rPr>
        <w:t xml:space="preserve"> 29(4): 328-335.</w:t>
      </w:r>
    </w:p>
    <w:p w14:paraId="3E0C7F11" w14:textId="77777777" w:rsidR="008C11BE" w:rsidRPr="008C11BE" w:rsidRDefault="008C11BE" w:rsidP="00EB24EE">
      <w:pPr>
        <w:pStyle w:val="References"/>
        <w:spacing w:line="480" w:lineRule="auto"/>
        <w:ind w:left="0" w:firstLine="0"/>
        <w:rPr>
          <w:rFonts w:ascii="Times New Roman" w:hAnsi="Times New Roman"/>
        </w:rPr>
      </w:pPr>
      <w:r w:rsidRPr="008C11BE">
        <w:rPr>
          <w:rFonts w:ascii="Times New Roman" w:hAnsi="Times New Roman"/>
        </w:rPr>
        <w:t>Renwick, K. (2014) ‘Critical health literacy: shifting textual-social practices in the health classroom’, Asia-Pacific Journal of Health, Sport and Physical Education, 5(3): 201-216</w:t>
      </w:r>
    </w:p>
    <w:p w14:paraId="007377EF" w14:textId="35D61C38" w:rsidR="008C11BE" w:rsidRPr="008C11BE" w:rsidRDefault="008C11BE" w:rsidP="00EB24EE">
      <w:pPr>
        <w:spacing w:line="480" w:lineRule="auto"/>
        <w:rPr>
          <w:rFonts w:ascii="Times New Roman" w:hAnsi="Times New Roman" w:cs="Times New Roman"/>
        </w:rPr>
      </w:pPr>
      <w:proofErr w:type="spellStart"/>
      <w:r w:rsidRPr="008C11BE">
        <w:rPr>
          <w:rFonts w:ascii="Times New Roman" w:eastAsia="Times New Roman" w:hAnsi="Times New Roman" w:cs="Times New Roman"/>
          <w:lang w:eastAsia="en-GB"/>
        </w:rPr>
        <w:t>Scheib</w:t>
      </w:r>
      <w:proofErr w:type="spellEnd"/>
      <w:r w:rsidRPr="008C11BE">
        <w:rPr>
          <w:rFonts w:ascii="Times New Roman" w:eastAsia="Times New Roman" w:hAnsi="Times New Roman" w:cs="Times New Roman"/>
          <w:lang w:eastAsia="en-GB"/>
        </w:rPr>
        <w:t xml:space="preserve">, H. and </w:t>
      </w:r>
      <w:proofErr w:type="spellStart"/>
      <w:r w:rsidRPr="008C11BE">
        <w:rPr>
          <w:rFonts w:ascii="Times New Roman" w:eastAsia="Times New Roman" w:hAnsi="Times New Roman" w:cs="Times New Roman"/>
          <w:lang w:eastAsia="en-GB"/>
        </w:rPr>
        <w:t>Lykes</w:t>
      </w:r>
      <w:proofErr w:type="spellEnd"/>
      <w:r w:rsidRPr="008C11BE">
        <w:rPr>
          <w:rFonts w:ascii="Times New Roman" w:eastAsia="Times New Roman" w:hAnsi="Times New Roman" w:cs="Times New Roman"/>
          <w:lang w:eastAsia="en-GB"/>
        </w:rPr>
        <w:t xml:space="preserve">, M. B. (2013) ‘African American and Latina community health workers engage </w:t>
      </w:r>
      <w:proofErr w:type="spellStart"/>
      <w:r w:rsidRPr="008C11BE">
        <w:rPr>
          <w:rFonts w:ascii="Times New Roman" w:eastAsia="Times New Roman" w:hAnsi="Times New Roman" w:cs="Times New Roman"/>
          <w:lang w:eastAsia="en-GB"/>
        </w:rPr>
        <w:t>PhotoPAR</w:t>
      </w:r>
      <w:proofErr w:type="spellEnd"/>
      <w:r w:rsidRPr="008C11BE">
        <w:rPr>
          <w:rFonts w:ascii="Times New Roman" w:eastAsia="Times New Roman" w:hAnsi="Times New Roman" w:cs="Times New Roman"/>
          <w:lang w:eastAsia="en-GB"/>
        </w:rPr>
        <w:t xml:space="preserve"> as a resource in a post-disaster context: Katrina at 5 years’, </w:t>
      </w:r>
      <w:r w:rsidRPr="008C11BE">
        <w:rPr>
          <w:rFonts w:ascii="Times New Roman" w:eastAsia="Times New Roman" w:hAnsi="Times New Roman" w:cs="Times New Roman"/>
          <w:iCs/>
          <w:lang w:eastAsia="en-GB"/>
        </w:rPr>
        <w:t>Journal of Health Psychology</w:t>
      </w:r>
      <w:r w:rsidRPr="008C11BE">
        <w:rPr>
          <w:rFonts w:ascii="Times New Roman" w:eastAsia="Times New Roman" w:hAnsi="Times New Roman" w:cs="Times New Roman"/>
          <w:lang w:eastAsia="en-GB"/>
        </w:rPr>
        <w:t xml:space="preserve">, 18(8): 1069–84. </w:t>
      </w:r>
    </w:p>
    <w:p w14:paraId="68CCCD9C" w14:textId="22BBB381" w:rsidR="008C11BE" w:rsidRPr="008C11BE" w:rsidRDefault="008C11BE" w:rsidP="00EB24EE">
      <w:pPr>
        <w:pStyle w:val="NormalWeb"/>
        <w:spacing w:line="480" w:lineRule="auto"/>
      </w:pPr>
      <w:r w:rsidRPr="008C11BE">
        <w:rPr>
          <w:rFonts w:eastAsia="ArialUnicodeMS"/>
        </w:rPr>
        <w:t xml:space="preserve">Sheridan, </w:t>
      </w:r>
      <w:r w:rsidR="00BF1A7A">
        <w:rPr>
          <w:rFonts w:eastAsia="ArialUnicodeMS"/>
        </w:rPr>
        <w:t xml:space="preserve">SL., </w:t>
      </w:r>
      <w:r w:rsidRPr="008C11BE">
        <w:rPr>
          <w:rFonts w:eastAsia="ArialUnicodeMS"/>
        </w:rPr>
        <w:t xml:space="preserve">Halpern, </w:t>
      </w:r>
      <w:r w:rsidR="00560D3D">
        <w:rPr>
          <w:rFonts w:eastAsia="ArialUnicodeMS"/>
        </w:rPr>
        <w:t xml:space="preserve">DJ., </w:t>
      </w:r>
      <w:proofErr w:type="spellStart"/>
      <w:r w:rsidRPr="008C11BE">
        <w:rPr>
          <w:rFonts w:eastAsia="ArialUnicodeMS"/>
        </w:rPr>
        <w:t>Viera</w:t>
      </w:r>
      <w:proofErr w:type="spellEnd"/>
      <w:r w:rsidRPr="008C11BE">
        <w:rPr>
          <w:rFonts w:eastAsia="ArialUnicodeMS"/>
        </w:rPr>
        <w:t xml:space="preserve">, </w:t>
      </w:r>
      <w:r w:rsidR="00560D3D">
        <w:rPr>
          <w:rFonts w:eastAsia="ArialUnicodeMS"/>
        </w:rPr>
        <w:t xml:space="preserve">AJ., </w:t>
      </w:r>
      <w:r w:rsidRPr="008C11BE">
        <w:rPr>
          <w:rFonts w:eastAsia="ArialUnicodeMS"/>
        </w:rPr>
        <w:t xml:space="preserve">Berkman, </w:t>
      </w:r>
      <w:r w:rsidR="00560D3D">
        <w:rPr>
          <w:rFonts w:eastAsia="ArialUnicodeMS"/>
        </w:rPr>
        <w:t xml:space="preserve">ND., Donohue, </w:t>
      </w:r>
      <w:r w:rsidRPr="008C11BE">
        <w:rPr>
          <w:rFonts w:eastAsia="ArialUnicodeMS"/>
        </w:rPr>
        <w:t>KE.</w:t>
      </w:r>
      <w:r w:rsidR="00560D3D">
        <w:rPr>
          <w:rFonts w:eastAsia="ArialUnicodeMS"/>
        </w:rPr>
        <w:t xml:space="preserve"> and Crotty, K</w:t>
      </w:r>
      <w:r w:rsidR="00A35B6A">
        <w:rPr>
          <w:rFonts w:eastAsia="ArialUnicodeMS"/>
        </w:rPr>
        <w:t xml:space="preserve">. </w:t>
      </w:r>
      <w:r w:rsidRPr="008C11BE">
        <w:rPr>
          <w:rFonts w:eastAsia="ArialUnicodeMS"/>
        </w:rPr>
        <w:t>(2011) ‘Interventions for individuals with low health literacy: A systematic review’, Journal of Health Communication, 16:sup3: 30-54.</w:t>
      </w:r>
    </w:p>
    <w:p w14:paraId="13F8C5F3" w14:textId="15E20EBE" w:rsidR="008C11BE" w:rsidRPr="008C11BE" w:rsidRDefault="008C11BE" w:rsidP="00EB24EE">
      <w:pPr>
        <w:spacing w:line="480" w:lineRule="auto"/>
        <w:rPr>
          <w:rFonts w:ascii="Times New Roman" w:eastAsia="Times New Roman" w:hAnsi="Times New Roman" w:cs="Times New Roman"/>
          <w:lang w:eastAsia="en-GB"/>
        </w:rPr>
      </w:pPr>
      <w:proofErr w:type="spellStart"/>
      <w:r w:rsidRPr="008C11BE">
        <w:rPr>
          <w:rFonts w:ascii="Times New Roman" w:eastAsia="Times New Roman" w:hAnsi="Times New Roman" w:cs="Times New Roman"/>
          <w:lang w:eastAsia="en-GB"/>
        </w:rPr>
        <w:t>Steckelberg</w:t>
      </w:r>
      <w:proofErr w:type="spellEnd"/>
      <w:r w:rsidRPr="008C11BE">
        <w:rPr>
          <w:rFonts w:ascii="Times New Roman" w:eastAsia="Times New Roman" w:hAnsi="Times New Roman" w:cs="Times New Roman"/>
          <w:lang w:eastAsia="en-GB"/>
        </w:rPr>
        <w:t xml:space="preserve">, A., </w:t>
      </w:r>
      <w:proofErr w:type="spellStart"/>
      <w:r w:rsidRPr="008C11BE">
        <w:rPr>
          <w:rFonts w:ascii="Times New Roman" w:eastAsia="Times New Roman" w:hAnsi="Times New Roman" w:cs="Times New Roman"/>
          <w:lang w:eastAsia="en-GB"/>
        </w:rPr>
        <w:t>Hülfenhaus</w:t>
      </w:r>
      <w:proofErr w:type="spellEnd"/>
      <w:r w:rsidRPr="008C11BE">
        <w:rPr>
          <w:rFonts w:ascii="Times New Roman" w:eastAsia="Times New Roman" w:hAnsi="Times New Roman" w:cs="Times New Roman"/>
          <w:lang w:eastAsia="en-GB"/>
        </w:rPr>
        <w:t xml:space="preserve">, C., Kasper, J. and </w:t>
      </w:r>
      <w:proofErr w:type="spellStart"/>
      <w:r w:rsidRPr="008C11BE">
        <w:rPr>
          <w:rFonts w:ascii="Times New Roman" w:eastAsia="Times New Roman" w:hAnsi="Times New Roman" w:cs="Times New Roman"/>
          <w:lang w:eastAsia="en-GB"/>
        </w:rPr>
        <w:t>Mühlhauser</w:t>
      </w:r>
      <w:proofErr w:type="spellEnd"/>
      <w:r w:rsidRPr="008C11BE">
        <w:rPr>
          <w:rFonts w:ascii="Times New Roman" w:eastAsia="Times New Roman" w:hAnsi="Times New Roman" w:cs="Times New Roman"/>
          <w:lang w:eastAsia="en-GB"/>
        </w:rPr>
        <w:t>, I. (2009) ‘</w:t>
      </w:r>
      <w:proofErr w:type="spellStart"/>
      <w:r w:rsidRPr="008C11BE">
        <w:rPr>
          <w:rFonts w:ascii="Times New Roman" w:eastAsia="Times New Roman" w:hAnsi="Times New Roman" w:cs="Times New Roman"/>
          <w:lang w:eastAsia="en-GB"/>
        </w:rPr>
        <w:t>Ebm@school</w:t>
      </w:r>
      <w:proofErr w:type="spellEnd"/>
      <w:r w:rsidRPr="008C11BE">
        <w:rPr>
          <w:rFonts w:ascii="Times New Roman" w:eastAsia="Times New Roman" w:hAnsi="Times New Roman" w:cs="Times New Roman"/>
          <w:lang w:eastAsia="en-GB"/>
        </w:rPr>
        <w:t xml:space="preserve">--a curriculum of critical health literacy for secondary school students: results of a pilot study’, </w:t>
      </w:r>
      <w:r w:rsidRPr="008C11BE">
        <w:rPr>
          <w:rFonts w:ascii="Times New Roman" w:eastAsia="Times New Roman" w:hAnsi="Times New Roman" w:cs="Times New Roman"/>
          <w:iCs/>
          <w:lang w:eastAsia="en-GB"/>
        </w:rPr>
        <w:t xml:space="preserve">International Journal </w:t>
      </w:r>
      <w:r w:rsidR="00560D3D">
        <w:rPr>
          <w:rFonts w:ascii="Times New Roman" w:eastAsia="Times New Roman" w:hAnsi="Times New Roman" w:cs="Times New Roman"/>
          <w:iCs/>
          <w:lang w:eastAsia="en-GB"/>
        </w:rPr>
        <w:t>o</w:t>
      </w:r>
      <w:r w:rsidRPr="008C11BE">
        <w:rPr>
          <w:rFonts w:ascii="Times New Roman" w:eastAsia="Times New Roman" w:hAnsi="Times New Roman" w:cs="Times New Roman"/>
          <w:iCs/>
          <w:lang w:eastAsia="en-GB"/>
        </w:rPr>
        <w:t>f Public Health</w:t>
      </w:r>
      <w:r w:rsidRPr="008C11BE">
        <w:rPr>
          <w:rFonts w:ascii="Times New Roman" w:eastAsia="Times New Roman" w:hAnsi="Times New Roman" w:cs="Times New Roman"/>
          <w:lang w:eastAsia="en-GB"/>
        </w:rPr>
        <w:t xml:space="preserve">, 54(3): 158–165. </w:t>
      </w:r>
    </w:p>
    <w:p w14:paraId="19F105D5" w14:textId="77777777" w:rsidR="00A25B0A" w:rsidRDefault="00A25B0A" w:rsidP="00EB24EE">
      <w:pPr>
        <w:pStyle w:val="References"/>
        <w:spacing w:line="480" w:lineRule="auto"/>
        <w:ind w:left="0" w:firstLine="0"/>
        <w:rPr>
          <w:rFonts w:ascii="Times New Roman" w:hAnsi="Times New Roman"/>
        </w:rPr>
      </w:pPr>
    </w:p>
    <w:p w14:paraId="32AA7050" w14:textId="77777777" w:rsidR="008C11BE" w:rsidRPr="008C11BE" w:rsidRDefault="008C11BE" w:rsidP="00EB24EE">
      <w:pPr>
        <w:pStyle w:val="References"/>
        <w:spacing w:line="480" w:lineRule="auto"/>
        <w:ind w:left="0" w:firstLine="0"/>
        <w:rPr>
          <w:rFonts w:ascii="Times New Roman" w:hAnsi="Times New Roman"/>
        </w:rPr>
      </w:pPr>
      <w:r w:rsidRPr="00EB24EE">
        <w:rPr>
          <w:rFonts w:ascii="Times New Roman" w:hAnsi="Times New Roman"/>
        </w:rPr>
        <w:t xml:space="preserve">Sykes, S., Wills, J., Rowlands, G. and Popple, K. (2013) Understanding critical health literacy; a concept analysis. </w:t>
      </w:r>
      <w:r w:rsidRPr="00EB24EE">
        <w:rPr>
          <w:rFonts w:ascii="Times New Roman" w:hAnsi="Times New Roman"/>
          <w:i/>
        </w:rPr>
        <w:t xml:space="preserve">BMC Public Health. </w:t>
      </w:r>
      <w:r w:rsidRPr="00EB24EE">
        <w:rPr>
          <w:rFonts w:ascii="Times New Roman" w:hAnsi="Times New Roman"/>
        </w:rPr>
        <w:t>13: 150.</w:t>
      </w:r>
    </w:p>
    <w:p w14:paraId="6A682B8E" w14:textId="5DF210B9" w:rsidR="00AA38FC" w:rsidRPr="00A25B0A" w:rsidRDefault="008C11BE" w:rsidP="00EB24EE">
      <w:pPr>
        <w:spacing w:line="480" w:lineRule="auto"/>
        <w:rPr>
          <w:rFonts w:ascii="Times New Roman" w:eastAsia="Times New Roman" w:hAnsi="Times New Roman" w:cs="Times New Roman"/>
          <w:lang w:eastAsia="en-GB"/>
        </w:rPr>
      </w:pPr>
      <w:r w:rsidRPr="00A25B0A">
        <w:rPr>
          <w:rFonts w:ascii="Times New Roman" w:eastAsia="Times New Roman" w:hAnsi="Times New Roman" w:cs="Times New Roman"/>
          <w:lang w:eastAsia="en-GB"/>
        </w:rPr>
        <w:lastRenderedPageBreak/>
        <w:t xml:space="preserve">Sykes, S., Wills, J. and Popple, K. (2017) ‘The role of community development in building critical health literacy’, </w:t>
      </w:r>
      <w:r w:rsidRPr="00A25B0A">
        <w:rPr>
          <w:rFonts w:ascii="Times New Roman" w:eastAsia="Times New Roman" w:hAnsi="Times New Roman" w:cs="Times New Roman"/>
          <w:iCs/>
          <w:lang w:eastAsia="en-GB"/>
        </w:rPr>
        <w:t xml:space="preserve">Community Development </w:t>
      </w:r>
      <w:proofErr w:type="gramStart"/>
      <w:r w:rsidRPr="00A25B0A">
        <w:rPr>
          <w:rFonts w:ascii="Times New Roman" w:eastAsia="Times New Roman" w:hAnsi="Times New Roman" w:cs="Times New Roman"/>
          <w:iCs/>
          <w:lang w:eastAsia="en-GB"/>
        </w:rPr>
        <w:t>Journal</w:t>
      </w:r>
      <w:r w:rsidRPr="00A25B0A">
        <w:rPr>
          <w:rFonts w:ascii="Times New Roman" w:eastAsia="Times New Roman" w:hAnsi="Times New Roman" w:cs="Times New Roman"/>
          <w:lang w:eastAsia="en-GB"/>
        </w:rPr>
        <w:t>,  1</w:t>
      </w:r>
      <w:proofErr w:type="gramEnd"/>
      <w:r w:rsidRPr="00A25B0A">
        <w:rPr>
          <w:rFonts w:ascii="Times New Roman" w:eastAsia="Times New Roman" w:hAnsi="Times New Roman" w:cs="Times New Roman"/>
          <w:lang w:eastAsia="en-GB"/>
        </w:rPr>
        <w:t>–17. DOI:10.1093/</w:t>
      </w:r>
      <w:proofErr w:type="spellStart"/>
      <w:r w:rsidRPr="00A25B0A">
        <w:rPr>
          <w:rFonts w:ascii="Times New Roman" w:eastAsia="Times New Roman" w:hAnsi="Times New Roman" w:cs="Times New Roman"/>
          <w:lang w:eastAsia="en-GB"/>
        </w:rPr>
        <w:t>cdj</w:t>
      </w:r>
      <w:proofErr w:type="spellEnd"/>
      <w:r w:rsidRPr="00A25B0A">
        <w:rPr>
          <w:rFonts w:ascii="Times New Roman" w:eastAsia="Times New Roman" w:hAnsi="Times New Roman" w:cs="Times New Roman"/>
          <w:lang w:eastAsia="en-GB"/>
        </w:rPr>
        <w:t>/bsx019.</w:t>
      </w:r>
    </w:p>
    <w:p w14:paraId="4E798309" w14:textId="77777777" w:rsidR="00A25B0A" w:rsidRPr="001645B4" w:rsidRDefault="00A25B0A" w:rsidP="00EB24EE">
      <w:pPr>
        <w:spacing w:line="480" w:lineRule="auto"/>
      </w:pPr>
    </w:p>
    <w:p w14:paraId="6314A2B8" w14:textId="69C49B06" w:rsidR="008C11BE" w:rsidRPr="00A25B0A" w:rsidRDefault="00A25B0A" w:rsidP="00EB24EE">
      <w:pPr>
        <w:pStyle w:val="References"/>
        <w:spacing w:line="480" w:lineRule="auto"/>
        <w:ind w:left="0" w:firstLine="0"/>
        <w:rPr>
          <w:rFonts w:ascii="Times New Roman" w:hAnsi="Times New Roman"/>
        </w:rPr>
      </w:pPr>
      <w:r>
        <w:rPr>
          <w:rFonts w:ascii="Times New Roman" w:hAnsi="Times New Roman"/>
        </w:rPr>
        <w:t>Sykes, S</w:t>
      </w:r>
      <w:r w:rsidR="00E45780">
        <w:rPr>
          <w:rFonts w:ascii="Times New Roman" w:hAnsi="Times New Roman"/>
        </w:rPr>
        <w:t>.</w:t>
      </w:r>
      <w:r>
        <w:rPr>
          <w:rFonts w:ascii="Times New Roman" w:hAnsi="Times New Roman"/>
        </w:rPr>
        <w:t xml:space="preserve"> and Wills, J. (2017 in press) </w:t>
      </w:r>
      <w:r w:rsidR="00A35B6A">
        <w:rPr>
          <w:rFonts w:ascii="Times New Roman" w:hAnsi="Times New Roman"/>
        </w:rPr>
        <w:t>‘</w:t>
      </w:r>
      <w:r>
        <w:rPr>
          <w:rFonts w:ascii="Times New Roman" w:hAnsi="Times New Roman"/>
        </w:rPr>
        <w:t>Challenges and opportunities in building critical health literacy</w:t>
      </w:r>
      <w:r w:rsidR="00A35B6A">
        <w:rPr>
          <w:rFonts w:ascii="Times New Roman" w:hAnsi="Times New Roman"/>
        </w:rPr>
        <w:t>’</w:t>
      </w:r>
      <w:r>
        <w:rPr>
          <w:rFonts w:ascii="Times New Roman" w:hAnsi="Times New Roman"/>
        </w:rPr>
        <w:t>.</w:t>
      </w:r>
    </w:p>
    <w:p w14:paraId="29B356DE" w14:textId="77777777" w:rsidR="008C11BE" w:rsidRDefault="008C11BE" w:rsidP="00EB24EE">
      <w:pPr>
        <w:spacing w:line="480" w:lineRule="auto"/>
        <w:rPr>
          <w:rFonts w:ascii="Times New Roman" w:eastAsia="Times New Roman" w:hAnsi="Times New Roman" w:cs="Times New Roman"/>
          <w:lang w:eastAsia="en-GB"/>
        </w:rPr>
      </w:pPr>
      <w:r w:rsidRPr="001645B4">
        <w:rPr>
          <w:rFonts w:ascii="Times New Roman" w:eastAsia="Times New Roman" w:hAnsi="Times New Roman" w:cs="Times New Roman"/>
          <w:lang w:eastAsia="en-GB"/>
        </w:rPr>
        <w:t xml:space="preserve">Taggart, J., Williams, A., Dennis, S., Newall, A., </w:t>
      </w:r>
      <w:proofErr w:type="spellStart"/>
      <w:r w:rsidRPr="001645B4">
        <w:rPr>
          <w:rFonts w:ascii="Times New Roman" w:eastAsia="Times New Roman" w:hAnsi="Times New Roman" w:cs="Times New Roman"/>
          <w:lang w:eastAsia="en-GB"/>
        </w:rPr>
        <w:t>Shortus</w:t>
      </w:r>
      <w:proofErr w:type="spellEnd"/>
      <w:r w:rsidRPr="001645B4">
        <w:rPr>
          <w:rFonts w:ascii="Times New Roman" w:eastAsia="Times New Roman" w:hAnsi="Times New Roman" w:cs="Times New Roman"/>
          <w:lang w:eastAsia="en-GB"/>
        </w:rPr>
        <w:t xml:space="preserve">, T., </w:t>
      </w:r>
      <w:proofErr w:type="spellStart"/>
      <w:r w:rsidRPr="001645B4">
        <w:rPr>
          <w:rFonts w:ascii="Times New Roman" w:eastAsia="Times New Roman" w:hAnsi="Times New Roman" w:cs="Times New Roman"/>
          <w:lang w:eastAsia="en-GB"/>
        </w:rPr>
        <w:t>Zwar</w:t>
      </w:r>
      <w:proofErr w:type="spellEnd"/>
      <w:r w:rsidRPr="001645B4">
        <w:rPr>
          <w:rFonts w:ascii="Times New Roman" w:eastAsia="Times New Roman" w:hAnsi="Times New Roman" w:cs="Times New Roman"/>
          <w:lang w:eastAsia="en-GB"/>
        </w:rPr>
        <w:t xml:space="preserve">, N., </w:t>
      </w:r>
      <w:r w:rsidRPr="007425F8">
        <w:rPr>
          <w:rFonts w:ascii="Times New Roman" w:eastAsia="Times New Roman" w:hAnsi="Times New Roman" w:cs="Times New Roman"/>
          <w:i/>
          <w:iCs/>
          <w:lang w:eastAsia="en-GB"/>
        </w:rPr>
        <w:t>et al.</w:t>
      </w:r>
      <w:r w:rsidRPr="008C11BE">
        <w:rPr>
          <w:rFonts w:ascii="Times New Roman" w:eastAsia="Times New Roman" w:hAnsi="Times New Roman" w:cs="Times New Roman"/>
          <w:lang w:eastAsia="en-GB"/>
        </w:rPr>
        <w:t xml:space="preserve"> (2012) ‘A systematic review of interventions in primary care to improve health literacy for chronic disease </w:t>
      </w:r>
      <w:proofErr w:type="spellStart"/>
      <w:r w:rsidRPr="008C11BE">
        <w:rPr>
          <w:rFonts w:ascii="Times New Roman" w:eastAsia="Times New Roman" w:hAnsi="Times New Roman" w:cs="Times New Roman"/>
          <w:lang w:eastAsia="en-GB"/>
        </w:rPr>
        <w:t>behavioral</w:t>
      </w:r>
      <w:proofErr w:type="spellEnd"/>
      <w:r w:rsidRPr="008C11BE">
        <w:rPr>
          <w:rFonts w:ascii="Times New Roman" w:eastAsia="Times New Roman" w:hAnsi="Times New Roman" w:cs="Times New Roman"/>
          <w:lang w:eastAsia="en-GB"/>
        </w:rPr>
        <w:t xml:space="preserve"> risk factors’, </w:t>
      </w:r>
      <w:r w:rsidRPr="008C11BE">
        <w:rPr>
          <w:rFonts w:ascii="Times New Roman" w:eastAsia="Times New Roman" w:hAnsi="Times New Roman" w:cs="Times New Roman"/>
          <w:iCs/>
          <w:lang w:eastAsia="en-GB"/>
        </w:rPr>
        <w:t>BMC Family Practice</w:t>
      </w:r>
      <w:r w:rsidRPr="008C11BE">
        <w:rPr>
          <w:rFonts w:ascii="Times New Roman" w:eastAsia="Times New Roman" w:hAnsi="Times New Roman" w:cs="Times New Roman"/>
          <w:lang w:eastAsia="en-GB"/>
        </w:rPr>
        <w:t xml:space="preserve">, 13(1): 49. </w:t>
      </w:r>
    </w:p>
    <w:p w14:paraId="4305C857" w14:textId="77777777" w:rsidR="00DF54C9" w:rsidRDefault="00DF54C9" w:rsidP="001B0738">
      <w:pPr>
        <w:pStyle w:val="CommentText"/>
        <w:spacing w:line="480" w:lineRule="auto"/>
        <w:rPr>
          <w:rFonts w:ascii="Times New Roman" w:hAnsi="Times New Roman" w:cs="Times New Roman"/>
        </w:rPr>
      </w:pPr>
    </w:p>
    <w:p w14:paraId="5F891E78" w14:textId="47534117" w:rsidR="00DF54C9" w:rsidRDefault="00DF54C9" w:rsidP="001B0738">
      <w:pPr>
        <w:pStyle w:val="CommentText"/>
        <w:spacing w:line="480" w:lineRule="auto"/>
        <w:rPr>
          <w:rFonts w:ascii="Times New Roman" w:hAnsi="Times New Roman" w:cs="Times New Roman"/>
        </w:rPr>
      </w:pPr>
      <w:r w:rsidRPr="00DF54C9">
        <w:rPr>
          <w:rFonts w:ascii="Times New Roman" w:hAnsi="Times New Roman" w:cs="Times New Roman"/>
        </w:rPr>
        <w:t>WHO</w:t>
      </w:r>
      <w:r>
        <w:rPr>
          <w:rFonts w:ascii="Times New Roman" w:hAnsi="Times New Roman" w:cs="Times New Roman"/>
        </w:rPr>
        <w:t>,</w:t>
      </w:r>
      <w:r w:rsidRPr="00DF54C9">
        <w:rPr>
          <w:rFonts w:ascii="Times New Roman" w:hAnsi="Times New Roman" w:cs="Times New Roman"/>
        </w:rPr>
        <w:t xml:space="preserve"> (2013) </w:t>
      </w:r>
      <w:r>
        <w:rPr>
          <w:rFonts w:ascii="Times New Roman" w:hAnsi="Times New Roman" w:cs="Times New Roman"/>
        </w:rPr>
        <w:t>‘</w:t>
      </w:r>
      <w:r w:rsidRPr="00DF54C9">
        <w:rPr>
          <w:rFonts w:ascii="Times New Roman" w:hAnsi="Times New Roman" w:cs="Times New Roman"/>
        </w:rPr>
        <w:t>The Solid Facts, Health Literacy</w:t>
      </w:r>
      <w:r>
        <w:rPr>
          <w:rFonts w:ascii="Times New Roman" w:hAnsi="Times New Roman" w:cs="Times New Roman"/>
        </w:rPr>
        <w:t>’</w:t>
      </w:r>
      <w:r w:rsidRPr="00DF54C9">
        <w:rPr>
          <w:rFonts w:ascii="Times New Roman" w:hAnsi="Times New Roman" w:cs="Times New Roman"/>
        </w:rPr>
        <w:t>. Copenhagen. WHO</w:t>
      </w:r>
    </w:p>
    <w:p w14:paraId="0514B027" w14:textId="77777777" w:rsidR="00BD080F" w:rsidRDefault="00BD080F" w:rsidP="00BD080F">
      <w:pPr>
        <w:rPr>
          <w:rFonts w:ascii="Calibri" w:hAnsi="Calibri" w:cs="Times New Roman"/>
          <w:color w:val="000000"/>
          <w:sz w:val="17"/>
          <w:szCs w:val="17"/>
          <w:lang w:eastAsia="en-GB"/>
        </w:rPr>
      </w:pPr>
    </w:p>
    <w:p w14:paraId="14225B49" w14:textId="0C8F639B" w:rsidR="00BD080F" w:rsidRPr="00BD080F" w:rsidRDefault="00BD080F" w:rsidP="001B0738">
      <w:pPr>
        <w:spacing w:line="480" w:lineRule="auto"/>
        <w:rPr>
          <w:rFonts w:ascii="Calibri" w:hAnsi="Calibri" w:cs="Times New Roman"/>
          <w:color w:val="000000"/>
          <w:sz w:val="17"/>
          <w:szCs w:val="17"/>
          <w:lang w:eastAsia="en-GB"/>
        </w:rPr>
      </w:pPr>
      <w:r>
        <w:rPr>
          <w:rFonts w:ascii="Times New Roman" w:hAnsi="Times New Roman" w:cs="Times New Roman"/>
          <w:color w:val="000000"/>
          <w:lang w:eastAsia="en-GB"/>
        </w:rPr>
        <w:t>WHO, (2016) ‘</w:t>
      </w:r>
      <w:r w:rsidRPr="001B0738">
        <w:rPr>
          <w:rFonts w:ascii="Times New Roman" w:hAnsi="Times New Roman" w:cs="Times New Roman"/>
          <w:color w:val="000000"/>
          <w:lang w:eastAsia="en-GB"/>
        </w:rPr>
        <w:t xml:space="preserve">Shanghai Declaration on Promoting Health in the 2030 Agenda for Sustainable Development’ </w:t>
      </w:r>
    </w:p>
    <w:p w14:paraId="569D0415" w14:textId="77777777" w:rsidR="00BD080F" w:rsidRPr="001B0738" w:rsidRDefault="00BD080F" w:rsidP="001B0738">
      <w:pPr>
        <w:pStyle w:val="CommentText"/>
        <w:spacing w:line="480" w:lineRule="auto"/>
        <w:rPr>
          <w:rFonts w:ascii="Times New Roman" w:hAnsi="Times New Roman" w:cs="Times New Roman"/>
        </w:rPr>
      </w:pPr>
    </w:p>
    <w:p w14:paraId="09C81823" w14:textId="315D07F7" w:rsidR="00E45780" w:rsidRPr="00902905" w:rsidRDefault="00E45780" w:rsidP="001B0738">
      <w:pPr>
        <w:shd w:val="clear" w:color="auto" w:fill="FFFFFF"/>
        <w:spacing w:line="480" w:lineRule="auto"/>
        <w:rPr>
          <w:rFonts w:ascii="Times New Roman" w:eastAsia="Times New Roman" w:hAnsi="Times New Roman" w:cs="Times New Roman"/>
          <w:color w:val="000000"/>
          <w:lang w:eastAsia="en-GB"/>
        </w:rPr>
      </w:pPr>
      <w:r w:rsidRPr="00902905">
        <w:rPr>
          <w:rFonts w:ascii="Times New Roman" w:eastAsia="Times New Roman" w:hAnsi="Times New Roman" w:cs="Times New Roman"/>
          <w:color w:val="000000"/>
          <w:lang w:eastAsia="en-GB"/>
        </w:rPr>
        <w:t>Wister</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xml:space="preserve"> AV</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Malloy-Weir LJ</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xml:space="preserve">, </w:t>
      </w:r>
      <w:proofErr w:type="spellStart"/>
      <w:r w:rsidRPr="00902905">
        <w:rPr>
          <w:rFonts w:ascii="Times New Roman" w:eastAsia="Times New Roman" w:hAnsi="Times New Roman" w:cs="Times New Roman"/>
          <w:color w:val="000000"/>
          <w:lang w:eastAsia="en-GB"/>
        </w:rPr>
        <w:t>Rootman</w:t>
      </w:r>
      <w:proofErr w:type="spellEnd"/>
      <w:r w:rsidRPr="00902905">
        <w:rPr>
          <w:rFonts w:ascii="Times New Roman" w:eastAsia="Times New Roman" w:hAnsi="Times New Roman" w:cs="Times New Roman"/>
          <w:color w:val="000000"/>
          <w:lang w:eastAsia="en-GB"/>
        </w:rPr>
        <w:t xml:space="preserve"> I</w:t>
      </w:r>
      <w:r>
        <w:rPr>
          <w:rFonts w:ascii="Times New Roman" w:eastAsia="Times New Roman" w:hAnsi="Times New Roman" w:cs="Times New Roman"/>
          <w:color w:val="000000"/>
          <w:lang w:eastAsia="en-GB"/>
        </w:rPr>
        <w:t>.</w:t>
      </w:r>
      <w:r w:rsidRPr="00902905">
        <w:rPr>
          <w:rFonts w:ascii="Times New Roman" w:eastAsia="Times New Roman" w:hAnsi="Times New Roman" w:cs="Times New Roman"/>
          <w:color w:val="000000"/>
          <w:lang w:eastAsia="en-GB"/>
        </w:rPr>
        <w:t>, Desjardins R.</w:t>
      </w:r>
      <w:r>
        <w:rPr>
          <w:rFonts w:ascii="Times New Roman" w:eastAsia="Times New Roman" w:hAnsi="Times New Roman" w:cs="Times New Roman"/>
          <w:color w:val="000000"/>
          <w:lang w:eastAsia="en-GB"/>
        </w:rPr>
        <w:t xml:space="preserve"> </w:t>
      </w:r>
      <w:r w:rsidRPr="00902905">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(2010) ‘</w:t>
      </w:r>
      <w:r w:rsidRPr="00902905">
        <w:rPr>
          <w:rFonts w:ascii="Times New Roman" w:eastAsia="Times New Roman" w:hAnsi="Times New Roman" w:cs="Times New Roman"/>
          <w:color w:val="000000"/>
          <w:lang w:eastAsia="en-GB"/>
        </w:rPr>
        <w:t>Lifelong educational practices and resources in enabling health literacy among older adults</w:t>
      </w:r>
      <w:proofErr w:type="gramStart"/>
      <w:r>
        <w:rPr>
          <w:rFonts w:ascii="Times New Roman" w:eastAsia="Times New Roman" w:hAnsi="Times New Roman" w:cs="Times New Roman"/>
          <w:color w:val="000000"/>
          <w:lang w:eastAsia="en-GB"/>
        </w:rPr>
        <w:t xml:space="preserve">’,  </w:t>
      </w:r>
      <w:r w:rsidRPr="00902905">
        <w:rPr>
          <w:rFonts w:ascii="Times New Roman" w:eastAsia="Times New Roman" w:hAnsi="Times New Roman" w:cs="Times New Roman"/>
          <w:color w:val="000000"/>
          <w:lang w:eastAsia="en-GB"/>
        </w:rPr>
        <w:t>J</w:t>
      </w:r>
      <w:r>
        <w:rPr>
          <w:rFonts w:ascii="Times New Roman" w:eastAsia="Times New Roman" w:hAnsi="Times New Roman" w:cs="Times New Roman"/>
          <w:color w:val="000000"/>
          <w:lang w:eastAsia="en-GB"/>
        </w:rPr>
        <w:t>ournal</w:t>
      </w:r>
      <w:proofErr w:type="gramEnd"/>
      <w:r>
        <w:rPr>
          <w:rFonts w:ascii="Times New Roman" w:eastAsia="Times New Roman" w:hAnsi="Times New Roman" w:cs="Times New Roman"/>
          <w:color w:val="000000"/>
          <w:lang w:eastAsia="en-GB"/>
        </w:rPr>
        <w:t xml:space="preserve"> of Aging Health,</w:t>
      </w:r>
      <w:r w:rsidRPr="00902905">
        <w:rPr>
          <w:rFonts w:ascii="Times New Roman" w:eastAsia="Times New Roman" w:hAnsi="Times New Roman" w:cs="Times New Roman"/>
          <w:color w:val="000000"/>
          <w:lang w:eastAsia="en-GB"/>
        </w:rPr>
        <w:t> 22: 827</w:t>
      </w:r>
      <w:r w:rsidRPr="00902905">
        <w:rPr>
          <w:rFonts w:ascii="Helvetica" w:eastAsia="Helvetica" w:hAnsi="Helvetica" w:cs="Helvetica"/>
          <w:color w:val="000000"/>
          <w:lang w:eastAsia="en-GB"/>
        </w:rPr>
        <w:t>–54</w:t>
      </w:r>
      <w:r>
        <w:rPr>
          <w:rFonts w:ascii="Helvetica" w:eastAsia="Helvetica" w:hAnsi="Helvetica" w:cs="Helvetica"/>
          <w:color w:val="000000"/>
          <w:lang w:eastAsia="en-GB"/>
        </w:rPr>
        <w:t>.</w:t>
      </w:r>
    </w:p>
    <w:p w14:paraId="59075CE1" w14:textId="77777777" w:rsidR="00E45780" w:rsidRDefault="00E45780" w:rsidP="00EB24EE">
      <w:pPr>
        <w:pStyle w:val="References"/>
        <w:spacing w:line="480" w:lineRule="auto"/>
        <w:ind w:left="0" w:firstLine="0"/>
        <w:rPr>
          <w:rFonts w:ascii="Times New Roman" w:hAnsi="Times New Roman"/>
        </w:rPr>
      </w:pPr>
    </w:p>
    <w:p w14:paraId="21C097A9" w14:textId="1C5C4F50" w:rsidR="008C11BE" w:rsidRPr="00A25B0A" w:rsidRDefault="008C11BE" w:rsidP="00EB24EE">
      <w:pPr>
        <w:pStyle w:val="References"/>
        <w:spacing w:line="480" w:lineRule="auto"/>
        <w:ind w:left="0" w:firstLine="0"/>
        <w:rPr>
          <w:rFonts w:ascii="Times New Roman" w:hAnsi="Times New Roman"/>
        </w:rPr>
      </w:pPr>
      <w:r w:rsidRPr="00A25B0A">
        <w:rPr>
          <w:rFonts w:ascii="Times New Roman" w:hAnsi="Times New Roman"/>
        </w:rPr>
        <w:t>Woodall, J., Warwick-Booth, L. and Cross, R. (2012) ‘Has empowerment lost its power?’ Health Education Research, 27(4): 742-745.</w:t>
      </w:r>
    </w:p>
    <w:p w14:paraId="748700D0" w14:textId="1C5B840F" w:rsidR="008C11BE" w:rsidRPr="008C11BE" w:rsidRDefault="008C11BE" w:rsidP="00EB24EE">
      <w:pPr>
        <w:pStyle w:val="References"/>
        <w:spacing w:line="480" w:lineRule="auto"/>
        <w:ind w:left="0" w:firstLine="0"/>
        <w:rPr>
          <w:rFonts w:ascii="Times New Roman" w:hAnsi="Times New Roman"/>
        </w:rPr>
      </w:pPr>
      <w:proofErr w:type="spellStart"/>
      <w:r w:rsidRPr="001645B4">
        <w:rPr>
          <w:rFonts w:ascii="Times New Roman" w:hAnsi="Times New Roman"/>
        </w:rPr>
        <w:t>Zarcadoolas</w:t>
      </w:r>
      <w:proofErr w:type="spellEnd"/>
      <w:r w:rsidRPr="001645B4">
        <w:rPr>
          <w:rFonts w:ascii="Times New Roman" w:hAnsi="Times New Roman"/>
        </w:rPr>
        <w:t xml:space="preserve"> C</w:t>
      </w:r>
      <w:r w:rsidR="00A35B6A">
        <w:rPr>
          <w:rFonts w:ascii="Times New Roman" w:hAnsi="Times New Roman"/>
        </w:rPr>
        <w:t>.</w:t>
      </w:r>
      <w:r w:rsidRPr="001645B4">
        <w:rPr>
          <w:rFonts w:ascii="Times New Roman" w:hAnsi="Times New Roman"/>
        </w:rPr>
        <w:t>, Pleasant</w:t>
      </w:r>
      <w:r w:rsidR="00A35B6A">
        <w:rPr>
          <w:rFonts w:ascii="Times New Roman" w:hAnsi="Times New Roman"/>
        </w:rPr>
        <w:t>,</w:t>
      </w:r>
      <w:r w:rsidRPr="001645B4">
        <w:rPr>
          <w:rFonts w:ascii="Times New Roman" w:hAnsi="Times New Roman"/>
        </w:rPr>
        <w:t xml:space="preserve"> A</w:t>
      </w:r>
      <w:r w:rsidR="00A35B6A">
        <w:rPr>
          <w:rFonts w:ascii="Times New Roman" w:hAnsi="Times New Roman"/>
        </w:rPr>
        <w:t>.</w:t>
      </w:r>
      <w:r w:rsidRPr="001645B4">
        <w:rPr>
          <w:rFonts w:ascii="Times New Roman" w:hAnsi="Times New Roman"/>
        </w:rPr>
        <w:t xml:space="preserve"> and Greer</w:t>
      </w:r>
      <w:r w:rsidR="00A35B6A">
        <w:rPr>
          <w:rFonts w:ascii="Times New Roman" w:hAnsi="Times New Roman"/>
        </w:rPr>
        <w:t>,</w:t>
      </w:r>
      <w:r w:rsidRPr="001645B4">
        <w:rPr>
          <w:rFonts w:ascii="Times New Roman" w:hAnsi="Times New Roman"/>
        </w:rPr>
        <w:t xml:space="preserve"> D</w:t>
      </w:r>
      <w:r w:rsidR="00A35B6A">
        <w:rPr>
          <w:rFonts w:ascii="Times New Roman" w:hAnsi="Times New Roman"/>
        </w:rPr>
        <w:t>.</w:t>
      </w:r>
      <w:r w:rsidRPr="001645B4">
        <w:rPr>
          <w:rFonts w:ascii="Times New Roman" w:hAnsi="Times New Roman"/>
        </w:rPr>
        <w:t xml:space="preserve"> (</w:t>
      </w:r>
      <w:r w:rsidRPr="007425F8">
        <w:rPr>
          <w:rFonts w:ascii="Times New Roman" w:hAnsi="Times New Roman"/>
        </w:rPr>
        <w:t>2005) ‘Elaborating a definition of health literacy: a commentary</w:t>
      </w:r>
      <w:proofErr w:type="gramStart"/>
      <w:r w:rsidRPr="007425F8">
        <w:rPr>
          <w:rFonts w:ascii="Times New Roman" w:hAnsi="Times New Roman"/>
        </w:rPr>
        <w:t xml:space="preserve">’,  </w:t>
      </w:r>
      <w:r w:rsidRPr="008C11BE">
        <w:rPr>
          <w:rFonts w:ascii="Times New Roman" w:hAnsi="Times New Roman"/>
          <w:iCs/>
        </w:rPr>
        <w:t>Journal</w:t>
      </w:r>
      <w:proofErr w:type="gramEnd"/>
      <w:r w:rsidRPr="008C11BE">
        <w:rPr>
          <w:rFonts w:ascii="Times New Roman" w:hAnsi="Times New Roman"/>
          <w:iCs/>
        </w:rPr>
        <w:t xml:space="preserve"> of Health Communication, 8</w:t>
      </w:r>
      <w:r w:rsidRPr="008C11BE">
        <w:rPr>
          <w:rFonts w:ascii="Times New Roman" w:hAnsi="Times New Roman"/>
        </w:rPr>
        <w:t>: 119-121.</w:t>
      </w:r>
    </w:p>
    <w:p w14:paraId="7A372445" w14:textId="77777777" w:rsidR="008C11BE" w:rsidRPr="008C11BE" w:rsidRDefault="008C11BE" w:rsidP="00EB24EE">
      <w:pPr>
        <w:spacing w:line="480" w:lineRule="auto"/>
        <w:rPr>
          <w:rFonts w:ascii="Times New Roman" w:hAnsi="Times New Roman" w:cs="Times New Roman"/>
        </w:rPr>
      </w:pPr>
    </w:p>
    <w:p w14:paraId="75432938" w14:textId="77777777" w:rsidR="008C11BE" w:rsidRPr="00EB24EE" w:rsidRDefault="008C11BE" w:rsidP="008C11BE">
      <w:pPr>
        <w:spacing w:line="480" w:lineRule="auto"/>
        <w:rPr>
          <w:rFonts w:ascii="Times New Roman" w:hAnsi="Times New Roman" w:cs="Times New Roman"/>
          <w:b/>
        </w:rPr>
      </w:pPr>
    </w:p>
    <w:p w14:paraId="6A30EC02" w14:textId="77777777" w:rsidR="00D12944" w:rsidRPr="008C11BE" w:rsidRDefault="00D12944" w:rsidP="00A25B0A">
      <w:pPr>
        <w:spacing w:line="480" w:lineRule="auto"/>
        <w:rPr>
          <w:rFonts w:ascii="Times New Roman" w:hAnsi="Times New Roman" w:cs="Times New Roman"/>
          <w:b/>
        </w:rPr>
      </w:pPr>
    </w:p>
    <w:p w14:paraId="206C6CFE" w14:textId="77777777" w:rsidR="0011263A" w:rsidRPr="008C11BE" w:rsidRDefault="0011263A" w:rsidP="00A25B0A">
      <w:pPr>
        <w:spacing w:line="480" w:lineRule="auto"/>
        <w:rPr>
          <w:rFonts w:ascii="Times New Roman" w:hAnsi="Times New Roman" w:cs="Times New Roman"/>
        </w:rPr>
      </w:pPr>
    </w:p>
    <w:p w14:paraId="204B6D34" w14:textId="77777777" w:rsidR="002D3C61" w:rsidRPr="00A25B0A" w:rsidRDefault="002D3C61" w:rsidP="001645B4">
      <w:pPr>
        <w:spacing w:line="480" w:lineRule="auto"/>
        <w:rPr>
          <w:rFonts w:ascii="Times New Roman" w:hAnsi="Times New Roman" w:cs="Times New Roman"/>
        </w:rPr>
      </w:pPr>
    </w:p>
    <w:p w14:paraId="52EB6F95" w14:textId="2D2483D1" w:rsidR="002D3C61" w:rsidRPr="001645B4" w:rsidRDefault="002D3C61" w:rsidP="007425F8">
      <w:pPr>
        <w:spacing w:line="480" w:lineRule="auto"/>
        <w:rPr>
          <w:rFonts w:ascii="Times New Roman" w:hAnsi="Times New Roman" w:cs="Times New Roman"/>
        </w:rPr>
      </w:pPr>
    </w:p>
    <w:p w14:paraId="57C50512" w14:textId="77777777" w:rsidR="002D3C61" w:rsidRPr="008C11BE" w:rsidRDefault="002D3C61">
      <w:pPr>
        <w:spacing w:line="480" w:lineRule="auto"/>
        <w:rPr>
          <w:rFonts w:ascii="Times New Roman" w:hAnsi="Times New Roman" w:cs="Times New Roman"/>
          <w:b/>
        </w:rPr>
      </w:pPr>
    </w:p>
    <w:p w14:paraId="57F242CB" w14:textId="03F95518" w:rsidR="002D3C61" w:rsidRPr="008C11BE" w:rsidRDefault="002D3C61">
      <w:pPr>
        <w:spacing w:line="480" w:lineRule="auto"/>
        <w:rPr>
          <w:rFonts w:ascii="Times New Roman" w:hAnsi="Times New Roman" w:cs="Times New Roman"/>
          <w:b/>
        </w:rPr>
      </w:pPr>
    </w:p>
    <w:p w14:paraId="0F422A0D" w14:textId="2575E3DB" w:rsidR="002D3C61" w:rsidRPr="008C11BE" w:rsidRDefault="002D3C61">
      <w:pPr>
        <w:spacing w:line="480" w:lineRule="auto"/>
        <w:rPr>
          <w:rFonts w:ascii="Times New Roman" w:hAnsi="Times New Roman" w:cs="Times New Roman"/>
          <w:b/>
        </w:rPr>
      </w:pPr>
    </w:p>
    <w:p w14:paraId="53B1A194" w14:textId="77777777" w:rsidR="002D3C61" w:rsidRPr="008C11BE" w:rsidRDefault="002D3C61">
      <w:pPr>
        <w:spacing w:line="480" w:lineRule="auto"/>
        <w:rPr>
          <w:rFonts w:ascii="Times New Roman" w:hAnsi="Times New Roman" w:cs="Times New Roman"/>
        </w:rPr>
      </w:pPr>
    </w:p>
    <w:p w14:paraId="4F6FBB25" w14:textId="77777777" w:rsidR="00A05AFF" w:rsidRPr="008C11BE" w:rsidRDefault="00A05AFF">
      <w:pPr>
        <w:spacing w:line="480" w:lineRule="auto"/>
        <w:rPr>
          <w:rFonts w:ascii="Times New Roman" w:hAnsi="Times New Roman" w:cs="Times New Roman"/>
        </w:rPr>
      </w:pPr>
    </w:p>
    <w:p w14:paraId="30155EA6" w14:textId="77777777" w:rsidR="001D0EAE" w:rsidRPr="008C11BE" w:rsidRDefault="001D0EAE">
      <w:pPr>
        <w:spacing w:line="480" w:lineRule="auto"/>
        <w:rPr>
          <w:rFonts w:ascii="Times New Roman" w:hAnsi="Times New Roman" w:cs="Times New Roman"/>
        </w:rPr>
      </w:pPr>
    </w:p>
    <w:p w14:paraId="3EDCD5A7" w14:textId="77777777" w:rsidR="001D0EAE" w:rsidRPr="008C11BE" w:rsidRDefault="001D0EAE">
      <w:pPr>
        <w:spacing w:line="480" w:lineRule="auto"/>
        <w:rPr>
          <w:rFonts w:ascii="Times New Roman" w:hAnsi="Times New Roman" w:cs="Times New Roman"/>
        </w:rPr>
      </w:pPr>
    </w:p>
    <w:p w14:paraId="6AAC0C5B" w14:textId="77777777" w:rsidR="00D27A73" w:rsidRPr="008C11BE" w:rsidRDefault="00D27A73">
      <w:pPr>
        <w:spacing w:line="480" w:lineRule="auto"/>
        <w:rPr>
          <w:rFonts w:ascii="Times New Roman" w:hAnsi="Times New Roman" w:cs="Times New Roman"/>
        </w:rPr>
      </w:pPr>
    </w:p>
    <w:p w14:paraId="6562E63C" w14:textId="77777777" w:rsidR="007A7C09" w:rsidRPr="008C11BE" w:rsidRDefault="007A7C09">
      <w:pPr>
        <w:spacing w:line="480" w:lineRule="auto"/>
        <w:rPr>
          <w:rFonts w:ascii="Times New Roman" w:hAnsi="Times New Roman" w:cs="Times New Roman"/>
        </w:rPr>
      </w:pPr>
    </w:p>
    <w:p w14:paraId="1E276A35" w14:textId="77777777" w:rsidR="007A7C09" w:rsidRPr="008C11BE" w:rsidRDefault="007A7C09">
      <w:pPr>
        <w:spacing w:line="480" w:lineRule="auto"/>
        <w:rPr>
          <w:rFonts w:ascii="Times New Roman" w:hAnsi="Times New Roman" w:cs="Times New Roman"/>
        </w:rPr>
      </w:pPr>
    </w:p>
    <w:p w14:paraId="692247FF" w14:textId="77777777" w:rsidR="00206309" w:rsidRPr="008C11BE" w:rsidRDefault="00206309">
      <w:pPr>
        <w:spacing w:line="480" w:lineRule="auto"/>
        <w:rPr>
          <w:rFonts w:ascii="Times New Roman" w:hAnsi="Times New Roman" w:cs="Times New Roman"/>
        </w:rPr>
      </w:pPr>
    </w:p>
    <w:p w14:paraId="6330EC2F" w14:textId="77777777" w:rsidR="00206309" w:rsidRPr="008C11BE" w:rsidRDefault="00206309">
      <w:pPr>
        <w:spacing w:line="480" w:lineRule="auto"/>
        <w:rPr>
          <w:rFonts w:ascii="Times New Roman" w:hAnsi="Times New Roman" w:cs="Times New Roman"/>
        </w:rPr>
      </w:pPr>
    </w:p>
    <w:p w14:paraId="66E1AC27" w14:textId="77777777" w:rsidR="00B015A6" w:rsidRPr="008C11BE" w:rsidRDefault="00B015A6">
      <w:pPr>
        <w:spacing w:line="480" w:lineRule="auto"/>
        <w:rPr>
          <w:rFonts w:ascii="Times New Roman" w:hAnsi="Times New Roman" w:cs="Times New Roman"/>
        </w:rPr>
      </w:pPr>
    </w:p>
    <w:p w14:paraId="7A962F47" w14:textId="77777777" w:rsidR="00B015A6" w:rsidRPr="008C11BE" w:rsidRDefault="00B015A6">
      <w:pPr>
        <w:spacing w:line="480" w:lineRule="auto"/>
        <w:rPr>
          <w:rFonts w:ascii="Times New Roman" w:hAnsi="Times New Roman" w:cs="Times New Roman"/>
        </w:rPr>
      </w:pPr>
    </w:p>
    <w:sectPr w:rsidR="00B015A6" w:rsidRPr="008C11BE" w:rsidSect="005A0E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UnicodeMS">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152B"/>
    <w:multiLevelType w:val="hybridMultilevel"/>
    <w:tmpl w:val="AA4469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133BE6"/>
    <w:multiLevelType w:val="hybridMultilevel"/>
    <w:tmpl w:val="AA44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F85621"/>
    <w:multiLevelType w:val="hybridMultilevel"/>
    <w:tmpl w:val="AA44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0129C6"/>
    <w:multiLevelType w:val="hybridMultilevel"/>
    <w:tmpl w:val="92E2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EBC363B"/>
    <w:multiLevelType w:val="hybridMultilevel"/>
    <w:tmpl w:val="4BCC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34"/>
    <w:rsid w:val="000034E3"/>
    <w:rsid w:val="00025EAC"/>
    <w:rsid w:val="00037998"/>
    <w:rsid w:val="00040984"/>
    <w:rsid w:val="00041CEB"/>
    <w:rsid w:val="00073246"/>
    <w:rsid w:val="0008136D"/>
    <w:rsid w:val="00092574"/>
    <w:rsid w:val="000A12D2"/>
    <w:rsid w:val="000A18E3"/>
    <w:rsid w:val="000A4A5E"/>
    <w:rsid w:val="000C681A"/>
    <w:rsid w:val="000D2683"/>
    <w:rsid w:val="000F752C"/>
    <w:rsid w:val="00100E8D"/>
    <w:rsid w:val="0011263A"/>
    <w:rsid w:val="00126A93"/>
    <w:rsid w:val="00155DDB"/>
    <w:rsid w:val="00162B40"/>
    <w:rsid w:val="001645B4"/>
    <w:rsid w:val="00171B41"/>
    <w:rsid w:val="00180EA2"/>
    <w:rsid w:val="001B0738"/>
    <w:rsid w:val="001C73B9"/>
    <w:rsid w:val="001D0EAE"/>
    <w:rsid w:val="001D2214"/>
    <w:rsid w:val="001D292F"/>
    <w:rsid w:val="001D47FE"/>
    <w:rsid w:val="001F27AB"/>
    <w:rsid w:val="00205B8B"/>
    <w:rsid w:val="00206309"/>
    <w:rsid w:val="00207BE3"/>
    <w:rsid w:val="0021596D"/>
    <w:rsid w:val="00235539"/>
    <w:rsid w:val="00245AF5"/>
    <w:rsid w:val="002873DE"/>
    <w:rsid w:val="00294CB7"/>
    <w:rsid w:val="002A11CD"/>
    <w:rsid w:val="002A2AC7"/>
    <w:rsid w:val="002A2CFD"/>
    <w:rsid w:val="002B6588"/>
    <w:rsid w:val="002B71CA"/>
    <w:rsid w:val="002C0176"/>
    <w:rsid w:val="002C4681"/>
    <w:rsid w:val="002D3C61"/>
    <w:rsid w:val="002E77FC"/>
    <w:rsid w:val="002F7969"/>
    <w:rsid w:val="003064C7"/>
    <w:rsid w:val="00307A57"/>
    <w:rsid w:val="00310F34"/>
    <w:rsid w:val="00327AF9"/>
    <w:rsid w:val="00355CF2"/>
    <w:rsid w:val="0036451A"/>
    <w:rsid w:val="00376A58"/>
    <w:rsid w:val="00376C28"/>
    <w:rsid w:val="00383663"/>
    <w:rsid w:val="003851F6"/>
    <w:rsid w:val="00391180"/>
    <w:rsid w:val="003A0573"/>
    <w:rsid w:val="003B3DE0"/>
    <w:rsid w:val="003C7772"/>
    <w:rsid w:val="003D73F4"/>
    <w:rsid w:val="003F68F0"/>
    <w:rsid w:val="003F6EB7"/>
    <w:rsid w:val="00401E14"/>
    <w:rsid w:val="004224E7"/>
    <w:rsid w:val="0045167E"/>
    <w:rsid w:val="00471F14"/>
    <w:rsid w:val="004A1E9A"/>
    <w:rsid w:val="004A485D"/>
    <w:rsid w:val="004B06CC"/>
    <w:rsid w:val="004D3FFD"/>
    <w:rsid w:val="004D7970"/>
    <w:rsid w:val="00500E02"/>
    <w:rsid w:val="0051068F"/>
    <w:rsid w:val="005138EA"/>
    <w:rsid w:val="00514F6F"/>
    <w:rsid w:val="005168B3"/>
    <w:rsid w:val="00517704"/>
    <w:rsid w:val="00522E95"/>
    <w:rsid w:val="0053726C"/>
    <w:rsid w:val="00541CE1"/>
    <w:rsid w:val="0054658D"/>
    <w:rsid w:val="00560D3D"/>
    <w:rsid w:val="00565C7E"/>
    <w:rsid w:val="005728D8"/>
    <w:rsid w:val="005841EA"/>
    <w:rsid w:val="005867F7"/>
    <w:rsid w:val="00593319"/>
    <w:rsid w:val="005A0EC9"/>
    <w:rsid w:val="005A5C9A"/>
    <w:rsid w:val="005A78D4"/>
    <w:rsid w:val="005B1BF6"/>
    <w:rsid w:val="005D6CEF"/>
    <w:rsid w:val="005E2DEA"/>
    <w:rsid w:val="005E68DE"/>
    <w:rsid w:val="005F0FB6"/>
    <w:rsid w:val="005F5DDE"/>
    <w:rsid w:val="00620BBF"/>
    <w:rsid w:val="00630E3C"/>
    <w:rsid w:val="00652443"/>
    <w:rsid w:val="00660A52"/>
    <w:rsid w:val="006637E2"/>
    <w:rsid w:val="00665141"/>
    <w:rsid w:val="00673D03"/>
    <w:rsid w:val="00674BB6"/>
    <w:rsid w:val="0067600A"/>
    <w:rsid w:val="0069209A"/>
    <w:rsid w:val="006959C6"/>
    <w:rsid w:val="006A21E2"/>
    <w:rsid w:val="006A496A"/>
    <w:rsid w:val="006E68D2"/>
    <w:rsid w:val="007143BA"/>
    <w:rsid w:val="007425F8"/>
    <w:rsid w:val="00743D98"/>
    <w:rsid w:val="00750A0F"/>
    <w:rsid w:val="007528C5"/>
    <w:rsid w:val="007543FD"/>
    <w:rsid w:val="00757482"/>
    <w:rsid w:val="0076191B"/>
    <w:rsid w:val="00762977"/>
    <w:rsid w:val="00762D4F"/>
    <w:rsid w:val="00764EC0"/>
    <w:rsid w:val="007818D0"/>
    <w:rsid w:val="007854BC"/>
    <w:rsid w:val="00796BD1"/>
    <w:rsid w:val="007A48D2"/>
    <w:rsid w:val="007A7C09"/>
    <w:rsid w:val="007B3C80"/>
    <w:rsid w:val="007B4BE2"/>
    <w:rsid w:val="007C0E8F"/>
    <w:rsid w:val="007D6FEC"/>
    <w:rsid w:val="007D7F8F"/>
    <w:rsid w:val="007E20E8"/>
    <w:rsid w:val="007E2D60"/>
    <w:rsid w:val="007E3D1F"/>
    <w:rsid w:val="007E702F"/>
    <w:rsid w:val="0080694C"/>
    <w:rsid w:val="00817FAA"/>
    <w:rsid w:val="00823531"/>
    <w:rsid w:val="00823F10"/>
    <w:rsid w:val="00827973"/>
    <w:rsid w:val="00835B31"/>
    <w:rsid w:val="0085412C"/>
    <w:rsid w:val="00857239"/>
    <w:rsid w:val="00857488"/>
    <w:rsid w:val="00880FB9"/>
    <w:rsid w:val="008855A7"/>
    <w:rsid w:val="00894EDF"/>
    <w:rsid w:val="00895FCF"/>
    <w:rsid w:val="008A0272"/>
    <w:rsid w:val="008A7A0F"/>
    <w:rsid w:val="008B17C6"/>
    <w:rsid w:val="008B373B"/>
    <w:rsid w:val="008B7BCB"/>
    <w:rsid w:val="008C0B2F"/>
    <w:rsid w:val="008C11BE"/>
    <w:rsid w:val="008D0FB7"/>
    <w:rsid w:val="00902905"/>
    <w:rsid w:val="00972A4A"/>
    <w:rsid w:val="009979CD"/>
    <w:rsid w:val="009B46E5"/>
    <w:rsid w:val="009C0227"/>
    <w:rsid w:val="009E3ADD"/>
    <w:rsid w:val="009E54C3"/>
    <w:rsid w:val="00A05AFF"/>
    <w:rsid w:val="00A176F1"/>
    <w:rsid w:val="00A212E9"/>
    <w:rsid w:val="00A25B0A"/>
    <w:rsid w:val="00A35B6A"/>
    <w:rsid w:val="00A40F2C"/>
    <w:rsid w:val="00A45F62"/>
    <w:rsid w:val="00A528BC"/>
    <w:rsid w:val="00A63436"/>
    <w:rsid w:val="00A67C12"/>
    <w:rsid w:val="00A83A82"/>
    <w:rsid w:val="00A86C0E"/>
    <w:rsid w:val="00AA135C"/>
    <w:rsid w:val="00AA38FC"/>
    <w:rsid w:val="00AC15F3"/>
    <w:rsid w:val="00AE2547"/>
    <w:rsid w:val="00B015A6"/>
    <w:rsid w:val="00B03092"/>
    <w:rsid w:val="00B164BD"/>
    <w:rsid w:val="00B231A6"/>
    <w:rsid w:val="00B256A1"/>
    <w:rsid w:val="00B26F8D"/>
    <w:rsid w:val="00B370BD"/>
    <w:rsid w:val="00B6340C"/>
    <w:rsid w:val="00B64E69"/>
    <w:rsid w:val="00B75A47"/>
    <w:rsid w:val="00B845E8"/>
    <w:rsid w:val="00BA02B4"/>
    <w:rsid w:val="00BA7631"/>
    <w:rsid w:val="00BB7E63"/>
    <w:rsid w:val="00BC16F2"/>
    <w:rsid w:val="00BC79D9"/>
    <w:rsid w:val="00BD080F"/>
    <w:rsid w:val="00BD1022"/>
    <w:rsid w:val="00BD546D"/>
    <w:rsid w:val="00BE6ED1"/>
    <w:rsid w:val="00BF1A7A"/>
    <w:rsid w:val="00BF2871"/>
    <w:rsid w:val="00C24735"/>
    <w:rsid w:val="00C268DE"/>
    <w:rsid w:val="00C32AFE"/>
    <w:rsid w:val="00C4063E"/>
    <w:rsid w:val="00C610E9"/>
    <w:rsid w:val="00C63FD0"/>
    <w:rsid w:val="00C70BAA"/>
    <w:rsid w:val="00C7365B"/>
    <w:rsid w:val="00C852C2"/>
    <w:rsid w:val="00C9063D"/>
    <w:rsid w:val="00CA090A"/>
    <w:rsid w:val="00CB4F1A"/>
    <w:rsid w:val="00CC7B73"/>
    <w:rsid w:val="00CD3B78"/>
    <w:rsid w:val="00CE6A46"/>
    <w:rsid w:val="00CF1CE4"/>
    <w:rsid w:val="00D0359B"/>
    <w:rsid w:val="00D12944"/>
    <w:rsid w:val="00D22FEA"/>
    <w:rsid w:val="00D27767"/>
    <w:rsid w:val="00D27A73"/>
    <w:rsid w:val="00D30BF0"/>
    <w:rsid w:val="00D3546D"/>
    <w:rsid w:val="00D4124F"/>
    <w:rsid w:val="00D61B2F"/>
    <w:rsid w:val="00D6407D"/>
    <w:rsid w:val="00D64325"/>
    <w:rsid w:val="00D64BBD"/>
    <w:rsid w:val="00D710ED"/>
    <w:rsid w:val="00D8110A"/>
    <w:rsid w:val="00D87618"/>
    <w:rsid w:val="00DB0843"/>
    <w:rsid w:val="00DB4E02"/>
    <w:rsid w:val="00DC1D7F"/>
    <w:rsid w:val="00DC2DDA"/>
    <w:rsid w:val="00DD44CB"/>
    <w:rsid w:val="00DE0625"/>
    <w:rsid w:val="00DF4590"/>
    <w:rsid w:val="00DF50DB"/>
    <w:rsid w:val="00DF54C9"/>
    <w:rsid w:val="00E16FF8"/>
    <w:rsid w:val="00E1701A"/>
    <w:rsid w:val="00E2211E"/>
    <w:rsid w:val="00E37F1D"/>
    <w:rsid w:val="00E45780"/>
    <w:rsid w:val="00E478C0"/>
    <w:rsid w:val="00E66793"/>
    <w:rsid w:val="00E701A7"/>
    <w:rsid w:val="00E77760"/>
    <w:rsid w:val="00E90A21"/>
    <w:rsid w:val="00E9750F"/>
    <w:rsid w:val="00E97CD2"/>
    <w:rsid w:val="00EA0978"/>
    <w:rsid w:val="00EA1593"/>
    <w:rsid w:val="00EA5AA3"/>
    <w:rsid w:val="00EA6178"/>
    <w:rsid w:val="00EB24EE"/>
    <w:rsid w:val="00EB306C"/>
    <w:rsid w:val="00EC261E"/>
    <w:rsid w:val="00EC2A3B"/>
    <w:rsid w:val="00EC31F3"/>
    <w:rsid w:val="00ED6D25"/>
    <w:rsid w:val="00EE65FE"/>
    <w:rsid w:val="00F01DC0"/>
    <w:rsid w:val="00F040D3"/>
    <w:rsid w:val="00F14946"/>
    <w:rsid w:val="00F212AB"/>
    <w:rsid w:val="00F35E87"/>
    <w:rsid w:val="00FA4426"/>
    <w:rsid w:val="00FB457E"/>
    <w:rsid w:val="00FC724D"/>
    <w:rsid w:val="00FD4944"/>
    <w:rsid w:val="00FE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55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7970"/>
    <w:rPr>
      <w:sz w:val="18"/>
      <w:szCs w:val="18"/>
    </w:rPr>
  </w:style>
  <w:style w:type="paragraph" w:styleId="CommentText">
    <w:name w:val="annotation text"/>
    <w:basedOn w:val="Normal"/>
    <w:link w:val="CommentTextChar"/>
    <w:uiPriority w:val="99"/>
    <w:semiHidden/>
    <w:unhideWhenUsed/>
    <w:rsid w:val="004D7970"/>
  </w:style>
  <w:style w:type="character" w:customStyle="1" w:styleId="CommentTextChar">
    <w:name w:val="Comment Text Char"/>
    <w:basedOn w:val="DefaultParagraphFont"/>
    <w:link w:val="CommentText"/>
    <w:uiPriority w:val="99"/>
    <w:semiHidden/>
    <w:rsid w:val="004D7970"/>
  </w:style>
  <w:style w:type="paragraph" w:styleId="CommentSubject">
    <w:name w:val="annotation subject"/>
    <w:basedOn w:val="CommentText"/>
    <w:next w:val="CommentText"/>
    <w:link w:val="CommentSubjectChar"/>
    <w:uiPriority w:val="99"/>
    <w:semiHidden/>
    <w:unhideWhenUsed/>
    <w:rsid w:val="004D7970"/>
    <w:rPr>
      <w:b/>
      <w:bCs/>
      <w:sz w:val="20"/>
      <w:szCs w:val="20"/>
    </w:rPr>
  </w:style>
  <w:style w:type="character" w:customStyle="1" w:styleId="CommentSubjectChar">
    <w:name w:val="Comment Subject Char"/>
    <w:basedOn w:val="CommentTextChar"/>
    <w:link w:val="CommentSubject"/>
    <w:uiPriority w:val="99"/>
    <w:semiHidden/>
    <w:rsid w:val="004D7970"/>
    <w:rPr>
      <w:b/>
      <w:bCs/>
      <w:sz w:val="20"/>
      <w:szCs w:val="20"/>
    </w:rPr>
  </w:style>
  <w:style w:type="paragraph" w:styleId="BalloonText">
    <w:name w:val="Balloon Text"/>
    <w:basedOn w:val="Normal"/>
    <w:link w:val="BalloonTextChar"/>
    <w:uiPriority w:val="99"/>
    <w:semiHidden/>
    <w:unhideWhenUsed/>
    <w:rsid w:val="004D79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970"/>
    <w:rPr>
      <w:rFonts w:ascii="Times New Roman" w:hAnsi="Times New Roman" w:cs="Times New Roman"/>
      <w:sz w:val="18"/>
      <w:szCs w:val="18"/>
    </w:rPr>
  </w:style>
  <w:style w:type="paragraph" w:styleId="ListParagraph">
    <w:name w:val="List Paragraph"/>
    <w:basedOn w:val="Normal"/>
    <w:uiPriority w:val="34"/>
    <w:qFormat/>
    <w:rsid w:val="00092574"/>
    <w:pPr>
      <w:ind w:left="720"/>
      <w:contextualSpacing/>
    </w:pPr>
  </w:style>
  <w:style w:type="table" w:styleId="TableGrid">
    <w:name w:val="Table Grid"/>
    <w:basedOn w:val="TableNormal"/>
    <w:uiPriority w:val="39"/>
    <w:rsid w:val="0011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qFormat/>
    <w:rsid w:val="008C11BE"/>
    <w:pPr>
      <w:spacing w:after="240" w:line="360" w:lineRule="auto"/>
      <w:ind w:left="567" w:hanging="567"/>
    </w:pPr>
    <w:rPr>
      <w:rFonts w:ascii="Arial" w:eastAsiaTheme="minorEastAsia" w:hAnsi="Arial" w:cs="Times New Roman"/>
      <w:lang w:val="en-US"/>
    </w:rPr>
  </w:style>
  <w:style w:type="paragraph" w:styleId="NormalWeb">
    <w:name w:val="Normal (Web)"/>
    <w:basedOn w:val="Normal"/>
    <w:uiPriority w:val="99"/>
    <w:unhideWhenUsed/>
    <w:rsid w:val="008C11BE"/>
    <w:pPr>
      <w:spacing w:before="100" w:beforeAutospacing="1" w:after="100" w:afterAutospacing="1"/>
    </w:pPr>
    <w:rPr>
      <w:rFonts w:ascii="Times New Roman" w:hAnsi="Times New Roman" w:cs="Times New Roman"/>
      <w:lang w:eastAsia="en-GB"/>
    </w:rPr>
  </w:style>
  <w:style w:type="paragraph" w:customStyle="1" w:styleId="p1">
    <w:name w:val="p1"/>
    <w:basedOn w:val="Normal"/>
    <w:rsid w:val="008C11BE"/>
    <w:rPr>
      <w:rFonts w:ascii="Times" w:hAnsi="Times" w:cs="Times New Roman"/>
      <w:color w:val="000000"/>
      <w:sz w:val="15"/>
      <w:szCs w:val="15"/>
      <w:lang w:eastAsia="en-GB"/>
    </w:rPr>
  </w:style>
  <w:style w:type="character" w:customStyle="1" w:styleId="mixed-citation">
    <w:name w:val="mixed-citation"/>
    <w:basedOn w:val="DefaultParagraphFont"/>
    <w:rsid w:val="00902905"/>
  </w:style>
  <w:style w:type="character" w:customStyle="1" w:styleId="ref-title">
    <w:name w:val="ref-title"/>
    <w:basedOn w:val="DefaultParagraphFont"/>
    <w:rsid w:val="00902905"/>
  </w:style>
  <w:style w:type="character" w:customStyle="1" w:styleId="ref-journal">
    <w:name w:val="ref-journal"/>
    <w:basedOn w:val="DefaultParagraphFont"/>
    <w:rsid w:val="00902905"/>
  </w:style>
  <w:style w:type="character" w:customStyle="1" w:styleId="ref-vol">
    <w:name w:val="ref-vol"/>
    <w:basedOn w:val="DefaultParagraphFont"/>
    <w:rsid w:val="00902905"/>
  </w:style>
  <w:style w:type="character" w:customStyle="1" w:styleId="nowrap">
    <w:name w:val="nowrap"/>
    <w:basedOn w:val="DefaultParagraphFont"/>
    <w:rsid w:val="00902905"/>
  </w:style>
  <w:style w:type="character" w:styleId="Hyperlink">
    <w:name w:val="Hyperlink"/>
    <w:basedOn w:val="DefaultParagraphFont"/>
    <w:uiPriority w:val="99"/>
    <w:semiHidden/>
    <w:unhideWhenUsed/>
    <w:rsid w:val="00902905"/>
    <w:rPr>
      <w:color w:val="0000FF"/>
      <w:u w:val="single"/>
    </w:rPr>
  </w:style>
  <w:style w:type="paragraph" w:customStyle="1" w:styleId="p">
    <w:name w:val="p"/>
    <w:basedOn w:val="Normal"/>
    <w:rsid w:val="0021596D"/>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2C0176"/>
  </w:style>
  <w:style w:type="character" w:customStyle="1" w:styleId="s1">
    <w:name w:val="s1"/>
    <w:basedOn w:val="DefaultParagraphFont"/>
    <w:rsid w:val="00DB0843"/>
    <w:rPr>
      <w:rFonts w:ascii="Helvetica" w:hAnsi="Helvetica" w:hint="default"/>
      <w:sz w:val="14"/>
      <w:szCs w:val="14"/>
    </w:rPr>
  </w:style>
  <w:style w:type="character" w:customStyle="1" w:styleId="apple-converted-space">
    <w:name w:val="apple-converted-space"/>
    <w:basedOn w:val="DefaultParagraphFont"/>
    <w:rsid w:val="00DB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2364">
      <w:bodyDiv w:val="1"/>
      <w:marLeft w:val="0"/>
      <w:marRight w:val="0"/>
      <w:marTop w:val="0"/>
      <w:marBottom w:val="0"/>
      <w:divBdr>
        <w:top w:val="none" w:sz="0" w:space="0" w:color="auto"/>
        <w:left w:val="none" w:sz="0" w:space="0" w:color="auto"/>
        <w:bottom w:val="none" w:sz="0" w:space="0" w:color="auto"/>
        <w:right w:val="none" w:sz="0" w:space="0" w:color="auto"/>
      </w:divBdr>
      <w:divsChild>
        <w:div w:id="176427490">
          <w:marLeft w:val="0"/>
          <w:marRight w:val="0"/>
          <w:marTop w:val="166"/>
          <w:marBottom w:val="166"/>
          <w:divBdr>
            <w:top w:val="none" w:sz="0" w:space="0" w:color="auto"/>
            <w:left w:val="none" w:sz="0" w:space="0" w:color="auto"/>
            <w:bottom w:val="none" w:sz="0" w:space="0" w:color="auto"/>
            <w:right w:val="none" w:sz="0" w:space="0" w:color="auto"/>
          </w:divBdr>
        </w:div>
        <w:div w:id="699278692">
          <w:marLeft w:val="0"/>
          <w:marRight w:val="0"/>
          <w:marTop w:val="166"/>
          <w:marBottom w:val="166"/>
          <w:divBdr>
            <w:top w:val="none" w:sz="0" w:space="0" w:color="auto"/>
            <w:left w:val="none" w:sz="0" w:space="0" w:color="auto"/>
            <w:bottom w:val="none" w:sz="0" w:space="0" w:color="auto"/>
            <w:right w:val="none" w:sz="0" w:space="0" w:color="auto"/>
          </w:divBdr>
        </w:div>
      </w:divsChild>
    </w:div>
    <w:div w:id="247273529">
      <w:bodyDiv w:val="1"/>
      <w:marLeft w:val="0"/>
      <w:marRight w:val="0"/>
      <w:marTop w:val="0"/>
      <w:marBottom w:val="0"/>
      <w:divBdr>
        <w:top w:val="none" w:sz="0" w:space="0" w:color="auto"/>
        <w:left w:val="none" w:sz="0" w:space="0" w:color="auto"/>
        <w:bottom w:val="none" w:sz="0" w:space="0" w:color="auto"/>
        <w:right w:val="none" w:sz="0" w:space="0" w:color="auto"/>
      </w:divBdr>
    </w:div>
    <w:div w:id="1274899886">
      <w:bodyDiv w:val="1"/>
      <w:marLeft w:val="0"/>
      <w:marRight w:val="0"/>
      <w:marTop w:val="0"/>
      <w:marBottom w:val="0"/>
      <w:divBdr>
        <w:top w:val="none" w:sz="0" w:space="0" w:color="auto"/>
        <w:left w:val="none" w:sz="0" w:space="0" w:color="auto"/>
        <w:bottom w:val="none" w:sz="0" w:space="0" w:color="auto"/>
        <w:right w:val="none" w:sz="0" w:space="0" w:color="auto"/>
      </w:divBdr>
    </w:div>
    <w:div w:id="1363021948">
      <w:bodyDiv w:val="1"/>
      <w:marLeft w:val="0"/>
      <w:marRight w:val="0"/>
      <w:marTop w:val="0"/>
      <w:marBottom w:val="0"/>
      <w:divBdr>
        <w:top w:val="none" w:sz="0" w:space="0" w:color="auto"/>
        <w:left w:val="none" w:sz="0" w:space="0" w:color="auto"/>
        <w:bottom w:val="none" w:sz="0" w:space="0" w:color="auto"/>
        <w:right w:val="none" w:sz="0" w:space="0" w:color="auto"/>
      </w:divBdr>
    </w:div>
    <w:div w:id="1426540131">
      <w:bodyDiv w:val="1"/>
      <w:marLeft w:val="0"/>
      <w:marRight w:val="0"/>
      <w:marTop w:val="0"/>
      <w:marBottom w:val="0"/>
      <w:divBdr>
        <w:top w:val="none" w:sz="0" w:space="0" w:color="auto"/>
        <w:left w:val="none" w:sz="0" w:space="0" w:color="auto"/>
        <w:bottom w:val="none" w:sz="0" w:space="0" w:color="auto"/>
        <w:right w:val="none" w:sz="0" w:space="0" w:color="auto"/>
      </w:divBdr>
    </w:div>
    <w:div w:id="1659462311">
      <w:bodyDiv w:val="1"/>
      <w:marLeft w:val="0"/>
      <w:marRight w:val="0"/>
      <w:marTop w:val="0"/>
      <w:marBottom w:val="0"/>
      <w:divBdr>
        <w:top w:val="none" w:sz="0" w:space="0" w:color="auto"/>
        <w:left w:val="none" w:sz="0" w:space="0" w:color="auto"/>
        <w:bottom w:val="none" w:sz="0" w:space="0" w:color="auto"/>
        <w:right w:val="none" w:sz="0" w:space="0" w:color="auto"/>
      </w:divBdr>
    </w:div>
    <w:div w:id="1697389164">
      <w:bodyDiv w:val="1"/>
      <w:marLeft w:val="0"/>
      <w:marRight w:val="0"/>
      <w:marTop w:val="0"/>
      <w:marBottom w:val="0"/>
      <w:divBdr>
        <w:top w:val="none" w:sz="0" w:space="0" w:color="auto"/>
        <w:left w:val="none" w:sz="0" w:space="0" w:color="auto"/>
        <w:bottom w:val="none" w:sz="0" w:space="0" w:color="auto"/>
        <w:right w:val="none" w:sz="0" w:space="0" w:color="auto"/>
      </w:divBdr>
    </w:div>
    <w:div w:id="1911190945">
      <w:bodyDiv w:val="1"/>
      <w:marLeft w:val="0"/>
      <w:marRight w:val="0"/>
      <w:marTop w:val="0"/>
      <w:marBottom w:val="0"/>
      <w:divBdr>
        <w:top w:val="none" w:sz="0" w:space="0" w:color="auto"/>
        <w:left w:val="none" w:sz="0" w:space="0" w:color="auto"/>
        <w:bottom w:val="none" w:sz="0" w:space="0" w:color="auto"/>
        <w:right w:val="none" w:sz="0" w:space="0" w:color="auto"/>
      </w:divBdr>
    </w:div>
    <w:div w:id="2020812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7523</Words>
  <Characters>42885</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sykes</dc:creator>
  <cp:keywords/>
  <dc:description/>
  <cp:lastModifiedBy>susie sykes</cp:lastModifiedBy>
  <cp:revision>3</cp:revision>
  <dcterms:created xsi:type="dcterms:W3CDTF">2018-01-16T09:42:00Z</dcterms:created>
  <dcterms:modified xsi:type="dcterms:W3CDTF">2018-01-16T09:44:00Z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f0841eac-1e89-3dbc-8957-40118d46843c</vt:lpwstr>
  </property>
  <property fmtid="{D5CDD505-2E9C-101B-9397-08002B2CF9AE}" pid="4" name="Mendeley Citation Style_1">
    <vt:lpwstr>http://www.zotero.org/styles/harvard-london-south-bank-university</vt:lpwstr>
  </property>
</Properties>
</file>