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18E" w:rsidRPr="00647573" w:rsidRDefault="0010518E" w:rsidP="00647573">
      <w:pPr>
        <w:spacing w:after="0" w:line="240" w:lineRule="auto"/>
        <w:contextualSpacing/>
        <w:jc w:val="both"/>
        <w:rPr>
          <w:rFonts w:ascii="Times New Roman" w:hAnsi="Times New Roman" w:cs="Times New Roman"/>
          <w:i/>
          <w:sz w:val="24"/>
          <w:szCs w:val="24"/>
        </w:rPr>
      </w:pPr>
      <w:r w:rsidRPr="00647573">
        <w:rPr>
          <w:rFonts w:ascii="Times New Roman" w:hAnsi="Times New Roman" w:cs="Times New Roman"/>
          <w:i/>
          <w:sz w:val="24"/>
          <w:szCs w:val="24"/>
        </w:rPr>
        <w:t>Supplementary Material to</w:t>
      </w:r>
      <w:bookmarkStart w:id="0" w:name="_Hlk11591499"/>
    </w:p>
    <w:p w:rsidR="0010518E" w:rsidRDefault="0010518E" w:rsidP="00647573">
      <w:pPr>
        <w:spacing w:after="0" w:line="240" w:lineRule="auto"/>
        <w:contextualSpacing/>
        <w:jc w:val="both"/>
        <w:rPr>
          <w:rFonts w:ascii="Times New Roman" w:hAnsi="Times New Roman" w:cs="Times New Roman"/>
          <w:b/>
          <w:sz w:val="24"/>
          <w:szCs w:val="24"/>
        </w:rPr>
      </w:pPr>
      <w:r w:rsidRPr="00E31AF4">
        <w:rPr>
          <w:rFonts w:ascii="Times New Roman" w:hAnsi="Times New Roman" w:cs="Times New Roman"/>
          <w:b/>
          <w:sz w:val="24"/>
          <w:szCs w:val="24"/>
        </w:rPr>
        <w:t xml:space="preserve">Older adults demonstrate interlimb transfer of reactive gait adaptations to repeated </w:t>
      </w:r>
      <w:r>
        <w:rPr>
          <w:rFonts w:ascii="Times New Roman" w:hAnsi="Times New Roman" w:cs="Times New Roman"/>
          <w:b/>
          <w:sz w:val="24"/>
          <w:szCs w:val="24"/>
        </w:rPr>
        <w:t>unpredictable</w:t>
      </w:r>
      <w:r w:rsidRPr="00E31AF4">
        <w:rPr>
          <w:rFonts w:ascii="Times New Roman" w:hAnsi="Times New Roman" w:cs="Times New Roman"/>
          <w:b/>
          <w:sz w:val="24"/>
          <w:szCs w:val="24"/>
        </w:rPr>
        <w:t xml:space="preserve"> gait perturbations </w:t>
      </w:r>
    </w:p>
    <w:p w:rsidR="0010518E" w:rsidRDefault="0010518E" w:rsidP="00647573">
      <w:pPr>
        <w:spacing w:after="0" w:line="240" w:lineRule="auto"/>
        <w:contextualSpacing/>
        <w:jc w:val="both"/>
        <w:rPr>
          <w:rFonts w:ascii="Times New Roman" w:hAnsi="Times New Roman" w:cs="Times New Roman"/>
          <w:b/>
          <w:sz w:val="24"/>
          <w:szCs w:val="24"/>
        </w:rPr>
      </w:pPr>
    </w:p>
    <w:p w:rsidR="0010518E" w:rsidRDefault="0010518E" w:rsidP="00647573">
      <w:pPr>
        <w:spacing w:after="0" w:line="240" w:lineRule="auto"/>
        <w:contextualSpacing/>
        <w:jc w:val="both"/>
        <w:rPr>
          <w:rFonts w:ascii="Times New Roman" w:hAnsi="Times New Roman" w:cs="Times New Roman"/>
          <w:b/>
          <w:sz w:val="24"/>
          <w:szCs w:val="24"/>
        </w:rPr>
      </w:pPr>
      <w:proofErr w:type="spellStart"/>
      <w:r>
        <w:rPr>
          <w:rFonts w:ascii="Times New Roman" w:hAnsi="Times New Roman" w:cs="Times New Roman"/>
          <w:b/>
          <w:sz w:val="24"/>
          <w:szCs w:val="24"/>
        </w:rPr>
        <w:t>GeroScience</w:t>
      </w:r>
      <w:proofErr w:type="spellEnd"/>
    </w:p>
    <w:p w:rsidR="0010518E" w:rsidRPr="00E31AF4" w:rsidRDefault="0010518E" w:rsidP="00647573">
      <w:pPr>
        <w:spacing w:after="0" w:line="240" w:lineRule="auto"/>
        <w:contextualSpacing/>
        <w:jc w:val="both"/>
        <w:rPr>
          <w:rFonts w:ascii="Times New Roman" w:hAnsi="Times New Roman" w:cs="Times New Roman"/>
          <w:b/>
          <w:sz w:val="24"/>
          <w:szCs w:val="24"/>
        </w:rPr>
      </w:pPr>
    </w:p>
    <w:bookmarkEnd w:id="0"/>
    <w:p w:rsidR="0010518E" w:rsidRPr="00E31AF4" w:rsidRDefault="0010518E" w:rsidP="00647573">
      <w:pPr>
        <w:spacing w:after="0" w:line="240" w:lineRule="auto"/>
        <w:contextualSpacing/>
        <w:jc w:val="both"/>
        <w:rPr>
          <w:rFonts w:ascii="Times New Roman" w:hAnsi="Times New Roman" w:cs="Times New Roman"/>
          <w:sz w:val="24"/>
          <w:szCs w:val="24"/>
          <w:lang w:val="de-DE"/>
        </w:rPr>
      </w:pPr>
      <w:r w:rsidRPr="00E31AF4">
        <w:rPr>
          <w:rFonts w:ascii="Times New Roman" w:hAnsi="Times New Roman" w:cs="Times New Roman"/>
          <w:sz w:val="24"/>
          <w:szCs w:val="24"/>
          <w:lang w:val="de-DE"/>
        </w:rPr>
        <w:t>Christopher McCrum</w:t>
      </w:r>
      <w:r w:rsidRPr="00E31AF4">
        <w:rPr>
          <w:rFonts w:ascii="Times New Roman" w:hAnsi="Times New Roman" w:cs="Times New Roman"/>
          <w:sz w:val="24"/>
          <w:szCs w:val="24"/>
          <w:vertAlign w:val="superscript"/>
          <w:lang w:val="de-DE"/>
        </w:rPr>
        <w:t>1,2</w:t>
      </w:r>
      <w:r w:rsidRPr="00E31AF4">
        <w:rPr>
          <w:rFonts w:ascii="Times New Roman" w:hAnsi="Times New Roman" w:cs="Times New Roman"/>
          <w:sz w:val="24"/>
          <w:szCs w:val="24"/>
          <w:lang w:val="de-DE"/>
        </w:rPr>
        <w:t>*, Kiros Karamanidis</w:t>
      </w:r>
      <w:r w:rsidRPr="00E31AF4">
        <w:rPr>
          <w:rFonts w:ascii="Times New Roman" w:hAnsi="Times New Roman" w:cs="Times New Roman"/>
          <w:sz w:val="24"/>
          <w:szCs w:val="24"/>
          <w:vertAlign w:val="superscript"/>
          <w:lang w:val="de-DE"/>
        </w:rPr>
        <w:t>3</w:t>
      </w:r>
      <w:r w:rsidRPr="00E31AF4">
        <w:rPr>
          <w:rFonts w:ascii="Times New Roman" w:hAnsi="Times New Roman" w:cs="Times New Roman"/>
          <w:sz w:val="24"/>
          <w:szCs w:val="24"/>
          <w:lang w:val="de-DE"/>
        </w:rPr>
        <w:t>, Lotte Grevendonk</w:t>
      </w:r>
      <w:r w:rsidRPr="00E31AF4">
        <w:rPr>
          <w:rFonts w:ascii="Times New Roman" w:hAnsi="Times New Roman" w:cs="Times New Roman"/>
          <w:sz w:val="24"/>
          <w:szCs w:val="24"/>
          <w:vertAlign w:val="superscript"/>
          <w:lang w:val="de-DE"/>
        </w:rPr>
        <w:t>1</w:t>
      </w:r>
      <w:r w:rsidRPr="00E31AF4">
        <w:rPr>
          <w:rFonts w:ascii="Times New Roman" w:hAnsi="Times New Roman" w:cs="Times New Roman"/>
          <w:sz w:val="24"/>
          <w:szCs w:val="24"/>
          <w:lang w:val="de-DE"/>
        </w:rPr>
        <w:t>, Wiebren Zijlstra</w:t>
      </w:r>
      <w:r w:rsidRPr="00E31AF4">
        <w:rPr>
          <w:rFonts w:ascii="Times New Roman" w:hAnsi="Times New Roman" w:cs="Times New Roman"/>
          <w:sz w:val="24"/>
          <w:szCs w:val="24"/>
          <w:vertAlign w:val="superscript"/>
          <w:lang w:val="de-DE"/>
        </w:rPr>
        <w:t>2</w:t>
      </w:r>
      <w:r w:rsidRPr="00E31AF4">
        <w:rPr>
          <w:rFonts w:ascii="Times New Roman" w:hAnsi="Times New Roman" w:cs="Times New Roman"/>
          <w:sz w:val="24"/>
          <w:szCs w:val="24"/>
          <w:lang w:val="de-DE"/>
        </w:rPr>
        <w:t>, Kenneth Meijer</w:t>
      </w:r>
      <w:bookmarkStart w:id="1" w:name="OLE_LINK3"/>
      <w:r w:rsidRPr="00E31AF4">
        <w:rPr>
          <w:rFonts w:ascii="Times New Roman" w:hAnsi="Times New Roman" w:cs="Times New Roman"/>
          <w:sz w:val="24"/>
          <w:szCs w:val="24"/>
          <w:vertAlign w:val="superscript"/>
          <w:lang w:val="de-DE"/>
        </w:rPr>
        <w:t>1</w:t>
      </w:r>
      <w:bookmarkEnd w:id="1"/>
    </w:p>
    <w:p w:rsidR="0010518E" w:rsidRDefault="0010518E" w:rsidP="00647573">
      <w:pPr>
        <w:spacing w:after="0" w:line="240" w:lineRule="auto"/>
        <w:contextualSpacing/>
        <w:jc w:val="both"/>
        <w:rPr>
          <w:rFonts w:ascii="Times New Roman" w:hAnsi="Times New Roman" w:cs="Times New Roman"/>
          <w:sz w:val="20"/>
          <w:szCs w:val="24"/>
          <w:vertAlign w:val="superscript"/>
        </w:rPr>
      </w:pP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vertAlign w:val="superscript"/>
        </w:rPr>
        <w:t>1</w:t>
      </w:r>
      <w:r w:rsidRPr="00647573">
        <w:rPr>
          <w:rFonts w:ascii="Times New Roman" w:hAnsi="Times New Roman" w:cs="Times New Roman"/>
          <w:sz w:val="20"/>
          <w:szCs w:val="24"/>
        </w:rPr>
        <w:t>Department of Nutrition and Movement Sciences, NUTRIM School of Nutrition and Translational Research in Metabolism, Maastricht University Medical Centre+, Maastricht, The Netherlands</w:t>
      </w: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vertAlign w:val="superscript"/>
        </w:rPr>
        <w:t>2</w:t>
      </w:r>
      <w:r w:rsidRPr="00647573">
        <w:rPr>
          <w:rFonts w:ascii="Times New Roman" w:hAnsi="Times New Roman" w:cs="Times New Roman"/>
          <w:sz w:val="20"/>
          <w:szCs w:val="24"/>
        </w:rPr>
        <w:t>Institute of Movement and Sport Gerontology, German Sport University Cologne, Germany</w:t>
      </w: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vertAlign w:val="superscript"/>
        </w:rPr>
        <w:t>3</w:t>
      </w:r>
      <w:r w:rsidRPr="00647573">
        <w:rPr>
          <w:rFonts w:ascii="Times New Roman" w:hAnsi="Times New Roman" w:cs="Times New Roman"/>
          <w:sz w:val="20"/>
          <w:szCs w:val="24"/>
        </w:rPr>
        <w:t>Sport and Exercise Science Research Centre, School of Applied Sciences, London South Bank University, London, UK</w:t>
      </w:r>
    </w:p>
    <w:p w:rsidR="0010518E" w:rsidRDefault="0010518E" w:rsidP="00647573">
      <w:pPr>
        <w:spacing w:after="0" w:line="240" w:lineRule="auto"/>
        <w:contextualSpacing/>
        <w:jc w:val="both"/>
        <w:rPr>
          <w:rFonts w:ascii="Times New Roman" w:hAnsi="Times New Roman" w:cs="Times New Roman"/>
          <w:sz w:val="24"/>
          <w:szCs w:val="24"/>
        </w:rPr>
      </w:pP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rPr>
        <w:t xml:space="preserve">*Correspondence: </w:t>
      </w: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rPr>
        <w:t xml:space="preserve">Christopher McCrum </w:t>
      </w: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rPr>
        <w:t>Department of Nutrition and Movement Sciences</w:t>
      </w: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rPr>
        <w:t xml:space="preserve">Maastricht University, </w:t>
      </w: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rPr>
        <w:t>PO Box 616, Maastricht, 6200 MD, The Netherlands</w:t>
      </w:r>
    </w:p>
    <w:p w:rsidR="0010518E" w:rsidRPr="00647573" w:rsidRDefault="0010518E" w:rsidP="00647573">
      <w:pPr>
        <w:spacing w:after="0" w:line="240" w:lineRule="auto"/>
        <w:contextualSpacing/>
        <w:jc w:val="both"/>
        <w:rPr>
          <w:rFonts w:ascii="Times New Roman" w:hAnsi="Times New Roman" w:cs="Times New Roman"/>
          <w:sz w:val="20"/>
          <w:szCs w:val="24"/>
        </w:rPr>
      </w:pPr>
      <w:r w:rsidRPr="00647573">
        <w:rPr>
          <w:rFonts w:ascii="Times New Roman" w:hAnsi="Times New Roman" w:cs="Times New Roman"/>
          <w:sz w:val="20"/>
          <w:szCs w:val="24"/>
        </w:rPr>
        <w:t>chris.mccrum@maastrichtuniversity.nl</w:t>
      </w:r>
    </w:p>
    <w:p w:rsidR="0010518E" w:rsidRPr="00647573" w:rsidRDefault="0010518E" w:rsidP="00647573">
      <w:pPr>
        <w:spacing w:after="0" w:line="240" w:lineRule="auto"/>
        <w:jc w:val="both"/>
        <w:rPr>
          <w:rFonts w:ascii="Times New Roman" w:hAnsi="Times New Roman" w:cs="Times New Roman"/>
          <w:sz w:val="20"/>
          <w:szCs w:val="24"/>
        </w:rPr>
      </w:pPr>
      <w:r w:rsidRPr="00647573">
        <w:rPr>
          <w:rFonts w:ascii="Times New Roman" w:hAnsi="Times New Roman" w:cs="Times New Roman"/>
          <w:sz w:val="20"/>
          <w:szCs w:val="24"/>
        </w:rPr>
        <w:t>+31 (0)43 388 1621</w:t>
      </w:r>
    </w:p>
    <w:p w:rsidR="0010518E" w:rsidRDefault="0010518E" w:rsidP="002C3378">
      <w:pPr>
        <w:spacing w:after="0" w:line="240" w:lineRule="auto"/>
        <w:contextualSpacing/>
        <w:jc w:val="both"/>
        <w:rPr>
          <w:rFonts w:ascii="Times New Roman" w:hAnsi="Times New Roman" w:cs="Times New Roman"/>
          <w:b/>
          <w:sz w:val="24"/>
          <w:szCs w:val="24"/>
        </w:rPr>
      </w:pPr>
    </w:p>
    <w:p w:rsidR="0010518E" w:rsidRDefault="0010518E">
      <w:pPr>
        <w:rPr>
          <w:rFonts w:ascii="Times New Roman" w:hAnsi="Times New Roman" w:cs="Times New Roman"/>
          <w:b/>
          <w:sz w:val="24"/>
          <w:szCs w:val="24"/>
        </w:rPr>
      </w:pPr>
      <w:r>
        <w:rPr>
          <w:rFonts w:ascii="Times New Roman" w:hAnsi="Times New Roman" w:cs="Times New Roman"/>
          <w:b/>
          <w:sz w:val="24"/>
          <w:szCs w:val="24"/>
        </w:rPr>
        <w:br w:type="page"/>
      </w:r>
    </w:p>
    <w:p w:rsidR="0010518E" w:rsidRDefault="0010518E" w:rsidP="002C3378">
      <w:pPr>
        <w:spacing w:after="0" w:line="240" w:lineRule="auto"/>
        <w:contextualSpacing/>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eMethods</w:t>
      </w:r>
      <w:proofErr w:type="spellEnd"/>
    </w:p>
    <w:p w:rsidR="0010518E" w:rsidRDefault="0010518E" w:rsidP="008010E6">
      <w:pPr>
        <w:spacing w:after="0" w:line="240" w:lineRule="auto"/>
        <w:jc w:val="both"/>
        <w:rPr>
          <w:rFonts w:ascii="Times New Roman" w:eastAsiaTheme="minorEastAsia" w:hAnsi="Times New Roman" w:cs="Times New Roman"/>
          <w:sz w:val="20"/>
          <w:szCs w:val="20"/>
        </w:rPr>
      </w:pPr>
      <w:bookmarkStart w:id="2" w:name="_Hlk20919976"/>
      <w:r w:rsidRPr="00FD3125">
        <w:rPr>
          <w:rFonts w:ascii="Times New Roman" w:hAnsi="Times New Roman" w:cs="Times New Roman"/>
          <w:sz w:val="20"/>
          <w:szCs w:val="20"/>
        </w:rPr>
        <w:t xml:space="preserve">For this </w:t>
      </w:r>
      <w:r>
        <w:rPr>
          <w:rFonts w:ascii="Times New Roman" w:hAnsi="Times New Roman" w:cs="Times New Roman"/>
          <w:sz w:val="20"/>
          <w:szCs w:val="20"/>
        </w:rPr>
        <w:t>study,</w:t>
      </w:r>
      <w:r w:rsidRPr="00FD3125">
        <w:rPr>
          <w:rFonts w:ascii="Times New Roman" w:hAnsi="Times New Roman" w:cs="Times New Roman"/>
          <w:sz w:val="20"/>
          <w:szCs w:val="20"/>
        </w:rPr>
        <w:t xml:space="preserve"> we use</w:t>
      </w:r>
      <w:r>
        <w:rPr>
          <w:rFonts w:ascii="Times New Roman" w:hAnsi="Times New Roman" w:cs="Times New Roman"/>
          <w:sz w:val="20"/>
          <w:szCs w:val="20"/>
        </w:rPr>
        <w:t>d</w:t>
      </w:r>
      <w:r w:rsidRPr="00FD3125">
        <w:rPr>
          <w:rFonts w:ascii="Times New Roman" w:hAnsi="Times New Roman" w:cs="Times New Roman"/>
          <w:sz w:val="20"/>
          <w:szCs w:val="20"/>
        </w:rPr>
        <w:t xml:space="preserve"> the margins of stability (</w:t>
      </w:r>
      <w:proofErr w:type="spellStart"/>
      <w:r w:rsidRPr="00FD3125">
        <w:rPr>
          <w:rFonts w:ascii="Times New Roman" w:hAnsi="Times New Roman" w:cs="Times New Roman"/>
          <w:sz w:val="20"/>
          <w:szCs w:val="20"/>
        </w:rPr>
        <w:t>MoS</w:t>
      </w:r>
      <w:proofErr w:type="spellEnd"/>
      <w:r w:rsidRPr="00FD3125">
        <w:rPr>
          <w:rFonts w:ascii="Times New Roman" w:hAnsi="Times New Roman" w:cs="Times New Roman"/>
          <w:sz w:val="20"/>
          <w:szCs w:val="20"/>
        </w:rPr>
        <w:t xml:space="preserve">) concept </w:t>
      </w:r>
      <w:r w:rsidRPr="00FD3125">
        <w:rPr>
          <w:rFonts w:ascii="Times New Roman" w:hAnsi="Times New Roman" w:cs="Times New Roman"/>
          <w:noProof/>
          <w:sz w:val="20"/>
          <w:szCs w:val="20"/>
        </w:rPr>
        <w:t>(Hof et al. 2005)</w:t>
      </w:r>
      <w:r w:rsidRPr="00FD3125">
        <w:rPr>
          <w:rFonts w:ascii="Times New Roman" w:hAnsi="Times New Roman" w:cs="Times New Roman"/>
          <w:sz w:val="20"/>
          <w:szCs w:val="20"/>
        </w:rPr>
        <w:t>,</w:t>
      </w:r>
      <w:r w:rsidRPr="00FD3125">
        <w:rPr>
          <w:rFonts w:ascii="Times New Roman" w:eastAsiaTheme="minorEastAsia" w:hAnsi="Times New Roman" w:cs="Times New Roman"/>
          <w:sz w:val="20"/>
          <w:szCs w:val="20"/>
        </w:rPr>
        <w:t xml:space="preserve"> one of </w:t>
      </w:r>
      <w:r>
        <w:rPr>
          <w:rFonts w:ascii="Times New Roman" w:eastAsiaTheme="minorEastAsia" w:hAnsi="Times New Roman" w:cs="Times New Roman"/>
          <w:sz w:val="20"/>
          <w:szCs w:val="20"/>
        </w:rPr>
        <w:t>only a</w:t>
      </w:r>
      <w:r w:rsidRPr="00FD3125">
        <w:rPr>
          <w:rFonts w:ascii="Times New Roman" w:eastAsiaTheme="minorEastAsia" w:hAnsi="Times New Roman" w:cs="Times New Roman"/>
          <w:sz w:val="20"/>
          <w:szCs w:val="20"/>
        </w:rPr>
        <w:t xml:space="preserve"> few </w:t>
      </w:r>
      <w:r>
        <w:rPr>
          <w:rFonts w:ascii="Times New Roman" w:eastAsiaTheme="minorEastAsia" w:hAnsi="Times New Roman" w:cs="Times New Roman"/>
          <w:sz w:val="20"/>
          <w:szCs w:val="20"/>
        </w:rPr>
        <w:t xml:space="preserve">clearly </w:t>
      </w:r>
      <w:r w:rsidRPr="00FD3125">
        <w:rPr>
          <w:rFonts w:ascii="Times New Roman" w:eastAsiaTheme="minorEastAsia" w:hAnsi="Times New Roman" w:cs="Times New Roman"/>
          <w:sz w:val="20"/>
          <w:szCs w:val="20"/>
        </w:rPr>
        <w:t xml:space="preserve">defined and accepted measures of </w:t>
      </w:r>
      <w:r>
        <w:rPr>
          <w:rFonts w:ascii="Times New Roman" w:eastAsiaTheme="minorEastAsia" w:hAnsi="Times New Roman" w:cs="Times New Roman"/>
          <w:sz w:val="20"/>
          <w:szCs w:val="20"/>
        </w:rPr>
        <w:t xml:space="preserve">the </w:t>
      </w:r>
      <w:r w:rsidRPr="00FD3125">
        <w:rPr>
          <w:rFonts w:ascii="Times New Roman" w:eastAsiaTheme="minorEastAsia" w:hAnsi="Times New Roman" w:cs="Times New Roman"/>
          <w:sz w:val="20"/>
          <w:szCs w:val="20"/>
        </w:rPr>
        <w:t xml:space="preserve">mechanical stability of the body configuration during </w:t>
      </w:r>
      <w:r>
        <w:rPr>
          <w:rFonts w:ascii="Times New Roman" w:eastAsiaTheme="minorEastAsia" w:hAnsi="Times New Roman" w:cs="Times New Roman"/>
          <w:sz w:val="20"/>
          <w:szCs w:val="20"/>
        </w:rPr>
        <w:t>gait</w:t>
      </w:r>
      <w:r w:rsidRPr="00FD3125">
        <w:rPr>
          <w:rFonts w:ascii="Times New Roman" w:eastAsiaTheme="minorEastAsia" w:hAnsi="Times New Roman" w:cs="Times New Roman"/>
          <w:sz w:val="20"/>
          <w:szCs w:val="20"/>
        </w:rPr>
        <w:t xml:space="preserve"> </w:t>
      </w:r>
      <w:r w:rsidRPr="00FD3125">
        <w:rPr>
          <w:rFonts w:ascii="Times New Roman" w:eastAsiaTheme="minorEastAsia" w:hAnsi="Times New Roman" w:cs="Times New Roman"/>
          <w:noProof/>
          <w:sz w:val="20"/>
          <w:szCs w:val="20"/>
        </w:rPr>
        <w:t>(Bruijn et al. 2013)</w:t>
      </w:r>
      <w:r w:rsidRPr="00FD3125">
        <w:rPr>
          <w:rFonts w:ascii="Times New Roman" w:eastAsiaTheme="minorEastAsia" w:hAnsi="Times New Roman" w:cs="Times New Roman"/>
          <w:sz w:val="20"/>
          <w:szCs w:val="20"/>
        </w:rPr>
        <w:t>, useful for assessing changes in gait stability due to mechanical perturbations and balance loss.</w:t>
      </w:r>
      <w:r>
        <w:rPr>
          <w:rFonts w:ascii="Times New Roman" w:eastAsiaTheme="minorEastAsia" w:hAnsi="Times New Roman" w:cs="Times New Roman"/>
          <w:sz w:val="20"/>
          <w:szCs w:val="20"/>
        </w:rPr>
        <w:t xml:space="preserve"> </w:t>
      </w:r>
      <w:r w:rsidRPr="00FD3125">
        <w:rPr>
          <w:rFonts w:ascii="Times New Roman" w:eastAsiaTheme="minorEastAsia" w:hAnsi="Times New Roman" w:cs="Times New Roman"/>
          <w:sz w:val="20"/>
          <w:szCs w:val="20"/>
        </w:rPr>
        <w:t xml:space="preserve">The anteroposterior </w:t>
      </w:r>
      <w:r>
        <w:rPr>
          <w:rFonts w:ascii="Times New Roman" w:eastAsiaTheme="minorEastAsia" w:hAnsi="Times New Roman" w:cs="Times New Roman"/>
          <w:sz w:val="20"/>
          <w:szCs w:val="20"/>
        </w:rPr>
        <w:t>MoS</w:t>
      </w:r>
      <w:r w:rsidRPr="00FD3125">
        <w:rPr>
          <w:rFonts w:ascii="Times New Roman" w:eastAsiaTheme="minorEastAsia" w:hAnsi="Times New Roman" w:cs="Times New Roman"/>
          <w:sz w:val="20"/>
          <w:szCs w:val="20"/>
        </w:rPr>
        <w:t xml:space="preserve"> (MoS</w:t>
      </w:r>
      <w:r w:rsidRPr="00FD3125">
        <w:rPr>
          <w:rFonts w:ascii="Times New Roman" w:eastAsiaTheme="minorEastAsia" w:hAnsi="Times New Roman" w:cs="Times New Roman"/>
          <w:sz w:val="20"/>
          <w:szCs w:val="20"/>
          <w:vertAlign w:val="subscript"/>
        </w:rPr>
        <w:t>AP</w:t>
      </w:r>
      <w:r w:rsidRPr="00FD3125">
        <w:rPr>
          <w:rFonts w:ascii="Times New Roman" w:eastAsiaTheme="minorEastAsia" w:hAnsi="Times New Roman" w:cs="Times New Roman"/>
          <w:sz w:val="20"/>
          <w:szCs w:val="20"/>
        </w:rPr>
        <w:t xml:space="preserve">) were calculated at foot touchdown as the difference between the anterior boundary of the base of support (anteroposterior component of the hallux marker projection to the ground) and the extrapolated centre of mass as defined by </w:t>
      </w:r>
      <w:r w:rsidRPr="00FD3125">
        <w:rPr>
          <w:rFonts w:ascii="Times New Roman" w:eastAsiaTheme="minorEastAsia" w:hAnsi="Times New Roman" w:cs="Times New Roman"/>
          <w:noProof/>
          <w:sz w:val="20"/>
          <w:szCs w:val="20"/>
        </w:rPr>
        <w:t>Hof et al. (2005)</w:t>
      </w:r>
      <w:r w:rsidRPr="00FD3125">
        <w:rPr>
          <w:rFonts w:ascii="Times New Roman" w:eastAsiaTheme="minorEastAsia" w:hAnsi="Times New Roman" w:cs="Times New Roman"/>
          <w:sz w:val="20"/>
          <w:szCs w:val="20"/>
        </w:rPr>
        <w:t xml:space="preserve">, adapted for our reduced kinematic model based on </w:t>
      </w:r>
      <w:r w:rsidRPr="00FD3125">
        <w:rPr>
          <w:rFonts w:ascii="Times New Roman" w:eastAsiaTheme="minorEastAsia" w:hAnsi="Times New Roman" w:cs="Times New Roman"/>
          <w:noProof/>
          <w:sz w:val="20"/>
          <w:szCs w:val="20"/>
        </w:rPr>
        <w:t>Süptitz et al. (2013)</w:t>
      </w:r>
      <w:r w:rsidRPr="00FD3125">
        <w:rPr>
          <w:rFonts w:ascii="Times New Roman" w:eastAsiaTheme="minorEastAsia" w:hAnsi="Times New Roman" w:cs="Times New Roman"/>
          <w:sz w:val="20"/>
          <w:szCs w:val="20"/>
        </w:rPr>
        <w:t>, as follows:</w:t>
      </w:r>
    </w:p>
    <w:p w:rsidR="0010518E" w:rsidRPr="00FD3125" w:rsidRDefault="0010518E" w:rsidP="008010E6">
      <w:pPr>
        <w:spacing w:before="120" w:after="120" w:line="480" w:lineRule="auto"/>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m:rPr>
                  <m:sty m:val="p"/>
                </m:rPr>
                <w:rPr>
                  <w:rFonts w:ascii="Cambria Math" w:hAnsi="Cambria Math" w:cs="Times New Roman"/>
                  <w:sz w:val="20"/>
                  <w:szCs w:val="20"/>
                </w:rPr>
                <m:t>CoM</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TroL</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TroR</m:t>
                  </m:r>
                </m:sub>
              </m:sSub>
            </m:num>
            <m:den>
              <m:r>
                <w:rPr>
                  <w:rFonts w:ascii="Cambria Math" w:hAnsi="Cambria Math" w:cs="Times New Roman"/>
                  <w:sz w:val="20"/>
                  <w:szCs w:val="20"/>
                </w:rPr>
                <m:t>2</m:t>
              </m:r>
            </m:den>
          </m:f>
          <m:r>
            <m:rPr>
              <m:sty m:val="p"/>
            </m:rPr>
            <w:rPr>
              <w:rFonts w:ascii="Cambria Math" w:hAnsi="Cambria Math" w:cs="Times New Roman"/>
              <w:sz w:val="20"/>
              <w:szCs w:val="20"/>
            </w:rPr>
            <m:t>-</m:t>
          </m:r>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P</m:t>
              </m:r>
            </m:e>
            <m:sub>
              <m:r>
                <m:rPr>
                  <m:sty m:val="p"/>
                </m:rPr>
                <w:rPr>
                  <w:rFonts w:ascii="Cambria Math" w:eastAsiaTheme="minorEastAsia" w:hAnsi="Cambria Math" w:cs="Times New Roman"/>
                  <w:sz w:val="20"/>
                  <w:szCs w:val="20"/>
                </w:rPr>
                <m:t>HalluxP</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0.5</m:t>
              </m:r>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TroL</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TroR</m:t>
                          </m:r>
                        </m:sub>
                      </m:sSub>
                    </m:num>
                    <m:den>
                      <m:r>
                        <w:rPr>
                          <w:rFonts w:ascii="Cambria Math" w:hAnsi="Cambria Math" w:cs="Times New Roman"/>
                          <w:sz w:val="20"/>
                          <w:szCs w:val="20"/>
                        </w:rPr>
                        <m:t>2</m:t>
                      </m:r>
                    </m:den>
                  </m:f>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C7</m:t>
                      </m:r>
                    </m:sub>
                  </m:sSub>
                </m:e>
              </m:d>
              <m:r>
                <m:rPr>
                  <m:sty m:val="p"/>
                </m:rPr>
                <w:rPr>
                  <w:rFonts w:ascii="Cambria Math" w:hAnsi="Cambria Math" w:cs="Times New Roman"/>
                  <w:sz w:val="20"/>
                  <w:szCs w:val="20"/>
                </w:rPr>
                <m:t>+</m:t>
              </m:r>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Belt</m:t>
                      </m:r>
                    </m:sub>
                  </m:sSub>
                </m:e>
              </m:d>
            </m:num>
            <m:den>
              <m:rad>
                <m:radPr>
                  <m:degHide m:val="1"/>
                  <m:ctrlPr>
                    <w:rPr>
                      <w:rFonts w:ascii="Cambria Math" w:hAnsi="Cambria Math" w:cs="Times New Roman"/>
                      <w:sz w:val="20"/>
                      <w:szCs w:val="20"/>
                    </w:rPr>
                  </m:ctrlPr>
                </m:radPr>
                <m:deg/>
                <m:e>
                  <m:f>
                    <m:fPr>
                      <m:ctrlPr>
                        <w:rPr>
                          <w:rFonts w:ascii="Cambria Math" w:hAnsi="Cambria Math" w:cs="Times New Roman"/>
                          <w:sz w:val="20"/>
                          <w:szCs w:val="20"/>
                        </w:rPr>
                      </m:ctrlPr>
                    </m:fPr>
                    <m:num>
                      <m:r>
                        <m:rPr>
                          <m:sty m:val="p"/>
                        </m:rPr>
                        <w:rPr>
                          <w:rFonts w:ascii="Cambria Math" w:hAnsi="Cambria Math" w:cs="Times New Roman"/>
                          <w:sz w:val="20"/>
                          <w:szCs w:val="20"/>
                        </w:rPr>
                        <m:t>g</m:t>
                      </m:r>
                    </m:num>
                    <m:den>
                      <m:sSub>
                        <m:sSubPr>
                          <m:ctrlPr>
                            <w:rPr>
                              <w:rFonts w:ascii="Cambria Math" w:hAnsi="Cambria Math" w:cs="Times New Roman"/>
                              <w:sz w:val="20"/>
                              <w:szCs w:val="20"/>
                            </w:rPr>
                          </m:ctrlPr>
                        </m:sSubPr>
                        <m:e>
                          <m:r>
                            <m:rPr>
                              <m:sty m:val="p"/>
                            </m:rPr>
                            <w:rPr>
                              <w:rFonts w:ascii="Cambria Math" w:hAnsi="Cambria Math" w:cs="Times New Roman"/>
                              <w:sz w:val="20"/>
                              <w:szCs w:val="20"/>
                            </w:rPr>
                            <m:t>L</m:t>
                          </m:r>
                        </m:e>
                        <m:sub>
                          <m:r>
                            <m:rPr>
                              <m:sty m:val="p"/>
                            </m:rPr>
                            <w:rPr>
                              <w:rFonts w:ascii="Cambria Math" w:hAnsi="Cambria Math" w:cs="Times New Roman"/>
                              <w:sz w:val="20"/>
                              <w:szCs w:val="20"/>
                            </w:rPr>
                            <m:t>Ref</m:t>
                          </m:r>
                        </m:sub>
                      </m:sSub>
                    </m:den>
                  </m:f>
                </m:e>
              </m:rad>
            </m:den>
          </m:f>
        </m:oMath>
      </m:oMathPara>
    </w:p>
    <w:p w:rsidR="0010518E" w:rsidRPr="00FD3125" w:rsidRDefault="0010518E" w:rsidP="008010E6">
      <w:pPr>
        <w:spacing w:after="0" w:line="240" w:lineRule="auto"/>
        <w:jc w:val="both"/>
        <w:rPr>
          <w:rFonts w:ascii="Times New Roman" w:hAnsi="Times New Roman" w:cs="Times New Roman"/>
          <w:b/>
          <w:sz w:val="20"/>
          <w:szCs w:val="20"/>
        </w:rPr>
      </w:pPr>
      <w:r w:rsidRPr="00FD3125">
        <w:rPr>
          <w:rFonts w:ascii="Times New Roman" w:eastAsiaTheme="minorEastAsia" w:hAnsi="Times New Roman" w:cs="Times New Roman"/>
          <w:sz w:val="20"/>
          <w:szCs w:val="20"/>
        </w:rPr>
        <w:t xml:space="preserve">where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TroL</m:t>
            </m:r>
          </m:sub>
        </m:sSub>
      </m:oMath>
      <w:r w:rsidRPr="00FD3125">
        <w:rPr>
          <w:rFonts w:ascii="Times New Roman" w:eastAsiaTheme="minorEastAsia"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TroR</m:t>
            </m:r>
          </m:sub>
        </m:sSub>
      </m:oMath>
      <w:r w:rsidRPr="00FD3125">
        <w:rPr>
          <w:rFonts w:ascii="Times New Roman" w:eastAsiaTheme="minorEastAsia" w:hAnsi="Times New Roman" w:cs="Times New Roman"/>
          <w:sz w:val="20"/>
          <w:szCs w:val="20"/>
        </w:rPr>
        <w:t xml:space="preserve"> and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P</m:t>
            </m:r>
          </m:e>
          <m:sub>
            <m:r>
              <m:rPr>
                <m:sty m:val="p"/>
              </m:rPr>
              <w:rPr>
                <w:rFonts w:ascii="Cambria Math" w:eastAsiaTheme="minorEastAsia" w:hAnsi="Cambria Math" w:cs="Times New Roman"/>
                <w:sz w:val="20"/>
                <w:szCs w:val="20"/>
              </w:rPr>
              <m:t>HalluxP</m:t>
            </m:r>
          </m:sub>
        </m:sSub>
      </m:oMath>
      <w:r w:rsidRPr="00FD3125">
        <w:rPr>
          <w:rFonts w:ascii="Times New Roman" w:eastAsiaTheme="minorEastAsia" w:hAnsi="Times New Roman" w:cs="Times New Roman"/>
          <w:sz w:val="20"/>
          <w:szCs w:val="20"/>
        </w:rPr>
        <w:t xml:space="preserve"> are the trochanter and the posterior hallux marker anteroposterior positions respectively;  </w:t>
      </w:r>
      <m:oMath>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TroL</m:t>
            </m:r>
          </m:sub>
        </m:sSub>
      </m:oMath>
      <w:r w:rsidRPr="00FD3125">
        <w:rPr>
          <w:rFonts w:ascii="Times New Roman" w:eastAsiaTheme="minorEastAsia" w:hAnsi="Times New Roman" w:cs="Times New Roman"/>
          <w:sz w:val="20"/>
          <w:szCs w:val="20"/>
        </w:rPr>
        <w:t xml:space="preserve"> , </w:t>
      </w:r>
      <m:oMath>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TroR</m:t>
            </m:r>
          </m:sub>
        </m:sSub>
      </m:oMath>
      <w:r w:rsidRPr="00FD3125">
        <w:rPr>
          <w:rFonts w:ascii="Times New Roman" w:eastAsiaTheme="minorEastAsia" w:hAnsi="Times New Roman" w:cs="Times New Roman"/>
          <w:sz w:val="20"/>
          <w:szCs w:val="20"/>
        </w:rPr>
        <w:t xml:space="preserve">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C7</m:t>
            </m:r>
          </m:sub>
        </m:sSub>
      </m:oMath>
      <w:r w:rsidRPr="00FD3125">
        <w:rPr>
          <w:rFonts w:ascii="Times New Roman" w:eastAsiaTheme="minorEastAsia" w:hAnsi="Times New Roman" w:cs="Times New Roman"/>
          <w:sz w:val="20"/>
          <w:szCs w:val="20"/>
        </w:rPr>
        <w:t xml:space="preserve"> are the anteroposterior velocities of the trochanter and C7 markers respectively; </w:t>
      </w:r>
      <m:oMath>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Belt</m:t>
            </m:r>
          </m:sub>
        </m:sSub>
      </m:oMath>
      <w:r w:rsidRPr="00FD3125">
        <w:rPr>
          <w:rFonts w:ascii="Times New Roman" w:eastAsiaTheme="minorEastAsia" w:hAnsi="Times New Roman" w:cs="Times New Roman"/>
          <w:sz w:val="20"/>
          <w:szCs w:val="20"/>
        </w:rPr>
        <w:t xml:space="preserve"> is the treadmill belt velocity; </w:t>
      </w:r>
      <m:oMath>
        <m:r>
          <m:rPr>
            <m:sty m:val="p"/>
          </m:rPr>
          <w:rPr>
            <w:rFonts w:ascii="Cambria Math" w:hAnsi="Cambria Math" w:cs="Times New Roman"/>
            <w:sz w:val="20"/>
            <w:szCs w:val="20"/>
          </w:rPr>
          <m:t>g</m:t>
        </m:r>
      </m:oMath>
      <w:r w:rsidRPr="00FD3125">
        <w:rPr>
          <w:rFonts w:ascii="Times New Roman" w:eastAsiaTheme="minorEastAsia" w:hAnsi="Times New Roman" w:cs="Times New Roman"/>
          <w:sz w:val="20"/>
          <w:szCs w:val="20"/>
        </w:rPr>
        <w:t xml:space="preserve"> is gravitational acceleration (9.81m/s</w:t>
      </w:r>
      <w:r w:rsidRPr="00FD3125">
        <w:rPr>
          <w:rFonts w:ascii="Times New Roman" w:eastAsiaTheme="minorEastAsia" w:hAnsi="Times New Roman" w:cs="Times New Roman"/>
          <w:sz w:val="20"/>
          <w:szCs w:val="20"/>
          <w:vertAlign w:val="superscript"/>
        </w:rPr>
        <w:t>2</w:t>
      </w:r>
      <w:r w:rsidRPr="00FD3125">
        <w:rPr>
          <w:rFonts w:ascii="Times New Roman" w:eastAsiaTheme="minorEastAsia" w:hAnsi="Times New Roman" w:cs="Times New Roman"/>
          <w:sz w:val="20"/>
          <w:szCs w:val="20"/>
        </w:rPr>
        <w:t xml:space="preserve">);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L</m:t>
            </m:r>
          </m:e>
          <m:sub>
            <m:r>
              <m:rPr>
                <m:sty m:val="p"/>
              </m:rPr>
              <w:rPr>
                <w:rFonts w:ascii="Cambria Math" w:hAnsi="Cambria Math" w:cs="Times New Roman"/>
                <w:sz w:val="20"/>
                <w:szCs w:val="20"/>
              </w:rPr>
              <m:t>Ref</m:t>
            </m:r>
          </m:sub>
        </m:sSub>
      </m:oMath>
      <w:r w:rsidRPr="00FD3125">
        <w:rPr>
          <w:rFonts w:ascii="Times New Roman" w:eastAsiaTheme="minorEastAsia" w:hAnsi="Times New Roman" w:cs="Times New Roman"/>
          <w:sz w:val="20"/>
          <w:szCs w:val="20"/>
        </w:rPr>
        <w:t xml:space="preserve"> is the reference leg length. This reduced kinematic model was previously shown to be suitable for assessing the MoS and </w:t>
      </w:r>
      <w:proofErr w:type="gramStart"/>
      <w:r w:rsidRPr="00FD3125">
        <w:rPr>
          <w:rFonts w:ascii="Times New Roman" w:eastAsiaTheme="minorEastAsia" w:hAnsi="Times New Roman" w:cs="Times New Roman"/>
          <w:sz w:val="20"/>
          <w:szCs w:val="20"/>
        </w:rPr>
        <w:t>it’s</w:t>
      </w:r>
      <w:proofErr w:type="gramEnd"/>
      <w:r w:rsidRPr="00FD3125">
        <w:rPr>
          <w:rFonts w:ascii="Times New Roman" w:eastAsiaTheme="minorEastAsia" w:hAnsi="Times New Roman" w:cs="Times New Roman"/>
          <w:sz w:val="20"/>
          <w:szCs w:val="20"/>
        </w:rPr>
        <w:t xml:space="preserve"> components during unperturbed and perturbed treadmill walking in young, middle and older-aged healthy adults, with high correlations and no clear differences compared to a full kinematic model </w:t>
      </w:r>
      <w:r w:rsidRPr="00FD3125">
        <w:rPr>
          <w:rFonts w:ascii="Times New Roman" w:eastAsiaTheme="minorEastAsia" w:hAnsi="Times New Roman" w:cs="Times New Roman"/>
          <w:noProof/>
          <w:sz w:val="20"/>
          <w:szCs w:val="20"/>
        </w:rPr>
        <w:t>(Süptitz et al. 2013)</w:t>
      </w:r>
      <w:r w:rsidRPr="00FD3125">
        <w:rPr>
          <w:rFonts w:ascii="Times New Roman" w:eastAsiaTheme="minorEastAsia" w:hAnsi="Times New Roman" w:cs="Times New Roman"/>
          <w:sz w:val="20"/>
          <w:szCs w:val="20"/>
        </w:rPr>
        <w:t>.</w:t>
      </w:r>
    </w:p>
    <w:bookmarkEnd w:id="2"/>
    <w:p w:rsidR="0010518E" w:rsidRDefault="0010518E" w:rsidP="002C3378">
      <w:pPr>
        <w:spacing w:after="0" w:line="240" w:lineRule="auto"/>
        <w:contextualSpacing/>
        <w:jc w:val="both"/>
        <w:rPr>
          <w:rFonts w:ascii="Times New Roman" w:hAnsi="Times New Roman" w:cs="Times New Roman"/>
          <w:b/>
          <w:sz w:val="24"/>
          <w:szCs w:val="24"/>
        </w:rPr>
      </w:pPr>
    </w:p>
    <w:p w:rsidR="0010518E" w:rsidRPr="002C3378" w:rsidRDefault="0010518E" w:rsidP="002C3378">
      <w:pPr>
        <w:spacing w:after="0" w:line="240" w:lineRule="auto"/>
        <w:contextualSpacing/>
        <w:jc w:val="both"/>
        <w:rPr>
          <w:rFonts w:ascii="Times New Roman" w:hAnsi="Times New Roman" w:cs="Times New Roman"/>
          <w:b/>
          <w:sz w:val="24"/>
          <w:szCs w:val="24"/>
        </w:rPr>
      </w:pPr>
      <w:r w:rsidRPr="002C3378">
        <w:rPr>
          <w:rFonts w:ascii="Times New Roman" w:hAnsi="Times New Roman" w:cs="Times New Roman"/>
          <w:b/>
          <w:sz w:val="24"/>
          <w:szCs w:val="24"/>
        </w:rPr>
        <w:t>eResults</w:t>
      </w:r>
    </w:p>
    <w:p w:rsidR="0010518E" w:rsidRPr="002C3378" w:rsidRDefault="0010518E" w:rsidP="002C3378">
      <w:pPr>
        <w:spacing w:after="0" w:line="240" w:lineRule="auto"/>
        <w:contextualSpacing/>
        <w:jc w:val="both"/>
        <w:rPr>
          <w:rFonts w:ascii="Times New Roman" w:eastAsiaTheme="minorEastAsia" w:hAnsi="Times New Roman" w:cs="Times New Roman"/>
          <w:sz w:val="20"/>
          <w:szCs w:val="20"/>
        </w:rPr>
      </w:pPr>
      <w:r w:rsidRPr="002C3378">
        <w:rPr>
          <w:rFonts w:ascii="Times New Roman" w:eastAsiaTheme="minorEastAsia" w:hAnsi="Times New Roman" w:cs="Times New Roman"/>
          <w:sz w:val="20"/>
          <w:szCs w:val="20"/>
        </w:rPr>
        <w:t>Regarding the MoS</w:t>
      </w:r>
      <w:r w:rsidRPr="002C3378">
        <w:rPr>
          <w:rFonts w:ascii="Times New Roman" w:eastAsiaTheme="minorEastAsia" w:hAnsi="Times New Roman" w:cs="Times New Roman"/>
          <w:sz w:val="20"/>
          <w:szCs w:val="20"/>
          <w:vertAlign w:val="subscript"/>
        </w:rPr>
        <w:t>ML</w:t>
      </w:r>
      <w:r w:rsidRPr="002C3378">
        <w:rPr>
          <w:rFonts w:ascii="Times New Roman" w:eastAsiaTheme="minorEastAsia" w:hAnsi="Times New Roman" w:cs="Times New Roman"/>
          <w:sz w:val="20"/>
          <w:szCs w:val="20"/>
        </w:rPr>
        <w:t xml:space="preserve">, the two way repeated measures ANOVAs for </w:t>
      </w:r>
      <w:bookmarkStart w:id="3" w:name="OLE_LINK7"/>
      <w:r w:rsidRPr="002C3378">
        <w:rPr>
          <w:rFonts w:ascii="Times New Roman" w:eastAsiaTheme="minorEastAsia" w:hAnsi="Times New Roman" w:cs="Times New Roman"/>
          <w:sz w:val="20"/>
          <w:szCs w:val="20"/>
        </w:rPr>
        <w:t>Pert1</w:t>
      </w:r>
      <w:r w:rsidRPr="002C3378">
        <w:rPr>
          <w:rFonts w:ascii="Times New Roman" w:eastAsiaTheme="minorEastAsia" w:hAnsi="Times New Roman" w:cs="Times New Roman"/>
          <w:sz w:val="20"/>
          <w:szCs w:val="20"/>
          <w:vertAlign w:val="subscript"/>
        </w:rPr>
        <w:t>R</w:t>
      </w:r>
      <w:bookmarkEnd w:id="3"/>
      <w:r w:rsidRPr="00615BA8">
        <w:rPr>
          <w:rFonts w:ascii="Times New Roman" w:eastAsiaTheme="minorEastAsia" w:hAnsi="Times New Roman" w:cs="Times New Roman"/>
          <w:sz w:val="20"/>
          <w:szCs w:val="20"/>
        </w:rPr>
        <w:t>, Pert2</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xml:space="preserve"> and Pert9</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xml:space="preserve"> revealed a significant age effect for Pert1</w:t>
      </w:r>
      <w:r w:rsidRPr="00615BA8">
        <w:rPr>
          <w:rFonts w:ascii="Times New Roman" w:eastAsiaTheme="minorEastAsia" w:hAnsi="Times New Roman" w:cs="Times New Roman"/>
          <w:sz w:val="20"/>
          <w:szCs w:val="20"/>
          <w:vertAlign w:val="subscript"/>
        </w:rPr>
        <w:t>R</w:t>
      </w:r>
      <w:r w:rsidRPr="00615BA8">
        <w:rPr>
          <w:rFonts w:ascii="Times New Roman" w:eastAsiaTheme="minorEastAsia" w:hAnsi="Times New Roman" w:cs="Times New Roman"/>
          <w:sz w:val="20"/>
          <w:szCs w:val="20"/>
        </w:rPr>
        <w:t xml:space="preserve"> and Pert9</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but not for Pert2</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xml:space="preserve"> (Pert1</w:t>
      </w:r>
      <w:r w:rsidRPr="00615BA8">
        <w:rPr>
          <w:rFonts w:ascii="Times New Roman" w:eastAsiaTheme="minorEastAsia" w:hAnsi="Times New Roman" w:cs="Times New Roman"/>
          <w:sz w:val="20"/>
          <w:szCs w:val="20"/>
          <w:vertAlign w:val="subscript"/>
        </w:rPr>
        <w:t>R</w:t>
      </w:r>
      <w:r w:rsidRPr="00615BA8">
        <w:rPr>
          <w:rFonts w:ascii="Times New Roman" w:eastAsiaTheme="minorEastAsia" w:hAnsi="Times New Roman" w:cs="Times New Roman"/>
          <w:sz w:val="20"/>
          <w:szCs w:val="20"/>
        </w:rPr>
        <w:t>: F</w:t>
      </w:r>
      <w:r w:rsidRPr="00615BA8">
        <w:rPr>
          <w:rFonts w:ascii="Times New Roman" w:eastAsiaTheme="minorEastAsia" w:hAnsi="Times New Roman" w:cs="Times New Roman"/>
          <w:sz w:val="20"/>
          <w:szCs w:val="20"/>
          <w:vertAlign w:val="subscript"/>
        </w:rPr>
        <w:t>(1, 55)</w:t>
      </w:r>
      <w:r w:rsidRPr="00615BA8">
        <w:rPr>
          <w:rFonts w:ascii="Times New Roman" w:eastAsiaTheme="minorEastAsia" w:hAnsi="Times New Roman" w:cs="Times New Roman"/>
          <w:sz w:val="20"/>
          <w:szCs w:val="20"/>
        </w:rPr>
        <w:t>=4.973, P=0.0298, η</w:t>
      </w:r>
      <w:r w:rsidRPr="00615BA8">
        <w:rPr>
          <w:rFonts w:ascii="Times New Roman" w:eastAsiaTheme="minorEastAsia" w:hAnsi="Times New Roman" w:cs="Times New Roman"/>
          <w:sz w:val="20"/>
          <w:szCs w:val="20"/>
          <w:vertAlign w:val="subscript"/>
        </w:rPr>
        <w:t>p</w:t>
      </w:r>
      <w:r w:rsidRPr="00615BA8">
        <w:rPr>
          <w:rFonts w:ascii="Times New Roman" w:eastAsiaTheme="minorEastAsia" w:hAnsi="Times New Roman" w:cs="Times New Roman"/>
          <w:sz w:val="20"/>
          <w:szCs w:val="20"/>
          <w:vertAlign w:val="superscript"/>
        </w:rPr>
        <w:t>2</w:t>
      </w:r>
      <w:r w:rsidRPr="00615BA8">
        <w:rPr>
          <w:rFonts w:ascii="Times New Roman" w:eastAsiaTheme="minorEastAsia" w:hAnsi="Times New Roman" w:cs="Times New Roman"/>
          <w:sz w:val="20"/>
          <w:szCs w:val="20"/>
        </w:rPr>
        <w:t>=0.083; Pert2</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F</w:t>
      </w:r>
      <w:r w:rsidRPr="00615BA8">
        <w:rPr>
          <w:rFonts w:ascii="Times New Roman" w:eastAsiaTheme="minorEastAsia" w:hAnsi="Times New Roman" w:cs="Times New Roman"/>
          <w:sz w:val="20"/>
          <w:szCs w:val="20"/>
          <w:vertAlign w:val="subscript"/>
        </w:rPr>
        <w:t>(1, 56)</w:t>
      </w:r>
      <w:r w:rsidRPr="00615BA8">
        <w:rPr>
          <w:rFonts w:ascii="Times New Roman" w:eastAsiaTheme="minorEastAsia" w:hAnsi="Times New Roman" w:cs="Times New Roman"/>
          <w:sz w:val="20"/>
          <w:szCs w:val="20"/>
        </w:rPr>
        <w:t>=2.031, P=0.1597, η</w:t>
      </w:r>
      <w:r w:rsidRPr="00615BA8">
        <w:rPr>
          <w:rFonts w:ascii="Times New Roman" w:eastAsiaTheme="minorEastAsia" w:hAnsi="Times New Roman" w:cs="Times New Roman"/>
          <w:sz w:val="20"/>
          <w:szCs w:val="20"/>
          <w:vertAlign w:val="subscript"/>
        </w:rPr>
        <w:t>p</w:t>
      </w:r>
      <w:r w:rsidRPr="00615BA8">
        <w:rPr>
          <w:rFonts w:ascii="Times New Roman" w:eastAsiaTheme="minorEastAsia" w:hAnsi="Times New Roman" w:cs="Times New Roman"/>
          <w:sz w:val="20"/>
          <w:szCs w:val="20"/>
          <w:vertAlign w:val="superscript"/>
        </w:rPr>
        <w:t>2</w:t>
      </w:r>
      <w:r w:rsidRPr="00615BA8">
        <w:rPr>
          <w:rFonts w:ascii="Times New Roman" w:eastAsiaTheme="minorEastAsia" w:hAnsi="Times New Roman" w:cs="Times New Roman"/>
          <w:sz w:val="20"/>
          <w:szCs w:val="20"/>
        </w:rPr>
        <w:t>=0.035; Pert9</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F</w:t>
      </w:r>
      <w:r w:rsidRPr="00615BA8">
        <w:rPr>
          <w:rFonts w:ascii="Times New Roman" w:eastAsiaTheme="minorEastAsia" w:hAnsi="Times New Roman" w:cs="Times New Roman"/>
          <w:sz w:val="20"/>
          <w:szCs w:val="20"/>
          <w:vertAlign w:val="subscript"/>
        </w:rPr>
        <w:t>(1, 56)</w:t>
      </w:r>
      <w:r w:rsidRPr="00615BA8">
        <w:rPr>
          <w:rFonts w:ascii="Times New Roman" w:eastAsiaTheme="minorEastAsia" w:hAnsi="Times New Roman" w:cs="Times New Roman"/>
          <w:sz w:val="20"/>
          <w:szCs w:val="20"/>
        </w:rPr>
        <w:t>=4.110, P=0.0474, η</w:t>
      </w:r>
      <w:r w:rsidRPr="00615BA8">
        <w:rPr>
          <w:rFonts w:ascii="Times New Roman" w:eastAsiaTheme="minorEastAsia" w:hAnsi="Times New Roman" w:cs="Times New Roman"/>
          <w:sz w:val="20"/>
          <w:szCs w:val="20"/>
          <w:vertAlign w:val="subscript"/>
        </w:rPr>
        <w:t>p</w:t>
      </w:r>
      <w:r w:rsidRPr="00615BA8">
        <w:rPr>
          <w:rFonts w:ascii="Times New Roman" w:eastAsiaTheme="minorEastAsia" w:hAnsi="Times New Roman" w:cs="Times New Roman"/>
          <w:sz w:val="20"/>
          <w:szCs w:val="20"/>
          <w:vertAlign w:val="superscript"/>
        </w:rPr>
        <w:t>2</w:t>
      </w:r>
      <w:r w:rsidRPr="00615BA8">
        <w:rPr>
          <w:rFonts w:ascii="Times New Roman" w:eastAsiaTheme="minorEastAsia" w:hAnsi="Times New Roman" w:cs="Times New Roman"/>
          <w:sz w:val="20"/>
          <w:szCs w:val="20"/>
        </w:rPr>
        <w:t xml:space="preserve">=0.068; </w:t>
      </w:r>
      <w:proofErr w:type="spellStart"/>
      <w:r w:rsidRPr="00615BA8">
        <w:rPr>
          <w:rFonts w:ascii="Times New Roman" w:eastAsiaTheme="minorEastAsia" w:hAnsi="Times New Roman" w:cs="Times New Roman"/>
          <w:sz w:val="20"/>
          <w:szCs w:val="20"/>
        </w:rPr>
        <w:t>eFig</w:t>
      </w:r>
      <w:proofErr w:type="spellEnd"/>
      <w:r w:rsidRPr="00615BA8">
        <w:rPr>
          <w:rFonts w:ascii="Times New Roman" w:eastAsiaTheme="minorEastAsia" w:hAnsi="Times New Roman" w:cs="Times New Roman"/>
          <w:sz w:val="20"/>
          <w:szCs w:val="20"/>
        </w:rPr>
        <w:t>. 1). Significant Age Group by Step interactions were found for Pert1</w:t>
      </w:r>
      <w:r w:rsidRPr="00615BA8">
        <w:rPr>
          <w:rFonts w:ascii="Times New Roman" w:eastAsiaTheme="minorEastAsia" w:hAnsi="Times New Roman" w:cs="Times New Roman"/>
          <w:sz w:val="20"/>
          <w:szCs w:val="20"/>
          <w:vertAlign w:val="subscript"/>
        </w:rPr>
        <w:t>R</w:t>
      </w:r>
      <w:r w:rsidRPr="00615BA8">
        <w:rPr>
          <w:rFonts w:ascii="Times New Roman" w:eastAsiaTheme="minorEastAsia" w:hAnsi="Times New Roman" w:cs="Times New Roman"/>
          <w:sz w:val="20"/>
          <w:szCs w:val="20"/>
        </w:rPr>
        <w:t>, Pert2</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xml:space="preserve"> and Pert9</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xml:space="preserve"> (Pert1</w:t>
      </w:r>
      <w:r w:rsidRPr="00615BA8">
        <w:rPr>
          <w:rFonts w:ascii="Times New Roman" w:eastAsiaTheme="minorEastAsia" w:hAnsi="Times New Roman" w:cs="Times New Roman"/>
          <w:sz w:val="20"/>
          <w:szCs w:val="20"/>
          <w:vertAlign w:val="subscript"/>
        </w:rPr>
        <w:t>R</w:t>
      </w:r>
      <w:r w:rsidRPr="00615BA8">
        <w:rPr>
          <w:rFonts w:ascii="Times New Roman" w:eastAsiaTheme="minorEastAsia" w:hAnsi="Times New Roman" w:cs="Times New Roman"/>
          <w:sz w:val="20"/>
          <w:szCs w:val="20"/>
        </w:rPr>
        <w:t>: F</w:t>
      </w:r>
      <w:r w:rsidRPr="00615BA8">
        <w:rPr>
          <w:rFonts w:ascii="Times New Roman" w:eastAsiaTheme="minorEastAsia" w:hAnsi="Times New Roman" w:cs="Times New Roman"/>
          <w:sz w:val="20"/>
          <w:szCs w:val="20"/>
          <w:vertAlign w:val="subscript"/>
        </w:rPr>
        <w:t>(9, 495)</w:t>
      </w:r>
      <w:r w:rsidRPr="00615BA8">
        <w:rPr>
          <w:rFonts w:ascii="Times New Roman" w:eastAsiaTheme="minorEastAsia" w:hAnsi="Times New Roman" w:cs="Times New Roman"/>
          <w:sz w:val="20"/>
          <w:szCs w:val="20"/>
        </w:rPr>
        <w:t>=1.965, P=0.0415, η</w:t>
      </w:r>
      <w:r w:rsidRPr="00615BA8">
        <w:rPr>
          <w:rFonts w:ascii="Times New Roman" w:eastAsiaTheme="minorEastAsia" w:hAnsi="Times New Roman" w:cs="Times New Roman"/>
          <w:sz w:val="20"/>
          <w:szCs w:val="20"/>
          <w:vertAlign w:val="subscript"/>
        </w:rPr>
        <w:t>p</w:t>
      </w:r>
      <w:r w:rsidRPr="00615BA8">
        <w:rPr>
          <w:rFonts w:ascii="Times New Roman" w:eastAsiaTheme="minorEastAsia" w:hAnsi="Times New Roman" w:cs="Times New Roman"/>
          <w:sz w:val="20"/>
          <w:szCs w:val="20"/>
          <w:vertAlign w:val="superscript"/>
        </w:rPr>
        <w:t>2</w:t>
      </w:r>
      <w:r w:rsidRPr="00615BA8">
        <w:rPr>
          <w:rFonts w:ascii="Times New Roman" w:eastAsiaTheme="minorEastAsia" w:hAnsi="Times New Roman" w:cs="Times New Roman"/>
          <w:sz w:val="20"/>
          <w:szCs w:val="20"/>
        </w:rPr>
        <w:t>=0.034; Pert2</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F</w:t>
      </w:r>
      <w:r w:rsidRPr="00615BA8">
        <w:rPr>
          <w:rFonts w:ascii="Times New Roman" w:eastAsiaTheme="minorEastAsia" w:hAnsi="Times New Roman" w:cs="Times New Roman"/>
          <w:sz w:val="20"/>
          <w:szCs w:val="20"/>
          <w:vertAlign w:val="subscript"/>
        </w:rPr>
        <w:t>(9, 504)</w:t>
      </w:r>
      <w:r w:rsidRPr="00615BA8">
        <w:rPr>
          <w:rFonts w:ascii="Times New Roman" w:eastAsiaTheme="minorEastAsia" w:hAnsi="Times New Roman" w:cs="Times New Roman"/>
          <w:sz w:val="20"/>
          <w:szCs w:val="20"/>
        </w:rPr>
        <w:t>=2.254, P=0.0177, η</w:t>
      </w:r>
      <w:r w:rsidRPr="00615BA8">
        <w:rPr>
          <w:rFonts w:ascii="Times New Roman" w:eastAsiaTheme="minorEastAsia" w:hAnsi="Times New Roman" w:cs="Times New Roman"/>
          <w:sz w:val="20"/>
          <w:szCs w:val="20"/>
          <w:vertAlign w:val="subscript"/>
        </w:rPr>
        <w:t>p</w:t>
      </w:r>
      <w:r w:rsidRPr="00615BA8">
        <w:rPr>
          <w:rFonts w:ascii="Times New Roman" w:eastAsiaTheme="minorEastAsia" w:hAnsi="Times New Roman" w:cs="Times New Roman"/>
          <w:sz w:val="20"/>
          <w:szCs w:val="20"/>
          <w:vertAlign w:val="superscript"/>
        </w:rPr>
        <w:t>2</w:t>
      </w:r>
      <w:r w:rsidRPr="00615BA8">
        <w:rPr>
          <w:rFonts w:ascii="Times New Roman" w:eastAsiaTheme="minorEastAsia" w:hAnsi="Times New Roman" w:cs="Times New Roman"/>
          <w:sz w:val="20"/>
          <w:szCs w:val="20"/>
        </w:rPr>
        <w:t>=0.039; Pert9</w:t>
      </w:r>
      <w:r w:rsidRPr="00615BA8">
        <w:rPr>
          <w:rFonts w:ascii="Times New Roman" w:eastAsiaTheme="minorEastAsia" w:hAnsi="Times New Roman" w:cs="Times New Roman"/>
          <w:sz w:val="20"/>
          <w:szCs w:val="20"/>
          <w:vertAlign w:val="subscript"/>
        </w:rPr>
        <w:t>L</w:t>
      </w:r>
      <w:r w:rsidRPr="00615BA8">
        <w:rPr>
          <w:rFonts w:ascii="Times New Roman" w:eastAsiaTheme="minorEastAsia" w:hAnsi="Times New Roman" w:cs="Times New Roman"/>
          <w:sz w:val="20"/>
          <w:szCs w:val="20"/>
        </w:rPr>
        <w:t>: F</w:t>
      </w:r>
      <w:r w:rsidRPr="00615BA8">
        <w:rPr>
          <w:rFonts w:ascii="Times New Roman" w:eastAsiaTheme="minorEastAsia" w:hAnsi="Times New Roman" w:cs="Times New Roman"/>
          <w:sz w:val="20"/>
          <w:szCs w:val="20"/>
          <w:vertAlign w:val="subscript"/>
        </w:rPr>
        <w:t>(9, 504)</w:t>
      </w:r>
      <w:r w:rsidRPr="00615BA8">
        <w:rPr>
          <w:rFonts w:ascii="Times New Roman" w:eastAsiaTheme="minorEastAsia" w:hAnsi="Times New Roman" w:cs="Times New Roman"/>
          <w:sz w:val="20"/>
          <w:szCs w:val="20"/>
        </w:rPr>
        <w:t>=3.610, P=0.0002, η</w:t>
      </w:r>
      <w:r w:rsidRPr="00615BA8">
        <w:rPr>
          <w:rFonts w:ascii="Times New Roman" w:eastAsiaTheme="minorEastAsia" w:hAnsi="Times New Roman" w:cs="Times New Roman"/>
          <w:sz w:val="20"/>
          <w:szCs w:val="20"/>
          <w:vertAlign w:val="subscript"/>
        </w:rPr>
        <w:t>p</w:t>
      </w:r>
      <w:r w:rsidRPr="00615BA8">
        <w:rPr>
          <w:rFonts w:ascii="Times New Roman" w:eastAsiaTheme="minorEastAsia" w:hAnsi="Times New Roman" w:cs="Times New Roman"/>
          <w:sz w:val="20"/>
          <w:szCs w:val="20"/>
          <w:vertAlign w:val="superscript"/>
        </w:rPr>
        <w:t>2</w:t>
      </w:r>
      <w:r w:rsidRPr="00615BA8">
        <w:rPr>
          <w:rFonts w:ascii="Times New Roman" w:eastAsiaTheme="minorEastAsia" w:hAnsi="Times New Roman" w:cs="Times New Roman"/>
          <w:sz w:val="20"/>
          <w:szCs w:val="20"/>
        </w:rPr>
        <w:t xml:space="preserve">=0.061; </w:t>
      </w:r>
      <w:proofErr w:type="spellStart"/>
      <w:r w:rsidRPr="00615BA8">
        <w:rPr>
          <w:rFonts w:ascii="Times New Roman" w:eastAsiaTheme="minorEastAsia" w:hAnsi="Times New Roman" w:cs="Times New Roman"/>
          <w:sz w:val="20"/>
          <w:szCs w:val="20"/>
        </w:rPr>
        <w:t>eFig</w:t>
      </w:r>
      <w:proofErr w:type="spellEnd"/>
      <w:r w:rsidRPr="002C3378">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1</w:t>
      </w:r>
      <w:r w:rsidRPr="002C3378">
        <w:rPr>
          <w:rFonts w:ascii="Times New Roman" w:eastAsiaTheme="minorEastAsia" w:hAnsi="Times New Roman" w:cs="Times New Roman"/>
          <w:sz w:val="20"/>
          <w:szCs w:val="20"/>
        </w:rPr>
        <w:t xml:space="preserve">). Bonferroni tests for multiple comparisons are indicated in </w:t>
      </w:r>
      <w:proofErr w:type="spellStart"/>
      <w:r>
        <w:rPr>
          <w:rFonts w:ascii="Times New Roman" w:eastAsiaTheme="minorEastAsia" w:hAnsi="Times New Roman" w:cs="Times New Roman"/>
          <w:sz w:val="20"/>
          <w:szCs w:val="20"/>
        </w:rPr>
        <w:t>e</w:t>
      </w:r>
      <w:r w:rsidRPr="002C3378">
        <w:rPr>
          <w:rFonts w:ascii="Times New Roman" w:eastAsiaTheme="minorEastAsia" w:hAnsi="Times New Roman" w:cs="Times New Roman"/>
          <w:sz w:val="20"/>
          <w:szCs w:val="20"/>
        </w:rPr>
        <w:t>Fig</w:t>
      </w:r>
      <w:proofErr w:type="spellEnd"/>
      <w:r w:rsidRPr="002C3378">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1</w:t>
      </w:r>
      <w:r w:rsidRPr="002C3378">
        <w:rPr>
          <w:rFonts w:ascii="Times New Roman" w:eastAsiaTheme="minorEastAsia" w:hAnsi="Times New Roman" w:cs="Times New Roman"/>
          <w:sz w:val="20"/>
          <w:szCs w:val="20"/>
        </w:rPr>
        <w:t xml:space="preserve"> and revealed two significant difference between the age groups at Post4 during Pert1</w:t>
      </w:r>
      <w:r w:rsidRPr="002C3378">
        <w:rPr>
          <w:rFonts w:ascii="Times New Roman" w:eastAsiaTheme="minorEastAsia" w:hAnsi="Times New Roman" w:cs="Times New Roman"/>
          <w:sz w:val="20"/>
          <w:szCs w:val="20"/>
          <w:vertAlign w:val="subscript"/>
        </w:rPr>
        <w:t>R</w:t>
      </w:r>
      <w:r w:rsidRPr="002C3378">
        <w:rPr>
          <w:rFonts w:ascii="Times New Roman" w:eastAsiaTheme="minorEastAsia" w:hAnsi="Times New Roman" w:cs="Times New Roman"/>
          <w:sz w:val="20"/>
          <w:szCs w:val="20"/>
        </w:rPr>
        <w:t>, and significant differences at Post5 and Post6 during Pert9</w:t>
      </w:r>
      <w:r w:rsidRPr="002C3378">
        <w:rPr>
          <w:rFonts w:ascii="Times New Roman" w:eastAsiaTheme="minorEastAsia" w:hAnsi="Times New Roman" w:cs="Times New Roman"/>
          <w:sz w:val="20"/>
          <w:szCs w:val="20"/>
          <w:vertAlign w:val="subscript"/>
        </w:rPr>
        <w:t>L</w:t>
      </w:r>
      <w:r w:rsidRPr="002C3378">
        <w:rPr>
          <w:rFonts w:ascii="Times New Roman" w:eastAsiaTheme="minorEastAsia" w:hAnsi="Times New Roman" w:cs="Times New Roman"/>
          <w:sz w:val="20"/>
          <w:szCs w:val="20"/>
        </w:rPr>
        <w:t xml:space="preserve"> but no major differences were identified pre and post repetition of the left limb perturbations, with both age groups showing significantly increased MoS</w:t>
      </w:r>
      <w:r w:rsidRPr="002C3378">
        <w:rPr>
          <w:rFonts w:ascii="Times New Roman" w:eastAsiaTheme="minorEastAsia" w:hAnsi="Times New Roman" w:cs="Times New Roman"/>
          <w:sz w:val="20"/>
          <w:szCs w:val="20"/>
          <w:vertAlign w:val="subscript"/>
        </w:rPr>
        <w:t>ML</w:t>
      </w:r>
      <w:r w:rsidRPr="002C3378">
        <w:rPr>
          <w:rFonts w:ascii="Times New Roman" w:eastAsiaTheme="minorEastAsia" w:hAnsi="Times New Roman" w:cs="Times New Roman"/>
          <w:sz w:val="20"/>
          <w:szCs w:val="20"/>
        </w:rPr>
        <w:t xml:space="preserve"> at Post2 and Post3 during Pert2</w:t>
      </w:r>
      <w:r w:rsidRPr="002C3378">
        <w:rPr>
          <w:rFonts w:ascii="Times New Roman" w:eastAsiaTheme="minorEastAsia" w:hAnsi="Times New Roman" w:cs="Times New Roman"/>
          <w:sz w:val="20"/>
          <w:szCs w:val="20"/>
          <w:vertAlign w:val="subscript"/>
        </w:rPr>
        <w:t>L</w:t>
      </w:r>
      <w:r w:rsidRPr="002C3378">
        <w:rPr>
          <w:rFonts w:ascii="Times New Roman" w:eastAsiaTheme="minorEastAsia" w:hAnsi="Times New Roman" w:cs="Times New Roman"/>
          <w:sz w:val="20"/>
          <w:szCs w:val="20"/>
        </w:rPr>
        <w:t xml:space="preserve"> and Pert9</w:t>
      </w:r>
      <w:r w:rsidRPr="002C3378">
        <w:rPr>
          <w:rFonts w:ascii="Times New Roman" w:eastAsiaTheme="minorEastAsia" w:hAnsi="Times New Roman" w:cs="Times New Roman"/>
          <w:sz w:val="20"/>
          <w:szCs w:val="20"/>
          <w:vertAlign w:val="subscript"/>
        </w:rPr>
        <w:t>L</w:t>
      </w:r>
      <w:r w:rsidRPr="002C3378">
        <w:rPr>
          <w:rFonts w:ascii="Times New Roman" w:eastAsiaTheme="minorEastAsia" w:hAnsi="Times New Roman" w:cs="Times New Roman"/>
          <w:sz w:val="20"/>
          <w:szCs w:val="20"/>
        </w:rPr>
        <w:t xml:space="preserve">. Complete Bonferroni results can be found in </w:t>
      </w:r>
      <w:r>
        <w:rPr>
          <w:rFonts w:ascii="Times New Roman" w:eastAsiaTheme="minorEastAsia" w:hAnsi="Times New Roman" w:cs="Times New Roman"/>
          <w:sz w:val="20"/>
          <w:szCs w:val="20"/>
        </w:rPr>
        <w:t>e</w:t>
      </w:r>
      <w:r w:rsidRPr="002C3378">
        <w:rPr>
          <w:rFonts w:ascii="Times New Roman" w:eastAsiaTheme="minorEastAsia" w:hAnsi="Times New Roman" w:cs="Times New Roman"/>
          <w:sz w:val="20"/>
          <w:szCs w:val="20"/>
        </w:rPr>
        <w:t>Tables 7 and 8.</w:t>
      </w:r>
    </w:p>
    <w:p w:rsidR="0010518E" w:rsidRPr="002C3378" w:rsidRDefault="0010518E" w:rsidP="002C3378">
      <w:pPr>
        <w:jc w:val="both"/>
        <w:rPr>
          <w:rFonts w:ascii="Times New Roman" w:hAnsi="Times New Roman" w:cs="Times New Roman"/>
        </w:rPr>
      </w:pPr>
    </w:p>
    <w:p w:rsidR="0010518E" w:rsidRPr="002C3378" w:rsidRDefault="0010518E" w:rsidP="002C3378">
      <w:pPr>
        <w:spacing w:after="0" w:line="480" w:lineRule="auto"/>
        <w:contextualSpacing/>
        <w:jc w:val="both"/>
        <w:rPr>
          <w:rFonts w:ascii="Times New Roman" w:eastAsiaTheme="minorEastAsia" w:hAnsi="Times New Roman" w:cs="Times New Roman"/>
          <w:sz w:val="24"/>
          <w:szCs w:val="24"/>
        </w:rPr>
      </w:pPr>
      <w:r w:rsidRPr="002C3378">
        <w:rPr>
          <w:rFonts w:ascii="Times New Roman" w:eastAsiaTheme="minorEastAsia" w:hAnsi="Times New Roman" w:cs="Times New Roman"/>
          <w:noProof/>
          <w:sz w:val="24"/>
          <w:szCs w:val="24"/>
          <w:lang w:eastAsia="en-GB"/>
        </w:rPr>
        <w:drawing>
          <wp:inline distT="0" distB="0" distL="0" distR="0" wp14:anchorId="3A4507E9" wp14:editId="794023A2">
            <wp:extent cx="5867998" cy="27035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4"/>
                    <a:stretch>
                      <a:fillRect/>
                    </a:stretch>
                  </pic:blipFill>
                  <pic:spPr>
                    <a:xfrm>
                      <a:off x="0" y="0"/>
                      <a:ext cx="5867998" cy="2703530"/>
                    </a:xfrm>
                    <a:prstGeom prst="rect">
                      <a:avLst/>
                    </a:prstGeom>
                  </pic:spPr>
                </pic:pic>
              </a:graphicData>
            </a:graphic>
          </wp:inline>
        </w:drawing>
      </w:r>
    </w:p>
    <w:p w:rsidR="0010518E" w:rsidRDefault="0010518E" w:rsidP="002C3378">
      <w:pPr>
        <w:spacing w:after="0" w:line="240" w:lineRule="auto"/>
        <w:contextualSpacing/>
        <w:jc w:val="both"/>
        <w:rPr>
          <w:rFonts w:ascii="Arial" w:eastAsiaTheme="minorEastAsia" w:hAnsi="Arial" w:cs="Arial"/>
          <w:sz w:val="16"/>
          <w:szCs w:val="16"/>
        </w:rPr>
      </w:pPr>
      <w:r w:rsidRPr="002C3378">
        <w:rPr>
          <w:rFonts w:ascii="Arial" w:eastAsiaTheme="minorEastAsia" w:hAnsi="Arial" w:cs="Arial"/>
          <w:b/>
          <w:sz w:val="16"/>
          <w:szCs w:val="16"/>
        </w:rPr>
        <w:t>eFigure 1</w:t>
      </w:r>
      <w:r w:rsidRPr="002C3378">
        <w:rPr>
          <w:rFonts w:ascii="Arial" w:eastAsiaTheme="minorEastAsia" w:hAnsi="Arial" w:cs="Arial"/>
          <w:sz w:val="16"/>
          <w:szCs w:val="16"/>
        </w:rPr>
        <w:t>: Median and 95% confidence intervals (with individual data points) of the mediolateral margin of stability during the first, second and ninth perturbations (Pert1</w:t>
      </w:r>
      <w:r w:rsidRPr="002C3378">
        <w:rPr>
          <w:rFonts w:ascii="Arial" w:eastAsiaTheme="minorEastAsia" w:hAnsi="Arial" w:cs="Arial"/>
          <w:sz w:val="16"/>
          <w:szCs w:val="16"/>
          <w:vertAlign w:val="subscript"/>
        </w:rPr>
        <w:t>R</w:t>
      </w:r>
      <w:r w:rsidRPr="002C3378">
        <w:rPr>
          <w:rFonts w:ascii="Arial" w:eastAsiaTheme="minorEastAsia" w:hAnsi="Arial" w:cs="Arial"/>
          <w:sz w:val="16"/>
          <w:szCs w:val="16"/>
        </w:rPr>
        <w:t>, Pert2</w:t>
      </w:r>
      <w:r w:rsidRPr="002C3378">
        <w:rPr>
          <w:rFonts w:ascii="Arial" w:eastAsiaTheme="minorEastAsia" w:hAnsi="Arial" w:cs="Arial"/>
          <w:sz w:val="16"/>
          <w:szCs w:val="16"/>
          <w:vertAlign w:val="subscript"/>
        </w:rPr>
        <w:t>L</w:t>
      </w:r>
      <w:r w:rsidRPr="002C3378">
        <w:rPr>
          <w:rFonts w:ascii="Arial" w:eastAsiaTheme="minorEastAsia" w:hAnsi="Arial" w:cs="Arial"/>
          <w:sz w:val="16"/>
          <w:szCs w:val="16"/>
        </w:rPr>
        <w:t>, and Pert9</w:t>
      </w:r>
      <w:r w:rsidRPr="002C3378">
        <w:rPr>
          <w:rFonts w:ascii="Arial" w:eastAsiaTheme="minorEastAsia" w:hAnsi="Arial" w:cs="Arial"/>
          <w:sz w:val="16"/>
          <w:szCs w:val="16"/>
          <w:vertAlign w:val="subscript"/>
        </w:rPr>
        <w:t>L</w:t>
      </w:r>
      <w:r w:rsidRPr="002C3378">
        <w:rPr>
          <w:rFonts w:ascii="Arial" w:eastAsiaTheme="minorEastAsia" w:hAnsi="Arial" w:cs="Arial"/>
          <w:sz w:val="16"/>
          <w:szCs w:val="16"/>
        </w:rPr>
        <w:t xml:space="preserve">, respectively) including unperturbed walking prior to each perturbation (Base), the final step prior to each perturbation (Pre) and the first eight recovery steps following the perturbations (Post1-8) for young and older adults. BO and BY: Significant difference to Base for older and young adults, respectively (P&lt;0.05). *: Significant difference between young and older adults (P&lt;0.05). </w:t>
      </w:r>
    </w:p>
    <w:p w:rsidR="0010518E" w:rsidRDefault="0010518E" w:rsidP="002C3378">
      <w:pPr>
        <w:spacing w:after="0" w:line="240" w:lineRule="auto"/>
        <w:contextualSpacing/>
        <w:jc w:val="both"/>
        <w:rPr>
          <w:rFonts w:ascii="Times New Roman" w:eastAsiaTheme="minorEastAsia" w:hAnsi="Times New Roman" w:cs="Times New Roman"/>
          <w:sz w:val="20"/>
          <w:szCs w:val="20"/>
        </w:rPr>
      </w:pPr>
    </w:p>
    <w:p w:rsidR="0010518E" w:rsidRDefault="0010518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br w:type="page"/>
      </w:r>
    </w:p>
    <w:p w:rsidR="0010518E" w:rsidRPr="00E54293" w:rsidRDefault="0010518E" w:rsidP="00BB09B5">
      <w:pPr>
        <w:spacing w:after="0" w:line="240" w:lineRule="auto"/>
        <w:contextualSpacing/>
        <w:jc w:val="both"/>
        <w:rPr>
          <w:rFonts w:ascii="Times New Roman" w:eastAsiaTheme="minorEastAsia" w:hAnsi="Times New Roman" w:cs="Times New Roman"/>
          <w:sz w:val="20"/>
          <w:szCs w:val="20"/>
        </w:rPr>
      </w:pPr>
      <w:r w:rsidRPr="00BB09B5">
        <w:rPr>
          <w:rFonts w:ascii="Times New Roman" w:eastAsiaTheme="minorEastAsia" w:hAnsi="Times New Roman" w:cs="Times New Roman"/>
          <w:sz w:val="20"/>
          <w:szCs w:val="20"/>
        </w:rPr>
        <w:lastRenderedPageBreak/>
        <w:t xml:space="preserve">Regarding the investigation of </w:t>
      </w:r>
      <w:r>
        <w:rPr>
          <w:rFonts w:ascii="Times New Roman" w:eastAsiaTheme="minorEastAsia" w:hAnsi="Times New Roman" w:cs="Times New Roman"/>
          <w:sz w:val="20"/>
          <w:szCs w:val="20"/>
        </w:rPr>
        <w:t xml:space="preserve">the potential influence of the single trial effect on the </w:t>
      </w:r>
      <w:r w:rsidRPr="00BB09B5">
        <w:rPr>
          <w:rFonts w:ascii="Times New Roman" w:eastAsiaTheme="minorEastAsia" w:hAnsi="Times New Roman" w:cs="Times New Roman"/>
          <w:sz w:val="20"/>
          <w:szCs w:val="20"/>
        </w:rPr>
        <w:t xml:space="preserve">interlimb transfer </w:t>
      </w:r>
      <w:r>
        <w:rPr>
          <w:rFonts w:ascii="Times New Roman" w:eastAsiaTheme="minorEastAsia" w:hAnsi="Times New Roman" w:cs="Times New Roman"/>
          <w:sz w:val="20"/>
          <w:szCs w:val="20"/>
        </w:rPr>
        <w:t xml:space="preserve">results </w:t>
      </w:r>
      <w:r w:rsidRPr="00BB09B5">
        <w:rPr>
          <w:rFonts w:ascii="Times New Roman" w:eastAsiaTheme="minorEastAsia" w:hAnsi="Times New Roman" w:cs="Times New Roman"/>
          <w:sz w:val="20"/>
          <w:szCs w:val="20"/>
        </w:rPr>
        <w:t xml:space="preserve">in the older </w:t>
      </w:r>
      <w:r w:rsidRPr="00CE0369">
        <w:rPr>
          <w:rFonts w:ascii="Times New Roman" w:eastAsiaTheme="minorEastAsia" w:hAnsi="Times New Roman" w:cs="Times New Roman"/>
          <w:sz w:val="20"/>
          <w:szCs w:val="20"/>
        </w:rPr>
        <w:t>adults, a two-way repeated measures ANOVA with perturbation number (</w:t>
      </w:r>
      <w:r w:rsidRPr="00BB09B5">
        <w:rPr>
          <w:rFonts w:ascii="Times New Roman" w:eastAsiaTheme="minorEastAsia" w:hAnsi="Times New Roman" w:cs="Times New Roman"/>
          <w:sz w:val="20"/>
          <w:szCs w:val="20"/>
        </w:rPr>
        <w:t>Pert2</w:t>
      </w:r>
      <w:r w:rsidRPr="00CE0369">
        <w:rPr>
          <w:rFonts w:ascii="Times New Roman" w:eastAsiaTheme="minorEastAsia" w:hAnsi="Times New Roman" w:cs="Times New Roman"/>
          <w:sz w:val="20"/>
          <w:szCs w:val="20"/>
          <w:vertAlign w:val="subscript"/>
        </w:rPr>
        <w:t>L</w:t>
      </w:r>
      <w:r w:rsidRPr="00BB09B5">
        <w:rPr>
          <w:rFonts w:ascii="Times New Roman" w:eastAsiaTheme="minorEastAsia" w:hAnsi="Times New Roman" w:cs="Times New Roman"/>
          <w:sz w:val="20"/>
          <w:szCs w:val="20"/>
        </w:rPr>
        <w:t xml:space="preserve"> and Pert3</w:t>
      </w:r>
      <w:r w:rsidRPr="00CE0369">
        <w:rPr>
          <w:rFonts w:ascii="Times New Roman" w:eastAsiaTheme="minorEastAsia" w:hAnsi="Times New Roman" w:cs="Times New Roman"/>
          <w:sz w:val="20"/>
          <w:szCs w:val="20"/>
          <w:vertAlign w:val="subscript"/>
        </w:rPr>
        <w:t>L</w:t>
      </w:r>
      <w:r w:rsidRPr="00CE0369">
        <w:rPr>
          <w:rFonts w:ascii="Times New Roman" w:eastAsiaTheme="minorEastAsia" w:hAnsi="Times New Roman" w:cs="Times New Roman"/>
          <w:sz w:val="20"/>
          <w:szCs w:val="20"/>
        </w:rPr>
        <w:t xml:space="preserve">) and step (Base, Pre, Post1-Post8) as factors </w:t>
      </w:r>
      <w:r>
        <w:rPr>
          <w:rFonts w:ascii="Times New Roman" w:eastAsiaTheme="minorEastAsia" w:hAnsi="Times New Roman" w:cs="Times New Roman"/>
          <w:sz w:val="20"/>
          <w:szCs w:val="20"/>
        </w:rPr>
        <w:t xml:space="preserve">with </w:t>
      </w:r>
      <w:r w:rsidRPr="00CE0369">
        <w:rPr>
          <w:rFonts w:ascii="Times New Roman" w:eastAsiaTheme="minorEastAsia" w:hAnsi="Times New Roman" w:cs="Times New Roman"/>
          <w:sz w:val="20"/>
          <w:szCs w:val="20"/>
        </w:rPr>
        <w:t>post hoc Bonferroni tests for multiple comparisons</w:t>
      </w:r>
      <w:r>
        <w:rPr>
          <w:rFonts w:ascii="Times New Roman" w:eastAsiaTheme="minorEastAsia" w:hAnsi="Times New Roman" w:cs="Times New Roman"/>
          <w:sz w:val="20"/>
          <w:szCs w:val="20"/>
        </w:rPr>
        <w:t xml:space="preserve"> </w:t>
      </w:r>
      <w:r w:rsidRPr="00CE0369">
        <w:rPr>
          <w:rFonts w:ascii="Times New Roman" w:eastAsiaTheme="minorEastAsia" w:hAnsi="Times New Roman" w:cs="Times New Roman"/>
          <w:sz w:val="20"/>
          <w:szCs w:val="20"/>
        </w:rPr>
        <w:t>were conducted for MoS</w:t>
      </w:r>
      <w:r w:rsidRPr="00CE0369">
        <w:rPr>
          <w:rFonts w:ascii="Times New Roman" w:eastAsiaTheme="minorEastAsia" w:hAnsi="Times New Roman" w:cs="Times New Roman"/>
          <w:sz w:val="20"/>
          <w:szCs w:val="20"/>
          <w:vertAlign w:val="subscript"/>
        </w:rPr>
        <w:t>AP</w:t>
      </w:r>
      <w:r>
        <w:rPr>
          <w:rFonts w:ascii="Times New Roman" w:eastAsiaTheme="minorEastAsia" w:hAnsi="Times New Roman" w:cs="Times New Roman"/>
          <w:sz w:val="20"/>
          <w:szCs w:val="20"/>
        </w:rPr>
        <w:t xml:space="preserve">. </w:t>
      </w:r>
      <w:proofErr w:type="gramStart"/>
      <w:r>
        <w:rPr>
          <w:rFonts w:ascii="Times New Roman" w:eastAsiaTheme="minorEastAsia" w:hAnsi="Times New Roman" w:cs="Times New Roman"/>
          <w:sz w:val="20"/>
          <w:szCs w:val="20"/>
        </w:rPr>
        <w:t>Similar to</w:t>
      </w:r>
      <w:proofErr w:type="gramEnd"/>
      <w:r>
        <w:rPr>
          <w:rFonts w:ascii="Times New Roman" w:eastAsiaTheme="minorEastAsia" w:hAnsi="Times New Roman" w:cs="Times New Roman"/>
          <w:sz w:val="20"/>
          <w:szCs w:val="20"/>
        </w:rPr>
        <w:t xml:space="preserve"> the interlimb analysis, </w:t>
      </w:r>
      <w:r w:rsidRPr="00BB09B5">
        <w:rPr>
          <w:rFonts w:ascii="Times New Roman" w:eastAsiaTheme="minorEastAsia" w:hAnsi="Times New Roman" w:cs="Times New Roman"/>
          <w:sz w:val="20"/>
          <w:szCs w:val="20"/>
        </w:rPr>
        <w:t>no significant perturbation number effect was found (F</w:t>
      </w:r>
      <w:r w:rsidRPr="003D3810">
        <w:rPr>
          <w:rFonts w:ascii="Times New Roman" w:eastAsiaTheme="minorEastAsia" w:hAnsi="Times New Roman" w:cs="Times New Roman"/>
          <w:sz w:val="20"/>
          <w:szCs w:val="20"/>
          <w:vertAlign w:val="subscript"/>
        </w:rPr>
        <w:t>(1, 26)</w:t>
      </w:r>
      <w:r w:rsidRPr="00BB09B5">
        <w:rPr>
          <w:rFonts w:ascii="Times New Roman" w:eastAsiaTheme="minorEastAsia" w:hAnsi="Times New Roman" w:cs="Times New Roman"/>
          <w:sz w:val="20"/>
          <w:szCs w:val="20"/>
        </w:rPr>
        <w:t>=1.681, P=0.2061)</w:t>
      </w:r>
      <w:r>
        <w:rPr>
          <w:rFonts w:ascii="Times New Roman" w:eastAsiaTheme="minorEastAsia" w:hAnsi="Times New Roman" w:cs="Times New Roman"/>
          <w:sz w:val="20"/>
          <w:szCs w:val="20"/>
        </w:rPr>
        <w:t>, although the size of the effect (</w:t>
      </w:r>
      <w:r w:rsidRPr="003D3810">
        <w:rPr>
          <w:rFonts w:ascii="Times New Roman" w:eastAsiaTheme="minorEastAsia" w:hAnsi="Times New Roman" w:cs="Times New Roman"/>
          <w:sz w:val="20"/>
          <w:szCs w:val="20"/>
        </w:rPr>
        <w:t>η</w:t>
      </w:r>
      <w:r w:rsidRPr="003D3810">
        <w:rPr>
          <w:rFonts w:ascii="Times New Roman" w:eastAsiaTheme="minorEastAsia" w:hAnsi="Times New Roman" w:cs="Times New Roman"/>
          <w:sz w:val="20"/>
          <w:szCs w:val="20"/>
          <w:vertAlign w:val="subscript"/>
        </w:rPr>
        <w:t>p</w:t>
      </w:r>
      <w:r w:rsidRPr="003D3810">
        <w:rPr>
          <w:rFonts w:ascii="Times New Roman" w:eastAsiaTheme="minorEastAsia" w:hAnsi="Times New Roman" w:cs="Times New Roman"/>
          <w:sz w:val="20"/>
          <w:szCs w:val="20"/>
          <w:vertAlign w:val="superscript"/>
        </w:rPr>
        <w:t>2</w:t>
      </w:r>
      <w:r w:rsidRPr="00BB09B5">
        <w:rPr>
          <w:rFonts w:ascii="Times New Roman" w:eastAsiaTheme="minorEastAsia" w:hAnsi="Times New Roman" w:cs="Times New Roman"/>
          <w:sz w:val="20"/>
          <w:szCs w:val="20"/>
        </w:rPr>
        <w:t>=</w:t>
      </w:r>
      <w:r w:rsidRPr="003D3810">
        <w:rPr>
          <w:rFonts w:ascii="Times New Roman" w:eastAsiaTheme="minorEastAsia" w:hAnsi="Times New Roman" w:cs="Times New Roman"/>
          <w:sz w:val="20"/>
          <w:szCs w:val="20"/>
        </w:rPr>
        <w:t>0.061</w:t>
      </w:r>
      <w:r>
        <w:rPr>
          <w:rFonts w:ascii="Times New Roman" w:eastAsiaTheme="minorEastAsia" w:hAnsi="Times New Roman" w:cs="Times New Roman"/>
          <w:sz w:val="20"/>
          <w:szCs w:val="20"/>
        </w:rPr>
        <w:t>) was smaller than that of the interlimb analysis (</w:t>
      </w:r>
      <w:r w:rsidRPr="003D3810">
        <w:rPr>
          <w:rFonts w:ascii="Times New Roman" w:eastAsiaTheme="minorEastAsia" w:hAnsi="Times New Roman" w:cs="Times New Roman"/>
          <w:sz w:val="20"/>
          <w:szCs w:val="20"/>
        </w:rPr>
        <w:t>η</w:t>
      </w:r>
      <w:r w:rsidRPr="003D3810">
        <w:rPr>
          <w:rFonts w:ascii="Times New Roman" w:eastAsiaTheme="minorEastAsia" w:hAnsi="Times New Roman" w:cs="Times New Roman"/>
          <w:sz w:val="20"/>
          <w:szCs w:val="20"/>
          <w:vertAlign w:val="subscript"/>
        </w:rPr>
        <w:t>p</w:t>
      </w:r>
      <w:r w:rsidRPr="003D3810">
        <w:rPr>
          <w:rFonts w:ascii="Times New Roman" w:eastAsiaTheme="minorEastAsia" w:hAnsi="Times New Roman" w:cs="Times New Roman"/>
          <w:sz w:val="20"/>
          <w:szCs w:val="20"/>
          <w:vertAlign w:val="superscript"/>
        </w:rPr>
        <w:t>2</w:t>
      </w:r>
      <w:r w:rsidRPr="00CE0369">
        <w:rPr>
          <w:rFonts w:ascii="Times New Roman" w:eastAsiaTheme="minorEastAsia" w:hAnsi="Times New Roman" w:cs="Times New Roman"/>
          <w:sz w:val="20"/>
          <w:szCs w:val="20"/>
        </w:rPr>
        <w:t>=</w:t>
      </w:r>
      <w:r w:rsidRPr="003D3810">
        <w:rPr>
          <w:rFonts w:ascii="Times New Roman" w:eastAsiaTheme="minorEastAsia" w:hAnsi="Times New Roman" w:cs="Times New Roman"/>
          <w:sz w:val="20"/>
          <w:szCs w:val="20"/>
        </w:rPr>
        <w:t>0.092</w:t>
      </w:r>
      <w:r>
        <w:rPr>
          <w:rFonts w:ascii="Times New Roman" w:eastAsiaTheme="minorEastAsia" w:hAnsi="Times New Roman" w:cs="Times New Roman"/>
          <w:sz w:val="20"/>
          <w:szCs w:val="20"/>
        </w:rPr>
        <w:t>).</w:t>
      </w:r>
      <w:r w:rsidRPr="00E54293">
        <w:rPr>
          <w:rFonts w:ascii="Times New Roman" w:eastAsiaTheme="minorEastAsia" w:hAnsi="Times New Roman" w:cs="Times New Roman"/>
          <w:sz w:val="20"/>
          <w:szCs w:val="20"/>
        </w:rPr>
        <w:t xml:space="preserve"> </w:t>
      </w:r>
      <w:r w:rsidRPr="00BB09B5">
        <w:rPr>
          <w:rFonts w:ascii="Times New Roman" w:eastAsiaTheme="minorEastAsia" w:hAnsi="Times New Roman" w:cs="Times New Roman"/>
          <w:sz w:val="20"/>
          <w:szCs w:val="20"/>
        </w:rPr>
        <w:t>Bonferroni tests for multiple comparisons revealed that during Pert2</w:t>
      </w:r>
      <w:r w:rsidRPr="00CE0369">
        <w:rPr>
          <w:rFonts w:ascii="Times New Roman" w:eastAsiaTheme="minorEastAsia" w:hAnsi="Times New Roman" w:cs="Times New Roman"/>
          <w:sz w:val="20"/>
          <w:szCs w:val="20"/>
          <w:vertAlign w:val="subscript"/>
        </w:rPr>
        <w:t>L</w:t>
      </w:r>
      <w:r w:rsidRPr="00BB09B5">
        <w:rPr>
          <w:rFonts w:ascii="Times New Roman" w:eastAsiaTheme="minorEastAsia" w:hAnsi="Times New Roman" w:cs="Times New Roman"/>
          <w:sz w:val="20"/>
          <w:szCs w:val="20"/>
        </w:rPr>
        <w:t>, the older adults did not return to MoS</w:t>
      </w:r>
      <w:r w:rsidRPr="00E54293">
        <w:rPr>
          <w:rFonts w:ascii="Times New Roman" w:eastAsiaTheme="minorEastAsia" w:hAnsi="Times New Roman" w:cs="Times New Roman"/>
          <w:sz w:val="20"/>
          <w:szCs w:val="20"/>
          <w:vertAlign w:val="subscript"/>
        </w:rPr>
        <w:t>AP</w:t>
      </w:r>
      <w:r w:rsidRPr="00BB09B5">
        <w:rPr>
          <w:rFonts w:ascii="Times New Roman" w:eastAsiaTheme="minorEastAsia" w:hAnsi="Times New Roman" w:cs="Times New Roman"/>
          <w:sz w:val="20"/>
          <w:szCs w:val="20"/>
        </w:rPr>
        <w:t xml:space="preserve"> values not significantly different to Base during the eight analysed recovery steps</w:t>
      </w:r>
      <w:r>
        <w:rPr>
          <w:rFonts w:ascii="Times New Roman" w:eastAsiaTheme="minorEastAsia" w:hAnsi="Times New Roman" w:cs="Times New Roman"/>
          <w:sz w:val="20"/>
          <w:szCs w:val="20"/>
        </w:rPr>
        <w:t>,</w:t>
      </w:r>
      <w:r w:rsidRPr="00BB09B5">
        <w:rPr>
          <w:rFonts w:ascii="Times New Roman" w:eastAsiaTheme="minorEastAsia" w:hAnsi="Times New Roman" w:cs="Times New Roman"/>
          <w:sz w:val="20"/>
          <w:szCs w:val="20"/>
        </w:rPr>
        <w:t xml:space="preserve"> whereas for Pert3</w:t>
      </w:r>
      <w:r w:rsidRPr="00CE0369">
        <w:rPr>
          <w:rFonts w:ascii="Times New Roman" w:eastAsiaTheme="minorEastAsia" w:hAnsi="Times New Roman" w:cs="Times New Roman"/>
          <w:sz w:val="20"/>
          <w:szCs w:val="20"/>
          <w:vertAlign w:val="subscript"/>
        </w:rPr>
        <w:t>L</w:t>
      </w:r>
      <w:r w:rsidRPr="00BB09B5">
        <w:rPr>
          <w:rFonts w:ascii="Times New Roman" w:eastAsiaTheme="minorEastAsia" w:hAnsi="Times New Roman" w:cs="Times New Roman"/>
          <w:sz w:val="20"/>
          <w:szCs w:val="20"/>
        </w:rPr>
        <w:t xml:space="preserve"> this was achieved at Post7</w:t>
      </w:r>
      <w:r>
        <w:rPr>
          <w:rFonts w:ascii="Times New Roman" w:eastAsiaTheme="minorEastAsia" w:hAnsi="Times New Roman" w:cs="Times New Roman"/>
          <w:sz w:val="20"/>
          <w:szCs w:val="20"/>
        </w:rPr>
        <w:t>, resulting in an average of two steps improvement (</w:t>
      </w:r>
      <w:proofErr w:type="spellStart"/>
      <w:r>
        <w:rPr>
          <w:rFonts w:ascii="Times New Roman" w:eastAsiaTheme="minorEastAsia" w:hAnsi="Times New Roman" w:cs="Times New Roman"/>
          <w:sz w:val="20"/>
          <w:szCs w:val="20"/>
        </w:rPr>
        <w:t>eFig</w:t>
      </w:r>
      <w:proofErr w:type="spellEnd"/>
      <w:r>
        <w:rPr>
          <w:rFonts w:ascii="Times New Roman" w:eastAsiaTheme="minorEastAsia" w:hAnsi="Times New Roman" w:cs="Times New Roman"/>
          <w:sz w:val="20"/>
          <w:szCs w:val="20"/>
        </w:rPr>
        <w:t>. 2)</w:t>
      </w:r>
      <w:r w:rsidRPr="00BB09B5">
        <w:rPr>
          <w:rFonts w:ascii="Times New Roman" w:eastAsiaTheme="minorEastAsia" w:hAnsi="Times New Roman" w:cs="Times New Roman"/>
          <w:sz w:val="20"/>
          <w:szCs w:val="20"/>
        </w:rPr>
        <w:t>.</w:t>
      </w:r>
      <w:r w:rsidRPr="00E54293">
        <w:rPr>
          <w:rFonts w:ascii="Times New Roman" w:eastAsiaTheme="minorEastAsia" w:hAnsi="Times New Roman" w:cs="Times New Roman"/>
          <w:sz w:val="20"/>
          <w:szCs w:val="20"/>
        </w:rPr>
        <w:t xml:space="preserve"> </w:t>
      </w:r>
      <w:r w:rsidRPr="002C3378">
        <w:rPr>
          <w:rFonts w:ascii="Times New Roman" w:eastAsiaTheme="minorEastAsia" w:hAnsi="Times New Roman" w:cs="Times New Roman"/>
          <w:sz w:val="20"/>
          <w:szCs w:val="20"/>
        </w:rPr>
        <w:t xml:space="preserve">Complete Bonferroni results can be found in </w:t>
      </w:r>
      <w:r>
        <w:rPr>
          <w:rFonts w:ascii="Times New Roman" w:eastAsiaTheme="minorEastAsia" w:hAnsi="Times New Roman" w:cs="Times New Roman"/>
          <w:sz w:val="20"/>
          <w:szCs w:val="20"/>
        </w:rPr>
        <w:t>e</w:t>
      </w:r>
      <w:r w:rsidRPr="002C3378">
        <w:rPr>
          <w:rFonts w:ascii="Times New Roman" w:eastAsiaTheme="minorEastAsia" w:hAnsi="Times New Roman" w:cs="Times New Roman"/>
          <w:sz w:val="20"/>
          <w:szCs w:val="20"/>
        </w:rPr>
        <w:t xml:space="preserve">Tables </w:t>
      </w:r>
      <w:r>
        <w:rPr>
          <w:rFonts w:ascii="Times New Roman" w:eastAsiaTheme="minorEastAsia" w:hAnsi="Times New Roman" w:cs="Times New Roman"/>
          <w:sz w:val="20"/>
          <w:szCs w:val="20"/>
        </w:rPr>
        <w:t>17</w:t>
      </w:r>
      <w:r w:rsidRPr="002C3378">
        <w:rPr>
          <w:rFonts w:ascii="Times New Roman" w:eastAsiaTheme="minorEastAsia" w:hAnsi="Times New Roman" w:cs="Times New Roman"/>
          <w:sz w:val="20"/>
          <w:szCs w:val="20"/>
        </w:rPr>
        <w:t xml:space="preserve"> and </w:t>
      </w:r>
      <w:r>
        <w:rPr>
          <w:rFonts w:ascii="Times New Roman" w:eastAsiaTheme="minorEastAsia" w:hAnsi="Times New Roman" w:cs="Times New Roman"/>
          <w:sz w:val="20"/>
          <w:szCs w:val="20"/>
        </w:rPr>
        <w:t>1</w:t>
      </w:r>
      <w:r w:rsidRPr="002C3378">
        <w:rPr>
          <w:rFonts w:ascii="Times New Roman" w:eastAsiaTheme="minorEastAsia" w:hAnsi="Times New Roman" w:cs="Times New Roman"/>
          <w:sz w:val="20"/>
          <w:szCs w:val="20"/>
        </w:rPr>
        <w:t>8.</w:t>
      </w:r>
    </w:p>
    <w:p w:rsidR="0010518E" w:rsidRDefault="0010518E" w:rsidP="00BB09B5">
      <w:pPr>
        <w:spacing w:after="0" w:line="240" w:lineRule="auto"/>
        <w:contextualSpacing/>
        <w:jc w:val="both"/>
        <w:rPr>
          <w:rFonts w:ascii="Times New Roman" w:eastAsiaTheme="minorEastAsia" w:hAnsi="Times New Roman" w:cs="Times New Roman"/>
          <w:sz w:val="20"/>
          <w:szCs w:val="20"/>
        </w:rPr>
      </w:pPr>
      <w:r w:rsidRPr="00BB09B5">
        <w:rPr>
          <w:rFonts w:ascii="Times New Roman" w:eastAsiaTheme="minorEastAsia" w:hAnsi="Times New Roman" w:cs="Times New Roman"/>
          <w:sz w:val="20"/>
          <w:szCs w:val="20"/>
        </w:rPr>
        <w:t xml:space="preserve"> </w:t>
      </w:r>
    </w:p>
    <w:p w:rsidR="0010518E" w:rsidRDefault="0010518E" w:rsidP="00032EB9">
      <w:pPr>
        <w:spacing w:after="0" w:line="240" w:lineRule="auto"/>
        <w:contextualSpacing/>
        <w:jc w:val="center"/>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w:drawing>
          <wp:inline distT="0" distB="0" distL="0" distR="0" wp14:anchorId="71B3073E" wp14:editId="7B4B547C">
            <wp:extent cx="3240024" cy="3710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 2 3.tif"/>
                    <pic:cNvPicPr/>
                  </pic:nvPicPr>
                  <pic:blipFill>
                    <a:blip r:embed="rId5"/>
                    <a:stretch>
                      <a:fillRect/>
                    </a:stretch>
                  </pic:blipFill>
                  <pic:spPr>
                    <a:xfrm>
                      <a:off x="0" y="0"/>
                      <a:ext cx="3240024" cy="3710940"/>
                    </a:xfrm>
                    <a:prstGeom prst="rect">
                      <a:avLst/>
                    </a:prstGeom>
                  </pic:spPr>
                </pic:pic>
              </a:graphicData>
            </a:graphic>
          </wp:inline>
        </w:drawing>
      </w:r>
    </w:p>
    <w:p w:rsidR="0010518E" w:rsidRDefault="0010518E" w:rsidP="00C66487">
      <w:pPr>
        <w:spacing w:after="0" w:line="240" w:lineRule="auto"/>
        <w:contextualSpacing/>
        <w:jc w:val="both"/>
        <w:rPr>
          <w:rFonts w:ascii="Arial" w:eastAsiaTheme="minorEastAsia" w:hAnsi="Arial" w:cs="Arial"/>
          <w:sz w:val="16"/>
          <w:szCs w:val="16"/>
        </w:rPr>
      </w:pPr>
      <w:r w:rsidRPr="002C3378">
        <w:rPr>
          <w:rFonts w:ascii="Arial" w:eastAsiaTheme="minorEastAsia" w:hAnsi="Arial" w:cs="Arial"/>
          <w:b/>
          <w:sz w:val="16"/>
          <w:szCs w:val="16"/>
        </w:rPr>
        <w:t xml:space="preserve">eFigure </w:t>
      </w:r>
      <w:r>
        <w:rPr>
          <w:rFonts w:ascii="Arial" w:eastAsiaTheme="minorEastAsia" w:hAnsi="Arial" w:cs="Arial"/>
          <w:b/>
          <w:sz w:val="16"/>
          <w:szCs w:val="16"/>
        </w:rPr>
        <w:t>2</w:t>
      </w:r>
      <w:r w:rsidRPr="002C3378">
        <w:rPr>
          <w:rFonts w:ascii="Arial" w:eastAsiaTheme="minorEastAsia" w:hAnsi="Arial" w:cs="Arial"/>
          <w:sz w:val="16"/>
          <w:szCs w:val="16"/>
        </w:rPr>
        <w:t xml:space="preserve">: Median and 95% confidence intervals (with individual data points) of the </w:t>
      </w:r>
      <w:r>
        <w:rPr>
          <w:rFonts w:ascii="Arial" w:eastAsiaTheme="minorEastAsia" w:hAnsi="Arial" w:cs="Arial"/>
          <w:sz w:val="16"/>
          <w:szCs w:val="16"/>
        </w:rPr>
        <w:t>anteroposterior</w:t>
      </w:r>
      <w:r w:rsidRPr="002C3378">
        <w:rPr>
          <w:rFonts w:ascii="Arial" w:eastAsiaTheme="minorEastAsia" w:hAnsi="Arial" w:cs="Arial"/>
          <w:sz w:val="16"/>
          <w:szCs w:val="16"/>
        </w:rPr>
        <w:t xml:space="preserve"> margin of stability during the second and </w:t>
      </w:r>
      <w:r>
        <w:rPr>
          <w:rFonts w:ascii="Arial" w:eastAsiaTheme="minorEastAsia" w:hAnsi="Arial" w:cs="Arial"/>
          <w:sz w:val="16"/>
          <w:szCs w:val="16"/>
        </w:rPr>
        <w:t>third</w:t>
      </w:r>
      <w:r w:rsidRPr="002C3378">
        <w:rPr>
          <w:rFonts w:ascii="Arial" w:eastAsiaTheme="minorEastAsia" w:hAnsi="Arial" w:cs="Arial"/>
          <w:sz w:val="16"/>
          <w:szCs w:val="16"/>
        </w:rPr>
        <w:t xml:space="preserve"> perturbations (Pert2</w:t>
      </w:r>
      <w:r w:rsidRPr="002C3378">
        <w:rPr>
          <w:rFonts w:ascii="Arial" w:eastAsiaTheme="minorEastAsia" w:hAnsi="Arial" w:cs="Arial"/>
          <w:sz w:val="16"/>
          <w:szCs w:val="16"/>
          <w:vertAlign w:val="subscript"/>
        </w:rPr>
        <w:t>L</w:t>
      </w:r>
      <w:r w:rsidRPr="002C3378">
        <w:rPr>
          <w:rFonts w:ascii="Arial" w:eastAsiaTheme="minorEastAsia" w:hAnsi="Arial" w:cs="Arial"/>
          <w:sz w:val="16"/>
          <w:szCs w:val="16"/>
        </w:rPr>
        <w:t xml:space="preserve"> and Pert</w:t>
      </w:r>
      <w:r>
        <w:rPr>
          <w:rFonts w:ascii="Arial" w:eastAsiaTheme="minorEastAsia" w:hAnsi="Arial" w:cs="Arial"/>
          <w:sz w:val="16"/>
          <w:szCs w:val="16"/>
        </w:rPr>
        <w:t>3</w:t>
      </w:r>
      <w:r w:rsidRPr="002C3378">
        <w:rPr>
          <w:rFonts w:ascii="Arial" w:eastAsiaTheme="minorEastAsia" w:hAnsi="Arial" w:cs="Arial"/>
          <w:sz w:val="16"/>
          <w:szCs w:val="16"/>
          <w:vertAlign w:val="subscript"/>
        </w:rPr>
        <w:t>L</w:t>
      </w:r>
      <w:r w:rsidRPr="002C3378">
        <w:rPr>
          <w:rFonts w:ascii="Arial" w:eastAsiaTheme="minorEastAsia" w:hAnsi="Arial" w:cs="Arial"/>
          <w:sz w:val="16"/>
          <w:szCs w:val="16"/>
        </w:rPr>
        <w:t xml:space="preserve">, respectively) including unperturbed walking prior to each perturbation (Base), the final step prior to each perturbation (Pre) and the first eight recovery steps following the perturbations (Post1-8) for </w:t>
      </w:r>
      <w:r>
        <w:rPr>
          <w:rFonts w:ascii="Arial" w:eastAsiaTheme="minorEastAsia" w:hAnsi="Arial" w:cs="Arial"/>
          <w:sz w:val="16"/>
          <w:szCs w:val="16"/>
        </w:rPr>
        <w:t>the</w:t>
      </w:r>
      <w:r w:rsidRPr="002C3378">
        <w:rPr>
          <w:rFonts w:ascii="Arial" w:eastAsiaTheme="minorEastAsia" w:hAnsi="Arial" w:cs="Arial"/>
          <w:sz w:val="16"/>
          <w:szCs w:val="16"/>
        </w:rPr>
        <w:t xml:space="preserve"> older adults. B</w:t>
      </w:r>
      <w:r>
        <w:rPr>
          <w:rFonts w:ascii="Arial" w:eastAsiaTheme="minorEastAsia" w:hAnsi="Arial" w:cs="Arial"/>
          <w:sz w:val="16"/>
          <w:szCs w:val="16"/>
        </w:rPr>
        <w:t>2</w:t>
      </w:r>
      <w:r w:rsidRPr="002C3378">
        <w:rPr>
          <w:rFonts w:ascii="Arial" w:eastAsiaTheme="minorEastAsia" w:hAnsi="Arial" w:cs="Arial"/>
          <w:sz w:val="16"/>
          <w:szCs w:val="16"/>
        </w:rPr>
        <w:t xml:space="preserve"> and B</w:t>
      </w:r>
      <w:r>
        <w:rPr>
          <w:rFonts w:ascii="Arial" w:eastAsiaTheme="minorEastAsia" w:hAnsi="Arial" w:cs="Arial"/>
          <w:sz w:val="16"/>
          <w:szCs w:val="16"/>
        </w:rPr>
        <w:t>3</w:t>
      </w:r>
      <w:r w:rsidRPr="002C3378">
        <w:rPr>
          <w:rFonts w:ascii="Arial" w:eastAsiaTheme="minorEastAsia" w:hAnsi="Arial" w:cs="Arial"/>
          <w:sz w:val="16"/>
          <w:szCs w:val="16"/>
        </w:rPr>
        <w:t>: Significant difference to Base for Pert2</w:t>
      </w:r>
      <w:r w:rsidRPr="002C3378">
        <w:rPr>
          <w:rFonts w:ascii="Arial" w:eastAsiaTheme="minorEastAsia" w:hAnsi="Arial" w:cs="Arial"/>
          <w:sz w:val="16"/>
          <w:szCs w:val="16"/>
          <w:vertAlign w:val="subscript"/>
        </w:rPr>
        <w:t>L</w:t>
      </w:r>
      <w:r w:rsidRPr="002C3378">
        <w:rPr>
          <w:rFonts w:ascii="Arial" w:eastAsiaTheme="minorEastAsia" w:hAnsi="Arial" w:cs="Arial"/>
          <w:sz w:val="16"/>
          <w:szCs w:val="16"/>
        </w:rPr>
        <w:t xml:space="preserve"> and Pert</w:t>
      </w:r>
      <w:r>
        <w:rPr>
          <w:rFonts w:ascii="Arial" w:eastAsiaTheme="minorEastAsia" w:hAnsi="Arial" w:cs="Arial"/>
          <w:sz w:val="16"/>
          <w:szCs w:val="16"/>
        </w:rPr>
        <w:t>3</w:t>
      </w:r>
      <w:r w:rsidRPr="002C3378">
        <w:rPr>
          <w:rFonts w:ascii="Arial" w:eastAsiaTheme="minorEastAsia" w:hAnsi="Arial" w:cs="Arial"/>
          <w:sz w:val="16"/>
          <w:szCs w:val="16"/>
          <w:vertAlign w:val="subscript"/>
        </w:rPr>
        <w:t>L</w:t>
      </w:r>
      <w:r w:rsidRPr="002C3378">
        <w:rPr>
          <w:rFonts w:ascii="Arial" w:eastAsiaTheme="minorEastAsia" w:hAnsi="Arial" w:cs="Arial"/>
          <w:sz w:val="16"/>
          <w:szCs w:val="16"/>
        </w:rPr>
        <w:t>, respectively (P&lt;0.05). *: Significant difference between Pert2</w:t>
      </w:r>
      <w:r w:rsidRPr="002C3378">
        <w:rPr>
          <w:rFonts w:ascii="Arial" w:eastAsiaTheme="minorEastAsia" w:hAnsi="Arial" w:cs="Arial"/>
          <w:sz w:val="16"/>
          <w:szCs w:val="16"/>
          <w:vertAlign w:val="subscript"/>
        </w:rPr>
        <w:t>L</w:t>
      </w:r>
      <w:r w:rsidRPr="002C3378">
        <w:rPr>
          <w:rFonts w:ascii="Arial" w:eastAsiaTheme="minorEastAsia" w:hAnsi="Arial" w:cs="Arial"/>
          <w:sz w:val="16"/>
          <w:szCs w:val="16"/>
        </w:rPr>
        <w:t xml:space="preserve"> and Pert</w:t>
      </w:r>
      <w:r>
        <w:rPr>
          <w:rFonts w:ascii="Arial" w:eastAsiaTheme="minorEastAsia" w:hAnsi="Arial" w:cs="Arial"/>
          <w:sz w:val="16"/>
          <w:szCs w:val="16"/>
        </w:rPr>
        <w:t>3</w:t>
      </w:r>
      <w:r w:rsidRPr="002C3378">
        <w:rPr>
          <w:rFonts w:ascii="Arial" w:eastAsiaTheme="minorEastAsia" w:hAnsi="Arial" w:cs="Arial"/>
          <w:sz w:val="16"/>
          <w:szCs w:val="16"/>
          <w:vertAlign w:val="subscript"/>
        </w:rPr>
        <w:t>L</w:t>
      </w:r>
      <w:r w:rsidRPr="002C3378">
        <w:rPr>
          <w:rFonts w:ascii="Arial" w:eastAsiaTheme="minorEastAsia" w:hAnsi="Arial" w:cs="Arial"/>
          <w:sz w:val="16"/>
          <w:szCs w:val="16"/>
        </w:rPr>
        <w:t xml:space="preserve"> (P&lt;0.05). </w:t>
      </w:r>
    </w:p>
    <w:p w:rsidR="0010518E" w:rsidRDefault="0010518E" w:rsidP="00BB09B5">
      <w:pPr>
        <w:spacing w:after="0" w:line="240" w:lineRule="auto"/>
        <w:contextualSpacing/>
        <w:jc w:val="both"/>
        <w:rPr>
          <w:rFonts w:ascii="Times New Roman" w:eastAsiaTheme="minorEastAsia" w:hAnsi="Times New Roman" w:cs="Times New Roman"/>
          <w:sz w:val="20"/>
          <w:szCs w:val="20"/>
        </w:rPr>
      </w:pPr>
    </w:p>
    <w:p w:rsidR="0010518E" w:rsidRDefault="0010518E" w:rsidP="00BB09B5">
      <w:pPr>
        <w:spacing w:after="0" w:line="240" w:lineRule="auto"/>
        <w:contextualSpacing/>
        <w:jc w:val="both"/>
        <w:rPr>
          <w:rFonts w:ascii="Times New Roman" w:eastAsiaTheme="minorEastAsia" w:hAnsi="Times New Roman" w:cs="Times New Roman"/>
          <w:sz w:val="20"/>
          <w:szCs w:val="20"/>
        </w:rPr>
      </w:pPr>
    </w:p>
    <w:p w:rsidR="0010518E" w:rsidRDefault="0010518E" w:rsidP="00BB09B5">
      <w:pPr>
        <w:spacing w:after="0" w:line="240" w:lineRule="auto"/>
        <w:contextualSpacing/>
        <w:jc w:val="both"/>
        <w:rPr>
          <w:rFonts w:ascii="Times New Roman" w:eastAsiaTheme="minorEastAsia" w:hAnsi="Times New Roman" w:cs="Times New Roman"/>
          <w:sz w:val="20"/>
          <w:szCs w:val="20"/>
        </w:rPr>
      </w:pPr>
    </w:p>
    <w:p w:rsidR="0010518E" w:rsidRPr="00BB09B5" w:rsidRDefault="0010518E" w:rsidP="00BB09B5">
      <w:pPr>
        <w:spacing w:after="0" w:line="240" w:lineRule="auto"/>
        <w:contextualSpacing/>
        <w:jc w:val="both"/>
        <w:rPr>
          <w:rFonts w:ascii="Times New Roman" w:eastAsiaTheme="minorEastAsia" w:hAnsi="Times New Roman" w:cs="Times New Roman"/>
          <w:sz w:val="20"/>
          <w:szCs w:val="20"/>
        </w:rPr>
      </w:pPr>
    </w:p>
    <w:p w:rsidR="0010518E" w:rsidRPr="002C3378" w:rsidRDefault="0010518E" w:rsidP="002C3378">
      <w:pPr>
        <w:jc w:val="both"/>
        <w:rPr>
          <w:rFonts w:ascii="Times New Roman" w:eastAsiaTheme="minorEastAsia" w:hAnsi="Times New Roman" w:cs="Times New Roman"/>
          <w:i/>
          <w:sz w:val="24"/>
          <w:szCs w:val="24"/>
        </w:rPr>
      </w:pPr>
      <w:r w:rsidRPr="002C3378">
        <w:rPr>
          <w:rFonts w:ascii="Times New Roman" w:eastAsiaTheme="minorEastAsia" w:hAnsi="Times New Roman" w:cs="Times New Roman"/>
          <w:i/>
          <w:sz w:val="24"/>
          <w:szCs w:val="24"/>
        </w:rPr>
        <w:br w:type="page"/>
      </w:r>
    </w:p>
    <w:p w:rsidR="0010518E" w:rsidRPr="002C3378" w:rsidRDefault="0010518E" w:rsidP="002C3378">
      <w:pPr>
        <w:jc w:val="both"/>
        <w:rPr>
          <w:rFonts w:ascii="Times New Roman" w:eastAsiaTheme="minorEastAsia" w:hAnsi="Times New Roman" w:cs="Times New Roman"/>
          <w:i/>
          <w:sz w:val="24"/>
          <w:szCs w:val="24"/>
        </w:rPr>
        <w:sectPr w:rsidR="0010518E" w:rsidRPr="002C3378" w:rsidSect="001638DA">
          <w:footerReference w:type="default" r:id="rId6"/>
          <w:pgSz w:w="11906" w:h="16838"/>
          <w:pgMar w:top="1440" w:right="1440" w:bottom="1440" w:left="1440" w:header="708" w:footer="708" w:gutter="0"/>
          <w:cols w:space="708"/>
          <w:docGrid w:linePitch="360"/>
        </w:sectPr>
      </w:pP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1: Bonferroni’s multiple comparison test results comparing recovery steps to baseline in Pert1</w:t>
      </w:r>
      <w:r w:rsidRPr="002C3378">
        <w:rPr>
          <w:rFonts w:ascii="Arial" w:hAnsi="Arial" w:cs="Arial"/>
          <w:b/>
          <w:sz w:val="24"/>
          <w:szCs w:val="24"/>
          <w:vertAlign w:val="subscript"/>
        </w:rPr>
        <w:t>R</w:t>
      </w:r>
      <w:r w:rsidRPr="002C3378">
        <w:rPr>
          <w:rFonts w:ascii="Arial" w:hAnsi="Arial" w:cs="Arial"/>
          <w:b/>
          <w:sz w:val="24"/>
          <w:szCs w:val="24"/>
        </w:rPr>
        <w:t>, Pert2</w:t>
      </w:r>
      <w:r w:rsidRPr="002C3378">
        <w:rPr>
          <w:rFonts w:ascii="Arial" w:hAnsi="Arial" w:cs="Arial"/>
          <w:b/>
          <w:sz w:val="24"/>
          <w:szCs w:val="24"/>
          <w:vertAlign w:val="subscript"/>
        </w:rPr>
        <w:t>L</w:t>
      </w:r>
      <w:r w:rsidRPr="002C3378">
        <w:rPr>
          <w:rFonts w:ascii="Arial" w:hAnsi="Arial" w:cs="Arial"/>
          <w:b/>
          <w:sz w:val="24"/>
          <w:szCs w:val="24"/>
        </w:rPr>
        <w:t xml:space="preserve"> and Pert9</w:t>
      </w:r>
      <w:r w:rsidRPr="002C3378">
        <w:rPr>
          <w:rFonts w:ascii="Arial" w:hAnsi="Arial" w:cs="Arial"/>
          <w:b/>
          <w:sz w:val="24"/>
          <w:szCs w:val="24"/>
          <w:vertAlign w:val="subscript"/>
        </w:rPr>
        <w:t>L</w:t>
      </w:r>
      <w:r w:rsidRPr="002C3378">
        <w:rPr>
          <w:rFonts w:ascii="Arial" w:hAnsi="Arial" w:cs="Arial"/>
          <w:b/>
          <w:sz w:val="24"/>
          <w:szCs w:val="24"/>
        </w:rPr>
        <w:t xml:space="preserve"> for MoS</w:t>
      </w:r>
      <w:r w:rsidRPr="002C3378">
        <w:rPr>
          <w:rFonts w:ascii="Arial" w:hAnsi="Arial" w:cs="Arial"/>
          <w:b/>
          <w:sz w:val="24"/>
          <w:szCs w:val="24"/>
          <w:vertAlign w:val="subscript"/>
        </w:rPr>
        <w:t>AP</w:t>
      </w:r>
      <w:r w:rsidRPr="002C3378">
        <w:rPr>
          <w:rFonts w:ascii="Arial" w:hAnsi="Arial" w:cs="Arial"/>
          <w:b/>
          <w:sz w:val="24"/>
          <w:szCs w:val="24"/>
        </w:rPr>
        <w:t xml:space="preserve"> </w:t>
      </w:r>
      <w:r>
        <w:rPr>
          <w:rFonts w:ascii="Arial" w:hAnsi="Arial" w:cs="Arial"/>
          <w:b/>
          <w:szCs w:val="24"/>
        </w:rPr>
        <w:t xml:space="preserve">[m] </w:t>
      </w:r>
      <w:r w:rsidRPr="002C3378">
        <w:rPr>
          <w:rFonts w:ascii="Arial" w:hAnsi="Arial" w:cs="Arial"/>
          <w:b/>
          <w:sz w:val="24"/>
          <w:szCs w:val="24"/>
        </w:rPr>
        <w:t>in the young and older adults</w:t>
      </w:r>
    </w:p>
    <w:tbl>
      <w:tblPr>
        <w:tblW w:w="0" w:type="auto"/>
        <w:tblLook w:val="04A0" w:firstRow="1" w:lastRow="0" w:firstColumn="1" w:lastColumn="0" w:noHBand="0" w:noVBand="1"/>
      </w:tblPr>
      <w:tblGrid>
        <w:gridCol w:w="1405"/>
        <w:gridCol w:w="1550"/>
        <w:gridCol w:w="939"/>
        <w:gridCol w:w="1229"/>
        <w:gridCol w:w="1229"/>
        <w:gridCol w:w="1150"/>
        <w:gridCol w:w="472"/>
        <w:gridCol w:w="472"/>
        <w:gridCol w:w="828"/>
        <w:gridCol w:w="483"/>
        <w:gridCol w:w="2229"/>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color w:val="000000"/>
                <w:sz w:val="20"/>
                <w:szCs w:val="20"/>
                <w:lang w:eastAsia="en-GB"/>
              </w:rPr>
            </w:pPr>
            <w:r w:rsidRPr="002C3378">
              <w:rPr>
                <w:rFonts w:ascii="Arial" w:eastAsia="Times New Roman" w:hAnsi="Arial" w:cs="Arial"/>
                <w:b/>
                <w:bCs/>
                <w:color w:val="000000"/>
                <w:sz w:val="20"/>
                <w:szCs w:val="20"/>
                <w:lang w:eastAsia="en-GB"/>
              </w:rPr>
              <w:t>Perturbation</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Pert1</w:t>
            </w:r>
            <w:r w:rsidRPr="002C3378">
              <w:rPr>
                <w:rFonts w:ascii="Arial" w:eastAsia="Times New Roman" w:hAnsi="Arial" w:cs="Arial"/>
                <w:b/>
                <w:bCs/>
                <w:sz w:val="20"/>
                <w:szCs w:val="20"/>
                <w:vertAlign w:val="subscript"/>
                <w:lang w:eastAsia="en-GB"/>
              </w:rPr>
              <w:t>R</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17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-0.002954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0.8884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-0.01292 to 0.007008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0.03594 to 0.09585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0.09085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0.04186 to 0.1398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-0.06068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9.721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0.07414 to 0.1402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0.08607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9.213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0.05808 to 0.1141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4.411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0.01429 to 0.07482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0.008469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-0.003432 to 0.04732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0.1335</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0.006845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-0.004411 to 0.03660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0.2313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0.03976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0.006733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0.005854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-0.01080 to 0.02427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-0.006443 to 0.01411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-0.06213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-0.09973 to -0.02452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-0.01506 to 0.06892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0.5709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-0.0007875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0.05038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0.01824 to 0.08253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0.0006</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0.07746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7.143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0.04467 to 0.1103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-0.009746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5.846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0.02865 to 0.09004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0.007151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6.348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0.02377 to 0.06702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0.007473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0.01135 to 0.05654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0.02613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0.02347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3.048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0.0001856 to 0.04675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0.0471</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Pert2</w:t>
            </w:r>
            <w:r w:rsidRPr="002C3378">
              <w:rPr>
                <w:rFonts w:ascii="Arial" w:eastAsia="Times New Roman" w:hAnsi="Arial" w:cs="Arial"/>
                <w:b/>
                <w:bCs/>
                <w:sz w:val="20"/>
                <w:szCs w:val="20"/>
                <w:vertAlign w:val="subscript"/>
                <w:lang w:eastAsia="en-GB"/>
              </w:rPr>
              <w:t>L</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0.003637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0.002281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-0.003198 to 0.01047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0.06281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0.02730 to 0.09831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0.06353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0.02239 to 0.1047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0.0006</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0.03642 to 0.1123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0.08307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0.009214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9.016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0.05546 to 0.1107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0.009356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0.009103 to 0.06516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0.005298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3.175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0.0009481 to 0.03269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-0.001082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0.004687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0.2309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-0.01512 to 0.01296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0.007127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0.003821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1.865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-0.004321 to 0.01857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0.6509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0.004662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0.8179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-0.01024 to 0.01786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0.06765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-0.06334 to 0.02365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0.002104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3.388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0.005044 to 0.08635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2.471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-0.007437 to 0.07520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0.1806</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0.08529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7.954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0.05297 to 0.1176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0.001129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0.008095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5.765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0.02228 to 0.07107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-0.005296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0.007842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6.771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0.02946 to 0.07673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0.006037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0.01177 to 0.04816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0.004551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3.845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0.003782 to 0.03121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Pert9</w:t>
            </w:r>
            <w:r w:rsidRPr="002C3378">
              <w:rPr>
                <w:rFonts w:ascii="Arial" w:eastAsia="Times New Roman" w:hAnsi="Arial" w:cs="Arial"/>
                <w:b/>
                <w:bCs/>
                <w:sz w:val="20"/>
                <w:szCs w:val="20"/>
                <w:vertAlign w:val="subscript"/>
                <w:lang w:eastAsia="en-GB"/>
              </w:rPr>
              <w:t>L</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0.005184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0.003708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-0.005926 to 0.01629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-0.04829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0.09956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0.07454 to 0.1246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0.06281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5.864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0.03072 to 0.09490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3.663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0.006980 to 0.06972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0.007465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0.01609 to 0.06082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0.005653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2.429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-0.003205 to 0.03067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0.1941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0.009278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-0.005343 to 0.02390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0.6054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0.05671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-0.005442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0.005333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-0.02142 to 0.01053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0.05212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-0.0008489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0.2198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-0.01242 to 0.01072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0.05559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-0.001034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-0.01279 to 0.01072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0.07999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0.03934 to 0.1206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4.038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0.01068 to 0.07352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0.0036</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0.004749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0.01773 to 0.08189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0.0006</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0.01276 to 0.07214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0.008151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0.0002450 to 0.04937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-0.0008939 to 0.03969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0.0691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0.004786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0.003699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-0.006363 to 0.01594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0.04842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0.006134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-0.006613 to 0.01888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Default="0010518E">
      <w:pPr>
        <w:rPr>
          <w:rFonts w:ascii="Arial" w:hAnsi="Arial" w:cs="Arial"/>
          <w:b/>
          <w:sz w:val="24"/>
          <w:szCs w:val="24"/>
        </w:rPr>
      </w:pPr>
      <w:r>
        <w:rPr>
          <w:rFonts w:ascii="Arial" w:hAnsi="Arial" w:cs="Arial"/>
          <w:b/>
          <w:sz w:val="24"/>
          <w:szCs w:val="24"/>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2: Bonferroni’s multiple comparison test results comparing the young and older adults in Pert1</w:t>
      </w:r>
      <w:r w:rsidRPr="002C3378">
        <w:rPr>
          <w:rFonts w:ascii="Arial" w:hAnsi="Arial" w:cs="Arial"/>
          <w:b/>
          <w:sz w:val="24"/>
          <w:szCs w:val="24"/>
          <w:vertAlign w:val="subscript"/>
        </w:rPr>
        <w:t>R</w:t>
      </w:r>
      <w:r w:rsidRPr="002C3378">
        <w:rPr>
          <w:rFonts w:ascii="Arial" w:hAnsi="Arial" w:cs="Arial"/>
          <w:b/>
          <w:sz w:val="24"/>
          <w:szCs w:val="24"/>
        </w:rPr>
        <w:t>, Pert2</w:t>
      </w:r>
      <w:r w:rsidRPr="002C3378">
        <w:rPr>
          <w:rFonts w:ascii="Arial" w:hAnsi="Arial" w:cs="Arial"/>
          <w:b/>
          <w:sz w:val="24"/>
          <w:szCs w:val="24"/>
          <w:vertAlign w:val="subscript"/>
        </w:rPr>
        <w:t>L</w:t>
      </w:r>
      <w:r w:rsidRPr="002C3378">
        <w:rPr>
          <w:rFonts w:ascii="Arial" w:hAnsi="Arial" w:cs="Arial"/>
          <w:b/>
          <w:sz w:val="24"/>
          <w:szCs w:val="24"/>
        </w:rPr>
        <w:t xml:space="preserve"> and Pert9</w:t>
      </w:r>
      <w:r w:rsidRPr="002C3378">
        <w:rPr>
          <w:rFonts w:ascii="Arial" w:hAnsi="Arial" w:cs="Arial"/>
          <w:b/>
          <w:sz w:val="24"/>
          <w:szCs w:val="24"/>
          <w:vertAlign w:val="subscript"/>
        </w:rPr>
        <w:t>L</w:t>
      </w:r>
      <w:r w:rsidRPr="002C3378">
        <w:rPr>
          <w:rFonts w:ascii="Arial" w:hAnsi="Arial" w:cs="Arial"/>
          <w:b/>
          <w:sz w:val="24"/>
          <w:szCs w:val="24"/>
        </w:rPr>
        <w:t xml:space="preserve"> for MoS</w:t>
      </w:r>
      <w:r w:rsidRPr="002C3378">
        <w:rPr>
          <w:rFonts w:ascii="Arial" w:hAnsi="Arial" w:cs="Arial"/>
          <w:b/>
          <w:sz w:val="24"/>
          <w:szCs w:val="24"/>
          <w:vertAlign w:val="subscript"/>
        </w:rPr>
        <w:t>AP</w:t>
      </w:r>
      <w:bookmarkStart w:id="4" w:name="OLE_LINK1"/>
      <w:r w:rsidRPr="00C66487">
        <w:rPr>
          <w:rFonts w:ascii="Arial" w:hAnsi="Arial" w:cs="Arial"/>
          <w:b/>
          <w:sz w:val="24"/>
          <w:szCs w:val="24"/>
        </w:rPr>
        <w:t xml:space="preserve"> </w:t>
      </w:r>
      <w:r>
        <w:rPr>
          <w:rFonts w:ascii="Arial" w:hAnsi="Arial" w:cs="Arial"/>
          <w:b/>
          <w:szCs w:val="24"/>
        </w:rPr>
        <w:t>[m]</w:t>
      </w:r>
      <w:bookmarkEnd w:id="4"/>
    </w:p>
    <w:tbl>
      <w:tblPr>
        <w:tblW w:w="0" w:type="auto"/>
        <w:tblLook w:val="04A0" w:firstRow="1" w:lastRow="0" w:firstColumn="1" w:lastColumn="0" w:noHBand="0" w:noVBand="1"/>
      </w:tblPr>
      <w:tblGrid>
        <w:gridCol w:w="1405"/>
        <w:gridCol w:w="1462"/>
        <w:gridCol w:w="1006"/>
        <w:gridCol w:w="1229"/>
        <w:gridCol w:w="1172"/>
        <w:gridCol w:w="1150"/>
        <w:gridCol w:w="472"/>
        <w:gridCol w:w="472"/>
        <w:gridCol w:w="939"/>
        <w:gridCol w:w="717"/>
        <w:gridCol w:w="2118"/>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color w:val="000000"/>
                <w:sz w:val="20"/>
                <w:szCs w:val="20"/>
                <w:lang w:eastAsia="en-GB"/>
              </w:rPr>
            </w:pPr>
            <w:r w:rsidRPr="002C3378">
              <w:rPr>
                <w:rFonts w:ascii="Arial" w:eastAsia="Times New Roman" w:hAnsi="Arial" w:cs="Arial"/>
                <w:b/>
                <w:bCs/>
                <w:color w:val="000000"/>
                <w:sz w:val="20"/>
                <w:szCs w:val="20"/>
                <w:lang w:eastAsia="en-GB"/>
              </w:rPr>
              <w:t>Perturbation</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Pert1</w:t>
            </w:r>
            <w:r w:rsidRPr="002C3378">
              <w:rPr>
                <w:rFonts w:ascii="Arial" w:eastAsia="Times New Roman" w:hAnsi="Arial" w:cs="Arial"/>
                <w:b/>
                <w:bCs/>
                <w:sz w:val="20"/>
                <w:szCs w:val="20"/>
                <w:vertAlign w:val="subscript"/>
                <w:lang w:eastAsia="en-GB"/>
              </w:rPr>
              <w:t>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0.9805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-0.01239 to 0.006177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0.003681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0.005625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-0.01278 to 0.02014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8.488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-0.1765 to -0.08581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-0.06703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-0.1306 to -0.003460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-0.06068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-0.0007875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4.014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-0.1035 to -0.01626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0.0018</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-0.05511 to 0.03169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-0.009746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0.8191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-0.03002 to 0.05337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-0.01331 to 0.05400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0.8262</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0.009696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-0.01363 to 0.04312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0.03976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0.02613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0.009728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1.401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48.45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-0.01499 to 0.04224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Pert2</w:t>
            </w:r>
            <w:r w:rsidRPr="002C3378">
              <w:rPr>
                <w:rFonts w:ascii="Arial" w:eastAsia="Times New Roman" w:hAnsi="Arial" w:cs="Arial"/>
                <w:b/>
                <w:bCs/>
                <w:sz w:val="20"/>
                <w:szCs w:val="20"/>
                <w:vertAlign w:val="subscript"/>
                <w:lang w:eastAsia="en-GB"/>
              </w:rPr>
              <w:t>L</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-0.004378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-0.01382 to 0.005067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0.005268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 to 0.01128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0.06765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-0.08703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4.848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-0.1396 to -0.03447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0.0001</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0.002104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-0.07827 to 0.03384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-0.1006 to 0.01080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0.2198</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-0.002159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-0.04219 to 0.03787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0.001129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0.005161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0.4143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-0.03127 to 0.04160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-0.005296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0.009763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3.267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0.003185 to 0.06061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0.001343 to 0.05200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0.0324</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0.005992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0.005649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1.061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54.39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-0.01054 to 0.02252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Pert9</w:t>
            </w:r>
            <w:r w:rsidRPr="002C3378">
              <w:rPr>
                <w:rFonts w:ascii="Arial" w:eastAsia="Times New Roman" w:hAnsi="Arial" w:cs="Arial"/>
                <w:b/>
                <w:bCs/>
                <w:sz w:val="20"/>
                <w:szCs w:val="20"/>
                <w:vertAlign w:val="subscript"/>
                <w:lang w:eastAsia="en-GB"/>
              </w:rPr>
              <w:t>L</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-0.01457 to 0.007995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0.05559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-0.009507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0.005474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-0.02553 to 0.006512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0.8808</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-0.04829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-0.06924 to 0.02353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1.661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-0.06623 to 0.01823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0.004749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0.008169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-0.03496 to 0.05130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0.0007005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0.06081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-0.03309 to 0.03449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0.7831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-0.02153 to 0.03711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0.006832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0.008266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0.8266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-0.01741 to 0.03107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0.05671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0.006938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0.007204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-0.01413 to 0.02800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0.05212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0.04842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0.003693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0.006066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0.6088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54.88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-0.01405 to 0.02143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b/>
          <w:sz w:val="20"/>
          <w:szCs w:val="20"/>
        </w:rPr>
      </w:pPr>
      <w:r w:rsidRPr="002C3378">
        <w:rPr>
          <w:rFonts w:ascii="Arial" w:hAnsi="Arial" w:cs="Arial"/>
          <w:b/>
          <w:sz w:val="20"/>
          <w:szCs w:val="20"/>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3: Bonferroni’s multiple comparison test results comparing recovery steps to baseline in Pert1</w:t>
      </w:r>
      <w:r w:rsidRPr="002C3378">
        <w:rPr>
          <w:rFonts w:ascii="Arial" w:hAnsi="Arial" w:cs="Arial"/>
          <w:b/>
          <w:sz w:val="24"/>
          <w:szCs w:val="24"/>
          <w:vertAlign w:val="subscript"/>
        </w:rPr>
        <w:t>R</w:t>
      </w:r>
      <w:r w:rsidRPr="002C3378">
        <w:rPr>
          <w:rFonts w:ascii="Arial" w:hAnsi="Arial" w:cs="Arial"/>
          <w:b/>
          <w:sz w:val="24"/>
          <w:szCs w:val="24"/>
        </w:rPr>
        <w:t>, Pert2</w:t>
      </w:r>
      <w:r w:rsidRPr="002C3378">
        <w:rPr>
          <w:rFonts w:ascii="Arial" w:hAnsi="Arial" w:cs="Arial"/>
          <w:b/>
          <w:sz w:val="24"/>
          <w:szCs w:val="24"/>
          <w:vertAlign w:val="subscript"/>
        </w:rPr>
        <w:t>L</w:t>
      </w:r>
      <w:r w:rsidRPr="002C3378">
        <w:rPr>
          <w:rFonts w:ascii="Arial" w:hAnsi="Arial" w:cs="Arial"/>
          <w:b/>
          <w:sz w:val="24"/>
          <w:szCs w:val="24"/>
        </w:rPr>
        <w:t xml:space="preserve"> and Pert9</w:t>
      </w:r>
      <w:r w:rsidRPr="002C3378">
        <w:rPr>
          <w:rFonts w:ascii="Arial" w:hAnsi="Arial" w:cs="Arial"/>
          <w:b/>
          <w:sz w:val="24"/>
          <w:szCs w:val="24"/>
          <w:vertAlign w:val="subscript"/>
        </w:rPr>
        <w:t>L</w:t>
      </w:r>
      <w:r w:rsidRPr="002C3378">
        <w:rPr>
          <w:rFonts w:ascii="Arial" w:hAnsi="Arial" w:cs="Arial"/>
          <w:b/>
          <w:sz w:val="24"/>
          <w:szCs w:val="24"/>
        </w:rPr>
        <w:t xml:space="preserve"> for BoS</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young and older adults</w:t>
      </w:r>
    </w:p>
    <w:tbl>
      <w:tblPr>
        <w:tblW w:w="0" w:type="auto"/>
        <w:tblLook w:val="04A0" w:firstRow="1" w:lastRow="0" w:firstColumn="1" w:lastColumn="0" w:noHBand="0" w:noVBand="1"/>
      </w:tblPr>
      <w:tblGrid>
        <w:gridCol w:w="1405"/>
        <w:gridCol w:w="1550"/>
        <w:gridCol w:w="895"/>
        <w:gridCol w:w="895"/>
        <w:gridCol w:w="1229"/>
        <w:gridCol w:w="1150"/>
        <w:gridCol w:w="472"/>
        <w:gridCol w:w="472"/>
        <w:gridCol w:w="828"/>
        <w:gridCol w:w="483"/>
        <w:gridCol w:w="2185"/>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color w:val="000000"/>
                <w:sz w:val="20"/>
                <w:szCs w:val="20"/>
                <w:lang w:eastAsia="en-GB"/>
              </w:rPr>
            </w:pPr>
            <w:r w:rsidRPr="002C3378">
              <w:rPr>
                <w:rFonts w:ascii="Arial" w:eastAsia="Times New Roman" w:hAnsi="Arial" w:cs="Arial"/>
                <w:b/>
                <w:bCs/>
                <w:color w:val="000000"/>
                <w:sz w:val="20"/>
                <w:szCs w:val="20"/>
                <w:lang w:eastAsia="en-GB"/>
              </w:rPr>
              <w:t>Perturbation</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Pert1</w:t>
            </w:r>
            <w:r w:rsidRPr="002C3378">
              <w:rPr>
                <w:rFonts w:ascii="Arial" w:eastAsia="Times New Roman" w:hAnsi="Arial" w:cs="Arial"/>
                <w:b/>
                <w:bCs/>
                <w:sz w:val="20"/>
                <w:szCs w:val="20"/>
                <w:vertAlign w:val="subscript"/>
                <w:lang w:eastAsia="en-GB"/>
              </w:rPr>
              <w:t>R</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0.001409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0.003597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0.3916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-0.009367 to 0.01218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7.173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-0.1865 to -0.07660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17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0.3485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0.3197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9.765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0.2216 to 0.4178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-0.04646 to 0.1140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0.7061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3.398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-0.07129 to -0.004487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-0.004110 to 0.05555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0.1359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0.008043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2.194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-0.006451 to 0.04174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0.3277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0.006189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0.01313 to 0.05021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0.01701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2.536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-0.003088 to 0.03712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0.1518</w:t>
            </w:r>
          </w:p>
        </w:tc>
      </w:tr>
      <w:tr w:rsidR="0010518E" w:rsidRPr="002C3378" w:rsidTr="00717FAF">
        <w:trPr>
          <w:gridAfter w:val="10"/>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0.004034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0.9484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-0.008373 to 0.01603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0.7432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-0.09937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9.723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-0.1303 to -0.06847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0.4002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0.3020 to 0.4984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0.03516 to 0.1995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-0.04109 to 0.1280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-0.03317 to 0.07977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0.3664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-0.04111 to 0.03222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-0.01290 to 0.06899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0.4355</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0.01053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1.404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-0.01705 to 0.04663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Pert2</w:t>
            </w:r>
            <w:r w:rsidRPr="002C3378">
              <w:rPr>
                <w:rFonts w:ascii="Arial" w:eastAsia="Times New Roman" w:hAnsi="Arial" w:cs="Arial"/>
                <w:b/>
                <w:bCs/>
                <w:sz w:val="20"/>
                <w:szCs w:val="20"/>
                <w:vertAlign w:val="subscript"/>
                <w:lang w:eastAsia="en-GB"/>
              </w:rPr>
              <w:t>L</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0.007867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-0.003531 to 0.01927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0.4292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0.8094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-0.1459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8.055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-0.2002 to -0.09164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0.4273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0.2362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0.1422 to 0.3302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-0.02527 to 0.07833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0.7137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-0.08409 to -0.01630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0.008528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0.3737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-0.02874 to 0.02236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0.009177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0.007922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-0.01456 to 0.03291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2.203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-0.006596 to 0.04323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0.3215</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0.6536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0.009872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0.005144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1.919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-0.005541 to 0.02528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0.005399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0.005054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-0.009831 to 0.02063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0.7397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-0.1632 to -0.04197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0.3686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0.2946 to 0.4426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0.04640 to 0.1401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-0.03633 to 0.1152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-0.04248 to 0.04026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-0.06110 to 0.01110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0.4183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0.001548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0.008807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0.1758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-0.02500 to 0.02809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0.6335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0.00356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0.006141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0.5797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-0.01495 to 0.02207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Pert9</w:t>
            </w:r>
            <w:r w:rsidRPr="002C3378">
              <w:rPr>
                <w:rFonts w:ascii="Arial" w:eastAsia="Times New Roman" w:hAnsi="Arial" w:cs="Arial"/>
                <w:b/>
                <w:bCs/>
                <w:sz w:val="20"/>
                <w:szCs w:val="20"/>
                <w:vertAlign w:val="subscript"/>
                <w:lang w:eastAsia="en-GB"/>
              </w:rPr>
              <w:t>L</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0.005362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-0.003684 to 0.01441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0.7762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0.7637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-0.1612 to -0.02113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0.08989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0.03361 to 0.1462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2.156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 to 0.07165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0.3553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0.6992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0.007545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3.535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-0.04927 to -0.004066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0.0125</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-0.0004707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-0.01827 to 0.01733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0.7103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-0.01009 to 0.01635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0.008934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-0.004478 to 0.02235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0.4989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0.008676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0.004403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-0.004516 to 0.02187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0.5258</w:t>
            </w:r>
          </w:p>
        </w:tc>
      </w:tr>
      <w:tr w:rsidR="0010518E" w:rsidRPr="002C3378" w:rsidTr="00717FAF">
        <w:trPr>
          <w:gridAfter w:val="10"/>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0.9753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-0.01788 to 0.009136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0.7138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-0.07178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3.539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-0.1329 to -0.01065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0.5109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0.05276 to 0.2095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0.03323 to 0.1308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0.000607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-0.03481 to 0.03603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0.8883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-0.02811 to 0.05161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0.008674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-0.04330 to 0.008984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0.007322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-0.01429 to 0.02984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0.6454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-0.003409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0.006732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0.5064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-0.02370 to 0.01688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Default="0010518E">
      <w:pPr>
        <w:rPr>
          <w:rFonts w:ascii="Arial" w:hAnsi="Arial" w:cs="Arial"/>
          <w:b/>
          <w:sz w:val="24"/>
          <w:szCs w:val="24"/>
        </w:rPr>
      </w:pPr>
      <w:r>
        <w:rPr>
          <w:rFonts w:ascii="Arial" w:hAnsi="Arial" w:cs="Arial"/>
          <w:b/>
          <w:sz w:val="24"/>
          <w:szCs w:val="24"/>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4: Bonferroni’s multiple comparison test results comparing the young and older adults in Pert1</w:t>
      </w:r>
      <w:r w:rsidRPr="002C3378">
        <w:rPr>
          <w:rFonts w:ascii="Arial" w:hAnsi="Arial" w:cs="Arial"/>
          <w:b/>
          <w:sz w:val="24"/>
          <w:szCs w:val="24"/>
          <w:vertAlign w:val="subscript"/>
        </w:rPr>
        <w:t>R</w:t>
      </w:r>
      <w:r w:rsidRPr="002C3378">
        <w:rPr>
          <w:rFonts w:ascii="Arial" w:hAnsi="Arial" w:cs="Arial"/>
          <w:b/>
          <w:sz w:val="24"/>
          <w:szCs w:val="24"/>
        </w:rPr>
        <w:t>, Pert2</w:t>
      </w:r>
      <w:r w:rsidRPr="002C3378">
        <w:rPr>
          <w:rFonts w:ascii="Arial" w:hAnsi="Arial" w:cs="Arial"/>
          <w:b/>
          <w:sz w:val="24"/>
          <w:szCs w:val="24"/>
          <w:vertAlign w:val="subscript"/>
        </w:rPr>
        <w:t>L</w:t>
      </w:r>
      <w:r w:rsidRPr="002C3378">
        <w:rPr>
          <w:rFonts w:ascii="Arial" w:hAnsi="Arial" w:cs="Arial"/>
          <w:b/>
          <w:sz w:val="24"/>
          <w:szCs w:val="24"/>
        </w:rPr>
        <w:t xml:space="preserve"> and Pert9</w:t>
      </w:r>
      <w:r w:rsidRPr="002C3378">
        <w:rPr>
          <w:rFonts w:ascii="Arial" w:hAnsi="Arial" w:cs="Arial"/>
          <w:b/>
          <w:sz w:val="24"/>
          <w:szCs w:val="24"/>
          <w:vertAlign w:val="subscript"/>
        </w:rPr>
        <w:t>L</w:t>
      </w:r>
      <w:r w:rsidRPr="002C3378">
        <w:rPr>
          <w:rFonts w:ascii="Arial" w:hAnsi="Arial" w:cs="Arial"/>
          <w:b/>
          <w:sz w:val="24"/>
          <w:szCs w:val="24"/>
        </w:rPr>
        <w:t xml:space="preserve"> for BoS</w:t>
      </w:r>
      <w:r w:rsidRPr="00C66487">
        <w:rPr>
          <w:rFonts w:ascii="Arial" w:hAnsi="Arial" w:cs="Arial"/>
          <w:b/>
          <w:sz w:val="24"/>
          <w:szCs w:val="24"/>
        </w:rPr>
        <w:t xml:space="preserve"> </w:t>
      </w:r>
      <w:r>
        <w:rPr>
          <w:rFonts w:ascii="Arial" w:hAnsi="Arial" w:cs="Arial"/>
          <w:b/>
          <w:szCs w:val="24"/>
        </w:rPr>
        <w:t>[m]</w:t>
      </w:r>
    </w:p>
    <w:tbl>
      <w:tblPr>
        <w:tblW w:w="0" w:type="auto"/>
        <w:tblLook w:val="04A0" w:firstRow="1" w:lastRow="0" w:firstColumn="1" w:lastColumn="0" w:noHBand="0" w:noVBand="1"/>
      </w:tblPr>
      <w:tblGrid>
        <w:gridCol w:w="1405"/>
        <w:gridCol w:w="1462"/>
        <w:gridCol w:w="895"/>
        <w:gridCol w:w="895"/>
        <w:gridCol w:w="1172"/>
        <w:gridCol w:w="1150"/>
        <w:gridCol w:w="472"/>
        <w:gridCol w:w="472"/>
        <w:gridCol w:w="828"/>
        <w:gridCol w:w="717"/>
        <w:gridCol w:w="2118"/>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color w:val="000000"/>
                <w:sz w:val="20"/>
                <w:szCs w:val="20"/>
                <w:lang w:eastAsia="en-GB"/>
              </w:rPr>
            </w:pPr>
            <w:r w:rsidRPr="002C3378">
              <w:rPr>
                <w:rFonts w:ascii="Arial" w:eastAsia="Times New Roman" w:hAnsi="Arial" w:cs="Arial"/>
                <w:b/>
                <w:bCs/>
                <w:color w:val="000000"/>
                <w:sz w:val="20"/>
                <w:szCs w:val="20"/>
                <w:lang w:eastAsia="en-GB"/>
              </w:rPr>
              <w:t>Perturbation</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Pert1</w:t>
            </w:r>
            <w:r w:rsidRPr="002C3378">
              <w:rPr>
                <w:rFonts w:ascii="Arial" w:eastAsia="Times New Roman" w:hAnsi="Arial" w:cs="Arial"/>
                <w:b/>
                <w:bCs/>
                <w:sz w:val="20"/>
                <w:szCs w:val="20"/>
                <w:vertAlign w:val="subscript"/>
                <w:lang w:eastAsia="en-GB"/>
              </w:rPr>
              <w:t>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1.868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-0.01423 to 0.06297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0.686</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-0.01317 to 0.06674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0.5407</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0.7432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0.05654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-0.01574 to 0.1288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0.2598</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0.3485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2.252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-0.03136 to 0.2411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0.2837</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0.04081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 to 0.2275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0.1076</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0.7061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35.84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-0.002043 to 0.2135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0.0579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0.8073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37.35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-0.05917 to 0.1031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0.002281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-0.06031 to 0.06487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37.41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-0.04711 to 0.08860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0.02214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0.01883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1.176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-0.03340 to 0.07769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Pert2</w:t>
            </w:r>
            <w:r w:rsidRPr="002C3378">
              <w:rPr>
                <w:rFonts w:ascii="Arial" w:eastAsia="Times New Roman" w:hAnsi="Arial" w:cs="Arial"/>
                <w:b/>
                <w:bCs/>
                <w:sz w:val="20"/>
                <w:szCs w:val="20"/>
                <w:vertAlign w:val="subscript"/>
                <w:lang w:eastAsia="en-GB"/>
              </w:rPr>
              <w:t>L</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44.29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-0.01312 to 0.06602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0.5452</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-0.01731 to 0.06528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0.9367</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0.8094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0.7397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0.06976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-0.01753 to 0.1571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0.2307</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0.4273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0.03818 to 0.2795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0.09315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3.484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0.01464 to 0.1717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0.0104</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0.7137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3.607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37.28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0.02004 to 0.2121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-0.03739 to 0.09445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0.4021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-0.06428 to 0.04883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-0.03983 to 0.05920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0.6536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0.6335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0.02014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1.319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42.98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-0.02503 to 0.06531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Pert9</w:t>
            </w:r>
            <w:r w:rsidRPr="002C3378">
              <w:rPr>
                <w:rFonts w:ascii="Arial" w:eastAsia="Times New Roman" w:hAnsi="Arial" w:cs="Arial"/>
                <w:b/>
                <w:bCs/>
                <w:sz w:val="20"/>
                <w:szCs w:val="20"/>
                <w:vertAlign w:val="subscript"/>
                <w:lang w:eastAsia="en-GB"/>
              </w:rPr>
              <w:t>L</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-0.004983 to 0.06601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0.1479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-0.01879 to 0.06036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0.7637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0.7138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-0.04364 to 0.1435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0.5109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0.07175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-0.03401 to 0.1775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0.5171</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0.08253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3.419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0.01177 to 0.1533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0.0123</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0.6992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0.05779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3.331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0.007018 to 0.1086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-0.008942 to 0.09441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0.1865</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-0.03732 to 0.05777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-0.01424 to 0.07296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0.5306</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0.6638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0.6454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0.01843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0.01492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1.236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44.75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-0.02562 to 0.06248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0"/>
          <w:szCs w:val="20"/>
        </w:rPr>
      </w:pPr>
      <w:r w:rsidRPr="002C3378">
        <w:rPr>
          <w:rFonts w:ascii="Arial" w:hAnsi="Arial" w:cs="Arial"/>
          <w:b/>
          <w:sz w:val="20"/>
          <w:szCs w:val="20"/>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5: Bonferroni’s multiple comparison test results comparing recovery steps to baseline in Pert1</w:t>
      </w:r>
      <w:r w:rsidRPr="002C3378">
        <w:rPr>
          <w:rFonts w:ascii="Arial" w:hAnsi="Arial" w:cs="Arial"/>
          <w:b/>
          <w:sz w:val="24"/>
          <w:szCs w:val="24"/>
          <w:vertAlign w:val="subscript"/>
        </w:rPr>
        <w:t>R</w:t>
      </w:r>
      <w:r w:rsidRPr="002C3378">
        <w:rPr>
          <w:rFonts w:ascii="Arial" w:hAnsi="Arial" w:cs="Arial"/>
          <w:b/>
          <w:sz w:val="24"/>
          <w:szCs w:val="24"/>
        </w:rPr>
        <w:t>, Pert2</w:t>
      </w:r>
      <w:r w:rsidRPr="002C3378">
        <w:rPr>
          <w:rFonts w:ascii="Arial" w:hAnsi="Arial" w:cs="Arial"/>
          <w:b/>
          <w:sz w:val="24"/>
          <w:szCs w:val="24"/>
          <w:vertAlign w:val="subscript"/>
        </w:rPr>
        <w:t>L</w:t>
      </w:r>
      <w:r w:rsidRPr="002C3378">
        <w:rPr>
          <w:rFonts w:ascii="Arial" w:hAnsi="Arial" w:cs="Arial"/>
          <w:b/>
          <w:sz w:val="24"/>
          <w:szCs w:val="24"/>
        </w:rPr>
        <w:t xml:space="preserve"> and Pert9</w:t>
      </w:r>
      <w:r w:rsidRPr="002C3378">
        <w:rPr>
          <w:rFonts w:ascii="Arial" w:hAnsi="Arial" w:cs="Arial"/>
          <w:b/>
          <w:sz w:val="24"/>
          <w:szCs w:val="24"/>
          <w:vertAlign w:val="subscript"/>
        </w:rPr>
        <w:t>L</w:t>
      </w:r>
      <w:r w:rsidRPr="002C3378">
        <w:rPr>
          <w:rFonts w:ascii="Arial" w:hAnsi="Arial" w:cs="Arial"/>
          <w:b/>
          <w:sz w:val="24"/>
          <w:szCs w:val="24"/>
        </w:rPr>
        <w:t xml:space="preserve"> for X</w:t>
      </w:r>
      <w:r w:rsidRPr="002C3378">
        <w:rPr>
          <w:rFonts w:ascii="Arial" w:hAnsi="Arial" w:cs="Arial"/>
          <w:b/>
          <w:sz w:val="24"/>
          <w:szCs w:val="24"/>
          <w:vertAlign w:val="subscript"/>
        </w:rPr>
        <w:t>CoM</w:t>
      </w:r>
      <w:r w:rsidRPr="00C66487">
        <w:rPr>
          <w:rFonts w:ascii="Arial" w:hAnsi="Arial" w:cs="Arial"/>
          <w:b/>
          <w:sz w:val="24"/>
          <w:szCs w:val="24"/>
        </w:rPr>
        <w:t xml:space="preserve"> </w:t>
      </w:r>
      <w:r>
        <w:rPr>
          <w:rFonts w:ascii="Arial" w:hAnsi="Arial" w:cs="Arial"/>
          <w:b/>
          <w:szCs w:val="24"/>
        </w:rPr>
        <w:t xml:space="preserve">[m] </w:t>
      </w:r>
      <w:r w:rsidRPr="002C3378">
        <w:rPr>
          <w:rFonts w:ascii="Arial" w:hAnsi="Arial" w:cs="Arial"/>
          <w:b/>
          <w:sz w:val="24"/>
          <w:szCs w:val="24"/>
        </w:rPr>
        <w:t>in the young and older adults</w:t>
      </w:r>
    </w:p>
    <w:tbl>
      <w:tblPr>
        <w:tblW w:w="0" w:type="auto"/>
        <w:tblLook w:val="04A0" w:firstRow="1" w:lastRow="0" w:firstColumn="1" w:lastColumn="0" w:noHBand="0" w:noVBand="1"/>
      </w:tblPr>
      <w:tblGrid>
        <w:gridCol w:w="1405"/>
        <w:gridCol w:w="1550"/>
        <w:gridCol w:w="895"/>
        <w:gridCol w:w="895"/>
        <w:gridCol w:w="1206"/>
        <w:gridCol w:w="1150"/>
        <w:gridCol w:w="472"/>
        <w:gridCol w:w="472"/>
        <w:gridCol w:w="828"/>
        <w:gridCol w:w="483"/>
        <w:gridCol w:w="2185"/>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color w:val="000000"/>
                <w:sz w:val="20"/>
                <w:szCs w:val="20"/>
                <w:lang w:eastAsia="en-GB"/>
              </w:rPr>
            </w:pPr>
            <w:r w:rsidRPr="002C3378">
              <w:rPr>
                <w:rFonts w:ascii="Arial" w:eastAsia="Times New Roman" w:hAnsi="Arial" w:cs="Arial"/>
                <w:b/>
                <w:bCs/>
                <w:color w:val="000000"/>
                <w:sz w:val="20"/>
                <w:szCs w:val="20"/>
                <w:lang w:eastAsia="en-GB"/>
              </w:rPr>
              <w:t>Perturbation</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Pert1</w:t>
            </w:r>
            <w:r w:rsidRPr="002C3378">
              <w:rPr>
                <w:rFonts w:ascii="Arial" w:eastAsia="Times New Roman" w:hAnsi="Arial" w:cs="Arial"/>
                <w:b/>
                <w:bCs/>
                <w:sz w:val="20"/>
                <w:szCs w:val="20"/>
                <w:vertAlign w:val="subscript"/>
                <w:lang w:eastAsia="en-GB"/>
              </w:rPr>
              <w:t>R</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0.004363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0.005348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0.8158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-0.01166 to 0.02038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0.8191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-0.1974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-0.2557 to -0.1392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0.3928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8.294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0.1462 to 0.3115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0.6951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-0.07339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-0.1539 to 0.007129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0.0958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-0.1768 to -0.07109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-0.06864 to 0.03097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0.3157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-0.04508 to 0.03649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1.631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-0.01304 to 0.04418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0.6114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0.01082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0.9504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-0.02213 to 0.04269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-9.535E-06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-0.01767 to 0.01765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-0.08154 to 0.007056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0.1559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0.3733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0.2783 to 0.4683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0.06696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-0.01856 to 0.1525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0.2307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-0.1166 to 0.04853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-0.09866 to 0.02657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0.8421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3.692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-0.09065 to -0.009022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0.4712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-0.04376 to 0.03196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-0.00868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0.01323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-0.04869 to 0.03133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Pert2</w:t>
            </w:r>
            <w:r w:rsidRPr="002C3378">
              <w:rPr>
                <w:rFonts w:ascii="Arial" w:eastAsia="Times New Roman" w:hAnsi="Arial" w:cs="Arial"/>
                <w:b/>
                <w:bCs/>
                <w:sz w:val="20"/>
                <w:szCs w:val="20"/>
                <w:vertAlign w:val="subscript"/>
                <w:lang w:eastAsia="en-GB"/>
              </w:rPr>
              <w:t>L</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0.9974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-0.008474 to 0.01693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0.8288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-0.2087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-0.2634 to -0.1541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0.4474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0.1727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6.556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0.09378 to 0.2516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-0.1200 to 0.02430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0.508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0.7533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7.553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-0.1861 to -0.08040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-0.04032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-0.08755 to 0.006911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0.1443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-0.007645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0.7478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-0.03827 to 0.02298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0.009114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2.128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-0.007906 to 0.04670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0.3773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0.6173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0.002745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0.007312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0.3754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-0.01916 to 0.02465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0.001586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0.006807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-0.01893 to 0.02210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-0.08275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3.623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-0.1516 to -0.01392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0.3229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0.2660 to 0.3799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0.0006364 to 0.1181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1.645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-0.1299 to 0.03816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-0.1046 to 0.009073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0.1569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-0.07809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-0.1211 to -0.03511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2.423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-0.06376 to 0.006925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0.2013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0.6032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-0.01394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0.00787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1.771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-0.03765 to 0.009781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0.7908</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Pert9</w:t>
            </w:r>
            <w:r w:rsidRPr="002C3378">
              <w:rPr>
                <w:rFonts w:ascii="Arial" w:eastAsia="Times New Roman" w:hAnsi="Arial" w:cs="Arial"/>
                <w:b/>
                <w:bCs/>
                <w:sz w:val="20"/>
                <w:szCs w:val="20"/>
                <w:vertAlign w:val="subscript"/>
                <w:lang w:eastAsia="en-GB"/>
              </w:rPr>
              <w:t>L</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0.0001787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-0.01745 to 0.01781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-0.1907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8.171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-0.2607 to -0.1208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-0.01873 to 0.07289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0.784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0.4337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-0.06610 to 0.04938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0.6864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-0.06513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-0.1013 to -0.02897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-0.04398 to 0.01557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-0.006144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-0.02937 to 0.01708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1.845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-0.008973 to 0.03772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0.6117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0.009525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0.007469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1.275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-0.01285 to 0.03190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0.006542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0.5102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-0.02305 to 0.01638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0.7392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7.578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-0.2121 to -0.09141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0.4984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0.08902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0.01986 to 0.1582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0.0055</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0.5552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-0.01778 to 0.08217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0.5641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-0.09195 to 0.008264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0.1628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-0.06276 to 0.03664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-0.07921 to 0.006095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0.1398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0.002988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0.3102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-0.02605 to 0.03203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-0.009543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0.009634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0.9906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-0.03858 to 0.01949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Default="0010518E">
      <w:pPr>
        <w:rPr>
          <w:rFonts w:ascii="Arial" w:hAnsi="Arial" w:cs="Arial"/>
          <w:b/>
          <w:sz w:val="24"/>
          <w:szCs w:val="24"/>
        </w:rPr>
      </w:pPr>
      <w:r>
        <w:rPr>
          <w:rFonts w:ascii="Arial" w:hAnsi="Arial" w:cs="Arial"/>
          <w:b/>
          <w:sz w:val="24"/>
          <w:szCs w:val="24"/>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6: Bonferroni’s multiple comparison test results comparing the young and older adults in Pert1</w:t>
      </w:r>
      <w:r w:rsidRPr="002C3378">
        <w:rPr>
          <w:rFonts w:ascii="Arial" w:hAnsi="Arial" w:cs="Arial"/>
          <w:b/>
          <w:sz w:val="24"/>
          <w:szCs w:val="24"/>
          <w:vertAlign w:val="subscript"/>
        </w:rPr>
        <w:t>R</w:t>
      </w:r>
      <w:r w:rsidRPr="002C3378">
        <w:rPr>
          <w:rFonts w:ascii="Arial" w:hAnsi="Arial" w:cs="Arial"/>
          <w:b/>
          <w:sz w:val="24"/>
          <w:szCs w:val="24"/>
        </w:rPr>
        <w:t>, Pert2</w:t>
      </w:r>
      <w:r w:rsidRPr="002C3378">
        <w:rPr>
          <w:rFonts w:ascii="Arial" w:hAnsi="Arial" w:cs="Arial"/>
          <w:b/>
          <w:sz w:val="24"/>
          <w:szCs w:val="24"/>
          <w:vertAlign w:val="subscript"/>
        </w:rPr>
        <w:t>L</w:t>
      </w:r>
      <w:r w:rsidRPr="002C3378">
        <w:rPr>
          <w:rFonts w:ascii="Arial" w:hAnsi="Arial" w:cs="Arial"/>
          <w:b/>
          <w:sz w:val="24"/>
          <w:szCs w:val="24"/>
        </w:rPr>
        <w:t xml:space="preserve"> and Pert9</w:t>
      </w:r>
      <w:r w:rsidRPr="002C3378">
        <w:rPr>
          <w:rFonts w:ascii="Arial" w:hAnsi="Arial" w:cs="Arial"/>
          <w:b/>
          <w:sz w:val="24"/>
          <w:szCs w:val="24"/>
          <w:vertAlign w:val="subscript"/>
        </w:rPr>
        <w:t>L</w:t>
      </w:r>
      <w:r w:rsidRPr="002C3378">
        <w:rPr>
          <w:rFonts w:ascii="Arial" w:hAnsi="Arial" w:cs="Arial"/>
          <w:b/>
          <w:sz w:val="24"/>
          <w:szCs w:val="24"/>
        </w:rPr>
        <w:t xml:space="preserve"> for X</w:t>
      </w:r>
      <w:r w:rsidRPr="002C3378">
        <w:rPr>
          <w:rFonts w:ascii="Arial" w:hAnsi="Arial" w:cs="Arial"/>
          <w:b/>
          <w:sz w:val="24"/>
          <w:szCs w:val="24"/>
          <w:vertAlign w:val="subscript"/>
        </w:rPr>
        <w:t>CoM</w:t>
      </w:r>
      <w:r w:rsidRPr="00C66487">
        <w:rPr>
          <w:rFonts w:ascii="Arial" w:hAnsi="Arial" w:cs="Arial"/>
          <w:b/>
          <w:sz w:val="24"/>
          <w:szCs w:val="24"/>
        </w:rPr>
        <w:t xml:space="preserve"> </w:t>
      </w:r>
      <w:r>
        <w:rPr>
          <w:rFonts w:ascii="Arial" w:hAnsi="Arial" w:cs="Arial"/>
          <w:b/>
          <w:szCs w:val="24"/>
        </w:rPr>
        <w:t>[m]</w:t>
      </w:r>
    </w:p>
    <w:tbl>
      <w:tblPr>
        <w:tblW w:w="0" w:type="auto"/>
        <w:tblLook w:val="04A0" w:firstRow="1" w:lastRow="0" w:firstColumn="1" w:lastColumn="0" w:noHBand="0" w:noVBand="1"/>
      </w:tblPr>
      <w:tblGrid>
        <w:gridCol w:w="1405"/>
        <w:gridCol w:w="1462"/>
        <w:gridCol w:w="895"/>
        <w:gridCol w:w="895"/>
        <w:gridCol w:w="1172"/>
        <w:gridCol w:w="1150"/>
        <w:gridCol w:w="472"/>
        <w:gridCol w:w="472"/>
        <w:gridCol w:w="828"/>
        <w:gridCol w:w="717"/>
        <w:gridCol w:w="2118"/>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color w:val="000000"/>
                <w:sz w:val="20"/>
                <w:szCs w:val="20"/>
                <w:lang w:eastAsia="en-GB"/>
              </w:rPr>
            </w:pPr>
            <w:r w:rsidRPr="002C3378">
              <w:rPr>
                <w:rFonts w:ascii="Arial" w:eastAsia="Times New Roman" w:hAnsi="Arial" w:cs="Arial"/>
                <w:b/>
                <w:bCs/>
                <w:color w:val="000000"/>
                <w:sz w:val="20"/>
                <w:szCs w:val="20"/>
                <w:lang w:eastAsia="en-GB"/>
              </w:rPr>
              <w:t>Perturbation</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Pert1</w:t>
            </w:r>
            <w:r w:rsidRPr="002C3378">
              <w:rPr>
                <w:rFonts w:ascii="Arial" w:eastAsia="Times New Roman" w:hAnsi="Arial" w:cs="Arial"/>
                <w:b/>
                <w:bCs/>
                <w:sz w:val="20"/>
                <w:szCs w:val="20"/>
                <w:vertAlign w:val="subscript"/>
                <w:lang w:eastAsia="en-GB"/>
              </w:rPr>
              <w:t>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40.77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-0.01232 to 0.06728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0.4692</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1.629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-0.01867 to 0.06488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0.8191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7.255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0.1119 to 0.2634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0.3928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0.1719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0.04722 to 0.2966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0.0017</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0.6951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0.1678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3.933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0.04271 to 0.2929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0.0025</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3.123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44.95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0.006426 to 0.2284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0.0313</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0.3213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-0.08387 to 0.1044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0.6916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-0.09457 to 0.05845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0.006003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0.2541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44.82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-0.06374 to 0.07575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0.6114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0.008517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0.3763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51.81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-0.05784 to 0.07487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Pert2</w:t>
            </w:r>
            <w:r w:rsidRPr="002C3378">
              <w:rPr>
                <w:rFonts w:ascii="Arial" w:eastAsia="Times New Roman" w:hAnsi="Arial" w:cs="Arial"/>
                <w:b/>
                <w:bCs/>
                <w:sz w:val="20"/>
                <w:szCs w:val="20"/>
                <w:vertAlign w:val="subscript"/>
                <w:lang w:eastAsia="en-GB"/>
              </w:rPr>
              <w:t>L</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2.205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-0.01052 to 0.07218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0.328</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1.841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-0.01692 to 0.07329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0.7196</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0.8288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0.06360 to 0.2500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0.4474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0.07741 to 0.2847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0.03337 to 0.2427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0.7533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3.244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0.01090 to 0.2255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0.0217</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-0.06282 to 0.1096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-0.1045 to 0.02530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0.7934</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0.9402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-0.06986 to 0.03588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0.6173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0.6032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0.01415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0.01601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0.8835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46.49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-0.03304 to 0.06134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Pert9</w:t>
            </w:r>
            <w:r w:rsidRPr="002C3378">
              <w:rPr>
                <w:rFonts w:ascii="Arial" w:eastAsia="Times New Roman" w:hAnsi="Arial" w:cs="Arial"/>
                <w:b/>
                <w:bCs/>
                <w:sz w:val="20"/>
                <w:szCs w:val="20"/>
                <w:vertAlign w:val="subscript"/>
                <w:lang w:eastAsia="en-GB"/>
              </w:rPr>
              <w:t>L</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-0.004570 to 0.07218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0.1253</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48.84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-0.01408 to 0.07466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0.5028</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0.7392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0.07278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2.199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-0.02394 to 0.1695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0.3202</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0.4984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0.09575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-0.002033 to 0.1935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0.5552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-0.01061 to 0.1593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0.1328</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0.6864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0.05709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-0.007934 to 0.1221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0.1297</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1.698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-0.02549 to 0.09538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0.9564</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-0.05927 to 0.06605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0.5844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-0.03014 to 0.07498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0.6117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0.01775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0.8302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43.64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-0.03776 to 0.06723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0"/>
          <w:szCs w:val="20"/>
        </w:rPr>
      </w:pPr>
      <w:r w:rsidRPr="002C3378">
        <w:rPr>
          <w:rFonts w:ascii="Arial" w:hAnsi="Arial" w:cs="Arial"/>
          <w:b/>
          <w:sz w:val="20"/>
          <w:szCs w:val="20"/>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7: Bonferroni’s multiple comparison test results comparing recovery steps to baseline in Pert1</w:t>
      </w:r>
      <w:r w:rsidRPr="002C3378">
        <w:rPr>
          <w:rFonts w:ascii="Arial" w:hAnsi="Arial" w:cs="Arial"/>
          <w:b/>
          <w:sz w:val="24"/>
          <w:szCs w:val="24"/>
          <w:vertAlign w:val="subscript"/>
        </w:rPr>
        <w:t>R</w:t>
      </w:r>
      <w:r w:rsidRPr="002C3378">
        <w:rPr>
          <w:rFonts w:ascii="Arial" w:hAnsi="Arial" w:cs="Arial"/>
          <w:b/>
          <w:sz w:val="24"/>
          <w:szCs w:val="24"/>
        </w:rPr>
        <w:t>, Pert2</w:t>
      </w:r>
      <w:r w:rsidRPr="002C3378">
        <w:rPr>
          <w:rFonts w:ascii="Arial" w:hAnsi="Arial" w:cs="Arial"/>
          <w:b/>
          <w:sz w:val="24"/>
          <w:szCs w:val="24"/>
          <w:vertAlign w:val="subscript"/>
        </w:rPr>
        <w:t>L</w:t>
      </w:r>
      <w:r w:rsidRPr="002C3378">
        <w:rPr>
          <w:rFonts w:ascii="Arial" w:hAnsi="Arial" w:cs="Arial"/>
          <w:b/>
          <w:sz w:val="24"/>
          <w:szCs w:val="24"/>
        </w:rPr>
        <w:t xml:space="preserve"> and Pert9</w:t>
      </w:r>
      <w:r w:rsidRPr="002C3378">
        <w:rPr>
          <w:rFonts w:ascii="Arial" w:hAnsi="Arial" w:cs="Arial"/>
          <w:b/>
          <w:sz w:val="24"/>
          <w:szCs w:val="24"/>
          <w:vertAlign w:val="subscript"/>
        </w:rPr>
        <w:t>L</w:t>
      </w:r>
      <w:r w:rsidRPr="002C3378">
        <w:rPr>
          <w:rFonts w:ascii="Arial" w:hAnsi="Arial" w:cs="Arial"/>
          <w:b/>
          <w:sz w:val="24"/>
          <w:szCs w:val="24"/>
        </w:rPr>
        <w:t xml:space="preserve"> for MoS</w:t>
      </w:r>
      <w:r w:rsidRPr="002C3378">
        <w:rPr>
          <w:rFonts w:ascii="Arial" w:hAnsi="Arial" w:cs="Arial"/>
          <w:b/>
          <w:sz w:val="24"/>
          <w:szCs w:val="24"/>
          <w:vertAlign w:val="subscript"/>
        </w:rPr>
        <w:t>ML</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young and older adults</w:t>
      </w:r>
    </w:p>
    <w:tbl>
      <w:tblPr>
        <w:tblW w:w="0" w:type="auto"/>
        <w:tblLook w:val="04A0" w:firstRow="1" w:lastRow="0" w:firstColumn="1" w:lastColumn="0" w:noHBand="0" w:noVBand="1"/>
      </w:tblPr>
      <w:tblGrid>
        <w:gridCol w:w="1405"/>
        <w:gridCol w:w="1550"/>
        <w:gridCol w:w="939"/>
        <w:gridCol w:w="1117"/>
        <w:gridCol w:w="1172"/>
        <w:gridCol w:w="1150"/>
        <w:gridCol w:w="472"/>
        <w:gridCol w:w="472"/>
        <w:gridCol w:w="828"/>
        <w:gridCol w:w="483"/>
        <w:gridCol w:w="2363"/>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color w:val="000000"/>
                <w:sz w:val="20"/>
                <w:szCs w:val="20"/>
                <w:lang w:eastAsia="en-GB"/>
              </w:rPr>
            </w:pPr>
            <w:r w:rsidRPr="002C3378">
              <w:rPr>
                <w:rFonts w:ascii="Arial" w:eastAsia="Times New Roman" w:hAnsi="Arial" w:cs="Arial"/>
                <w:b/>
                <w:bCs/>
                <w:color w:val="000000"/>
                <w:sz w:val="20"/>
                <w:szCs w:val="20"/>
                <w:lang w:eastAsia="en-GB"/>
              </w:rPr>
              <w:t>Perturbation</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Pert1</w:t>
            </w:r>
            <w:r w:rsidRPr="002C3378">
              <w:rPr>
                <w:rFonts w:ascii="Arial" w:eastAsia="Times New Roman" w:hAnsi="Arial" w:cs="Arial"/>
                <w:b/>
                <w:bCs/>
                <w:sz w:val="20"/>
                <w:szCs w:val="20"/>
                <w:vertAlign w:val="subscript"/>
                <w:lang w:eastAsia="en-GB"/>
              </w:rPr>
              <w:t>R</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0.002857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-0.01244 to 0.004678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0.008809 to 0.04753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0.05714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0.007052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6.694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-0.06834 to -0.02608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0.006142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-0.03569 to 0.001108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0.004151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-0.01885 to 0.006019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-0.006613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-0.01612 to 0.002892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0.4144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-0.009145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0.005265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-0.02492 to 0.006629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0.8372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0.002813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-0.01617 to 0.0006799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0.0905</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-0.01136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0.003613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3.145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-0.02219 to -0.0005390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0.0343</w:t>
            </w:r>
          </w:p>
        </w:tc>
      </w:tr>
      <w:tr w:rsidR="0010518E" w:rsidRPr="002C3378" w:rsidTr="00717FAF">
        <w:trPr>
          <w:gridAfter w:val="10"/>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-0.004507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-0.01452 to 0.005503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-0.01460 to 0.03576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3.325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-0.05530 to -0.002628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1.845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-0.04826 to 0.01168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0.6876</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0.005466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-0.04124 to -0.008185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-0.02262 to 0.005742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0.7521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-0.02922 to -0.003464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-0.01964 to 0.006056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-0.01185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0.004343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-0.02499 to 0.001278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0.1011</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Pert2</w:t>
            </w:r>
            <w:r w:rsidRPr="002C3378">
              <w:rPr>
                <w:rFonts w:ascii="Arial" w:eastAsia="Times New Roman" w:hAnsi="Arial" w:cs="Arial"/>
                <w:b/>
                <w:bCs/>
                <w:sz w:val="20"/>
                <w:szCs w:val="20"/>
                <w:vertAlign w:val="subscript"/>
                <w:lang w:eastAsia="en-GB"/>
              </w:rPr>
              <w:t>L</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0.001691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-0.008015 to 0.01140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0.009414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3.274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0.002616 to 0.05902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0.06054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7.402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-0.06448 to -0.02732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0.004804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3.908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-0.03317 to -0.004380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0.0046</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-0.01542 to 0.004880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-0.004594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-0.01450 to 0.005316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-0.006944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-0.01709 to 0.003203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0.4453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-0.007906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0.002615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-0.01574 to -7.218e-005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0.01893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-0.004295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0.002056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2.089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-0.01045 to 0.001864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0.4104</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0.002821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0.4788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-0.009851 to 0.007150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0.003911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-0.007189 to 0.03639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0.4813</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-0.04682 to -0.004086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0.005476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-0.03923 to -0.006223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0.0027</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0.005122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2.237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-0.02690 to 0.003977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0.3035</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0.005769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-0.03451 to 0.0002602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0.0558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-0.005261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0.004111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-0.01765 to 0.007128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0.004092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-0.02360 to 0.001068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0.0939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0.02537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-0.006858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2.192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-0.01629 to 0.002572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0.3348</w:t>
            </w:r>
          </w:p>
        </w:tc>
      </w:tr>
      <w:tr w:rsidR="0010518E" w:rsidRPr="002C3378" w:rsidTr="00717FAF">
        <w:trPr>
          <w:gridAfter w:val="10"/>
          <w:trHeight w:val="20"/>
        </w:trPr>
        <w:tc>
          <w:tcPr>
            <w:tcW w:w="0" w:type="auto"/>
            <w:vMerge w:val="restart"/>
            <w:tcBorders>
              <w:top w:val="nil"/>
              <w:left w:val="nil"/>
              <w:bottom w:val="single" w:sz="4" w:space="0" w:color="auto"/>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Pert9</w:t>
            </w:r>
            <w:r w:rsidRPr="002C3378">
              <w:rPr>
                <w:rFonts w:ascii="Arial" w:eastAsia="Times New Roman" w:hAnsi="Arial" w:cs="Arial"/>
                <w:b/>
                <w:bCs/>
                <w:sz w:val="20"/>
                <w:szCs w:val="20"/>
                <w:vertAlign w:val="subscript"/>
                <w:lang w:eastAsia="en-GB"/>
              </w:rPr>
              <w:t>L</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-0.003741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0.002662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-0.01172 to 0.004233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-0.002621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0.3891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-0.02280 to 0.01756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0.005783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6.242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-0.05342 to -0.01877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-0.03160 to -0.003830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-0.004356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0.003774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-0.01566 to 0.006952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-0.002361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-0.01218 to 0.007460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0.008163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0.003503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0.002902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-0.005190 to 0.01220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-0.002889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0.9149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-0.01235 to 0.006571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0.009144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0.002523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0.002191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1.151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-0.004042 to 0.009087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Older</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0.002382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0.003569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0.6672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-0.008375 to 0.01314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-0.001606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0.008087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-0.001575 to 0.04717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0.0802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4.253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-0.04330 to -0.007386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5.677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-0.04354 to -0.01334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-0.005611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0.005691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-0.02276 to 0.01154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3.585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-0.02152 to -0.001864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0.0118</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-0.01239 to 0.004547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-0.004989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0.003031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1.646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-0.01412 to 0.004146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auto"/>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0.01847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0.002723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0.00302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0.9016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-0.006379 to 0.01183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Default="0010518E">
      <w:pPr>
        <w:rPr>
          <w:rFonts w:ascii="Arial" w:hAnsi="Arial" w:cs="Arial"/>
          <w:b/>
          <w:sz w:val="24"/>
          <w:szCs w:val="24"/>
        </w:rPr>
      </w:pPr>
      <w:r>
        <w:rPr>
          <w:rFonts w:ascii="Arial" w:hAnsi="Arial" w:cs="Arial"/>
          <w:b/>
          <w:sz w:val="24"/>
          <w:szCs w:val="24"/>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8: Bonferroni’s multiple comparison test results comparing the young and older adults in Pert1</w:t>
      </w:r>
      <w:r w:rsidRPr="002C3378">
        <w:rPr>
          <w:rFonts w:ascii="Arial" w:hAnsi="Arial" w:cs="Arial"/>
          <w:b/>
          <w:sz w:val="24"/>
          <w:szCs w:val="24"/>
          <w:vertAlign w:val="subscript"/>
        </w:rPr>
        <w:t>R</w:t>
      </w:r>
      <w:r w:rsidRPr="002C3378">
        <w:rPr>
          <w:rFonts w:ascii="Arial" w:hAnsi="Arial" w:cs="Arial"/>
          <w:b/>
          <w:sz w:val="24"/>
          <w:szCs w:val="24"/>
        </w:rPr>
        <w:t>, Pert2</w:t>
      </w:r>
      <w:r w:rsidRPr="002C3378">
        <w:rPr>
          <w:rFonts w:ascii="Arial" w:hAnsi="Arial" w:cs="Arial"/>
          <w:b/>
          <w:sz w:val="24"/>
          <w:szCs w:val="24"/>
          <w:vertAlign w:val="subscript"/>
        </w:rPr>
        <w:t>L</w:t>
      </w:r>
      <w:r w:rsidRPr="002C3378">
        <w:rPr>
          <w:rFonts w:ascii="Arial" w:hAnsi="Arial" w:cs="Arial"/>
          <w:b/>
          <w:sz w:val="24"/>
          <w:szCs w:val="24"/>
        </w:rPr>
        <w:t xml:space="preserve"> and Pert9</w:t>
      </w:r>
      <w:r w:rsidRPr="002C3378">
        <w:rPr>
          <w:rFonts w:ascii="Arial" w:hAnsi="Arial" w:cs="Arial"/>
          <w:b/>
          <w:sz w:val="24"/>
          <w:szCs w:val="24"/>
          <w:vertAlign w:val="subscript"/>
        </w:rPr>
        <w:t>L</w:t>
      </w:r>
      <w:r w:rsidRPr="002C3378">
        <w:rPr>
          <w:rFonts w:ascii="Arial" w:hAnsi="Arial" w:cs="Arial"/>
          <w:b/>
          <w:sz w:val="24"/>
          <w:szCs w:val="24"/>
        </w:rPr>
        <w:t xml:space="preserve"> for MoS</w:t>
      </w:r>
      <w:r w:rsidRPr="002C3378">
        <w:rPr>
          <w:rFonts w:ascii="Arial" w:hAnsi="Arial" w:cs="Arial"/>
          <w:b/>
          <w:sz w:val="24"/>
          <w:szCs w:val="24"/>
          <w:vertAlign w:val="subscript"/>
        </w:rPr>
        <w:t>ML</w:t>
      </w:r>
      <w:r w:rsidRPr="00C66487">
        <w:rPr>
          <w:rFonts w:ascii="Arial" w:hAnsi="Arial" w:cs="Arial"/>
          <w:b/>
          <w:sz w:val="24"/>
          <w:szCs w:val="24"/>
        </w:rPr>
        <w:t xml:space="preserve"> </w:t>
      </w:r>
      <w:r>
        <w:rPr>
          <w:rFonts w:ascii="Arial" w:hAnsi="Arial" w:cs="Arial"/>
          <w:b/>
          <w:szCs w:val="24"/>
        </w:rPr>
        <w:t>[m]</w:t>
      </w:r>
    </w:p>
    <w:tbl>
      <w:tblPr>
        <w:tblW w:w="0" w:type="auto"/>
        <w:tblLook w:val="04A0" w:firstRow="1" w:lastRow="0" w:firstColumn="1" w:lastColumn="0" w:noHBand="0" w:noVBand="1"/>
      </w:tblPr>
      <w:tblGrid>
        <w:gridCol w:w="1405"/>
        <w:gridCol w:w="1462"/>
        <w:gridCol w:w="1006"/>
        <w:gridCol w:w="1117"/>
        <w:gridCol w:w="1172"/>
        <w:gridCol w:w="1150"/>
        <w:gridCol w:w="472"/>
        <w:gridCol w:w="472"/>
        <w:gridCol w:w="828"/>
        <w:gridCol w:w="717"/>
        <w:gridCol w:w="2229"/>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color w:val="000000"/>
                <w:sz w:val="20"/>
                <w:szCs w:val="20"/>
                <w:lang w:eastAsia="en-GB"/>
              </w:rPr>
            </w:pPr>
            <w:r w:rsidRPr="002C3378">
              <w:rPr>
                <w:rFonts w:ascii="Arial" w:eastAsia="Times New Roman" w:hAnsi="Arial" w:cs="Arial"/>
                <w:b/>
                <w:bCs/>
                <w:color w:val="000000"/>
                <w:sz w:val="20"/>
                <w:szCs w:val="20"/>
                <w:lang w:eastAsia="en-GB"/>
              </w:rPr>
              <w:t>Perturbation</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Pert1</w:t>
            </w:r>
            <w:r w:rsidRPr="002C3378">
              <w:rPr>
                <w:rFonts w:ascii="Arial" w:eastAsia="Times New Roman" w:hAnsi="Arial" w:cs="Arial"/>
                <w:b/>
                <w:bCs/>
                <w:sz w:val="20"/>
                <w:szCs w:val="20"/>
                <w:vertAlign w:val="subscript"/>
                <w:lang w:eastAsia="en-GB"/>
              </w:rPr>
              <w:t>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-0.006509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0.003998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1.628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-0.01822 to 0.005206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-0.007135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0.005738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-0.02394 to 0.009672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2.413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-0.05339 to 0.005199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0.1944</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0.05714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-0.02044 to 0.04391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-0.007506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-0.04440 to 0.02939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3.181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-0.04770 to -0.001907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0.0252</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0.006806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-0.02828 to 0.01161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0.008015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-0.03717 to 0.009762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0.9308</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-0.005553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0.006228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0.8916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-0.02378 to 0.01267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-0.007001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0.006483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51.49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-0.02602 to 0.01202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Pert2</w:t>
            </w:r>
            <w:r w:rsidRPr="002C3378">
              <w:rPr>
                <w:rFonts w:ascii="Arial" w:eastAsia="Times New Roman" w:hAnsi="Arial" w:cs="Arial"/>
                <w:b/>
                <w:bCs/>
                <w:sz w:val="20"/>
                <w:szCs w:val="20"/>
                <w:vertAlign w:val="subscript"/>
                <w:lang w:eastAsia="en-GB"/>
              </w:rPr>
              <w:t>L</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0.004182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0.9271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-0.01610 to 0.008350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-0.006918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0.005662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-0.02346 to 0.009629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0.003911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-0.05717 to 0.01698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0.06054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-0.01402 to 0.04716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-0.007828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0.007677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48.24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-0.03041 to 0.01476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0.006901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-0.03033 to 0.01019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42.79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-0.03858 to 0.005764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0.3399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-0.002194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0.006056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0.3623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-0.01991 to 0.01552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-0.007235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0.006073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-0.02511 to 0.01064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0.01893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0.02537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0.005667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1.136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53.54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-0.02303 to 0.01015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val="restart"/>
            <w:tcBorders>
              <w:top w:val="nil"/>
              <w:left w:val="nil"/>
              <w:bottom w:val="single" w:sz="4" w:space="0" w:color="000000"/>
              <w:right w:val="nil"/>
            </w:tcBorders>
            <w:shd w:val="clear" w:color="auto" w:fill="auto"/>
            <w:noWrap/>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Pert9</w:t>
            </w:r>
            <w:r w:rsidRPr="002C3378">
              <w:rPr>
                <w:rFonts w:ascii="Arial" w:eastAsia="Times New Roman" w:hAnsi="Arial" w:cs="Arial"/>
                <w:b/>
                <w:bCs/>
                <w:sz w:val="20"/>
                <w:szCs w:val="20"/>
                <w:vertAlign w:val="subscript"/>
                <w:lang w:eastAsia="en-GB"/>
              </w:rPr>
              <w:t>L</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Young - Older</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 </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-0.009525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-0.02329 to 0.004239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0.4772</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-0.003402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0.005727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-0.02015 to 0.01335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-0.001606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-0.01496 to 0.04674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0.001227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0.1409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-0.02428 to 0.02673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0.006971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2.905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55.99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-0.04062 to 0.0001226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0.0525</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0.007162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42.74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-0.03198 to 0.01042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3.195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-0.03615 to -0.001563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0.0236</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0.005176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3.275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-0.03209 to -0.001806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0.0184</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0.005771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52.19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-0.02854 to 0.005293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0.4915</w:t>
            </w:r>
          </w:p>
        </w:tc>
      </w:tr>
      <w:tr w:rsidR="0010518E" w:rsidRPr="002C3378" w:rsidTr="00717FAF">
        <w:trPr>
          <w:trHeight w:val="20"/>
        </w:trPr>
        <w:tc>
          <w:tcPr>
            <w:tcW w:w="0" w:type="auto"/>
            <w:vMerge/>
            <w:tcBorders>
              <w:top w:val="nil"/>
              <w:left w:val="nil"/>
              <w:bottom w:val="single" w:sz="4" w:space="0" w:color="000000"/>
              <w:right w:val="nil"/>
            </w:tcBorders>
            <w:vAlign w:val="center"/>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0.00914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0.01847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-0.009325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0.005245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1.778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46.84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-0.02478 to 0.006128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0.8194</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0"/>
          <w:szCs w:val="20"/>
        </w:rPr>
      </w:pPr>
      <w:r w:rsidRPr="002C3378">
        <w:rPr>
          <w:rFonts w:ascii="Arial" w:hAnsi="Arial" w:cs="Arial"/>
          <w:b/>
          <w:sz w:val="20"/>
          <w:szCs w:val="20"/>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9: Bonferroni’s multiple comparison test results comparing recovery steps to baseline in Pert1</w:t>
      </w:r>
      <w:r w:rsidRPr="002C3378">
        <w:rPr>
          <w:rFonts w:ascii="Arial" w:hAnsi="Arial" w:cs="Arial"/>
          <w:b/>
          <w:sz w:val="24"/>
          <w:szCs w:val="24"/>
          <w:vertAlign w:val="subscript"/>
        </w:rPr>
        <w:t>R</w:t>
      </w:r>
      <w:r w:rsidRPr="002C3378">
        <w:rPr>
          <w:rFonts w:ascii="Arial" w:hAnsi="Arial" w:cs="Arial"/>
          <w:b/>
          <w:sz w:val="24"/>
          <w:szCs w:val="24"/>
        </w:rPr>
        <w:t xml:space="preserve"> and Pert10</w:t>
      </w:r>
      <w:r w:rsidRPr="002C3378">
        <w:rPr>
          <w:rFonts w:ascii="Arial" w:hAnsi="Arial" w:cs="Arial"/>
          <w:b/>
          <w:sz w:val="24"/>
          <w:szCs w:val="24"/>
          <w:vertAlign w:val="subscript"/>
        </w:rPr>
        <w:t>R</w:t>
      </w:r>
      <w:r w:rsidRPr="002C3378">
        <w:rPr>
          <w:rFonts w:ascii="Arial" w:hAnsi="Arial" w:cs="Arial"/>
          <w:b/>
          <w:sz w:val="24"/>
          <w:szCs w:val="24"/>
        </w:rPr>
        <w:t xml:space="preserve"> for MoS</w:t>
      </w:r>
      <w:r w:rsidRPr="002C3378">
        <w:rPr>
          <w:rFonts w:ascii="Arial" w:hAnsi="Arial" w:cs="Arial"/>
          <w:b/>
          <w:sz w:val="24"/>
          <w:szCs w:val="24"/>
          <w:vertAlign w:val="subscript"/>
        </w:rPr>
        <w:t>AP</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550"/>
        <w:gridCol w:w="939"/>
        <w:gridCol w:w="1229"/>
        <w:gridCol w:w="1229"/>
        <w:gridCol w:w="1150"/>
        <w:gridCol w:w="472"/>
        <w:gridCol w:w="472"/>
        <w:gridCol w:w="828"/>
        <w:gridCol w:w="483"/>
        <w:gridCol w:w="2163"/>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w:t>
            </w:r>
            <w:r w:rsidRPr="002C3378">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-0.006443 to 0.01411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-0.06213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4.996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-0.09973 to -0.02452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0.0003</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-0.01506 to 0.06892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0.5709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-0.0007875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0.05038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4.739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0.01824 to 0.08253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0.0006</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0.07746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7.143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0.04467 to 0.1103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-0.009746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5.846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0.02865 to 0.09004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0.007151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6.348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0.02377 to 0.06702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0.007473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0.01135 to 0.05654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0.02613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0.02347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3.048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0.0001856 to 0.04675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0.0471</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Pert10</w:t>
            </w:r>
            <w:r w:rsidRPr="002C3378">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0.8053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-0.009330 to 0.01610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-0.01452 to 0.07450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0.467</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0.08479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7.388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0.05009 to 0.1195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0.07875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6.868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0.04408 to 0.1134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0.06489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7.484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0.03867 to 0.09110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0.007947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3.719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0.005526 to 0.05359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0.0087</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0.008877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-0.01331 to 0.04037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0.005516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2.247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-0.004286 to 0.02907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0.3004</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0.04975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-0.0002044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-0.01354 to 0.01313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t>e</w:t>
      </w:r>
      <w:r w:rsidRPr="002C3378">
        <w:rPr>
          <w:rFonts w:ascii="Arial" w:hAnsi="Arial" w:cs="Arial"/>
          <w:b/>
          <w:sz w:val="24"/>
          <w:szCs w:val="24"/>
        </w:rPr>
        <w:t>Table</w:t>
      </w:r>
      <w:proofErr w:type="spellEnd"/>
      <w:r w:rsidRPr="002C3378">
        <w:rPr>
          <w:rFonts w:ascii="Arial" w:hAnsi="Arial" w:cs="Arial"/>
          <w:b/>
          <w:sz w:val="24"/>
          <w:szCs w:val="24"/>
        </w:rPr>
        <w:t xml:space="preserve"> 10: Bonferroni’s multiple comparison test results comparing Pert1</w:t>
      </w:r>
      <w:r w:rsidRPr="002C3378">
        <w:rPr>
          <w:rFonts w:ascii="Arial" w:hAnsi="Arial" w:cs="Arial"/>
          <w:b/>
          <w:sz w:val="24"/>
          <w:szCs w:val="24"/>
          <w:vertAlign w:val="subscript"/>
        </w:rPr>
        <w:t>R</w:t>
      </w:r>
      <w:r w:rsidRPr="002C3378">
        <w:rPr>
          <w:rFonts w:ascii="Arial" w:hAnsi="Arial" w:cs="Arial"/>
          <w:b/>
          <w:sz w:val="24"/>
          <w:szCs w:val="24"/>
        </w:rPr>
        <w:t xml:space="preserve"> to Pert10</w:t>
      </w:r>
      <w:r w:rsidRPr="002C3378">
        <w:rPr>
          <w:rFonts w:ascii="Arial" w:hAnsi="Arial" w:cs="Arial"/>
          <w:b/>
          <w:sz w:val="24"/>
          <w:szCs w:val="24"/>
          <w:vertAlign w:val="subscript"/>
        </w:rPr>
        <w:t>R</w:t>
      </w:r>
      <w:r w:rsidRPr="002C3378">
        <w:rPr>
          <w:rFonts w:ascii="Arial" w:hAnsi="Arial" w:cs="Arial"/>
          <w:b/>
          <w:sz w:val="24"/>
          <w:szCs w:val="24"/>
        </w:rPr>
        <w:t xml:space="preserve"> for MoS</w:t>
      </w:r>
      <w:r w:rsidRPr="002C3378">
        <w:rPr>
          <w:rFonts w:ascii="Arial" w:hAnsi="Arial" w:cs="Arial"/>
          <w:b/>
          <w:sz w:val="24"/>
          <w:szCs w:val="24"/>
          <w:vertAlign w:val="subscript"/>
        </w:rPr>
        <w:t>AP</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649"/>
        <w:gridCol w:w="939"/>
        <w:gridCol w:w="1006"/>
        <w:gridCol w:w="1229"/>
        <w:gridCol w:w="1150"/>
        <w:gridCol w:w="472"/>
        <w:gridCol w:w="472"/>
        <w:gridCol w:w="828"/>
        <w:gridCol w:w="483"/>
        <w:gridCol w:w="2229"/>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w:t>
            </w:r>
            <w:r w:rsidRPr="00C21C9C">
              <w:rPr>
                <w:rFonts w:ascii="Arial" w:eastAsia="Times New Roman" w:hAnsi="Arial" w:cs="Arial"/>
                <w:sz w:val="20"/>
                <w:szCs w:val="20"/>
                <w:vertAlign w:val="subscript"/>
                <w:lang w:eastAsia="en-GB"/>
              </w:rPr>
              <w:t>R</w:t>
            </w:r>
            <w:r w:rsidRPr="002C3378">
              <w:rPr>
                <w:rFonts w:ascii="Arial" w:eastAsia="Times New Roman" w:hAnsi="Arial" w:cs="Arial"/>
                <w:sz w:val="20"/>
                <w:szCs w:val="20"/>
                <w:lang w:eastAsia="en-GB"/>
              </w:rPr>
              <w:t xml:space="preserve"> - Pert10</w:t>
            </w:r>
            <w:r w:rsidRPr="00C21C9C">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5.044E-05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0.001873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-0.005693 to 0.005794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-0.0003983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0.003603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-0.01145 to 0.01065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0.09217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8.586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0.05925 to 0.1251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0.05792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3.542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0.007766 to 0.1081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0.0152</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2.227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-0.01072 to 0.06756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0.3485</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-0.04934 to 0.02429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-0.06426 to 0.004782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0.1377</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2.838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-0.06619 to 0.002567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0.0869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0.008091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-0.04632 to 0.003310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0.1327</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0.02613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0.04975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-0.02362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0.006687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3.533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-0.04413 to -0.003115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0"/>
          <w:szCs w:val="20"/>
        </w:rPr>
      </w:pPr>
      <w:r w:rsidRPr="002C3378">
        <w:rPr>
          <w:rFonts w:ascii="Arial" w:hAnsi="Arial" w:cs="Arial"/>
          <w:b/>
          <w:sz w:val="20"/>
          <w:szCs w:val="20"/>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11: Bonferroni’s multiple comparison test results comparing recovery steps to baseline in Pert1</w:t>
      </w:r>
      <w:r w:rsidRPr="002C3378">
        <w:rPr>
          <w:rFonts w:ascii="Arial" w:hAnsi="Arial" w:cs="Arial"/>
          <w:b/>
          <w:sz w:val="24"/>
          <w:szCs w:val="24"/>
          <w:vertAlign w:val="subscript"/>
        </w:rPr>
        <w:t>R</w:t>
      </w:r>
      <w:r w:rsidRPr="002C3378">
        <w:rPr>
          <w:rFonts w:ascii="Arial" w:hAnsi="Arial" w:cs="Arial"/>
          <w:b/>
          <w:sz w:val="24"/>
          <w:szCs w:val="24"/>
        </w:rPr>
        <w:t xml:space="preserve"> and Pert10</w:t>
      </w:r>
      <w:r w:rsidRPr="002C3378">
        <w:rPr>
          <w:rFonts w:ascii="Arial" w:hAnsi="Arial" w:cs="Arial"/>
          <w:b/>
          <w:sz w:val="24"/>
          <w:szCs w:val="24"/>
          <w:vertAlign w:val="subscript"/>
        </w:rPr>
        <w:t>R</w:t>
      </w:r>
      <w:r w:rsidRPr="002C3378">
        <w:rPr>
          <w:rFonts w:ascii="Arial" w:hAnsi="Arial" w:cs="Arial"/>
          <w:b/>
          <w:sz w:val="24"/>
          <w:szCs w:val="24"/>
        </w:rPr>
        <w:t xml:space="preserve"> for BoS</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550"/>
        <w:gridCol w:w="895"/>
        <w:gridCol w:w="895"/>
        <w:gridCol w:w="1172"/>
        <w:gridCol w:w="1150"/>
        <w:gridCol w:w="472"/>
        <w:gridCol w:w="472"/>
        <w:gridCol w:w="828"/>
        <w:gridCol w:w="483"/>
        <w:gridCol w:w="2118"/>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w:t>
            </w:r>
            <w:r w:rsidRPr="002C3378">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0.003826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0.004034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0.9484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-0.008373 to 0.01603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0.7432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-0.09937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9.723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-0.1303 to -0.06847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0.4002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0.03247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0.3020 to 0.4984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4.318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0.03516 to 0.1995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0.0018</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-0.04109 to 0.1280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-0.03317 to 0.07977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0.3664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-0.04111 to 0.03222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2.071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-0.01290 to 0.06899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0.4355</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0.01053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1.404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-0.01705 to 0.04663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Pert10</w:t>
            </w:r>
            <w:r w:rsidRPr="002C3378">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0.001648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0.005721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-0.01565 to 0.01895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0.7293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-0.07739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-0.1230 to -0.03180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0.0002</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0.3814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0.2705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7.441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0.1606 to 0.3805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0.06141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0.01347 to 0.1093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2.161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-0.01791 to 0.1077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0.3605</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-0.02695 to 0.05868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0.009091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-0.02163 to 0.03334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0.02063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-0.01455 to 0.05582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0.7912</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0.6456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0.006321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0.006719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0.9407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-0.01400 to 0.02664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t>e</w:t>
      </w:r>
      <w:r w:rsidRPr="002C3378">
        <w:rPr>
          <w:rFonts w:ascii="Arial" w:hAnsi="Arial" w:cs="Arial"/>
          <w:b/>
          <w:sz w:val="24"/>
          <w:szCs w:val="24"/>
        </w:rPr>
        <w:t>Table</w:t>
      </w:r>
      <w:proofErr w:type="spellEnd"/>
      <w:r w:rsidRPr="002C3378">
        <w:rPr>
          <w:rFonts w:ascii="Arial" w:hAnsi="Arial" w:cs="Arial"/>
          <w:b/>
          <w:sz w:val="24"/>
          <w:szCs w:val="24"/>
        </w:rPr>
        <w:t xml:space="preserve"> 12: Bonferroni’s multiple comparison test results comparing Pert1</w:t>
      </w:r>
      <w:r w:rsidRPr="002C3378">
        <w:rPr>
          <w:rFonts w:ascii="Arial" w:hAnsi="Arial" w:cs="Arial"/>
          <w:b/>
          <w:sz w:val="24"/>
          <w:szCs w:val="24"/>
          <w:vertAlign w:val="subscript"/>
        </w:rPr>
        <w:t>R</w:t>
      </w:r>
      <w:r w:rsidRPr="002C3378">
        <w:rPr>
          <w:rFonts w:ascii="Arial" w:hAnsi="Arial" w:cs="Arial"/>
          <w:b/>
          <w:sz w:val="24"/>
          <w:szCs w:val="24"/>
        </w:rPr>
        <w:t xml:space="preserve"> to Pert10</w:t>
      </w:r>
      <w:r w:rsidRPr="002C3378">
        <w:rPr>
          <w:rFonts w:ascii="Arial" w:hAnsi="Arial" w:cs="Arial"/>
          <w:b/>
          <w:sz w:val="24"/>
          <w:szCs w:val="24"/>
          <w:vertAlign w:val="subscript"/>
        </w:rPr>
        <w:t>R</w:t>
      </w:r>
      <w:r w:rsidRPr="002C3378">
        <w:rPr>
          <w:rFonts w:ascii="Arial" w:hAnsi="Arial" w:cs="Arial"/>
          <w:b/>
          <w:sz w:val="24"/>
          <w:szCs w:val="24"/>
        </w:rPr>
        <w:t xml:space="preserve"> for BoS</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649"/>
        <w:gridCol w:w="895"/>
        <w:gridCol w:w="895"/>
        <w:gridCol w:w="1172"/>
        <w:gridCol w:w="1150"/>
        <w:gridCol w:w="472"/>
        <w:gridCol w:w="472"/>
        <w:gridCol w:w="828"/>
        <w:gridCol w:w="483"/>
        <w:gridCol w:w="2118"/>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C21C9C">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w:t>
            </w:r>
            <w:r w:rsidRPr="00C21C9C">
              <w:rPr>
                <w:rFonts w:ascii="Arial" w:eastAsia="Times New Roman" w:hAnsi="Arial" w:cs="Arial"/>
                <w:sz w:val="20"/>
                <w:szCs w:val="20"/>
                <w:vertAlign w:val="subscript"/>
                <w:lang w:eastAsia="en-GB"/>
              </w:rPr>
              <w:t>R</w:t>
            </w:r>
            <w:r w:rsidRPr="002C3378">
              <w:rPr>
                <w:rFonts w:ascii="Arial" w:eastAsia="Times New Roman" w:hAnsi="Arial" w:cs="Arial"/>
                <w:sz w:val="20"/>
                <w:szCs w:val="20"/>
                <w:lang w:eastAsia="en-GB"/>
              </w:rPr>
              <w:t xml:space="preserve"> - Pert10</w:t>
            </w:r>
            <w:r w:rsidRPr="00C21C9C">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-0.008115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-0.02102 to 0.004789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0.6476</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0.006064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1.697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-0.02889 to 0.008306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0.7432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0.7293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-0.02078 to 0.04850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0.2436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0.3814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0.04262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3.233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-0.2685 to -0.007088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0.0332</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-0.06405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-0.1373 to 0.009181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0.1253</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0.2523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-0.08788 to 0.07452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-0.05663 to 0.02553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0.002185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-0.03611 to 0.04048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-0.05948 to 0.02842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0.6456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-0.01658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0.01148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1.444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-0.05180 to 0.01863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0"/>
          <w:szCs w:val="20"/>
        </w:rPr>
      </w:pPr>
      <w:r w:rsidRPr="002C3378">
        <w:rPr>
          <w:rFonts w:ascii="Arial" w:hAnsi="Arial" w:cs="Arial"/>
          <w:b/>
          <w:sz w:val="20"/>
          <w:szCs w:val="20"/>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13: Bonferroni’s multiple comparison test results comparing recovery steps to baseline in Pert1</w:t>
      </w:r>
      <w:r w:rsidRPr="002C3378">
        <w:rPr>
          <w:rFonts w:ascii="Arial" w:hAnsi="Arial" w:cs="Arial"/>
          <w:b/>
          <w:sz w:val="24"/>
          <w:szCs w:val="24"/>
          <w:vertAlign w:val="subscript"/>
        </w:rPr>
        <w:t>R</w:t>
      </w:r>
      <w:r w:rsidRPr="002C3378">
        <w:rPr>
          <w:rFonts w:ascii="Arial" w:hAnsi="Arial" w:cs="Arial"/>
          <w:b/>
          <w:sz w:val="24"/>
          <w:szCs w:val="24"/>
        </w:rPr>
        <w:t xml:space="preserve"> and Pert10</w:t>
      </w:r>
      <w:r w:rsidRPr="002C3378">
        <w:rPr>
          <w:rFonts w:ascii="Arial" w:hAnsi="Arial" w:cs="Arial"/>
          <w:b/>
          <w:sz w:val="24"/>
          <w:szCs w:val="24"/>
          <w:vertAlign w:val="subscript"/>
        </w:rPr>
        <w:t>R</w:t>
      </w:r>
      <w:r w:rsidRPr="002C3378">
        <w:rPr>
          <w:rFonts w:ascii="Arial" w:hAnsi="Arial" w:cs="Arial"/>
          <w:b/>
          <w:sz w:val="24"/>
          <w:szCs w:val="24"/>
        </w:rPr>
        <w:t xml:space="preserve"> for X</w:t>
      </w:r>
      <w:r w:rsidRPr="002C3378">
        <w:rPr>
          <w:rFonts w:ascii="Arial" w:hAnsi="Arial" w:cs="Arial"/>
          <w:b/>
          <w:sz w:val="24"/>
          <w:szCs w:val="24"/>
          <w:vertAlign w:val="subscript"/>
        </w:rPr>
        <w:t>CoM</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550"/>
        <w:gridCol w:w="895"/>
        <w:gridCol w:w="895"/>
        <w:gridCol w:w="1206"/>
        <w:gridCol w:w="1150"/>
        <w:gridCol w:w="472"/>
        <w:gridCol w:w="472"/>
        <w:gridCol w:w="828"/>
        <w:gridCol w:w="483"/>
        <w:gridCol w:w="2185"/>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w:t>
            </w:r>
            <w:r w:rsidRPr="002C3378">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-9.535E-06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-0.01767 to 0.01765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2.542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-0.08154 to 0.007056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0.1559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0.3733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0.03143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0.2783 to 0.4683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0.06696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-0.01856 to 0.1525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0.2307</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-0.1166 to 0.04853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-0.03604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-0.09866 to 0.02657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0.8421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-0.04984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3.692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-0.09065 to -0.009022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0.0093</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0.4712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-0.04376 to 0.03196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-0.00868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0.01323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0.656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-0.04869 to 0.03133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Pert10</w:t>
            </w:r>
            <w:r w:rsidRPr="002C3378">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-0.001739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0.007199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0.2416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-0.02351 to 0.02003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0.7097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6.635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-0.1563 to -0.05844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0.4166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5.479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0.08324 to 0.2882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0.7686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-0.08557 to 0.05088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-0.07532 to 0.03530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0.7087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-0.07210 to 0.04472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-0.007673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0.4944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-0.05460 to 0.03925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0.5641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-0.03593 to 0.05241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0.5958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0.006525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0.008906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0.7327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-0.02040 to 0.03345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t>e</w:t>
      </w:r>
      <w:r w:rsidRPr="002C3378">
        <w:rPr>
          <w:rFonts w:ascii="Arial" w:hAnsi="Arial" w:cs="Arial"/>
          <w:b/>
          <w:sz w:val="24"/>
          <w:szCs w:val="24"/>
        </w:rPr>
        <w:t>Table</w:t>
      </w:r>
      <w:proofErr w:type="spellEnd"/>
      <w:r w:rsidRPr="002C3378">
        <w:rPr>
          <w:rFonts w:ascii="Arial" w:hAnsi="Arial" w:cs="Arial"/>
          <w:b/>
          <w:sz w:val="24"/>
          <w:szCs w:val="24"/>
        </w:rPr>
        <w:t xml:space="preserve"> 14: Bonferroni’s multiple comparison test results comparing Pert1</w:t>
      </w:r>
      <w:r w:rsidRPr="002C3378">
        <w:rPr>
          <w:rFonts w:ascii="Arial" w:hAnsi="Arial" w:cs="Arial"/>
          <w:b/>
          <w:sz w:val="24"/>
          <w:szCs w:val="24"/>
          <w:vertAlign w:val="subscript"/>
        </w:rPr>
        <w:t>R</w:t>
      </w:r>
      <w:r w:rsidRPr="002C3378">
        <w:rPr>
          <w:rFonts w:ascii="Arial" w:hAnsi="Arial" w:cs="Arial"/>
          <w:b/>
          <w:sz w:val="24"/>
          <w:szCs w:val="24"/>
        </w:rPr>
        <w:t xml:space="preserve"> to Pert10</w:t>
      </w:r>
      <w:r w:rsidRPr="002C3378">
        <w:rPr>
          <w:rFonts w:ascii="Arial" w:hAnsi="Arial" w:cs="Arial"/>
          <w:b/>
          <w:sz w:val="24"/>
          <w:szCs w:val="24"/>
          <w:vertAlign w:val="subscript"/>
        </w:rPr>
        <w:t>R</w:t>
      </w:r>
      <w:r w:rsidRPr="002C3378">
        <w:rPr>
          <w:rFonts w:ascii="Arial" w:hAnsi="Arial" w:cs="Arial"/>
          <w:b/>
          <w:sz w:val="24"/>
          <w:szCs w:val="24"/>
        </w:rPr>
        <w:t xml:space="preserve"> for X</w:t>
      </w:r>
      <w:r w:rsidRPr="002C3378">
        <w:rPr>
          <w:rFonts w:ascii="Arial" w:hAnsi="Arial" w:cs="Arial"/>
          <w:b/>
          <w:sz w:val="24"/>
          <w:szCs w:val="24"/>
          <w:vertAlign w:val="subscript"/>
        </w:rPr>
        <w:t>CoM</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649"/>
        <w:gridCol w:w="895"/>
        <w:gridCol w:w="895"/>
        <w:gridCol w:w="1172"/>
        <w:gridCol w:w="1150"/>
        <w:gridCol w:w="472"/>
        <w:gridCol w:w="472"/>
        <w:gridCol w:w="828"/>
        <w:gridCol w:w="483"/>
        <w:gridCol w:w="2118"/>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C21C9C">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w:t>
            </w:r>
            <w:r w:rsidRPr="00C21C9C">
              <w:rPr>
                <w:rFonts w:ascii="Arial" w:eastAsia="Times New Roman" w:hAnsi="Arial" w:cs="Arial"/>
                <w:sz w:val="20"/>
                <w:szCs w:val="20"/>
                <w:vertAlign w:val="subscript"/>
                <w:lang w:eastAsia="en-GB"/>
              </w:rPr>
              <w:t>R</w:t>
            </w:r>
            <w:r w:rsidRPr="002C3378">
              <w:rPr>
                <w:rFonts w:ascii="Arial" w:eastAsia="Times New Roman" w:hAnsi="Arial" w:cs="Arial"/>
                <w:sz w:val="20"/>
                <w:szCs w:val="20"/>
                <w:lang w:eastAsia="en-GB"/>
              </w:rPr>
              <w:t xml:space="preserve"> - Pert10</w:t>
            </w:r>
            <w:r w:rsidRPr="00C21C9C">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-0.008165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0.004169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1.959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-0.02095 to 0.004620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0.6095</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-0.009895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0.007249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-0.03213 to 0.01234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0.6314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0.7097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-0.07831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6.976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-0.1127 to -0.04388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0.4166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-0.1957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0.03769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5.193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-0.3113 to -0.08013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0.0002</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0.5272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-0.09246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-0.1800 to -0.004932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0.0326</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0.2225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-0.07471 to 0.08640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0.6302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0.01419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0.01757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0.8074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-0.03970 to 0.06808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1.794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-0.02414 to 0.09213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0.8452</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0.6001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0.005975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0.4156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-0.03812 to 0.05007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0.6029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0.5958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0.00704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0.5298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-0.03371 to 0.04779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0"/>
          <w:szCs w:val="20"/>
        </w:rPr>
      </w:pPr>
      <w:r w:rsidRPr="002C3378">
        <w:rPr>
          <w:rFonts w:ascii="Arial" w:hAnsi="Arial" w:cs="Arial"/>
          <w:b/>
          <w:sz w:val="20"/>
          <w:szCs w:val="20"/>
        </w:rPr>
        <w:br w:type="page"/>
      </w: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lastRenderedPageBreak/>
        <w:t>e</w:t>
      </w:r>
      <w:r w:rsidRPr="002C3378">
        <w:rPr>
          <w:rFonts w:ascii="Arial" w:hAnsi="Arial" w:cs="Arial"/>
          <w:b/>
          <w:sz w:val="24"/>
          <w:szCs w:val="24"/>
        </w:rPr>
        <w:t>Table</w:t>
      </w:r>
      <w:proofErr w:type="spellEnd"/>
      <w:r w:rsidRPr="002C3378">
        <w:rPr>
          <w:rFonts w:ascii="Arial" w:hAnsi="Arial" w:cs="Arial"/>
          <w:b/>
          <w:sz w:val="24"/>
          <w:szCs w:val="24"/>
        </w:rPr>
        <w:t xml:space="preserve"> 15: Bonferroni’s multiple comparison test results comparing recovery steps to baseline in Pert1</w:t>
      </w:r>
      <w:r w:rsidRPr="002C3378">
        <w:rPr>
          <w:rFonts w:ascii="Arial" w:hAnsi="Arial" w:cs="Arial"/>
          <w:b/>
          <w:sz w:val="24"/>
          <w:szCs w:val="24"/>
          <w:vertAlign w:val="subscript"/>
        </w:rPr>
        <w:t>R</w:t>
      </w:r>
      <w:r w:rsidRPr="002C3378">
        <w:rPr>
          <w:rFonts w:ascii="Arial" w:hAnsi="Arial" w:cs="Arial"/>
          <w:b/>
          <w:sz w:val="24"/>
          <w:szCs w:val="24"/>
        </w:rPr>
        <w:t xml:space="preserve"> and Pert10</w:t>
      </w:r>
      <w:r w:rsidRPr="002C3378">
        <w:rPr>
          <w:rFonts w:ascii="Arial" w:hAnsi="Arial" w:cs="Arial"/>
          <w:b/>
          <w:sz w:val="24"/>
          <w:szCs w:val="24"/>
          <w:vertAlign w:val="subscript"/>
        </w:rPr>
        <w:t>R</w:t>
      </w:r>
      <w:r w:rsidRPr="002C3378">
        <w:rPr>
          <w:rFonts w:ascii="Arial" w:hAnsi="Arial" w:cs="Arial"/>
          <w:b/>
          <w:sz w:val="24"/>
          <w:szCs w:val="24"/>
        </w:rPr>
        <w:t xml:space="preserve"> for MoS</w:t>
      </w:r>
      <w:r w:rsidRPr="002C3378">
        <w:rPr>
          <w:rFonts w:ascii="Arial" w:hAnsi="Arial" w:cs="Arial"/>
          <w:b/>
          <w:sz w:val="24"/>
          <w:szCs w:val="24"/>
          <w:vertAlign w:val="subscript"/>
        </w:rPr>
        <w:t>ML</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550"/>
        <w:gridCol w:w="939"/>
        <w:gridCol w:w="1051"/>
        <w:gridCol w:w="1229"/>
        <w:gridCol w:w="1150"/>
        <w:gridCol w:w="472"/>
        <w:gridCol w:w="472"/>
        <w:gridCol w:w="828"/>
        <w:gridCol w:w="483"/>
        <w:gridCol w:w="2185"/>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w:t>
            </w:r>
            <w:r w:rsidRPr="002C3378">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-0.004507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0.003311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1.361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-0.01452 to 0.005503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0.008328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1.271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-0.01460 to 0.03576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3.326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-0.05530 to -0.002629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-0.01829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1.845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-0.04826 to 0.01168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0.6876</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-0.02471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0.005466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4.521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-0.04124 to -0.008186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-0.02262 to 0.005741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0.7519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-0.01634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0.004258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3.837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-0.02922 to -0.003465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0.0064</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1.598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-0.01964 to 0.006056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-0.01185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0.004343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-0.02499 to 0.001278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0.101</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Pert10</w:t>
            </w:r>
            <w:r w:rsidRPr="002C3378">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-0.0005999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0.004008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0.1497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-0.01272 to 0.01152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0.007452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0.9003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-0.01582 to 0.02924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0.05607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0.005344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6.808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-0.05254 to -0.02022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-0.006992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0.006573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1.064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-0.02687 to 0.01288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-0.02022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0.006154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3.286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-0.03883 to -0.001612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0.0262</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-0.003408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0.003743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0.9105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-0.01472 to 0.007909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2.375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-0.02379 to 0.002859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0.227</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0.7626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-0.01602 to 0.009568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0.02589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-0.006201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0.002658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2.333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-0.01424 to 0.001835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0.2487</w:t>
            </w:r>
          </w:p>
        </w:tc>
      </w:tr>
    </w:tbl>
    <w:p w:rsidR="0010518E" w:rsidRPr="002C3378" w:rsidRDefault="0010518E" w:rsidP="002C3378">
      <w:pPr>
        <w:spacing w:after="0" w:line="240" w:lineRule="auto"/>
        <w:contextualSpacing/>
        <w:jc w:val="both"/>
        <w:rPr>
          <w:rFonts w:ascii="Arial" w:hAnsi="Arial" w:cs="Arial"/>
          <w:sz w:val="20"/>
          <w:szCs w:val="20"/>
        </w:rPr>
      </w:pPr>
    </w:p>
    <w:p w:rsidR="0010518E" w:rsidRPr="002C3378" w:rsidRDefault="0010518E" w:rsidP="002C3378">
      <w:pPr>
        <w:spacing w:after="0" w:line="240" w:lineRule="auto"/>
        <w:contextualSpacing/>
        <w:jc w:val="both"/>
        <w:rPr>
          <w:rFonts w:ascii="Arial" w:hAnsi="Arial" w:cs="Arial"/>
          <w:b/>
          <w:sz w:val="24"/>
          <w:szCs w:val="24"/>
        </w:rPr>
      </w:pPr>
      <w:proofErr w:type="spellStart"/>
      <w:r>
        <w:rPr>
          <w:rFonts w:ascii="Arial" w:hAnsi="Arial" w:cs="Arial"/>
          <w:b/>
          <w:sz w:val="24"/>
          <w:szCs w:val="24"/>
        </w:rPr>
        <w:t>e</w:t>
      </w:r>
      <w:r w:rsidRPr="002C3378">
        <w:rPr>
          <w:rFonts w:ascii="Arial" w:hAnsi="Arial" w:cs="Arial"/>
          <w:b/>
          <w:sz w:val="24"/>
          <w:szCs w:val="24"/>
        </w:rPr>
        <w:t>Table</w:t>
      </w:r>
      <w:proofErr w:type="spellEnd"/>
      <w:r w:rsidRPr="002C3378">
        <w:rPr>
          <w:rFonts w:ascii="Arial" w:hAnsi="Arial" w:cs="Arial"/>
          <w:b/>
          <w:sz w:val="24"/>
          <w:szCs w:val="24"/>
        </w:rPr>
        <w:t xml:space="preserve"> 16: Bonferroni’s multiple comparison test results comparing Pert1</w:t>
      </w:r>
      <w:r w:rsidRPr="002C3378">
        <w:rPr>
          <w:rFonts w:ascii="Arial" w:hAnsi="Arial" w:cs="Arial"/>
          <w:b/>
          <w:sz w:val="24"/>
          <w:szCs w:val="24"/>
          <w:vertAlign w:val="subscript"/>
        </w:rPr>
        <w:t>R</w:t>
      </w:r>
      <w:r w:rsidRPr="002C3378">
        <w:rPr>
          <w:rFonts w:ascii="Arial" w:hAnsi="Arial" w:cs="Arial"/>
          <w:b/>
          <w:sz w:val="24"/>
          <w:szCs w:val="24"/>
        </w:rPr>
        <w:t xml:space="preserve"> to Pert10</w:t>
      </w:r>
      <w:r w:rsidRPr="002C3378">
        <w:rPr>
          <w:rFonts w:ascii="Arial" w:hAnsi="Arial" w:cs="Arial"/>
          <w:b/>
          <w:sz w:val="24"/>
          <w:szCs w:val="24"/>
          <w:vertAlign w:val="subscript"/>
        </w:rPr>
        <w:t>R</w:t>
      </w:r>
      <w:r w:rsidRPr="002C3378">
        <w:rPr>
          <w:rFonts w:ascii="Arial" w:hAnsi="Arial" w:cs="Arial"/>
          <w:b/>
          <w:sz w:val="24"/>
          <w:szCs w:val="24"/>
        </w:rPr>
        <w:t xml:space="preserve"> for MoS</w:t>
      </w:r>
      <w:r w:rsidRPr="002C3378">
        <w:rPr>
          <w:rFonts w:ascii="Arial" w:hAnsi="Arial" w:cs="Arial"/>
          <w:b/>
          <w:sz w:val="24"/>
          <w:szCs w:val="24"/>
          <w:vertAlign w:val="subscript"/>
        </w:rPr>
        <w:t>ML</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649"/>
        <w:gridCol w:w="939"/>
        <w:gridCol w:w="939"/>
        <w:gridCol w:w="1172"/>
        <w:gridCol w:w="1150"/>
        <w:gridCol w:w="472"/>
        <w:gridCol w:w="472"/>
        <w:gridCol w:w="828"/>
        <w:gridCol w:w="483"/>
        <w:gridCol w:w="2229"/>
        <w:gridCol w:w="1850"/>
      </w:tblGrid>
      <w:tr w:rsidR="0010518E" w:rsidRPr="002C3378" w:rsidTr="00717FAF">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717FAF">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C21C9C">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Pert1</w:t>
            </w:r>
            <w:r w:rsidRPr="00C21C9C">
              <w:rPr>
                <w:rFonts w:ascii="Arial" w:eastAsia="Times New Roman" w:hAnsi="Arial" w:cs="Arial"/>
                <w:sz w:val="20"/>
                <w:szCs w:val="20"/>
                <w:vertAlign w:val="subscript"/>
                <w:lang w:eastAsia="en-GB"/>
              </w:rPr>
              <w:t>R</w:t>
            </w:r>
            <w:r w:rsidRPr="002C3378">
              <w:rPr>
                <w:rFonts w:ascii="Arial" w:eastAsia="Times New Roman" w:hAnsi="Arial" w:cs="Arial"/>
                <w:sz w:val="20"/>
                <w:szCs w:val="20"/>
                <w:lang w:eastAsia="en-GB"/>
              </w:rPr>
              <w:t xml:space="preserve"> - Pert10</w:t>
            </w:r>
            <w:r w:rsidRPr="00C21C9C">
              <w:rPr>
                <w:rFonts w:ascii="Arial" w:eastAsia="Times New Roman" w:hAnsi="Arial" w:cs="Arial"/>
                <w:sz w:val="20"/>
                <w:szCs w:val="20"/>
                <w:vertAlign w:val="subscript"/>
                <w:lang w:eastAsia="en-GB"/>
              </w:rPr>
              <w:t>R</w:t>
            </w:r>
          </w:p>
        </w:tc>
      </w:tr>
      <w:tr w:rsidR="0010518E" w:rsidRPr="002C3378" w:rsidTr="00717FAF">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0.01644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0.001499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2.167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-0.007847 to 0.001349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0.3955</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0.02095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0.02029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0.0006582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0.003111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0.2115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-0.008884 to 0.01020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0.00586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-0.007123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0.008802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0.8092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-0.03412 to 0.01987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0.0454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0.05607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-0.01067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0.009443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1.13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-0.03963 to 0.01830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0.03473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0.02668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0.008048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0.01128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0.7132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-0.02656 to 0.04266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0.04115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0.03991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0.001246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0.006638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0.1877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-0.01911 to 0.02160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0.02488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0.001783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0.005093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0.3502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-0.01384 to 0.01740</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0.03278</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0.03015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0.002627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0.004233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0.6206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-0.01036 to 0.01561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0.02323</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0.02292</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0.0003155</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0.003709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0.0851</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-0.01106 to 0.01169</w:t>
            </w:r>
          </w:p>
        </w:tc>
        <w:tc>
          <w:tcPr>
            <w:tcW w:w="0" w:type="auto"/>
            <w:tcBorders>
              <w:top w:val="nil"/>
              <w:left w:val="nil"/>
              <w:bottom w:val="nil"/>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717FAF">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0.02829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0.02589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0.002405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0.004033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0.5962</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-0.009965 to 0.01477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2C3378">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bl>
    <w:p w:rsidR="0010518E" w:rsidRDefault="0010518E" w:rsidP="002C3378">
      <w:pPr>
        <w:spacing w:after="0" w:line="240" w:lineRule="auto"/>
        <w:contextualSpacing/>
        <w:jc w:val="both"/>
        <w:rPr>
          <w:rFonts w:ascii="Arial" w:eastAsiaTheme="minorEastAsia" w:hAnsi="Arial" w:cs="Arial"/>
          <w:i/>
          <w:sz w:val="20"/>
          <w:szCs w:val="20"/>
        </w:rPr>
      </w:pPr>
    </w:p>
    <w:p w:rsidR="0010518E" w:rsidRDefault="0010518E">
      <w:pPr>
        <w:rPr>
          <w:rFonts w:ascii="Arial" w:eastAsiaTheme="minorEastAsia" w:hAnsi="Arial" w:cs="Arial"/>
          <w:i/>
          <w:sz w:val="20"/>
          <w:szCs w:val="20"/>
        </w:rPr>
      </w:pPr>
      <w:r>
        <w:rPr>
          <w:rFonts w:ascii="Arial" w:eastAsiaTheme="minorEastAsia" w:hAnsi="Arial" w:cs="Arial"/>
          <w:i/>
          <w:sz w:val="20"/>
          <w:szCs w:val="20"/>
        </w:rPr>
        <w:br w:type="page"/>
      </w:r>
    </w:p>
    <w:p w:rsidR="0010518E" w:rsidRPr="002C3378" w:rsidRDefault="0010518E" w:rsidP="00C21C9C">
      <w:pPr>
        <w:spacing w:after="0" w:line="240" w:lineRule="auto"/>
        <w:contextualSpacing/>
        <w:jc w:val="both"/>
        <w:rPr>
          <w:rFonts w:ascii="Arial" w:hAnsi="Arial" w:cs="Arial"/>
          <w:b/>
          <w:sz w:val="24"/>
          <w:szCs w:val="24"/>
        </w:rPr>
      </w:pPr>
      <w:r>
        <w:rPr>
          <w:rFonts w:ascii="Arial" w:eastAsiaTheme="minorEastAsia" w:hAnsi="Arial" w:cs="Arial"/>
          <w:i/>
          <w:sz w:val="20"/>
          <w:szCs w:val="20"/>
        </w:rPr>
        <w:lastRenderedPageBreak/>
        <w:t xml:space="preserve"> </w:t>
      </w:r>
      <w:proofErr w:type="spellStart"/>
      <w:r>
        <w:rPr>
          <w:rFonts w:ascii="Arial" w:hAnsi="Arial" w:cs="Arial"/>
          <w:b/>
          <w:sz w:val="24"/>
          <w:szCs w:val="24"/>
        </w:rPr>
        <w:t>e</w:t>
      </w:r>
      <w:r w:rsidRPr="002C3378">
        <w:rPr>
          <w:rFonts w:ascii="Arial" w:hAnsi="Arial" w:cs="Arial"/>
          <w:b/>
          <w:sz w:val="24"/>
          <w:szCs w:val="24"/>
        </w:rPr>
        <w:t>Table</w:t>
      </w:r>
      <w:proofErr w:type="spellEnd"/>
      <w:r w:rsidRPr="002C3378">
        <w:rPr>
          <w:rFonts w:ascii="Arial" w:hAnsi="Arial" w:cs="Arial"/>
          <w:b/>
          <w:sz w:val="24"/>
          <w:szCs w:val="24"/>
        </w:rPr>
        <w:t xml:space="preserve"> 1</w:t>
      </w:r>
      <w:r>
        <w:rPr>
          <w:rFonts w:ascii="Arial" w:hAnsi="Arial" w:cs="Arial"/>
          <w:b/>
          <w:sz w:val="24"/>
          <w:szCs w:val="24"/>
        </w:rPr>
        <w:t>7</w:t>
      </w:r>
      <w:r w:rsidRPr="002C3378">
        <w:rPr>
          <w:rFonts w:ascii="Arial" w:hAnsi="Arial" w:cs="Arial"/>
          <w:b/>
          <w:sz w:val="24"/>
          <w:szCs w:val="24"/>
        </w:rPr>
        <w:t>: Bonferroni’s multiple comparison test results comparing recovery steps to baseline in Pert</w:t>
      </w:r>
      <w:r>
        <w:rPr>
          <w:rFonts w:ascii="Arial" w:hAnsi="Arial" w:cs="Arial"/>
          <w:b/>
          <w:sz w:val="24"/>
          <w:szCs w:val="24"/>
        </w:rPr>
        <w:t>2</w:t>
      </w:r>
      <w:r>
        <w:rPr>
          <w:rFonts w:ascii="Arial" w:hAnsi="Arial" w:cs="Arial"/>
          <w:b/>
          <w:sz w:val="24"/>
          <w:szCs w:val="24"/>
          <w:vertAlign w:val="subscript"/>
        </w:rPr>
        <w:t>L</w:t>
      </w:r>
      <w:r w:rsidRPr="002C3378">
        <w:rPr>
          <w:rFonts w:ascii="Arial" w:hAnsi="Arial" w:cs="Arial"/>
          <w:b/>
          <w:sz w:val="24"/>
          <w:szCs w:val="24"/>
        </w:rPr>
        <w:t xml:space="preserve"> and Pert</w:t>
      </w:r>
      <w:r>
        <w:rPr>
          <w:rFonts w:ascii="Arial" w:hAnsi="Arial" w:cs="Arial"/>
          <w:b/>
          <w:sz w:val="24"/>
          <w:szCs w:val="24"/>
        </w:rPr>
        <w:t>3</w:t>
      </w:r>
      <w:r>
        <w:rPr>
          <w:rFonts w:ascii="Arial" w:hAnsi="Arial" w:cs="Arial"/>
          <w:b/>
          <w:sz w:val="24"/>
          <w:szCs w:val="24"/>
          <w:vertAlign w:val="subscript"/>
        </w:rPr>
        <w:t>L</w:t>
      </w:r>
      <w:r w:rsidRPr="002C3378">
        <w:rPr>
          <w:rFonts w:ascii="Arial" w:hAnsi="Arial" w:cs="Arial"/>
          <w:b/>
          <w:sz w:val="24"/>
          <w:szCs w:val="24"/>
        </w:rPr>
        <w:t xml:space="preserve"> for MoS</w:t>
      </w:r>
      <w:r>
        <w:rPr>
          <w:rFonts w:ascii="Arial" w:hAnsi="Arial" w:cs="Arial"/>
          <w:b/>
          <w:sz w:val="24"/>
          <w:szCs w:val="24"/>
          <w:vertAlign w:val="subscript"/>
        </w:rPr>
        <w:t>AP</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550"/>
        <w:gridCol w:w="939"/>
        <w:gridCol w:w="1162"/>
        <w:gridCol w:w="1229"/>
        <w:gridCol w:w="1150"/>
        <w:gridCol w:w="472"/>
        <w:gridCol w:w="472"/>
        <w:gridCol w:w="828"/>
        <w:gridCol w:w="483"/>
        <w:gridCol w:w="2185"/>
        <w:gridCol w:w="1850"/>
      </w:tblGrid>
      <w:tr w:rsidR="0010518E" w:rsidRPr="002C3378" w:rsidTr="003D3810">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3D3810">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C21C9C">
              <w:rPr>
                <w:rFonts w:ascii="Arial" w:eastAsia="Times New Roman" w:hAnsi="Arial" w:cs="Arial"/>
                <w:sz w:val="20"/>
                <w:szCs w:val="20"/>
                <w:lang w:eastAsia="en-GB"/>
              </w:rPr>
              <w:t>Pert2</w:t>
            </w:r>
            <w:r w:rsidRPr="00C21C9C">
              <w:rPr>
                <w:rFonts w:ascii="Arial" w:eastAsia="Times New Roman" w:hAnsi="Arial" w:cs="Arial"/>
                <w:sz w:val="20"/>
                <w:szCs w:val="20"/>
                <w:vertAlign w:val="subscript"/>
                <w:lang w:eastAsia="en-GB"/>
              </w:rPr>
              <w:t>L</w:t>
            </w:r>
          </w:p>
        </w:tc>
      </w:tr>
      <w:tr w:rsidR="0010518E" w:rsidRPr="002C3378" w:rsidTr="003D3810">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0.04449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0.003512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0.004828</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0.7275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-0.01109 to 0.01811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0.06157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-0.01357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0.01348</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1.006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-0.05434 to 0.02720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0.0001864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0.04782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0.01382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3.459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0.006017 to 0.08962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0.0169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0.01522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0.03279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0.01418</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2.312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-0.01010 to 0.07567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0.2607</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-0.03440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0.08240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0.01072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7.689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0.05000 to 0.1148</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&lt;0.0001</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0.003906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0.04410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0.007965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5.536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0.02001 to 0.06819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&lt;0.0001</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-0.004123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0.05213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0.008075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6.455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0.02771 to 0.07655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&lt;0.0001</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0.01971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0.02830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0.006021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4.700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0.01009 to 0.04650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0.0007</w:t>
            </w:r>
          </w:p>
        </w:tc>
      </w:tr>
      <w:tr w:rsidR="0010518E" w:rsidRPr="002C3378" w:rsidTr="003D3810">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0.03074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0.01726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0.004716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3.660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0.003002 to 0.03152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0.0101</w:t>
            </w:r>
          </w:p>
        </w:tc>
      </w:tr>
      <w:tr w:rsidR="0010518E" w:rsidRPr="002C3378" w:rsidTr="003D3810">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C21C9C">
              <w:rPr>
                <w:rFonts w:ascii="Arial" w:eastAsia="Times New Roman" w:hAnsi="Arial" w:cs="Arial"/>
                <w:sz w:val="20"/>
                <w:szCs w:val="20"/>
                <w:lang w:eastAsia="en-GB"/>
              </w:rPr>
              <w:t>Pert</w:t>
            </w:r>
            <w:r>
              <w:rPr>
                <w:rFonts w:ascii="Arial" w:eastAsia="Times New Roman" w:hAnsi="Arial" w:cs="Arial"/>
                <w:sz w:val="20"/>
                <w:szCs w:val="20"/>
                <w:lang w:eastAsia="en-GB"/>
              </w:rPr>
              <w:t>3</w:t>
            </w:r>
            <w:r w:rsidRPr="00C21C9C">
              <w:rPr>
                <w:rFonts w:ascii="Arial" w:eastAsia="Times New Roman" w:hAnsi="Arial" w:cs="Arial"/>
                <w:sz w:val="20"/>
                <w:szCs w:val="20"/>
                <w:vertAlign w:val="subscript"/>
                <w:lang w:eastAsia="en-GB"/>
              </w:rPr>
              <w:t>L</w:t>
            </w:r>
          </w:p>
        </w:tc>
      </w:tr>
      <w:tr w:rsidR="0010518E" w:rsidRPr="002C3378" w:rsidTr="003D3810">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Pre</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0.02029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-0.0005999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0.004008</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0.1497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-0.01272 to 0.01152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Post1</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0.01298</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0.006709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0.007452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0.9003</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-0.01582 to 0.02924</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0.05607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-0.03638</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0.005344</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6.808</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-0.05254 to -0.02022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&lt;0.0001</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Post3</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0.02668</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-0.006992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0.006573</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1.064</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-0.02687 to 0.01288</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Post4</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0.03991</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-0.02022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0.006154</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3.286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-0.03883 to -0.001612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0.0262</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Post5</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0.0231</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-0.003408</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0.003743</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0.9105</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-0.01472 to 0.007909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0.03015</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-0.01046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0.004406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2.375</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-0.02379 to 0.002859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0.227</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0.02292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-0.003227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0.004232</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0.7626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-0.01602 to 0.009568</w:t>
            </w:r>
          </w:p>
        </w:tc>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&gt;0.9999</w:t>
            </w:r>
          </w:p>
        </w:tc>
      </w:tr>
      <w:tr w:rsidR="0010518E" w:rsidRPr="002C3378" w:rsidTr="003D3810">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 vs. Post8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0.01969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0.02589</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-0.006201</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0.002658</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27</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2.333</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26</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-0.01424 to 0.001835</w:t>
            </w:r>
          </w:p>
        </w:tc>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0.2487</w:t>
            </w:r>
          </w:p>
        </w:tc>
      </w:tr>
    </w:tbl>
    <w:p w:rsidR="0010518E" w:rsidRPr="002C3378" w:rsidRDefault="0010518E" w:rsidP="00C21C9C">
      <w:pPr>
        <w:spacing w:after="0" w:line="240" w:lineRule="auto"/>
        <w:contextualSpacing/>
        <w:jc w:val="both"/>
        <w:rPr>
          <w:rFonts w:ascii="Arial" w:hAnsi="Arial" w:cs="Arial"/>
          <w:sz w:val="20"/>
          <w:szCs w:val="20"/>
        </w:rPr>
      </w:pPr>
    </w:p>
    <w:p w:rsidR="0010518E" w:rsidRPr="002C3378" w:rsidRDefault="0010518E" w:rsidP="00C21C9C">
      <w:pPr>
        <w:spacing w:after="0" w:line="240" w:lineRule="auto"/>
        <w:contextualSpacing/>
        <w:jc w:val="both"/>
        <w:rPr>
          <w:rFonts w:ascii="Arial" w:hAnsi="Arial" w:cs="Arial"/>
          <w:b/>
          <w:sz w:val="24"/>
          <w:szCs w:val="24"/>
        </w:rPr>
      </w:pPr>
      <w:proofErr w:type="spellStart"/>
      <w:r>
        <w:rPr>
          <w:rFonts w:ascii="Arial" w:hAnsi="Arial" w:cs="Arial"/>
          <w:b/>
          <w:sz w:val="24"/>
          <w:szCs w:val="24"/>
        </w:rPr>
        <w:t>e</w:t>
      </w:r>
      <w:r w:rsidRPr="002C3378">
        <w:rPr>
          <w:rFonts w:ascii="Arial" w:hAnsi="Arial" w:cs="Arial"/>
          <w:b/>
          <w:sz w:val="24"/>
          <w:szCs w:val="24"/>
        </w:rPr>
        <w:t>Table</w:t>
      </w:r>
      <w:proofErr w:type="spellEnd"/>
      <w:r w:rsidRPr="002C3378">
        <w:rPr>
          <w:rFonts w:ascii="Arial" w:hAnsi="Arial" w:cs="Arial"/>
          <w:b/>
          <w:sz w:val="24"/>
          <w:szCs w:val="24"/>
        </w:rPr>
        <w:t xml:space="preserve"> 1</w:t>
      </w:r>
      <w:r>
        <w:rPr>
          <w:rFonts w:ascii="Arial" w:hAnsi="Arial" w:cs="Arial"/>
          <w:b/>
          <w:sz w:val="24"/>
          <w:szCs w:val="24"/>
        </w:rPr>
        <w:t>8</w:t>
      </w:r>
      <w:r w:rsidRPr="002C3378">
        <w:rPr>
          <w:rFonts w:ascii="Arial" w:hAnsi="Arial" w:cs="Arial"/>
          <w:b/>
          <w:sz w:val="24"/>
          <w:szCs w:val="24"/>
        </w:rPr>
        <w:t>: Bonferroni’s multiple comparison test results comparing Pert</w:t>
      </w:r>
      <w:r>
        <w:rPr>
          <w:rFonts w:ascii="Arial" w:hAnsi="Arial" w:cs="Arial"/>
          <w:b/>
          <w:sz w:val="24"/>
          <w:szCs w:val="24"/>
        </w:rPr>
        <w:t>2</w:t>
      </w:r>
      <w:r>
        <w:rPr>
          <w:rFonts w:ascii="Arial" w:hAnsi="Arial" w:cs="Arial"/>
          <w:b/>
          <w:sz w:val="24"/>
          <w:szCs w:val="24"/>
          <w:vertAlign w:val="subscript"/>
        </w:rPr>
        <w:t>L</w:t>
      </w:r>
      <w:r w:rsidRPr="002C3378">
        <w:rPr>
          <w:rFonts w:ascii="Arial" w:hAnsi="Arial" w:cs="Arial"/>
          <w:b/>
          <w:sz w:val="24"/>
          <w:szCs w:val="24"/>
        </w:rPr>
        <w:t xml:space="preserve"> to Pert</w:t>
      </w:r>
      <w:r>
        <w:rPr>
          <w:rFonts w:ascii="Arial" w:hAnsi="Arial" w:cs="Arial"/>
          <w:b/>
          <w:sz w:val="24"/>
          <w:szCs w:val="24"/>
        </w:rPr>
        <w:t>3</w:t>
      </w:r>
      <w:r>
        <w:rPr>
          <w:rFonts w:ascii="Arial" w:hAnsi="Arial" w:cs="Arial"/>
          <w:b/>
          <w:sz w:val="24"/>
          <w:szCs w:val="24"/>
          <w:vertAlign w:val="subscript"/>
        </w:rPr>
        <w:t>L</w:t>
      </w:r>
      <w:r w:rsidRPr="002C3378">
        <w:rPr>
          <w:rFonts w:ascii="Arial" w:hAnsi="Arial" w:cs="Arial"/>
          <w:b/>
          <w:sz w:val="24"/>
          <w:szCs w:val="24"/>
        </w:rPr>
        <w:t xml:space="preserve"> for MoS</w:t>
      </w:r>
      <w:r>
        <w:rPr>
          <w:rFonts w:ascii="Arial" w:hAnsi="Arial" w:cs="Arial"/>
          <w:b/>
          <w:sz w:val="24"/>
          <w:szCs w:val="24"/>
          <w:vertAlign w:val="subscript"/>
        </w:rPr>
        <w:t>AP</w:t>
      </w:r>
      <w:r w:rsidRPr="00C66487">
        <w:rPr>
          <w:rFonts w:ascii="Arial" w:hAnsi="Arial" w:cs="Arial"/>
          <w:b/>
          <w:sz w:val="24"/>
          <w:szCs w:val="24"/>
        </w:rPr>
        <w:t xml:space="preserve"> </w:t>
      </w:r>
      <w:r>
        <w:rPr>
          <w:rFonts w:ascii="Arial" w:hAnsi="Arial" w:cs="Arial"/>
          <w:b/>
          <w:szCs w:val="24"/>
        </w:rPr>
        <w:t>[m]</w:t>
      </w:r>
      <w:r w:rsidRPr="002C3378">
        <w:rPr>
          <w:rFonts w:ascii="Arial" w:hAnsi="Arial" w:cs="Arial"/>
          <w:b/>
          <w:sz w:val="24"/>
          <w:szCs w:val="24"/>
        </w:rPr>
        <w:t xml:space="preserve"> in the older adults</w:t>
      </w:r>
    </w:p>
    <w:tbl>
      <w:tblPr>
        <w:tblW w:w="0" w:type="auto"/>
        <w:tblLook w:val="04A0" w:firstRow="1" w:lastRow="0" w:firstColumn="1" w:lastColumn="0" w:noHBand="0" w:noVBand="1"/>
      </w:tblPr>
      <w:tblGrid>
        <w:gridCol w:w="1495"/>
        <w:gridCol w:w="1162"/>
        <w:gridCol w:w="1117"/>
        <w:gridCol w:w="1172"/>
        <w:gridCol w:w="1150"/>
        <w:gridCol w:w="472"/>
        <w:gridCol w:w="472"/>
        <w:gridCol w:w="828"/>
        <w:gridCol w:w="483"/>
        <w:gridCol w:w="2185"/>
        <w:gridCol w:w="1850"/>
      </w:tblGrid>
      <w:tr w:rsidR="0010518E" w:rsidRPr="002C3378" w:rsidTr="003D3810">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Test details</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Mean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SE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N1</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N2</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DF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95.00% CI of diff.</w:t>
            </w:r>
          </w:p>
        </w:tc>
        <w:tc>
          <w:tcPr>
            <w:tcW w:w="0" w:type="auto"/>
            <w:tcBorders>
              <w:top w:val="single" w:sz="4" w:space="0" w:color="auto"/>
              <w:left w:val="nil"/>
              <w:bottom w:val="single" w:sz="4" w:space="0" w:color="auto"/>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b/>
                <w:bCs/>
                <w:sz w:val="20"/>
                <w:szCs w:val="20"/>
                <w:lang w:eastAsia="en-GB"/>
              </w:rPr>
            </w:pPr>
            <w:r w:rsidRPr="002C3378">
              <w:rPr>
                <w:rFonts w:ascii="Arial" w:eastAsia="Times New Roman" w:hAnsi="Arial" w:cs="Arial"/>
                <w:b/>
                <w:bCs/>
                <w:sz w:val="20"/>
                <w:szCs w:val="20"/>
                <w:lang w:eastAsia="en-GB"/>
              </w:rPr>
              <w:t>Adjusted P Value</w:t>
            </w:r>
          </w:p>
        </w:tc>
      </w:tr>
      <w:tr w:rsidR="0010518E" w:rsidRPr="002C3378" w:rsidTr="003D3810">
        <w:trPr>
          <w:gridAfter w:val="10"/>
          <w:trHeight w:val="20"/>
        </w:trPr>
        <w:tc>
          <w:tcPr>
            <w:tcW w:w="0" w:type="auto"/>
            <w:tcBorders>
              <w:top w:val="nil"/>
              <w:left w:val="nil"/>
              <w:bottom w:val="nil"/>
              <w:right w:val="nil"/>
            </w:tcBorders>
            <w:shd w:val="clear" w:color="auto" w:fill="auto"/>
            <w:noWrap/>
            <w:vAlign w:val="bottom"/>
            <w:hideMark/>
          </w:tcPr>
          <w:p w:rsidR="0010518E" w:rsidRPr="002C3378" w:rsidRDefault="0010518E" w:rsidP="003D3810">
            <w:pPr>
              <w:spacing w:after="0" w:line="240" w:lineRule="auto"/>
              <w:contextualSpacing/>
              <w:jc w:val="both"/>
              <w:rPr>
                <w:rFonts w:ascii="Arial" w:eastAsia="Times New Roman" w:hAnsi="Arial" w:cs="Arial"/>
                <w:sz w:val="20"/>
                <w:szCs w:val="20"/>
                <w:lang w:eastAsia="en-GB"/>
              </w:rPr>
            </w:pPr>
            <w:r w:rsidRPr="00C21C9C">
              <w:rPr>
                <w:rFonts w:ascii="Arial" w:eastAsia="Times New Roman" w:hAnsi="Arial" w:cs="Arial"/>
                <w:sz w:val="20"/>
                <w:szCs w:val="20"/>
                <w:lang w:eastAsia="en-GB"/>
              </w:rPr>
              <w:t>Pert2</w:t>
            </w:r>
            <w:r w:rsidRPr="00C21C9C">
              <w:rPr>
                <w:rFonts w:ascii="Arial" w:eastAsia="Times New Roman" w:hAnsi="Arial" w:cs="Arial"/>
                <w:sz w:val="20"/>
                <w:szCs w:val="20"/>
                <w:vertAlign w:val="subscript"/>
                <w:lang w:eastAsia="en-GB"/>
              </w:rPr>
              <w:t>L</w:t>
            </w:r>
            <w:r w:rsidRPr="002C3378">
              <w:rPr>
                <w:rFonts w:ascii="Arial" w:eastAsia="Times New Roman" w:hAnsi="Arial" w:cs="Arial"/>
                <w:sz w:val="20"/>
                <w:szCs w:val="20"/>
                <w:lang w:eastAsia="en-GB"/>
              </w:rPr>
              <w:t xml:space="preserve"> - </w:t>
            </w:r>
            <w:r w:rsidRPr="00C21C9C">
              <w:rPr>
                <w:rFonts w:ascii="Arial" w:eastAsia="Times New Roman" w:hAnsi="Arial" w:cs="Arial"/>
                <w:sz w:val="20"/>
                <w:szCs w:val="20"/>
                <w:lang w:eastAsia="en-GB"/>
              </w:rPr>
              <w:t>Pert</w:t>
            </w:r>
            <w:r>
              <w:rPr>
                <w:rFonts w:ascii="Arial" w:eastAsia="Times New Roman" w:hAnsi="Arial" w:cs="Arial"/>
                <w:sz w:val="20"/>
                <w:szCs w:val="20"/>
                <w:lang w:eastAsia="en-GB"/>
              </w:rPr>
              <w:t>3</w:t>
            </w:r>
            <w:r w:rsidRPr="00C21C9C">
              <w:rPr>
                <w:rFonts w:ascii="Arial" w:eastAsia="Times New Roman" w:hAnsi="Arial" w:cs="Arial"/>
                <w:sz w:val="20"/>
                <w:szCs w:val="20"/>
                <w:vertAlign w:val="subscript"/>
                <w:lang w:eastAsia="en-GB"/>
              </w:rPr>
              <w:t>L</w:t>
            </w:r>
          </w:p>
        </w:tc>
      </w:tr>
      <w:tr w:rsidR="0010518E" w:rsidRPr="002C3378" w:rsidTr="003D3810">
        <w:trPr>
          <w:trHeight w:val="20"/>
        </w:trPr>
        <w:tc>
          <w:tcPr>
            <w:tcW w:w="0" w:type="auto"/>
            <w:tcBorders>
              <w:top w:val="single" w:sz="4" w:space="0" w:color="auto"/>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Base</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0.04801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0.04985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-0.001843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0.003117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0.5914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-0.01140 to 0.007715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Pre</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0.04449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0.05390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-0.009410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0.005586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1.684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-0.02654 to 0.007723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0.06157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0.02014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0.04143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0.01785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2.321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-0.01331 to 0.09618</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0.2838</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0.0001864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0.01402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-0.01384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0.01407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0.9835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-0.05699 to 0.02931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0.01522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-0.002243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0.01746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0.01406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1.242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-0.02566 to 0.06059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-0.03440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-0.01725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-0.01715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0.01234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1.389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-0.05500 to 0.02071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0.003906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0.007616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-0.003710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0.009622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0.3856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-0.03322 to 0.02580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&gt;0.9999</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-0.004123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0.02200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-0.02612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0.009362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2.791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-0.05484 to 0.002587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0.0972</w:t>
            </w:r>
          </w:p>
        </w:tc>
      </w:tr>
      <w:tr w:rsidR="0010518E" w:rsidRPr="002C3378" w:rsidTr="003D3810">
        <w:trPr>
          <w:trHeight w:val="20"/>
        </w:trPr>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0.01971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0.03925</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-0.01954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0.007517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2.600</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-0.04259 to 0.003511</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0.1517</w:t>
            </w:r>
          </w:p>
        </w:tc>
      </w:tr>
      <w:tr w:rsidR="0010518E" w:rsidRPr="002C3378" w:rsidTr="003D3810">
        <w:trPr>
          <w:trHeight w:val="20"/>
        </w:trPr>
        <w:tc>
          <w:tcPr>
            <w:tcW w:w="0" w:type="auto"/>
            <w:tcBorders>
              <w:top w:val="nil"/>
              <w:left w:val="nil"/>
              <w:bottom w:val="single" w:sz="4" w:space="0" w:color="auto"/>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sidRPr="002C3378">
              <w:rPr>
                <w:rFonts w:ascii="Arial" w:eastAsia="Times New Roman" w:hAnsi="Arial" w:cs="Arial"/>
                <w:sz w:val="20"/>
                <w:szCs w:val="20"/>
                <w:lang w:eastAsia="en-GB"/>
              </w:rPr>
              <w:t>Post8</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0.03074</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0.04562</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-0.01487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0.004319</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27</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3.443</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-0.02812 to -0.001626</w:t>
            </w:r>
          </w:p>
        </w:tc>
        <w:tc>
          <w:tcPr>
            <w:tcW w:w="0" w:type="auto"/>
            <w:tcBorders>
              <w:top w:val="nil"/>
              <w:left w:val="nil"/>
              <w:bottom w:val="nil"/>
              <w:right w:val="nil"/>
            </w:tcBorders>
            <w:shd w:val="clear" w:color="auto" w:fill="auto"/>
            <w:noWrap/>
            <w:vAlign w:val="bottom"/>
            <w:hideMark/>
          </w:tcPr>
          <w:p w:rsidR="0010518E" w:rsidRPr="002C3378" w:rsidRDefault="0010518E" w:rsidP="00C66487">
            <w:pPr>
              <w:spacing w:after="0" w:line="240" w:lineRule="auto"/>
              <w:contextualSpacing/>
              <w:jc w:val="both"/>
              <w:rPr>
                <w:rFonts w:ascii="Arial" w:eastAsia="Times New Roman" w:hAnsi="Arial" w:cs="Arial"/>
                <w:sz w:val="20"/>
                <w:szCs w:val="20"/>
                <w:lang w:eastAsia="en-GB"/>
              </w:rPr>
            </w:pPr>
            <w:r>
              <w:rPr>
                <w:rFonts w:ascii="Arial" w:hAnsi="Arial" w:cs="Arial"/>
                <w:sz w:val="20"/>
                <w:szCs w:val="20"/>
              </w:rPr>
              <w:t>0.0196</w:t>
            </w:r>
          </w:p>
        </w:tc>
      </w:tr>
    </w:tbl>
    <w:p w:rsidR="0010518E" w:rsidRPr="002C3378" w:rsidRDefault="0010518E" w:rsidP="002C3378">
      <w:pPr>
        <w:spacing w:after="0" w:line="240" w:lineRule="auto"/>
        <w:contextualSpacing/>
        <w:jc w:val="both"/>
        <w:rPr>
          <w:rFonts w:ascii="Arial" w:eastAsiaTheme="minorEastAsia" w:hAnsi="Arial" w:cs="Arial"/>
          <w:i/>
          <w:sz w:val="20"/>
          <w:szCs w:val="20"/>
        </w:rPr>
        <w:sectPr w:rsidR="0010518E" w:rsidRPr="002C3378" w:rsidSect="00214E89">
          <w:pgSz w:w="16838" w:h="11906" w:orient="landscape"/>
          <w:pgMar w:top="1134" w:right="1134" w:bottom="1134" w:left="1134" w:header="709" w:footer="709" w:gutter="0"/>
          <w:cols w:space="708"/>
          <w:docGrid w:linePitch="360"/>
        </w:sectPr>
      </w:pPr>
    </w:p>
    <w:p w:rsidR="0010518E" w:rsidRPr="00214E89" w:rsidRDefault="0010518E" w:rsidP="00214E89">
      <w:pPr>
        <w:spacing w:after="0" w:line="240" w:lineRule="auto"/>
        <w:contextualSpacing/>
        <w:jc w:val="both"/>
        <w:rPr>
          <w:rFonts w:ascii="Times New Roman" w:hAnsi="Times New Roman" w:cs="Times New Roman"/>
          <w:b/>
          <w:sz w:val="24"/>
        </w:rPr>
      </w:pPr>
      <w:r w:rsidRPr="00214E89">
        <w:rPr>
          <w:rFonts w:ascii="Times New Roman" w:hAnsi="Times New Roman" w:cs="Times New Roman"/>
          <w:b/>
          <w:sz w:val="24"/>
        </w:rPr>
        <w:lastRenderedPageBreak/>
        <w:t>eDiscussion</w:t>
      </w:r>
    </w:p>
    <w:p w:rsidR="0010518E" w:rsidRPr="00214E89" w:rsidRDefault="0010518E" w:rsidP="00214E89">
      <w:pPr>
        <w:spacing w:after="0" w:line="240" w:lineRule="auto"/>
        <w:ind w:firstLine="720"/>
        <w:contextualSpacing/>
        <w:jc w:val="both"/>
        <w:rPr>
          <w:rFonts w:ascii="Times New Roman" w:hAnsi="Times New Roman" w:cs="Times New Roman"/>
          <w:sz w:val="20"/>
          <w:szCs w:val="24"/>
          <w:lang w:val="x-none"/>
        </w:rPr>
      </w:pPr>
      <w:r w:rsidRPr="00214E89">
        <w:rPr>
          <w:rFonts w:ascii="Times New Roman" w:hAnsi="Times New Roman" w:cs="Times New Roman"/>
          <w:sz w:val="20"/>
          <w:szCs w:val="24"/>
        </w:rPr>
        <w:t>Regarding our analyses of MoS</w:t>
      </w:r>
      <w:r w:rsidRPr="00214E89">
        <w:rPr>
          <w:rFonts w:ascii="Times New Roman" w:hAnsi="Times New Roman" w:cs="Times New Roman"/>
          <w:sz w:val="20"/>
          <w:szCs w:val="24"/>
          <w:vertAlign w:val="subscript"/>
        </w:rPr>
        <w:t>ML</w:t>
      </w:r>
      <w:r w:rsidRPr="00214E89">
        <w:rPr>
          <w:rFonts w:ascii="Times New Roman" w:hAnsi="Times New Roman" w:cs="Times New Roman"/>
          <w:sz w:val="20"/>
          <w:szCs w:val="24"/>
        </w:rPr>
        <w:t>, the results did not reveal any substantial differences with age. Both age groups showed a significant increase in MoS</w:t>
      </w:r>
      <w:r w:rsidRPr="00214E89">
        <w:rPr>
          <w:rFonts w:ascii="Times New Roman" w:hAnsi="Times New Roman" w:cs="Times New Roman"/>
          <w:sz w:val="20"/>
          <w:szCs w:val="24"/>
          <w:vertAlign w:val="subscript"/>
        </w:rPr>
        <w:t>ML</w:t>
      </w:r>
      <w:r w:rsidRPr="00214E89">
        <w:rPr>
          <w:rFonts w:ascii="Times New Roman" w:hAnsi="Times New Roman" w:cs="Times New Roman"/>
          <w:sz w:val="20"/>
          <w:szCs w:val="24"/>
        </w:rPr>
        <w:t xml:space="preserve"> in some of the first few steps post-perturbation, but there was little change in magnitude of these values with repetition. This suggests that anteroposterior gait perturbations of this nature require some mediolateral balance control but can be accommodated similarly by young and older healthy adults. It is not possible to say, based on the current work, if different magnitudes or types of anteroposterior perturbations would show a similar lack of effect with age. Sideways falls are prevalent among older adults in long-term and many falls initially directed anteriorly may lead to a lateral ground contact </w:t>
      </w:r>
      <w:r>
        <w:rPr>
          <w:rFonts w:ascii="Times New Roman" w:hAnsi="Times New Roman" w:cs="Times New Roman"/>
          <w:noProof/>
          <w:sz w:val="20"/>
          <w:szCs w:val="24"/>
        </w:rPr>
        <w:t>(Yang et al. 2016)</w:t>
      </w:r>
      <w:r w:rsidRPr="00214E89">
        <w:rPr>
          <w:rFonts w:ascii="Times New Roman" w:hAnsi="Times New Roman" w:cs="Times New Roman"/>
          <w:sz w:val="20"/>
          <w:szCs w:val="24"/>
        </w:rPr>
        <w:t xml:space="preserve">. Previous findings indicate that older age and falls history are related to lateral instability following anteroposterior perturbations to stance </w:t>
      </w:r>
      <w:r>
        <w:rPr>
          <w:rFonts w:ascii="Times New Roman" w:hAnsi="Times New Roman" w:cs="Times New Roman"/>
          <w:noProof/>
          <w:sz w:val="20"/>
          <w:szCs w:val="24"/>
        </w:rPr>
        <w:t>(McIlroy and Maki 1996; Rogers et al. 2001)</w:t>
      </w:r>
      <w:r w:rsidRPr="00214E89">
        <w:rPr>
          <w:rFonts w:ascii="Times New Roman" w:hAnsi="Times New Roman" w:cs="Times New Roman"/>
          <w:sz w:val="20"/>
          <w:szCs w:val="24"/>
        </w:rPr>
        <w:t>. However, as the current study deals with perturbations during gait, stance perturbations are obviously not directly comparable to those used in the current paradigm. A limitation that should be noted is that while our reduced kinematic model has been previously validated for the MoS</w:t>
      </w:r>
      <w:r w:rsidRPr="00214E89">
        <w:rPr>
          <w:rFonts w:ascii="Times New Roman" w:hAnsi="Times New Roman" w:cs="Times New Roman"/>
          <w:sz w:val="20"/>
          <w:szCs w:val="24"/>
          <w:vertAlign w:val="subscript"/>
        </w:rPr>
        <w:t>AP</w:t>
      </w:r>
      <w:r w:rsidRPr="00214E89">
        <w:rPr>
          <w:rFonts w:ascii="Times New Roman" w:hAnsi="Times New Roman" w:cs="Times New Roman"/>
          <w:sz w:val="20"/>
          <w:szCs w:val="24"/>
        </w:rPr>
        <w:t xml:space="preserve"> and its components </w:t>
      </w:r>
      <w:r>
        <w:rPr>
          <w:rFonts w:ascii="Times New Roman" w:hAnsi="Times New Roman" w:cs="Times New Roman"/>
          <w:noProof/>
          <w:sz w:val="20"/>
          <w:szCs w:val="24"/>
        </w:rPr>
        <w:t>(Süptitz et al. 2013)</w:t>
      </w:r>
      <w:r w:rsidRPr="00214E89">
        <w:rPr>
          <w:rFonts w:ascii="Times New Roman" w:hAnsi="Times New Roman" w:cs="Times New Roman"/>
          <w:sz w:val="20"/>
          <w:szCs w:val="24"/>
        </w:rPr>
        <w:t>, it was not validated for the MoS</w:t>
      </w:r>
      <w:r w:rsidRPr="00214E89">
        <w:rPr>
          <w:rFonts w:ascii="Times New Roman" w:hAnsi="Times New Roman" w:cs="Times New Roman"/>
          <w:sz w:val="20"/>
          <w:szCs w:val="24"/>
          <w:vertAlign w:val="subscript"/>
        </w:rPr>
        <w:t>ML</w:t>
      </w:r>
      <w:r w:rsidRPr="00214E89">
        <w:rPr>
          <w:rFonts w:ascii="Times New Roman" w:hAnsi="Times New Roman" w:cs="Times New Roman"/>
          <w:sz w:val="20"/>
          <w:szCs w:val="24"/>
        </w:rPr>
        <w:t xml:space="preserve">. Various levels of agreement have been reported in previous studies of CoM position estimates between simplified marker sets and the full-body marker sets </w:t>
      </w:r>
      <w:r>
        <w:rPr>
          <w:rFonts w:ascii="Times New Roman" w:hAnsi="Times New Roman" w:cs="Times New Roman"/>
          <w:noProof/>
          <w:sz w:val="20"/>
          <w:szCs w:val="24"/>
        </w:rPr>
        <w:t>(Havens et al. 2018; Huntley et al. 2017; Vanrenterghem et al. 2010; Yang and Pai 2014)</w:t>
      </w:r>
      <w:r w:rsidRPr="00214E89">
        <w:rPr>
          <w:rFonts w:ascii="Times New Roman" w:hAnsi="Times New Roman" w:cs="Times New Roman"/>
          <w:sz w:val="20"/>
          <w:szCs w:val="24"/>
        </w:rPr>
        <w:t xml:space="preserve"> and these differences can stem from differences in the marker model (e.g. with and without trunk), the analysed locomotion task (e.g. level walking, cutting manoeuvres), the participant groups (e.g. healthy young adults, stroke patients) and the gait velocity and experimental setup (e.g. </w:t>
      </w:r>
      <w:proofErr w:type="spellStart"/>
      <w:r w:rsidRPr="00214E89">
        <w:rPr>
          <w:rFonts w:ascii="Times New Roman" w:hAnsi="Times New Roman" w:cs="Times New Roman"/>
          <w:sz w:val="20"/>
          <w:szCs w:val="24"/>
        </w:rPr>
        <w:t>overground</w:t>
      </w:r>
      <w:proofErr w:type="spellEnd"/>
      <w:r w:rsidRPr="00214E89">
        <w:rPr>
          <w:rFonts w:ascii="Times New Roman" w:hAnsi="Times New Roman" w:cs="Times New Roman"/>
          <w:sz w:val="20"/>
          <w:szCs w:val="24"/>
        </w:rPr>
        <w:t xml:space="preserve"> and treadmill walking). Therefore, we would caution against drawing firm conclusions regarding our MoS</w:t>
      </w:r>
      <w:r w:rsidRPr="00214E89">
        <w:rPr>
          <w:rFonts w:ascii="Times New Roman" w:hAnsi="Times New Roman" w:cs="Times New Roman"/>
          <w:sz w:val="20"/>
          <w:szCs w:val="24"/>
          <w:vertAlign w:val="subscript"/>
        </w:rPr>
        <w:t>ML</w:t>
      </w:r>
      <w:r w:rsidRPr="00214E89">
        <w:rPr>
          <w:rFonts w:ascii="Times New Roman" w:hAnsi="Times New Roman" w:cs="Times New Roman"/>
          <w:sz w:val="20"/>
          <w:szCs w:val="24"/>
        </w:rPr>
        <w:t xml:space="preserve"> results.</w:t>
      </w:r>
    </w:p>
    <w:p w:rsidR="0010518E" w:rsidRPr="002C3378" w:rsidRDefault="0010518E" w:rsidP="002C3378">
      <w:pPr>
        <w:jc w:val="both"/>
        <w:rPr>
          <w:rFonts w:ascii="Times New Roman" w:hAnsi="Times New Roman" w:cs="Times New Roman"/>
        </w:rPr>
      </w:pPr>
    </w:p>
    <w:p w:rsidR="0010518E" w:rsidRPr="00214E89" w:rsidRDefault="0010518E" w:rsidP="002C3378">
      <w:pPr>
        <w:jc w:val="both"/>
        <w:rPr>
          <w:rFonts w:ascii="Times New Roman" w:hAnsi="Times New Roman" w:cs="Times New Roman"/>
          <w:b/>
          <w:sz w:val="24"/>
          <w:szCs w:val="24"/>
        </w:rPr>
      </w:pPr>
      <w:proofErr w:type="spellStart"/>
      <w:r w:rsidRPr="00214E89">
        <w:rPr>
          <w:rFonts w:ascii="Times New Roman" w:hAnsi="Times New Roman" w:cs="Times New Roman"/>
          <w:b/>
          <w:sz w:val="24"/>
          <w:szCs w:val="24"/>
        </w:rPr>
        <w:t>eReferences</w:t>
      </w:r>
      <w:proofErr w:type="spellEnd"/>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Bruijn SM, Meijer OG, Beek PJ, van Dieen JH (2013) Assessing the stability of human locomotion: a review of current measures J R Soc Interface 10:20120999 doi:10.1098/rsif.2012.0999</w:t>
      </w:r>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Havens KL, Mukherjee T, Finley JM (2018) Analysis of biases in dynamic margins of stability introduced by the use of simplified center of mass estimates during walking and turning Gait Posture 59:162-167 doi:10.1016/j.gaitpost.2017.10.002</w:t>
      </w:r>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Hof AL, Gazendam MG, Sinke WE (2005) The condition for dynamic stability J Biomech 38:1-8 doi:10.1016/j.jbiomech.2004.03.025</w:t>
      </w:r>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Huntley AH, Schinkel-Ivy A, Aqui A, Mansfield A (2017) Validation of simplified centre of mass models during gait in individuals with chronic stroke Clin Biomech</w:t>
      </w:r>
      <w:bookmarkStart w:id="5" w:name="_GoBack"/>
      <w:bookmarkEnd w:id="5"/>
      <w:r w:rsidRPr="0010518E">
        <w:rPr>
          <w:rFonts w:ascii="Times New Roman" w:hAnsi="Times New Roman" w:cs="Times New Roman"/>
          <w:sz w:val="20"/>
        </w:rPr>
        <w:t xml:space="preserve"> 48:97-102 doi:10.1016/j.clinbiomech.2017.07.015</w:t>
      </w:r>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McIlroy WE, Maki BE (1996) Age-related changes in compensatory stepping in response to unpredictable perturbations J Gerontol A Biol Sci Med Sci 51:M289-296 doi:10.1093/gerona/51a.6.m289</w:t>
      </w:r>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Rogers MW, Hedman LD, Johnson ME, Cain TD, Hanke TA (2001) Lateral stability during forward-induced stepping for dynamic balance recovery in young and older adults J Gerontol A Biol Sci Med Sci 56:M589-594 doi:10.1093/gerona/56.9.m589</w:t>
      </w:r>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Süptitz F, Moreno Catala M, Brüggemann GP, Karamanidis K (2013) Dynamic stability control during perturbed walking can be assessed by a reduced kinematic model across the adult female lifespan Hum Mov Sci 32:1404-1414 doi:10.1016/j.humov.2013.07.008</w:t>
      </w:r>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Vanrenterghem J, Gormley D, Robinson M, Lees A (2010) Solutions for representing the whole-body centre of mass in side cutting manoeuvres based on data that is typically available for lower limb kinematics Gait Posture 31:517-521 doi:10.1016/j.gaitpost.2010.02.014</w:t>
      </w:r>
    </w:p>
    <w:p w:rsidR="0010518E" w:rsidRPr="0010518E" w:rsidRDefault="0010518E" w:rsidP="00FD3125">
      <w:pPr>
        <w:pStyle w:val="EndNoteBibliography"/>
        <w:spacing w:after="0"/>
        <w:ind w:left="720" w:hanging="720"/>
        <w:rPr>
          <w:rFonts w:ascii="Times New Roman" w:hAnsi="Times New Roman" w:cs="Times New Roman"/>
          <w:sz w:val="20"/>
        </w:rPr>
      </w:pPr>
      <w:r w:rsidRPr="0010518E">
        <w:rPr>
          <w:rFonts w:ascii="Times New Roman" w:hAnsi="Times New Roman" w:cs="Times New Roman"/>
          <w:sz w:val="20"/>
        </w:rPr>
        <w:t>Yang F, Pai YC (2014) Can sacral marker approximate center of mass during gait and slip-fall recovery among community-dwelling older adults? J Biomech 47:3807-3812 doi:10.1016/j.jbiomech.2014.10.027</w:t>
      </w:r>
    </w:p>
    <w:p w:rsidR="0010518E" w:rsidRPr="0010518E" w:rsidRDefault="0010518E" w:rsidP="00FD3125">
      <w:pPr>
        <w:pStyle w:val="EndNoteBibliography"/>
        <w:ind w:left="720" w:hanging="720"/>
        <w:rPr>
          <w:rFonts w:ascii="Times New Roman" w:hAnsi="Times New Roman" w:cs="Times New Roman"/>
          <w:sz w:val="20"/>
        </w:rPr>
      </w:pPr>
      <w:r w:rsidRPr="0010518E">
        <w:rPr>
          <w:rFonts w:ascii="Times New Roman" w:hAnsi="Times New Roman" w:cs="Times New Roman"/>
          <w:sz w:val="20"/>
        </w:rPr>
        <w:t>Yang Y, Mackey DC, Liu-Ambrose T, Feldman F, Robinovitch SN (2016) Risk factors for hip impact during real-life falls captured on video in long-term care Osteoporos Int 27:537-547 doi:10.1007/s00198-015-3268-x</w:t>
      </w:r>
    </w:p>
    <w:p w:rsidR="0010518E" w:rsidRPr="0010518E" w:rsidRDefault="0010518E" w:rsidP="00214E89">
      <w:pPr>
        <w:spacing w:after="0" w:line="480" w:lineRule="auto"/>
        <w:contextualSpacing/>
        <w:jc w:val="both"/>
        <w:rPr>
          <w:rFonts w:ascii="Times New Roman" w:hAnsi="Times New Roman" w:cs="Times New Roman"/>
          <w:sz w:val="20"/>
        </w:rPr>
      </w:pPr>
    </w:p>
    <w:p w:rsidR="00FC02BC" w:rsidRPr="0010518E" w:rsidRDefault="00FC02BC">
      <w:pPr>
        <w:rPr>
          <w:rFonts w:ascii="Times New Roman" w:hAnsi="Times New Roman" w:cs="Times New Roman"/>
          <w:sz w:val="20"/>
        </w:rPr>
      </w:pPr>
    </w:p>
    <w:sectPr w:rsidR="00FC02BC" w:rsidRPr="0010518E" w:rsidSect="006A412B">
      <w:pgSz w:w="11906" w:h="16838"/>
      <w:pgMar w:top="1440" w:right="1304" w:bottom="144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586691"/>
      <w:docPartObj>
        <w:docPartGallery w:val="Page Numbers (Bottom of Page)"/>
        <w:docPartUnique/>
      </w:docPartObj>
    </w:sdtPr>
    <w:sdtEndPr>
      <w:rPr>
        <w:noProof/>
      </w:rPr>
    </w:sdtEndPr>
    <w:sdtContent>
      <w:p w:rsidR="003D3810" w:rsidRDefault="001051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D3810" w:rsidRDefault="0010518E">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0518E"/>
    <w:rsid w:val="0010518E"/>
    <w:rsid w:val="00FC0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ECE42F-E6AC-47F4-ADB2-93A0F0F1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18E"/>
  </w:style>
  <w:style w:type="character" w:default="1" w:styleId="DefaultParagraphFont">
    <w:name w:val="Default Paragraph Font"/>
    <w:uiPriority w:val="1"/>
    <w:semiHidden/>
    <w:unhideWhenUsed/>
    <w:rsid w:val="0010518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0518E"/>
  </w:style>
  <w:style w:type="character" w:styleId="CommentReference">
    <w:name w:val="annotation reference"/>
    <w:basedOn w:val="DefaultParagraphFont"/>
    <w:uiPriority w:val="99"/>
    <w:semiHidden/>
    <w:unhideWhenUsed/>
    <w:rsid w:val="0010518E"/>
    <w:rPr>
      <w:sz w:val="16"/>
      <w:szCs w:val="16"/>
    </w:rPr>
  </w:style>
  <w:style w:type="paragraph" w:styleId="CommentText">
    <w:name w:val="annotation text"/>
    <w:basedOn w:val="Normal"/>
    <w:link w:val="CommentTextChar"/>
    <w:uiPriority w:val="99"/>
    <w:semiHidden/>
    <w:unhideWhenUsed/>
    <w:rsid w:val="0010518E"/>
    <w:pPr>
      <w:spacing w:line="240" w:lineRule="auto"/>
    </w:pPr>
    <w:rPr>
      <w:sz w:val="20"/>
      <w:szCs w:val="20"/>
      <w:lang w:val="x-none"/>
    </w:rPr>
  </w:style>
  <w:style w:type="character" w:customStyle="1" w:styleId="CommentTextChar">
    <w:name w:val="Comment Text Char"/>
    <w:basedOn w:val="DefaultParagraphFont"/>
    <w:link w:val="CommentText"/>
    <w:uiPriority w:val="99"/>
    <w:semiHidden/>
    <w:rsid w:val="0010518E"/>
    <w:rPr>
      <w:sz w:val="20"/>
      <w:szCs w:val="20"/>
      <w:lang w:val="x-none"/>
    </w:rPr>
  </w:style>
  <w:style w:type="paragraph" w:styleId="BalloonText">
    <w:name w:val="Balloon Text"/>
    <w:basedOn w:val="Normal"/>
    <w:link w:val="BalloonTextChar"/>
    <w:uiPriority w:val="99"/>
    <w:semiHidden/>
    <w:unhideWhenUsed/>
    <w:rsid w:val="001051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18E"/>
    <w:rPr>
      <w:rFonts w:ascii="Segoe UI" w:hAnsi="Segoe UI" w:cs="Segoe UI"/>
      <w:sz w:val="18"/>
      <w:szCs w:val="18"/>
    </w:rPr>
  </w:style>
  <w:style w:type="paragraph" w:customStyle="1" w:styleId="EndNoteBibliographyTitle">
    <w:name w:val="EndNote Bibliography Title"/>
    <w:basedOn w:val="Normal"/>
    <w:link w:val="EndNoteBibliographyTitleChar"/>
    <w:rsid w:val="0010518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0518E"/>
    <w:rPr>
      <w:rFonts w:ascii="Calibri" w:hAnsi="Calibri" w:cs="Calibri"/>
      <w:noProof/>
      <w:lang w:val="en-US"/>
    </w:rPr>
  </w:style>
  <w:style w:type="paragraph" w:customStyle="1" w:styleId="EndNoteBibliography">
    <w:name w:val="EndNote Bibliography"/>
    <w:basedOn w:val="Normal"/>
    <w:link w:val="EndNoteBibliographyChar"/>
    <w:rsid w:val="0010518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0518E"/>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10518E"/>
    <w:rPr>
      <w:b/>
      <w:bCs/>
    </w:rPr>
  </w:style>
  <w:style w:type="character" w:customStyle="1" w:styleId="CommentSubjectChar">
    <w:name w:val="Comment Subject Char"/>
    <w:basedOn w:val="CommentTextChar"/>
    <w:link w:val="CommentSubject"/>
    <w:uiPriority w:val="99"/>
    <w:semiHidden/>
    <w:rsid w:val="0010518E"/>
    <w:rPr>
      <w:b/>
      <w:bCs/>
      <w:sz w:val="20"/>
      <w:szCs w:val="20"/>
      <w:lang w:val="x-none"/>
    </w:rPr>
  </w:style>
  <w:style w:type="paragraph" w:styleId="Header">
    <w:name w:val="header"/>
    <w:basedOn w:val="Normal"/>
    <w:link w:val="HeaderChar"/>
    <w:uiPriority w:val="99"/>
    <w:unhideWhenUsed/>
    <w:rsid w:val="00105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18E"/>
  </w:style>
  <w:style w:type="paragraph" w:styleId="Footer">
    <w:name w:val="footer"/>
    <w:basedOn w:val="Normal"/>
    <w:link w:val="FooterChar"/>
    <w:uiPriority w:val="99"/>
    <w:unhideWhenUsed/>
    <w:rsid w:val="00105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tif"/><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8556</Words>
  <Characters>48771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McCrum, Chris (VBW)</dc:creator>
  <cp:keywords/>
  <dc:description/>
  <cp:lastModifiedBy>McCrum, Chris (VBW)</cp:lastModifiedBy>
  <cp:revision>1</cp:revision>
  <dcterms:created xsi:type="dcterms:W3CDTF">2019-10-04T20:57:00Z</dcterms:created>
  <dcterms:modified xsi:type="dcterms:W3CDTF">2019-10-04T20:59:00Z</dcterms:modified>
</cp:coreProperties>
</file>