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3EC" w:rsidRPr="00E64DB6" w:rsidRDefault="006A00A6" w:rsidP="004B2A62">
      <w:pPr>
        <w:pStyle w:val="01PaperTitle"/>
      </w:pPr>
      <w:r>
        <w:t>Opportunities and challenges for implementing smart local energy systems in cities and towns, demonstrated through case studies</w:t>
      </w:r>
    </w:p>
    <w:p w:rsidR="003A4C53" w:rsidRDefault="006A00A6" w:rsidP="00020962">
      <w:pPr>
        <w:pStyle w:val="02AuthorName"/>
      </w:pPr>
      <w:r>
        <w:t>Catarina Marques</w:t>
      </w:r>
      <w:r w:rsidR="003A4C53" w:rsidRPr="00E64DB6">
        <w:t>, PhD</w:t>
      </w:r>
      <w:r w:rsidR="003A4C53" w:rsidRPr="00E64DB6">
        <w:tab/>
      </w:r>
      <w:r w:rsidR="004B2A62">
        <w:t xml:space="preserve">Chris Dunham, MSc </w:t>
      </w:r>
      <w:r w:rsidR="004B2A62">
        <w:tab/>
      </w:r>
      <w:r>
        <w:t>Phil Jones, M</w:t>
      </w:r>
      <w:r w:rsidR="00384133">
        <w:t>Sc</w:t>
      </w:r>
      <w:r w:rsidR="003A4C53" w:rsidRPr="00E64DB6">
        <w:t xml:space="preserve"> </w:t>
      </w:r>
      <w:r w:rsidR="003A4C53" w:rsidRPr="00E64DB6">
        <w:tab/>
      </w:r>
    </w:p>
    <w:p w:rsidR="006A00A6" w:rsidRDefault="006A00A6" w:rsidP="00020962">
      <w:pPr>
        <w:pStyle w:val="02AuthorName"/>
      </w:pPr>
    </w:p>
    <w:p w:rsidR="006A00A6" w:rsidRPr="00E64DB6" w:rsidRDefault="006A00A6" w:rsidP="00020962">
      <w:pPr>
        <w:pStyle w:val="02AuthorName"/>
      </w:pPr>
      <w:r>
        <w:t>Helen Turnell, PhD</w:t>
      </w:r>
      <w:r>
        <w:tab/>
        <w:t>Akos Rev</w:t>
      </w:r>
      <w:r w:rsidR="00020962">
        <w:t>esz, PhD</w:t>
      </w:r>
      <w:r w:rsidR="00020962">
        <w:tab/>
      </w:r>
      <w:r>
        <w:t>Graeme Maidment, PhD</w:t>
      </w:r>
    </w:p>
    <w:p w:rsidR="003A4C53" w:rsidRPr="00E64DB6" w:rsidRDefault="003A4C53" w:rsidP="007E4265">
      <w:pPr>
        <w:pStyle w:val="04AbstractHeading"/>
      </w:pPr>
      <w:r w:rsidRPr="00E64DB6">
        <w:t>ABSTRACT</w:t>
      </w:r>
    </w:p>
    <w:p w:rsidR="0019345B" w:rsidRPr="00D757A8" w:rsidRDefault="0019345B" w:rsidP="0019345B">
      <w:pPr>
        <w:ind w:left="0" w:firstLine="0"/>
        <w:rPr>
          <w:rFonts w:ascii="Garamond" w:hAnsi="Garamond" w:cs="Arial"/>
          <w:i/>
          <w:sz w:val="20"/>
          <w:szCs w:val="20"/>
        </w:rPr>
      </w:pPr>
      <w:r w:rsidRPr="00D757A8">
        <w:rPr>
          <w:rFonts w:ascii="Garamond" w:hAnsi="Garamond" w:cs="Arial"/>
          <w:i/>
          <w:sz w:val="20"/>
          <w:szCs w:val="20"/>
        </w:rPr>
        <w:t>Smart local energy systems (SLES) that integrate heat, power and mobility vectors are part of the UK strategy to reach net zero carbon by 2050. This paper investigates the opportunities and challenges for implementing SLES in cities and towns through case studies in two very different locations in the UK: London and the West Midlands. The blueprint for the GreenSCIES SLES was developed in Islington, London, and consists of a 5</w:t>
      </w:r>
      <w:r w:rsidRPr="00D757A8">
        <w:rPr>
          <w:rFonts w:ascii="Garamond" w:hAnsi="Garamond" w:cs="Arial"/>
          <w:i/>
          <w:sz w:val="20"/>
          <w:szCs w:val="20"/>
          <w:vertAlign w:val="superscript"/>
        </w:rPr>
        <w:t>th</w:t>
      </w:r>
      <w:r w:rsidRPr="00D757A8">
        <w:rPr>
          <w:rFonts w:ascii="Garamond" w:hAnsi="Garamond" w:cs="Arial"/>
          <w:i/>
          <w:sz w:val="20"/>
          <w:szCs w:val="20"/>
        </w:rPr>
        <w:t xml:space="preserve"> generation ambient loop district heat network with electric vehicles, storage and solar PV. This network allows for heat sharing between buildings and applications for heat recovery from local sources.</w:t>
      </w:r>
    </w:p>
    <w:p w:rsidR="00695EF4" w:rsidRPr="002E6875" w:rsidRDefault="0019345B" w:rsidP="0019345B">
      <w:pPr>
        <w:ind w:left="0" w:firstLine="0"/>
        <w:rPr>
          <w:rFonts w:ascii="Garamond" w:hAnsi="Garamond" w:cs="Arial"/>
          <w:i/>
          <w:sz w:val="20"/>
          <w:szCs w:val="20"/>
        </w:rPr>
      </w:pPr>
      <w:r w:rsidRPr="00D757A8">
        <w:rPr>
          <w:rFonts w:ascii="Garamond" w:hAnsi="Garamond" w:cs="Arial"/>
          <w:i/>
          <w:sz w:val="20"/>
          <w:szCs w:val="20"/>
        </w:rPr>
        <w:t xml:space="preserve">A second case study explored the opportunities and challenges for </w:t>
      </w:r>
      <w:r w:rsidRPr="00D757A8">
        <w:rPr>
          <w:rFonts w:ascii="Garamond" w:hAnsi="Garamond" w:cs="Arial"/>
          <w:i/>
          <w:iCs/>
          <w:sz w:val="20"/>
          <w:szCs w:val="20"/>
        </w:rPr>
        <w:t>improving</w:t>
      </w:r>
      <w:r w:rsidRPr="00D757A8">
        <w:rPr>
          <w:rFonts w:ascii="Garamond" w:hAnsi="Garamond" w:cs="Arial"/>
          <w:i/>
          <w:sz w:val="20"/>
          <w:szCs w:val="20"/>
        </w:rPr>
        <w:t xml:space="preserve"> a previously proposed conventional </w:t>
      </w:r>
      <w:r w:rsidR="00AB0DFF">
        <w:rPr>
          <w:rFonts w:ascii="Garamond" w:hAnsi="Garamond" w:cs="Arial"/>
          <w:i/>
          <w:sz w:val="20"/>
          <w:szCs w:val="20"/>
        </w:rPr>
        <w:t>3rd</w:t>
      </w:r>
      <w:r w:rsidRPr="00D757A8">
        <w:rPr>
          <w:rFonts w:ascii="Garamond" w:hAnsi="Garamond" w:cs="Arial"/>
          <w:i/>
          <w:sz w:val="20"/>
          <w:szCs w:val="20"/>
        </w:rPr>
        <w:t xml:space="preserve"> generation district heat network, which connects new developments and existing </w:t>
      </w:r>
      <w:r w:rsidR="00107503">
        <w:rPr>
          <w:rFonts w:ascii="Garamond" w:hAnsi="Garamond" w:cs="Arial"/>
          <w:i/>
          <w:sz w:val="20"/>
          <w:szCs w:val="20"/>
        </w:rPr>
        <w:t xml:space="preserve">local authority </w:t>
      </w:r>
      <w:r w:rsidRPr="00D757A8">
        <w:rPr>
          <w:rFonts w:ascii="Garamond" w:hAnsi="Garamond" w:cs="Arial"/>
          <w:i/>
          <w:sz w:val="20"/>
          <w:szCs w:val="20"/>
        </w:rPr>
        <w:t xml:space="preserve">high-rise apartments in the West Midlands, using the GreenSCIES blueprint. The initial design was expanded to include </w:t>
      </w:r>
      <w:r w:rsidR="008E342C">
        <w:rPr>
          <w:rFonts w:ascii="Garamond" w:hAnsi="Garamond" w:cs="Arial"/>
          <w:i/>
          <w:sz w:val="20"/>
          <w:szCs w:val="20"/>
        </w:rPr>
        <w:t xml:space="preserve">more </w:t>
      </w:r>
      <w:r w:rsidRPr="00D757A8">
        <w:rPr>
          <w:rFonts w:ascii="Garamond" w:hAnsi="Garamond" w:cs="Arial"/>
          <w:i/>
          <w:sz w:val="20"/>
          <w:szCs w:val="20"/>
        </w:rPr>
        <w:t>existing domestic and non-domestic properties</w:t>
      </w:r>
      <w:r w:rsidR="008E342C">
        <w:rPr>
          <w:rFonts w:ascii="Garamond" w:hAnsi="Garamond" w:cs="Arial"/>
          <w:i/>
          <w:sz w:val="20"/>
          <w:szCs w:val="20"/>
        </w:rPr>
        <w:t>. The study</w:t>
      </w:r>
      <w:r w:rsidRPr="00D757A8">
        <w:rPr>
          <w:rFonts w:ascii="Garamond" w:hAnsi="Garamond" w:cs="Arial"/>
          <w:i/>
          <w:sz w:val="20"/>
          <w:szCs w:val="20"/>
        </w:rPr>
        <w:t xml:space="preserve"> evaluated heat recovery from industrial </w:t>
      </w:r>
      <w:r w:rsidR="000E0F0C" w:rsidRPr="00D757A8">
        <w:rPr>
          <w:rFonts w:ascii="Garamond" w:hAnsi="Garamond" w:cs="Arial"/>
          <w:i/>
          <w:sz w:val="20"/>
          <w:szCs w:val="20"/>
        </w:rPr>
        <w:t>processes</w:t>
      </w:r>
      <w:r w:rsidR="000E0F0C">
        <w:rPr>
          <w:rFonts w:ascii="Garamond" w:hAnsi="Garamond" w:cs="Arial"/>
          <w:i/>
          <w:sz w:val="20"/>
          <w:szCs w:val="20"/>
        </w:rPr>
        <w:t>,</w:t>
      </w:r>
      <w:r w:rsidRPr="00D757A8">
        <w:rPr>
          <w:rFonts w:ascii="Garamond" w:hAnsi="Garamond" w:cs="Arial"/>
          <w:i/>
          <w:sz w:val="20"/>
          <w:szCs w:val="20"/>
        </w:rPr>
        <w:t xml:space="preserve"> inter-seasonal thermal storage in the aquifer and </w:t>
      </w:r>
      <w:r w:rsidR="008E342C">
        <w:rPr>
          <w:rFonts w:ascii="Garamond" w:hAnsi="Garamond" w:cs="Arial"/>
          <w:i/>
          <w:sz w:val="20"/>
          <w:szCs w:val="20"/>
        </w:rPr>
        <w:t>considered</w:t>
      </w:r>
      <w:r w:rsidR="008E342C" w:rsidRPr="00D757A8">
        <w:rPr>
          <w:rFonts w:ascii="Garamond" w:hAnsi="Garamond" w:cs="Arial"/>
          <w:i/>
          <w:sz w:val="20"/>
          <w:szCs w:val="20"/>
        </w:rPr>
        <w:t xml:space="preserve"> </w:t>
      </w:r>
      <w:r w:rsidRPr="00D757A8">
        <w:rPr>
          <w:rFonts w:ascii="Garamond" w:hAnsi="Garamond" w:cs="Arial"/>
          <w:i/>
          <w:sz w:val="20"/>
          <w:szCs w:val="20"/>
        </w:rPr>
        <w:t xml:space="preserve">the opportunity for adding electric vehicle charging points along the network route. </w:t>
      </w:r>
      <w:r w:rsidRPr="002E6875">
        <w:rPr>
          <w:rFonts w:ascii="Garamond" w:hAnsi="Garamond" w:cs="Arial"/>
          <w:i/>
          <w:sz w:val="20"/>
          <w:szCs w:val="20"/>
        </w:rPr>
        <w:t>The results show a way to decarbonise heat across the whole area and provide a path to enable the electrification of transport.</w:t>
      </w:r>
    </w:p>
    <w:p w:rsidR="0039074C" w:rsidRPr="00E64DB6" w:rsidRDefault="0039074C" w:rsidP="00E64DB6">
      <w:pPr>
        <w:pStyle w:val="10Level1Heading"/>
      </w:pPr>
      <w:r w:rsidRPr="00E64DB6">
        <w:t>INTRODUCTION</w:t>
      </w:r>
      <w:r w:rsidR="00752775" w:rsidRPr="00E64DB6">
        <w:t xml:space="preserve"> </w:t>
      </w:r>
    </w:p>
    <w:p w:rsidR="00365678" w:rsidRDefault="0042722A" w:rsidP="00416D8D">
      <w:pPr>
        <w:pStyle w:val="NormalWeb"/>
        <w:shd w:val="clear" w:color="auto" w:fill="FFFFFF"/>
        <w:spacing w:before="0" w:beforeAutospacing="0" w:after="0" w:afterAutospacing="0"/>
        <w:ind w:firstLine="426"/>
        <w:jc w:val="both"/>
        <w:rPr>
          <w:rFonts w:ascii="Garamond" w:hAnsi="Garamond" w:cs="Calibri"/>
          <w:color w:val="000000"/>
          <w:sz w:val="22"/>
          <w:szCs w:val="22"/>
        </w:rPr>
      </w:pPr>
      <w:r w:rsidRPr="0095587C">
        <w:rPr>
          <w:rFonts w:ascii="Garamond" w:hAnsi="Garamond" w:cs="Calibri"/>
          <w:bCs/>
          <w:color w:val="000000"/>
          <w:sz w:val="22"/>
          <w:szCs w:val="22"/>
        </w:rPr>
        <w:t xml:space="preserve">In </w:t>
      </w:r>
      <w:r w:rsidR="0077098D" w:rsidRPr="0095587C">
        <w:rPr>
          <w:rFonts w:ascii="Garamond" w:hAnsi="Garamond" w:cs="Calibri"/>
          <w:bCs/>
          <w:color w:val="000000"/>
          <w:sz w:val="22"/>
          <w:szCs w:val="22"/>
        </w:rPr>
        <w:t>2019,</w:t>
      </w:r>
      <w:r w:rsidRPr="0095587C">
        <w:rPr>
          <w:rFonts w:ascii="Garamond" w:hAnsi="Garamond" w:cs="Calibri"/>
          <w:bCs/>
          <w:color w:val="000000"/>
          <w:sz w:val="22"/>
          <w:szCs w:val="22"/>
        </w:rPr>
        <w:t xml:space="preserve"> the UK Government passed legislation to deliver net zero carbon emissions by 2050. The new target will require a significant reduction compared to the previous target of at least 80% reduction from 1990 levels (</w:t>
      </w:r>
      <w:r w:rsidRPr="0095587C">
        <w:rPr>
          <w:rFonts w:ascii="Garamond" w:hAnsi="Garamond" w:cs="Calibri"/>
          <w:color w:val="000000"/>
          <w:sz w:val="22"/>
          <w:szCs w:val="22"/>
        </w:rPr>
        <w:t xml:space="preserve">GOV.UK, 2019a). </w:t>
      </w:r>
      <w:r w:rsidR="00D757A8">
        <w:rPr>
          <w:rFonts w:ascii="Garamond" w:hAnsi="Garamond" w:cs="Calibri"/>
          <w:color w:val="000000"/>
          <w:sz w:val="22"/>
          <w:szCs w:val="22"/>
        </w:rPr>
        <w:t xml:space="preserve">Local authorities throughout the UK have since declared climate emergencies and pledged to reach net zero carbon emissions much earlier than 2050, with the London Borough of Islington aiming to be carbon neutral by 2030 </w:t>
      </w:r>
      <w:r w:rsidR="00D757A8" w:rsidRPr="00EC5992">
        <w:rPr>
          <w:rFonts w:ascii="Garamond" w:hAnsi="Garamond" w:cs="Calibri"/>
          <w:sz w:val="22"/>
          <w:szCs w:val="22"/>
        </w:rPr>
        <w:t>(</w:t>
      </w:r>
      <w:r w:rsidR="008073D0" w:rsidRPr="00EC5992">
        <w:rPr>
          <w:rFonts w:ascii="Garamond" w:hAnsi="Garamond" w:cs="Calibri"/>
          <w:sz w:val="22"/>
          <w:szCs w:val="22"/>
        </w:rPr>
        <w:t>LBI, 2020</w:t>
      </w:r>
      <w:r w:rsidR="00D757A8" w:rsidRPr="00EC5992">
        <w:rPr>
          <w:rFonts w:ascii="Garamond" w:hAnsi="Garamond" w:cs="Calibri"/>
          <w:sz w:val="22"/>
          <w:szCs w:val="22"/>
        </w:rPr>
        <w:t xml:space="preserve">) </w:t>
      </w:r>
      <w:r w:rsidR="00D757A8">
        <w:rPr>
          <w:rFonts w:ascii="Garamond" w:hAnsi="Garamond" w:cs="Calibri"/>
          <w:color w:val="000000"/>
          <w:sz w:val="22"/>
          <w:szCs w:val="22"/>
        </w:rPr>
        <w:t xml:space="preserve">and the West Midlands Combined Authority by 2041 </w:t>
      </w:r>
      <w:r w:rsidR="00D757A8" w:rsidRPr="0094571D">
        <w:rPr>
          <w:rFonts w:ascii="Garamond" w:hAnsi="Garamond" w:cs="Calibri"/>
          <w:sz w:val="22"/>
          <w:szCs w:val="22"/>
        </w:rPr>
        <w:t>(</w:t>
      </w:r>
      <w:r w:rsidR="008073D0" w:rsidRPr="0094571D">
        <w:rPr>
          <w:rFonts w:ascii="Garamond" w:hAnsi="Garamond" w:cs="Calibri"/>
          <w:sz w:val="22"/>
          <w:szCs w:val="22"/>
        </w:rPr>
        <w:t>WMCA, 202</w:t>
      </w:r>
      <w:r w:rsidR="00EC5992" w:rsidRPr="0094571D">
        <w:rPr>
          <w:rFonts w:ascii="Garamond" w:hAnsi="Garamond" w:cs="Calibri"/>
          <w:sz w:val="22"/>
          <w:szCs w:val="22"/>
        </w:rPr>
        <w:t>1</w:t>
      </w:r>
      <w:r w:rsidR="00D757A8" w:rsidRPr="0094571D">
        <w:rPr>
          <w:rFonts w:ascii="Garamond" w:hAnsi="Garamond" w:cs="Calibri"/>
          <w:sz w:val="22"/>
          <w:szCs w:val="22"/>
        </w:rPr>
        <w:t xml:space="preserve">). </w:t>
      </w:r>
      <w:r w:rsidR="00D757A8">
        <w:rPr>
          <w:rFonts w:ascii="Garamond" w:hAnsi="Garamond" w:cs="Calibri"/>
          <w:color w:val="000000"/>
          <w:sz w:val="22"/>
          <w:szCs w:val="22"/>
        </w:rPr>
        <w:t>Achieving th</w:t>
      </w:r>
      <w:r w:rsidR="008073D0">
        <w:rPr>
          <w:rFonts w:ascii="Garamond" w:hAnsi="Garamond" w:cs="Calibri"/>
          <w:color w:val="000000"/>
          <w:sz w:val="22"/>
          <w:szCs w:val="22"/>
        </w:rPr>
        <w:t xml:space="preserve">ese ambitious targets </w:t>
      </w:r>
      <w:r w:rsidRPr="0095587C">
        <w:rPr>
          <w:rFonts w:ascii="Garamond" w:hAnsi="Garamond" w:cs="Calibri"/>
          <w:color w:val="000000"/>
          <w:sz w:val="22"/>
          <w:szCs w:val="22"/>
        </w:rPr>
        <w:t>will require an integrated approach to the way we use and generate energy</w:t>
      </w:r>
      <w:r w:rsidR="00D757A8">
        <w:rPr>
          <w:rFonts w:ascii="Garamond" w:hAnsi="Garamond" w:cs="Calibri"/>
          <w:color w:val="000000"/>
          <w:sz w:val="22"/>
          <w:szCs w:val="22"/>
        </w:rPr>
        <w:t xml:space="preserve"> </w:t>
      </w:r>
      <w:r w:rsidR="000A2185">
        <w:rPr>
          <w:rFonts w:ascii="Garamond" w:hAnsi="Garamond" w:cs="Calibri"/>
          <w:color w:val="000000"/>
          <w:sz w:val="22"/>
          <w:szCs w:val="22"/>
        </w:rPr>
        <w:t xml:space="preserve">and deploy technology </w:t>
      </w:r>
      <w:r w:rsidR="00D757A8">
        <w:rPr>
          <w:rFonts w:ascii="Garamond" w:hAnsi="Garamond" w:cs="Calibri"/>
          <w:color w:val="000000"/>
          <w:sz w:val="22"/>
          <w:szCs w:val="22"/>
        </w:rPr>
        <w:t>on a large scale</w:t>
      </w:r>
      <w:r w:rsidRPr="0095587C">
        <w:rPr>
          <w:rFonts w:ascii="Garamond" w:hAnsi="Garamond" w:cs="Calibri"/>
          <w:color w:val="000000"/>
          <w:sz w:val="22"/>
          <w:szCs w:val="22"/>
        </w:rPr>
        <w:t xml:space="preserve">. </w:t>
      </w:r>
      <w:r w:rsidR="002E6875" w:rsidRPr="0095587C">
        <w:rPr>
          <w:rFonts w:ascii="Garamond" w:hAnsi="Garamond" w:cs="Calibri"/>
          <w:color w:val="000000"/>
          <w:sz w:val="22"/>
          <w:szCs w:val="22"/>
        </w:rPr>
        <w:t>Heating and transport are the highest carbon emitters representing 37% and 27% of the UK total emissions respectively (GOV.UK, 2018a)</w:t>
      </w:r>
      <w:r w:rsidR="002E6875">
        <w:rPr>
          <w:rFonts w:ascii="Garamond" w:hAnsi="Garamond" w:cs="Calibri"/>
          <w:color w:val="000000"/>
          <w:sz w:val="22"/>
          <w:szCs w:val="22"/>
        </w:rPr>
        <w:t xml:space="preserve">, </w:t>
      </w:r>
      <w:r w:rsidR="00107503">
        <w:rPr>
          <w:rFonts w:ascii="Garamond" w:hAnsi="Garamond" w:cs="Calibri"/>
          <w:color w:val="000000"/>
          <w:sz w:val="22"/>
          <w:szCs w:val="22"/>
        </w:rPr>
        <w:t xml:space="preserve">and </w:t>
      </w:r>
      <w:r w:rsidR="002E6875">
        <w:rPr>
          <w:rFonts w:ascii="Garamond" w:hAnsi="Garamond" w:cs="Calibri"/>
          <w:color w:val="000000"/>
          <w:sz w:val="22"/>
          <w:szCs w:val="22"/>
        </w:rPr>
        <w:t>hence are key sectors to decarbonize</w:t>
      </w:r>
      <w:r w:rsidR="002E6875" w:rsidRPr="0095587C">
        <w:rPr>
          <w:rFonts w:ascii="Garamond" w:hAnsi="Garamond" w:cs="Calibri"/>
          <w:color w:val="000000"/>
          <w:sz w:val="22"/>
          <w:szCs w:val="22"/>
        </w:rPr>
        <w:t>.</w:t>
      </w:r>
      <w:r w:rsidR="00AF2540">
        <w:rPr>
          <w:rFonts w:ascii="Garamond" w:hAnsi="Garamond" w:cs="Calibri"/>
          <w:color w:val="000000"/>
          <w:sz w:val="22"/>
          <w:szCs w:val="22"/>
        </w:rPr>
        <w:t xml:space="preserve"> Currently, </w:t>
      </w:r>
      <w:r w:rsidR="00AF2540" w:rsidRPr="00AF2540">
        <w:rPr>
          <w:rFonts w:ascii="Garamond" w:hAnsi="Garamond" w:cs="Calibri"/>
          <w:color w:val="000000"/>
          <w:sz w:val="22"/>
          <w:szCs w:val="22"/>
        </w:rPr>
        <w:t xml:space="preserve">heat </w:t>
      </w:r>
      <w:r w:rsidR="00AF2540" w:rsidRPr="00AF2540">
        <w:rPr>
          <w:rFonts w:ascii="Garamond" w:hAnsi="Garamond"/>
          <w:sz w:val="22"/>
          <w:szCs w:val="22"/>
        </w:rPr>
        <w:t xml:space="preserve">is primarily produced by fossil fuels </w:t>
      </w:r>
      <w:r w:rsidR="00AF2540">
        <w:rPr>
          <w:rFonts w:ascii="Garamond" w:hAnsi="Garamond"/>
          <w:sz w:val="22"/>
          <w:szCs w:val="22"/>
        </w:rPr>
        <w:t xml:space="preserve">as most residential homes in the UK are heated by </w:t>
      </w:r>
      <w:r w:rsidR="004B2A62">
        <w:rPr>
          <w:rFonts w:ascii="Garamond" w:hAnsi="Garamond"/>
          <w:sz w:val="22"/>
          <w:szCs w:val="22"/>
        </w:rPr>
        <w:t>gas-fired</w:t>
      </w:r>
      <w:r w:rsidR="00AF2540">
        <w:rPr>
          <w:rFonts w:ascii="Garamond" w:hAnsi="Garamond"/>
          <w:sz w:val="22"/>
          <w:szCs w:val="22"/>
        </w:rPr>
        <w:t xml:space="preserve"> boilers</w:t>
      </w:r>
      <w:r w:rsidR="004B2A62">
        <w:rPr>
          <w:rFonts w:ascii="Garamond" w:hAnsi="Garamond"/>
          <w:sz w:val="22"/>
          <w:szCs w:val="22"/>
        </w:rPr>
        <w:t xml:space="preserve">. </w:t>
      </w:r>
      <w:r w:rsidR="006B48DB">
        <w:rPr>
          <w:rFonts w:ascii="Garamond" w:hAnsi="Garamond"/>
          <w:sz w:val="22"/>
          <w:szCs w:val="22"/>
        </w:rPr>
        <w:t>From 2025,</w:t>
      </w:r>
      <w:r w:rsidR="00416D8D">
        <w:rPr>
          <w:rFonts w:ascii="Garamond" w:hAnsi="Garamond"/>
          <w:sz w:val="22"/>
          <w:szCs w:val="22"/>
        </w:rPr>
        <w:t xml:space="preserve"> new homes </w:t>
      </w:r>
      <w:r w:rsidR="006B48DB">
        <w:rPr>
          <w:rFonts w:ascii="Garamond" w:hAnsi="Garamond"/>
          <w:sz w:val="22"/>
          <w:szCs w:val="22"/>
        </w:rPr>
        <w:t xml:space="preserve">in the UK </w:t>
      </w:r>
      <w:r w:rsidR="00416D8D">
        <w:rPr>
          <w:rFonts w:ascii="Garamond" w:hAnsi="Garamond"/>
          <w:sz w:val="22"/>
          <w:szCs w:val="22"/>
        </w:rPr>
        <w:t>will be banned from installing gas boilers</w:t>
      </w:r>
      <w:r w:rsidR="006B48DB">
        <w:rPr>
          <w:rFonts w:ascii="Garamond" w:hAnsi="Garamond"/>
          <w:sz w:val="22"/>
          <w:szCs w:val="22"/>
        </w:rPr>
        <w:t xml:space="preserve"> and </w:t>
      </w:r>
      <w:r w:rsidR="00416D8D">
        <w:rPr>
          <w:rFonts w:ascii="Garamond" w:hAnsi="Garamond"/>
          <w:sz w:val="22"/>
          <w:szCs w:val="22"/>
        </w:rPr>
        <w:t>clean technology such as air source heat pumps, powered by electricity</w:t>
      </w:r>
      <w:r w:rsidR="006B48DB">
        <w:rPr>
          <w:rFonts w:ascii="Garamond" w:hAnsi="Garamond"/>
          <w:sz w:val="22"/>
          <w:szCs w:val="22"/>
        </w:rPr>
        <w:t>, will be used instead</w:t>
      </w:r>
      <w:r w:rsidR="00416D8D">
        <w:rPr>
          <w:rFonts w:ascii="Garamond" w:hAnsi="Garamond"/>
          <w:sz w:val="22"/>
          <w:szCs w:val="22"/>
        </w:rPr>
        <w:t xml:space="preserve"> (</w:t>
      </w:r>
      <w:r w:rsidR="00416D8D" w:rsidRPr="006B48DB">
        <w:rPr>
          <w:rFonts w:ascii="Garamond" w:hAnsi="Garamond"/>
          <w:sz w:val="22"/>
          <w:szCs w:val="22"/>
        </w:rPr>
        <w:t>Gov.UK, 2019</w:t>
      </w:r>
      <w:r w:rsidR="006B48DB" w:rsidRPr="006B48DB">
        <w:rPr>
          <w:rFonts w:ascii="Garamond" w:hAnsi="Garamond"/>
          <w:sz w:val="22"/>
          <w:szCs w:val="22"/>
        </w:rPr>
        <w:t>b</w:t>
      </w:r>
      <w:r w:rsidR="00416D8D">
        <w:rPr>
          <w:rFonts w:ascii="Garamond" w:hAnsi="Garamond"/>
          <w:sz w:val="22"/>
          <w:szCs w:val="22"/>
        </w:rPr>
        <w:t>).</w:t>
      </w:r>
      <w:r w:rsidR="00416D8D">
        <w:rPr>
          <w:rFonts w:ascii="Garamond" w:hAnsi="Garamond" w:cs="Calibri"/>
          <w:color w:val="000000"/>
          <w:sz w:val="22"/>
          <w:szCs w:val="22"/>
        </w:rPr>
        <w:t xml:space="preserve"> </w:t>
      </w:r>
      <w:r w:rsidRPr="0095587C">
        <w:rPr>
          <w:rFonts w:ascii="Garamond" w:hAnsi="Garamond" w:cs="Calibri"/>
          <w:color w:val="000000"/>
          <w:sz w:val="22"/>
          <w:szCs w:val="22"/>
        </w:rPr>
        <w:t xml:space="preserve">The UK has significantly reduced the electrical grid carbon intensity, through the generation of clean renewable electricity mainly from wind and solar renewable energy systems. Decarbonising the electricity system presents many opportunities to improve the way we heat and cool our homes and businesses, power appliances and industry, and fuel our vehicles. Electric cars are becoming widely </w:t>
      </w:r>
      <w:r w:rsidR="00774112">
        <w:rPr>
          <w:rFonts w:ascii="Garamond" w:hAnsi="Garamond" w:cs="Calibri"/>
          <w:color w:val="000000"/>
          <w:sz w:val="22"/>
          <w:szCs w:val="22"/>
        </w:rPr>
        <w:t>available, and electricity is</w:t>
      </w:r>
      <w:r w:rsidRPr="0095587C">
        <w:rPr>
          <w:rFonts w:ascii="Garamond" w:hAnsi="Garamond" w:cs="Calibri"/>
          <w:color w:val="000000"/>
          <w:sz w:val="22"/>
          <w:szCs w:val="22"/>
        </w:rPr>
        <w:t xml:space="preserve"> being used to power buses, </w:t>
      </w:r>
      <w:r w:rsidRPr="0095587C">
        <w:rPr>
          <w:rFonts w:ascii="Garamond" w:hAnsi="Garamond" w:cs="Calibri"/>
          <w:color w:val="000000"/>
          <w:sz w:val="22"/>
          <w:szCs w:val="22"/>
        </w:rPr>
        <w:lastRenderedPageBreak/>
        <w:t>vans and taxis. Low carbon heating and cooling using h</w:t>
      </w:r>
      <w:r w:rsidR="000E0F0C">
        <w:rPr>
          <w:rFonts w:ascii="Garamond" w:hAnsi="Garamond" w:cs="Calibri"/>
          <w:color w:val="000000"/>
          <w:sz w:val="22"/>
          <w:szCs w:val="22"/>
        </w:rPr>
        <w:t xml:space="preserve">eat pumps </w:t>
      </w:r>
      <w:r w:rsidRPr="0095587C">
        <w:rPr>
          <w:rFonts w:ascii="Garamond" w:hAnsi="Garamond" w:cs="Calibri"/>
          <w:color w:val="000000"/>
          <w:sz w:val="22"/>
          <w:szCs w:val="22"/>
        </w:rPr>
        <w:t xml:space="preserve">offers significant environmental benefits over conventional heating or cooling systems such as gas boilers and chillers. </w:t>
      </w:r>
    </w:p>
    <w:p w:rsidR="0042722A" w:rsidRPr="0095587C" w:rsidRDefault="000662DF" w:rsidP="00416D8D">
      <w:pPr>
        <w:pStyle w:val="NormalWeb"/>
        <w:shd w:val="clear" w:color="auto" w:fill="FFFFFF"/>
        <w:spacing w:before="0" w:beforeAutospacing="0" w:after="0" w:afterAutospacing="0"/>
        <w:ind w:firstLine="426"/>
        <w:jc w:val="both"/>
        <w:rPr>
          <w:rFonts w:ascii="Garamond" w:hAnsi="Garamond" w:cs="Calibri"/>
          <w:color w:val="000000"/>
          <w:sz w:val="22"/>
          <w:szCs w:val="22"/>
        </w:rPr>
      </w:pPr>
      <w:r>
        <w:rPr>
          <w:rFonts w:ascii="Garamond" w:hAnsi="Garamond" w:cs="Calibri"/>
          <w:color w:val="000000"/>
          <w:sz w:val="22"/>
          <w:szCs w:val="22"/>
        </w:rPr>
        <w:t>Heat pumps</w:t>
      </w:r>
      <w:r w:rsidR="0042722A" w:rsidRPr="0095587C">
        <w:rPr>
          <w:rFonts w:ascii="Garamond" w:hAnsi="Garamond" w:cs="Calibri"/>
          <w:color w:val="000000"/>
          <w:sz w:val="22"/>
          <w:szCs w:val="22"/>
        </w:rPr>
        <w:t xml:space="preserve"> </w:t>
      </w:r>
      <w:r w:rsidR="0012616F">
        <w:rPr>
          <w:rFonts w:ascii="Garamond" w:hAnsi="Garamond" w:cs="Calibri"/>
          <w:color w:val="000000"/>
          <w:sz w:val="22"/>
          <w:szCs w:val="22"/>
        </w:rPr>
        <w:t xml:space="preserve">connected in a district heat network </w:t>
      </w:r>
      <w:r w:rsidR="0042722A" w:rsidRPr="0095587C">
        <w:rPr>
          <w:rFonts w:ascii="Garamond" w:hAnsi="Garamond" w:cs="Calibri"/>
          <w:color w:val="000000"/>
          <w:sz w:val="22"/>
          <w:szCs w:val="22"/>
        </w:rPr>
        <w:t xml:space="preserve">enable the sharing of heat between different applications or between buildings in a neighbourhood. Sharing </w:t>
      </w:r>
      <w:r w:rsidR="0042722A">
        <w:rPr>
          <w:rFonts w:ascii="Garamond" w:hAnsi="Garamond" w:cs="Calibri"/>
          <w:color w:val="000000"/>
          <w:sz w:val="22"/>
          <w:szCs w:val="22"/>
        </w:rPr>
        <w:t xml:space="preserve">(prosuming) </w:t>
      </w:r>
      <w:r w:rsidR="0042722A" w:rsidRPr="0095587C">
        <w:rPr>
          <w:rFonts w:ascii="Garamond" w:hAnsi="Garamond" w:cs="Calibri"/>
          <w:color w:val="000000"/>
          <w:sz w:val="22"/>
          <w:szCs w:val="22"/>
        </w:rPr>
        <w:t xml:space="preserve">of heat in this way provides the opportunity to deliver extremely efficient, </w:t>
      </w:r>
      <w:r w:rsidR="00A92F8D">
        <w:rPr>
          <w:rFonts w:ascii="Garamond" w:hAnsi="Garamond" w:cs="Calibri"/>
          <w:color w:val="000000"/>
          <w:sz w:val="22"/>
          <w:szCs w:val="22"/>
        </w:rPr>
        <w:t>low-grade</w:t>
      </w:r>
      <w:r w:rsidR="0042722A" w:rsidRPr="0095587C">
        <w:rPr>
          <w:rFonts w:ascii="Garamond" w:hAnsi="Garamond" w:cs="Calibri"/>
          <w:color w:val="000000"/>
          <w:sz w:val="22"/>
          <w:szCs w:val="22"/>
        </w:rPr>
        <w:t xml:space="preserve"> carbon, bivalent cooling and heating between buildings. In addition, heat pumps also present the opportunity to utilise heat from secondary and renewable sources such as heat from datacentres, canals, railway tunnels, industrial processes and sewage systems, which would otherwise be wasted. </w:t>
      </w:r>
    </w:p>
    <w:p w:rsidR="0042722A" w:rsidRPr="000E3F5D" w:rsidRDefault="0042722A" w:rsidP="000E3F5D">
      <w:pPr>
        <w:pStyle w:val="NormalWeb"/>
        <w:shd w:val="clear" w:color="auto" w:fill="FFFFFF"/>
        <w:spacing w:before="0" w:beforeAutospacing="0" w:after="0" w:afterAutospacing="0"/>
        <w:ind w:firstLine="360"/>
        <w:jc w:val="both"/>
        <w:rPr>
          <w:rFonts w:ascii="Garamond" w:hAnsi="Garamond" w:cs="Calibri"/>
          <w:color w:val="000000"/>
          <w:sz w:val="22"/>
          <w:szCs w:val="22"/>
        </w:rPr>
      </w:pPr>
      <w:r w:rsidRPr="004B2A62">
        <w:rPr>
          <w:rFonts w:ascii="Garamond" w:hAnsi="Garamond"/>
          <w:color w:val="000000"/>
          <w:sz w:val="22"/>
        </w:rPr>
        <w:t>District Heating Networks (DHNs) have traditionally used a centralised energy centre where the heat generated is supplied to multiple buildings in a neighbourhood via a network of insulated pipes carrying either hot or chilled water (GOV.UK, 2018b). DHNs up to the 3</w:t>
      </w:r>
      <w:r w:rsidRPr="004B2A62">
        <w:rPr>
          <w:rFonts w:ascii="Garamond" w:hAnsi="Garamond"/>
          <w:color w:val="000000"/>
          <w:sz w:val="22"/>
          <w:vertAlign w:val="superscript"/>
        </w:rPr>
        <w:t>rd</w:t>
      </w:r>
      <w:r w:rsidR="00E9040A">
        <w:rPr>
          <w:rFonts w:ascii="Garamond" w:hAnsi="Garamond"/>
          <w:color w:val="000000"/>
          <w:sz w:val="22"/>
        </w:rPr>
        <w:t xml:space="preserve"> </w:t>
      </w:r>
      <w:proofErr w:type="gramStart"/>
      <w:r w:rsidR="00E9040A">
        <w:rPr>
          <w:rFonts w:ascii="Garamond" w:hAnsi="Garamond"/>
          <w:color w:val="000000"/>
          <w:sz w:val="22"/>
        </w:rPr>
        <w:t>generation  are</w:t>
      </w:r>
      <w:proofErr w:type="gramEnd"/>
      <w:r w:rsidR="00E9040A">
        <w:rPr>
          <w:rFonts w:ascii="Garamond" w:hAnsi="Garamond"/>
          <w:color w:val="000000"/>
          <w:sz w:val="22"/>
        </w:rPr>
        <w:t xml:space="preserve"> at 60 - 90°C</w:t>
      </w:r>
      <w:r w:rsidRPr="004B2A62">
        <w:rPr>
          <w:rFonts w:ascii="Garamond" w:hAnsi="Garamond"/>
          <w:color w:val="000000"/>
          <w:sz w:val="22"/>
        </w:rPr>
        <w:t xml:space="preserve"> [140 – 194ºF] </w:t>
      </w:r>
      <w:r w:rsidR="000E3F5D" w:rsidRPr="004B2A62">
        <w:rPr>
          <w:rFonts w:ascii="Garamond" w:hAnsi="Garamond"/>
          <w:color w:val="000000"/>
          <w:sz w:val="22"/>
        </w:rPr>
        <w:t>and 4</w:t>
      </w:r>
      <w:r w:rsidR="000E3F5D" w:rsidRPr="004B2A62">
        <w:rPr>
          <w:rFonts w:ascii="Garamond" w:hAnsi="Garamond"/>
          <w:color w:val="000000"/>
          <w:sz w:val="22"/>
          <w:vertAlign w:val="superscript"/>
        </w:rPr>
        <w:t>th</w:t>
      </w:r>
      <w:r w:rsidR="00E9040A">
        <w:rPr>
          <w:rFonts w:ascii="Garamond" w:hAnsi="Garamond"/>
          <w:color w:val="000000"/>
          <w:sz w:val="22"/>
        </w:rPr>
        <w:t xml:space="preserve"> generation at </w:t>
      </w:r>
      <w:r w:rsidR="000E3F5D" w:rsidRPr="004B2A62">
        <w:rPr>
          <w:rFonts w:ascii="Garamond" w:hAnsi="Garamond"/>
          <w:color w:val="000000"/>
          <w:sz w:val="22"/>
        </w:rPr>
        <w:t xml:space="preserve">45 to </w:t>
      </w:r>
      <w:r w:rsidR="004B4808">
        <w:rPr>
          <w:rFonts w:ascii="Garamond" w:hAnsi="Garamond" w:cs="Calibri"/>
          <w:noProof/>
          <w:color w:val="000000"/>
          <w:sz w:val="22"/>
          <w:szCs w:val="22"/>
        </w:rPr>
        <w:t>60</w:t>
      </w:r>
      <w:r w:rsidR="00E9040A">
        <w:rPr>
          <w:rFonts w:ascii="Garamond" w:hAnsi="Garamond"/>
          <w:color w:val="000000"/>
          <w:sz w:val="22"/>
        </w:rPr>
        <w:t>°C</w:t>
      </w:r>
      <w:r w:rsidR="000E3F5D" w:rsidRPr="004B2A62">
        <w:rPr>
          <w:rFonts w:ascii="Garamond" w:hAnsi="Garamond"/>
          <w:color w:val="000000"/>
          <w:sz w:val="22"/>
        </w:rPr>
        <w:t xml:space="preserve"> [113 to </w:t>
      </w:r>
      <w:r w:rsidR="000E3F5D" w:rsidRPr="004B2A62">
        <w:rPr>
          <w:rFonts w:ascii="Garamond" w:hAnsi="Garamond" w:cs="Calibri"/>
          <w:noProof/>
          <w:color w:val="000000"/>
          <w:sz w:val="22"/>
          <w:szCs w:val="22"/>
        </w:rPr>
        <w:t>1</w:t>
      </w:r>
      <w:r w:rsidR="004B2A62" w:rsidRPr="004B2A62">
        <w:rPr>
          <w:rFonts w:ascii="Garamond" w:hAnsi="Garamond" w:cs="Calibri"/>
          <w:noProof/>
          <w:color w:val="000000"/>
          <w:sz w:val="22"/>
          <w:szCs w:val="22"/>
        </w:rPr>
        <w:t>40</w:t>
      </w:r>
      <w:r w:rsidR="000E3F5D" w:rsidRPr="004B2A62">
        <w:rPr>
          <w:rFonts w:ascii="Garamond" w:hAnsi="Garamond"/>
          <w:color w:val="000000"/>
          <w:sz w:val="22"/>
        </w:rPr>
        <w:t>ºF]</w:t>
      </w:r>
      <w:r w:rsidRPr="004B2A62">
        <w:rPr>
          <w:rFonts w:ascii="Garamond" w:hAnsi="Garamond"/>
          <w:color w:val="000000"/>
          <w:sz w:val="22"/>
        </w:rPr>
        <w:t>.</w:t>
      </w:r>
      <w:r w:rsidRPr="0095587C">
        <w:rPr>
          <w:rFonts w:ascii="Garamond" w:hAnsi="Garamond" w:cs="Calibri"/>
          <w:noProof/>
          <w:color w:val="000000"/>
          <w:sz w:val="22"/>
          <w:szCs w:val="22"/>
        </w:rPr>
        <w:t xml:space="preserve"> </w:t>
      </w:r>
      <w:r w:rsidR="00365A3D">
        <w:rPr>
          <w:rFonts w:ascii="Garamond" w:hAnsi="Garamond" w:cs="Calibri"/>
          <w:noProof/>
          <w:color w:val="000000"/>
          <w:sz w:val="22"/>
          <w:szCs w:val="22"/>
        </w:rPr>
        <w:t>The more recent 5</w:t>
      </w:r>
      <w:r w:rsidR="00365A3D" w:rsidRPr="00365A3D">
        <w:rPr>
          <w:rFonts w:ascii="Garamond" w:hAnsi="Garamond" w:cs="Calibri"/>
          <w:noProof/>
          <w:color w:val="000000"/>
          <w:sz w:val="22"/>
          <w:szCs w:val="22"/>
          <w:vertAlign w:val="superscript"/>
        </w:rPr>
        <w:t>th</w:t>
      </w:r>
      <w:r w:rsidR="00365A3D">
        <w:rPr>
          <w:rFonts w:ascii="Garamond" w:hAnsi="Garamond" w:cs="Calibri"/>
          <w:noProof/>
          <w:color w:val="000000"/>
          <w:sz w:val="22"/>
          <w:szCs w:val="22"/>
        </w:rPr>
        <w:t xml:space="preserve"> generation networks are ambient loops with an </w:t>
      </w:r>
      <w:r w:rsidR="00A92F8D">
        <w:rPr>
          <w:rFonts w:ascii="Garamond" w:hAnsi="Garamond"/>
          <w:color w:val="000000"/>
          <w:sz w:val="22"/>
        </w:rPr>
        <w:t>low-grade</w:t>
      </w:r>
      <w:r w:rsidR="00365A3D" w:rsidRPr="004B2A62">
        <w:rPr>
          <w:rFonts w:ascii="Garamond" w:hAnsi="Garamond"/>
          <w:color w:val="000000"/>
          <w:sz w:val="22"/>
        </w:rPr>
        <w:t xml:space="preserve"> temperature (13 to 25°C</w:t>
      </w:r>
      <w:r w:rsidR="00365A3D" w:rsidRPr="004B2A62">
        <w:rPr>
          <w:rFonts w:ascii="Garamond" w:hAnsi="Garamond" w:cs="Calibri"/>
          <w:color w:val="000000"/>
          <w:sz w:val="22"/>
          <w:szCs w:val="22"/>
        </w:rPr>
        <w:t>)</w:t>
      </w:r>
      <w:r w:rsidR="00365A3D" w:rsidRPr="004B2A62">
        <w:rPr>
          <w:rFonts w:ascii="Garamond" w:hAnsi="Garamond"/>
          <w:color w:val="000000"/>
          <w:sz w:val="22"/>
        </w:rPr>
        <w:t xml:space="preserve"> [55 to 77ºF]</w:t>
      </w:r>
      <w:r w:rsidR="00365A3D">
        <w:rPr>
          <w:rFonts w:ascii="Garamond" w:hAnsi="Garamond"/>
          <w:color w:val="000000"/>
          <w:sz w:val="22"/>
        </w:rPr>
        <w:t>.</w:t>
      </w:r>
      <w:r w:rsidR="00365A3D" w:rsidRPr="004B2A62">
        <w:rPr>
          <w:rFonts w:ascii="Garamond" w:hAnsi="Garamond"/>
          <w:color w:val="000000"/>
          <w:sz w:val="22"/>
        </w:rPr>
        <w:t xml:space="preserve"> </w:t>
      </w:r>
      <w:r w:rsidR="00365A3D">
        <w:rPr>
          <w:rFonts w:ascii="Garamond" w:hAnsi="Garamond" w:cs="Calibri"/>
          <w:noProof/>
          <w:color w:val="000000"/>
          <w:sz w:val="22"/>
          <w:szCs w:val="22"/>
        </w:rPr>
        <w:t xml:space="preserve">These </w:t>
      </w:r>
      <w:r w:rsidRPr="0095587C">
        <w:rPr>
          <w:rFonts w:ascii="Garamond" w:hAnsi="Garamond" w:cs="Calibri"/>
          <w:noProof/>
          <w:color w:val="000000"/>
          <w:sz w:val="22"/>
          <w:szCs w:val="22"/>
        </w:rPr>
        <w:t>5</w:t>
      </w:r>
      <w:r w:rsidRPr="0095587C">
        <w:rPr>
          <w:rFonts w:ascii="Garamond" w:hAnsi="Garamond" w:cs="Calibri"/>
          <w:noProof/>
          <w:color w:val="000000"/>
          <w:sz w:val="22"/>
          <w:szCs w:val="22"/>
          <w:vertAlign w:val="superscript"/>
        </w:rPr>
        <w:t>th</w:t>
      </w:r>
      <w:r w:rsidRPr="0095587C">
        <w:rPr>
          <w:rFonts w:ascii="Garamond" w:hAnsi="Garamond" w:cs="Calibri"/>
          <w:noProof/>
          <w:color w:val="000000"/>
          <w:sz w:val="22"/>
          <w:szCs w:val="22"/>
        </w:rPr>
        <w:t xml:space="preserve"> generation </w:t>
      </w:r>
      <w:r w:rsidR="004B4808">
        <w:rPr>
          <w:rFonts w:ascii="Garamond" w:hAnsi="Garamond" w:cs="Calibri"/>
          <w:noProof/>
          <w:color w:val="000000"/>
          <w:sz w:val="22"/>
          <w:szCs w:val="22"/>
        </w:rPr>
        <w:t>district heating and cooling</w:t>
      </w:r>
      <w:r w:rsidRPr="0095587C">
        <w:rPr>
          <w:rFonts w:ascii="Garamond" w:hAnsi="Garamond" w:cs="Calibri"/>
          <w:noProof/>
          <w:color w:val="000000"/>
          <w:sz w:val="22"/>
          <w:szCs w:val="22"/>
        </w:rPr>
        <w:t xml:space="preserve"> (5</w:t>
      </w:r>
      <w:r>
        <w:rPr>
          <w:rFonts w:ascii="Garamond" w:hAnsi="Garamond" w:cs="Calibri"/>
          <w:noProof/>
          <w:color w:val="000000"/>
          <w:sz w:val="22"/>
          <w:szCs w:val="22"/>
        </w:rPr>
        <w:t>DHC</w:t>
      </w:r>
      <w:r w:rsidRPr="0095587C">
        <w:rPr>
          <w:rFonts w:ascii="Garamond" w:hAnsi="Garamond" w:cs="Calibri"/>
          <w:noProof/>
          <w:color w:val="000000"/>
          <w:sz w:val="22"/>
          <w:szCs w:val="22"/>
        </w:rPr>
        <w:t xml:space="preserve">) </w:t>
      </w:r>
      <w:r w:rsidR="00365A3D">
        <w:rPr>
          <w:rFonts w:ascii="Garamond" w:hAnsi="Garamond" w:cs="Calibri"/>
          <w:noProof/>
          <w:color w:val="000000"/>
          <w:sz w:val="22"/>
          <w:szCs w:val="22"/>
        </w:rPr>
        <w:t>networks</w:t>
      </w:r>
      <w:r w:rsidRPr="0095587C">
        <w:rPr>
          <w:rFonts w:ascii="Garamond" w:hAnsi="Garamond" w:cs="Calibri"/>
          <w:noProof/>
          <w:color w:val="000000"/>
          <w:sz w:val="22"/>
          <w:szCs w:val="22"/>
        </w:rPr>
        <w:t xml:space="preserve"> comp</w:t>
      </w:r>
      <w:r w:rsidR="00365A3D">
        <w:rPr>
          <w:rFonts w:ascii="Garamond" w:hAnsi="Garamond" w:cs="Calibri"/>
          <w:noProof/>
          <w:color w:val="000000"/>
          <w:sz w:val="22"/>
          <w:szCs w:val="22"/>
        </w:rPr>
        <w:t>rise</w:t>
      </w:r>
      <w:r w:rsidRPr="0095587C">
        <w:rPr>
          <w:rFonts w:ascii="Garamond" w:hAnsi="Garamond" w:cs="Calibri"/>
          <w:color w:val="000000"/>
          <w:sz w:val="22"/>
          <w:szCs w:val="22"/>
        </w:rPr>
        <w:t xml:space="preserve"> decentralised</w:t>
      </w:r>
      <w:r w:rsidR="004E6BDB">
        <w:rPr>
          <w:rFonts w:ascii="Garamond" w:hAnsi="Garamond" w:cs="Calibri"/>
          <w:color w:val="000000"/>
          <w:sz w:val="22"/>
          <w:szCs w:val="22"/>
        </w:rPr>
        <w:t xml:space="preserve"> energy centres with heat pumps, </w:t>
      </w:r>
      <w:r w:rsidRPr="0095587C">
        <w:rPr>
          <w:rFonts w:ascii="Garamond" w:hAnsi="Garamond" w:cs="Calibri"/>
          <w:color w:val="000000"/>
          <w:sz w:val="22"/>
          <w:szCs w:val="22"/>
          <w:shd w:val="clear" w:color="auto" w:fill="FFFFFF"/>
        </w:rPr>
        <w:t xml:space="preserve">PV generation, </w:t>
      </w:r>
      <w:r>
        <w:rPr>
          <w:rFonts w:ascii="Garamond" w:hAnsi="Garamond" w:cs="Calibri"/>
          <w:color w:val="000000"/>
          <w:sz w:val="22"/>
          <w:szCs w:val="22"/>
          <w:shd w:val="clear" w:color="auto" w:fill="FFFFFF"/>
        </w:rPr>
        <w:t>E</w:t>
      </w:r>
      <w:r w:rsidRPr="0095587C">
        <w:rPr>
          <w:rFonts w:ascii="Garamond" w:hAnsi="Garamond" w:cs="Calibri"/>
          <w:color w:val="000000"/>
          <w:sz w:val="22"/>
          <w:szCs w:val="22"/>
          <w:shd w:val="clear" w:color="auto" w:fill="FFFFFF"/>
        </w:rPr>
        <w:t xml:space="preserve">lectric </w:t>
      </w:r>
      <w:r>
        <w:rPr>
          <w:rFonts w:ascii="Garamond" w:hAnsi="Garamond" w:cs="Calibri"/>
          <w:color w:val="000000"/>
          <w:sz w:val="22"/>
          <w:szCs w:val="22"/>
          <w:shd w:val="clear" w:color="auto" w:fill="FFFFFF"/>
        </w:rPr>
        <w:t>V</w:t>
      </w:r>
      <w:r w:rsidRPr="0095587C">
        <w:rPr>
          <w:rFonts w:ascii="Garamond" w:hAnsi="Garamond" w:cs="Calibri"/>
          <w:color w:val="000000"/>
          <w:sz w:val="22"/>
          <w:szCs w:val="22"/>
          <w:shd w:val="clear" w:color="auto" w:fill="FFFFFF"/>
        </w:rPr>
        <w:t xml:space="preserve">ehicles (EVs) and </w:t>
      </w:r>
      <w:r>
        <w:rPr>
          <w:rFonts w:ascii="Garamond" w:hAnsi="Garamond" w:cs="Calibri"/>
          <w:color w:val="000000"/>
          <w:sz w:val="22"/>
          <w:szCs w:val="22"/>
          <w:shd w:val="clear" w:color="auto" w:fill="FFFFFF"/>
        </w:rPr>
        <w:t>V</w:t>
      </w:r>
      <w:r w:rsidRPr="0095587C">
        <w:rPr>
          <w:rFonts w:ascii="Garamond" w:hAnsi="Garamond" w:cs="Calibri"/>
          <w:color w:val="000000"/>
          <w:sz w:val="22"/>
          <w:szCs w:val="22"/>
          <w:shd w:val="clear" w:color="auto" w:fill="FFFFFF"/>
        </w:rPr>
        <w:t>ehicle-to-</w:t>
      </w:r>
      <w:r>
        <w:rPr>
          <w:rFonts w:ascii="Garamond" w:hAnsi="Garamond" w:cs="Calibri"/>
          <w:color w:val="000000"/>
          <w:sz w:val="22"/>
          <w:szCs w:val="22"/>
          <w:shd w:val="clear" w:color="auto" w:fill="FFFFFF"/>
        </w:rPr>
        <w:t>G</w:t>
      </w:r>
      <w:r w:rsidRPr="0095587C">
        <w:rPr>
          <w:rFonts w:ascii="Garamond" w:hAnsi="Garamond" w:cs="Calibri"/>
          <w:color w:val="000000"/>
          <w:sz w:val="22"/>
          <w:szCs w:val="22"/>
          <w:shd w:val="clear" w:color="auto" w:fill="FFFFFF"/>
        </w:rPr>
        <w:t>rid (V2G) charging/storage (Revesz et al., 202</w:t>
      </w:r>
      <w:r w:rsidR="00AF064C">
        <w:rPr>
          <w:rFonts w:ascii="Garamond" w:hAnsi="Garamond" w:cs="Calibri"/>
          <w:color w:val="000000"/>
          <w:sz w:val="22"/>
          <w:szCs w:val="22"/>
          <w:shd w:val="clear" w:color="auto" w:fill="FFFFFF"/>
        </w:rPr>
        <w:t>1</w:t>
      </w:r>
      <w:r w:rsidRPr="0095587C">
        <w:rPr>
          <w:rFonts w:ascii="Garamond" w:hAnsi="Garamond" w:cs="Calibri"/>
          <w:color w:val="000000"/>
          <w:sz w:val="22"/>
          <w:szCs w:val="22"/>
          <w:shd w:val="clear" w:color="auto" w:fill="FFFFFF"/>
        </w:rPr>
        <w:t xml:space="preserve">). In V2G systems, electric vehicles with bi-directional charging can store electricity generated from renewable energy sources and discharge electricity back into the grid </w:t>
      </w:r>
      <w:r w:rsidR="009148D6">
        <w:rPr>
          <w:rFonts w:ascii="Garamond" w:hAnsi="Garamond" w:cs="Calibri"/>
          <w:color w:val="000000"/>
          <w:sz w:val="22"/>
          <w:szCs w:val="22"/>
          <w:shd w:val="clear" w:color="auto" w:fill="FFFFFF"/>
        </w:rPr>
        <w:t xml:space="preserve">or the energy centre </w:t>
      </w:r>
      <w:r w:rsidRPr="0095587C">
        <w:rPr>
          <w:rFonts w:ascii="Garamond" w:hAnsi="Garamond" w:cs="Calibri"/>
          <w:color w:val="000000"/>
          <w:sz w:val="22"/>
          <w:szCs w:val="22"/>
          <w:shd w:val="clear" w:color="auto" w:fill="FFFFFF"/>
        </w:rPr>
        <w:t xml:space="preserve">during peak times. </w:t>
      </w:r>
      <w:r w:rsidR="004B4808">
        <w:rPr>
          <w:rFonts w:ascii="Garamond" w:hAnsi="Garamond" w:cs="Calibri"/>
          <w:color w:val="000000"/>
          <w:sz w:val="22"/>
          <w:szCs w:val="22"/>
          <w:shd w:val="clear" w:color="auto" w:fill="FFFFFF"/>
        </w:rPr>
        <w:t>Using an</w:t>
      </w:r>
      <w:r w:rsidR="004B4808" w:rsidRPr="0095587C">
        <w:rPr>
          <w:rFonts w:ascii="Garamond" w:hAnsi="Garamond" w:cs="Calibri"/>
          <w:color w:val="000000"/>
          <w:sz w:val="22"/>
          <w:szCs w:val="22"/>
          <w:shd w:val="clear" w:color="auto" w:fill="FFFFFF"/>
        </w:rPr>
        <w:t xml:space="preserve"> </w:t>
      </w:r>
      <w:r w:rsidRPr="0095587C">
        <w:rPr>
          <w:rFonts w:ascii="Garamond" w:hAnsi="Garamond" w:cs="Calibri"/>
          <w:color w:val="000000"/>
          <w:sz w:val="22"/>
          <w:szCs w:val="22"/>
          <w:shd w:val="clear" w:color="auto" w:fill="FFFFFF"/>
        </w:rPr>
        <w:t xml:space="preserve">artificial intelligence system </w:t>
      </w:r>
      <w:r w:rsidR="004B4808">
        <w:rPr>
          <w:rFonts w:ascii="Garamond" w:hAnsi="Garamond" w:cs="Calibri"/>
          <w:color w:val="000000"/>
          <w:sz w:val="22"/>
          <w:szCs w:val="22"/>
          <w:shd w:val="clear" w:color="auto" w:fill="FFFFFF"/>
        </w:rPr>
        <w:t>to</w:t>
      </w:r>
      <w:r w:rsidRPr="0095587C">
        <w:rPr>
          <w:rFonts w:ascii="Garamond" w:hAnsi="Garamond" w:cs="Calibri"/>
          <w:color w:val="000000"/>
          <w:sz w:val="22"/>
          <w:szCs w:val="22"/>
          <w:shd w:val="clear" w:color="auto" w:fill="FFFFFF"/>
        </w:rPr>
        <w:t xml:space="preserve"> switch the flexible system assets such as the heating or cooling </w:t>
      </w:r>
      <w:r>
        <w:rPr>
          <w:rFonts w:ascii="Garamond" w:hAnsi="Garamond" w:cs="Calibri"/>
          <w:color w:val="000000"/>
          <w:sz w:val="22"/>
          <w:szCs w:val="22"/>
          <w:shd w:val="clear" w:color="auto" w:fill="FFFFFF"/>
        </w:rPr>
        <w:t xml:space="preserve">heat pumps and batteries </w:t>
      </w:r>
      <w:r w:rsidRPr="0095587C">
        <w:rPr>
          <w:rFonts w:ascii="Garamond" w:hAnsi="Garamond" w:cs="Calibri"/>
          <w:color w:val="000000"/>
          <w:sz w:val="22"/>
          <w:szCs w:val="22"/>
          <w:shd w:val="clear" w:color="auto" w:fill="FFFFFF"/>
        </w:rPr>
        <w:t>in reaction to the electricity grid requirements and tariffs provid</w:t>
      </w:r>
      <w:r w:rsidR="004B4808">
        <w:rPr>
          <w:rFonts w:ascii="Garamond" w:hAnsi="Garamond" w:cs="Calibri"/>
          <w:color w:val="000000"/>
          <w:sz w:val="22"/>
          <w:szCs w:val="22"/>
          <w:shd w:val="clear" w:color="auto" w:fill="FFFFFF"/>
        </w:rPr>
        <w:t>es</w:t>
      </w:r>
      <w:r w:rsidRPr="0095587C">
        <w:rPr>
          <w:rFonts w:ascii="Garamond" w:hAnsi="Garamond" w:cs="Calibri"/>
          <w:color w:val="000000"/>
          <w:sz w:val="22"/>
          <w:szCs w:val="22"/>
          <w:shd w:val="clear" w:color="auto" w:fill="FFFFFF"/>
        </w:rPr>
        <w:t xml:space="preserve"> </w:t>
      </w:r>
      <w:r w:rsidR="004B4808">
        <w:rPr>
          <w:rFonts w:ascii="Garamond" w:hAnsi="Garamond" w:cs="Calibri"/>
          <w:color w:val="000000"/>
          <w:sz w:val="22"/>
          <w:szCs w:val="22"/>
          <w:shd w:val="clear" w:color="auto" w:fill="FFFFFF"/>
        </w:rPr>
        <w:t>significant opportunities for</w:t>
      </w:r>
      <w:r w:rsidRPr="0095587C">
        <w:rPr>
          <w:rFonts w:ascii="Garamond" w:hAnsi="Garamond" w:cs="Calibri"/>
          <w:color w:val="000000"/>
          <w:sz w:val="22"/>
          <w:szCs w:val="22"/>
          <w:shd w:val="clear" w:color="auto" w:fill="FFFFFF"/>
        </w:rPr>
        <w:t xml:space="preserve"> demand side response. </w:t>
      </w:r>
    </w:p>
    <w:p w:rsidR="002422E0" w:rsidRPr="00DD2E76" w:rsidRDefault="0042722A" w:rsidP="0042722A">
      <w:pPr>
        <w:pStyle w:val="NormalWeb"/>
        <w:shd w:val="clear" w:color="auto" w:fill="FFFFFF"/>
        <w:spacing w:before="0" w:beforeAutospacing="0" w:after="0" w:afterAutospacing="0"/>
        <w:ind w:firstLine="360"/>
        <w:jc w:val="both"/>
        <w:rPr>
          <w:rFonts w:ascii="Garamond" w:hAnsi="Garamond" w:cs="Calibri"/>
          <w:color w:val="000000"/>
          <w:sz w:val="22"/>
          <w:szCs w:val="22"/>
        </w:rPr>
      </w:pPr>
      <w:r w:rsidRPr="0095587C">
        <w:rPr>
          <w:rFonts w:ascii="Garamond" w:hAnsi="Garamond" w:cs="Calibri"/>
          <w:color w:val="000000"/>
          <w:sz w:val="22"/>
          <w:szCs w:val="22"/>
        </w:rPr>
        <w:t>Innovative 5</w:t>
      </w:r>
      <w:r w:rsidRPr="0095587C">
        <w:rPr>
          <w:rFonts w:ascii="Garamond" w:hAnsi="Garamond" w:cs="Calibri"/>
          <w:color w:val="000000"/>
          <w:sz w:val="22"/>
          <w:szCs w:val="22"/>
          <w:vertAlign w:val="superscript"/>
        </w:rPr>
        <w:t>th</w:t>
      </w:r>
      <w:r w:rsidRPr="0095587C">
        <w:rPr>
          <w:rFonts w:ascii="Garamond" w:hAnsi="Garamond" w:cs="Calibri"/>
          <w:color w:val="000000"/>
          <w:sz w:val="22"/>
          <w:szCs w:val="22"/>
        </w:rPr>
        <w:t xml:space="preserve"> generation energy networks have great potential to become the most efficient local energy systems of the future, but there are very few 5</w:t>
      </w:r>
      <w:r w:rsidR="004E6BDB">
        <w:rPr>
          <w:rFonts w:ascii="Garamond" w:hAnsi="Garamond" w:cs="Calibri"/>
          <w:color w:val="000000"/>
          <w:sz w:val="22"/>
          <w:szCs w:val="22"/>
        </w:rPr>
        <w:t>DH</w:t>
      </w:r>
      <w:r w:rsidR="00B915A4">
        <w:rPr>
          <w:rFonts w:ascii="Garamond" w:hAnsi="Garamond" w:cs="Calibri"/>
          <w:color w:val="000000"/>
          <w:sz w:val="22"/>
          <w:szCs w:val="22"/>
        </w:rPr>
        <w:t>C</w:t>
      </w:r>
      <w:r w:rsidRPr="0095587C">
        <w:rPr>
          <w:rFonts w:ascii="Garamond" w:hAnsi="Garamond" w:cs="Calibri"/>
          <w:color w:val="000000"/>
          <w:sz w:val="22"/>
          <w:szCs w:val="22"/>
        </w:rPr>
        <w:t xml:space="preserve"> networks worldwide (Buffa et al., 2019) and there is limited information, innovation, knowledge and skills around the</w:t>
      </w:r>
      <w:r w:rsidR="004B4808">
        <w:rPr>
          <w:rFonts w:ascii="Garamond" w:hAnsi="Garamond" w:cs="Calibri"/>
          <w:color w:val="000000"/>
          <w:sz w:val="22"/>
          <w:szCs w:val="22"/>
        </w:rPr>
        <w:t>se</w:t>
      </w:r>
      <w:r w:rsidRPr="0095587C">
        <w:rPr>
          <w:rFonts w:ascii="Garamond" w:hAnsi="Garamond" w:cs="Calibri"/>
          <w:color w:val="000000"/>
          <w:sz w:val="22"/>
          <w:szCs w:val="22"/>
        </w:rPr>
        <w:t xml:space="preserve">. </w:t>
      </w:r>
      <w:r w:rsidR="004B2A62">
        <w:rPr>
          <w:rFonts w:ascii="Garamond" w:hAnsi="Garamond" w:cs="Calibri"/>
          <w:color w:val="000000"/>
          <w:sz w:val="22"/>
          <w:szCs w:val="22"/>
        </w:rPr>
        <w:t>5DHC</w:t>
      </w:r>
      <w:r w:rsidR="002422E0">
        <w:rPr>
          <w:rFonts w:ascii="Garamond" w:hAnsi="Garamond" w:cs="Calibri"/>
          <w:color w:val="000000"/>
          <w:sz w:val="22"/>
          <w:szCs w:val="22"/>
        </w:rPr>
        <w:t xml:space="preserve"> </w:t>
      </w:r>
      <w:r w:rsidR="00A92F8D">
        <w:rPr>
          <w:rFonts w:ascii="Garamond" w:hAnsi="Garamond" w:cs="Calibri"/>
          <w:color w:val="000000"/>
          <w:sz w:val="22"/>
          <w:szCs w:val="22"/>
        </w:rPr>
        <w:t>low grade</w:t>
      </w:r>
      <w:r w:rsidR="002422E0">
        <w:rPr>
          <w:rFonts w:ascii="Garamond" w:hAnsi="Garamond" w:cs="Calibri"/>
          <w:color w:val="000000"/>
          <w:sz w:val="22"/>
          <w:szCs w:val="22"/>
        </w:rPr>
        <w:t xml:space="preserve"> temperature networks </w:t>
      </w:r>
      <w:r w:rsidR="002422E0" w:rsidRPr="00DD2E76">
        <w:rPr>
          <w:rFonts w:ascii="Garamond" w:hAnsi="Garamond"/>
          <w:sz w:val="22"/>
          <w:szCs w:val="22"/>
        </w:rPr>
        <w:t>are best implemented where there is a balance of heating and cooling demands, and can offer high CoP’s</w:t>
      </w:r>
      <w:r w:rsidR="004B4808">
        <w:rPr>
          <w:rFonts w:ascii="Garamond" w:hAnsi="Garamond"/>
          <w:sz w:val="22"/>
          <w:szCs w:val="22"/>
        </w:rPr>
        <w:t>, and the more the</w:t>
      </w:r>
      <w:r w:rsidR="002422E0" w:rsidRPr="00DD2E76">
        <w:rPr>
          <w:rFonts w:ascii="Garamond" w:hAnsi="Garamond"/>
          <w:sz w:val="22"/>
          <w:szCs w:val="22"/>
        </w:rPr>
        <w:t xml:space="preserve"> prosuming </w:t>
      </w:r>
      <w:r w:rsidR="004B4808">
        <w:rPr>
          <w:rFonts w:ascii="Garamond" w:hAnsi="Garamond"/>
          <w:sz w:val="22"/>
          <w:szCs w:val="22"/>
        </w:rPr>
        <w:t>the gr</w:t>
      </w:r>
      <w:r w:rsidR="005446DA">
        <w:rPr>
          <w:rFonts w:ascii="Garamond" w:hAnsi="Garamond"/>
          <w:sz w:val="22"/>
          <w:szCs w:val="22"/>
        </w:rPr>
        <w:t>e</w:t>
      </w:r>
      <w:r w:rsidR="004B4808">
        <w:rPr>
          <w:rFonts w:ascii="Garamond" w:hAnsi="Garamond"/>
          <w:sz w:val="22"/>
          <w:szCs w:val="22"/>
        </w:rPr>
        <w:t xml:space="preserve">ater </w:t>
      </w:r>
      <w:r w:rsidR="005446DA">
        <w:rPr>
          <w:rFonts w:ascii="Garamond" w:hAnsi="Garamond"/>
          <w:sz w:val="22"/>
          <w:szCs w:val="22"/>
        </w:rPr>
        <w:t>the</w:t>
      </w:r>
      <w:r w:rsidR="002422E0" w:rsidRPr="00DD2E76">
        <w:rPr>
          <w:rFonts w:ascii="Garamond" w:hAnsi="Garamond"/>
          <w:sz w:val="22"/>
          <w:szCs w:val="22"/>
        </w:rPr>
        <w:t xml:space="preserve"> benefit. The </w:t>
      </w:r>
      <w:r w:rsidR="00A92F8D">
        <w:rPr>
          <w:rFonts w:ascii="Garamond" w:hAnsi="Garamond"/>
          <w:sz w:val="22"/>
          <w:szCs w:val="22"/>
        </w:rPr>
        <w:t>low-grade</w:t>
      </w:r>
      <w:r w:rsidR="002422E0" w:rsidRPr="00DD2E76">
        <w:rPr>
          <w:rFonts w:ascii="Garamond" w:hAnsi="Garamond"/>
          <w:sz w:val="22"/>
          <w:szCs w:val="22"/>
        </w:rPr>
        <w:t xml:space="preserve"> temperature ‘ambient loop’ also offers a more direct </w:t>
      </w:r>
      <w:r w:rsidR="007E462D" w:rsidRPr="00DD2E76">
        <w:rPr>
          <w:rFonts w:ascii="Garamond" w:hAnsi="Garamond"/>
          <w:sz w:val="22"/>
          <w:szCs w:val="22"/>
        </w:rPr>
        <w:t>opportunity</w:t>
      </w:r>
      <w:r w:rsidR="002422E0" w:rsidRPr="00DD2E76">
        <w:rPr>
          <w:rFonts w:ascii="Garamond" w:hAnsi="Garamond"/>
          <w:sz w:val="22"/>
          <w:szCs w:val="22"/>
        </w:rPr>
        <w:t xml:space="preserve"> to capture low temperature waste</w:t>
      </w:r>
      <w:r w:rsidR="00A92F8D">
        <w:rPr>
          <w:rFonts w:ascii="Garamond" w:hAnsi="Garamond"/>
          <w:sz w:val="22"/>
          <w:szCs w:val="22"/>
        </w:rPr>
        <w:t xml:space="preserve"> heat</w:t>
      </w:r>
      <w:r w:rsidR="002422E0" w:rsidRPr="00DD2E76">
        <w:rPr>
          <w:rFonts w:ascii="Garamond" w:hAnsi="Garamond"/>
          <w:sz w:val="22"/>
          <w:szCs w:val="22"/>
        </w:rPr>
        <w:t xml:space="preserve"> streams </w:t>
      </w:r>
      <w:r w:rsidR="00DD2E76" w:rsidRPr="00DD2E76">
        <w:rPr>
          <w:rFonts w:ascii="Garamond" w:hAnsi="Garamond"/>
          <w:sz w:val="22"/>
          <w:szCs w:val="22"/>
        </w:rPr>
        <w:t>that even a 4</w:t>
      </w:r>
      <w:r w:rsidR="005446DA">
        <w:rPr>
          <w:rFonts w:ascii="Garamond" w:hAnsi="Garamond"/>
          <w:sz w:val="22"/>
          <w:szCs w:val="22"/>
        </w:rPr>
        <w:t>DH</w:t>
      </w:r>
      <w:r w:rsidR="00DD2E76" w:rsidRPr="00DD2E76">
        <w:rPr>
          <w:rFonts w:ascii="Garamond" w:hAnsi="Garamond"/>
          <w:sz w:val="22"/>
          <w:szCs w:val="22"/>
        </w:rPr>
        <w:t xml:space="preserve"> scheme could not (Revesz et al.</w:t>
      </w:r>
      <w:r w:rsidR="00DD2E76">
        <w:rPr>
          <w:rFonts w:ascii="Garamond" w:hAnsi="Garamond"/>
          <w:sz w:val="22"/>
          <w:szCs w:val="22"/>
        </w:rPr>
        <w:t>,</w:t>
      </w:r>
      <w:r w:rsidR="00DD2E76" w:rsidRPr="00DD2E76">
        <w:rPr>
          <w:rFonts w:ascii="Garamond" w:hAnsi="Garamond"/>
          <w:sz w:val="22"/>
          <w:szCs w:val="22"/>
        </w:rPr>
        <w:t xml:space="preserve"> 20</w:t>
      </w:r>
      <w:r w:rsidR="00AF064C">
        <w:rPr>
          <w:rFonts w:ascii="Garamond" w:hAnsi="Garamond"/>
          <w:sz w:val="22"/>
          <w:szCs w:val="22"/>
        </w:rPr>
        <w:t>20</w:t>
      </w:r>
      <w:r w:rsidR="00DD2E76" w:rsidRPr="00DD2E76">
        <w:rPr>
          <w:rFonts w:ascii="Garamond" w:hAnsi="Garamond"/>
          <w:sz w:val="22"/>
          <w:szCs w:val="22"/>
        </w:rPr>
        <w:t>).</w:t>
      </w:r>
    </w:p>
    <w:p w:rsidR="0042722A" w:rsidRPr="0095587C" w:rsidRDefault="0042722A" w:rsidP="0042722A">
      <w:pPr>
        <w:ind w:left="0" w:firstLine="360"/>
        <w:jc w:val="both"/>
        <w:rPr>
          <w:rFonts w:ascii="Garamond" w:hAnsi="Garamond" w:cs="Arial"/>
          <w:color w:val="000000"/>
          <w:shd w:val="clear" w:color="auto" w:fill="FFFFFF"/>
        </w:rPr>
      </w:pPr>
      <w:r w:rsidRPr="0095587C">
        <w:rPr>
          <w:rFonts w:ascii="Garamond" w:hAnsi="Garamond" w:cs="Calibri Light"/>
          <w:color w:val="000000"/>
        </w:rPr>
        <w:t xml:space="preserve">In the UK only 2% of the overall heating demand is supplied by </w:t>
      </w:r>
      <w:r w:rsidR="00A92F8D">
        <w:rPr>
          <w:rFonts w:ascii="Garamond" w:hAnsi="Garamond" w:cs="Calibri Light"/>
          <w:color w:val="000000"/>
        </w:rPr>
        <w:t xml:space="preserve">district </w:t>
      </w:r>
      <w:r w:rsidRPr="0095587C">
        <w:rPr>
          <w:rFonts w:ascii="Garamond" w:hAnsi="Garamond" w:cs="Calibri Light"/>
          <w:color w:val="000000"/>
        </w:rPr>
        <w:t xml:space="preserve">heat networks (GOV.UK, 2018c), London is above average with 6% of its energy demand supplied by local networks (GLA, 2018). By </w:t>
      </w:r>
      <w:r w:rsidR="004E6BDB" w:rsidRPr="0095587C">
        <w:rPr>
          <w:rFonts w:ascii="Garamond" w:hAnsi="Garamond" w:cs="Calibri Light"/>
          <w:color w:val="000000"/>
        </w:rPr>
        <w:t>2025,</w:t>
      </w:r>
      <w:r w:rsidRPr="0095587C">
        <w:rPr>
          <w:rFonts w:ascii="Garamond" w:hAnsi="Garamond" w:cs="Calibri Light"/>
          <w:color w:val="000000"/>
        </w:rPr>
        <w:t xml:space="preserve"> it is expected that 25% </w:t>
      </w:r>
      <w:r w:rsidRPr="0095587C">
        <w:rPr>
          <w:rFonts w:ascii="Garamond" w:hAnsi="Garamond" w:cs="Arial"/>
          <w:color w:val="000000"/>
          <w:shd w:val="clear" w:color="auto" w:fill="FFFFFF"/>
        </w:rPr>
        <w:t xml:space="preserve">of the heat and power used in London will be generated </w:t>
      </w:r>
      <w:r w:rsidR="004E6BDB">
        <w:rPr>
          <w:rFonts w:ascii="Garamond" w:hAnsi="Garamond" w:cs="Arial"/>
          <w:color w:val="000000"/>
          <w:shd w:val="clear" w:color="auto" w:fill="FFFFFF"/>
        </w:rPr>
        <w:t>via</w:t>
      </w:r>
      <w:r w:rsidRPr="0095587C">
        <w:rPr>
          <w:rFonts w:ascii="Garamond" w:hAnsi="Garamond" w:cs="Arial"/>
          <w:color w:val="000000"/>
          <w:shd w:val="clear" w:color="auto" w:fill="FFFFFF"/>
        </w:rPr>
        <w:t xml:space="preserve"> localised decentralised energy systems and DHNs connecting to zero carbon and waste energy sources are key to achieve this target (GLA, 2018). </w:t>
      </w:r>
    </w:p>
    <w:p w:rsidR="0042722A" w:rsidRDefault="0042722A" w:rsidP="0042722A">
      <w:pPr>
        <w:ind w:left="0" w:firstLine="360"/>
        <w:jc w:val="both"/>
        <w:rPr>
          <w:rFonts w:ascii="Garamond" w:hAnsi="Garamond" w:cs="Calibri Light"/>
          <w:color w:val="000000"/>
        </w:rPr>
      </w:pPr>
      <w:r w:rsidRPr="0095587C">
        <w:rPr>
          <w:rFonts w:ascii="Garamond" w:hAnsi="Garamond" w:cs="Calibri Light"/>
          <w:color w:val="000000"/>
        </w:rPr>
        <w:t>Currently most 3</w:t>
      </w:r>
      <w:r w:rsidRPr="0095587C">
        <w:rPr>
          <w:rFonts w:ascii="Garamond" w:hAnsi="Garamond" w:cs="Calibri Light"/>
          <w:color w:val="000000"/>
          <w:vertAlign w:val="superscript"/>
        </w:rPr>
        <w:t>rd</w:t>
      </w:r>
      <w:r w:rsidRPr="0095587C">
        <w:rPr>
          <w:rFonts w:ascii="Garamond" w:hAnsi="Garamond" w:cs="Calibri Light"/>
          <w:color w:val="000000"/>
        </w:rPr>
        <w:t xml:space="preserve"> and 4</w:t>
      </w:r>
      <w:r w:rsidRPr="0095587C">
        <w:rPr>
          <w:rFonts w:ascii="Garamond" w:hAnsi="Garamond" w:cs="Calibri Light"/>
          <w:color w:val="000000"/>
          <w:vertAlign w:val="superscript"/>
        </w:rPr>
        <w:t>th</w:t>
      </w:r>
      <w:r w:rsidRPr="0095587C">
        <w:rPr>
          <w:rFonts w:ascii="Garamond" w:hAnsi="Garamond" w:cs="Calibri Light"/>
          <w:color w:val="000000"/>
        </w:rPr>
        <w:t xml:space="preserve"> generation DHNs use </w:t>
      </w:r>
      <w:r>
        <w:rPr>
          <w:rFonts w:ascii="Garamond" w:hAnsi="Garamond" w:cs="Calibri Light"/>
          <w:color w:val="000000"/>
        </w:rPr>
        <w:t xml:space="preserve">gas fired </w:t>
      </w:r>
      <w:r w:rsidRPr="0095587C">
        <w:rPr>
          <w:rFonts w:ascii="Garamond" w:hAnsi="Garamond" w:cs="Calibri Light"/>
          <w:color w:val="000000"/>
        </w:rPr>
        <w:t xml:space="preserve">combustion-based </w:t>
      </w:r>
      <w:r w:rsidR="009148D6">
        <w:rPr>
          <w:rFonts w:ascii="Garamond" w:hAnsi="Garamond" w:cs="Calibri Light"/>
          <w:color w:val="000000"/>
        </w:rPr>
        <w:t>CHP</w:t>
      </w:r>
      <w:r w:rsidRPr="0095587C">
        <w:rPr>
          <w:rFonts w:ascii="Garamond" w:hAnsi="Garamond" w:cs="Calibri Light"/>
          <w:color w:val="000000"/>
        </w:rPr>
        <w:t xml:space="preserve"> systems whereby reciprocating engine</w:t>
      </w:r>
      <w:r>
        <w:rPr>
          <w:rFonts w:ascii="Garamond" w:hAnsi="Garamond" w:cs="Calibri Light"/>
          <w:color w:val="000000"/>
        </w:rPr>
        <w:t>s</w:t>
      </w:r>
      <w:r w:rsidRPr="0095587C">
        <w:rPr>
          <w:rFonts w:ascii="Garamond" w:hAnsi="Garamond" w:cs="Calibri Light"/>
          <w:color w:val="000000"/>
        </w:rPr>
        <w:t xml:space="preserve"> burn fuel to turn generators </w:t>
      </w:r>
      <w:r w:rsidR="00B66A22">
        <w:rPr>
          <w:rFonts w:ascii="Garamond" w:hAnsi="Garamond" w:cs="Calibri Light"/>
          <w:color w:val="000000"/>
        </w:rPr>
        <w:t>and</w:t>
      </w:r>
      <w:r w:rsidRPr="0095587C">
        <w:rPr>
          <w:rFonts w:ascii="Garamond" w:hAnsi="Garamond" w:cs="Calibri Light"/>
          <w:color w:val="000000"/>
        </w:rPr>
        <w:t xml:space="preserve"> produce electricity, heat exchanger</w:t>
      </w:r>
      <w:r>
        <w:rPr>
          <w:rFonts w:ascii="Garamond" w:hAnsi="Garamond" w:cs="Calibri Light"/>
          <w:color w:val="000000"/>
        </w:rPr>
        <w:t>s</w:t>
      </w:r>
      <w:r w:rsidRPr="0095587C">
        <w:rPr>
          <w:rFonts w:ascii="Garamond" w:hAnsi="Garamond" w:cs="Calibri Light"/>
          <w:color w:val="000000"/>
        </w:rPr>
        <w:t xml:space="preserve"> then recover heat from the engine and deliver</w:t>
      </w:r>
      <w:r>
        <w:rPr>
          <w:rFonts w:ascii="Garamond" w:hAnsi="Garamond" w:cs="Calibri Light"/>
          <w:color w:val="000000"/>
        </w:rPr>
        <w:t xml:space="preserve"> </w:t>
      </w:r>
      <w:r w:rsidRPr="0095587C">
        <w:rPr>
          <w:rFonts w:ascii="Garamond" w:hAnsi="Garamond" w:cs="Calibri Light"/>
          <w:color w:val="000000"/>
        </w:rPr>
        <w:t xml:space="preserve">it to the DHN. </w:t>
      </w:r>
      <w:r w:rsidR="005F0E5F">
        <w:rPr>
          <w:rFonts w:ascii="Garamond" w:hAnsi="Garamond" w:cs="Calibri Light"/>
          <w:color w:val="000000"/>
        </w:rPr>
        <w:t xml:space="preserve">The advantage of CHP systems is that </w:t>
      </w:r>
      <w:r w:rsidR="005F0E5F">
        <w:rPr>
          <w:rFonts w:ascii="Garamond" w:hAnsi="Garamond"/>
          <w:color w:val="000000"/>
          <w:shd w:val="clear" w:color="auto" w:fill="FFFFFF"/>
        </w:rPr>
        <w:t>b</w:t>
      </w:r>
      <w:r w:rsidR="005F0E5F" w:rsidRPr="0095587C">
        <w:rPr>
          <w:rFonts w:ascii="Garamond" w:hAnsi="Garamond"/>
          <w:color w:val="000000"/>
          <w:shd w:val="clear" w:color="auto" w:fill="FFFFFF"/>
        </w:rPr>
        <w:t>y capturing and using heat that would otherwise be wasted, and by avoiding distribution losses, CHP can achieve efficiencies of over 80%, compared to 50% for t</w:t>
      </w:r>
      <w:r w:rsidR="005F0E5F">
        <w:rPr>
          <w:rFonts w:ascii="Garamond" w:hAnsi="Garamond"/>
          <w:color w:val="000000"/>
          <w:shd w:val="clear" w:color="auto" w:fill="FFFFFF"/>
        </w:rPr>
        <w:t xml:space="preserve">raditional </w:t>
      </w:r>
      <w:r w:rsidR="005446DA">
        <w:rPr>
          <w:rFonts w:ascii="Garamond" w:hAnsi="Garamond"/>
          <w:color w:val="000000"/>
          <w:shd w:val="clear" w:color="auto" w:fill="FFFFFF"/>
        </w:rPr>
        <w:t xml:space="preserve">power generation </w:t>
      </w:r>
      <w:r w:rsidR="005F0E5F" w:rsidRPr="0095587C">
        <w:rPr>
          <w:rFonts w:ascii="Garamond" w:hAnsi="Garamond"/>
          <w:color w:val="000000"/>
          <w:shd w:val="clear" w:color="auto" w:fill="FFFFFF"/>
        </w:rPr>
        <w:t xml:space="preserve">technologies (i.e., conventional </w:t>
      </w:r>
      <w:r w:rsidR="005F0E5F">
        <w:rPr>
          <w:rFonts w:ascii="Garamond" w:hAnsi="Garamond"/>
          <w:color w:val="000000"/>
          <w:shd w:val="clear" w:color="auto" w:fill="FFFFFF"/>
        </w:rPr>
        <w:t xml:space="preserve">large power station </w:t>
      </w:r>
      <w:r w:rsidR="005F0E5F" w:rsidRPr="0095587C">
        <w:rPr>
          <w:rFonts w:ascii="Garamond" w:hAnsi="Garamond"/>
          <w:color w:val="000000"/>
          <w:shd w:val="clear" w:color="auto" w:fill="FFFFFF"/>
        </w:rPr>
        <w:t xml:space="preserve">electricity generation and an on-site boiler) (EPA, 2020). However, </w:t>
      </w:r>
      <w:r w:rsidR="005446DA">
        <w:rPr>
          <w:rFonts w:ascii="Garamond" w:hAnsi="Garamond"/>
          <w:color w:val="000000"/>
          <w:shd w:val="clear" w:color="auto" w:fill="FFFFFF"/>
        </w:rPr>
        <w:t xml:space="preserve">carbon savings from </w:t>
      </w:r>
      <w:r w:rsidR="005F0E5F" w:rsidRPr="0095587C">
        <w:rPr>
          <w:rFonts w:ascii="Garamond" w:hAnsi="Garamond" w:cs="Calibri Light"/>
          <w:color w:val="000000"/>
        </w:rPr>
        <w:t>CHP</w:t>
      </w:r>
      <w:r w:rsidR="005F0E5F">
        <w:rPr>
          <w:rFonts w:ascii="Garamond" w:hAnsi="Garamond" w:cs="Calibri Light"/>
        </w:rPr>
        <w:t xml:space="preserve"> systems </w:t>
      </w:r>
      <w:r w:rsidR="005446DA">
        <w:rPr>
          <w:rFonts w:ascii="Garamond" w:hAnsi="Garamond" w:cs="Calibri Light"/>
        </w:rPr>
        <w:t xml:space="preserve">have </w:t>
      </w:r>
      <w:r w:rsidR="00582744">
        <w:rPr>
          <w:rFonts w:ascii="Garamond" w:hAnsi="Garamond" w:cs="Calibri Light"/>
        </w:rPr>
        <w:t>significantly</w:t>
      </w:r>
      <w:r w:rsidR="005446DA">
        <w:rPr>
          <w:rFonts w:ascii="Garamond" w:hAnsi="Garamond" w:cs="Calibri Light"/>
        </w:rPr>
        <w:t xml:space="preserve"> declined as the electricity grid has decarbonized. CHP </w:t>
      </w:r>
      <w:r w:rsidR="005F0E5F">
        <w:rPr>
          <w:rFonts w:ascii="Garamond" w:hAnsi="Garamond" w:cs="Calibri Light"/>
        </w:rPr>
        <w:t xml:space="preserve">can </w:t>
      </w:r>
      <w:r w:rsidR="005446DA">
        <w:rPr>
          <w:rFonts w:ascii="Garamond" w:hAnsi="Garamond" w:cs="Calibri Light"/>
        </w:rPr>
        <w:t>also</w:t>
      </w:r>
      <w:r w:rsidR="005F0E5F">
        <w:rPr>
          <w:rFonts w:ascii="Garamond" w:hAnsi="Garamond" w:cs="Calibri Light"/>
        </w:rPr>
        <w:t xml:space="preserve"> have a major impact on air pollution as burning fuels generates oxides of Nitrogen (NOx) as well as smaller amounts of fine particulate matter (PM</w:t>
      </w:r>
      <w:r w:rsidR="005F0E5F" w:rsidRPr="00D10D02">
        <w:rPr>
          <w:rFonts w:ascii="Garamond" w:hAnsi="Garamond" w:cs="Calibri Light"/>
          <w:vertAlign w:val="subscript"/>
        </w:rPr>
        <w:t>10</w:t>
      </w:r>
      <w:r w:rsidR="005F0E5F">
        <w:rPr>
          <w:rFonts w:ascii="Garamond" w:hAnsi="Garamond" w:cs="Calibri Light"/>
        </w:rPr>
        <w:t xml:space="preserve"> and PM</w:t>
      </w:r>
      <w:r w:rsidR="005F0E5F" w:rsidRPr="00D10D02">
        <w:rPr>
          <w:rFonts w:ascii="Garamond" w:hAnsi="Garamond" w:cs="Calibri Light"/>
          <w:vertAlign w:val="subscript"/>
        </w:rPr>
        <w:t>2.5</w:t>
      </w:r>
      <w:r w:rsidR="005F0E5F">
        <w:rPr>
          <w:rFonts w:ascii="Garamond" w:hAnsi="Garamond" w:cs="Calibri Light"/>
        </w:rPr>
        <w:t>) (</w:t>
      </w:r>
      <w:r w:rsidR="005F0E5F" w:rsidRPr="0095587C">
        <w:rPr>
          <w:rFonts w:ascii="Garamond" w:hAnsi="Garamond" w:cs="Calibri Light"/>
          <w:color w:val="000000"/>
        </w:rPr>
        <w:t>Ricardo Energy &amp; Environment, 2018).</w:t>
      </w:r>
      <w:r w:rsidR="005F0E5F">
        <w:rPr>
          <w:rFonts w:ascii="Garamond" w:hAnsi="Garamond" w:cs="Calibri Light"/>
          <w:color w:val="000000"/>
        </w:rPr>
        <w:t xml:space="preserve"> </w:t>
      </w:r>
      <w:r w:rsidR="005F0E5F" w:rsidRPr="0047306D">
        <w:rPr>
          <w:rFonts w:ascii="Garamond" w:hAnsi="Garamond" w:cs="Calibri Light"/>
          <w:color w:val="000000"/>
        </w:rPr>
        <w:t>Converting</w:t>
      </w:r>
      <w:r w:rsidR="005F0E5F" w:rsidRPr="007420A3">
        <w:rPr>
          <w:rFonts w:ascii="Garamond" w:hAnsi="Garamond" w:cs="Calibri Light"/>
          <w:color w:val="FF0000"/>
        </w:rPr>
        <w:t xml:space="preserve"> </w:t>
      </w:r>
      <w:r w:rsidR="005F0E5F" w:rsidRPr="00907229">
        <w:rPr>
          <w:rFonts w:ascii="Garamond" w:hAnsi="Garamond" w:cs="Calibri Light"/>
          <w:color w:val="000000"/>
        </w:rPr>
        <w:t>3</w:t>
      </w:r>
      <w:r w:rsidR="005F0E5F" w:rsidRPr="00907229">
        <w:rPr>
          <w:rFonts w:ascii="Garamond" w:hAnsi="Garamond" w:cs="Calibri Light"/>
          <w:color w:val="000000"/>
          <w:vertAlign w:val="superscript"/>
        </w:rPr>
        <w:t>rd</w:t>
      </w:r>
      <w:r w:rsidR="005F0E5F" w:rsidRPr="00907229">
        <w:rPr>
          <w:rFonts w:ascii="Garamond" w:hAnsi="Garamond" w:cs="Calibri Light"/>
          <w:color w:val="000000"/>
        </w:rPr>
        <w:t xml:space="preserve"> and 4</w:t>
      </w:r>
      <w:r w:rsidR="005F0E5F" w:rsidRPr="00907229">
        <w:rPr>
          <w:rFonts w:ascii="Garamond" w:hAnsi="Garamond" w:cs="Calibri Light"/>
          <w:color w:val="000000"/>
          <w:vertAlign w:val="superscript"/>
        </w:rPr>
        <w:t>th</w:t>
      </w:r>
      <w:r w:rsidR="005F0E5F" w:rsidRPr="00907229">
        <w:rPr>
          <w:rFonts w:ascii="Garamond" w:hAnsi="Garamond" w:cs="Calibri Light"/>
          <w:color w:val="000000"/>
        </w:rPr>
        <w:t xml:space="preserve"> </w:t>
      </w:r>
      <w:r w:rsidR="005F0E5F">
        <w:rPr>
          <w:rFonts w:ascii="Garamond" w:hAnsi="Garamond" w:cs="Calibri Light"/>
          <w:color w:val="000000"/>
        </w:rPr>
        <w:t>generation</w:t>
      </w:r>
      <w:r w:rsidR="005F0E5F">
        <w:rPr>
          <w:rFonts w:ascii="Garamond" w:hAnsi="Garamond" w:cs="Calibri Light"/>
        </w:rPr>
        <w:t xml:space="preserve"> DHNs into low carbon 5</w:t>
      </w:r>
      <w:r w:rsidR="005F0E5F" w:rsidRPr="00907229">
        <w:rPr>
          <w:rFonts w:ascii="Garamond" w:hAnsi="Garamond" w:cs="Calibri Light"/>
          <w:vertAlign w:val="superscript"/>
        </w:rPr>
        <w:t>th</w:t>
      </w:r>
      <w:r w:rsidR="005F0E5F">
        <w:rPr>
          <w:rFonts w:ascii="Garamond" w:hAnsi="Garamond" w:cs="Calibri Light"/>
        </w:rPr>
        <w:t xml:space="preserve"> generation </w:t>
      </w:r>
      <w:r w:rsidR="007E462D">
        <w:rPr>
          <w:rFonts w:ascii="Garamond" w:hAnsi="Garamond" w:cs="Calibri Light"/>
        </w:rPr>
        <w:t>decentralized</w:t>
      </w:r>
      <w:r w:rsidR="005F0E5F">
        <w:rPr>
          <w:rFonts w:ascii="Garamond" w:hAnsi="Garamond" w:cs="Calibri Light"/>
        </w:rPr>
        <w:t xml:space="preserve"> energy networks is not practical due to the significantly different pipework architecture. However, ‘connecting’ 3</w:t>
      </w:r>
      <w:r w:rsidR="005F0E5F" w:rsidRPr="00B779FF">
        <w:rPr>
          <w:rFonts w:ascii="Garamond" w:hAnsi="Garamond" w:cs="Calibri Light"/>
          <w:vertAlign w:val="superscript"/>
        </w:rPr>
        <w:t>rd</w:t>
      </w:r>
      <w:r w:rsidR="005F0E5F">
        <w:rPr>
          <w:rFonts w:ascii="Garamond" w:hAnsi="Garamond" w:cs="Calibri Light"/>
        </w:rPr>
        <w:t xml:space="preserve"> and 4</w:t>
      </w:r>
      <w:r w:rsidR="005F0E5F" w:rsidRPr="00B779FF">
        <w:rPr>
          <w:rFonts w:ascii="Garamond" w:hAnsi="Garamond" w:cs="Calibri Light"/>
          <w:vertAlign w:val="superscript"/>
        </w:rPr>
        <w:t>th</w:t>
      </w:r>
      <w:r w:rsidR="005F0E5F">
        <w:rPr>
          <w:rFonts w:ascii="Garamond" w:hAnsi="Garamond" w:cs="Calibri Light"/>
        </w:rPr>
        <w:t xml:space="preserve"> generation DHN to a 5</w:t>
      </w:r>
      <w:r w:rsidR="005F0E5F" w:rsidRPr="00B779FF">
        <w:rPr>
          <w:rFonts w:ascii="Garamond" w:hAnsi="Garamond" w:cs="Calibri Light"/>
          <w:vertAlign w:val="superscript"/>
        </w:rPr>
        <w:t>th</w:t>
      </w:r>
      <w:r w:rsidR="005F0E5F">
        <w:rPr>
          <w:rFonts w:ascii="Garamond" w:hAnsi="Garamond" w:cs="Calibri Light"/>
        </w:rPr>
        <w:t xml:space="preserve"> generation scheme is entirely possible and can be achieved by </w:t>
      </w:r>
      <w:r w:rsidR="00FF261B">
        <w:rPr>
          <w:rFonts w:ascii="Garamond" w:hAnsi="Garamond" w:cs="Calibri Light"/>
        </w:rPr>
        <w:t xml:space="preserve">using a heat pump to upgrade/transfer heat from a </w:t>
      </w:r>
      <w:r w:rsidR="004B2A62">
        <w:rPr>
          <w:rFonts w:ascii="Garamond" w:hAnsi="Garamond" w:cs="Calibri Light"/>
        </w:rPr>
        <w:t>5DHC</w:t>
      </w:r>
      <w:r w:rsidR="00FF261B">
        <w:rPr>
          <w:rFonts w:ascii="Garamond" w:hAnsi="Garamond" w:cs="Calibri Light"/>
        </w:rPr>
        <w:t xml:space="preserve"> scheme into a </w:t>
      </w:r>
      <w:r w:rsidR="00AB0DFF">
        <w:rPr>
          <w:rFonts w:ascii="Garamond" w:hAnsi="Garamond" w:cs="Calibri Light"/>
        </w:rPr>
        <w:t>3</w:t>
      </w:r>
      <w:r w:rsidR="004B2A62">
        <w:rPr>
          <w:rFonts w:ascii="Garamond" w:hAnsi="Garamond" w:cs="Calibri Light"/>
        </w:rPr>
        <w:t>DH</w:t>
      </w:r>
      <w:r w:rsidR="00FF261B">
        <w:rPr>
          <w:rFonts w:ascii="Garamond" w:hAnsi="Garamond" w:cs="Calibri Light"/>
        </w:rPr>
        <w:t xml:space="preserve"> scheme. Marques et al. (2021) investigated connecting 3</w:t>
      </w:r>
      <w:r w:rsidR="00FF261B" w:rsidRPr="00FF261B">
        <w:rPr>
          <w:rFonts w:ascii="Garamond" w:hAnsi="Garamond" w:cs="Calibri Light"/>
          <w:vertAlign w:val="superscript"/>
        </w:rPr>
        <w:t>rd</w:t>
      </w:r>
      <w:r w:rsidR="00FF261B">
        <w:rPr>
          <w:rFonts w:ascii="Garamond" w:hAnsi="Garamond" w:cs="Calibri Light"/>
        </w:rPr>
        <w:t xml:space="preserve"> and 5</w:t>
      </w:r>
      <w:r w:rsidR="00FF261B" w:rsidRPr="00FF261B">
        <w:rPr>
          <w:rFonts w:ascii="Garamond" w:hAnsi="Garamond" w:cs="Calibri Light"/>
          <w:vertAlign w:val="superscript"/>
        </w:rPr>
        <w:t>th</w:t>
      </w:r>
      <w:r w:rsidR="00FF261B">
        <w:rPr>
          <w:rFonts w:ascii="Garamond" w:hAnsi="Garamond" w:cs="Calibri Light"/>
        </w:rPr>
        <w:t xml:space="preserve"> generation networks by replacing the existing CHP unit in the 3</w:t>
      </w:r>
      <w:r w:rsidR="005446DA">
        <w:rPr>
          <w:rFonts w:ascii="Garamond" w:hAnsi="Garamond" w:cs="Calibri Light"/>
        </w:rPr>
        <w:t>DH</w:t>
      </w:r>
      <w:r w:rsidR="00FF261B">
        <w:rPr>
          <w:rFonts w:ascii="Garamond" w:hAnsi="Garamond" w:cs="Calibri Light"/>
        </w:rPr>
        <w:t xml:space="preserve"> network with a heat pump connected to the </w:t>
      </w:r>
      <w:r w:rsidR="004B2A62">
        <w:rPr>
          <w:rFonts w:ascii="Garamond" w:hAnsi="Garamond" w:cs="Calibri Light"/>
        </w:rPr>
        <w:t>5DHC</w:t>
      </w:r>
      <w:r w:rsidR="00FF261B">
        <w:rPr>
          <w:rFonts w:ascii="Garamond" w:hAnsi="Garamond" w:cs="Calibri Light"/>
        </w:rPr>
        <w:t xml:space="preserve"> ambient loop. The results indicated </w:t>
      </w:r>
      <w:r w:rsidR="00FF261B">
        <w:rPr>
          <w:rFonts w:ascii="Garamond" w:hAnsi="Garamond" w:cs="Calibri"/>
          <w:color w:val="000000"/>
        </w:rPr>
        <w:t xml:space="preserve">a 90% and </w:t>
      </w:r>
      <w:r w:rsidR="00FF261B" w:rsidRPr="00625BEE">
        <w:rPr>
          <w:rFonts w:ascii="Garamond" w:hAnsi="Garamond" w:cs="Calibri"/>
          <w:color w:val="000000"/>
        </w:rPr>
        <w:t>42%</w:t>
      </w:r>
      <w:r w:rsidR="00FF261B">
        <w:rPr>
          <w:rFonts w:ascii="Garamond" w:hAnsi="Garamond" w:cs="Calibri"/>
          <w:color w:val="000000"/>
        </w:rPr>
        <w:t xml:space="preserve"> reduction on NOx and CO</w:t>
      </w:r>
      <w:r w:rsidR="00FF261B" w:rsidRPr="001D2C2C">
        <w:rPr>
          <w:rFonts w:ascii="Garamond" w:hAnsi="Garamond" w:cs="Calibri"/>
          <w:color w:val="000000"/>
          <w:vertAlign w:val="subscript"/>
        </w:rPr>
        <w:t>2</w:t>
      </w:r>
      <w:r w:rsidR="00FF261B">
        <w:rPr>
          <w:rFonts w:ascii="Garamond" w:hAnsi="Garamond" w:cs="Calibri"/>
          <w:color w:val="000000"/>
        </w:rPr>
        <w:t xml:space="preserve"> emissions respectively, in the integrated 3</w:t>
      </w:r>
      <w:r w:rsidR="00FF261B" w:rsidRPr="00FF261B">
        <w:rPr>
          <w:rFonts w:ascii="Garamond" w:hAnsi="Garamond" w:cs="Calibri"/>
          <w:color w:val="000000"/>
          <w:vertAlign w:val="superscript"/>
        </w:rPr>
        <w:t>rd</w:t>
      </w:r>
      <w:r w:rsidR="00FF261B">
        <w:rPr>
          <w:rFonts w:ascii="Garamond" w:hAnsi="Garamond" w:cs="Calibri"/>
          <w:color w:val="000000"/>
        </w:rPr>
        <w:t>/5</w:t>
      </w:r>
      <w:r w:rsidR="00FF261B" w:rsidRPr="00FF261B">
        <w:rPr>
          <w:rFonts w:ascii="Garamond" w:hAnsi="Garamond" w:cs="Calibri"/>
          <w:color w:val="000000"/>
          <w:vertAlign w:val="superscript"/>
        </w:rPr>
        <w:t>th</w:t>
      </w:r>
      <w:r w:rsidR="00FF261B">
        <w:rPr>
          <w:rFonts w:ascii="Garamond" w:hAnsi="Garamond" w:cs="Calibri"/>
          <w:color w:val="000000"/>
        </w:rPr>
        <w:t xml:space="preserve"> generation</w:t>
      </w:r>
      <w:r w:rsidR="00FF261B" w:rsidRPr="007B187E">
        <w:rPr>
          <w:rFonts w:ascii="Garamond" w:hAnsi="Garamond" w:cs="Calibri"/>
          <w:color w:val="000000"/>
        </w:rPr>
        <w:t xml:space="preserve"> </w:t>
      </w:r>
      <w:r w:rsidR="00FF261B" w:rsidRPr="006E16F0">
        <w:rPr>
          <w:rFonts w:ascii="Garamond" w:hAnsi="Garamond" w:cs="Calibri"/>
          <w:color w:val="000000"/>
        </w:rPr>
        <w:t>network</w:t>
      </w:r>
      <w:r w:rsidR="002241B4">
        <w:rPr>
          <w:rFonts w:ascii="Garamond" w:hAnsi="Garamond" w:cs="Calibri"/>
          <w:color w:val="000000"/>
        </w:rPr>
        <w:t xml:space="preserve"> compared to the original 3</w:t>
      </w:r>
      <w:r w:rsidR="00D4531B">
        <w:rPr>
          <w:rFonts w:ascii="Garamond" w:hAnsi="Garamond" w:cs="Calibri"/>
          <w:color w:val="000000"/>
        </w:rPr>
        <w:t>DH</w:t>
      </w:r>
      <w:r w:rsidR="002241B4">
        <w:rPr>
          <w:rFonts w:ascii="Garamond" w:hAnsi="Garamond" w:cs="Calibri"/>
          <w:color w:val="000000"/>
        </w:rPr>
        <w:t xml:space="preserve"> network</w:t>
      </w:r>
      <w:r w:rsidR="00FF261B">
        <w:rPr>
          <w:rFonts w:ascii="Garamond" w:hAnsi="Garamond" w:cs="Calibri"/>
          <w:color w:val="000000"/>
        </w:rPr>
        <w:t>.</w:t>
      </w:r>
    </w:p>
    <w:p w:rsidR="00020962" w:rsidRPr="008749B0" w:rsidRDefault="00CF167E" w:rsidP="00FD164F">
      <w:pPr>
        <w:ind w:left="0" w:firstLine="360"/>
        <w:jc w:val="both"/>
        <w:rPr>
          <w:rFonts w:ascii="Garamond" w:hAnsi="Garamond" w:cs="Calibri Light"/>
        </w:rPr>
      </w:pPr>
      <w:r>
        <w:rPr>
          <w:rFonts w:ascii="Garamond" w:hAnsi="Garamond" w:cs="Calibri Light"/>
        </w:rPr>
        <w:t xml:space="preserve">This paper investigates the opportunities and challenges for </w:t>
      </w:r>
      <w:r w:rsidR="00343942">
        <w:rPr>
          <w:rFonts w:ascii="Garamond" w:hAnsi="Garamond" w:cs="Calibri Light"/>
        </w:rPr>
        <w:t xml:space="preserve">developing </w:t>
      </w:r>
      <w:r w:rsidR="005446DA">
        <w:rPr>
          <w:rFonts w:ascii="Garamond" w:hAnsi="Garamond" w:cs="Calibri Light"/>
        </w:rPr>
        <w:t>s</w:t>
      </w:r>
      <w:r>
        <w:rPr>
          <w:rFonts w:ascii="Garamond" w:hAnsi="Garamond" w:cs="Calibri Light"/>
        </w:rPr>
        <w:t xml:space="preserve">mart local energy systems (SLES) in cities and towns through two case studies in two locations in the UK: London and Smethwick in the West Midlands. In </w:t>
      </w:r>
      <w:r w:rsidR="00582744">
        <w:rPr>
          <w:rFonts w:ascii="Garamond" w:hAnsi="Garamond" w:cs="Calibri Light"/>
        </w:rPr>
        <w:t>London,</w:t>
      </w:r>
      <w:r>
        <w:rPr>
          <w:rFonts w:ascii="Garamond" w:hAnsi="Garamond" w:cs="Calibri Light"/>
        </w:rPr>
        <w:t xml:space="preserve"> the </w:t>
      </w:r>
      <w:r w:rsidR="00A9131B">
        <w:rPr>
          <w:rFonts w:ascii="Garamond" w:hAnsi="Garamond" w:cs="Calibri Light"/>
        </w:rPr>
        <w:t xml:space="preserve">GreenSCIES </w:t>
      </w:r>
      <w:r>
        <w:rPr>
          <w:rFonts w:ascii="Garamond" w:hAnsi="Garamond" w:cs="Calibri Light"/>
        </w:rPr>
        <w:t>SLES consists of a 5</w:t>
      </w:r>
      <w:r w:rsidRPr="00CF167E">
        <w:rPr>
          <w:rFonts w:ascii="Garamond" w:hAnsi="Garamond" w:cs="Calibri Light"/>
          <w:vertAlign w:val="superscript"/>
        </w:rPr>
        <w:t>th</w:t>
      </w:r>
      <w:r>
        <w:rPr>
          <w:rFonts w:ascii="Garamond" w:hAnsi="Garamond" w:cs="Calibri Light"/>
        </w:rPr>
        <w:t xml:space="preserve"> generation ambient loop district heat network</w:t>
      </w:r>
      <w:r w:rsidR="00A9131B">
        <w:rPr>
          <w:rFonts w:ascii="Garamond" w:hAnsi="Garamond" w:cs="Calibri Light"/>
        </w:rPr>
        <w:t xml:space="preserve"> with heat recovery from a data centre</w:t>
      </w:r>
      <w:r w:rsidR="00AB332D">
        <w:rPr>
          <w:rFonts w:ascii="Garamond" w:hAnsi="Garamond" w:cs="Calibri Light"/>
        </w:rPr>
        <w:t xml:space="preserve"> </w:t>
      </w:r>
      <w:r w:rsidR="00A9131B">
        <w:rPr>
          <w:rFonts w:ascii="Garamond" w:hAnsi="Garamond" w:cs="Calibri Light"/>
        </w:rPr>
        <w:t>with inter</w:t>
      </w:r>
      <w:r w:rsidR="00915F01">
        <w:rPr>
          <w:rFonts w:ascii="Garamond" w:hAnsi="Garamond" w:cs="Calibri Light"/>
        </w:rPr>
        <w:t>-</w:t>
      </w:r>
      <w:r w:rsidR="00A9131B">
        <w:rPr>
          <w:rFonts w:ascii="Garamond" w:hAnsi="Garamond" w:cs="Calibri Light"/>
        </w:rPr>
        <w:t>se</w:t>
      </w:r>
      <w:r w:rsidR="00915F01">
        <w:rPr>
          <w:rFonts w:ascii="Garamond" w:hAnsi="Garamond" w:cs="Calibri Light"/>
        </w:rPr>
        <w:t>a</w:t>
      </w:r>
      <w:r w:rsidR="00A9131B">
        <w:rPr>
          <w:rFonts w:ascii="Garamond" w:hAnsi="Garamond" w:cs="Calibri Light"/>
        </w:rPr>
        <w:t xml:space="preserve">sonal storage in the London aquifer, solar PV generation and electric vehicles. </w:t>
      </w:r>
      <w:r w:rsidR="00343942">
        <w:rPr>
          <w:rFonts w:ascii="Garamond" w:hAnsi="Garamond" w:cs="Calibri Light"/>
        </w:rPr>
        <w:t xml:space="preserve">This </w:t>
      </w:r>
      <w:r w:rsidR="00BA2FD4">
        <w:rPr>
          <w:rFonts w:ascii="Garamond" w:hAnsi="Garamond" w:cs="Calibri Light"/>
        </w:rPr>
        <w:t>GreenSCIES</w:t>
      </w:r>
      <w:r w:rsidR="00A9131B">
        <w:rPr>
          <w:rFonts w:ascii="Garamond" w:hAnsi="Garamond" w:cs="Calibri Light"/>
        </w:rPr>
        <w:t xml:space="preserve"> concept was then applied to Smethwick to improve a proposed </w:t>
      </w:r>
      <w:r w:rsidR="00365A3D">
        <w:rPr>
          <w:rFonts w:ascii="Garamond" w:hAnsi="Garamond" w:cs="Calibri Light"/>
        </w:rPr>
        <w:t>3</w:t>
      </w:r>
      <w:r w:rsidR="00365A3D" w:rsidRPr="00365A3D">
        <w:rPr>
          <w:rFonts w:ascii="Garamond" w:hAnsi="Garamond" w:cs="Calibri Light"/>
          <w:vertAlign w:val="superscript"/>
        </w:rPr>
        <w:t>rd</w:t>
      </w:r>
      <w:r w:rsidR="00365A3D">
        <w:rPr>
          <w:rFonts w:ascii="Garamond" w:hAnsi="Garamond" w:cs="Calibri Light"/>
        </w:rPr>
        <w:t xml:space="preserve"> </w:t>
      </w:r>
      <w:r w:rsidR="00A9131B">
        <w:rPr>
          <w:rFonts w:ascii="Garamond" w:hAnsi="Garamond" w:cs="Calibri Light"/>
        </w:rPr>
        <w:t xml:space="preserve">generation DHN, which connects new developments with existing </w:t>
      </w:r>
      <w:r w:rsidR="00D4531B">
        <w:rPr>
          <w:rFonts w:ascii="Garamond" w:hAnsi="Garamond" w:cs="Calibri Light"/>
        </w:rPr>
        <w:t>local authority</w:t>
      </w:r>
      <w:r w:rsidR="00A9131B">
        <w:rPr>
          <w:rFonts w:ascii="Garamond" w:hAnsi="Garamond" w:cs="Calibri Light"/>
        </w:rPr>
        <w:t xml:space="preserve"> buildings. The original netw</w:t>
      </w:r>
      <w:r w:rsidR="00915F01">
        <w:rPr>
          <w:rFonts w:ascii="Garamond" w:hAnsi="Garamond" w:cs="Calibri Light"/>
        </w:rPr>
        <w:t>o</w:t>
      </w:r>
      <w:r w:rsidR="00A9131B">
        <w:rPr>
          <w:rFonts w:ascii="Garamond" w:hAnsi="Garamond" w:cs="Calibri Light"/>
        </w:rPr>
        <w:t xml:space="preserve">rk was </w:t>
      </w:r>
      <w:r w:rsidR="00D4531B">
        <w:rPr>
          <w:rFonts w:ascii="Garamond" w:hAnsi="Garamond" w:cs="Calibri Light"/>
        </w:rPr>
        <w:t xml:space="preserve">significantly </w:t>
      </w:r>
      <w:r w:rsidR="00915F01">
        <w:rPr>
          <w:rFonts w:ascii="Garamond" w:hAnsi="Garamond" w:cs="Calibri Light"/>
        </w:rPr>
        <w:t>expanded to recover waste heat from thermal processes in a local foundry, a hospital and a supermarket, supplying heat</w:t>
      </w:r>
      <w:r w:rsidR="00FB3CE9">
        <w:rPr>
          <w:rFonts w:ascii="Garamond" w:hAnsi="Garamond" w:cs="Calibri Light"/>
        </w:rPr>
        <w:t xml:space="preserve"> to domestic and non-domestic properties in the area. Inter-seasonal thermal storage in the Smethwick aquifer was also explored along with the opportunity for adding </w:t>
      </w:r>
      <w:r w:rsidR="00AB332D">
        <w:rPr>
          <w:rFonts w:ascii="Garamond" w:hAnsi="Garamond" w:cs="Calibri Light"/>
        </w:rPr>
        <w:t xml:space="preserve">electric </w:t>
      </w:r>
      <w:r w:rsidR="00FB3CE9">
        <w:rPr>
          <w:rFonts w:ascii="Garamond" w:hAnsi="Garamond" w:cs="Calibri Light"/>
        </w:rPr>
        <w:t>vehicle-charging points along the network route. The paper describes the techno-</w:t>
      </w:r>
      <w:r w:rsidR="00FB3CE9">
        <w:rPr>
          <w:rFonts w:ascii="Garamond" w:hAnsi="Garamond" w:cs="Calibri Light"/>
        </w:rPr>
        <w:lastRenderedPageBreak/>
        <w:t xml:space="preserve">economic models developed to </w:t>
      </w:r>
      <w:r w:rsidR="00652AEE">
        <w:rPr>
          <w:rFonts w:ascii="Garamond" w:hAnsi="Garamond" w:cs="Calibri Light"/>
        </w:rPr>
        <w:t>estimate</w:t>
      </w:r>
      <w:r w:rsidR="00FB3CE9">
        <w:rPr>
          <w:rFonts w:ascii="Garamond" w:hAnsi="Garamond" w:cs="Calibri Light"/>
        </w:rPr>
        <w:t xml:space="preserve"> the CO</w:t>
      </w:r>
      <w:r w:rsidR="00FB3CE9" w:rsidRPr="002B35D3">
        <w:rPr>
          <w:rFonts w:ascii="Garamond" w:hAnsi="Garamond" w:cs="Calibri Light"/>
          <w:vertAlign w:val="subscript"/>
        </w:rPr>
        <w:t>2</w:t>
      </w:r>
      <w:r w:rsidR="00FB3CE9">
        <w:rPr>
          <w:rFonts w:ascii="Garamond" w:hAnsi="Garamond" w:cs="Calibri Light"/>
        </w:rPr>
        <w:t xml:space="preserve"> </w:t>
      </w:r>
      <w:r w:rsidR="002B35D3">
        <w:rPr>
          <w:rFonts w:ascii="Garamond" w:hAnsi="Garamond" w:cs="Calibri Light"/>
        </w:rPr>
        <w:t>emissions</w:t>
      </w:r>
      <w:r w:rsidR="00FB3CE9">
        <w:rPr>
          <w:rFonts w:ascii="Garamond" w:hAnsi="Garamond" w:cs="Calibri Light"/>
        </w:rPr>
        <w:t xml:space="preserve">, operating surplus and CAPEX </w:t>
      </w:r>
      <w:r w:rsidR="00652AEE">
        <w:rPr>
          <w:rFonts w:ascii="Garamond" w:hAnsi="Garamond" w:cs="Calibri Light"/>
        </w:rPr>
        <w:t xml:space="preserve">of the Smethwick network </w:t>
      </w:r>
      <w:r w:rsidR="00FB3CE9">
        <w:rPr>
          <w:rFonts w:ascii="Garamond" w:hAnsi="Garamond" w:cs="Calibri Light"/>
        </w:rPr>
        <w:t xml:space="preserve">over </w:t>
      </w:r>
      <w:r w:rsidR="00652AEE">
        <w:rPr>
          <w:rFonts w:ascii="Garamond" w:hAnsi="Garamond" w:cs="Calibri Light"/>
        </w:rPr>
        <w:t xml:space="preserve">a </w:t>
      </w:r>
      <w:r w:rsidR="00FB3CE9">
        <w:rPr>
          <w:rFonts w:ascii="Garamond" w:hAnsi="Garamond" w:cs="Calibri Light"/>
        </w:rPr>
        <w:t>baseline scenario</w:t>
      </w:r>
      <w:r w:rsidR="00652AEE">
        <w:rPr>
          <w:rFonts w:ascii="Garamond" w:hAnsi="Garamond" w:cs="Calibri Light"/>
        </w:rPr>
        <w:t xml:space="preserve"> with gas boilers and air source heat pumps</w:t>
      </w:r>
      <w:r w:rsidR="00FB3CE9">
        <w:rPr>
          <w:rFonts w:ascii="Garamond" w:hAnsi="Garamond" w:cs="Calibri Light"/>
        </w:rPr>
        <w:t xml:space="preserve">. </w:t>
      </w:r>
    </w:p>
    <w:p w:rsidR="000A2185" w:rsidRPr="00407B60" w:rsidRDefault="000A2185" w:rsidP="000A2185">
      <w:pPr>
        <w:pStyle w:val="10Level1Heading"/>
      </w:pPr>
      <w:r>
        <w:t>5</w:t>
      </w:r>
      <w:r w:rsidRPr="004775DD">
        <w:rPr>
          <w:vertAlign w:val="superscript"/>
        </w:rPr>
        <w:t>th</w:t>
      </w:r>
      <w:r>
        <w:t xml:space="preserve"> generation energy network </w:t>
      </w:r>
      <w:r w:rsidR="00C77B23">
        <w:t xml:space="preserve">- greenscies </w:t>
      </w:r>
      <w:r>
        <w:t xml:space="preserve">concept </w:t>
      </w:r>
    </w:p>
    <w:p w:rsidR="000A2185" w:rsidRPr="00D36644" w:rsidRDefault="007E343A" w:rsidP="00C77B23">
      <w:pPr>
        <w:spacing w:after="60"/>
        <w:ind w:left="0" w:firstLine="426"/>
        <w:jc w:val="both"/>
        <w:rPr>
          <w:rFonts w:ascii="Garamond" w:hAnsi="Garamond"/>
        </w:rPr>
      </w:pPr>
      <w:r>
        <w:rPr>
          <w:rFonts w:ascii="Garamond" w:hAnsi="Garamond"/>
        </w:rPr>
        <w:t xml:space="preserve">The </w:t>
      </w:r>
      <w:r w:rsidR="000A2185">
        <w:rPr>
          <w:rFonts w:ascii="Garamond" w:hAnsi="Garamond"/>
        </w:rPr>
        <w:t>GreenSCIES 5</w:t>
      </w:r>
      <w:r w:rsidR="000A2185" w:rsidRPr="00D82CD3">
        <w:rPr>
          <w:rFonts w:ascii="Garamond" w:hAnsi="Garamond"/>
          <w:vertAlign w:val="superscript"/>
        </w:rPr>
        <w:t>th</w:t>
      </w:r>
      <w:r w:rsidR="000A2185">
        <w:rPr>
          <w:rFonts w:ascii="Garamond" w:hAnsi="Garamond"/>
        </w:rPr>
        <w:t xml:space="preserve"> generation Smart Local Energy System </w:t>
      </w:r>
      <w:r>
        <w:rPr>
          <w:rFonts w:ascii="Garamond" w:hAnsi="Garamond"/>
        </w:rPr>
        <w:t>concept is illustrated in Figure 1</w:t>
      </w:r>
      <w:r w:rsidR="00C77B23">
        <w:rPr>
          <w:rFonts w:ascii="Garamond" w:hAnsi="Garamond"/>
        </w:rPr>
        <w:t xml:space="preserve">. </w:t>
      </w:r>
      <w:r w:rsidR="000A2185">
        <w:rPr>
          <w:rFonts w:ascii="Garamond" w:hAnsi="Garamond"/>
        </w:rPr>
        <w:t>5</w:t>
      </w:r>
      <w:r w:rsidR="000A2185" w:rsidRPr="00323988">
        <w:rPr>
          <w:rFonts w:ascii="Garamond" w:hAnsi="Garamond"/>
          <w:vertAlign w:val="superscript"/>
        </w:rPr>
        <w:t>th</w:t>
      </w:r>
      <w:r w:rsidR="000A2185">
        <w:rPr>
          <w:rFonts w:ascii="Garamond" w:hAnsi="Garamond"/>
        </w:rPr>
        <w:t xml:space="preserve"> generation schemes require a balancing mechanism </w:t>
      </w:r>
      <w:r w:rsidR="00B26215">
        <w:rPr>
          <w:rFonts w:ascii="Garamond" w:hAnsi="Garamond"/>
        </w:rPr>
        <w:t xml:space="preserve">to keep the ambient loop stable </w:t>
      </w:r>
      <w:r w:rsidR="000A2185">
        <w:rPr>
          <w:rFonts w:ascii="Garamond" w:hAnsi="Garamond"/>
        </w:rPr>
        <w:t xml:space="preserve">e.g. to counteract high winter heat demands and in GreenSCIES this will be provided by </w:t>
      </w:r>
      <w:r w:rsidR="000A2185" w:rsidRPr="0047306D">
        <w:rPr>
          <w:rFonts w:ascii="Garamond" w:hAnsi="Garamond"/>
          <w:color w:val="000000"/>
        </w:rPr>
        <w:t>boreholes using aquifer water to provide inter-seasonal warm and cold thermal storage. The ambient loop will also allow interchange of heating and cooling between buildings, usually referred to as prosuming.</w:t>
      </w:r>
      <w:r w:rsidR="000A2185">
        <w:rPr>
          <w:rFonts w:ascii="Garamond" w:hAnsi="Garamond"/>
        </w:rPr>
        <w:t xml:space="preserve"> The greater sharing (prosuming) between heating and cooling demands in buildings, the greater the economic and carbon</w:t>
      </w:r>
      <w:r w:rsidR="00B26215">
        <w:rPr>
          <w:rFonts w:ascii="Garamond" w:hAnsi="Garamond"/>
        </w:rPr>
        <w:t>om</w:t>
      </w:r>
      <w:r w:rsidR="000A2185">
        <w:rPr>
          <w:rFonts w:ascii="Garamond" w:hAnsi="Garamond"/>
        </w:rPr>
        <w:t xml:space="preserve">ic savings. Local power </w:t>
      </w:r>
      <w:r w:rsidR="00C77B23">
        <w:rPr>
          <w:rFonts w:ascii="Garamond" w:hAnsi="Garamond"/>
        </w:rPr>
        <w:t xml:space="preserve">is </w:t>
      </w:r>
      <w:r w:rsidR="000A2185">
        <w:rPr>
          <w:rFonts w:ascii="Garamond" w:hAnsi="Garamond"/>
        </w:rPr>
        <w:t xml:space="preserve">generated with solar photovoltaics (PV) and </w:t>
      </w:r>
      <w:r w:rsidR="00C77B23">
        <w:rPr>
          <w:rFonts w:ascii="Garamond" w:hAnsi="Garamond"/>
        </w:rPr>
        <w:t>electric vehicles provide low carbon mobility</w:t>
      </w:r>
      <w:r w:rsidR="000A2185">
        <w:rPr>
          <w:rFonts w:ascii="Garamond" w:hAnsi="Garamond"/>
        </w:rPr>
        <w:t>. The system has several decentralised energy centres across the network that function as a ‘micro-grid’ flexing the heat pumps, PV and electric vehicle batteries in relation to the electricity grid demand and tariffs.</w:t>
      </w:r>
      <w:r w:rsidR="000A2185" w:rsidRPr="003F11E3">
        <w:rPr>
          <w:rFonts w:ascii="Garamond" w:hAnsi="Garamond"/>
        </w:rPr>
        <w:t xml:space="preserve"> </w:t>
      </w:r>
    </w:p>
    <w:p w:rsidR="000A2185" w:rsidRPr="00D85487" w:rsidRDefault="003640DA" w:rsidP="000A2185">
      <w:pPr>
        <w:pStyle w:val="ListParagraph"/>
        <w:spacing w:before="12"/>
        <w:jc w:val="center"/>
        <w:rPr>
          <w:rFonts w:ascii="Gill Sans MT" w:hAnsi="Gill Sans MT"/>
          <w:b/>
          <w:color w:val="0070C0"/>
          <w:sz w:val="22"/>
          <w:szCs w:val="22"/>
        </w:rPr>
      </w:pPr>
      <w:r w:rsidRPr="0047306D">
        <w:rPr>
          <w:rFonts w:ascii="Gill Sans MT" w:hAnsi="Gill Sans MT"/>
          <w:b/>
          <w:noProof/>
          <w:color w:val="0070C0"/>
          <w:sz w:val="22"/>
          <w:szCs w:val="22"/>
        </w:rPr>
        <w:drawing>
          <wp:inline distT="0" distB="0" distL="0" distR="0" wp14:editId="47520D46">
            <wp:extent cx="5252115" cy="3001813"/>
            <wp:effectExtent l="0" t="0" r="5715" b="825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5070" cy="3003502"/>
                    </a:xfrm>
                    <a:prstGeom prst="rect">
                      <a:avLst/>
                    </a:prstGeom>
                    <a:noFill/>
                    <a:ln>
                      <a:noFill/>
                    </a:ln>
                  </pic:spPr>
                </pic:pic>
              </a:graphicData>
            </a:graphic>
          </wp:inline>
        </w:drawing>
      </w:r>
    </w:p>
    <w:p w:rsidR="000A2185" w:rsidRPr="003F11E3" w:rsidRDefault="000A2185" w:rsidP="000A2185">
      <w:pPr>
        <w:pStyle w:val="ListParagraph"/>
        <w:spacing w:before="12"/>
        <w:jc w:val="center"/>
        <w:rPr>
          <w:rFonts w:ascii="Garamond" w:hAnsi="Garamond"/>
          <w:bCs/>
          <w:color w:val="000000"/>
          <w:sz w:val="22"/>
          <w:szCs w:val="22"/>
        </w:rPr>
      </w:pPr>
      <w:r w:rsidRPr="009C562C">
        <w:rPr>
          <w:rFonts w:ascii="Garamond" w:hAnsi="Garamond"/>
          <w:b/>
          <w:color w:val="000000"/>
          <w:sz w:val="22"/>
          <w:szCs w:val="22"/>
        </w:rPr>
        <w:t xml:space="preserve">Figure </w:t>
      </w:r>
      <w:r>
        <w:rPr>
          <w:rFonts w:ascii="Garamond" w:hAnsi="Garamond"/>
          <w:b/>
          <w:color w:val="000000"/>
          <w:sz w:val="22"/>
          <w:szCs w:val="22"/>
        </w:rPr>
        <w:t>1</w:t>
      </w:r>
      <w:r w:rsidRPr="009C562C">
        <w:rPr>
          <w:rFonts w:ascii="Garamond" w:hAnsi="Garamond"/>
          <w:b/>
          <w:color w:val="000000"/>
          <w:sz w:val="22"/>
          <w:szCs w:val="22"/>
        </w:rPr>
        <w:t>:</w:t>
      </w:r>
      <w:r w:rsidRPr="009C562C">
        <w:rPr>
          <w:rFonts w:ascii="Garamond" w:hAnsi="Garamond"/>
          <w:bCs/>
          <w:color w:val="000000"/>
          <w:sz w:val="22"/>
          <w:szCs w:val="22"/>
        </w:rPr>
        <w:t xml:space="preserve"> GreenSCIES concept design</w:t>
      </w:r>
      <w:r w:rsidR="003640DA">
        <w:rPr>
          <w:rFonts w:ascii="Garamond" w:hAnsi="Garamond"/>
          <w:bCs/>
          <w:color w:val="000000"/>
          <w:sz w:val="22"/>
          <w:szCs w:val="22"/>
        </w:rPr>
        <w:t xml:space="preserve"> (Marques et al. 2021)</w:t>
      </w:r>
    </w:p>
    <w:p w:rsidR="00F55C70" w:rsidRPr="00AB332D" w:rsidRDefault="00C77B23" w:rsidP="00AB332D">
      <w:pPr>
        <w:pStyle w:val="11Level2Heading"/>
      </w:pPr>
      <w:r w:rsidRPr="00AB332D">
        <w:t>G</w:t>
      </w:r>
      <w:r w:rsidR="00AB332D">
        <w:t>r</w:t>
      </w:r>
      <w:r w:rsidRPr="00AB332D">
        <w:t xml:space="preserve">eenSCIES concept applied </w:t>
      </w:r>
      <w:r w:rsidR="001554B9" w:rsidRPr="00AB332D">
        <w:t xml:space="preserve">in </w:t>
      </w:r>
      <w:r w:rsidRPr="00AB332D">
        <w:t>London</w:t>
      </w:r>
      <w:r w:rsidR="001554B9" w:rsidRPr="00AB332D">
        <w:t xml:space="preserve"> </w:t>
      </w:r>
    </w:p>
    <w:p w:rsidR="00AA1D37" w:rsidRDefault="00F83BC6" w:rsidP="00DC799A">
      <w:pPr>
        <w:pStyle w:val="06BodyMaintext"/>
        <w:rPr>
          <w:color w:val="FF0000"/>
        </w:rPr>
      </w:pPr>
      <w:r w:rsidRPr="00AB332D">
        <w:t xml:space="preserve">Extensive heat mapping was carried out </w:t>
      </w:r>
      <w:r w:rsidR="008F3708" w:rsidRPr="00AB332D">
        <w:t>to assess the heating and cooling density across a wide area in the London borough of Islington</w:t>
      </w:r>
      <w:r w:rsidR="00EE6FCA" w:rsidRPr="00AB332D">
        <w:t xml:space="preserve"> (LBI)</w:t>
      </w:r>
      <w:r w:rsidR="008F3708" w:rsidRPr="00AB332D">
        <w:t>.</w:t>
      </w:r>
      <w:r w:rsidR="008F3708" w:rsidRPr="005835DB">
        <w:rPr>
          <w:color w:val="FF0000"/>
        </w:rPr>
        <w:t xml:space="preserve"> </w:t>
      </w:r>
      <w:r w:rsidR="008F3708" w:rsidRPr="00AB332D">
        <w:t>This identified the local areas with</w:t>
      </w:r>
      <w:r w:rsidR="00DE4CE9" w:rsidRPr="00AB332D">
        <w:t xml:space="preserve"> the</w:t>
      </w:r>
      <w:r w:rsidR="008F3708" w:rsidRPr="00AB332D">
        <w:t xml:space="preserve"> large heat sources such as data centres and the London Underground ventilation shafts</w:t>
      </w:r>
      <w:r w:rsidR="00DE4CE9" w:rsidRPr="00AB332D">
        <w:t>, which</w:t>
      </w:r>
      <w:r w:rsidR="00AA1D37">
        <w:t xml:space="preserve"> are</w:t>
      </w:r>
      <w:r w:rsidR="00DE4CE9" w:rsidRPr="00AB332D">
        <w:t xml:space="preserve"> </w:t>
      </w:r>
      <w:r w:rsidR="00AB332D">
        <w:t>low grade heat sources</w:t>
      </w:r>
      <w:r w:rsidR="008F3708" w:rsidRPr="00AB332D">
        <w:t xml:space="preserve"> promising for a </w:t>
      </w:r>
      <w:r w:rsidR="004B2A62">
        <w:t>5DHC</w:t>
      </w:r>
      <w:r w:rsidR="008F3708" w:rsidRPr="00AB332D">
        <w:t xml:space="preserve"> scheme</w:t>
      </w:r>
      <w:r w:rsidR="00894AC8" w:rsidRPr="00AB332D">
        <w:t>.</w:t>
      </w:r>
      <w:r w:rsidR="00894AC8" w:rsidRPr="005835DB">
        <w:rPr>
          <w:color w:val="FF0000"/>
        </w:rPr>
        <w:t xml:space="preserve"> </w:t>
      </w:r>
    </w:p>
    <w:p w:rsidR="00AB332D" w:rsidRPr="00AA1D37" w:rsidRDefault="00AA1D37" w:rsidP="00DC799A">
      <w:pPr>
        <w:pStyle w:val="06BodyMaintext"/>
        <w:rPr>
          <w:b/>
        </w:rPr>
      </w:pPr>
      <w:r w:rsidRPr="00AB332D">
        <w:rPr>
          <w:b/>
          <w:szCs w:val="22"/>
        </w:rPr>
        <w:t>Data centres.</w:t>
      </w:r>
      <w:r w:rsidRPr="00AB332D">
        <w:rPr>
          <w:b/>
        </w:rPr>
        <w:t xml:space="preserve"> </w:t>
      </w:r>
      <w:r w:rsidRPr="00AB332D">
        <w:t xml:space="preserve">At </w:t>
      </w:r>
      <w:r>
        <w:t xml:space="preserve">least 1.5% of the electricity demand in the UK comes from data centres (Davies et al., 2016). </w:t>
      </w:r>
      <w:r w:rsidRPr="00AB332D">
        <w:rPr>
          <w:rFonts w:cs="Calibri"/>
          <w:szCs w:val="22"/>
        </w:rPr>
        <w:t xml:space="preserve">Heat recovery from this source </w:t>
      </w:r>
      <w:r w:rsidR="00D92C9F">
        <w:rPr>
          <w:rFonts w:cs="Calibri"/>
          <w:szCs w:val="22"/>
        </w:rPr>
        <w:t xml:space="preserve">is </w:t>
      </w:r>
      <w:r w:rsidRPr="00AB332D">
        <w:rPr>
          <w:rFonts w:cs="Calibri"/>
          <w:szCs w:val="22"/>
        </w:rPr>
        <w:t xml:space="preserve">particularly feasible due to their constant load throughout the year. </w:t>
      </w:r>
      <w:r w:rsidR="00DE4CE9" w:rsidRPr="00AB332D">
        <w:t>A scheme centered around a data centre was</w:t>
      </w:r>
      <w:r w:rsidR="00EE6FCA" w:rsidRPr="00AB332D">
        <w:t xml:space="preserve"> then</w:t>
      </w:r>
      <w:r w:rsidR="00DE4CE9" w:rsidRPr="00AB332D">
        <w:t xml:space="preserve"> taken forward to detailed design</w:t>
      </w:r>
      <w:r w:rsidR="004F13F0" w:rsidRPr="00AB332D">
        <w:t>, connecting</w:t>
      </w:r>
      <w:r w:rsidR="00DE4CE9" w:rsidRPr="00AB332D">
        <w:t xml:space="preserve"> </w:t>
      </w:r>
      <w:r w:rsidR="00126974" w:rsidRPr="00AB332D">
        <w:t xml:space="preserve">402 domestic properties and 8 businesses. </w:t>
      </w:r>
      <w:r w:rsidR="00AB332D" w:rsidRPr="00AB332D">
        <w:t>The key ‘anchor loads’ are housing estates managed by LBI, currently supplied by centralized gas boilers, which are easy to connect to a heat network. The scheme also connects a university campus, a library and a theatre.</w:t>
      </w:r>
    </w:p>
    <w:p w:rsidR="00915F01" w:rsidRPr="00DC799A" w:rsidRDefault="009B57D4" w:rsidP="00FB4BAE">
      <w:pPr>
        <w:pStyle w:val="06BodyMaintext"/>
        <w:ind w:firstLine="448"/>
      </w:pPr>
      <w:r w:rsidRPr="00DC799A">
        <w:t>The total heat demand of the network is 10</w:t>
      </w:r>
      <w:proofErr w:type="gramStart"/>
      <w:r w:rsidRPr="00DC799A">
        <w:t>,5</w:t>
      </w:r>
      <w:proofErr w:type="gramEnd"/>
      <w:r w:rsidRPr="00DC799A">
        <w:t xml:space="preserve"> </w:t>
      </w:r>
      <w:r w:rsidR="00CD5207">
        <w:t>G</w:t>
      </w:r>
      <w:r w:rsidRPr="00DC799A">
        <w:t>Wh [358,580 thm] and the cooling demand is 9,</w:t>
      </w:r>
      <w:r w:rsidR="00CD5207">
        <w:t>3</w:t>
      </w:r>
      <w:r w:rsidRPr="00DC799A">
        <w:t xml:space="preserve"> </w:t>
      </w:r>
      <w:r w:rsidR="00CD5207">
        <w:t>G</w:t>
      </w:r>
      <w:r w:rsidRPr="00DC799A">
        <w:t xml:space="preserve">Wh [315,758 thm], with the data centre accounting for 95% of the total cooling demand. </w:t>
      </w:r>
      <w:r w:rsidR="00D92C9F" w:rsidRPr="00DC799A">
        <w:t>The scheme connect</w:t>
      </w:r>
      <w:r w:rsidR="00BE1FE2" w:rsidRPr="00DC799A">
        <w:t>s six energy centres, fitted with individual heat pumps</w:t>
      </w:r>
      <w:r w:rsidR="00430269" w:rsidRPr="00DC799A">
        <w:t xml:space="preserve"> (600 to 2600 kW</w:t>
      </w:r>
      <w:r w:rsidR="00430269" w:rsidRPr="00DC799A">
        <w:rPr>
          <w:vertAlign w:val="subscript"/>
        </w:rPr>
        <w:t>th</w:t>
      </w:r>
      <w:r w:rsidR="00430269" w:rsidRPr="00DC799A">
        <w:t>)</w:t>
      </w:r>
      <w:r w:rsidR="00BE1FE2" w:rsidRPr="00DC799A">
        <w:t>,</w:t>
      </w:r>
      <w:r w:rsidR="00430269" w:rsidRPr="00DC799A">
        <w:t xml:space="preserve"> thermal storage</w:t>
      </w:r>
      <w:r w:rsidR="004B2A62">
        <w:t xml:space="preserve"> (80 to 210 m</w:t>
      </w:r>
      <w:r w:rsidR="004B2A62" w:rsidRPr="004B2A62">
        <w:rPr>
          <w:vertAlign w:val="superscript"/>
        </w:rPr>
        <w:t>3</w:t>
      </w:r>
      <w:r w:rsidR="004B2A62">
        <w:t>) [17598 to 46194 gal]</w:t>
      </w:r>
      <w:r w:rsidR="00430269" w:rsidRPr="00DC799A">
        <w:t>,</w:t>
      </w:r>
      <w:r w:rsidR="00BE1FE2" w:rsidRPr="00DC799A">
        <w:t xml:space="preserve"> </w:t>
      </w:r>
      <w:r w:rsidR="00430269" w:rsidRPr="00DC799A">
        <w:t>610 kWpk</w:t>
      </w:r>
      <w:r w:rsidR="00DC799A" w:rsidRPr="00DC799A">
        <w:t xml:space="preserve"> </w:t>
      </w:r>
      <w:r w:rsidR="00430269" w:rsidRPr="00DC799A">
        <w:t xml:space="preserve">solar PV generation and 49 electric vehicle chargers. Overall, the GreenSCIES-Islington scheme provides an internal rate of </w:t>
      </w:r>
      <w:r w:rsidR="0047319A" w:rsidRPr="00DC799A">
        <w:t xml:space="preserve">return over a 40-year period </w:t>
      </w:r>
      <w:r w:rsidR="004B2A62">
        <w:t>of</w:t>
      </w:r>
      <w:r w:rsidR="0047319A" w:rsidRPr="00DC799A">
        <w:t xml:space="preserve"> 10% (with 50% grant funding) and the CO</w:t>
      </w:r>
      <w:r w:rsidR="0047319A" w:rsidRPr="00DC799A">
        <w:rPr>
          <w:vertAlign w:val="subscript"/>
        </w:rPr>
        <w:t>2</w:t>
      </w:r>
      <w:r w:rsidR="0047319A" w:rsidRPr="00DC799A">
        <w:t xml:space="preserve"> savings are 5000 </w:t>
      </w:r>
      <w:r w:rsidR="007E462D" w:rsidRPr="00DC799A">
        <w:t>Ton</w:t>
      </w:r>
      <w:r w:rsidR="007E462D">
        <w:t>n</w:t>
      </w:r>
      <w:r w:rsidR="007E462D" w:rsidRPr="00DC799A">
        <w:t>es</w:t>
      </w:r>
      <w:r w:rsidR="0047319A" w:rsidRPr="00DC799A">
        <w:t xml:space="preserve"> per year, a 80% reduction over a base case with gas boilers</w:t>
      </w:r>
      <w:r w:rsidR="00DC799A" w:rsidRPr="00DC799A">
        <w:t>,</w:t>
      </w:r>
      <w:r w:rsidR="0047319A" w:rsidRPr="00DC799A">
        <w:t xml:space="preserve"> chillers and petrol/diesel vehicles</w:t>
      </w:r>
      <w:r w:rsidR="00C96A53">
        <w:t xml:space="preserve"> (Revesz et al. 2021)</w:t>
      </w:r>
      <w:r w:rsidR="0047319A" w:rsidRPr="00DC799A">
        <w:t>.</w:t>
      </w:r>
    </w:p>
    <w:p w:rsidR="00785819" w:rsidRPr="00AF2D6D" w:rsidRDefault="00894AC8" w:rsidP="00E64DB6">
      <w:pPr>
        <w:pStyle w:val="10Level1Heading"/>
        <w:rPr>
          <w:rFonts w:ascii="Garamond" w:hAnsi="Garamond"/>
        </w:rPr>
      </w:pPr>
      <w:r>
        <w:lastRenderedPageBreak/>
        <w:t>4</w:t>
      </w:r>
      <w:r w:rsidRPr="00894AC8">
        <w:rPr>
          <w:vertAlign w:val="superscript"/>
        </w:rPr>
        <w:t>th</w:t>
      </w:r>
      <w:r>
        <w:t xml:space="preserve"> Generation Smethwick network</w:t>
      </w:r>
    </w:p>
    <w:p w:rsidR="004845A8" w:rsidRDefault="005835DB" w:rsidP="00DC799A">
      <w:pPr>
        <w:pStyle w:val="06BodyMaintext"/>
      </w:pPr>
      <w:r>
        <w:t>The second case study was</w:t>
      </w:r>
      <w:r w:rsidR="006D2346">
        <w:t xml:space="preserve"> </w:t>
      </w:r>
      <w:r>
        <w:t>in Smethwick</w:t>
      </w:r>
      <w:r w:rsidR="00143460">
        <w:t>,</w:t>
      </w:r>
      <w:r>
        <w:t xml:space="preserve"> a town in the West Midlands</w:t>
      </w:r>
      <w:r w:rsidR="006D2346">
        <w:t>. T</w:t>
      </w:r>
      <w:r>
        <w:t>his area was the focus o</w:t>
      </w:r>
      <w:r w:rsidR="005455EE">
        <w:t>f</w:t>
      </w:r>
      <w:r>
        <w:t xml:space="preserve"> a feasibility study in 2018, w</w:t>
      </w:r>
      <w:r w:rsidR="00B32A81">
        <w:t>h</w:t>
      </w:r>
      <w:r>
        <w:t xml:space="preserve">ich investigated connecting </w:t>
      </w:r>
      <w:r w:rsidR="00A82DB9">
        <w:t xml:space="preserve">674 new homes and </w:t>
      </w:r>
      <w:r w:rsidR="006D2346">
        <w:t>3</w:t>
      </w:r>
      <w:r w:rsidR="00A82DB9">
        <w:t xml:space="preserve"> existing tower blocks with 270 dwellings. The </w:t>
      </w:r>
      <w:r w:rsidR="00F405EF">
        <w:t xml:space="preserve">total heat demand was approximately </w:t>
      </w:r>
      <w:r w:rsidR="00132844">
        <w:t xml:space="preserve">6,772 </w:t>
      </w:r>
      <w:r w:rsidR="00F405EF">
        <w:t>MWh (</w:t>
      </w:r>
      <w:r w:rsidR="00132844">
        <w:t>231,069</w:t>
      </w:r>
      <w:r w:rsidR="00B32A81">
        <w:t xml:space="preserve"> thm)</w:t>
      </w:r>
      <w:r w:rsidR="00A82DB9">
        <w:t xml:space="preserve"> </w:t>
      </w:r>
      <w:r w:rsidR="00947952">
        <w:t>with a peak demand of 2.9 MW. W</w:t>
      </w:r>
      <w:r w:rsidR="00132844">
        <w:t xml:space="preserve">ater sourced heat pumps (WSHPs) </w:t>
      </w:r>
      <w:r w:rsidR="00B26215">
        <w:t>were proposed to</w:t>
      </w:r>
      <w:r w:rsidR="00132844">
        <w:t xml:space="preserve"> </w:t>
      </w:r>
      <w:r w:rsidR="00947952">
        <w:t xml:space="preserve">recover heat from the canal located next to the new developments, </w:t>
      </w:r>
      <w:r w:rsidR="004845A8">
        <w:t>with</w:t>
      </w:r>
      <w:r w:rsidR="00947952">
        <w:t xml:space="preserve"> an estimated </w:t>
      </w:r>
      <w:r w:rsidR="006D2346">
        <w:t xml:space="preserve">2 MW </w:t>
      </w:r>
      <w:r w:rsidR="00D6404A">
        <w:t xml:space="preserve">maximum </w:t>
      </w:r>
      <w:r w:rsidR="004845A8">
        <w:t>capacity</w:t>
      </w:r>
      <w:r w:rsidR="00D6404A">
        <w:t xml:space="preserve"> due to</w:t>
      </w:r>
      <w:r w:rsidR="004845A8">
        <w:t xml:space="preserve"> the flow rate and temperature difference of the canal. </w:t>
      </w:r>
    </w:p>
    <w:p w:rsidR="00785819" w:rsidRPr="00AF2D6D" w:rsidRDefault="00132844" w:rsidP="00AB332D">
      <w:pPr>
        <w:pStyle w:val="11Level2Heading"/>
        <w:rPr>
          <w:rFonts w:ascii="Garamond" w:hAnsi="Garamond"/>
        </w:rPr>
      </w:pPr>
      <w:r>
        <w:t>GreenSCIES concept applied in Smethwick</w:t>
      </w:r>
    </w:p>
    <w:p w:rsidR="007C0C7E" w:rsidRPr="002A62ED" w:rsidRDefault="004845A8" w:rsidP="00371DFB">
      <w:pPr>
        <w:pStyle w:val="08BodySpaceBelowApplytomaintextbeforeanumberedlist"/>
      </w:pPr>
      <w:r w:rsidRPr="002A62ED">
        <w:t xml:space="preserve">In order to apply the GreenSCIES concept in Smethwick </w:t>
      </w:r>
      <w:r w:rsidR="00D6404A" w:rsidRPr="002A62ED">
        <w:t xml:space="preserve">the red line boundary around the new developments was extended to investigate additional heat sources and connection to existing properties. </w:t>
      </w:r>
      <w:r w:rsidR="00B26215">
        <w:t xml:space="preserve">This </w:t>
      </w:r>
      <w:r w:rsidR="00AB0DFF">
        <w:t xml:space="preserve">is </w:t>
      </w:r>
      <w:r w:rsidR="00B26215">
        <w:t xml:space="preserve">very much GreenSCIES thinking, seeking out heat opportunities that can help supply a heat network. </w:t>
      </w:r>
      <w:r w:rsidR="00D6404A" w:rsidRPr="002A62ED">
        <w:t xml:space="preserve">Options for integrating electric vehicles within the red line boundary were also explored. </w:t>
      </w:r>
      <w:r w:rsidRPr="002A62ED">
        <w:t>Figure 2 shows the original Smet</w:t>
      </w:r>
      <w:r w:rsidR="00B34212">
        <w:t>h</w:t>
      </w:r>
      <w:r w:rsidRPr="002A62ED">
        <w:t>wick heat network and the proposed red line boundary for applying the GreenSCIES concept.</w:t>
      </w:r>
      <w:r w:rsidR="002B57C0" w:rsidRPr="002A62ED">
        <w:t xml:space="preserve"> The main opportunities </w:t>
      </w:r>
      <w:r w:rsidR="00846C70" w:rsidRPr="002A62ED">
        <w:t xml:space="preserve">for the heat network are to connect the hospital, </w:t>
      </w:r>
      <w:r w:rsidR="009037DD">
        <w:t>a</w:t>
      </w:r>
      <w:r w:rsidR="009037DD" w:rsidRPr="002A62ED">
        <w:t xml:space="preserve"> </w:t>
      </w:r>
      <w:r w:rsidR="00846C70" w:rsidRPr="002A62ED">
        <w:t xml:space="preserve">supermarket in the South and a foundry in the North (main </w:t>
      </w:r>
      <w:r w:rsidR="009037DD">
        <w:t xml:space="preserve">waste </w:t>
      </w:r>
      <w:r w:rsidR="00846C70" w:rsidRPr="002A62ED">
        <w:t xml:space="preserve">heat source). This would be </w:t>
      </w:r>
      <w:r w:rsidR="00365A3D">
        <w:t xml:space="preserve">mainly </w:t>
      </w:r>
      <w:r w:rsidR="00846C70" w:rsidRPr="002A62ED">
        <w:t xml:space="preserve">a </w:t>
      </w:r>
      <w:r w:rsidR="00365A3D">
        <w:t>3</w:t>
      </w:r>
      <w:r w:rsidR="004B2A62">
        <w:t>DH</w:t>
      </w:r>
      <w:r w:rsidR="00846C70" w:rsidRPr="002A62ED">
        <w:t xml:space="preserve"> network (</w:t>
      </w:r>
      <w:r w:rsidR="00365A3D">
        <w:rPr>
          <w:rFonts w:cs="Calibri"/>
          <w:noProof/>
          <w:szCs w:val="22"/>
        </w:rPr>
        <w:t>75</w:t>
      </w:r>
      <w:r w:rsidR="00846C70" w:rsidRPr="002A62ED">
        <w:rPr>
          <w:rFonts w:cs="Calibri"/>
          <w:szCs w:val="22"/>
        </w:rPr>
        <w:t>°C)</w:t>
      </w:r>
      <w:r w:rsidR="00846C70" w:rsidRPr="002A62ED">
        <w:rPr>
          <w:rFonts w:cs="Calibri"/>
          <w:noProof/>
          <w:szCs w:val="22"/>
        </w:rPr>
        <w:t xml:space="preserve"> [1</w:t>
      </w:r>
      <w:r w:rsidR="00365A3D">
        <w:rPr>
          <w:rFonts w:cs="Calibri"/>
          <w:noProof/>
          <w:szCs w:val="22"/>
        </w:rPr>
        <w:t>67</w:t>
      </w:r>
      <w:r w:rsidR="00846C70" w:rsidRPr="002A62ED">
        <w:rPr>
          <w:rFonts w:cs="Calibri"/>
          <w:noProof/>
          <w:szCs w:val="22"/>
        </w:rPr>
        <w:t>ºF]</w:t>
      </w:r>
      <w:r w:rsidR="00365A3D">
        <w:rPr>
          <w:rFonts w:cs="Calibri"/>
          <w:noProof/>
          <w:szCs w:val="22"/>
        </w:rPr>
        <w:t xml:space="preserve"> connecting existing buildings </w:t>
      </w:r>
      <w:r w:rsidR="005E1EC4" w:rsidRPr="002A62ED">
        <w:rPr>
          <w:rFonts w:cs="Calibri"/>
          <w:noProof/>
          <w:szCs w:val="22"/>
        </w:rPr>
        <w:t>with some cooling supply to the hospital and supermarket</w:t>
      </w:r>
      <w:r w:rsidR="005E1EC4">
        <w:rPr>
          <w:rFonts w:cs="Calibri"/>
          <w:noProof/>
          <w:szCs w:val="22"/>
        </w:rPr>
        <w:t>. T</w:t>
      </w:r>
      <w:r w:rsidR="00365A3D">
        <w:rPr>
          <w:rFonts w:cs="Calibri"/>
          <w:noProof/>
          <w:szCs w:val="22"/>
        </w:rPr>
        <w:t xml:space="preserve">he new developments </w:t>
      </w:r>
      <w:r w:rsidR="005E1EC4">
        <w:rPr>
          <w:rFonts w:cs="Calibri"/>
          <w:noProof/>
          <w:szCs w:val="22"/>
        </w:rPr>
        <w:t xml:space="preserve">would be </w:t>
      </w:r>
      <w:r w:rsidR="00365A3D">
        <w:rPr>
          <w:rFonts w:cs="Calibri"/>
          <w:noProof/>
          <w:szCs w:val="22"/>
        </w:rPr>
        <w:t>supplied by a 4DH network (60°C) [140°F]</w:t>
      </w:r>
      <w:r w:rsidR="00112929" w:rsidRPr="002A62ED">
        <w:rPr>
          <w:rFonts w:cs="Calibri"/>
          <w:noProof/>
          <w:szCs w:val="22"/>
        </w:rPr>
        <w:t>. The opportunity to store heat in the aquifer was also investigated and data from the British Geological Survey shows that the Smethwick aquifer is highly productive with a yield of 12.5 l/s (198 gpm), indicat</w:t>
      </w:r>
      <w:r w:rsidR="00B34212">
        <w:rPr>
          <w:rFonts w:cs="Calibri"/>
          <w:noProof/>
          <w:szCs w:val="22"/>
        </w:rPr>
        <w:t xml:space="preserve">ing </w:t>
      </w:r>
      <w:r w:rsidR="00112929" w:rsidRPr="002A62ED">
        <w:rPr>
          <w:rFonts w:cs="Calibri"/>
          <w:noProof/>
          <w:szCs w:val="22"/>
        </w:rPr>
        <w:t>that the aquifer is good for ground water sourced heat pumps.</w:t>
      </w:r>
    </w:p>
    <w:p w:rsidR="00D6404A" w:rsidRPr="002A62ED" w:rsidRDefault="00CD5207" w:rsidP="00371DFB">
      <w:pPr>
        <w:pStyle w:val="08BodySpaceBelowApplytomaintextbeforeanumberedlist"/>
      </w:pPr>
      <w:r>
        <w:t xml:space="preserve">  </w:t>
      </w:r>
      <w:r w:rsidR="00FB4BAE" w:rsidRPr="002A62ED">
        <w:rPr>
          <w:noProof/>
          <w:lang w:val="en-GB" w:eastAsia="en-GB"/>
        </w:rPr>
        <w:drawing>
          <wp:inline distT="0" distB="0" distL="0" distR="0" wp14:anchorId="307EC4E2" wp14:editId="16019601">
            <wp:extent cx="2413068" cy="2322770"/>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4596" cy="2333867"/>
                    </a:xfrm>
                    <a:prstGeom prst="rect">
                      <a:avLst/>
                    </a:prstGeom>
                    <a:noFill/>
                  </pic:spPr>
                </pic:pic>
              </a:graphicData>
            </a:graphic>
          </wp:inline>
        </w:drawing>
      </w:r>
      <w:r>
        <w:t xml:space="preserve">    </w:t>
      </w:r>
      <w:r w:rsidR="00FB4BAE">
        <w:t xml:space="preserve">          </w:t>
      </w:r>
      <w:r w:rsidR="003640DA" w:rsidRPr="002A62ED">
        <w:rPr>
          <w:noProof/>
          <w:lang w:val="en-GB" w:eastAsia="en-GB"/>
        </w:rPr>
        <w:drawing>
          <wp:inline distT="0" distB="0" distL="0" distR="0" wp14:editId="18CD1F06">
            <wp:extent cx="3194685" cy="2232660"/>
            <wp:effectExtent l="0" t="0" r="0" b="0"/>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4685" cy="2232660"/>
                    </a:xfrm>
                    <a:prstGeom prst="rect">
                      <a:avLst/>
                    </a:prstGeom>
                    <a:noFill/>
                    <a:ln>
                      <a:noFill/>
                    </a:ln>
                  </pic:spPr>
                </pic:pic>
              </a:graphicData>
            </a:graphic>
          </wp:inline>
        </w:drawing>
      </w:r>
      <w:r>
        <w:rPr>
          <w:lang w:val="en-GB"/>
        </w:rPr>
        <w:t xml:space="preserve"> </w:t>
      </w:r>
      <w:r w:rsidR="00505867" w:rsidRPr="002A62ED">
        <w:t xml:space="preserve"> </w:t>
      </w:r>
    </w:p>
    <w:p w:rsidR="00D6404A" w:rsidRPr="002A62ED" w:rsidRDefault="00D6404A" w:rsidP="00371DFB">
      <w:pPr>
        <w:pStyle w:val="08BodySpaceBelowApplytomaintextbeforeanumberedlist"/>
      </w:pPr>
      <w:r w:rsidRPr="002A62ED">
        <w:rPr>
          <w:b/>
        </w:rPr>
        <w:t>Figure 2:</w:t>
      </w:r>
      <w:r w:rsidRPr="002A62ED">
        <w:t xml:space="preserve"> Smethwick red line boundary</w:t>
      </w:r>
      <w:r w:rsidR="009037DD">
        <w:t xml:space="preserve"> (and original 2018 proposed scheme)</w:t>
      </w:r>
      <w:r w:rsidR="00505867" w:rsidRPr="002A62ED">
        <w:tab/>
      </w:r>
      <w:r w:rsidR="00505867" w:rsidRPr="002A62ED">
        <w:rPr>
          <w:b/>
        </w:rPr>
        <w:t>Figure 3:</w:t>
      </w:r>
      <w:r w:rsidR="00505867" w:rsidRPr="002A62ED">
        <w:t xml:space="preserve"> Foundry plant layout</w:t>
      </w:r>
    </w:p>
    <w:p w:rsidR="00D00A21" w:rsidRPr="002A62ED" w:rsidRDefault="00D00A21" w:rsidP="00AB332D">
      <w:pPr>
        <w:pStyle w:val="11Level2Heading"/>
        <w:rPr>
          <w:rFonts w:ascii="Garamond" w:hAnsi="Garamond"/>
          <w:sz w:val="21"/>
          <w:szCs w:val="21"/>
        </w:rPr>
      </w:pPr>
      <w:r w:rsidRPr="002A62ED">
        <w:t>Heat recover</w:t>
      </w:r>
      <w:r w:rsidR="00B26215">
        <w:t>y</w:t>
      </w:r>
      <w:r w:rsidRPr="002A62ED">
        <w:t xml:space="preserve"> opportunities</w:t>
      </w:r>
    </w:p>
    <w:p w:rsidR="00595674" w:rsidRPr="002A62ED" w:rsidRDefault="0045482B" w:rsidP="00371DFB">
      <w:pPr>
        <w:pStyle w:val="08BodySpaceBelowApplytomaintextbeforeanumberedlist"/>
      </w:pPr>
      <w:r w:rsidRPr="002A62ED">
        <w:t>The hospital heating demand is 14.5 GWh</w:t>
      </w:r>
      <w:r w:rsidR="001B4A9B">
        <w:t>/yr</w:t>
      </w:r>
      <w:r w:rsidRPr="002A62ED">
        <w:t xml:space="preserve"> (</w:t>
      </w:r>
      <w:r w:rsidR="00770525" w:rsidRPr="002A62ED">
        <w:t>494,760 thm</w:t>
      </w:r>
      <w:r w:rsidR="00143460">
        <w:t>/yr</w:t>
      </w:r>
      <w:r w:rsidRPr="002A62ED">
        <w:t xml:space="preserve">) generated by </w:t>
      </w:r>
      <w:r w:rsidR="00B34212">
        <w:t>four</w:t>
      </w:r>
      <w:r w:rsidRPr="002A62ED">
        <w:t xml:space="preserve"> gas boilers and a CHP unit, the cooling demand is 4.5 GWh</w:t>
      </w:r>
      <w:r w:rsidR="001B4A9B">
        <w:t>/yr</w:t>
      </w:r>
      <w:r w:rsidRPr="002A62ED">
        <w:t xml:space="preserve"> (</w:t>
      </w:r>
      <w:r w:rsidR="00770525" w:rsidRPr="002A62ED">
        <w:t>153,546 thm</w:t>
      </w:r>
      <w:r w:rsidR="00143460">
        <w:t>/yr</w:t>
      </w:r>
      <w:r w:rsidRPr="002A62ED">
        <w:t>) produced by five chillers. The supermarket heat</w:t>
      </w:r>
      <w:r w:rsidR="00FA0E44" w:rsidRPr="002A62ED">
        <w:t xml:space="preserve">ing and cooling demand are 0.87 </w:t>
      </w:r>
      <w:r w:rsidRPr="002A62ED">
        <w:t>and 1.56 GWh</w:t>
      </w:r>
      <w:r w:rsidR="001B4A9B">
        <w:t>/yr</w:t>
      </w:r>
      <w:r w:rsidRPr="002A62ED">
        <w:t xml:space="preserve"> (</w:t>
      </w:r>
      <w:r w:rsidR="00770525" w:rsidRPr="002A62ED">
        <w:t xml:space="preserve">29,686 </w:t>
      </w:r>
      <w:r w:rsidRPr="002A62ED">
        <w:t>and</w:t>
      </w:r>
      <w:r w:rsidR="00FA0E44" w:rsidRPr="002A62ED">
        <w:t xml:space="preserve"> 53,229 thm</w:t>
      </w:r>
      <w:r w:rsidR="00143460">
        <w:t>/yr) respectively.</w:t>
      </w:r>
      <w:r w:rsidRPr="002A62ED">
        <w:t xml:space="preserve"> </w:t>
      </w:r>
      <w:r w:rsidR="00D00A21" w:rsidRPr="002A62ED">
        <w:t xml:space="preserve">The </w:t>
      </w:r>
      <w:r w:rsidR="001B4A9B">
        <w:t>GreenSCIES</w:t>
      </w:r>
      <w:r w:rsidR="00D00A21" w:rsidRPr="002A62ED">
        <w:t xml:space="preserve"> proposal is to install two energy centres </w:t>
      </w:r>
      <w:r w:rsidR="00143460">
        <w:t>(</w:t>
      </w:r>
      <w:r w:rsidR="00D00A21" w:rsidRPr="002A62ED">
        <w:t>at the hospital and the su</w:t>
      </w:r>
      <w:r w:rsidR="00FA0E44" w:rsidRPr="002A62ED">
        <w:t>permarket</w:t>
      </w:r>
      <w:r w:rsidR="00143460">
        <w:t>)</w:t>
      </w:r>
      <w:r w:rsidR="00FA0E44" w:rsidRPr="002A62ED">
        <w:t xml:space="preserve">, both </w:t>
      </w:r>
      <w:r w:rsidR="00B34212">
        <w:t>with</w:t>
      </w:r>
      <w:r w:rsidR="00FA0E44" w:rsidRPr="002A62ED">
        <w:t xml:space="preserve"> 3 MW</w:t>
      </w:r>
      <w:r w:rsidR="001B4A9B">
        <w:t>th</w:t>
      </w:r>
      <w:r w:rsidR="00D00A21" w:rsidRPr="002A62ED">
        <w:t xml:space="preserve"> heat pumps recovering heat from the chilled water system</w:t>
      </w:r>
      <w:r w:rsidR="001B4A9B">
        <w:t>s</w:t>
      </w:r>
      <w:r w:rsidR="00D00A21" w:rsidRPr="002A62ED">
        <w:t xml:space="preserve"> with boreholes connecting to the aquifer for thermal storage</w:t>
      </w:r>
      <w:r w:rsidR="008D298A" w:rsidRPr="002A62ED">
        <w:t xml:space="preserve"> supplying 3</w:t>
      </w:r>
      <w:r w:rsidR="001B4A9B">
        <w:t>,</w:t>
      </w:r>
      <w:r w:rsidR="008D298A" w:rsidRPr="002A62ED">
        <w:t>128.7 MWh (</w:t>
      </w:r>
      <w:r w:rsidR="00595674" w:rsidRPr="002A62ED">
        <w:t>106,755 thm</w:t>
      </w:r>
      <w:r w:rsidR="00212EC1" w:rsidRPr="002A62ED">
        <w:t>) to each energy centre</w:t>
      </w:r>
      <w:r w:rsidR="00D00A21" w:rsidRPr="002A62ED">
        <w:t>. Both sites are pri</w:t>
      </w:r>
      <w:r w:rsidR="008D298A" w:rsidRPr="002A62ED">
        <w:t>m</w:t>
      </w:r>
      <w:r w:rsidR="00D00A21" w:rsidRPr="002A62ED">
        <w:t>e candidates for both electric vehicle charging and solar PV generation</w:t>
      </w:r>
      <w:r w:rsidR="00595674" w:rsidRPr="002A62ED">
        <w:t>.</w:t>
      </w:r>
    </w:p>
    <w:p w:rsidR="00752F84" w:rsidRPr="002A62ED" w:rsidRDefault="00595674" w:rsidP="00371DFB">
      <w:pPr>
        <w:pStyle w:val="08BodySpaceBelowApplytomaintextbeforeanumberedlist"/>
      </w:pPr>
      <w:r w:rsidRPr="002A62ED">
        <w:rPr>
          <w:b/>
        </w:rPr>
        <w:t>Industrial heat</w:t>
      </w:r>
      <w:r w:rsidR="00D00A21" w:rsidRPr="002A62ED">
        <w:rPr>
          <w:b/>
        </w:rPr>
        <w:t>.</w:t>
      </w:r>
      <w:r w:rsidR="00746042" w:rsidRPr="002A62ED">
        <w:rPr>
          <w:b/>
        </w:rPr>
        <w:t xml:space="preserve"> </w:t>
      </w:r>
      <w:r w:rsidR="00746042" w:rsidRPr="002A62ED">
        <w:t>In the UK 70% of the energy consumption in industry comes from thermal processes, which include high and low temperature processes, drying/separation and space heating (</w:t>
      </w:r>
      <w:r w:rsidR="00B2608A">
        <w:t>Woolley et al. 2018</w:t>
      </w:r>
      <w:r w:rsidR="00746042" w:rsidRPr="002A62ED">
        <w:t>). Integrating industrial heat into</w:t>
      </w:r>
      <w:r w:rsidR="00A92F8D">
        <w:t xml:space="preserve"> district</w:t>
      </w:r>
      <w:r w:rsidR="00746042" w:rsidRPr="002A62ED">
        <w:t xml:space="preserve"> heat networks can both improve industrial processes and reduce their energy consumption, whilst meeting local building</w:t>
      </w:r>
      <w:r w:rsidR="00AA4467" w:rsidRPr="002A62ED">
        <w:t>s</w:t>
      </w:r>
      <w:r w:rsidR="00746042" w:rsidRPr="002A62ED">
        <w:t xml:space="preserve"> heat demand. The </w:t>
      </w:r>
      <w:r w:rsidR="00505867" w:rsidRPr="002A62ED">
        <w:t xml:space="preserve">iron </w:t>
      </w:r>
      <w:r w:rsidR="00746042" w:rsidRPr="002A62ED">
        <w:t xml:space="preserve">foundry in the Smethwick red line boundary produces </w:t>
      </w:r>
      <w:r w:rsidR="00AA4467" w:rsidRPr="002A62ED">
        <w:t>parts</w:t>
      </w:r>
      <w:r w:rsidR="00746042" w:rsidRPr="002A62ED">
        <w:t xml:space="preserve"> for </w:t>
      </w:r>
      <w:r w:rsidR="00024EC3" w:rsidRPr="002A62ED">
        <w:t xml:space="preserve">the automotive </w:t>
      </w:r>
      <w:r w:rsidR="005F70E2" w:rsidRPr="002A62ED">
        <w:t>industry;</w:t>
      </w:r>
      <w:r w:rsidR="00505867" w:rsidRPr="002A62ED">
        <w:t xml:space="preserve"> </w:t>
      </w:r>
      <w:r w:rsidR="005F70E2" w:rsidRPr="002A62ED">
        <w:t xml:space="preserve">the foundry plant layout </w:t>
      </w:r>
      <w:r w:rsidR="00B34212">
        <w:t>is shown</w:t>
      </w:r>
      <w:r w:rsidR="005F70E2" w:rsidRPr="002A62ED">
        <w:t xml:space="preserve"> in Figure 3. </w:t>
      </w:r>
      <w:r w:rsidR="00400F9D" w:rsidRPr="002A62ED">
        <w:t>The process for producing crankshafts consist</w:t>
      </w:r>
      <w:r w:rsidR="00B34212">
        <w:t>s</w:t>
      </w:r>
      <w:r w:rsidR="00400F9D" w:rsidRPr="002A62ED">
        <w:t xml:space="preserve"> </w:t>
      </w:r>
      <w:r w:rsidR="00400F9D" w:rsidRPr="002A62ED">
        <w:lastRenderedPageBreak/>
        <w:t xml:space="preserve">of </w:t>
      </w:r>
      <w:r w:rsidR="00AA4467" w:rsidRPr="002A62ED">
        <w:t>the following</w:t>
      </w:r>
      <w:r w:rsidR="00400F9D" w:rsidRPr="002A62ED">
        <w:t xml:space="preserve"> steps: melting of metals in the four 8 MW induction </w:t>
      </w:r>
      <w:r w:rsidR="007E462D" w:rsidRPr="002A62ED">
        <w:t>furnaces</w:t>
      </w:r>
      <w:r w:rsidR="00400F9D" w:rsidRPr="002A62ED">
        <w:t xml:space="preserve">, shell mould </w:t>
      </w:r>
      <w:r w:rsidR="00B37969" w:rsidRPr="002A62ED">
        <w:t xml:space="preserve">casting for </w:t>
      </w:r>
      <w:r w:rsidR="00400F9D" w:rsidRPr="002A62ED">
        <w:t xml:space="preserve">making </w:t>
      </w:r>
      <w:r w:rsidR="00B37969" w:rsidRPr="002A62ED">
        <w:t>the part</w:t>
      </w:r>
      <w:r w:rsidR="00AA4467" w:rsidRPr="002A62ED">
        <w:t xml:space="preserve"> shape,</w:t>
      </w:r>
      <w:r w:rsidR="00B37969" w:rsidRPr="002A62ED">
        <w:t xml:space="preserve"> pouring of the molten metal into moulds, cooling of the mould</w:t>
      </w:r>
      <w:r w:rsidR="00AA4467" w:rsidRPr="002A62ED">
        <w:t>,</w:t>
      </w:r>
      <w:r w:rsidR="00B37969" w:rsidRPr="002A62ED">
        <w:t xml:space="preserve"> casting removal, surface cleaning and finishing.</w:t>
      </w:r>
      <w:r w:rsidR="00AA4467" w:rsidRPr="002A62ED">
        <w:t xml:space="preserve"> </w:t>
      </w:r>
      <w:r w:rsidR="00752F84" w:rsidRPr="002A62ED">
        <w:t xml:space="preserve">Figure 4 shows the casting process, casting moulds and the steel shot, </w:t>
      </w:r>
      <w:r w:rsidR="00B34212">
        <w:t>which</w:t>
      </w:r>
      <w:r w:rsidR="00752F84" w:rsidRPr="002A62ED">
        <w:t xml:space="preserve"> is used to dissipate the heat from the cast. The steel shot is recycled throughout the process and it get</w:t>
      </w:r>
      <w:r w:rsidR="00B34212">
        <w:t>s</w:t>
      </w:r>
      <w:r w:rsidR="00752F84" w:rsidRPr="002A62ED">
        <w:t xml:space="preserve"> progressively hot</w:t>
      </w:r>
      <w:r w:rsidR="001405F2">
        <w:t>ter</w:t>
      </w:r>
      <w:r w:rsidR="00752F84" w:rsidRPr="002A62ED">
        <w:t xml:space="preserve"> </w:t>
      </w:r>
      <w:r w:rsidR="00B34212">
        <w:t>(from 20 to 150°C [</w:t>
      </w:r>
      <w:r w:rsidR="007407B7" w:rsidRPr="002A62ED">
        <w:t>68 to 302°F</w:t>
      </w:r>
      <w:r w:rsidR="00B34212">
        <w:t>])</w:t>
      </w:r>
      <w:r w:rsidR="00752F84" w:rsidRPr="002A62ED">
        <w:t>, which has a detrimental effect on the cooling rate of the cast. Overall</w:t>
      </w:r>
      <w:r w:rsidR="001B4A9B">
        <w:t>,</w:t>
      </w:r>
      <w:r w:rsidR="00752F84" w:rsidRPr="002A62ED">
        <w:t xml:space="preserve"> the cast moulds spend 1.5h i</w:t>
      </w:r>
      <w:r w:rsidR="001405F2">
        <w:t>n the</w:t>
      </w:r>
      <w:r w:rsidR="00752F84" w:rsidRPr="002A62ED">
        <w:t xml:space="preserve"> casting track where they lose the remain</w:t>
      </w:r>
      <w:r w:rsidR="007E462D">
        <w:t>in</w:t>
      </w:r>
      <w:r w:rsidR="00752F84" w:rsidRPr="002A62ED">
        <w:t xml:space="preserve">g heat. </w:t>
      </w:r>
      <w:r w:rsidR="00AA4467" w:rsidRPr="002A62ED">
        <w:t xml:space="preserve">The main heat recovery opportunities are from the casting track, </w:t>
      </w:r>
      <w:r w:rsidR="00752F84" w:rsidRPr="002A62ED">
        <w:t>the steel shot and some locations in the factory where the ambient temperature reaches 48°C (</w:t>
      </w:r>
      <w:r w:rsidR="007407B7" w:rsidRPr="002A62ED">
        <w:t>118°F</w:t>
      </w:r>
      <w:r w:rsidR="00752F84" w:rsidRPr="002A62ED">
        <w:t>).</w:t>
      </w:r>
    </w:p>
    <w:p w:rsidR="00752F84" w:rsidRPr="002A62ED" w:rsidRDefault="0057779F" w:rsidP="00371DFB">
      <w:pPr>
        <w:pStyle w:val="08BodySpaceBelowApplytomaintextbeforeanumberedlist"/>
      </w:pPr>
      <w:r w:rsidRPr="002A62ED">
        <w:t xml:space="preserve">                                        </w:t>
      </w:r>
      <w:r w:rsidR="00FB4BAE" w:rsidRPr="002A62ED">
        <w:rPr>
          <w:noProof/>
          <w:lang w:val="en-GB" w:eastAsia="en-GB"/>
        </w:rPr>
        <w:drawing>
          <wp:inline distT="0" distB="0" distL="0" distR="0" wp14:anchorId="553277EF" wp14:editId="40A96992">
            <wp:extent cx="3559988" cy="156241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4391" cy="1564344"/>
                    </a:xfrm>
                    <a:prstGeom prst="rect">
                      <a:avLst/>
                    </a:prstGeom>
                    <a:noFill/>
                  </pic:spPr>
                </pic:pic>
              </a:graphicData>
            </a:graphic>
          </wp:inline>
        </w:drawing>
      </w:r>
    </w:p>
    <w:p w:rsidR="007407B7" w:rsidRPr="002A62ED" w:rsidRDefault="007407B7" w:rsidP="00143460">
      <w:pPr>
        <w:pStyle w:val="08BodySpaceBelowApplytomaintextbeforeanumberedlist"/>
        <w:ind w:left="2880" w:firstLine="720"/>
      </w:pPr>
      <w:r w:rsidRPr="002A62ED">
        <w:rPr>
          <w:b/>
        </w:rPr>
        <w:t>Figure 4:</w:t>
      </w:r>
      <w:r w:rsidRPr="002A62ED">
        <w:t xml:space="preserve"> Found</w:t>
      </w:r>
      <w:r w:rsidR="002D7775">
        <w:t>r</w:t>
      </w:r>
      <w:r w:rsidRPr="002A62ED">
        <w:t>y casting process</w:t>
      </w:r>
    </w:p>
    <w:p w:rsidR="00746042" w:rsidRPr="00AB0DFF" w:rsidRDefault="00746042" w:rsidP="00371DFB">
      <w:pPr>
        <w:pStyle w:val="08BodySpaceBelowApplytomaintextbeforeanumberedlist"/>
        <w:rPr>
          <w:sz w:val="10"/>
          <w:szCs w:val="10"/>
        </w:rPr>
      </w:pPr>
    </w:p>
    <w:p w:rsidR="00595674" w:rsidRPr="002A62ED" w:rsidRDefault="009B57D4" w:rsidP="00371DFB">
      <w:pPr>
        <w:pStyle w:val="08BodySpaceBelowApplytomaintextbeforeanumberedlist"/>
      </w:pPr>
      <w:r w:rsidRPr="002A62ED">
        <w:t>A third energy centre</w:t>
      </w:r>
      <w:r w:rsidR="00B34212">
        <w:t xml:space="preserve"> would be placed at the foundry, housing </w:t>
      </w:r>
      <w:r w:rsidRPr="002A62ED">
        <w:t>two 6 MW</w:t>
      </w:r>
      <w:r w:rsidR="00AB0DFF">
        <w:t>th</w:t>
      </w:r>
      <w:r w:rsidRPr="002A62ED">
        <w:t xml:space="preserve"> heat pumps, one recovering heat from the foundry and the other</w:t>
      </w:r>
      <w:r w:rsidR="009D37C3" w:rsidRPr="002A62ED">
        <w:t xml:space="preserve"> from the aquifer. The </w:t>
      </w:r>
      <w:r w:rsidR="004B2A62">
        <w:t>4DH</w:t>
      </w:r>
      <w:r w:rsidR="009D37C3" w:rsidRPr="002A62ED">
        <w:t xml:space="preserve"> heat network would be developed in 10 phase</w:t>
      </w:r>
      <w:r w:rsidR="00020962" w:rsidRPr="002A62ED">
        <w:t>s conn</w:t>
      </w:r>
      <w:r w:rsidR="00B34212">
        <w:t>e</w:t>
      </w:r>
      <w:r w:rsidR="00020962" w:rsidRPr="002A62ED">
        <w:t>cting the building</w:t>
      </w:r>
      <w:r w:rsidR="00B34212">
        <w:t>s</w:t>
      </w:r>
      <w:r w:rsidR="00020962" w:rsidRPr="002A62ED">
        <w:t xml:space="preserve"> in the following sequence: (1) Hospital; (2) Tower blocks; (3) Supermarket cluster including non-domestic properties; (4) Foundry and light industrial properties; (5) to (7) New </w:t>
      </w:r>
      <w:r w:rsidR="00B34212">
        <w:t>Build homes</w:t>
      </w:r>
      <w:r w:rsidR="00107792" w:rsidRPr="002A62ED">
        <w:t xml:space="preserve">; (8) to (10) existing domestic properties within the red line boundary. Figure 5 shows </w:t>
      </w:r>
      <w:r w:rsidR="0057779F" w:rsidRPr="002A62ED">
        <w:t xml:space="preserve">two phases of </w:t>
      </w:r>
      <w:r w:rsidR="00107792" w:rsidRPr="002A62ED">
        <w:t>the heat network build-out sequence.</w:t>
      </w:r>
    </w:p>
    <w:p w:rsidR="00107792" w:rsidRPr="002A62ED" w:rsidRDefault="007254DB" w:rsidP="001B4A9B">
      <w:pPr>
        <w:pStyle w:val="08BodySpaceBelowApplytomaintextbeforeanumberedlist"/>
      </w:pPr>
      <w:r w:rsidRPr="002A62ED">
        <w:t xml:space="preserve">    </w:t>
      </w:r>
      <w:r w:rsidR="00FB4BAE" w:rsidRPr="002A62ED">
        <w:rPr>
          <w:noProof/>
          <w:lang w:val="en-GB" w:eastAsia="en-GB"/>
        </w:rPr>
        <w:drawing>
          <wp:inline distT="0" distB="0" distL="0" distR="0" wp14:anchorId="06CC015D" wp14:editId="1210580A">
            <wp:extent cx="2374995" cy="25229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9194" cy="2527435"/>
                    </a:xfrm>
                    <a:prstGeom prst="rect">
                      <a:avLst/>
                    </a:prstGeom>
                    <a:noFill/>
                  </pic:spPr>
                </pic:pic>
              </a:graphicData>
            </a:graphic>
          </wp:inline>
        </w:drawing>
      </w:r>
      <w:r w:rsidR="00FB4BAE">
        <w:t xml:space="preserve">          </w:t>
      </w:r>
      <w:r w:rsidR="00FB4BAE" w:rsidRPr="002A62ED">
        <w:rPr>
          <w:noProof/>
          <w:lang w:val="en-GB" w:eastAsia="en-GB"/>
        </w:rPr>
        <w:drawing>
          <wp:inline distT="0" distB="0" distL="0" distR="0" wp14:anchorId="1764DF01" wp14:editId="5069DC3B">
            <wp:extent cx="2353919" cy="253522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7745" cy="2539341"/>
                    </a:xfrm>
                    <a:prstGeom prst="rect">
                      <a:avLst/>
                    </a:prstGeom>
                    <a:noFill/>
                  </pic:spPr>
                </pic:pic>
              </a:graphicData>
            </a:graphic>
          </wp:inline>
        </w:drawing>
      </w:r>
    </w:p>
    <w:p w:rsidR="00107792" w:rsidRDefault="007254DB" w:rsidP="00FB4BAE">
      <w:pPr>
        <w:pStyle w:val="08BodySpaceBelowApplytomaintextbeforeanumberedlist"/>
        <w:ind w:left="720" w:firstLine="720"/>
      </w:pPr>
      <w:r w:rsidRPr="002A62ED">
        <w:rPr>
          <w:b/>
        </w:rPr>
        <w:t>Figure 5:</w:t>
      </w:r>
      <w:r w:rsidRPr="002A62ED">
        <w:t xml:space="preserve"> Smethwick heat network phases 7 </w:t>
      </w:r>
      <w:r w:rsidR="001405F2">
        <w:t xml:space="preserve">(left) </w:t>
      </w:r>
      <w:r w:rsidRPr="002A62ED">
        <w:t>and 10</w:t>
      </w:r>
      <w:r w:rsidR="001405F2">
        <w:t xml:space="preserve"> full build-out (right)</w:t>
      </w:r>
    </w:p>
    <w:p w:rsidR="00371DFB" w:rsidRPr="00143460" w:rsidRDefault="00371DFB" w:rsidP="00143460">
      <w:pPr>
        <w:pStyle w:val="08BodySpaceBelowApplytomaintextbeforeanumberedlist"/>
        <w:rPr>
          <w:sz w:val="10"/>
        </w:rPr>
      </w:pPr>
    </w:p>
    <w:p w:rsidR="009D37C3" w:rsidRPr="002A62ED" w:rsidRDefault="007254DB" w:rsidP="00371DFB">
      <w:pPr>
        <w:pStyle w:val="08BodySpaceBelowApplytomaintextbeforeanumberedlist"/>
      </w:pPr>
      <w:r w:rsidRPr="002A62ED">
        <w:t xml:space="preserve">In phase 10 the GreenSCIES-Smethwick network connects </w:t>
      </w:r>
      <w:r w:rsidR="0070258F" w:rsidRPr="002A62ED">
        <w:t xml:space="preserve">3,168 domestic properties and </w:t>
      </w:r>
      <w:r w:rsidR="00945445" w:rsidRPr="002A62ED">
        <w:t>over 70 businesses. The total heat</w:t>
      </w:r>
      <w:r w:rsidR="00B34212">
        <w:t>ing</w:t>
      </w:r>
      <w:r w:rsidR="00945445" w:rsidRPr="002A62ED">
        <w:t xml:space="preserve"> and cooling demand is 57.2 GWh</w:t>
      </w:r>
      <w:r w:rsidR="001405F2">
        <w:t>/yr</w:t>
      </w:r>
      <w:r w:rsidR="00945445" w:rsidRPr="002A62ED">
        <w:t xml:space="preserve"> and 6 GWh</w:t>
      </w:r>
      <w:r w:rsidR="001405F2">
        <w:t>/yr</w:t>
      </w:r>
      <w:r w:rsidR="00945445" w:rsidRPr="002A62ED">
        <w:t xml:space="preserve"> respectively (1,951,744 and 204,728 thm</w:t>
      </w:r>
      <w:r w:rsidR="00143460">
        <w:t>/yr</w:t>
      </w:r>
      <w:r w:rsidR="00945445" w:rsidRPr="002A62ED">
        <w:t>).</w:t>
      </w:r>
    </w:p>
    <w:p w:rsidR="00B45F1A" w:rsidRPr="002A62ED" w:rsidRDefault="00B45F1A" w:rsidP="00AB332D">
      <w:pPr>
        <w:pStyle w:val="11Level2Heading"/>
      </w:pPr>
      <w:r w:rsidRPr="002A62ED">
        <w:t>Tec</w:t>
      </w:r>
      <w:r w:rsidR="002A62ED" w:rsidRPr="002A62ED">
        <w:t>h</w:t>
      </w:r>
      <w:r w:rsidRPr="002A62ED">
        <w:t>no-economic model assumptions</w:t>
      </w:r>
    </w:p>
    <w:p w:rsidR="00B45F1A" w:rsidRDefault="00B45F1A" w:rsidP="000D1A6F">
      <w:pPr>
        <w:ind w:left="0" w:firstLine="357"/>
        <w:jc w:val="both"/>
        <w:rPr>
          <w:rFonts w:ascii="Garamond" w:hAnsi="Garamond" w:cs="Calibri"/>
        </w:rPr>
      </w:pPr>
      <w:r w:rsidRPr="002A62ED">
        <w:rPr>
          <w:rFonts w:ascii="Garamond" w:hAnsi="Garamond" w:cs="Calibri"/>
        </w:rPr>
        <w:t>Techno-economic modelling was undertaken to determine the operational expenditure, CO</w:t>
      </w:r>
      <w:r w:rsidRPr="002A62ED">
        <w:rPr>
          <w:rFonts w:ascii="Garamond" w:hAnsi="Garamond" w:cs="Calibri"/>
          <w:vertAlign w:val="subscript"/>
        </w:rPr>
        <w:t>2</w:t>
      </w:r>
      <w:r w:rsidRPr="002A62ED">
        <w:rPr>
          <w:rFonts w:ascii="Garamond" w:hAnsi="Garamond" w:cs="Calibri"/>
        </w:rPr>
        <w:t xml:space="preserve"> emissions, internal rate of return over a </w:t>
      </w:r>
      <w:r w:rsidR="00B9174A" w:rsidRPr="002A62ED">
        <w:rPr>
          <w:rFonts w:ascii="Garamond" w:hAnsi="Garamond" w:cs="Calibri"/>
        </w:rPr>
        <w:t>40-year</w:t>
      </w:r>
      <w:r w:rsidRPr="002A62ED">
        <w:rPr>
          <w:rFonts w:ascii="Garamond" w:hAnsi="Garamond" w:cs="Calibri"/>
        </w:rPr>
        <w:t xml:space="preserve"> period and net present value over</w:t>
      </w:r>
      <w:r w:rsidR="00230134" w:rsidRPr="002A62ED">
        <w:rPr>
          <w:rFonts w:ascii="Garamond" w:hAnsi="Garamond" w:cs="Calibri"/>
        </w:rPr>
        <w:t xml:space="preserve"> a </w:t>
      </w:r>
      <w:r w:rsidR="009C0570">
        <w:rPr>
          <w:rFonts w:ascii="Garamond" w:hAnsi="Garamond" w:cs="Calibri"/>
        </w:rPr>
        <w:t>base</w:t>
      </w:r>
      <w:r w:rsidR="00230134" w:rsidRPr="002A62ED">
        <w:rPr>
          <w:rFonts w:ascii="Garamond" w:hAnsi="Garamond" w:cs="Calibri"/>
        </w:rPr>
        <w:t xml:space="preserve"> case</w:t>
      </w:r>
      <w:r w:rsidR="00B9174A" w:rsidRPr="002A62ED">
        <w:rPr>
          <w:rFonts w:ascii="Garamond" w:hAnsi="Garamond" w:cs="Calibri"/>
        </w:rPr>
        <w:t xml:space="preserve"> (gas boilers in existing properties up to 2029 and air source heat pumps for new</w:t>
      </w:r>
      <w:r w:rsidR="004861CC">
        <w:rPr>
          <w:rFonts w:ascii="Garamond" w:hAnsi="Garamond" w:cs="Calibri"/>
        </w:rPr>
        <w:t xml:space="preserve"> build homes</w:t>
      </w:r>
      <w:r w:rsidR="00B9174A" w:rsidRPr="002A62ED">
        <w:rPr>
          <w:rFonts w:ascii="Garamond" w:hAnsi="Garamond" w:cs="Calibri"/>
        </w:rPr>
        <w:t>)</w:t>
      </w:r>
      <w:r w:rsidRPr="002A62ED">
        <w:rPr>
          <w:rFonts w:ascii="Garamond" w:hAnsi="Garamond" w:cs="Calibri"/>
        </w:rPr>
        <w:t xml:space="preserve">. </w:t>
      </w:r>
      <w:r w:rsidR="007E462D" w:rsidRPr="002A62ED">
        <w:rPr>
          <w:rFonts w:ascii="Garamond" w:hAnsi="Garamond" w:cs="Calibri"/>
        </w:rPr>
        <w:t>EnergyPro</w:t>
      </w:r>
      <w:r w:rsidRPr="002A62ED">
        <w:rPr>
          <w:rFonts w:ascii="Garamond" w:hAnsi="Garamond" w:cs="Calibri"/>
        </w:rPr>
        <w:t xml:space="preserve"> </w:t>
      </w:r>
      <w:r w:rsidRPr="002A62ED">
        <w:rPr>
          <w:rFonts w:ascii="Garamond" w:hAnsi="Garamond" w:cs="Calibri"/>
        </w:rPr>
        <w:fldChar w:fldCharType="begin"/>
      </w:r>
      <w:r w:rsidRPr="002A62ED">
        <w:rPr>
          <w:rFonts w:ascii="Garamond" w:hAnsi="Garamond" w:cs="Calibri"/>
        </w:rPr>
        <w:instrText xml:space="preserve"> ADDIN ZOTERO_ITEM CSL_CITATION {"citationID":"rh15CGRj","properties":{"formattedCitation":"(EMD, 2014)","plainCitation":"(EMD, 2014)","noteIndex":0},"citationItems":[{"id":23,"uris":["http://zotero.org/users/local/b5kcWd7h/items/XRNC4RFM"],"uri":["http://zotero.org/users/local/b5kcWd7h/items/XRNC4RFM"],"itemData":{"id":23,"type":"post-weblog","title":"energyPRO - Simulate, analyze and optimize operations of energy plants","container-title":"EMD International A/S","abstract":"energyPRO is an energy modelling tool for analyzing, simulating and optimizing the operation of distributed energy systems e.g. district heating and cooling","URL":"https://www.emd.dk/energypro/","language":"en-US","author":[{"family":"EMD","given":""}],"issued":{"date-parts":[["2014",8,12]]},"accessed":{"date-parts":[["2019",6,26]]}}}],"schema":"https://github.com/citation-style-language/schema/raw/master/csl-citation.json"} </w:instrText>
      </w:r>
      <w:r w:rsidRPr="002A62ED">
        <w:rPr>
          <w:rFonts w:ascii="Garamond" w:hAnsi="Garamond" w:cs="Calibri"/>
        </w:rPr>
        <w:fldChar w:fldCharType="separate"/>
      </w:r>
      <w:r w:rsidRPr="002A62ED">
        <w:rPr>
          <w:rFonts w:ascii="Garamond" w:hAnsi="Garamond" w:cs="Calibri"/>
        </w:rPr>
        <w:t>(EMD, 2014)</w:t>
      </w:r>
      <w:r w:rsidRPr="002A62ED">
        <w:rPr>
          <w:rFonts w:ascii="Garamond" w:hAnsi="Garamond" w:cs="Calibri"/>
        </w:rPr>
        <w:fldChar w:fldCharType="end"/>
      </w:r>
      <w:r w:rsidRPr="002A62ED">
        <w:rPr>
          <w:rFonts w:ascii="Garamond" w:hAnsi="Garamond" w:cs="Calibri"/>
        </w:rPr>
        <w:t xml:space="preserve"> was the modelling tool employed</w:t>
      </w:r>
      <w:r w:rsidR="004626BE" w:rsidRPr="002A62ED">
        <w:rPr>
          <w:rFonts w:ascii="Garamond" w:hAnsi="Garamond" w:cs="Calibri"/>
        </w:rPr>
        <w:t>,</w:t>
      </w:r>
      <w:r w:rsidRPr="002A62ED">
        <w:rPr>
          <w:rFonts w:ascii="Garamond" w:hAnsi="Garamond" w:cs="Calibri"/>
        </w:rPr>
        <w:t xml:space="preserve"> </w:t>
      </w:r>
      <w:r w:rsidR="004626BE" w:rsidRPr="002A62ED">
        <w:rPr>
          <w:rFonts w:ascii="Garamond" w:hAnsi="Garamond" w:cs="Calibri"/>
        </w:rPr>
        <w:t>it</w:t>
      </w:r>
      <w:r w:rsidRPr="002A62ED">
        <w:rPr>
          <w:rFonts w:ascii="Garamond" w:hAnsi="Garamond" w:cs="Calibri"/>
        </w:rPr>
        <w:t xml:space="preserve"> uses </w:t>
      </w:r>
      <w:r w:rsidRPr="002A62ED">
        <w:rPr>
          <w:rFonts w:ascii="Garamond" w:hAnsi="Garamond" w:cs="Calibri"/>
        </w:rPr>
        <w:lastRenderedPageBreak/>
        <w:t>half hourly supply/demand data alongside electricity tariffs, control strategies and demand side management</w:t>
      </w:r>
      <w:r w:rsidR="00DC799A">
        <w:rPr>
          <w:rFonts w:ascii="Garamond" w:hAnsi="Garamond" w:cs="Calibri"/>
        </w:rPr>
        <w:t>.</w:t>
      </w:r>
      <w:r w:rsidRPr="002A62ED">
        <w:rPr>
          <w:rFonts w:ascii="Garamond" w:hAnsi="Garamond" w:cs="Calibri"/>
        </w:rPr>
        <w:t xml:space="preserve"> EnergyPro can optimize the operation of any combination of energy supply and demand in accordance </w:t>
      </w:r>
      <w:r w:rsidR="001405F2">
        <w:rPr>
          <w:rFonts w:ascii="Garamond" w:hAnsi="Garamond" w:cs="Calibri"/>
        </w:rPr>
        <w:t>with</w:t>
      </w:r>
      <w:r w:rsidRPr="002A62ED">
        <w:rPr>
          <w:rFonts w:ascii="Garamond" w:hAnsi="Garamond" w:cs="Calibri"/>
        </w:rPr>
        <w:t xml:space="preserve"> </w:t>
      </w:r>
      <w:r w:rsidR="00DC799A">
        <w:rPr>
          <w:rFonts w:ascii="Garamond" w:hAnsi="Garamond" w:cs="Calibri"/>
        </w:rPr>
        <w:t>the</w:t>
      </w:r>
      <w:r w:rsidRPr="002A62ED">
        <w:rPr>
          <w:rFonts w:ascii="Garamond" w:hAnsi="Garamond" w:cs="Calibri"/>
        </w:rPr>
        <w:t xml:space="preserve"> weather, maintenance costs, fuel prices, taxes, subsidies, etc.</w:t>
      </w:r>
      <w:r w:rsidR="00E101F0" w:rsidRPr="002A62ED">
        <w:rPr>
          <w:rFonts w:ascii="Garamond" w:hAnsi="Garamond" w:cs="Calibri"/>
        </w:rPr>
        <w:t xml:space="preserve"> The financial assumption</w:t>
      </w:r>
      <w:r w:rsidR="00DC799A">
        <w:rPr>
          <w:rFonts w:ascii="Garamond" w:hAnsi="Garamond" w:cs="Calibri"/>
        </w:rPr>
        <w:t>s</w:t>
      </w:r>
      <w:r w:rsidR="00E101F0" w:rsidRPr="002A62ED">
        <w:rPr>
          <w:rFonts w:ascii="Garamond" w:hAnsi="Garamond" w:cs="Calibri"/>
        </w:rPr>
        <w:t xml:space="preserve"> </w:t>
      </w:r>
      <w:r w:rsidR="00DC799A">
        <w:rPr>
          <w:rFonts w:ascii="Garamond" w:hAnsi="Garamond" w:cs="Calibri"/>
        </w:rPr>
        <w:t>included</w:t>
      </w:r>
      <w:r w:rsidR="00E101F0" w:rsidRPr="002A62ED">
        <w:rPr>
          <w:rFonts w:ascii="Garamond" w:hAnsi="Garamond" w:cs="Calibri"/>
        </w:rPr>
        <w:t xml:space="preserve"> the UK spot market electricity import and export prices</w:t>
      </w:r>
      <w:r w:rsidR="004626BE" w:rsidRPr="002A62ED">
        <w:rPr>
          <w:rFonts w:ascii="Garamond" w:hAnsi="Garamond" w:cs="Calibri"/>
        </w:rPr>
        <w:t xml:space="preserve"> and</w:t>
      </w:r>
      <w:r w:rsidR="00E101F0" w:rsidRPr="002A62ED">
        <w:rPr>
          <w:rFonts w:ascii="Garamond" w:hAnsi="Garamond" w:cs="Calibri"/>
        </w:rPr>
        <w:t xml:space="preserve"> </w:t>
      </w:r>
      <w:r w:rsidR="00C874F6">
        <w:rPr>
          <w:rFonts w:ascii="Garamond" w:hAnsi="Garamond" w:cs="Calibri"/>
        </w:rPr>
        <w:t>Climate Change levies</w:t>
      </w:r>
      <w:r w:rsidR="00DC799A">
        <w:rPr>
          <w:rFonts w:ascii="Garamond" w:hAnsi="Garamond" w:cs="Calibri"/>
        </w:rPr>
        <w:t xml:space="preserve"> for </w:t>
      </w:r>
      <w:r w:rsidR="00DC799A" w:rsidRPr="002A62ED">
        <w:rPr>
          <w:rFonts w:ascii="Garamond" w:hAnsi="Garamond" w:cs="Calibri"/>
        </w:rPr>
        <w:t>2019</w:t>
      </w:r>
      <w:r w:rsidR="00752C38" w:rsidRPr="002A62ED">
        <w:rPr>
          <w:rFonts w:ascii="Garamond" w:hAnsi="Garamond" w:cs="Calibri"/>
        </w:rPr>
        <w:t>. Western Power Distribution DUoS for the red, amber and green tariff</w:t>
      </w:r>
      <w:r w:rsidR="00DC799A">
        <w:rPr>
          <w:rFonts w:ascii="Garamond" w:hAnsi="Garamond" w:cs="Calibri"/>
        </w:rPr>
        <w:t>s</w:t>
      </w:r>
      <w:r w:rsidR="00752C38" w:rsidRPr="002A62ED">
        <w:rPr>
          <w:rFonts w:ascii="Garamond" w:hAnsi="Garamond" w:cs="Calibri"/>
        </w:rPr>
        <w:t xml:space="preserve"> were applied </w:t>
      </w:r>
      <w:r w:rsidR="000D1A6F" w:rsidRPr="002A62ED">
        <w:rPr>
          <w:rFonts w:ascii="Garamond" w:hAnsi="Garamond" w:cs="Calibri"/>
        </w:rPr>
        <w:t xml:space="preserve">to the hospital, supermarket and industrial properties, </w:t>
      </w:r>
      <w:r w:rsidR="004626BE" w:rsidRPr="002A62ED">
        <w:rPr>
          <w:rFonts w:ascii="Garamond" w:hAnsi="Garamond" w:cs="Calibri"/>
        </w:rPr>
        <w:t xml:space="preserve">the tower blocks </w:t>
      </w:r>
      <w:r w:rsidR="00C874F6">
        <w:rPr>
          <w:rFonts w:ascii="Garamond" w:hAnsi="Garamond" w:cs="Calibri"/>
        </w:rPr>
        <w:t xml:space="preserve">used the </w:t>
      </w:r>
      <w:r w:rsidR="000D1A6F" w:rsidRPr="002A62ED">
        <w:rPr>
          <w:rFonts w:ascii="Garamond" w:hAnsi="Garamond" w:cs="Calibri"/>
        </w:rPr>
        <w:t>economy 7 tariff with day and night rate</w:t>
      </w:r>
      <w:r w:rsidR="004626BE" w:rsidRPr="002A62ED">
        <w:rPr>
          <w:rFonts w:ascii="Garamond" w:hAnsi="Garamond" w:cs="Calibri"/>
        </w:rPr>
        <w:t xml:space="preserve">s </w:t>
      </w:r>
      <w:r w:rsidR="000D1A6F" w:rsidRPr="002A62ED">
        <w:rPr>
          <w:rFonts w:ascii="Garamond" w:hAnsi="Garamond" w:cs="Calibri"/>
        </w:rPr>
        <w:t xml:space="preserve">and a standard flat residential </w:t>
      </w:r>
      <w:r w:rsidR="007E462D" w:rsidRPr="002A62ED">
        <w:rPr>
          <w:rFonts w:ascii="Garamond" w:hAnsi="Garamond" w:cs="Calibri"/>
        </w:rPr>
        <w:t>tariff</w:t>
      </w:r>
      <w:r w:rsidR="000D1A6F" w:rsidRPr="002A62ED">
        <w:rPr>
          <w:rFonts w:ascii="Garamond" w:hAnsi="Garamond" w:cs="Calibri"/>
        </w:rPr>
        <w:t xml:space="preserve"> </w:t>
      </w:r>
      <w:r w:rsidR="004626BE" w:rsidRPr="002A62ED">
        <w:rPr>
          <w:rFonts w:ascii="Garamond" w:hAnsi="Garamond" w:cs="Calibri"/>
        </w:rPr>
        <w:t xml:space="preserve">was used </w:t>
      </w:r>
      <w:r w:rsidR="000D1A6F" w:rsidRPr="002A62ED">
        <w:rPr>
          <w:rFonts w:ascii="Garamond" w:hAnsi="Garamond" w:cs="Calibri"/>
        </w:rPr>
        <w:t xml:space="preserve">for </w:t>
      </w:r>
      <w:r w:rsidR="004626BE" w:rsidRPr="002A62ED">
        <w:rPr>
          <w:rFonts w:ascii="Garamond" w:hAnsi="Garamond" w:cs="Calibri"/>
        </w:rPr>
        <w:t xml:space="preserve">the </w:t>
      </w:r>
      <w:r w:rsidR="000D1A6F" w:rsidRPr="002A62ED">
        <w:rPr>
          <w:rFonts w:ascii="Garamond" w:hAnsi="Garamond" w:cs="Calibri"/>
        </w:rPr>
        <w:t>remaining properties.</w:t>
      </w:r>
      <w:r w:rsidR="00072583">
        <w:rPr>
          <w:rFonts w:ascii="Garamond" w:hAnsi="Garamond" w:cs="Calibri"/>
        </w:rPr>
        <w:t xml:space="preserve"> </w:t>
      </w:r>
      <w:r w:rsidR="00072583" w:rsidRPr="00072583">
        <w:rPr>
          <w:rFonts w:ascii="Garamond" w:hAnsi="Garamond" w:cs="Calibri"/>
        </w:rPr>
        <w:t>Carbon factors</w:t>
      </w:r>
      <w:r w:rsidR="00072583">
        <w:rPr>
          <w:rFonts w:ascii="Garamond" w:hAnsi="Garamond" w:cs="Calibri"/>
        </w:rPr>
        <w:t xml:space="preserve"> were</w:t>
      </w:r>
      <w:r w:rsidR="00072583" w:rsidRPr="00072583">
        <w:rPr>
          <w:rFonts w:ascii="Garamond" w:hAnsi="Garamond" w:cs="Calibri"/>
        </w:rPr>
        <w:t xml:space="preserve"> based on diminishing figures using predicted figures published by GOV.UK (2019</w:t>
      </w:r>
      <w:r w:rsidR="00072583">
        <w:rPr>
          <w:rFonts w:ascii="Garamond" w:hAnsi="Garamond" w:cs="Calibri"/>
        </w:rPr>
        <w:t>c</w:t>
      </w:r>
      <w:r w:rsidR="00072583" w:rsidRPr="00072583">
        <w:rPr>
          <w:rFonts w:ascii="Garamond" w:hAnsi="Garamond" w:cs="Calibri"/>
        </w:rPr>
        <w:t>)</w:t>
      </w:r>
      <w:r w:rsidR="00072583">
        <w:rPr>
          <w:rFonts w:ascii="Garamond" w:hAnsi="Garamond" w:cs="Calibri"/>
        </w:rPr>
        <w:t>.</w:t>
      </w:r>
      <w:r w:rsidR="000D1A6F" w:rsidRPr="002A62ED">
        <w:rPr>
          <w:rFonts w:ascii="Garamond" w:hAnsi="Garamond" w:cs="Calibri"/>
        </w:rPr>
        <w:t xml:space="preserve"> </w:t>
      </w:r>
      <w:r w:rsidR="00DC799A">
        <w:rPr>
          <w:rFonts w:ascii="Garamond" w:hAnsi="Garamond" w:cs="Calibri"/>
        </w:rPr>
        <w:t>T</w:t>
      </w:r>
      <w:r w:rsidRPr="002A62ED">
        <w:rPr>
          <w:rFonts w:ascii="Garamond" w:hAnsi="Garamond" w:cs="Calibri"/>
        </w:rPr>
        <w:t xml:space="preserve">echnical </w:t>
      </w:r>
      <w:r w:rsidR="00E101F0" w:rsidRPr="002A62ED">
        <w:rPr>
          <w:rFonts w:ascii="Garamond" w:hAnsi="Garamond" w:cs="Calibri"/>
        </w:rPr>
        <w:t xml:space="preserve">modelling </w:t>
      </w:r>
      <w:r w:rsidRPr="002A62ED">
        <w:rPr>
          <w:rFonts w:ascii="Garamond" w:hAnsi="Garamond" w:cs="Calibri"/>
        </w:rPr>
        <w:t xml:space="preserve">assumptions </w:t>
      </w:r>
      <w:r w:rsidR="00B9174A" w:rsidRPr="002A62ED">
        <w:rPr>
          <w:rFonts w:ascii="Garamond" w:hAnsi="Garamond" w:cs="Calibri"/>
        </w:rPr>
        <w:t xml:space="preserve">for the </w:t>
      </w:r>
      <w:r w:rsidR="009C0570">
        <w:rPr>
          <w:rFonts w:ascii="Garamond" w:hAnsi="Garamond" w:cs="Calibri"/>
        </w:rPr>
        <w:t>base</w:t>
      </w:r>
      <w:r w:rsidR="00B9174A" w:rsidRPr="002A62ED">
        <w:rPr>
          <w:rFonts w:ascii="Garamond" w:hAnsi="Garamond" w:cs="Calibri"/>
        </w:rPr>
        <w:t xml:space="preserve"> case and GreenSCIES-Smethwick network </w:t>
      </w:r>
      <w:r w:rsidRPr="002A62ED">
        <w:rPr>
          <w:rFonts w:ascii="Garamond" w:hAnsi="Garamond" w:cs="Calibri"/>
        </w:rPr>
        <w:t xml:space="preserve">are </w:t>
      </w:r>
      <w:r w:rsidR="007E462D" w:rsidRPr="002A62ED">
        <w:rPr>
          <w:rFonts w:ascii="Garamond" w:hAnsi="Garamond" w:cs="Calibri"/>
        </w:rPr>
        <w:t>summarized</w:t>
      </w:r>
      <w:r w:rsidRPr="002A62ED">
        <w:rPr>
          <w:rFonts w:ascii="Garamond" w:hAnsi="Garamond" w:cs="Calibri"/>
        </w:rPr>
        <w:t xml:space="preserve"> in Table </w:t>
      </w:r>
      <w:r w:rsidR="00B9174A" w:rsidRPr="002A62ED">
        <w:rPr>
          <w:rFonts w:ascii="Garamond" w:hAnsi="Garamond" w:cs="Calibri"/>
        </w:rPr>
        <w:t>1</w:t>
      </w:r>
      <w:r w:rsidRPr="002A62ED">
        <w:rPr>
          <w:rFonts w:ascii="Garamond" w:hAnsi="Garamond" w:cs="Calibri"/>
        </w:rPr>
        <w:t>.</w:t>
      </w:r>
    </w:p>
    <w:p w:rsidR="00DC799A" w:rsidRPr="00DC799A" w:rsidRDefault="00DC799A" w:rsidP="000D1A6F">
      <w:pPr>
        <w:ind w:left="0" w:firstLine="357"/>
        <w:jc w:val="both"/>
        <w:rPr>
          <w:rFonts w:ascii="Garamond" w:hAnsi="Garamond" w:cs="Calibri"/>
          <w:sz w:val="10"/>
          <w:szCs w:val="10"/>
        </w:rPr>
      </w:pPr>
    </w:p>
    <w:p w:rsidR="0092538E" w:rsidRPr="002A62ED" w:rsidRDefault="004626BE" w:rsidP="004626BE">
      <w:pPr>
        <w:ind w:left="1440" w:firstLine="720"/>
        <w:jc w:val="both"/>
        <w:rPr>
          <w:rFonts w:ascii="Verdana" w:hAnsi="Verdana" w:cs="Calibri"/>
          <w:b/>
          <w:sz w:val="20"/>
          <w:szCs w:val="20"/>
        </w:rPr>
      </w:pPr>
      <w:r w:rsidRPr="002A62ED">
        <w:rPr>
          <w:rFonts w:ascii="Verdana" w:hAnsi="Verdana"/>
          <w:b/>
          <w:sz w:val="20"/>
          <w:szCs w:val="20"/>
        </w:rPr>
        <w:t>Table 1.   Techno-economic model technical assumptions</w:t>
      </w:r>
    </w:p>
    <w:tbl>
      <w:tblPr>
        <w:tblW w:w="4518" w:type="pct"/>
        <w:jc w:val="center"/>
        <w:tblBorders>
          <w:top w:val="single" w:sz="18" w:space="0" w:color="auto"/>
          <w:bottom w:val="single" w:sz="18" w:space="0" w:color="auto"/>
        </w:tblBorders>
        <w:tblLook w:val="04A0" w:firstRow="1" w:lastRow="0" w:firstColumn="1" w:lastColumn="0" w:noHBand="0" w:noVBand="1"/>
      </w:tblPr>
      <w:tblGrid>
        <w:gridCol w:w="769"/>
        <w:gridCol w:w="800"/>
        <w:gridCol w:w="1714"/>
        <w:gridCol w:w="2753"/>
        <w:gridCol w:w="2917"/>
        <w:gridCol w:w="155"/>
      </w:tblGrid>
      <w:tr w:rsidR="002A62ED" w:rsidRPr="002A62ED" w:rsidTr="00EB0267">
        <w:trPr>
          <w:jc w:val="center"/>
        </w:trPr>
        <w:tc>
          <w:tcPr>
            <w:tcW w:w="432" w:type="pct"/>
            <w:tcBorders>
              <w:top w:val="single" w:sz="18" w:space="0" w:color="auto"/>
              <w:bottom w:val="double" w:sz="6" w:space="0" w:color="auto"/>
            </w:tcBorders>
            <w:vAlign w:val="center"/>
          </w:tcPr>
          <w:p w:rsidR="00E101F0" w:rsidRPr="002A62ED" w:rsidRDefault="00E101F0" w:rsidP="00AC2FE9">
            <w:pPr>
              <w:pStyle w:val="14TableHeading"/>
            </w:pPr>
            <w:r w:rsidRPr="002A62ED">
              <w:t>Year</w:t>
            </w:r>
          </w:p>
        </w:tc>
        <w:tc>
          <w:tcPr>
            <w:tcW w:w="390" w:type="pct"/>
            <w:tcBorders>
              <w:top w:val="single" w:sz="18" w:space="0" w:color="auto"/>
              <w:bottom w:val="double" w:sz="6" w:space="0" w:color="auto"/>
            </w:tcBorders>
          </w:tcPr>
          <w:p w:rsidR="00E101F0" w:rsidRPr="002A62ED" w:rsidRDefault="00E101F0" w:rsidP="00AC2FE9">
            <w:pPr>
              <w:pStyle w:val="14TableHeading"/>
            </w:pPr>
            <w:r w:rsidRPr="002A62ED">
              <w:t>Phase</w:t>
            </w:r>
          </w:p>
        </w:tc>
        <w:tc>
          <w:tcPr>
            <w:tcW w:w="951" w:type="pct"/>
            <w:tcBorders>
              <w:top w:val="single" w:sz="18" w:space="0" w:color="auto"/>
              <w:bottom w:val="double" w:sz="6" w:space="0" w:color="auto"/>
            </w:tcBorders>
          </w:tcPr>
          <w:p w:rsidR="00E101F0" w:rsidRPr="002A62ED" w:rsidRDefault="00E101F0" w:rsidP="00AC2FE9">
            <w:pPr>
              <w:pStyle w:val="14TableHeading"/>
            </w:pPr>
            <w:r w:rsidRPr="002A62ED">
              <w:t>Description</w:t>
            </w:r>
          </w:p>
        </w:tc>
        <w:tc>
          <w:tcPr>
            <w:tcW w:w="1521" w:type="pct"/>
            <w:tcBorders>
              <w:top w:val="single" w:sz="18" w:space="0" w:color="auto"/>
              <w:bottom w:val="double" w:sz="6" w:space="0" w:color="auto"/>
            </w:tcBorders>
            <w:vAlign w:val="center"/>
          </w:tcPr>
          <w:p w:rsidR="00E101F0" w:rsidRPr="002A62ED" w:rsidRDefault="009C0570" w:rsidP="00AC2FE9">
            <w:pPr>
              <w:pStyle w:val="14TableHeading"/>
            </w:pPr>
            <w:r>
              <w:t>Base</w:t>
            </w:r>
            <w:r w:rsidR="00E101F0" w:rsidRPr="002A62ED">
              <w:t xml:space="preserve"> Case</w:t>
            </w:r>
          </w:p>
        </w:tc>
        <w:tc>
          <w:tcPr>
            <w:tcW w:w="1706" w:type="pct"/>
            <w:gridSpan w:val="2"/>
            <w:tcBorders>
              <w:top w:val="single" w:sz="18" w:space="0" w:color="auto"/>
              <w:bottom w:val="double" w:sz="6" w:space="0" w:color="auto"/>
            </w:tcBorders>
            <w:vAlign w:val="center"/>
          </w:tcPr>
          <w:p w:rsidR="00E101F0" w:rsidRPr="002A62ED" w:rsidRDefault="00E101F0" w:rsidP="00AC2FE9">
            <w:pPr>
              <w:pStyle w:val="14TableHeading"/>
            </w:pPr>
            <w:r w:rsidRPr="002A62ED">
              <w:t>GreenSCIES</w:t>
            </w:r>
          </w:p>
        </w:tc>
      </w:tr>
      <w:tr w:rsidR="002A62ED" w:rsidRPr="002A62ED" w:rsidTr="00EB0267">
        <w:trPr>
          <w:jc w:val="center"/>
        </w:trPr>
        <w:tc>
          <w:tcPr>
            <w:tcW w:w="432" w:type="pct"/>
            <w:tcBorders>
              <w:top w:val="double" w:sz="6" w:space="0" w:color="auto"/>
            </w:tcBorders>
            <w:vAlign w:val="center"/>
          </w:tcPr>
          <w:p w:rsidR="00E101F0" w:rsidRPr="002A62ED" w:rsidRDefault="00E101F0" w:rsidP="009C2707">
            <w:pPr>
              <w:pStyle w:val="16TableText"/>
            </w:pPr>
            <w:r w:rsidRPr="002A62ED">
              <w:t>2022</w:t>
            </w:r>
          </w:p>
        </w:tc>
        <w:tc>
          <w:tcPr>
            <w:tcW w:w="390" w:type="pct"/>
            <w:tcBorders>
              <w:top w:val="double" w:sz="6" w:space="0" w:color="auto"/>
            </w:tcBorders>
          </w:tcPr>
          <w:p w:rsidR="00E101F0" w:rsidRPr="002A62ED" w:rsidRDefault="00E101F0" w:rsidP="009C2707">
            <w:pPr>
              <w:pStyle w:val="16TableText"/>
            </w:pPr>
            <w:r w:rsidRPr="002A62ED">
              <w:t>1</w:t>
            </w:r>
          </w:p>
        </w:tc>
        <w:tc>
          <w:tcPr>
            <w:tcW w:w="951" w:type="pct"/>
            <w:tcBorders>
              <w:top w:val="double" w:sz="6" w:space="0" w:color="auto"/>
            </w:tcBorders>
            <w:vAlign w:val="center"/>
          </w:tcPr>
          <w:p w:rsidR="00E101F0" w:rsidRPr="002A62ED" w:rsidRDefault="00E101F0" w:rsidP="00E101F0">
            <w:pPr>
              <w:pStyle w:val="16TableText"/>
            </w:pPr>
            <w:r w:rsidRPr="002A62ED">
              <w:t>Hospital</w:t>
            </w:r>
          </w:p>
        </w:tc>
        <w:tc>
          <w:tcPr>
            <w:tcW w:w="1521" w:type="pct"/>
            <w:tcBorders>
              <w:top w:val="double" w:sz="6" w:space="0" w:color="auto"/>
            </w:tcBorders>
            <w:vAlign w:val="center"/>
          </w:tcPr>
          <w:p w:rsidR="00E101F0" w:rsidRPr="002A62ED" w:rsidRDefault="00E101F0" w:rsidP="00593085">
            <w:pPr>
              <w:pStyle w:val="16TableText"/>
            </w:pPr>
            <w:r w:rsidRPr="002A62ED">
              <w:t xml:space="preserve">Boilers 2029; ASHPs from 2030; </w:t>
            </w:r>
          </w:p>
          <w:p w:rsidR="00E101F0" w:rsidRPr="002A62ED" w:rsidRDefault="00E101F0" w:rsidP="00593085">
            <w:pPr>
              <w:pStyle w:val="16TableText"/>
            </w:pPr>
            <w:r w:rsidRPr="002A62ED">
              <w:t>CHP; Chillers; Thermal stores</w:t>
            </w:r>
          </w:p>
        </w:tc>
        <w:tc>
          <w:tcPr>
            <w:tcW w:w="1706" w:type="pct"/>
            <w:gridSpan w:val="2"/>
            <w:tcBorders>
              <w:top w:val="double" w:sz="6" w:space="0" w:color="auto"/>
            </w:tcBorders>
            <w:vAlign w:val="center"/>
          </w:tcPr>
          <w:p w:rsidR="00E101F0" w:rsidRPr="002A62ED" w:rsidRDefault="00E101F0" w:rsidP="00E101F0">
            <w:pPr>
              <w:pStyle w:val="16TableText"/>
            </w:pPr>
            <w:r w:rsidRPr="002A62ED">
              <w:t>EC1: Heat Pump; Aquifer cold well;</w:t>
            </w:r>
          </w:p>
          <w:p w:rsidR="00E101F0" w:rsidRPr="002A62ED" w:rsidRDefault="00E101F0" w:rsidP="00E101F0">
            <w:pPr>
              <w:pStyle w:val="16TableText"/>
            </w:pPr>
            <w:r w:rsidRPr="002A62ED">
              <w:t>CHP; Thermal stores</w:t>
            </w:r>
          </w:p>
        </w:tc>
      </w:tr>
      <w:tr w:rsidR="002A62ED" w:rsidRPr="002A62ED" w:rsidTr="00EB0267">
        <w:trPr>
          <w:jc w:val="center"/>
        </w:trPr>
        <w:tc>
          <w:tcPr>
            <w:tcW w:w="432" w:type="pct"/>
            <w:vAlign w:val="center"/>
          </w:tcPr>
          <w:p w:rsidR="00E101F0" w:rsidRPr="002A62ED" w:rsidRDefault="00E101F0" w:rsidP="009C2707">
            <w:pPr>
              <w:pStyle w:val="16TableText"/>
            </w:pPr>
            <w:r w:rsidRPr="002A62ED">
              <w:t>2023</w:t>
            </w:r>
          </w:p>
        </w:tc>
        <w:tc>
          <w:tcPr>
            <w:tcW w:w="390" w:type="pct"/>
          </w:tcPr>
          <w:p w:rsidR="00E101F0" w:rsidRPr="002A62ED" w:rsidRDefault="00E101F0" w:rsidP="009C2707">
            <w:pPr>
              <w:pStyle w:val="16TableText"/>
            </w:pPr>
            <w:r w:rsidRPr="002A62ED">
              <w:t>2</w:t>
            </w:r>
          </w:p>
        </w:tc>
        <w:tc>
          <w:tcPr>
            <w:tcW w:w="951" w:type="pct"/>
          </w:tcPr>
          <w:p w:rsidR="00E101F0" w:rsidRPr="002A62ED" w:rsidRDefault="00E101F0" w:rsidP="009C2707">
            <w:pPr>
              <w:pStyle w:val="16TableText"/>
            </w:pPr>
            <w:r w:rsidRPr="002A62ED">
              <w:t>Tower blocks</w:t>
            </w:r>
          </w:p>
        </w:tc>
        <w:tc>
          <w:tcPr>
            <w:tcW w:w="1521" w:type="pct"/>
            <w:vAlign w:val="center"/>
          </w:tcPr>
          <w:p w:rsidR="00E101F0" w:rsidRPr="002A62ED" w:rsidRDefault="00E101F0" w:rsidP="00593085">
            <w:pPr>
              <w:pStyle w:val="16TableText"/>
            </w:pPr>
            <w:r w:rsidRPr="002A62ED">
              <w:t xml:space="preserve">Electric storage heaters; </w:t>
            </w:r>
          </w:p>
          <w:p w:rsidR="00E101F0" w:rsidRPr="002A62ED" w:rsidRDefault="00E101F0" w:rsidP="00593085">
            <w:pPr>
              <w:pStyle w:val="16TableText"/>
            </w:pPr>
            <w:r w:rsidRPr="002A62ED">
              <w:t>Thermal storage</w:t>
            </w:r>
          </w:p>
        </w:tc>
        <w:tc>
          <w:tcPr>
            <w:tcW w:w="1706" w:type="pct"/>
            <w:gridSpan w:val="2"/>
            <w:vAlign w:val="center"/>
          </w:tcPr>
          <w:p w:rsidR="00E101F0" w:rsidRPr="002A62ED" w:rsidRDefault="00E101F0" w:rsidP="009C2707">
            <w:pPr>
              <w:pStyle w:val="16TableText"/>
            </w:pPr>
          </w:p>
        </w:tc>
      </w:tr>
      <w:tr w:rsidR="002A62ED" w:rsidRPr="002A62ED" w:rsidTr="00EB0267">
        <w:trPr>
          <w:jc w:val="center"/>
        </w:trPr>
        <w:tc>
          <w:tcPr>
            <w:tcW w:w="432" w:type="pct"/>
            <w:vAlign w:val="center"/>
          </w:tcPr>
          <w:p w:rsidR="00E101F0" w:rsidRPr="002A62ED" w:rsidRDefault="00E101F0" w:rsidP="009C2707">
            <w:pPr>
              <w:pStyle w:val="16TableText"/>
            </w:pPr>
            <w:r w:rsidRPr="002A62ED">
              <w:t>2024</w:t>
            </w:r>
          </w:p>
        </w:tc>
        <w:tc>
          <w:tcPr>
            <w:tcW w:w="390" w:type="pct"/>
          </w:tcPr>
          <w:p w:rsidR="00E101F0" w:rsidRPr="002A62ED" w:rsidRDefault="00E101F0" w:rsidP="009C2707">
            <w:pPr>
              <w:pStyle w:val="16TableText"/>
            </w:pPr>
            <w:r w:rsidRPr="002A62ED">
              <w:t>3</w:t>
            </w:r>
          </w:p>
        </w:tc>
        <w:tc>
          <w:tcPr>
            <w:tcW w:w="951" w:type="pct"/>
          </w:tcPr>
          <w:p w:rsidR="00E101F0" w:rsidRPr="002A62ED" w:rsidRDefault="00E101F0" w:rsidP="004861CC">
            <w:pPr>
              <w:pStyle w:val="16TableText"/>
              <w:ind w:left="181"/>
            </w:pPr>
            <w:r w:rsidRPr="002A62ED">
              <w:t>Supermarket cluster</w:t>
            </w:r>
          </w:p>
        </w:tc>
        <w:tc>
          <w:tcPr>
            <w:tcW w:w="1521" w:type="pct"/>
            <w:vAlign w:val="center"/>
          </w:tcPr>
          <w:p w:rsidR="00E101F0" w:rsidRPr="002A62ED" w:rsidRDefault="00E101F0" w:rsidP="009C2707">
            <w:pPr>
              <w:pStyle w:val="16TableText"/>
            </w:pPr>
            <w:r w:rsidRPr="002A62ED">
              <w:t>Boilers to 2029; ASHPs from 2030; Electric Chillers</w:t>
            </w:r>
          </w:p>
        </w:tc>
        <w:tc>
          <w:tcPr>
            <w:tcW w:w="1706" w:type="pct"/>
            <w:gridSpan w:val="2"/>
            <w:vAlign w:val="center"/>
          </w:tcPr>
          <w:p w:rsidR="00E101F0" w:rsidRPr="002A62ED" w:rsidRDefault="00E101F0" w:rsidP="00E101F0">
            <w:pPr>
              <w:pStyle w:val="16TableText"/>
            </w:pPr>
            <w:r w:rsidRPr="002A62ED">
              <w:t xml:space="preserve">EC2: Heat Pump; </w:t>
            </w:r>
          </w:p>
          <w:p w:rsidR="00E101F0" w:rsidRPr="002A62ED" w:rsidRDefault="00E101F0" w:rsidP="00E101F0">
            <w:pPr>
              <w:pStyle w:val="16TableText"/>
            </w:pPr>
            <w:r w:rsidRPr="002A62ED">
              <w:t>Aquifer cold well</w:t>
            </w:r>
          </w:p>
        </w:tc>
      </w:tr>
      <w:tr w:rsidR="002A62ED" w:rsidRPr="002A62ED" w:rsidTr="00EB0267">
        <w:trPr>
          <w:jc w:val="center"/>
        </w:trPr>
        <w:tc>
          <w:tcPr>
            <w:tcW w:w="432" w:type="pct"/>
            <w:vAlign w:val="center"/>
          </w:tcPr>
          <w:p w:rsidR="00E101F0" w:rsidRPr="002A62ED" w:rsidRDefault="00E101F0" w:rsidP="009C2707">
            <w:pPr>
              <w:pStyle w:val="16TableText"/>
            </w:pPr>
            <w:r w:rsidRPr="002A62ED">
              <w:t>2025</w:t>
            </w:r>
          </w:p>
        </w:tc>
        <w:tc>
          <w:tcPr>
            <w:tcW w:w="390" w:type="pct"/>
          </w:tcPr>
          <w:p w:rsidR="00E101F0" w:rsidRPr="002A62ED" w:rsidRDefault="00E101F0" w:rsidP="009C2707">
            <w:pPr>
              <w:pStyle w:val="16TableText"/>
            </w:pPr>
            <w:r w:rsidRPr="002A62ED">
              <w:t>4</w:t>
            </w:r>
          </w:p>
        </w:tc>
        <w:tc>
          <w:tcPr>
            <w:tcW w:w="951" w:type="pct"/>
          </w:tcPr>
          <w:p w:rsidR="00E101F0" w:rsidRPr="002A62ED" w:rsidRDefault="00E101F0" w:rsidP="00E101F0">
            <w:pPr>
              <w:pStyle w:val="16TableText"/>
              <w:ind w:left="0" w:firstLine="0"/>
            </w:pPr>
            <w:r w:rsidRPr="002A62ED">
              <w:t>Foundry and Industrial park</w:t>
            </w:r>
          </w:p>
        </w:tc>
        <w:tc>
          <w:tcPr>
            <w:tcW w:w="1521" w:type="pct"/>
            <w:vAlign w:val="center"/>
          </w:tcPr>
          <w:p w:rsidR="00E101F0" w:rsidRPr="002A62ED" w:rsidRDefault="00E101F0" w:rsidP="009C2707">
            <w:pPr>
              <w:pStyle w:val="16TableText"/>
            </w:pPr>
            <w:r w:rsidRPr="002A62ED">
              <w:t>Boilers to 2029; ASHPs from 2030</w:t>
            </w:r>
          </w:p>
        </w:tc>
        <w:tc>
          <w:tcPr>
            <w:tcW w:w="1706" w:type="pct"/>
            <w:gridSpan w:val="2"/>
            <w:vAlign w:val="center"/>
          </w:tcPr>
          <w:p w:rsidR="00E101F0" w:rsidRPr="002A62ED" w:rsidRDefault="00E101F0" w:rsidP="009C2707">
            <w:pPr>
              <w:pStyle w:val="16TableText"/>
            </w:pPr>
            <w:r w:rsidRPr="002A62ED">
              <w:t>EC3: Heat recovery heat pump</w:t>
            </w:r>
          </w:p>
        </w:tc>
      </w:tr>
      <w:tr w:rsidR="002A62ED" w:rsidRPr="002A62ED" w:rsidTr="00EB0267">
        <w:trPr>
          <w:jc w:val="center"/>
        </w:trPr>
        <w:tc>
          <w:tcPr>
            <w:tcW w:w="432" w:type="pct"/>
            <w:vAlign w:val="center"/>
          </w:tcPr>
          <w:p w:rsidR="00E101F0" w:rsidRPr="002A62ED" w:rsidRDefault="00E101F0" w:rsidP="009C2707">
            <w:pPr>
              <w:pStyle w:val="16TableText"/>
            </w:pPr>
            <w:r w:rsidRPr="002A62ED">
              <w:t>2026</w:t>
            </w:r>
          </w:p>
        </w:tc>
        <w:tc>
          <w:tcPr>
            <w:tcW w:w="390" w:type="pct"/>
          </w:tcPr>
          <w:p w:rsidR="00E101F0" w:rsidRPr="002A62ED" w:rsidRDefault="00E101F0" w:rsidP="009C2707">
            <w:pPr>
              <w:pStyle w:val="16TableText"/>
            </w:pPr>
            <w:r w:rsidRPr="002A62ED">
              <w:t>5</w:t>
            </w:r>
          </w:p>
        </w:tc>
        <w:tc>
          <w:tcPr>
            <w:tcW w:w="951" w:type="pct"/>
            <w:vMerge w:val="restart"/>
            <w:vAlign w:val="center"/>
          </w:tcPr>
          <w:p w:rsidR="006B04CA" w:rsidRDefault="00E101F0" w:rsidP="006B04CA">
            <w:pPr>
              <w:pStyle w:val="16TableText"/>
            </w:pPr>
            <w:r w:rsidRPr="002A62ED">
              <w:t xml:space="preserve">New </w:t>
            </w:r>
            <w:r w:rsidR="006B04CA">
              <w:t xml:space="preserve">Build </w:t>
            </w:r>
          </w:p>
          <w:p w:rsidR="00E101F0" w:rsidRPr="002A62ED" w:rsidRDefault="006B04CA" w:rsidP="006B04CA">
            <w:pPr>
              <w:pStyle w:val="16TableText"/>
            </w:pPr>
            <w:r>
              <w:t>1, 2 and 3</w:t>
            </w:r>
          </w:p>
        </w:tc>
        <w:tc>
          <w:tcPr>
            <w:tcW w:w="1521" w:type="pct"/>
            <w:vMerge w:val="restart"/>
            <w:vAlign w:val="bottom"/>
          </w:tcPr>
          <w:p w:rsidR="00E101F0" w:rsidRPr="002A62ED" w:rsidRDefault="00E101F0" w:rsidP="00E101F0">
            <w:pPr>
              <w:pStyle w:val="16TableText"/>
            </w:pPr>
            <w:r w:rsidRPr="002A62ED">
              <w:t>Air Source Heat Pumps</w:t>
            </w:r>
          </w:p>
          <w:p w:rsidR="00E101F0" w:rsidRPr="002A62ED" w:rsidRDefault="00E101F0" w:rsidP="00E101F0">
            <w:pPr>
              <w:pStyle w:val="16TableText"/>
            </w:pPr>
          </w:p>
        </w:tc>
        <w:tc>
          <w:tcPr>
            <w:tcW w:w="1706" w:type="pct"/>
            <w:gridSpan w:val="2"/>
            <w:vAlign w:val="center"/>
          </w:tcPr>
          <w:p w:rsidR="00E101F0" w:rsidRPr="002A62ED" w:rsidRDefault="00E101F0" w:rsidP="009C2707">
            <w:pPr>
              <w:pStyle w:val="16TableText"/>
            </w:pPr>
          </w:p>
        </w:tc>
      </w:tr>
      <w:tr w:rsidR="002A62ED" w:rsidRPr="002A62ED" w:rsidTr="00EB0267">
        <w:trPr>
          <w:gridAfter w:val="1"/>
          <w:wAfter w:w="96" w:type="pct"/>
          <w:jc w:val="center"/>
        </w:trPr>
        <w:tc>
          <w:tcPr>
            <w:tcW w:w="432" w:type="pct"/>
            <w:vAlign w:val="center"/>
          </w:tcPr>
          <w:p w:rsidR="00E101F0" w:rsidRPr="002A62ED" w:rsidRDefault="00E101F0" w:rsidP="009C2707">
            <w:pPr>
              <w:pStyle w:val="16TableText"/>
            </w:pPr>
            <w:r w:rsidRPr="002A62ED">
              <w:t>2028</w:t>
            </w:r>
          </w:p>
        </w:tc>
        <w:tc>
          <w:tcPr>
            <w:tcW w:w="390" w:type="pct"/>
          </w:tcPr>
          <w:p w:rsidR="00E101F0" w:rsidRPr="002A62ED" w:rsidRDefault="00E101F0" w:rsidP="009C2707">
            <w:pPr>
              <w:pStyle w:val="16TableText"/>
            </w:pPr>
            <w:r w:rsidRPr="002A62ED">
              <w:t>6</w:t>
            </w:r>
          </w:p>
        </w:tc>
        <w:tc>
          <w:tcPr>
            <w:tcW w:w="951" w:type="pct"/>
            <w:vMerge/>
          </w:tcPr>
          <w:p w:rsidR="00E101F0" w:rsidRPr="002A62ED" w:rsidRDefault="00E101F0" w:rsidP="009C2707">
            <w:pPr>
              <w:pStyle w:val="16TableText"/>
            </w:pPr>
          </w:p>
        </w:tc>
        <w:tc>
          <w:tcPr>
            <w:tcW w:w="1521" w:type="pct"/>
            <w:vMerge/>
            <w:vAlign w:val="center"/>
          </w:tcPr>
          <w:p w:rsidR="00E101F0" w:rsidRPr="002A62ED" w:rsidRDefault="00E101F0" w:rsidP="009C2707">
            <w:pPr>
              <w:pStyle w:val="16TableText"/>
            </w:pPr>
          </w:p>
        </w:tc>
        <w:tc>
          <w:tcPr>
            <w:tcW w:w="1611" w:type="pct"/>
            <w:vAlign w:val="center"/>
          </w:tcPr>
          <w:p w:rsidR="00E101F0" w:rsidRPr="002A62ED" w:rsidRDefault="00E101F0" w:rsidP="009C2707">
            <w:pPr>
              <w:pStyle w:val="16TableText"/>
            </w:pPr>
          </w:p>
        </w:tc>
      </w:tr>
      <w:tr w:rsidR="002A62ED" w:rsidRPr="002A62ED" w:rsidTr="00EB0267">
        <w:trPr>
          <w:jc w:val="center"/>
        </w:trPr>
        <w:tc>
          <w:tcPr>
            <w:tcW w:w="432" w:type="pct"/>
            <w:vAlign w:val="center"/>
          </w:tcPr>
          <w:p w:rsidR="00E101F0" w:rsidRPr="002A62ED" w:rsidRDefault="00E101F0" w:rsidP="009C2707">
            <w:pPr>
              <w:pStyle w:val="16TableText"/>
            </w:pPr>
            <w:r w:rsidRPr="002A62ED">
              <w:t>2030</w:t>
            </w:r>
          </w:p>
        </w:tc>
        <w:tc>
          <w:tcPr>
            <w:tcW w:w="390" w:type="pct"/>
          </w:tcPr>
          <w:p w:rsidR="00E101F0" w:rsidRPr="002A62ED" w:rsidRDefault="00E101F0" w:rsidP="009C2707">
            <w:pPr>
              <w:pStyle w:val="16TableText"/>
            </w:pPr>
            <w:r w:rsidRPr="002A62ED">
              <w:t>7</w:t>
            </w:r>
          </w:p>
        </w:tc>
        <w:tc>
          <w:tcPr>
            <w:tcW w:w="951" w:type="pct"/>
            <w:vMerge/>
          </w:tcPr>
          <w:p w:rsidR="00E101F0" w:rsidRPr="002A62ED" w:rsidRDefault="00E101F0" w:rsidP="009C2707">
            <w:pPr>
              <w:pStyle w:val="16TableText"/>
            </w:pPr>
          </w:p>
        </w:tc>
        <w:tc>
          <w:tcPr>
            <w:tcW w:w="1521" w:type="pct"/>
            <w:vMerge/>
            <w:vAlign w:val="center"/>
          </w:tcPr>
          <w:p w:rsidR="00E101F0" w:rsidRPr="002A62ED" w:rsidRDefault="00E101F0" w:rsidP="009C2707">
            <w:pPr>
              <w:pStyle w:val="16TableText"/>
            </w:pPr>
          </w:p>
        </w:tc>
        <w:tc>
          <w:tcPr>
            <w:tcW w:w="1706" w:type="pct"/>
            <w:gridSpan w:val="2"/>
            <w:vAlign w:val="center"/>
          </w:tcPr>
          <w:p w:rsidR="00E101F0" w:rsidRPr="002A62ED" w:rsidRDefault="00E101F0" w:rsidP="009C2707">
            <w:pPr>
              <w:pStyle w:val="16TableText"/>
            </w:pPr>
            <w:r w:rsidRPr="002A62ED">
              <w:t>EC3: Aquifer heat pump</w:t>
            </w:r>
          </w:p>
        </w:tc>
      </w:tr>
      <w:tr w:rsidR="002A62ED" w:rsidRPr="002A62ED" w:rsidTr="00EB0267">
        <w:trPr>
          <w:jc w:val="center"/>
        </w:trPr>
        <w:tc>
          <w:tcPr>
            <w:tcW w:w="432" w:type="pct"/>
            <w:vAlign w:val="center"/>
          </w:tcPr>
          <w:p w:rsidR="00E101F0" w:rsidRPr="002A62ED" w:rsidRDefault="00E101F0" w:rsidP="009C2707">
            <w:pPr>
              <w:pStyle w:val="16TableText"/>
            </w:pPr>
            <w:r w:rsidRPr="002A62ED">
              <w:t>2029</w:t>
            </w:r>
          </w:p>
        </w:tc>
        <w:tc>
          <w:tcPr>
            <w:tcW w:w="390" w:type="pct"/>
          </w:tcPr>
          <w:p w:rsidR="00E101F0" w:rsidRPr="002A62ED" w:rsidRDefault="00E101F0" w:rsidP="009C2707">
            <w:pPr>
              <w:pStyle w:val="16TableText"/>
            </w:pPr>
            <w:r w:rsidRPr="002A62ED">
              <w:t>8</w:t>
            </w:r>
          </w:p>
        </w:tc>
        <w:tc>
          <w:tcPr>
            <w:tcW w:w="951" w:type="pct"/>
            <w:vMerge w:val="restart"/>
          </w:tcPr>
          <w:p w:rsidR="00E101F0" w:rsidRPr="002A62ED" w:rsidRDefault="00E101F0" w:rsidP="009C2707">
            <w:pPr>
              <w:pStyle w:val="16TableText"/>
            </w:pPr>
            <w:r w:rsidRPr="002A62ED">
              <w:t>Existing domestic properties</w:t>
            </w:r>
            <w:r w:rsidR="006B04CA">
              <w:t xml:space="preserve"> A, B and C</w:t>
            </w:r>
          </w:p>
        </w:tc>
        <w:tc>
          <w:tcPr>
            <w:tcW w:w="1521" w:type="pct"/>
            <w:vMerge w:val="restart"/>
            <w:vAlign w:val="center"/>
          </w:tcPr>
          <w:p w:rsidR="00E101F0" w:rsidRPr="002A62ED" w:rsidRDefault="00E101F0" w:rsidP="00E101F0">
            <w:pPr>
              <w:pStyle w:val="16TableText"/>
            </w:pPr>
            <w:r w:rsidRPr="002A62ED">
              <w:t>Boilers to 2029; ASHPs from 2030</w:t>
            </w:r>
          </w:p>
          <w:p w:rsidR="00E101F0" w:rsidRPr="002A62ED" w:rsidRDefault="00E101F0" w:rsidP="00E101F0">
            <w:pPr>
              <w:pStyle w:val="16TableText"/>
            </w:pPr>
            <w:r w:rsidRPr="002A62ED">
              <w:t>Domestic hot water cylinders</w:t>
            </w:r>
          </w:p>
        </w:tc>
        <w:tc>
          <w:tcPr>
            <w:tcW w:w="1706" w:type="pct"/>
            <w:gridSpan w:val="2"/>
            <w:vAlign w:val="center"/>
          </w:tcPr>
          <w:p w:rsidR="00E101F0" w:rsidRPr="002A62ED" w:rsidRDefault="00E101F0" w:rsidP="009C2707">
            <w:pPr>
              <w:pStyle w:val="16TableText"/>
            </w:pPr>
          </w:p>
        </w:tc>
      </w:tr>
      <w:tr w:rsidR="002A62ED" w:rsidRPr="002A62ED" w:rsidTr="00EB0267">
        <w:trPr>
          <w:gridAfter w:val="1"/>
          <w:wAfter w:w="96" w:type="pct"/>
          <w:jc w:val="center"/>
        </w:trPr>
        <w:tc>
          <w:tcPr>
            <w:tcW w:w="432" w:type="pct"/>
            <w:vAlign w:val="center"/>
          </w:tcPr>
          <w:p w:rsidR="00E101F0" w:rsidRPr="002A62ED" w:rsidRDefault="00E101F0" w:rsidP="009C2707">
            <w:pPr>
              <w:pStyle w:val="16TableText"/>
            </w:pPr>
            <w:r w:rsidRPr="002A62ED">
              <w:t>2030</w:t>
            </w:r>
          </w:p>
        </w:tc>
        <w:tc>
          <w:tcPr>
            <w:tcW w:w="390" w:type="pct"/>
          </w:tcPr>
          <w:p w:rsidR="00E101F0" w:rsidRPr="002A62ED" w:rsidRDefault="00E101F0" w:rsidP="009C2707">
            <w:pPr>
              <w:pStyle w:val="16TableText"/>
            </w:pPr>
            <w:r w:rsidRPr="002A62ED">
              <w:t>9</w:t>
            </w:r>
          </w:p>
        </w:tc>
        <w:tc>
          <w:tcPr>
            <w:tcW w:w="951" w:type="pct"/>
            <w:vMerge/>
          </w:tcPr>
          <w:p w:rsidR="00E101F0" w:rsidRPr="002A62ED" w:rsidRDefault="00E101F0" w:rsidP="009C2707">
            <w:pPr>
              <w:pStyle w:val="16TableText"/>
            </w:pPr>
          </w:p>
        </w:tc>
        <w:tc>
          <w:tcPr>
            <w:tcW w:w="1521" w:type="pct"/>
            <w:vMerge/>
            <w:vAlign w:val="center"/>
          </w:tcPr>
          <w:p w:rsidR="00E101F0" w:rsidRPr="002A62ED" w:rsidRDefault="00E101F0" w:rsidP="009C2707">
            <w:pPr>
              <w:pStyle w:val="16TableText"/>
            </w:pPr>
          </w:p>
        </w:tc>
        <w:tc>
          <w:tcPr>
            <w:tcW w:w="1611" w:type="pct"/>
            <w:vAlign w:val="center"/>
          </w:tcPr>
          <w:p w:rsidR="00E101F0" w:rsidRPr="002A62ED" w:rsidRDefault="00E101F0" w:rsidP="009C2707">
            <w:pPr>
              <w:pStyle w:val="16TableText"/>
            </w:pPr>
          </w:p>
        </w:tc>
      </w:tr>
      <w:tr w:rsidR="002A62ED" w:rsidRPr="002A62ED" w:rsidTr="00EB0267">
        <w:trPr>
          <w:jc w:val="center"/>
        </w:trPr>
        <w:tc>
          <w:tcPr>
            <w:tcW w:w="432" w:type="pct"/>
            <w:vAlign w:val="center"/>
          </w:tcPr>
          <w:p w:rsidR="00E101F0" w:rsidRPr="002A62ED" w:rsidRDefault="00E101F0" w:rsidP="009C2707">
            <w:pPr>
              <w:pStyle w:val="16TableText"/>
            </w:pPr>
            <w:r w:rsidRPr="002A62ED">
              <w:t>2031</w:t>
            </w:r>
          </w:p>
        </w:tc>
        <w:tc>
          <w:tcPr>
            <w:tcW w:w="390" w:type="pct"/>
          </w:tcPr>
          <w:p w:rsidR="00E101F0" w:rsidRPr="002A62ED" w:rsidRDefault="00E101F0" w:rsidP="009C2707">
            <w:pPr>
              <w:pStyle w:val="16TableText"/>
            </w:pPr>
            <w:r w:rsidRPr="002A62ED">
              <w:t>10</w:t>
            </w:r>
          </w:p>
        </w:tc>
        <w:tc>
          <w:tcPr>
            <w:tcW w:w="951" w:type="pct"/>
            <w:vMerge/>
          </w:tcPr>
          <w:p w:rsidR="00E101F0" w:rsidRPr="002A62ED" w:rsidRDefault="00E101F0" w:rsidP="009C2707">
            <w:pPr>
              <w:pStyle w:val="16TableText"/>
            </w:pPr>
          </w:p>
        </w:tc>
        <w:tc>
          <w:tcPr>
            <w:tcW w:w="1521" w:type="pct"/>
            <w:vMerge/>
            <w:vAlign w:val="center"/>
          </w:tcPr>
          <w:p w:rsidR="00E101F0" w:rsidRPr="002A62ED" w:rsidRDefault="00E101F0" w:rsidP="009C2707">
            <w:pPr>
              <w:pStyle w:val="16TableText"/>
            </w:pPr>
          </w:p>
        </w:tc>
        <w:tc>
          <w:tcPr>
            <w:tcW w:w="1706" w:type="pct"/>
            <w:gridSpan w:val="2"/>
            <w:vAlign w:val="center"/>
          </w:tcPr>
          <w:p w:rsidR="00E101F0" w:rsidRPr="002A62ED" w:rsidRDefault="00E101F0" w:rsidP="009C2707">
            <w:pPr>
              <w:pStyle w:val="16TableText"/>
            </w:pPr>
          </w:p>
        </w:tc>
      </w:tr>
    </w:tbl>
    <w:p w:rsidR="00B45F1A" w:rsidRPr="002A62ED" w:rsidRDefault="002A62ED" w:rsidP="00AB332D">
      <w:pPr>
        <w:pStyle w:val="11Level2Heading"/>
      </w:pPr>
      <w:r w:rsidRPr="002A62ED">
        <w:t>Techno-economic model results</w:t>
      </w:r>
    </w:p>
    <w:p w:rsidR="002A62ED" w:rsidRDefault="002A62ED" w:rsidP="00371DFB">
      <w:pPr>
        <w:pStyle w:val="08BodySpaceBelowApplytomaintextbeforeanumberedlist"/>
      </w:pPr>
      <w:r>
        <w:t xml:space="preserve">Figure 6 shows </w:t>
      </w:r>
      <w:r w:rsidR="009F07E2">
        <w:t>the Green</w:t>
      </w:r>
      <w:r w:rsidR="00EB0267">
        <w:t>SCIES</w:t>
      </w:r>
      <w:r w:rsidR="009F07E2">
        <w:t>-Smethwick heat network generation by source and Figure 7 compare</w:t>
      </w:r>
      <w:r w:rsidR="004861CC">
        <w:t>s</w:t>
      </w:r>
      <w:r w:rsidR="009F07E2">
        <w:t xml:space="preserve"> the carbon emission</w:t>
      </w:r>
      <w:r w:rsidR="00EB0267">
        <w:t>s</w:t>
      </w:r>
      <w:r w:rsidR="009F07E2">
        <w:t xml:space="preserve"> in the </w:t>
      </w:r>
      <w:r w:rsidR="009C0570">
        <w:t>base</w:t>
      </w:r>
      <w:r w:rsidR="009F07E2">
        <w:t xml:space="preserve"> case against the GreenSCIES scheme.</w:t>
      </w:r>
    </w:p>
    <w:p w:rsidR="00EB0267" w:rsidRDefault="00C105FF" w:rsidP="00371DFB">
      <w:pPr>
        <w:pStyle w:val="08BodySpaceBelowApplytomaintextbeforeanumberedlist"/>
        <w:rPr>
          <w:noProof/>
          <w:lang w:val="en-GB" w:eastAsia="en-GB"/>
        </w:rPr>
      </w:pPr>
      <w:r>
        <w:rPr>
          <w:noProof/>
          <w:lang w:val="en-GB" w:eastAsia="en-GB"/>
        </w:rPr>
        <w:drawing>
          <wp:inline distT="0" distB="0" distL="0" distR="0" wp14:anchorId="5B1BCCB8" wp14:editId="3154E4BC">
            <wp:extent cx="3013200" cy="262440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3200" cy="2624400"/>
                    </a:xfrm>
                    <a:prstGeom prst="rect">
                      <a:avLst/>
                    </a:prstGeom>
                  </pic:spPr>
                </pic:pic>
              </a:graphicData>
            </a:graphic>
          </wp:inline>
        </w:drawing>
      </w:r>
      <w:r w:rsidR="003640DA" w:rsidRPr="009F07E2">
        <w:rPr>
          <w:noProof/>
          <w:lang w:val="en-GB" w:eastAsia="en-GB"/>
        </w:rPr>
        <w:drawing>
          <wp:inline distT="0" distB="0" distL="0" distR="0" wp14:editId="3B10DE10">
            <wp:extent cx="3188335" cy="233934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335" cy="2339340"/>
                    </a:xfrm>
                    <a:prstGeom prst="rect">
                      <a:avLst/>
                    </a:prstGeom>
                    <a:noFill/>
                    <a:ln>
                      <a:noFill/>
                    </a:ln>
                  </pic:spPr>
                </pic:pic>
              </a:graphicData>
            </a:graphic>
          </wp:inline>
        </w:drawing>
      </w:r>
    </w:p>
    <w:p w:rsidR="00EB0267" w:rsidRDefault="00EB0267" w:rsidP="00371DFB">
      <w:pPr>
        <w:pStyle w:val="08BodySpaceBelowApplytomaintextbeforeanumberedlist"/>
      </w:pPr>
      <w:r w:rsidRPr="00EB0267">
        <w:rPr>
          <w:b/>
          <w:noProof/>
          <w:lang w:val="en-GB" w:eastAsia="en-GB"/>
        </w:rPr>
        <w:t>Figure 6:</w:t>
      </w:r>
      <w:r>
        <w:rPr>
          <w:noProof/>
          <w:lang w:val="en-GB" w:eastAsia="en-GB"/>
        </w:rPr>
        <w:t xml:space="preserve"> </w:t>
      </w:r>
      <w:r>
        <w:t>GreenSCIES network generation by source</w:t>
      </w:r>
      <w:r>
        <w:tab/>
      </w:r>
      <w:r>
        <w:tab/>
      </w:r>
      <w:r w:rsidR="004861CC">
        <w:tab/>
      </w:r>
      <w:r w:rsidR="004861CC">
        <w:tab/>
      </w:r>
      <w:r w:rsidRPr="00EB0267">
        <w:rPr>
          <w:b/>
        </w:rPr>
        <w:t>Figure 7:</w:t>
      </w:r>
      <w:r>
        <w:t xml:space="preserve"> CO</w:t>
      </w:r>
      <w:r w:rsidRPr="004861CC">
        <w:rPr>
          <w:vertAlign w:val="subscript"/>
        </w:rPr>
        <w:t>2</w:t>
      </w:r>
      <w:r>
        <w:t xml:space="preserve"> emissions </w:t>
      </w:r>
    </w:p>
    <w:p w:rsidR="00181F27" w:rsidRPr="00EB0267" w:rsidRDefault="00181F27" w:rsidP="00371DFB">
      <w:pPr>
        <w:pStyle w:val="08BodySpaceBelowApplytomaintextbeforeanumberedlist"/>
        <w:rPr>
          <w:noProof/>
          <w:color w:val="FF0000"/>
          <w:lang w:val="en-GB" w:eastAsia="en-GB"/>
        </w:rPr>
      </w:pPr>
    </w:p>
    <w:p w:rsidR="005423D8" w:rsidRDefault="005423D8" w:rsidP="00371DFB">
      <w:pPr>
        <w:pStyle w:val="08BodySpaceBelowApplytomaintextbeforeanumberedlist"/>
      </w:pPr>
      <w:r>
        <w:t xml:space="preserve">Phase 1 helps to decarbonize the hospital without displacing the CHP and phase 2 helps to replace the tower blocks night storage heaters. The heat pump at the supermarket </w:t>
      </w:r>
      <w:proofErr w:type="gramStart"/>
      <w:r>
        <w:t>is only fully utilized</w:t>
      </w:r>
      <w:proofErr w:type="gramEnd"/>
      <w:r>
        <w:t xml:space="preserve"> in phases 3 and 10 (when all domestic properties are connected) as the foundry heat recovery and aquifer heat pumps supply most of the </w:t>
      </w:r>
      <w:r w:rsidR="007367B9">
        <w:t xml:space="preserve">heat source </w:t>
      </w:r>
      <w:r>
        <w:t xml:space="preserve">until </w:t>
      </w:r>
      <w:r>
        <w:lastRenderedPageBreak/>
        <w:t>phase 9. The CO</w:t>
      </w:r>
      <w:r w:rsidRPr="005423D8">
        <w:rPr>
          <w:vertAlign w:val="subscript"/>
        </w:rPr>
        <w:t xml:space="preserve">2 </w:t>
      </w:r>
      <w:r>
        <w:t>emissions are up to 40% lower on the GreenSCIES-Smethwick scheme in some phases, but gradually reduce from 2030 when the counter-factual changes from gas boilers to air source heat pumps.</w:t>
      </w:r>
    </w:p>
    <w:p w:rsidR="005423D8" w:rsidRPr="002A62ED" w:rsidRDefault="005423D8" w:rsidP="00AB332D">
      <w:pPr>
        <w:pStyle w:val="11Level2Heading"/>
        <w:rPr>
          <w:rFonts w:ascii="Garamond" w:hAnsi="Garamond"/>
          <w:sz w:val="21"/>
          <w:szCs w:val="21"/>
        </w:rPr>
      </w:pPr>
      <w:r w:rsidRPr="002A62ED">
        <w:t>Capital expenditure for the proposed GreenSCIES</w:t>
      </w:r>
      <w:r w:rsidR="004861CC">
        <w:t>-</w:t>
      </w:r>
      <w:r w:rsidRPr="002A62ED">
        <w:t>Smethwick network</w:t>
      </w:r>
    </w:p>
    <w:p w:rsidR="002A62ED" w:rsidRPr="002E5F1A" w:rsidRDefault="005423D8" w:rsidP="00371DFB">
      <w:pPr>
        <w:pStyle w:val="08BodySpaceBelowApplytomaintextbeforeanumberedlist"/>
      </w:pPr>
      <w:r>
        <w:t xml:space="preserve"> The </w:t>
      </w:r>
      <w:r w:rsidR="00B45F1A" w:rsidRPr="002A62ED">
        <w:t xml:space="preserve">capital expenditure (CAPEX) of the proposed GreenSCIES-Smethwick network was estimated taking into account the cost of the heat network pipework, </w:t>
      </w:r>
      <w:r w:rsidR="00BB7172" w:rsidRPr="002A62ED">
        <w:t xml:space="preserve">boreholes, </w:t>
      </w:r>
      <w:r w:rsidR="004861CC" w:rsidRPr="002A62ED">
        <w:t>water-sourced</w:t>
      </w:r>
      <w:r w:rsidR="00B45F1A" w:rsidRPr="002A62ED">
        <w:t xml:space="preserve"> heat pumps, heating and cooling building services</w:t>
      </w:r>
      <w:r>
        <w:t>, metering, source connections</w:t>
      </w:r>
      <w:r w:rsidR="00B45F1A" w:rsidRPr="002A62ED">
        <w:t>,</w:t>
      </w:r>
      <w:r w:rsidR="00BB7172">
        <w:t xml:space="preserve"> thermal storage, </w:t>
      </w:r>
      <w:r w:rsidR="00B45F1A" w:rsidRPr="002A62ED">
        <w:t>anticipated road</w:t>
      </w:r>
      <w:r>
        <w:t>/bridge</w:t>
      </w:r>
      <w:r w:rsidR="00B45F1A" w:rsidRPr="002A62ED">
        <w:t xml:space="preserve"> crossings and a </w:t>
      </w:r>
      <w:r w:rsidR="002E5F1A">
        <w:t xml:space="preserve">contingency </w:t>
      </w:r>
      <w:r w:rsidR="00B45F1A" w:rsidRPr="002A62ED">
        <w:t>fund for the design</w:t>
      </w:r>
      <w:r w:rsidR="004861CC">
        <w:t xml:space="preserve"> and </w:t>
      </w:r>
      <w:r w:rsidR="00B45F1A" w:rsidRPr="002A62ED">
        <w:t xml:space="preserve">commission </w:t>
      </w:r>
      <w:r w:rsidR="002E5F1A">
        <w:t>of the network</w:t>
      </w:r>
      <w:r w:rsidR="00B45F1A" w:rsidRPr="002A62ED">
        <w:t xml:space="preserve">. Figure </w:t>
      </w:r>
      <w:r w:rsidR="002E5F1A">
        <w:t>8</w:t>
      </w:r>
      <w:r w:rsidR="00B45F1A" w:rsidRPr="002A62ED">
        <w:t xml:space="preserve"> shows the CAPEX breakdown for the whole system in phase 10.</w:t>
      </w:r>
    </w:p>
    <w:p w:rsidR="00B45F1A" w:rsidRDefault="004861CC" w:rsidP="00CD5207">
      <w:pPr>
        <w:pStyle w:val="08BodySpaceBelowApplytomaintextbeforeanumberedlist"/>
      </w:pPr>
      <w:r>
        <w:t xml:space="preserve">             </w:t>
      </w:r>
      <w:r w:rsidR="002E5F1A">
        <w:t xml:space="preserve">         </w:t>
      </w:r>
      <w:r w:rsidR="003640DA" w:rsidRPr="00AC5DFD">
        <w:rPr>
          <w:noProof/>
          <w:lang w:val="en-GB" w:eastAsia="en-GB"/>
        </w:rPr>
        <w:drawing>
          <wp:inline distT="0" distB="0" distL="0" distR="0" wp14:editId="5E219690">
            <wp:extent cx="3804185" cy="2346464"/>
            <wp:effectExtent l="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4628" cy="2359073"/>
                    </a:xfrm>
                    <a:prstGeom prst="rect">
                      <a:avLst/>
                    </a:prstGeom>
                    <a:noFill/>
                    <a:ln>
                      <a:noFill/>
                    </a:ln>
                  </pic:spPr>
                </pic:pic>
              </a:graphicData>
            </a:graphic>
          </wp:inline>
        </w:drawing>
      </w:r>
    </w:p>
    <w:p w:rsidR="00323022" w:rsidRPr="004861CC" w:rsidRDefault="00323022" w:rsidP="004861CC">
      <w:pPr>
        <w:pStyle w:val="11Level2Heading"/>
        <w:spacing w:before="0" w:line="240" w:lineRule="auto"/>
        <w:ind w:left="2160"/>
        <w:rPr>
          <w:rFonts w:ascii="Garamond" w:hAnsi="Garamond"/>
          <w:b w:val="0"/>
        </w:rPr>
      </w:pPr>
      <w:r w:rsidRPr="00CD5207">
        <w:rPr>
          <w:rFonts w:ascii="Garamond" w:hAnsi="Garamond"/>
        </w:rPr>
        <w:t xml:space="preserve">Figure 8: </w:t>
      </w:r>
      <w:r w:rsidRPr="004861CC">
        <w:rPr>
          <w:rFonts w:ascii="Garamond" w:hAnsi="Garamond"/>
          <w:b w:val="0"/>
        </w:rPr>
        <w:t>CAPEX for the GreenSCIES-Smethwick network</w:t>
      </w:r>
    </w:p>
    <w:p w:rsidR="00323022" w:rsidRPr="004861CC" w:rsidRDefault="00323022" w:rsidP="005E1EC4">
      <w:pPr>
        <w:pStyle w:val="11Level2Heading"/>
        <w:spacing w:before="0" w:after="0"/>
        <w:ind w:firstLine="284"/>
        <w:rPr>
          <w:rFonts w:ascii="Garamond" w:hAnsi="Garamond"/>
          <w:b w:val="0"/>
        </w:rPr>
      </w:pPr>
      <w:r w:rsidRPr="004861CC">
        <w:rPr>
          <w:rFonts w:ascii="Garamond" w:hAnsi="Garamond"/>
          <w:b w:val="0"/>
        </w:rPr>
        <w:t>The total CAPEX for the GreenSCIES</w:t>
      </w:r>
      <w:r w:rsidR="007C199A" w:rsidRPr="004861CC">
        <w:rPr>
          <w:rFonts w:ascii="Garamond" w:hAnsi="Garamond"/>
          <w:b w:val="0"/>
        </w:rPr>
        <w:t xml:space="preserve"> </w:t>
      </w:r>
      <w:r w:rsidRPr="004861CC">
        <w:rPr>
          <w:rFonts w:ascii="Garamond" w:hAnsi="Garamond"/>
          <w:b w:val="0"/>
        </w:rPr>
        <w:t>network is £</w:t>
      </w:r>
      <w:r w:rsidR="00BB7172" w:rsidRPr="004861CC">
        <w:rPr>
          <w:rFonts w:ascii="Garamond" w:hAnsi="Garamond"/>
          <w:b w:val="0"/>
        </w:rPr>
        <w:t>50,133,000</w:t>
      </w:r>
      <w:r w:rsidRPr="004861CC">
        <w:rPr>
          <w:rFonts w:ascii="Garamond" w:hAnsi="Garamond"/>
          <w:b w:val="0"/>
        </w:rPr>
        <w:t xml:space="preserve"> [$</w:t>
      </w:r>
      <w:r w:rsidR="00BB7172" w:rsidRPr="004861CC">
        <w:rPr>
          <w:rFonts w:ascii="Garamond" w:hAnsi="Garamond"/>
          <w:b w:val="0"/>
        </w:rPr>
        <w:t>69,697,353</w:t>
      </w:r>
      <w:r w:rsidRPr="004861CC">
        <w:rPr>
          <w:rFonts w:ascii="Garamond" w:hAnsi="Garamond"/>
          <w:b w:val="0"/>
        </w:rPr>
        <w:t xml:space="preserve">], with the </w:t>
      </w:r>
      <w:r w:rsidR="007C199A" w:rsidRPr="004861CC">
        <w:rPr>
          <w:rFonts w:ascii="Garamond" w:hAnsi="Garamond"/>
          <w:b w:val="0"/>
        </w:rPr>
        <w:t>heat network pipework</w:t>
      </w:r>
      <w:r w:rsidRPr="004861CC">
        <w:rPr>
          <w:rFonts w:ascii="Garamond" w:hAnsi="Garamond"/>
          <w:b w:val="0"/>
        </w:rPr>
        <w:t xml:space="preserve"> and the design, commission and contingency representing 22% and 24% of the total capital cost respectively.</w:t>
      </w:r>
    </w:p>
    <w:p w:rsidR="0070258F" w:rsidRDefault="00BB7172" w:rsidP="00371DFB">
      <w:pPr>
        <w:pStyle w:val="08BodySpaceBelowApplytomaintextbeforeanumberedlist"/>
      </w:pPr>
      <w:r w:rsidRPr="00407A29">
        <w:t xml:space="preserve">Table 2 </w:t>
      </w:r>
      <w:r w:rsidR="007E462D" w:rsidRPr="00407A29">
        <w:t>summarizes</w:t>
      </w:r>
      <w:r w:rsidRPr="00407A29">
        <w:t xml:space="preserve"> the techno-</w:t>
      </w:r>
      <w:r w:rsidR="00407A29" w:rsidRPr="00407A29">
        <w:t xml:space="preserve">economic results and the CAPEX for the </w:t>
      </w:r>
      <w:r w:rsidR="009C0570">
        <w:t>base</w:t>
      </w:r>
      <w:r w:rsidR="00E3553C">
        <w:t xml:space="preserve"> case</w:t>
      </w:r>
      <w:r w:rsidR="00407A29" w:rsidRPr="00407A29">
        <w:t xml:space="preserve"> and GreenSCIES network.</w:t>
      </w:r>
    </w:p>
    <w:p w:rsidR="009C0570" w:rsidRPr="00143460" w:rsidRDefault="009C0570" w:rsidP="00371DFB">
      <w:pPr>
        <w:pStyle w:val="08BodySpaceBelowApplytomaintextbeforeanumberedlist"/>
        <w:rPr>
          <w:sz w:val="10"/>
        </w:rPr>
      </w:pPr>
    </w:p>
    <w:tbl>
      <w:tblPr>
        <w:tblW w:w="5365" w:type="pct"/>
        <w:jc w:val="center"/>
        <w:tblBorders>
          <w:top w:val="single" w:sz="18" w:space="0" w:color="auto"/>
          <w:bottom w:val="single" w:sz="18" w:space="0" w:color="auto"/>
        </w:tblBorders>
        <w:tblLook w:val="04A0" w:firstRow="1" w:lastRow="0" w:firstColumn="1" w:lastColumn="0" w:noHBand="0" w:noVBand="1"/>
      </w:tblPr>
      <w:tblGrid>
        <w:gridCol w:w="2172"/>
        <w:gridCol w:w="929"/>
        <w:gridCol w:w="1724"/>
        <w:gridCol w:w="1689"/>
        <w:gridCol w:w="1433"/>
        <w:gridCol w:w="1436"/>
        <w:gridCol w:w="1433"/>
      </w:tblGrid>
      <w:tr w:rsidR="00B92CD2" w:rsidRPr="006C7028" w:rsidTr="00B92CD2">
        <w:trPr>
          <w:jc w:val="center"/>
        </w:trPr>
        <w:tc>
          <w:tcPr>
            <w:tcW w:w="5000" w:type="pct"/>
            <w:gridSpan w:val="7"/>
            <w:tcBorders>
              <w:top w:val="nil"/>
              <w:bottom w:val="single" w:sz="18" w:space="0" w:color="auto"/>
            </w:tcBorders>
          </w:tcPr>
          <w:p w:rsidR="00B92CD2" w:rsidRPr="00B94BEB" w:rsidRDefault="00B92CD2" w:rsidP="00407A29">
            <w:pPr>
              <w:pStyle w:val="15TableTitle"/>
            </w:pPr>
            <w:r>
              <w:t xml:space="preserve">Table 2. Summary of </w:t>
            </w:r>
            <w:r w:rsidR="003640DA">
              <w:t xml:space="preserve">initial </w:t>
            </w:r>
            <w:r>
              <w:t>techno-economic and CAPEX results</w:t>
            </w:r>
          </w:p>
        </w:tc>
      </w:tr>
      <w:tr w:rsidR="009C0570" w:rsidRPr="006C7028" w:rsidTr="00222C0D">
        <w:trPr>
          <w:jc w:val="center"/>
        </w:trPr>
        <w:tc>
          <w:tcPr>
            <w:tcW w:w="1012" w:type="pct"/>
            <w:tcBorders>
              <w:top w:val="single" w:sz="18" w:space="0" w:color="auto"/>
              <w:bottom w:val="double" w:sz="6" w:space="0" w:color="auto"/>
            </w:tcBorders>
            <w:vAlign w:val="center"/>
          </w:tcPr>
          <w:p w:rsidR="009C0570" w:rsidRPr="00976C86" w:rsidRDefault="009C0570" w:rsidP="00AC2FE9">
            <w:pPr>
              <w:pStyle w:val="14TableHeading"/>
            </w:pPr>
            <w:r>
              <w:t xml:space="preserve">Phase </w:t>
            </w:r>
          </w:p>
        </w:tc>
        <w:tc>
          <w:tcPr>
            <w:tcW w:w="384" w:type="pct"/>
            <w:tcBorders>
              <w:top w:val="single" w:sz="18" w:space="0" w:color="auto"/>
              <w:bottom w:val="double" w:sz="6" w:space="0" w:color="auto"/>
            </w:tcBorders>
            <w:vAlign w:val="center"/>
          </w:tcPr>
          <w:p w:rsidR="009C0570" w:rsidRPr="00976C86" w:rsidRDefault="009C0570" w:rsidP="00AC2FE9">
            <w:pPr>
              <w:pStyle w:val="14TableHeading"/>
            </w:pPr>
            <w:r>
              <w:t>IIR (40 years)</w:t>
            </w:r>
          </w:p>
        </w:tc>
        <w:tc>
          <w:tcPr>
            <w:tcW w:w="805" w:type="pct"/>
            <w:tcBorders>
              <w:top w:val="single" w:sz="18" w:space="0" w:color="auto"/>
              <w:bottom w:val="double" w:sz="6" w:space="0" w:color="auto"/>
            </w:tcBorders>
            <w:vAlign w:val="center"/>
          </w:tcPr>
          <w:p w:rsidR="009C0570" w:rsidRDefault="009C0570" w:rsidP="00AC2FE9">
            <w:pPr>
              <w:pStyle w:val="14TableHeading"/>
            </w:pPr>
            <w:r>
              <w:t xml:space="preserve">NPV (£ x 1000) </w:t>
            </w:r>
          </w:p>
          <w:p w:rsidR="009C0570" w:rsidRPr="00976C86" w:rsidRDefault="009C0570" w:rsidP="00AC2FE9">
            <w:pPr>
              <w:pStyle w:val="14TableHeading"/>
            </w:pPr>
            <w:r>
              <w:t>(40 yrs) Improvement over base case</w:t>
            </w:r>
          </w:p>
        </w:tc>
        <w:tc>
          <w:tcPr>
            <w:tcW w:w="788" w:type="pct"/>
            <w:tcBorders>
              <w:top w:val="single" w:sz="18" w:space="0" w:color="auto"/>
              <w:bottom w:val="double" w:sz="6" w:space="0" w:color="auto"/>
            </w:tcBorders>
          </w:tcPr>
          <w:p w:rsidR="009C0570" w:rsidRDefault="009C0570" w:rsidP="00AC2FE9">
            <w:pPr>
              <w:pStyle w:val="14TableHeading"/>
            </w:pPr>
            <w:r>
              <w:t xml:space="preserve">Operating Surplus </w:t>
            </w:r>
          </w:p>
          <w:p w:rsidR="009C0570" w:rsidRPr="00976C86" w:rsidRDefault="009C0570" w:rsidP="00AC2FE9">
            <w:pPr>
              <w:pStyle w:val="14TableHeading"/>
            </w:pPr>
            <w:r>
              <w:t>(£ x 1000) GreenSCIES</w:t>
            </w:r>
          </w:p>
        </w:tc>
        <w:tc>
          <w:tcPr>
            <w:tcW w:w="670" w:type="pct"/>
            <w:tcBorders>
              <w:top w:val="single" w:sz="18" w:space="0" w:color="auto"/>
              <w:bottom w:val="double" w:sz="6" w:space="0" w:color="auto"/>
            </w:tcBorders>
          </w:tcPr>
          <w:p w:rsidR="009C0570" w:rsidRPr="00976C86" w:rsidRDefault="009C0570" w:rsidP="00AC2FE9">
            <w:pPr>
              <w:pStyle w:val="14TableHeading"/>
            </w:pPr>
            <w:r>
              <w:t>CO</w:t>
            </w:r>
            <w:r w:rsidRPr="009C0570">
              <w:rPr>
                <w:vertAlign w:val="subscript"/>
              </w:rPr>
              <w:t>2</w:t>
            </w:r>
            <w:r>
              <w:t xml:space="preserve"> Savings (Tonnes/yr) GreenSCIES</w:t>
            </w:r>
          </w:p>
        </w:tc>
        <w:tc>
          <w:tcPr>
            <w:tcW w:w="671" w:type="pct"/>
            <w:tcBorders>
              <w:top w:val="single" w:sz="18" w:space="0" w:color="auto"/>
              <w:bottom w:val="double" w:sz="6" w:space="0" w:color="auto"/>
            </w:tcBorders>
            <w:vAlign w:val="center"/>
          </w:tcPr>
          <w:p w:rsidR="009C0570" w:rsidRDefault="009C0570" w:rsidP="00AC2FE9">
            <w:pPr>
              <w:pStyle w:val="14TableHeading"/>
            </w:pPr>
            <w:r>
              <w:t xml:space="preserve">CAPEX </w:t>
            </w:r>
          </w:p>
          <w:p w:rsidR="009C0570" w:rsidRDefault="009C0570" w:rsidP="00AC2FE9">
            <w:pPr>
              <w:pStyle w:val="14TableHeading"/>
            </w:pPr>
            <w:r>
              <w:t xml:space="preserve">(£ x 1000) </w:t>
            </w:r>
          </w:p>
          <w:p w:rsidR="009C0570" w:rsidRPr="00976C86" w:rsidRDefault="009C0570" w:rsidP="00AC2FE9">
            <w:pPr>
              <w:pStyle w:val="14TableHeading"/>
            </w:pPr>
            <w:r>
              <w:t>Base case</w:t>
            </w:r>
          </w:p>
        </w:tc>
        <w:tc>
          <w:tcPr>
            <w:tcW w:w="670" w:type="pct"/>
            <w:tcBorders>
              <w:top w:val="single" w:sz="18" w:space="0" w:color="auto"/>
              <w:bottom w:val="double" w:sz="6" w:space="0" w:color="auto"/>
            </w:tcBorders>
            <w:vAlign w:val="center"/>
          </w:tcPr>
          <w:p w:rsidR="009C0570" w:rsidRDefault="009C0570" w:rsidP="00AC2FE9">
            <w:pPr>
              <w:pStyle w:val="14TableHeading"/>
            </w:pPr>
            <w:r>
              <w:t>CAPEX</w:t>
            </w:r>
          </w:p>
          <w:p w:rsidR="009C0570" w:rsidRDefault="009C0570" w:rsidP="00AC2FE9">
            <w:pPr>
              <w:pStyle w:val="14TableHeading"/>
            </w:pPr>
            <w:r>
              <w:t>(£ x 1000)</w:t>
            </w:r>
          </w:p>
          <w:p w:rsidR="009C0570" w:rsidRPr="00976C86" w:rsidRDefault="009C0570" w:rsidP="00AC2FE9">
            <w:pPr>
              <w:pStyle w:val="14TableHeading"/>
            </w:pPr>
            <w:r>
              <w:t>GreenSCIES</w:t>
            </w:r>
          </w:p>
        </w:tc>
      </w:tr>
      <w:tr w:rsidR="009C0570" w:rsidRPr="006C7028" w:rsidTr="00222C0D">
        <w:trPr>
          <w:jc w:val="center"/>
        </w:trPr>
        <w:tc>
          <w:tcPr>
            <w:tcW w:w="1012" w:type="pct"/>
            <w:tcBorders>
              <w:top w:val="double" w:sz="6" w:space="0" w:color="auto"/>
            </w:tcBorders>
            <w:vAlign w:val="center"/>
          </w:tcPr>
          <w:p w:rsidR="009C0570" w:rsidRPr="00FF24B5" w:rsidRDefault="009C0570" w:rsidP="009C0570">
            <w:pPr>
              <w:pStyle w:val="16TableText"/>
              <w:jc w:val="left"/>
            </w:pPr>
            <w:r>
              <w:t>(1)  Hospital</w:t>
            </w:r>
          </w:p>
        </w:tc>
        <w:tc>
          <w:tcPr>
            <w:tcW w:w="384" w:type="pct"/>
            <w:tcBorders>
              <w:top w:val="double" w:sz="6" w:space="0" w:color="auto"/>
            </w:tcBorders>
            <w:vAlign w:val="center"/>
          </w:tcPr>
          <w:p w:rsidR="009C0570" w:rsidRPr="0099761A" w:rsidRDefault="009C0570" w:rsidP="00FF24B5">
            <w:pPr>
              <w:pStyle w:val="16TableText"/>
            </w:pPr>
            <w:r>
              <w:t>-10%</w:t>
            </w:r>
          </w:p>
        </w:tc>
        <w:tc>
          <w:tcPr>
            <w:tcW w:w="805" w:type="pct"/>
            <w:tcBorders>
              <w:top w:val="double" w:sz="6" w:space="0" w:color="auto"/>
            </w:tcBorders>
            <w:vAlign w:val="center"/>
          </w:tcPr>
          <w:p w:rsidR="009C0570" w:rsidRPr="0099761A" w:rsidRDefault="00222C0D" w:rsidP="00FF24B5">
            <w:pPr>
              <w:pStyle w:val="16TableText"/>
            </w:pPr>
            <w:r>
              <w:t>-3,157</w:t>
            </w:r>
          </w:p>
        </w:tc>
        <w:tc>
          <w:tcPr>
            <w:tcW w:w="788" w:type="pct"/>
            <w:tcBorders>
              <w:top w:val="double" w:sz="6" w:space="0" w:color="auto"/>
            </w:tcBorders>
          </w:tcPr>
          <w:p w:rsidR="009C0570" w:rsidRDefault="00222C0D" w:rsidP="00FF24B5">
            <w:pPr>
              <w:pStyle w:val="16TableText"/>
            </w:pPr>
            <w:r>
              <w:t>-29</w:t>
            </w:r>
          </w:p>
        </w:tc>
        <w:tc>
          <w:tcPr>
            <w:tcW w:w="670" w:type="pct"/>
            <w:tcBorders>
              <w:top w:val="double" w:sz="6" w:space="0" w:color="auto"/>
            </w:tcBorders>
          </w:tcPr>
          <w:p w:rsidR="009C0570" w:rsidRDefault="00222C0D" w:rsidP="00FF24B5">
            <w:pPr>
              <w:pStyle w:val="16TableText"/>
            </w:pPr>
            <w:r>
              <w:t>1,460</w:t>
            </w:r>
          </w:p>
        </w:tc>
        <w:tc>
          <w:tcPr>
            <w:tcW w:w="671" w:type="pct"/>
            <w:tcBorders>
              <w:top w:val="double" w:sz="6" w:space="0" w:color="auto"/>
            </w:tcBorders>
            <w:vAlign w:val="center"/>
          </w:tcPr>
          <w:p w:rsidR="009C2707" w:rsidRPr="0099761A" w:rsidRDefault="009C2707" w:rsidP="009C2707">
            <w:pPr>
              <w:pStyle w:val="16TableText"/>
            </w:pPr>
            <w:r>
              <w:t>£3,500</w:t>
            </w:r>
          </w:p>
        </w:tc>
        <w:tc>
          <w:tcPr>
            <w:tcW w:w="670" w:type="pct"/>
            <w:tcBorders>
              <w:top w:val="double" w:sz="6" w:space="0" w:color="auto"/>
            </w:tcBorders>
          </w:tcPr>
          <w:p w:rsidR="009C0570" w:rsidRDefault="009C2707" w:rsidP="00FF24B5">
            <w:pPr>
              <w:pStyle w:val="16TableText"/>
            </w:pPr>
            <w:r>
              <w:t>£4,524</w:t>
            </w:r>
          </w:p>
        </w:tc>
      </w:tr>
      <w:tr w:rsidR="009C0570" w:rsidRPr="006C7028" w:rsidTr="00222C0D">
        <w:trPr>
          <w:jc w:val="center"/>
        </w:trPr>
        <w:tc>
          <w:tcPr>
            <w:tcW w:w="1012" w:type="pct"/>
            <w:vAlign w:val="center"/>
          </w:tcPr>
          <w:p w:rsidR="009C0570" w:rsidRPr="0099761A" w:rsidRDefault="009C0570" w:rsidP="009C0570">
            <w:pPr>
              <w:pStyle w:val="16TableText"/>
              <w:jc w:val="left"/>
            </w:pPr>
            <w:r>
              <w:t>(2) Tower blocks</w:t>
            </w:r>
          </w:p>
        </w:tc>
        <w:tc>
          <w:tcPr>
            <w:tcW w:w="384" w:type="pct"/>
            <w:vAlign w:val="center"/>
          </w:tcPr>
          <w:p w:rsidR="009C0570" w:rsidRPr="0099761A" w:rsidRDefault="009C0570" w:rsidP="00FF24B5">
            <w:pPr>
              <w:pStyle w:val="16TableText"/>
            </w:pPr>
            <w:r>
              <w:t>2%</w:t>
            </w:r>
          </w:p>
        </w:tc>
        <w:tc>
          <w:tcPr>
            <w:tcW w:w="805" w:type="pct"/>
            <w:vAlign w:val="center"/>
          </w:tcPr>
          <w:p w:rsidR="009C0570" w:rsidRPr="0099761A" w:rsidRDefault="00222C0D" w:rsidP="00FF24B5">
            <w:pPr>
              <w:pStyle w:val="16TableText"/>
            </w:pPr>
            <w:r>
              <w:t>-1,434</w:t>
            </w:r>
          </w:p>
        </w:tc>
        <w:tc>
          <w:tcPr>
            <w:tcW w:w="788" w:type="pct"/>
          </w:tcPr>
          <w:p w:rsidR="009C0570" w:rsidRDefault="00222C0D" w:rsidP="00FF24B5">
            <w:pPr>
              <w:pStyle w:val="16TableText"/>
            </w:pPr>
            <w:r>
              <w:t>69</w:t>
            </w:r>
          </w:p>
        </w:tc>
        <w:tc>
          <w:tcPr>
            <w:tcW w:w="670" w:type="pct"/>
          </w:tcPr>
          <w:p w:rsidR="009C0570" w:rsidRDefault="00222C0D" w:rsidP="00FF24B5">
            <w:pPr>
              <w:pStyle w:val="16TableText"/>
            </w:pPr>
            <w:r>
              <w:t>1,532</w:t>
            </w:r>
          </w:p>
        </w:tc>
        <w:tc>
          <w:tcPr>
            <w:tcW w:w="671" w:type="pct"/>
            <w:vAlign w:val="center"/>
          </w:tcPr>
          <w:p w:rsidR="009C0570" w:rsidRPr="0099761A" w:rsidRDefault="009C2707" w:rsidP="00FF24B5">
            <w:pPr>
              <w:pStyle w:val="16TableText"/>
            </w:pPr>
            <w:r>
              <w:t>£4,215</w:t>
            </w:r>
          </w:p>
        </w:tc>
        <w:tc>
          <w:tcPr>
            <w:tcW w:w="670" w:type="pct"/>
          </w:tcPr>
          <w:p w:rsidR="009C0570" w:rsidRDefault="009C2707" w:rsidP="00FF24B5">
            <w:pPr>
              <w:pStyle w:val="16TableText"/>
            </w:pPr>
            <w:r>
              <w:t>£5,368</w:t>
            </w:r>
          </w:p>
        </w:tc>
      </w:tr>
      <w:tr w:rsidR="009C0570" w:rsidRPr="006C7028" w:rsidTr="00222C0D">
        <w:trPr>
          <w:jc w:val="center"/>
        </w:trPr>
        <w:tc>
          <w:tcPr>
            <w:tcW w:w="1012" w:type="pct"/>
            <w:vAlign w:val="center"/>
          </w:tcPr>
          <w:p w:rsidR="009C0570" w:rsidRPr="0099761A" w:rsidRDefault="009C0570" w:rsidP="009C0570">
            <w:pPr>
              <w:pStyle w:val="16TableText"/>
              <w:jc w:val="left"/>
            </w:pPr>
            <w:r>
              <w:t>(3) Supermarket cluster</w:t>
            </w:r>
          </w:p>
        </w:tc>
        <w:tc>
          <w:tcPr>
            <w:tcW w:w="384" w:type="pct"/>
            <w:vAlign w:val="center"/>
          </w:tcPr>
          <w:p w:rsidR="009C0570" w:rsidRPr="0099761A" w:rsidRDefault="009C0570" w:rsidP="009C0570">
            <w:pPr>
              <w:pStyle w:val="16TableText"/>
            </w:pPr>
            <w:r>
              <w:t>-2%</w:t>
            </w:r>
          </w:p>
        </w:tc>
        <w:tc>
          <w:tcPr>
            <w:tcW w:w="805" w:type="pct"/>
            <w:vAlign w:val="center"/>
          </w:tcPr>
          <w:p w:rsidR="009C0570" w:rsidRPr="0099761A" w:rsidRDefault="00222C0D" w:rsidP="00FF24B5">
            <w:pPr>
              <w:pStyle w:val="16TableText"/>
            </w:pPr>
            <w:r>
              <w:t>-6,985</w:t>
            </w:r>
          </w:p>
        </w:tc>
        <w:tc>
          <w:tcPr>
            <w:tcW w:w="788" w:type="pct"/>
          </w:tcPr>
          <w:p w:rsidR="009C0570" w:rsidRDefault="00222C0D" w:rsidP="00FF24B5">
            <w:pPr>
              <w:pStyle w:val="16TableText"/>
            </w:pPr>
            <w:r>
              <w:t>55</w:t>
            </w:r>
          </w:p>
        </w:tc>
        <w:tc>
          <w:tcPr>
            <w:tcW w:w="670" w:type="pct"/>
          </w:tcPr>
          <w:p w:rsidR="009C0570" w:rsidRDefault="00222C0D" w:rsidP="00FF24B5">
            <w:pPr>
              <w:pStyle w:val="16TableText"/>
            </w:pPr>
            <w:r>
              <w:t>2,252</w:t>
            </w:r>
          </w:p>
        </w:tc>
        <w:tc>
          <w:tcPr>
            <w:tcW w:w="671" w:type="pct"/>
            <w:vAlign w:val="center"/>
          </w:tcPr>
          <w:p w:rsidR="009C0570" w:rsidRPr="0099761A" w:rsidRDefault="009C2707" w:rsidP="00FF24B5">
            <w:pPr>
              <w:pStyle w:val="16TableText"/>
            </w:pPr>
            <w:r>
              <w:t>£1,890</w:t>
            </w:r>
          </w:p>
        </w:tc>
        <w:tc>
          <w:tcPr>
            <w:tcW w:w="670" w:type="pct"/>
          </w:tcPr>
          <w:p w:rsidR="009C0570" w:rsidRDefault="009C2707" w:rsidP="00FF24B5">
            <w:pPr>
              <w:pStyle w:val="16TableText"/>
            </w:pPr>
            <w:r>
              <w:t>£6,397</w:t>
            </w:r>
          </w:p>
        </w:tc>
      </w:tr>
      <w:tr w:rsidR="009C0570" w:rsidRPr="006C7028" w:rsidTr="00222C0D">
        <w:trPr>
          <w:jc w:val="center"/>
        </w:trPr>
        <w:tc>
          <w:tcPr>
            <w:tcW w:w="1012" w:type="pct"/>
            <w:vAlign w:val="center"/>
          </w:tcPr>
          <w:p w:rsidR="009C0570" w:rsidRPr="0099761A" w:rsidRDefault="009C0570" w:rsidP="009C0570">
            <w:pPr>
              <w:pStyle w:val="16TableText"/>
              <w:jc w:val="left"/>
            </w:pPr>
            <w:r>
              <w:t>(4) Foundry &amp; industrial</w:t>
            </w:r>
          </w:p>
        </w:tc>
        <w:tc>
          <w:tcPr>
            <w:tcW w:w="384" w:type="pct"/>
            <w:vAlign w:val="center"/>
          </w:tcPr>
          <w:p w:rsidR="009C0570" w:rsidRPr="0099761A" w:rsidRDefault="00222C0D" w:rsidP="00FF24B5">
            <w:pPr>
              <w:pStyle w:val="16TableText"/>
            </w:pPr>
            <w:r>
              <w:t>-3%</w:t>
            </w:r>
          </w:p>
        </w:tc>
        <w:tc>
          <w:tcPr>
            <w:tcW w:w="805" w:type="pct"/>
            <w:vAlign w:val="center"/>
          </w:tcPr>
          <w:p w:rsidR="009C0570" w:rsidRPr="0099761A" w:rsidRDefault="00222C0D" w:rsidP="00FF24B5">
            <w:pPr>
              <w:pStyle w:val="16TableText"/>
            </w:pPr>
            <w:r>
              <w:t>-14,205</w:t>
            </w:r>
          </w:p>
        </w:tc>
        <w:tc>
          <w:tcPr>
            <w:tcW w:w="788" w:type="pct"/>
          </w:tcPr>
          <w:p w:rsidR="009C0570" w:rsidRDefault="00222C0D" w:rsidP="00FF24B5">
            <w:pPr>
              <w:pStyle w:val="16TableText"/>
            </w:pPr>
            <w:r>
              <w:t>230</w:t>
            </w:r>
          </w:p>
        </w:tc>
        <w:tc>
          <w:tcPr>
            <w:tcW w:w="670" w:type="pct"/>
          </w:tcPr>
          <w:p w:rsidR="009C0570" w:rsidRDefault="00222C0D" w:rsidP="00FF24B5">
            <w:pPr>
              <w:pStyle w:val="16TableText"/>
            </w:pPr>
            <w:r>
              <w:t>3,799</w:t>
            </w:r>
          </w:p>
        </w:tc>
        <w:tc>
          <w:tcPr>
            <w:tcW w:w="671" w:type="pct"/>
            <w:vAlign w:val="center"/>
          </w:tcPr>
          <w:p w:rsidR="009C0570" w:rsidRPr="0099761A" w:rsidRDefault="009C2707" w:rsidP="00FF24B5">
            <w:pPr>
              <w:pStyle w:val="16TableText"/>
            </w:pPr>
            <w:r>
              <w:t>£5,180</w:t>
            </w:r>
          </w:p>
        </w:tc>
        <w:tc>
          <w:tcPr>
            <w:tcW w:w="670" w:type="pct"/>
          </w:tcPr>
          <w:p w:rsidR="009C0570" w:rsidRDefault="009C2707" w:rsidP="00FF24B5">
            <w:pPr>
              <w:pStyle w:val="16TableText"/>
            </w:pPr>
            <w:r>
              <w:t>£12,386</w:t>
            </w:r>
          </w:p>
        </w:tc>
      </w:tr>
      <w:tr w:rsidR="00222C0D" w:rsidRPr="006C7028" w:rsidTr="00222C0D">
        <w:trPr>
          <w:jc w:val="center"/>
        </w:trPr>
        <w:tc>
          <w:tcPr>
            <w:tcW w:w="1012" w:type="pct"/>
            <w:vAlign w:val="center"/>
          </w:tcPr>
          <w:p w:rsidR="00222C0D" w:rsidRPr="0099761A" w:rsidRDefault="00222C0D" w:rsidP="00222C0D">
            <w:pPr>
              <w:pStyle w:val="16TableText"/>
              <w:jc w:val="left"/>
            </w:pPr>
            <w:r>
              <w:t>(5) New build 1</w:t>
            </w:r>
          </w:p>
        </w:tc>
        <w:tc>
          <w:tcPr>
            <w:tcW w:w="384" w:type="pct"/>
            <w:vAlign w:val="center"/>
          </w:tcPr>
          <w:p w:rsidR="00222C0D" w:rsidRPr="0099761A" w:rsidRDefault="00222C0D" w:rsidP="00222C0D">
            <w:pPr>
              <w:pStyle w:val="16TableText"/>
            </w:pPr>
            <w:r>
              <w:t>-2%</w:t>
            </w:r>
          </w:p>
        </w:tc>
        <w:tc>
          <w:tcPr>
            <w:tcW w:w="805" w:type="pct"/>
            <w:vAlign w:val="center"/>
          </w:tcPr>
          <w:p w:rsidR="00222C0D" w:rsidRPr="0099761A" w:rsidRDefault="00222C0D" w:rsidP="00222C0D">
            <w:pPr>
              <w:pStyle w:val="16TableText"/>
            </w:pPr>
            <w:r>
              <w:t>-13,379</w:t>
            </w:r>
          </w:p>
        </w:tc>
        <w:tc>
          <w:tcPr>
            <w:tcW w:w="788" w:type="pct"/>
          </w:tcPr>
          <w:p w:rsidR="00222C0D" w:rsidRDefault="00222C0D" w:rsidP="00222C0D">
            <w:pPr>
              <w:pStyle w:val="16TableText"/>
            </w:pPr>
            <w:r>
              <w:t>274</w:t>
            </w:r>
          </w:p>
        </w:tc>
        <w:tc>
          <w:tcPr>
            <w:tcW w:w="670" w:type="pct"/>
          </w:tcPr>
          <w:p w:rsidR="00222C0D" w:rsidRDefault="00222C0D" w:rsidP="00222C0D">
            <w:pPr>
              <w:pStyle w:val="16TableText"/>
            </w:pPr>
            <w:r>
              <w:t>3,831</w:t>
            </w:r>
          </w:p>
        </w:tc>
        <w:tc>
          <w:tcPr>
            <w:tcW w:w="671" w:type="pct"/>
            <w:vAlign w:val="center"/>
          </w:tcPr>
          <w:p w:rsidR="00222C0D" w:rsidRPr="0099761A" w:rsidRDefault="009C2707" w:rsidP="00222C0D">
            <w:pPr>
              <w:pStyle w:val="16TableText"/>
            </w:pPr>
            <w:r>
              <w:t>£1,107</w:t>
            </w:r>
          </w:p>
        </w:tc>
        <w:tc>
          <w:tcPr>
            <w:tcW w:w="670" w:type="pct"/>
          </w:tcPr>
          <w:p w:rsidR="00222C0D" w:rsidRDefault="009C2707" w:rsidP="00222C0D">
            <w:pPr>
              <w:pStyle w:val="16TableText"/>
            </w:pPr>
            <w:r>
              <w:t>£1,181</w:t>
            </w:r>
          </w:p>
        </w:tc>
      </w:tr>
      <w:tr w:rsidR="00222C0D" w:rsidRPr="006C7028" w:rsidTr="00222C0D">
        <w:trPr>
          <w:jc w:val="center"/>
        </w:trPr>
        <w:tc>
          <w:tcPr>
            <w:tcW w:w="1012" w:type="pct"/>
            <w:vAlign w:val="center"/>
          </w:tcPr>
          <w:p w:rsidR="00222C0D" w:rsidRPr="0099761A" w:rsidRDefault="00222C0D" w:rsidP="00222C0D">
            <w:pPr>
              <w:pStyle w:val="16TableText"/>
              <w:jc w:val="left"/>
            </w:pPr>
            <w:r>
              <w:t>(6) New build 2</w:t>
            </w:r>
          </w:p>
        </w:tc>
        <w:tc>
          <w:tcPr>
            <w:tcW w:w="384" w:type="pct"/>
            <w:vAlign w:val="center"/>
          </w:tcPr>
          <w:p w:rsidR="00222C0D" w:rsidRPr="0099761A" w:rsidRDefault="00222C0D" w:rsidP="00222C0D">
            <w:pPr>
              <w:pStyle w:val="16TableText"/>
            </w:pPr>
            <w:r>
              <w:t>-2%</w:t>
            </w:r>
          </w:p>
        </w:tc>
        <w:tc>
          <w:tcPr>
            <w:tcW w:w="805" w:type="pct"/>
            <w:vAlign w:val="center"/>
          </w:tcPr>
          <w:p w:rsidR="00222C0D" w:rsidRPr="0099761A" w:rsidRDefault="00222C0D" w:rsidP="00222C0D">
            <w:pPr>
              <w:pStyle w:val="16TableText"/>
            </w:pPr>
            <w:r>
              <w:t>-13,365</w:t>
            </w:r>
          </w:p>
        </w:tc>
        <w:tc>
          <w:tcPr>
            <w:tcW w:w="788" w:type="pct"/>
          </w:tcPr>
          <w:p w:rsidR="00222C0D" w:rsidRDefault="00222C0D" w:rsidP="00222C0D">
            <w:pPr>
              <w:pStyle w:val="16TableText"/>
            </w:pPr>
            <w:r>
              <w:t>301</w:t>
            </w:r>
          </w:p>
        </w:tc>
        <w:tc>
          <w:tcPr>
            <w:tcW w:w="670" w:type="pct"/>
          </w:tcPr>
          <w:p w:rsidR="00222C0D" w:rsidRDefault="00222C0D" w:rsidP="00222C0D">
            <w:pPr>
              <w:pStyle w:val="16TableText"/>
            </w:pPr>
            <w:r>
              <w:t>3,880</w:t>
            </w:r>
          </w:p>
        </w:tc>
        <w:tc>
          <w:tcPr>
            <w:tcW w:w="671" w:type="pct"/>
            <w:vAlign w:val="center"/>
          </w:tcPr>
          <w:p w:rsidR="00222C0D" w:rsidRPr="0099761A" w:rsidRDefault="009C2707" w:rsidP="00222C0D">
            <w:pPr>
              <w:pStyle w:val="16TableText"/>
            </w:pPr>
            <w:r>
              <w:t>£421</w:t>
            </w:r>
          </w:p>
        </w:tc>
        <w:tc>
          <w:tcPr>
            <w:tcW w:w="670" w:type="pct"/>
          </w:tcPr>
          <w:p w:rsidR="00222C0D" w:rsidRDefault="009C2707" w:rsidP="00B92CD2">
            <w:pPr>
              <w:pStyle w:val="16TableText"/>
            </w:pPr>
            <w:r>
              <w:t>£1,</w:t>
            </w:r>
            <w:r w:rsidR="00B92CD2">
              <w:t>058</w:t>
            </w:r>
          </w:p>
        </w:tc>
      </w:tr>
      <w:tr w:rsidR="00222C0D" w:rsidRPr="006C7028" w:rsidTr="00222C0D">
        <w:trPr>
          <w:jc w:val="center"/>
        </w:trPr>
        <w:tc>
          <w:tcPr>
            <w:tcW w:w="1012" w:type="pct"/>
            <w:vAlign w:val="center"/>
          </w:tcPr>
          <w:p w:rsidR="00222C0D" w:rsidRDefault="00222C0D" w:rsidP="00222C0D">
            <w:pPr>
              <w:pStyle w:val="16TableText"/>
              <w:jc w:val="left"/>
            </w:pPr>
            <w:r>
              <w:t>(7) New build 3</w:t>
            </w:r>
          </w:p>
        </w:tc>
        <w:tc>
          <w:tcPr>
            <w:tcW w:w="384" w:type="pct"/>
            <w:vAlign w:val="center"/>
          </w:tcPr>
          <w:p w:rsidR="00222C0D" w:rsidRDefault="00222C0D" w:rsidP="00222C0D">
            <w:pPr>
              <w:pStyle w:val="16TableText"/>
            </w:pPr>
            <w:r>
              <w:t>-2%</w:t>
            </w:r>
          </w:p>
        </w:tc>
        <w:tc>
          <w:tcPr>
            <w:tcW w:w="805" w:type="pct"/>
            <w:vAlign w:val="center"/>
          </w:tcPr>
          <w:p w:rsidR="00222C0D" w:rsidRDefault="00222C0D" w:rsidP="00222C0D">
            <w:pPr>
              <w:pStyle w:val="16TableText"/>
            </w:pPr>
            <w:r>
              <w:t>-14,061</w:t>
            </w:r>
          </w:p>
        </w:tc>
        <w:tc>
          <w:tcPr>
            <w:tcW w:w="788" w:type="pct"/>
          </w:tcPr>
          <w:p w:rsidR="00222C0D" w:rsidRDefault="00222C0D" w:rsidP="00222C0D">
            <w:pPr>
              <w:pStyle w:val="16TableText"/>
            </w:pPr>
            <w:r>
              <w:t>274</w:t>
            </w:r>
          </w:p>
        </w:tc>
        <w:tc>
          <w:tcPr>
            <w:tcW w:w="670" w:type="pct"/>
          </w:tcPr>
          <w:p w:rsidR="00222C0D" w:rsidRDefault="00222C0D" w:rsidP="00222C0D">
            <w:pPr>
              <w:pStyle w:val="16TableText"/>
            </w:pPr>
            <w:r>
              <w:t>3,875</w:t>
            </w:r>
          </w:p>
        </w:tc>
        <w:tc>
          <w:tcPr>
            <w:tcW w:w="671" w:type="pct"/>
            <w:vAlign w:val="center"/>
          </w:tcPr>
          <w:p w:rsidR="00222C0D" w:rsidRDefault="009C2707" w:rsidP="00222C0D">
            <w:pPr>
              <w:pStyle w:val="16TableText"/>
            </w:pPr>
            <w:r>
              <w:t>£1,492</w:t>
            </w:r>
          </w:p>
        </w:tc>
        <w:tc>
          <w:tcPr>
            <w:tcW w:w="670" w:type="pct"/>
          </w:tcPr>
          <w:p w:rsidR="00222C0D" w:rsidRDefault="00B92CD2" w:rsidP="00222C0D">
            <w:pPr>
              <w:pStyle w:val="16TableText"/>
            </w:pPr>
            <w:r>
              <w:t>£1,841</w:t>
            </w:r>
          </w:p>
        </w:tc>
      </w:tr>
      <w:tr w:rsidR="00222C0D" w:rsidRPr="006C7028" w:rsidTr="00222C0D">
        <w:trPr>
          <w:jc w:val="center"/>
        </w:trPr>
        <w:tc>
          <w:tcPr>
            <w:tcW w:w="1012" w:type="pct"/>
            <w:vAlign w:val="center"/>
          </w:tcPr>
          <w:p w:rsidR="00222C0D" w:rsidRDefault="00222C0D" w:rsidP="00222C0D">
            <w:pPr>
              <w:pStyle w:val="16TableText"/>
              <w:jc w:val="left"/>
            </w:pPr>
            <w:r>
              <w:t>(8) Existing domestic A</w:t>
            </w:r>
          </w:p>
        </w:tc>
        <w:tc>
          <w:tcPr>
            <w:tcW w:w="384" w:type="pct"/>
            <w:vAlign w:val="center"/>
          </w:tcPr>
          <w:p w:rsidR="00222C0D" w:rsidRDefault="00222C0D" w:rsidP="00222C0D">
            <w:pPr>
              <w:pStyle w:val="16TableText"/>
            </w:pPr>
            <w:r>
              <w:t>-1%</w:t>
            </w:r>
          </w:p>
        </w:tc>
        <w:tc>
          <w:tcPr>
            <w:tcW w:w="805" w:type="pct"/>
            <w:vAlign w:val="center"/>
          </w:tcPr>
          <w:p w:rsidR="00222C0D" w:rsidRDefault="00222C0D" w:rsidP="00222C0D">
            <w:pPr>
              <w:pStyle w:val="16TableText"/>
            </w:pPr>
            <w:r>
              <w:t>-11,720</w:t>
            </w:r>
          </w:p>
        </w:tc>
        <w:tc>
          <w:tcPr>
            <w:tcW w:w="788" w:type="pct"/>
          </w:tcPr>
          <w:p w:rsidR="00222C0D" w:rsidRDefault="00222C0D" w:rsidP="00222C0D">
            <w:pPr>
              <w:pStyle w:val="16TableText"/>
            </w:pPr>
            <w:r>
              <w:t>422</w:t>
            </w:r>
          </w:p>
        </w:tc>
        <w:tc>
          <w:tcPr>
            <w:tcW w:w="670" w:type="pct"/>
          </w:tcPr>
          <w:p w:rsidR="00222C0D" w:rsidRDefault="00222C0D" w:rsidP="00222C0D">
            <w:pPr>
              <w:pStyle w:val="16TableText"/>
            </w:pPr>
            <w:r>
              <w:t>3,880</w:t>
            </w:r>
          </w:p>
        </w:tc>
        <w:tc>
          <w:tcPr>
            <w:tcW w:w="671" w:type="pct"/>
            <w:vAlign w:val="center"/>
          </w:tcPr>
          <w:p w:rsidR="00222C0D" w:rsidRDefault="009C2707" w:rsidP="00222C0D">
            <w:pPr>
              <w:pStyle w:val="16TableText"/>
            </w:pPr>
            <w:r>
              <w:t>£8,009</w:t>
            </w:r>
          </w:p>
        </w:tc>
        <w:tc>
          <w:tcPr>
            <w:tcW w:w="670" w:type="pct"/>
          </w:tcPr>
          <w:p w:rsidR="00222C0D" w:rsidRDefault="00B92CD2" w:rsidP="00222C0D">
            <w:pPr>
              <w:pStyle w:val="16TableText"/>
            </w:pPr>
            <w:r>
              <w:t>£9,251</w:t>
            </w:r>
          </w:p>
        </w:tc>
      </w:tr>
      <w:tr w:rsidR="00222C0D" w:rsidRPr="006C7028" w:rsidTr="00222C0D">
        <w:trPr>
          <w:jc w:val="center"/>
        </w:trPr>
        <w:tc>
          <w:tcPr>
            <w:tcW w:w="1012" w:type="pct"/>
            <w:vAlign w:val="center"/>
          </w:tcPr>
          <w:p w:rsidR="00222C0D" w:rsidRPr="0099761A" w:rsidRDefault="00222C0D" w:rsidP="00222C0D">
            <w:pPr>
              <w:pStyle w:val="16TableText"/>
              <w:jc w:val="left"/>
            </w:pPr>
            <w:r>
              <w:t>(9) Existing domestic B</w:t>
            </w:r>
          </w:p>
        </w:tc>
        <w:tc>
          <w:tcPr>
            <w:tcW w:w="384" w:type="pct"/>
            <w:vAlign w:val="center"/>
          </w:tcPr>
          <w:p w:rsidR="00222C0D" w:rsidRPr="0099761A" w:rsidRDefault="00222C0D" w:rsidP="00222C0D">
            <w:pPr>
              <w:pStyle w:val="16TableText"/>
            </w:pPr>
            <w:r>
              <w:t>5%</w:t>
            </w:r>
          </w:p>
        </w:tc>
        <w:tc>
          <w:tcPr>
            <w:tcW w:w="805" w:type="pct"/>
            <w:vAlign w:val="center"/>
          </w:tcPr>
          <w:p w:rsidR="00222C0D" w:rsidRPr="0099761A" w:rsidRDefault="008E7C66" w:rsidP="00222C0D">
            <w:pPr>
              <w:pStyle w:val="16TableText"/>
            </w:pPr>
            <w:r>
              <w:t>8,423</w:t>
            </w:r>
          </w:p>
        </w:tc>
        <w:tc>
          <w:tcPr>
            <w:tcW w:w="788" w:type="pct"/>
          </w:tcPr>
          <w:p w:rsidR="00222C0D" w:rsidRDefault="00222C0D" w:rsidP="00222C0D">
            <w:pPr>
              <w:pStyle w:val="16TableText"/>
            </w:pPr>
            <w:r>
              <w:t>564</w:t>
            </w:r>
          </w:p>
        </w:tc>
        <w:tc>
          <w:tcPr>
            <w:tcW w:w="670" w:type="pct"/>
          </w:tcPr>
          <w:p w:rsidR="00222C0D" w:rsidRDefault="00222C0D" w:rsidP="00222C0D">
            <w:pPr>
              <w:pStyle w:val="16TableText"/>
            </w:pPr>
            <w:r>
              <w:t>816</w:t>
            </w:r>
          </w:p>
        </w:tc>
        <w:tc>
          <w:tcPr>
            <w:tcW w:w="671" w:type="pct"/>
            <w:vAlign w:val="center"/>
          </w:tcPr>
          <w:p w:rsidR="00222C0D" w:rsidRPr="0099761A" w:rsidRDefault="009C2707" w:rsidP="00222C0D">
            <w:pPr>
              <w:pStyle w:val="16TableText"/>
            </w:pPr>
            <w:r>
              <w:t>£10,180</w:t>
            </w:r>
          </w:p>
        </w:tc>
        <w:tc>
          <w:tcPr>
            <w:tcW w:w="670" w:type="pct"/>
          </w:tcPr>
          <w:p w:rsidR="00222C0D" w:rsidRDefault="00B92CD2" w:rsidP="00222C0D">
            <w:pPr>
              <w:pStyle w:val="16TableText"/>
            </w:pPr>
            <w:r>
              <w:t>£2,307</w:t>
            </w:r>
          </w:p>
        </w:tc>
      </w:tr>
      <w:tr w:rsidR="00222C0D" w:rsidRPr="006C7028" w:rsidTr="00222C0D">
        <w:trPr>
          <w:jc w:val="center"/>
        </w:trPr>
        <w:tc>
          <w:tcPr>
            <w:tcW w:w="1012" w:type="pct"/>
            <w:vAlign w:val="center"/>
          </w:tcPr>
          <w:p w:rsidR="00222C0D" w:rsidRPr="0099761A" w:rsidRDefault="00222C0D" w:rsidP="00222C0D">
            <w:pPr>
              <w:pStyle w:val="16TableText"/>
              <w:jc w:val="left"/>
            </w:pPr>
            <w:r>
              <w:t>(10) Existing domestic C</w:t>
            </w:r>
          </w:p>
        </w:tc>
        <w:tc>
          <w:tcPr>
            <w:tcW w:w="384" w:type="pct"/>
            <w:vAlign w:val="center"/>
          </w:tcPr>
          <w:p w:rsidR="00222C0D" w:rsidRPr="0099761A" w:rsidRDefault="00222C0D" w:rsidP="00222C0D">
            <w:pPr>
              <w:pStyle w:val="16TableText"/>
            </w:pPr>
            <w:r>
              <w:t>12%</w:t>
            </w:r>
          </w:p>
        </w:tc>
        <w:tc>
          <w:tcPr>
            <w:tcW w:w="805" w:type="pct"/>
            <w:vAlign w:val="center"/>
          </w:tcPr>
          <w:p w:rsidR="00222C0D" w:rsidRPr="0099761A" w:rsidRDefault="008E7C66" w:rsidP="00222C0D">
            <w:pPr>
              <w:pStyle w:val="16TableText"/>
            </w:pPr>
            <w:r>
              <w:t>25,311</w:t>
            </w:r>
          </w:p>
        </w:tc>
        <w:tc>
          <w:tcPr>
            <w:tcW w:w="788" w:type="pct"/>
          </w:tcPr>
          <w:p w:rsidR="00222C0D" w:rsidRDefault="00222C0D" w:rsidP="00222C0D">
            <w:pPr>
              <w:pStyle w:val="16TableText"/>
            </w:pPr>
            <w:r>
              <w:t>896</w:t>
            </w:r>
          </w:p>
        </w:tc>
        <w:tc>
          <w:tcPr>
            <w:tcW w:w="670" w:type="pct"/>
          </w:tcPr>
          <w:p w:rsidR="00222C0D" w:rsidRDefault="00222C0D" w:rsidP="00222C0D">
            <w:pPr>
              <w:pStyle w:val="16TableText"/>
            </w:pPr>
            <w:r>
              <w:t>316</w:t>
            </w:r>
          </w:p>
        </w:tc>
        <w:tc>
          <w:tcPr>
            <w:tcW w:w="671" w:type="pct"/>
            <w:vAlign w:val="center"/>
          </w:tcPr>
          <w:p w:rsidR="00222C0D" w:rsidRPr="0099761A" w:rsidRDefault="009C2707" w:rsidP="00222C0D">
            <w:pPr>
              <w:pStyle w:val="16TableText"/>
            </w:pPr>
            <w:r>
              <w:t>£16,690</w:t>
            </w:r>
          </w:p>
        </w:tc>
        <w:tc>
          <w:tcPr>
            <w:tcW w:w="670" w:type="pct"/>
          </w:tcPr>
          <w:p w:rsidR="00222C0D" w:rsidRDefault="00B92CD2" w:rsidP="00222C0D">
            <w:pPr>
              <w:pStyle w:val="16TableText"/>
            </w:pPr>
            <w:r>
              <w:t>£5,620</w:t>
            </w:r>
          </w:p>
        </w:tc>
      </w:tr>
      <w:tr w:rsidR="00222C0D" w:rsidRPr="006C7028" w:rsidTr="00222C0D">
        <w:trPr>
          <w:jc w:val="center"/>
        </w:trPr>
        <w:tc>
          <w:tcPr>
            <w:tcW w:w="1012" w:type="pct"/>
            <w:vAlign w:val="center"/>
          </w:tcPr>
          <w:p w:rsidR="00222C0D" w:rsidRPr="00222C0D" w:rsidRDefault="00222C0D" w:rsidP="00222C0D">
            <w:pPr>
              <w:pStyle w:val="16TableText"/>
              <w:rPr>
                <w:b/>
              </w:rPr>
            </w:pPr>
            <w:r w:rsidRPr="00222C0D">
              <w:rPr>
                <w:b/>
              </w:rPr>
              <w:t>Total</w:t>
            </w:r>
          </w:p>
        </w:tc>
        <w:tc>
          <w:tcPr>
            <w:tcW w:w="384" w:type="pct"/>
            <w:vAlign w:val="center"/>
          </w:tcPr>
          <w:p w:rsidR="00222C0D" w:rsidRDefault="00222C0D" w:rsidP="00222C0D">
            <w:pPr>
              <w:pStyle w:val="16TableText"/>
            </w:pPr>
          </w:p>
        </w:tc>
        <w:tc>
          <w:tcPr>
            <w:tcW w:w="805" w:type="pct"/>
            <w:vAlign w:val="center"/>
          </w:tcPr>
          <w:p w:rsidR="00222C0D" w:rsidRDefault="00222C0D" w:rsidP="00222C0D">
            <w:pPr>
              <w:pStyle w:val="16TableText"/>
            </w:pPr>
          </w:p>
        </w:tc>
        <w:tc>
          <w:tcPr>
            <w:tcW w:w="788" w:type="pct"/>
          </w:tcPr>
          <w:p w:rsidR="00222C0D" w:rsidRDefault="00222C0D" w:rsidP="00222C0D">
            <w:pPr>
              <w:pStyle w:val="16TableText"/>
            </w:pPr>
          </w:p>
        </w:tc>
        <w:tc>
          <w:tcPr>
            <w:tcW w:w="670" w:type="pct"/>
          </w:tcPr>
          <w:p w:rsidR="00222C0D" w:rsidRPr="00B92CD2" w:rsidRDefault="00B92CD2" w:rsidP="00222C0D">
            <w:pPr>
              <w:pStyle w:val="16TableText"/>
              <w:rPr>
                <w:b/>
              </w:rPr>
            </w:pPr>
            <w:r w:rsidRPr="00B92CD2">
              <w:rPr>
                <w:b/>
              </w:rPr>
              <w:t>25,643</w:t>
            </w:r>
          </w:p>
        </w:tc>
        <w:tc>
          <w:tcPr>
            <w:tcW w:w="671" w:type="pct"/>
            <w:vAlign w:val="center"/>
          </w:tcPr>
          <w:p w:rsidR="00222C0D" w:rsidRPr="00B92CD2" w:rsidRDefault="00B92CD2" w:rsidP="00222C0D">
            <w:pPr>
              <w:pStyle w:val="16TableText"/>
              <w:rPr>
                <w:b/>
              </w:rPr>
            </w:pPr>
            <w:r w:rsidRPr="00B92CD2">
              <w:rPr>
                <w:b/>
              </w:rPr>
              <w:t>£52,684</w:t>
            </w:r>
          </w:p>
        </w:tc>
        <w:tc>
          <w:tcPr>
            <w:tcW w:w="670" w:type="pct"/>
          </w:tcPr>
          <w:p w:rsidR="00222C0D" w:rsidRPr="00B92CD2" w:rsidRDefault="00B92CD2" w:rsidP="00222C0D">
            <w:pPr>
              <w:pStyle w:val="16TableText"/>
              <w:rPr>
                <w:b/>
              </w:rPr>
            </w:pPr>
            <w:r w:rsidRPr="00B92CD2">
              <w:rPr>
                <w:b/>
              </w:rPr>
              <w:t>£50,133</w:t>
            </w:r>
          </w:p>
        </w:tc>
      </w:tr>
    </w:tbl>
    <w:p w:rsidR="002B72D0" w:rsidRDefault="002B72D0" w:rsidP="00371DFB">
      <w:pPr>
        <w:pStyle w:val="09BodyafterTableApplytomaintextafteratable"/>
      </w:pPr>
    </w:p>
    <w:p w:rsidR="00495104" w:rsidRDefault="003E31B6" w:rsidP="00371DFB">
      <w:pPr>
        <w:pStyle w:val="09BodyafterTableApplytomaintextafteratable"/>
      </w:pPr>
      <w:r>
        <w:t xml:space="preserve">The GreenSCIES-Smethwick network has a </w:t>
      </w:r>
      <w:r w:rsidR="00DB7618">
        <w:t xml:space="preserve">comparable (or lower) </w:t>
      </w:r>
      <w:r>
        <w:t>total CAPEX than the base case by year 10</w:t>
      </w:r>
      <w:r w:rsidR="00297F44">
        <w:t xml:space="preserve">, as the cost of retrofitting all properties with ASHPs is </w:t>
      </w:r>
      <w:r w:rsidR="0072250B">
        <w:t xml:space="preserve">considerable, assuming </w:t>
      </w:r>
      <w:r w:rsidR="00931013">
        <w:t>domestic</w:t>
      </w:r>
      <w:r w:rsidR="00D72FF6">
        <w:t xml:space="preserve"> and commercial</w:t>
      </w:r>
      <w:r w:rsidR="00931013">
        <w:t xml:space="preserve"> ASHPs </w:t>
      </w:r>
      <w:r w:rsidR="00D72FF6">
        <w:t>retrofit</w:t>
      </w:r>
      <w:r w:rsidR="0072250B">
        <w:t xml:space="preserve"> costs</w:t>
      </w:r>
      <w:r w:rsidR="00D72FF6">
        <w:t xml:space="preserve"> at </w:t>
      </w:r>
      <w:r w:rsidR="00931013">
        <w:t>£11,000/home [</w:t>
      </w:r>
      <w:r w:rsidR="00D72FF6">
        <w:t xml:space="preserve">$15,262/home] and £250/kWth [$347/kWth] </w:t>
      </w:r>
      <w:r w:rsidR="0072250B">
        <w:t>respectively</w:t>
      </w:r>
      <w:r w:rsidR="00297F44">
        <w:t xml:space="preserve">. In previous phases, the investment is higher in the GreenSCIES scheme, particularly when the energy centres are connected to the network. </w:t>
      </w:r>
      <w:bookmarkStart w:id="0" w:name="_GoBack"/>
      <w:bookmarkEnd w:id="0"/>
    </w:p>
    <w:p w:rsidR="00297F44" w:rsidRDefault="00297F44" w:rsidP="00AB332D">
      <w:pPr>
        <w:pStyle w:val="11Level2Heading"/>
      </w:pPr>
      <w:r>
        <w:lastRenderedPageBreak/>
        <w:t>Mobility and renewable energy integration options</w:t>
      </w:r>
    </w:p>
    <w:p w:rsidR="00297F44" w:rsidRDefault="003E10B2" w:rsidP="00371DFB">
      <w:pPr>
        <w:pStyle w:val="09BodyafterTableApplytomaintextafteratable"/>
      </w:pPr>
      <w:r>
        <w:t>Mobility can electrically interface in three ways</w:t>
      </w:r>
      <w:r w:rsidR="00297F44">
        <w:t xml:space="preserve"> with a </w:t>
      </w:r>
      <w:r w:rsidR="00BE3D40">
        <w:t>3</w:t>
      </w:r>
      <w:r w:rsidR="00BE3D40" w:rsidRPr="00BE3D40">
        <w:rPr>
          <w:vertAlign w:val="superscript"/>
        </w:rPr>
        <w:t>rd</w:t>
      </w:r>
      <w:r w:rsidR="00BE3D40">
        <w:t>/4</w:t>
      </w:r>
      <w:r w:rsidR="00BE3D40" w:rsidRPr="00BE3D40">
        <w:rPr>
          <w:vertAlign w:val="superscript"/>
        </w:rPr>
        <w:t>th</w:t>
      </w:r>
      <w:r w:rsidR="00BE3D40">
        <w:t>/</w:t>
      </w:r>
      <w:r w:rsidR="00297F44">
        <w:t>5</w:t>
      </w:r>
      <w:r w:rsidR="00297F44" w:rsidRPr="00297F44">
        <w:rPr>
          <w:vertAlign w:val="superscript"/>
        </w:rPr>
        <w:t>th</w:t>
      </w:r>
      <w:r w:rsidR="00297F44">
        <w:t xml:space="preserve"> generation </w:t>
      </w:r>
      <w:r>
        <w:t>Smart Local Energy System:</w:t>
      </w:r>
    </w:p>
    <w:p w:rsidR="003E10B2" w:rsidRDefault="003E10B2" w:rsidP="00371DFB">
      <w:pPr>
        <w:pStyle w:val="09BodyafterTableApplytomaintextafteratable"/>
        <w:numPr>
          <w:ilvl w:val="0"/>
          <w:numId w:val="33"/>
        </w:numPr>
      </w:pPr>
      <w:r>
        <w:t xml:space="preserve">Connected using vehicle-to-grid: bi-directional chargers are connected into the network at a standalone cluster or within the energy centre. Energy can flow to the </w:t>
      </w:r>
      <w:r w:rsidR="00E3553C">
        <w:t>vehicle or back to the building;</w:t>
      </w:r>
    </w:p>
    <w:p w:rsidR="003E10B2" w:rsidRDefault="003E10B2" w:rsidP="00371DFB">
      <w:pPr>
        <w:pStyle w:val="09BodyafterTableApplytomaintextafteratable"/>
        <w:numPr>
          <w:ilvl w:val="0"/>
          <w:numId w:val="33"/>
        </w:numPr>
      </w:pPr>
      <w:r>
        <w:t>Smartly connected:</w:t>
      </w:r>
      <w:r w:rsidR="00C15BD5">
        <w:t xml:space="preserve"> uni-directional chargers are connected into the network. Energy can only flow into the vehicle, but the timing and rate of energy supply can </w:t>
      </w:r>
      <w:r w:rsidR="007E462D">
        <w:t>Optimised</w:t>
      </w:r>
      <w:r w:rsidR="00C15BD5">
        <w:t xml:space="preserve"> for price, reducing building rate at peak time</w:t>
      </w:r>
      <w:r w:rsidR="00E3553C">
        <w:t>;</w:t>
      </w:r>
    </w:p>
    <w:p w:rsidR="00C15BD5" w:rsidRDefault="00C15BD5" w:rsidP="00371DFB">
      <w:pPr>
        <w:pStyle w:val="09BodyafterTableApplytomaintextafteratable"/>
        <w:numPr>
          <w:ilvl w:val="0"/>
          <w:numId w:val="33"/>
        </w:numPr>
      </w:pPr>
      <w:r>
        <w:t>Shared civils: No energy supplied to buildings on the network but increased value, due to shared trenching for heat network and power supply to charging points along the network route</w:t>
      </w:r>
      <w:r w:rsidR="00E3553C">
        <w:t>.</w:t>
      </w:r>
    </w:p>
    <w:p w:rsidR="00C15BD5" w:rsidRDefault="00C15BD5" w:rsidP="00371DFB">
      <w:pPr>
        <w:pStyle w:val="09BodyafterTableApplytomaintextafteratable"/>
      </w:pPr>
      <w:r>
        <w:t xml:space="preserve">In Smethwick </w:t>
      </w:r>
      <w:r w:rsidR="00E3553C">
        <w:t>options,</w:t>
      </w:r>
      <w:r>
        <w:t xml:space="preserve"> 2 and 3 above are the most viable and it </w:t>
      </w:r>
      <w:r w:rsidR="001401E7">
        <w:t xml:space="preserve">is </w:t>
      </w:r>
      <w:r>
        <w:t xml:space="preserve">also possible to install charging infrastructure at public buildings and pair it with solar PV and batteries. </w:t>
      </w:r>
    </w:p>
    <w:p w:rsidR="00C15BD5" w:rsidRDefault="00C15BD5" w:rsidP="00AB332D">
      <w:pPr>
        <w:pStyle w:val="11Level2Heading"/>
      </w:pPr>
      <w:r>
        <w:t>Opportunities and challenges for Smart Local Energy Systems</w:t>
      </w:r>
    </w:p>
    <w:p w:rsidR="004A536C" w:rsidRDefault="00FE2070" w:rsidP="00371DFB">
      <w:pPr>
        <w:pStyle w:val="09BodyafterTableApplytomaintextafteratable"/>
      </w:pPr>
      <w:r>
        <w:t xml:space="preserve">Table 3 </w:t>
      </w:r>
      <w:r w:rsidR="007E462D">
        <w:t>summarizes</w:t>
      </w:r>
      <w:r>
        <w:t xml:space="preserve"> the </w:t>
      </w:r>
      <w:r w:rsidR="00901629">
        <w:t xml:space="preserve">opportunities and </w:t>
      </w:r>
      <w:r>
        <w:t xml:space="preserve">challenges </w:t>
      </w:r>
      <w:r w:rsidR="00901629">
        <w:t xml:space="preserve">for implementing </w:t>
      </w:r>
      <w:r>
        <w:t xml:space="preserve">SLES </w:t>
      </w:r>
      <w:r w:rsidR="00901629">
        <w:t>in cities and towns</w:t>
      </w:r>
      <w:r w:rsidR="006D5036">
        <w:t>.</w:t>
      </w:r>
      <w:r w:rsidR="00901629">
        <w:t xml:space="preserve"> </w:t>
      </w:r>
    </w:p>
    <w:p w:rsidR="00E3553C" w:rsidRPr="00143460" w:rsidRDefault="00E3553C" w:rsidP="00371DFB">
      <w:pPr>
        <w:pStyle w:val="09BodyafterTableApplytomaintextafteratable"/>
        <w:rPr>
          <w:sz w:val="10"/>
        </w:rPr>
      </w:pPr>
    </w:p>
    <w:p w:rsidR="004A536C" w:rsidRPr="00143460" w:rsidRDefault="004A536C" w:rsidP="005E1EC4">
      <w:pPr>
        <w:pStyle w:val="09BodyafterTableApplytomaintextafteratable"/>
        <w:ind w:left="1440" w:firstLine="720"/>
        <w:rPr>
          <w:rFonts w:ascii="Verdana" w:hAnsi="Verdana"/>
          <w:b/>
          <w:sz w:val="20"/>
        </w:rPr>
      </w:pPr>
      <w:r w:rsidRPr="00143460">
        <w:rPr>
          <w:rFonts w:ascii="Verdana" w:hAnsi="Verdana"/>
          <w:b/>
          <w:sz w:val="20"/>
        </w:rPr>
        <w:t xml:space="preserve">Table </w:t>
      </w:r>
      <w:r w:rsidR="002F5004" w:rsidRPr="00143460">
        <w:rPr>
          <w:rFonts w:ascii="Verdana" w:hAnsi="Verdana"/>
          <w:b/>
          <w:sz w:val="20"/>
        </w:rPr>
        <w:t xml:space="preserve">3. </w:t>
      </w:r>
      <w:r w:rsidRPr="00143460">
        <w:rPr>
          <w:rFonts w:ascii="Verdana" w:hAnsi="Verdana"/>
          <w:b/>
          <w:sz w:val="20"/>
        </w:rPr>
        <w:t>Opportunities and challenges for SLES</w:t>
      </w:r>
    </w:p>
    <w:tbl>
      <w:tblPr>
        <w:tblW w:w="4917" w:type="pct"/>
        <w:jc w:val="center"/>
        <w:tblBorders>
          <w:top w:val="single" w:sz="18" w:space="0" w:color="auto"/>
          <w:bottom w:val="single" w:sz="18" w:space="0" w:color="auto"/>
        </w:tblBorders>
        <w:tblLook w:val="04A0" w:firstRow="1" w:lastRow="0" w:firstColumn="1" w:lastColumn="0" w:noHBand="0" w:noVBand="1"/>
      </w:tblPr>
      <w:tblGrid>
        <w:gridCol w:w="4207"/>
        <w:gridCol w:w="5706"/>
      </w:tblGrid>
      <w:tr w:rsidR="006D5036" w:rsidRPr="00976C86" w:rsidTr="006D5036">
        <w:trPr>
          <w:jc w:val="center"/>
        </w:trPr>
        <w:tc>
          <w:tcPr>
            <w:tcW w:w="2122" w:type="pct"/>
            <w:tcBorders>
              <w:top w:val="single" w:sz="18" w:space="0" w:color="auto"/>
              <w:bottom w:val="double" w:sz="6" w:space="0" w:color="auto"/>
            </w:tcBorders>
            <w:vAlign w:val="center"/>
          </w:tcPr>
          <w:p w:rsidR="006D5036" w:rsidRPr="00976C86" w:rsidRDefault="006D5036" w:rsidP="00AC2FE9">
            <w:pPr>
              <w:pStyle w:val="14TableHeading"/>
            </w:pPr>
            <w:r>
              <w:t>Opportunities</w:t>
            </w:r>
          </w:p>
        </w:tc>
        <w:tc>
          <w:tcPr>
            <w:tcW w:w="2878" w:type="pct"/>
            <w:tcBorders>
              <w:top w:val="single" w:sz="18" w:space="0" w:color="auto"/>
              <w:bottom w:val="double" w:sz="6" w:space="0" w:color="auto"/>
            </w:tcBorders>
            <w:vAlign w:val="center"/>
          </w:tcPr>
          <w:p w:rsidR="006D5036" w:rsidRPr="00976C86" w:rsidRDefault="006D5036" w:rsidP="00AC2FE9">
            <w:pPr>
              <w:pStyle w:val="14TableHeading"/>
            </w:pPr>
            <w:r>
              <w:t>Challenges</w:t>
            </w:r>
          </w:p>
        </w:tc>
      </w:tr>
      <w:tr w:rsidR="006D5036" w:rsidRPr="0099761A" w:rsidTr="006D5036">
        <w:trPr>
          <w:jc w:val="center"/>
        </w:trPr>
        <w:tc>
          <w:tcPr>
            <w:tcW w:w="2122" w:type="pct"/>
            <w:tcBorders>
              <w:top w:val="double" w:sz="6" w:space="0" w:color="auto"/>
            </w:tcBorders>
            <w:vAlign w:val="center"/>
          </w:tcPr>
          <w:p w:rsidR="006D5036" w:rsidRPr="00FF24B5" w:rsidRDefault="006D5036" w:rsidP="00AE38B1">
            <w:pPr>
              <w:pStyle w:val="16TableText"/>
            </w:pPr>
            <w:r>
              <w:t>Waste heat recovery</w:t>
            </w:r>
          </w:p>
        </w:tc>
        <w:tc>
          <w:tcPr>
            <w:tcW w:w="2878" w:type="pct"/>
            <w:tcBorders>
              <w:top w:val="double" w:sz="6" w:space="0" w:color="auto"/>
            </w:tcBorders>
            <w:vAlign w:val="center"/>
          </w:tcPr>
          <w:p w:rsidR="006D5036" w:rsidRPr="0099761A" w:rsidRDefault="002F5004" w:rsidP="00AE38B1">
            <w:pPr>
              <w:pStyle w:val="16TableText"/>
            </w:pPr>
            <w:r>
              <w:t>Permanence of heat source</w:t>
            </w:r>
          </w:p>
        </w:tc>
      </w:tr>
      <w:tr w:rsidR="002F5004" w:rsidRPr="0099761A" w:rsidTr="006D5036">
        <w:trPr>
          <w:jc w:val="center"/>
        </w:trPr>
        <w:tc>
          <w:tcPr>
            <w:tcW w:w="2122" w:type="pct"/>
            <w:vAlign w:val="center"/>
          </w:tcPr>
          <w:p w:rsidR="002F5004" w:rsidRPr="0099761A" w:rsidRDefault="002F5004" w:rsidP="002F5004">
            <w:pPr>
              <w:pStyle w:val="16TableText"/>
            </w:pPr>
            <w:r>
              <w:t>Prosuming/combined heating and cooling</w:t>
            </w:r>
            <w:r w:rsidR="00DE1710">
              <w:t xml:space="preserve"> (</w:t>
            </w:r>
            <w:r w:rsidR="004B2A62">
              <w:t>5DHC</w:t>
            </w:r>
            <w:r w:rsidR="00DE1710">
              <w:t xml:space="preserve"> schemes)</w:t>
            </w:r>
          </w:p>
        </w:tc>
        <w:tc>
          <w:tcPr>
            <w:tcW w:w="2878" w:type="pct"/>
            <w:vAlign w:val="center"/>
          </w:tcPr>
          <w:p w:rsidR="002F5004" w:rsidRDefault="002F5004" w:rsidP="002F5004">
            <w:pPr>
              <w:pStyle w:val="16TableText"/>
            </w:pPr>
            <w:r>
              <w:t>Gas is much cheaper than electricity</w:t>
            </w:r>
          </w:p>
        </w:tc>
      </w:tr>
      <w:tr w:rsidR="002F5004" w:rsidRPr="0099761A" w:rsidTr="006D5036">
        <w:trPr>
          <w:jc w:val="center"/>
        </w:trPr>
        <w:tc>
          <w:tcPr>
            <w:tcW w:w="2122" w:type="pct"/>
            <w:vAlign w:val="center"/>
          </w:tcPr>
          <w:p w:rsidR="002F5004" w:rsidRPr="0099761A" w:rsidRDefault="0077098D" w:rsidP="002F5004">
            <w:pPr>
              <w:pStyle w:val="16TableText"/>
            </w:pPr>
            <w:r>
              <w:t>Revenue from f</w:t>
            </w:r>
            <w:r w:rsidR="002F5004">
              <w:t>lexibility (generation and demand)</w:t>
            </w:r>
          </w:p>
        </w:tc>
        <w:tc>
          <w:tcPr>
            <w:tcW w:w="2878" w:type="pct"/>
            <w:vAlign w:val="center"/>
          </w:tcPr>
          <w:p w:rsidR="002F5004" w:rsidRPr="0099761A" w:rsidRDefault="002F5004" w:rsidP="002F5004">
            <w:pPr>
              <w:pStyle w:val="16TableText"/>
            </w:pPr>
            <w:r>
              <w:t>High cost of networks (high digging costs)</w:t>
            </w:r>
          </w:p>
        </w:tc>
      </w:tr>
      <w:tr w:rsidR="002F5004" w:rsidRPr="0099761A" w:rsidTr="006D5036">
        <w:trPr>
          <w:jc w:val="center"/>
        </w:trPr>
        <w:tc>
          <w:tcPr>
            <w:tcW w:w="2122" w:type="pct"/>
            <w:vAlign w:val="center"/>
          </w:tcPr>
          <w:p w:rsidR="002F5004" w:rsidRPr="0099761A" w:rsidRDefault="002F5004" w:rsidP="002F5004">
            <w:pPr>
              <w:pStyle w:val="16TableText"/>
            </w:pPr>
            <w:r>
              <w:t>Avoided grid reinforcement (due to flexibility)</w:t>
            </w:r>
          </w:p>
        </w:tc>
        <w:tc>
          <w:tcPr>
            <w:tcW w:w="2878" w:type="pct"/>
            <w:vAlign w:val="center"/>
          </w:tcPr>
          <w:p w:rsidR="002F5004" w:rsidRPr="0099761A" w:rsidRDefault="002F5004" w:rsidP="002F5004">
            <w:pPr>
              <w:pStyle w:val="16TableText"/>
            </w:pPr>
            <w:r>
              <w:t>Policy support</w:t>
            </w:r>
          </w:p>
        </w:tc>
      </w:tr>
      <w:tr w:rsidR="002F5004" w:rsidRPr="0099761A" w:rsidTr="006D5036">
        <w:trPr>
          <w:trHeight w:val="219"/>
          <w:jc w:val="center"/>
        </w:trPr>
        <w:tc>
          <w:tcPr>
            <w:tcW w:w="2122" w:type="pct"/>
            <w:vAlign w:val="center"/>
          </w:tcPr>
          <w:p w:rsidR="002F5004" w:rsidRPr="0099761A" w:rsidRDefault="002F5004" w:rsidP="002F5004">
            <w:pPr>
              <w:pStyle w:val="16TableText"/>
            </w:pPr>
            <w:r>
              <w:t>Integration of heat, power and transport</w:t>
            </w:r>
          </w:p>
        </w:tc>
        <w:tc>
          <w:tcPr>
            <w:tcW w:w="2878" w:type="pct"/>
            <w:vAlign w:val="center"/>
          </w:tcPr>
          <w:p w:rsidR="002F5004" w:rsidRPr="0099761A" w:rsidRDefault="002F5004" w:rsidP="002F5004">
            <w:pPr>
              <w:pStyle w:val="16TableText"/>
            </w:pPr>
            <w:r>
              <w:t>Lack of models forecasting the future in a broad scope</w:t>
            </w:r>
          </w:p>
        </w:tc>
      </w:tr>
      <w:tr w:rsidR="002F5004" w:rsidRPr="0099761A" w:rsidTr="006D5036">
        <w:trPr>
          <w:jc w:val="center"/>
        </w:trPr>
        <w:tc>
          <w:tcPr>
            <w:tcW w:w="2122" w:type="pct"/>
            <w:vAlign w:val="center"/>
          </w:tcPr>
          <w:p w:rsidR="002F5004" w:rsidRPr="0099761A" w:rsidRDefault="008E7C66" w:rsidP="002F5004">
            <w:pPr>
              <w:pStyle w:val="16TableText"/>
            </w:pPr>
            <w:r>
              <w:t>Addr</w:t>
            </w:r>
            <w:r w:rsidR="002F5004">
              <w:t>essing climate Change</w:t>
            </w:r>
          </w:p>
        </w:tc>
        <w:tc>
          <w:tcPr>
            <w:tcW w:w="2878" w:type="pct"/>
            <w:vAlign w:val="center"/>
          </w:tcPr>
          <w:p w:rsidR="002F5004" w:rsidRPr="0099761A" w:rsidRDefault="002F5004" w:rsidP="002F5004">
            <w:pPr>
              <w:pStyle w:val="16TableText"/>
            </w:pPr>
            <w:r>
              <w:t>Ownership and business model</w:t>
            </w:r>
          </w:p>
        </w:tc>
      </w:tr>
      <w:tr w:rsidR="002F5004" w:rsidRPr="0099761A" w:rsidTr="006D5036">
        <w:trPr>
          <w:jc w:val="center"/>
        </w:trPr>
        <w:tc>
          <w:tcPr>
            <w:tcW w:w="2122" w:type="pct"/>
            <w:vAlign w:val="center"/>
          </w:tcPr>
          <w:p w:rsidR="002F5004" w:rsidRPr="0099761A" w:rsidRDefault="002F5004" w:rsidP="00143460">
            <w:pPr>
              <w:pStyle w:val="16TableText"/>
            </w:pPr>
            <w:r w:rsidRPr="00143460">
              <w:t>Addressing fuel poverty (</w:t>
            </w:r>
            <w:r w:rsidR="00143460" w:rsidRPr="00143460">
              <w:t>comparable</w:t>
            </w:r>
            <w:r w:rsidRPr="00143460">
              <w:t xml:space="preserve"> energy bills)</w:t>
            </w:r>
          </w:p>
        </w:tc>
        <w:tc>
          <w:tcPr>
            <w:tcW w:w="2878" w:type="pct"/>
            <w:vAlign w:val="center"/>
          </w:tcPr>
          <w:p w:rsidR="002F5004" w:rsidRPr="0099761A" w:rsidRDefault="002F5004" w:rsidP="002F5004">
            <w:pPr>
              <w:pStyle w:val="16TableText"/>
            </w:pPr>
            <w:r>
              <w:t>Uncertainty around connection rates</w:t>
            </w:r>
          </w:p>
        </w:tc>
      </w:tr>
      <w:tr w:rsidR="002F5004" w:rsidRPr="0099761A" w:rsidTr="006D5036">
        <w:trPr>
          <w:jc w:val="center"/>
        </w:trPr>
        <w:tc>
          <w:tcPr>
            <w:tcW w:w="2122" w:type="pct"/>
            <w:vAlign w:val="center"/>
          </w:tcPr>
          <w:p w:rsidR="002F5004" w:rsidRPr="0099761A" w:rsidRDefault="002F5004" w:rsidP="002F5004">
            <w:pPr>
              <w:pStyle w:val="16TableText"/>
            </w:pPr>
            <w:r>
              <w:t>Electrification of transport</w:t>
            </w:r>
          </w:p>
        </w:tc>
        <w:tc>
          <w:tcPr>
            <w:tcW w:w="2878" w:type="pct"/>
            <w:vAlign w:val="center"/>
          </w:tcPr>
          <w:p w:rsidR="002F5004" w:rsidRPr="0099761A" w:rsidRDefault="002F5004" w:rsidP="002F5004">
            <w:pPr>
              <w:pStyle w:val="16TableText"/>
            </w:pPr>
            <w:r>
              <w:t xml:space="preserve">Lack of consumer awareness </w:t>
            </w:r>
          </w:p>
        </w:tc>
      </w:tr>
      <w:tr w:rsidR="002F5004" w:rsidRPr="0099761A" w:rsidTr="006D5036">
        <w:trPr>
          <w:jc w:val="center"/>
        </w:trPr>
        <w:tc>
          <w:tcPr>
            <w:tcW w:w="2122" w:type="pct"/>
            <w:vAlign w:val="center"/>
          </w:tcPr>
          <w:p w:rsidR="002F5004" w:rsidRPr="0099761A" w:rsidRDefault="002F5004" w:rsidP="002F5004">
            <w:pPr>
              <w:pStyle w:val="16TableText"/>
            </w:pPr>
            <w:r>
              <w:t>Local employment</w:t>
            </w:r>
          </w:p>
        </w:tc>
        <w:tc>
          <w:tcPr>
            <w:tcW w:w="2878" w:type="pct"/>
            <w:vAlign w:val="center"/>
          </w:tcPr>
          <w:p w:rsidR="002F5004" w:rsidRPr="0099761A" w:rsidRDefault="002F5004" w:rsidP="002F5004">
            <w:pPr>
              <w:pStyle w:val="16TableText"/>
            </w:pPr>
            <w:r>
              <w:t>Skills shortage</w:t>
            </w:r>
          </w:p>
        </w:tc>
      </w:tr>
    </w:tbl>
    <w:p w:rsidR="00495104" w:rsidRPr="00AF2D6D" w:rsidRDefault="00495104" w:rsidP="00E64DB6">
      <w:pPr>
        <w:pStyle w:val="10Level1Heading"/>
        <w:rPr>
          <w:rFonts w:ascii="Garamond" w:hAnsi="Garamond"/>
        </w:rPr>
      </w:pPr>
      <w:r>
        <w:t>CONCLUSION</w:t>
      </w:r>
    </w:p>
    <w:p w:rsidR="0064307A" w:rsidRDefault="0034250D" w:rsidP="00B014A9">
      <w:pPr>
        <w:pStyle w:val="06BodyMaintext"/>
        <w:ind w:firstLine="426"/>
      </w:pPr>
      <w:r>
        <w:t xml:space="preserve">This paper investigated opportunities and challenges for implementing Smart Local Energy Systems through two case studies in </w:t>
      </w:r>
      <w:r w:rsidR="00C105FF">
        <w:t xml:space="preserve">Islington (London) </w:t>
      </w:r>
      <w:r>
        <w:t xml:space="preserve">and Smethwick. </w:t>
      </w:r>
    </w:p>
    <w:p w:rsidR="00495104" w:rsidRDefault="0034250D" w:rsidP="00B53823">
      <w:pPr>
        <w:pStyle w:val="06BodyMaintext"/>
        <w:ind w:firstLine="284"/>
      </w:pPr>
      <w:r>
        <w:t xml:space="preserve"> In Islington, the 5</w:t>
      </w:r>
      <w:r w:rsidRPr="0034250D">
        <w:rPr>
          <w:vertAlign w:val="superscript"/>
        </w:rPr>
        <w:t>th</w:t>
      </w:r>
      <w:r>
        <w:t xml:space="preserve"> generation decentralized network has a balanced heating and cooling demand, which allows for prosuming between buildings. </w:t>
      </w:r>
      <w:r w:rsidR="00B53823">
        <w:t>The opportunity</w:t>
      </w:r>
      <w:r>
        <w:t xml:space="preserve"> for electric vehicle and V2G integration behind the meter </w:t>
      </w:r>
      <w:r w:rsidR="00B53823">
        <w:t>is higher i</w:t>
      </w:r>
      <w:r w:rsidR="0064307A">
        <w:t>n</w:t>
      </w:r>
      <w:r w:rsidR="00B53823">
        <w:t xml:space="preserve"> </w:t>
      </w:r>
      <w:r w:rsidR="004B2A62">
        <w:t>5DHC</w:t>
      </w:r>
      <w:r w:rsidR="00B53823">
        <w:t xml:space="preserve"> networks as they have more energy centres</w:t>
      </w:r>
      <w:r w:rsidR="0064307A">
        <w:t xml:space="preserve"> than </w:t>
      </w:r>
      <w:r w:rsidR="00BE3D40">
        <w:t>3</w:t>
      </w:r>
      <w:r w:rsidR="004B2A62">
        <w:t>DH</w:t>
      </w:r>
      <w:r w:rsidR="0064307A">
        <w:t xml:space="preserve"> schemes, although both can benefit from the shared civils for the </w:t>
      </w:r>
      <w:r w:rsidR="00D546C7">
        <w:t xml:space="preserve">district </w:t>
      </w:r>
      <w:r w:rsidR="0064307A">
        <w:t>heat network and charging infrastructure</w:t>
      </w:r>
      <w:r w:rsidR="00B53823">
        <w:t>.</w:t>
      </w:r>
    </w:p>
    <w:p w:rsidR="00C105FF" w:rsidRDefault="00B53823" w:rsidP="00DE1710">
      <w:pPr>
        <w:pStyle w:val="06BodyMaintext"/>
      </w:pPr>
      <w:r>
        <w:t xml:space="preserve">In Smethwick the </w:t>
      </w:r>
      <w:r w:rsidR="0064307A">
        <w:t>heating demand i</w:t>
      </w:r>
      <w:r w:rsidR="00DE1710">
        <w:t xml:space="preserve">s nearly ten times higher than the cooling demand thus a </w:t>
      </w:r>
      <w:r w:rsidR="00BE3D40">
        <w:t>3</w:t>
      </w:r>
      <w:r w:rsidR="004B2A62">
        <w:t>DH</w:t>
      </w:r>
      <w:r w:rsidR="00DE1710">
        <w:t xml:space="preserve"> centralized network was modelled with heat recovery from the foundry. </w:t>
      </w:r>
      <w:r w:rsidR="00AE37A5">
        <w:t xml:space="preserve">With this </w:t>
      </w:r>
      <w:r w:rsidR="00582744">
        <w:t>limitation,</w:t>
      </w:r>
      <w:r w:rsidR="00AE37A5">
        <w:t xml:space="preserve"> </w:t>
      </w:r>
      <w:r w:rsidR="00143460">
        <w:t>t</w:t>
      </w:r>
      <w:r w:rsidR="00DE1710">
        <w:t xml:space="preserve">he </w:t>
      </w:r>
      <w:r>
        <w:t xml:space="preserve">GreenSCIES </w:t>
      </w:r>
      <w:r w:rsidR="00AE37A5">
        <w:t>thinking</w:t>
      </w:r>
      <w:r>
        <w:t xml:space="preserve"> was applied on a much larger scale</w:t>
      </w:r>
      <w:r w:rsidR="0081483E">
        <w:t xml:space="preserve"> and it showed CO</w:t>
      </w:r>
      <w:r w:rsidR="0081483E" w:rsidRPr="0081483E">
        <w:rPr>
          <w:vertAlign w:val="subscript"/>
        </w:rPr>
        <w:t>2</w:t>
      </w:r>
      <w:r w:rsidR="0081483E">
        <w:t xml:space="preserve"> savings in every phase of the network build-out plan, with a total of 25,600 tonnes of carbon saved by year 10 compared to the baseline sc</w:t>
      </w:r>
      <w:r w:rsidR="0010042F">
        <w:t>enario with gas boilers and air</w:t>
      </w:r>
      <w:r w:rsidR="0081483E">
        <w:t xml:space="preserve"> source heat pumps. The overall profit </w:t>
      </w:r>
      <w:r w:rsidR="0010042F">
        <w:t>of the scheme is £25m ($32m) after 10 years. The next steps are to estimate the EV charging opportunities and PV potential</w:t>
      </w:r>
      <w:r w:rsidR="0064307A" w:rsidRPr="0064307A">
        <w:t xml:space="preserve"> </w:t>
      </w:r>
      <w:r w:rsidR="0064307A">
        <w:t xml:space="preserve">in Smethwick and update the techno-economic </w:t>
      </w:r>
      <w:r w:rsidR="008736CB">
        <w:t xml:space="preserve">and CAPEX </w:t>
      </w:r>
      <w:proofErr w:type="spellStart"/>
      <w:r w:rsidR="0064307A">
        <w:t>model</w:t>
      </w:r>
      <w:r w:rsidR="008736CB">
        <w:t>s</w:t>
      </w:r>
      <w:r w:rsidR="00C105FF">
        <w:t>.</w:t>
      </w:r>
    </w:p>
    <w:p w:rsidR="008736CB" w:rsidRDefault="008736CB" w:rsidP="00DE1710">
      <w:pPr>
        <w:pStyle w:val="06BodyMaintext"/>
      </w:pPr>
      <w:proofErr w:type="spellEnd"/>
      <w:r>
        <w:t xml:space="preserve">Overall, both </w:t>
      </w:r>
      <w:r w:rsidR="0064110A">
        <w:t>3</w:t>
      </w:r>
      <w:r w:rsidR="004B2A62">
        <w:t>DH</w:t>
      </w:r>
      <w:r>
        <w:t xml:space="preserve"> and </w:t>
      </w:r>
      <w:r w:rsidR="004B2A62">
        <w:t>5DHC</w:t>
      </w:r>
      <w:r>
        <w:t xml:space="preserve"> networks show clear benefits over </w:t>
      </w:r>
      <w:r w:rsidR="00B014A9">
        <w:t>the base case</w:t>
      </w:r>
      <w:r>
        <w:t xml:space="preserve">, </w:t>
      </w:r>
      <w:r w:rsidR="002B29BD">
        <w:t>reducing</w:t>
      </w:r>
      <w:r>
        <w:t xml:space="preserve"> carbon emission</w:t>
      </w:r>
      <w:r w:rsidR="002B29BD">
        <w:t xml:space="preserve">s and </w:t>
      </w:r>
      <w:r>
        <w:t>provid</w:t>
      </w:r>
      <w:r w:rsidR="00B014A9">
        <w:t>ing</w:t>
      </w:r>
      <w:r>
        <w:t xml:space="preserve"> a pathway towards net zero carbon cities, enabling local authorities to meet </w:t>
      </w:r>
      <w:r w:rsidR="00B014A9">
        <w:t>their targets.</w:t>
      </w:r>
    </w:p>
    <w:p w:rsidR="0038742B" w:rsidRPr="00AF2D6D" w:rsidRDefault="0038742B" w:rsidP="0038742B">
      <w:pPr>
        <w:pStyle w:val="10Level1Heading"/>
        <w:rPr>
          <w:rFonts w:ascii="Garamond" w:hAnsi="Garamond"/>
        </w:rPr>
      </w:pPr>
      <w:r>
        <w:t>ACKNOWLEDGMENTS</w:t>
      </w:r>
    </w:p>
    <w:p w:rsidR="00D1561B" w:rsidRPr="0083031B" w:rsidRDefault="00D1561B" w:rsidP="00D1561B">
      <w:pPr>
        <w:spacing w:before="12"/>
        <w:ind w:left="0" w:firstLine="426"/>
        <w:jc w:val="both"/>
        <w:rPr>
          <w:rFonts w:ascii="Garamond" w:hAnsi="Garamond" w:cs="Calibri"/>
          <w:bCs/>
        </w:rPr>
      </w:pPr>
      <w:r w:rsidRPr="0083031B">
        <w:rPr>
          <w:rFonts w:ascii="Garamond" w:hAnsi="Garamond" w:cs="Calibri"/>
          <w:bCs/>
        </w:rPr>
        <w:t>The authors would like to acknowledge the funding from Innovate UK</w:t>
      </w:r>
      <w:r>
        <w:rPr>
          <w:rFonts w:ascii="Garamond" w:hAnsi="Garamond" w:cs="Calibri"/>
          <w:bCs/>
        </w:rPr>
        <w:t xml:space="preserve"> (105840)</w:t>
      </w:r>
      <w:r w:rsidRPr="0083031B">
        <w:rPr>
          <w:rFonts w:ascii="Garamond" w:hAnsi="Garamond" w:cs="Calibri"/>
          <w:bCs/>
        </w:rPr>
        <w:t xml:space="preserve"> and all GreenSCIES </w:t>
      </w:r>
      <w:r>
        <w:rPr>
          <w:rFonts w:ascii="Garamond" w:hAnsi="Garamond" w:cs="Calibri"/>
          <w:bCs/>
        </w:rPr>
        <w:t>project</w:t>
      </w:r>
      <w:r w:rsidRPr="0083031B">
        <w:rPr>
          <w:rFonts w:ascii="Garamond" w:hAnsi="Garamond" w:cs="Calibri"/>
          <w:bCs/>
        </w:rPr>
        <w:t xml:space="preserve"> partners: </w:t>
      </w:r>
      <w:r>
        <w:rPr>
          <w:rFonts w:ascii="Garamond" w:hAnsi="Garamond" w:cs="Calibri"/>
          <w:bCs/>
        </w:rPr>
        <w:t xml:space="preserve">London Borough of </w:t>
      </w:r>
      <w:r w:rsidRPr="0083031B">
        <w:rPr>
          <w:rFonts w:ascii="Garamond" w:hAnsi="Garamond" w:cs="Calibri"/>
          <w:bCs/>
        </w:rPr>
        <w:t xml:space="preserve">Islington, </w:t>
      </w:r>
      <w:r>
        <w:rPr>
          <w:rFonts w:ascii="Garamond" w:hAnsi="Garamond" w:cs="Calibri"/>
          <w:bCs/>
        </w:rPr>
        <w:t>West Midlands Combined Authority,</w:t>
      </w:r>
      <w:r w:rsidRPr="0083031B">
        <w:rPr>
          <w:rFonts w:ascii="Garamond" w:hAnsi="Garamond" w:cs="Calibri"/>
          <w:bCs/>
        </w:rPr>
        <w:t xml:space="preserve"> Building </w:t>
      </w:r>
      <w:r>
        <w:rPr>
          <w:rFonts w:ascii="Garamond" w:hAnsi="Garamond" w:cs="Calibri"/>
          <w:bCs/>
        </w:rPr>
        <w:t>Low Carbon</w:t>
      </w:r>
      <w:r w:rsidRPr="0083031B">
        <w:rPr>
          <w:rFonts w:ascii="Garamond" w:hAnsi="Garamond" w:cs="Calibri"/>
          <w:bCs/>
        </w:rPr>
        <w:t xml:space="preserve"> Solutions</w:t>
      </w:r>
      <w:r>
        <w:rPr>
          <w:rFonts w:ascii="Garamond" w:hAnsi="Garamond" w:cs="Calibri"/>
          <w:bCs/>
        </w:rPr>
        <w:t xml:space="preserve">, </w:t>
      </w:r>
      <w:r w:rsidRPr="0083031B">
        <w:rPr>
          <w:rFonts w:ascii="Garamond" w:hAnsi="Garamond" w:cs="Calibri"/>
          <w:bCs/>
        </w:rPr>
        <w:t xml:space="preserve">Carbon </w:t>
      </w:r>
      <w:r w:rsidRPr="0083031B">
        <w:rPr>
          <w:rFonts w:ascii="Garamond" w:hAnsi="Garamond" w:cs="Calibri"/>
          <w:bCs/>
        </w:rPr>
        <w:lastRenderedPageBreak/>
        <w:t>Descent Projects</w:t>
      </w:r>
      <w:r>
        <w:rPr>
          <w:rFonts w:ascii="Garamond" w:hAnsi="Garamond" w:cs="Calibri"/>
          <w:bCs/>
        </w:rPr>
        <w:t>,</w:t>
      </w:r>
      <w:r w:rsidRPr="00E747D9">
        <w:rPr>
          <w:rFonts w:ascii="Garamond" w:hAnsi="Garamond" w:cs="Calibri"/>
          <w:bCs/>
        </w:rPr>
        <w:t xml:space="preserve"> </w:t>
      </w:r>
      <w:r w:rsidRPr="0083031B">
        <w:rPr>
          <w:rFonts w:ascii="Garamond" w:hAnsi="Garamond" w:cs="Calibri"/>
          <w:bCs/>
        </w:rPr>
        <w:t xml:space="preserve">Transport for London, </w:t>
      </w:r>
      <w:r>
        <w:rPr>
          <w:rFonts w:ascii="Garamond" w:hAnsi="Garamond" w:cs="Calibri"/>
          <w:bCs/>
        </w:rPr>
        <w:t xml:space="preserve">EON, Cullinan Studio, </w:t>
      </w:r>
      <w:r w:rsidRPr="0083031B">
        <w:rPr>
          <w:rFonts w:ascii="Garamond" w:hAnsi="Garamond" w:cs="Calibri"/>
          <w:bCs/>
        </w:rPr>
        <w:t>Grid Edge</w:t>
      </w:r>
      <w:r>
        <w:rPr>
          <w:rFonts w:ascii="Garamond" w:hAnsi="Garamond" w:cs="Calibri"/>
          <w:bCs/>
        </w:rPr>
        <w:t xml:space="preserve">, </w:t>
      </w:r>
      <w:r w:rsidRPr="0083031B">
        <w:rPr>
          <w:rFonts w:ascii="Garamond" w:hAnsi="Garamond" w:cs="Calibri"/>
          <w:bCs/>
        </w:rPr>
        <w:t>Carbon Data Resources</w:t>
      </w:r>
      <w:r>
        <w:rPr>
          <w:rFonts w:ascii="Garamond" w:hAnsi="Garamond" w:cs="Calibri"/>
          <w:bCs/>
        </w:rPr>
        <w:t>, Hanger 19, CENEX, Silver Energy Management Solutions, Consortio and Repowering Londo</w:t>
      </w:r>
      <w:r w:rsidRPr="00474B9B">
        <w:rPr>
          <w:rFonts w:ascii="Garamond" w:hAnsi="Garamond" w:cs="Calibri"/>
          <w:bCs/>
        </w:rPr>
        <w:t>n</w:t>
      </w:r>
      <w:r w:rsidR="00474B9B" w:rsidRPr="00474B9B">
        <w:rPr>
          <w:rFonts w:ascii="Garamond" w:hAnsi="Garamond" w:cs="Calibri"/>
          <w:bCs/>
        </w:rPr>
        <w:t>.</w:t>
      </w:r>
    </w:p>
    <w:p w:rsidR="00D1561B" w:rsidRPr="000A0E35" w:rsidRDefault="00715847" w:rsidP="00D1561B">
      <w:pPr>
        <w:pStyle w:val="10Level1Heading"/>
      </w:pPr>
      <w:r>
        <w:t>references</w:t>
      </w:r>
    </w:p>
    <w:p w:rsidR="00072583" w:rsidRPr="002B72D0" w:rsidRDefault="00072583" w:rsidP="00072583">
      <w:pPr>
        <w:ind w:left="0" w:firstLine="360"/>
        <w:rPr>
          <w:rFonts w:ascii="Garamond" w:hAnsi="Garamond" w:cs="Calibri"/>
          <w:sz w:val="20"/>
          <w:szCs w:val="20"/>
        </w:rPr>
      </w:pPr>
      <w:r w:rsidRPr="002B72D0">
        <w:rPr>
          <w:rFonts w:ascii="Garamond" w:hAnsi="Garamond" w:cs="Calibri"/>
          <w:sz w:val="20"/>
          <w:szCs w:val="20"/>
        </w:rPr>
        <w:t xml:space="preserve">Buffa, S., Cozzini, M., D’Antoni, M., Baratieri, M., Fedrizzi, R. 2019. </w:t>
      </w:r>
      <w:proofErr w:type="gramStart"/>
      <w:r w:rsidRPr="002B72D0">
        <w:rPr>
          <w:rFonts w:ascii="Garamond" w:hAnsi="Garamond" w:cs="Calibri"/>
          <w:sz w:val="20"/>
          <w:szCs w:val="20"/>
        </w:rPr>
        <w:t>5</w:t>
      </w:r>
      <w:r w:rsidRPr="002B72D0">
        <w:rPr>
          <w:rFonts w:ascii="Garamond" w:hAnsi="Garamond" w:cs="Calibri"/>
          <w:sz w:val="20"/>
          <w:szCs w:val="20"/>
          <w:vertAlign w:val="superscript"/>
        </w:rPr>
        <w:t>th</w:t>
      </w:r>
      <w:proofErr w:type="gramEnd"/>
      <w:r w:rsidRPr="002B72D0">
        <w:rPr>
          <w:rFonts w:ascii="Garamond" w:hAnsi="Garamond" w:cs="Calibri"/>
          <w:sz w:val="20"/>
          <w:szCs w:val="20"/>
        </w:rPr>
        <w:t xml:space="preserve"> generation district heating and cooling systems: A review of existing cases in Europe, </w:t>
      </w:r>
      <w:r w:rsidRPr="002B72D0">
        <w:rPr>
          <w:rFonts w:ascii="Garamond" w:hAnsi="Garamond" w:cs="Calibri"/>
          <w:i/>
          <w:iCs/>
          <w:sz w:val="20"/>
          <w:szCs w:val="20"/>
        </w:rPr>
        <w:t>Renewable and Sustainable Energy Reviews</w:t>
      </w:r>
      <w:r w:rsidRPr="002B72D0">
        <w:rPr>
          <w:rFonts w:ascii="Garamond" w:hAnsi="Garamond" w:cs="Calibri"/>
          <w:sz w:val="20"/>
          <w:szCs w:val="20"/>
        </w:rPr>
        <w:t xml:space="preserve"> 104:504-522.</w:t>
      </w:r>
    </w:p>
    <w:p w:rsidR="00AA1D37" w:rsidRPr="002B72D0" w:rsidRDefault="00AA1D37" w:rsidP="00AA1D37">
      <w:pPr>
        <w:ind w:left="0" w:firstLine="360"/>
        <w:rPr>
          <w:rFonts w:ascii="Garamond" w:hAnsi="Garamond" w:cs="Calibri"/>
          <w:color w:val="000000"/>
          <w:sz w:val="20"/>
          <w:szCs w:val="20"/>
        </w:rPr>
      </w:pPr>
      <w:r w:rsidRPr="002B72D0">
        <w:rPr>
          <w:rFonts w:ascii="Garamond" w:hAnsi="Garamond" w:cs="Calibri"/>
          <w:color w:val="000000"/>
          <w:sz w:val="20"/>
          <w:szCs w:val="20"/>
        </w:rPr>
        <w:t xml:space="preserve">Davies, G. F., Maidment, G. G., Tozer, R. M. (2016) Using data centres for combined heating and cooling: An investigation for London, </w:t>
      </w:r>
      <w:r w:rsidRPr="002B72D0">
        <w:rPr>
          <w:rFonts w:ascii="Garamond" w:hAnsi="Garamond" w:cs="Calibri"/>
          <w:i/>
          <w:iCs/>
          <w:color w:val="000000"/>
          <w:sz w:val="20"/>
          <w:szCs w:val="20"/>
        </w:rPr>
        <w:t>Applied Thermal Engineering</w:t>
      </w:r>
      <w:r w:rsidRPr="002B72D0">
        <w:rPr>
          <w:rFonts w:ascii="Garamond" w:hAnsi="Garamond" w:cs="Calibri"/>
          <w:color w:val="000000"/>
          <w:sz w:val="20"/>
          <w:szCs w:val="20"/>
        </w:rPr>
        <w:t xml:space="preserve"> 94:296–304.</w:t>
      </w:r>
    </w:p>
    <w:p w:rsidR="00072583" w:rsidRPr="002B72D0" w:rsidRDefault="00072583" w:rsidP="00072583">
      <w:pPr>
        <w:pStyle w:val="Bibliography"/>
        <w:ind w:firstLine="360"/>
        <w:rPr>
          <w:rFonts w:ascii="Garamond" w:hAnsi="Garamond" w:cs="Arial"/>
          <w:color w:val="000000"/>
          <w:sz w:val="20"/>
          <w:szCs w:val="20"/>
        </w:rPr>
      </w:pPr>
      <w:r w:rsidRPr="002B72D0">
        <w:rPr>
          <w:rFonts w:ascii="Garamond" w:hAnsi="Garamond" w:cs="Calibri"/>
          <w:color w:val="000000"/>
          <w:sz w:val="20"/>
          <w:szCs w:val="20"/>
        </w:rPr>
        <w:fldChar w:fldCharType="begin"/>
      </w:r>
      <w:r w:rsidRPr="002B72D0">
        <w:rPr>
          <w:rFonts w:ascii="Garamond" w:hAnsi="Garamond" w:cs="Calibri"/>
          <w:color w:val="000000"/>
          <w:sz w:val="20"/>
          <w:szCs w:val="20"/>
        </w:rPr>
        <w:instrText xml:space="preserve"> ADDIN ZOTERO_BIBL {"uncited":[],"omitted":[],"custom":[]} CSL_BIBLIOGRAPHY </w:instrText>
      </w:r>
      <w:r w:rsidRPr="002B72D0">
        <w:rPr>
          <w:rFonts w:ascii="Garamond" w:hAnsi="Garamond" w:cs="Calibri"/>
          <w:color w:val="000000"/>
          <w:sz w:val="20"/>
          <w:szCs w:val="20"/>
        </w:rPr>
        <w:fldChar w:fldCharType="separate"/>
      </w:r>
      <w:r w:rsidRPr="002B72D0">
        <w:rPr>
          <w:rFonts w:ascii="Garamond" w:hAnsi="Garamond" w:cs="Calibri"/>
          <w:color w:val="000000"/>
          <w:sz w:val="20"/>
          <w:szCs w:val="20"/>
        </w:rPr>
        <w:t xml:space="preserve">EMD. 2014. </w:t>
      </w:r>
      <w:r w:rsidR="007E462D" w:rsidRPr="002B72D0">
        <w:rPr>
          <w:rFonts w:ascii="Garamond" w:hAnsi="Garamond" w:cs="Calibri"/>
          <w:color w:val="000000"/>
          <w:sz w:val="20"/>
          <w:szCs w:val="20"/>
        </w:rPr>
        <w:t>EnergyPro</w:t>
      </w:r>
      <w:r w:rsidRPr="002B72D0">
        <w:rPr>
          <w:rFonts w:ascii="Garamond" w:hAnsi="Garamond" w:cs="Calibri"/>
          <w:color w:val="000000"/>
          <w:sz w:val="20"/>
          <w:szCs w:val="20"/>
        </w:rPr>
        <w:t xml:space="preserve"> - Simulate, </w:t>
      </w:r>
      <w:r w:rsidR="007E462D" w:rsidRPr="002B72D0">
        <w:rPr>
          <w:rFonts w:ascii="Garamond" w:hAnsi="Garamond" w:cs="Calibri"/>
          <w:color w:val="000000"/>
          <w:sz w:val="20"/>
          <w:szCs w:val="20"/>
        </w:rPr>
        <w:t>analyse</w:t>
      </w:r>
      <w:r w:rsidRPr="002B72D0">
        <w:rPr>
          <w:rFonts w:ascii="Garamond" w:hAnsi="Garamond" w:cs="Calibri"/>
          <w:color w:val="000000"/>
          <w:sz w:val="20"/>
          <w:szCs w:val="20"/>
        </w:rPr>
        <w:t xml:space="preserve"> and optimize operations of energy plants, </w:t>
      </w:r>
      <w:r w:rsidRPr="002B72D0">
        <w:rPr>
          <w:rFonts w:ascii="Garamond" w:hAnsi="Garamond" w:cs="Calibri"/>
          <w:i/>
          <w:iCs/>
          <w:color w:val="000000"/>
          <w:sz w:val="20"/>
          <w:szCs w:val="20"/>
        </w:rPr>
        <w:t>EMD International A/S</w:t>
      </w:r>
      <w:r w:rsidRPr="002B72D0">
        <w:rPr>
          <w:rFonts w:ascii="Garamond" w:hAnsi="Garamond" w:cs="Calibri"/>
          <w:color w:val="000000"/>
          <w:sz w:val="20"/>
          <w:szCs w:val="20"/>
        </w:rPr>
        <w:t xml:space="preserve">. Available </w:t>
      </w:r>
      <w:proofErr w:type="gramStart"/>
      <w:r w:rsidRPr="002B72D0">
        <w:rPr>
          <w:rFonts w:ascii="Garamond" w:hAnsi="Garamond" w:cs="Calibri"/>
          <w:color w:val="000000"/>
          <w:sz w:val="20"/>
          <w:szCs w:val="20"/>
        </w:rPr>
        <w:t>from:</w:t>
      </w:r>
      <w:proofErr w:type="gramEnd"/>
      <w:r w:rsidRPr="002B72D0">
        <w:rPr>
          <w:rFonts w:ascii="Garamond" w:hAnsi="Garamond" w:cs="Calibri"/>
          <w:color w:val="000000"/>
          <w:sz w:val="20"/>
          <w:szCs w:val="20"/>
        </w:rPr>
        <w:t xml:space="preserve"> https://www.emd.dk/energypro </w:t>
      </w:r>
      <w:r w:rsidRPr="002B72D0">
        <w:rPr>
          <w:rFonts w:ascii="Garamond" w:hAnsi="Garamond" w:cs="Arial"/>
          <w:color w:val="000000"/>
          <w:sz w:val="20"/>
          <w:szCs w:val="20"/>
        </w:rPr>
        <w:t>[Accessed 14.01.2019].</w:t>
      </w:r>
    </w:p>
    <w:p w:rsidR="00072583" w:rsidRPr="002B72D0" w:rsidRDefault="00072583" w:rsidP="00072583">
      <w:pPr>
        <w:ind w:left="0" w:firstLine="360"/>
        <w:rPr>
          <w:rFonts w:ascii="Garamond" w:hAnsi="Garamond"/>
          <w:sz w:val="20"/>
          <w:szCs w:val="20"/>
        </w:rPr>
      </w:pPr>
      <w:r w:rsidRPr="002B72D0">
        <w:rPr>
          <w:rFonts w:ascii="Garamond" w:hAnsi="Garamond"/>
          <w:sz w:val="20"/>
          <w:szCs w:val="20"/>
        </w:rPr>
        <w:t xml:space="preserve">Environmental Protection Agency (EPA). 2020. Combined Heat and Power (CHP) Partnership. Available from: </w:t>
      </w:r>
      <w:r w:rsidRPr="002B72D0">
        <w:rPr>
          <w:rFonts w:ascii="Garamond" w:hAnsi="Garamond"/>
          <w:color w:val="000000"/>
          <w:sz w:val="20"/>
          <w:szCs w:val="20"/>
        </w:rPr>
        <w:t xml:space="preserve">https://www.epa.gov/chp/what-chp </w:t>
      </w:r>
      <w:r w:rsidRPr="002B72D0">
        <w:rPr>
          <w:rFonts w:ascii="Garamond" w:hAnsi="Garamond" w:cs="Arial"/>
          <w:color w:val="000000"/>
          <w:sz w:val="20"/>
          <w:szCs w:val="20"/>
        </w:rPr>
        <w:t>[Accessed 01.08.2020].</w:t>
      </w:r>
    </w:p>
    <w:p w:rsidR="00072583" w:rsidRPr="002B72D0" w:rsidRDefault="00072583" w:rsidP="00072583">
      <w:pPr>
        <w:pStyle w:val="Bibliography"/>
        <w:ind w:firstLine="360"/>
        <w:rPr>
          <w:rFonts w:ascii="Garamond" w:hAnsi="Garamond" w:cs="Arial"/>
          <w:sz w:val="20"/>
          <w:szCs w:val="20"/>
        </w:rPr>
      </w:pPr>
      <w:r w:rsidRPr="002B72D0">
        <w:rPr>
          <w:rFonts w:ascii="Garamond" w:hAnsi="Garamond" w:cs="Calibri"/>
          <w:color w:val="000000"/>
          <w:sz w:val="20"/>
          <w:szCs w:val="20"/>
        </w:rPr>
        <w:fldChar w:fldCharType="end"/>
      </w:r>
      <w:r w:rsidRPr="002B72D0">
        <w:rPr>
          <w:rFonts w:ascii="Garamond" w:hAnsi="Garamond" w:cs="Calibri"/>
          <w:sz w:val="20"/>
          <w:szCs w:val="20"/>
        </w:rPr>
        <w:fldChar w:fldCharType="begin"/>
      </w:r>
      <w:r w:rsidRPr="002B72D0">
        <w:rPr>
          <w:rFonts w:ascii="Garamond" w:hAnsi="Garamond" w:cs="Calibri"/>
          <w:sz w:val="20"/>
          <w:szCs w:val="20"/>
        </w:rPr>
        <w:instrText xml:space="preserve"> ADDIN ZOTERO_BIBL {"uncited":[],"omitted":[],"custom":[]} CSL_BIBLIOGRAPHY </w:instrText>
      </w:r>
      <w:r w:rsidRPr="002B72D0">
        <w:rPr>
          <w:rFonts w:ascii="Garamond" w:hAnsi="Garamond" w:cs="Calibri"/>
          <w:sz w:val="20"/>
          <w:szCs w:val="20"/>
        </w:rPr>
        <w:fldChar w:fldCharType="separate"/>
      </w:r>
      <w:r w:rsidRPr="002B72D0">
        <w:rPr>
          <w:rFonts w:ascii="Garamond" w:hAnsi="Garamond" w:cs="Calibri"/>
          <w:sz w:val="20"/>
          <w:szCs w:val="20"/>
        </w:rPr>
        <w:t xml:space="preserve">EMD. 2014. </w:t>
      </w:r>
      <w:r w:rsidR="007E462D" w:rsidRPr="002B72D0">
        <w:rPr>
          <w:rFonts w:ascii="Garamond" w:hAnsi="Garamond" w:cs="Calibri"/>
          <w:sz w:val="20"/>
          <w:szCs w:val="20"/>
        </w:rPr>
        <w:t>EnergyPro</w:t>
      </w:r>
      <w:r w:rsidRPr="002B72D0">
        <w:rPr>
          <w:rFonts w:ascii="Garamond" w:hAnsi="Garamond" w:cs="Calibri"/>
          <w:sz w:val="20"/>
          <w:szCs w:val="20"/>
        </w:rPr>
        <w:t xml:space="preserve"> - Simulate, </w:t>
      </w:r>
      <w:r w:rsidR="007E462D" w:rsidRPr="002B72D0">
        <w:rPr>
          <w:rFonts w:ascii="Garamond" w:hAnsi="Garamond" w:cs="Calibri"/>
          <w:sz w:val="20"/>
          <w:szCs w:val="20"/>
        </w:rPr>
        <w:t>analyse</w:t>
      </w:r>
      <w:r w:rsidRPr="002B72D0">
        <w:rPr>
          <w:rFonts w:ascii="Garamond" w:hAnsi="Garamond" w:cs="Calibri"/>
          <w:sz w:val="20"/>
          <w:szCs w:val="20"/>
        </w:rPr>
        <w:t xml:space="preserve"> and optimize operations of energy plants, </w:t>
      </w:r>
      <w:r w:rsidRPr="002B72D0">
        <w:rPr>
          <w:rFonts w:ascii="Garamond" w:hAnsi="Garamond" w:cs="Calibri"/>
          <w:i/>
          <w:iCs/>
          <w:sz w:val="20"/>
          <w:szCs w:val="20"/>
        </w:rPr>
        <w:t>EMD International A/S</w:t>
      </w:r>
      <w:r w:rsidRPr="002B72D0">
        <w:rPr>
          <w:rFonts w:ascii="Garamond" w:hAnsi="Garamond" w:cs="Calibri"/>
          <w:sz w:val="20"/>
          <w:szCs w:val="20"/>
        </w:rPr>
        <w:t xml:space="preserve">. Available </w:t>
      </w:r>
      <w:proofErr w:type="gramStart"/>
      <w:r w:rsidRPr="002B72D0">
        <w:rPr>
          <w:rFonts w:ascii="Garamond" w:hAnsi="Garamond" w:cs="Calibri"/>
          <w:sz w:val="20"/>
          <w:szCs w:val="20"/>
        </w:rPr>
        <w:t>from:</w:t>
      </w:r>
      <w:proofErr w:type="gramEnd"/>
      <w:r w:rsidRPr="002B72D0">
        <w:rPr>
          <w:rFonts w:ascii="Garamond" w:hAnsi="Garamond" w:cs="Calibri"/>
          <w:sz w:val="20"/>
          <w:szCs w:val="20"/>
        </w:rPr>
        <w:t xml:space="preserve"> https://www.emd.dk/energypro </w:t>
      </w:r>
      <w:r w:rsidRPr="002B72D0">
        <w:rPr>
          <w:rFonts w:ascii="Garamond" w:hAnsi="Garamond" w:cs="Arial"/>
          <w:sz w:val="20"/>
          <w:szCs w:val="20"/>
        </w:rPr>
        <w:t>[Accessed 14.01.2019].</w:t>
      </w:r>
    </w:p>
    <w:p w:rsidR="00072583" w:rsidRPr="002B72D0" w:rsidRDefault="00072583" w:rsidP="00072583">
      <w:pPr>
        <w:ind w:left="0" w:firstLine="360"/>
        <w:rPr>
          <w:rFonts w:ascii="Garamond" w:hAnsi="Garamond"/>
          <w:sz w:val="20"/>
          <w:szCs w:val="20"/>
        </w:rPr>
      </w:pPr>
      <w:r w:rsidRPr="002B72D0">
        <w:rPr>
          <w:rFonts w:ascii="Garamond" w:hAnsi="Garamond" w:cs="Calibri"/>
          <w:sz w:val="20"/>
          <w:szCs w:val="20"/>
        </w:rPr>
        <w:fldChar w:fldCharType="end"/>
      </w:r>
      <w:r w:rsidRPr="002B72D0">
        <w:rPr>
          <w:rFonts w:ascii="Garamond" w:hAnsi="Garamond" w:cs="Calibri Light"/>
          <w:color w:val="FF0000"/>
          <w:sz w:val="20"/>
          <w:szCs w:val="20"/>
        </w:rPr>
        <w:t xml:space="preserve"> </w:t>
      </w:r>
      <w:r w:rsidRPr="002B72D0">
        <w:rPr>
          <w:rFonts w:ascii="Garamond" w:hAnsi="Garamond" w:cs="Calibri Light"/>
          <w:sz w:val="20"/>
          <w:szCs w:val="20"/>
        </w:rPr>
        <w:t xml:space="preserve">Greater London Authority (GLA), 2018. London Environment Strategy, </w:t>
      </w:r>
      <w:r w:rsidRPr="002B72D0">
        <w:rPr>
          <w:rFonts w:ascii="Garamond" w:hAnsi="Garamond" w:cs="Calibri"/>
          <w:i/>
          <w:iCs/>
          <w:sz w:val="20"/>
          <w:szCs w:val="20"/>
        </w:rPr>
        <w:t>London City Hall</w:t>
      </w:r>
      <w:r w:rsidRPr="002B72D0">
        <w:rPr>
          <w:rFonts w:ascii="Garamond" w:hAnsi="Garamond" w:cs="Calibri"/>
          <w:sz w:val="20"/>
          <w:szCs w:val="20"/>
        </w:rPr>
        <w:t xml:space="preserve">. Available from: </w:t>
      </w:r>
      <w:r w:rsidRPr="002B72D0">
        <w:rPr>
          <w:rFonts w:ascii="Garamond" w:hAnsi="Garamond"/>
          <w:sz w:val="20"/>
          <w:szCs w:val="20"/>
        </w:rPr>
        <w:t xml:space="preserve">https://www.london.gov.uk/what-we-do/environment/london-environment-strategy </w:t>
      </w:r>
      <w:r w:rsidRPr="002B72D0">
        <w:rPr>
          <w:rFonts w:ascii="Garamond" w:hAnsi="Garamond" w:cs="Calibri"/>
          <w:sz w:val="20"/>
          <w:szCs w:val="20"/>
        </w:rPr>
        <w:t>[Accessed 01.08.2020].</w:t>
      </w:r>
    </w:p>
    <w:p w:rsidR="00072583" w:rsidRPr="002B72D0" w:rsidRDefault="00072583" w:rsidP="00072583">
      <w:pPr>
        <w:ind w:left="0" w:firstLine="360"/>
        <w:rPr>
          <w:rFonts w:ascii="Garamond" w:hAnsi="Garamond" w:cs="Calibri"/>
          <w:sz w:val="20"/>
          <w:szCs w:val="20"/>
        </w:rPr>
      </w:pPr>
      <w:r w:rsidRPr="002B72D0">
        <w:rPr>
          <w:rFonts w:ascii="Garamond" w:hAnsi="Garamond" w:cs="Calibri"/>
          <w:sz w:val="20"/>
          <w:szCs w:val="20"/>
        </w:rPr>
        <w:t xml:space="preserve">GOV.UK. 2019a. UK becomes first major economy to pass net zero emissions law, </w:t>
      </w:r>
      <w:r w:rsidRPr="002B72D0">
        <w:rPr>
          <w:rFonts w:ascii="Garamond" w:hAnsi="Garamond" w:cs="Calibri"/>
          <w:i/>
          <w:iCs/>
          <w:sz w:val="20"/>
          <w:szCs w:val="20"/>
        </w:rPr>
        <w:t>GOV.UK</w:t>
      </w:r>
      <w:r w:rsidRPr="002B72D0">
        <w:rPr>
          <w:rFonts w:ascii="Garamond" w:hAnsi="Garamond" w:cs="Calibri"/>
          <w:sz w:val="20"/>
          <w:szCs w:val="20"/>
        </w:rPr>
        <w:t>. Available from: https://www.gov.uk/government/news/uk-becomes-first-major-economy-to-pass-net-zero-emissions-law</w:t>
      </w:r>
      <w:r w:rsidRPr="002B72D0">
        <w:rPr>
          <w:rStyle w:val="Hyperlink"/>
          <w:rFonts w:ascii="Garamond" w:hAnsi="Garamond" w:cs="Calibri"/>
          <w:color w:val="auto"/>
          <w:sz w:val="20"/>
          <w:szCs w:val="20"/>
        </w:rPr>
        <w:t xml:space="preserve"> </w:t>
      </w:r>
      <w:r w:rsidR="00190243" w:rsidRPr="002B72D0">
        <w:rPr>
          <w:rFonts w:ascii="Garamond" w:hAnsi="Garamond" w:cs="Calibri"/>
          <w:sz w:val="20"/>
          <w:szCs w:val="20"/>
        </w:rPr>
        <w:t>[Accessed: 27.06.</w:t>
      </w:r>
      <w:r w:rsidRPr="002B72D0">
        <w:rPr>
          <w:rFonts w:ascii="Garamond" w:hAnsi="Garamond" w:cs="Calibri"/>
          <w:sz w:val="20"/>
          <w:szCs w:val="20"/>
        </w:rPr>
        <w:t>21].</w:t>
      </w:r>
    </w:p>
    <w:p w:rsidR="00072583" w:rsidRPr="002B72D0" w:rsidRDefault="00072583" w:rsidP="00DC799A">
      <w:pPr>
        <w:pStyle w:val="06BodyMaintext"/>
        <w:rPr>
          <w:sz w:val="20"/>
        </w:rPr>
      </w:pPr>
      <w:r w:rsidRPr="002B72D0">
        <w:rPr>
          <w:sz w:val="20"/>
        </w:rPr>
        <w:t>GOV.UK. 2019b. Spring Statement 2019: what you need to know, GOV.UK. Available from: https://www.gov.uk/government/news/spring-statement-2019-what-you-need-to-know [Accessed: 26.06.2019].</w:t>
      </w:r>
    </w:p>
    <w:p w:rsidR="00072583" w:rsidRPr="002B72D0" w:rsidRDefault="00072583" w:rsidP="00072583">
      <w:pPr>
        <w:ind w:left="0" w:firstLine="360"/>
        <w:rPr>
          <w:rFonts w:ascii="Garamond" w:hAnsi="Garamond" w:cs="Calibri"/>
          <w:sz w:val="20"/>
          <w:szCs w:val="20"/>
        </w:rPr>
      </w:pPr>
      <w:r w:rsidRPr="002B72D0">
        <w:rPr>
          <w:rFonts w:ascii="Garamond" w:hAnsi="Garamond" w:cs="Calibri"/>
          <w:sz w:val="20"/>
          <w:szCs w:val="20"/>
        </w:rPr>
        <w:t>GOV.UK. 2019c. Carbon valuation,</w:t>
      </w:r>
      <w:r w:rsidRPr="002B72D0">
        <w:rPr>
          <w:rFonts w:ascii="Garamond" w:hAnsi="Garamond" w:cs="Calibri"/>
          <w:i/>
          <w:iCs/>
          <w:sz w:val="20"/>
          <w:szCs w:val="20"/>
        </w:rPr>
        <w:t xml:space="preserve"> GOV.UK</w:t>
      </w:r>
      <w:r w:rsidRPr="002B72D0">
        <w:rPr>
          <w:rFonts w:ascii="Garamond" w:hAnsi="Garamond" w:cs="Calibri"/>
          <w:sz w:val="20"/>
          <w:szCs w:val="20"/>
        </w:rPr>
        <w:t>. Available from: https://www.gov.uk/government/publications/valuation-of-energy-use-and-greenhouse-gas-emissions-for-appraisal [Accessed 25.04.2021].</w:t>
      </w:r>
    </w:p>
    <w:p w:rsidR="00072583" w:rsidRPr="002B72D0" w:rsidRDefault="00072583" w:rsidP="00072583">
      <w:pPr>
        <w:ind w:left="0" w:firstLine="360"/>
        <w:rPr>
          <w:rFonts w:ascii="Garamond" w:hAnsi="Garamond" w:cs="Calibri"/>
          <w:sz w:val="20"/>
          <w:szCs w:val="20"/>
        </w:rPr>
      </w:pPr>
      <w:r w:rsidRPr="002B72D0">
        <w:rPr>
          <w:rFonts w:ascii="Garamond" w:hAnsi="Garamond" w:cs="Calibri"/>
          <w:sz w:val="20"/>
          <w:szCs w:val="20"/>
        </w:rPr>
        <w:t>GOV.UK. 2018a. Clean growth – Transforming heating, overview of current evidence. Available from:</w:t>
      </w:r>
    </w:p>
    <w:p w:rsidR="00072583" w:rsidRPr="002B72D0" w:rsidRDefault="00072583" w:rsidP="00072583">
      <w:pPr>
        <w:ind w:left="0"/>
        <w:rPr>
          <w:rFonts w:ascii="Garamond" w:hAnsi="Garamond" w:cs="Calibri"/>
          <w:sz w:val="20"/>
          <w:szCs w:val="20"/>
        </w:rPr>
      </w:pPr>
      <w:r w:rsidRPr="002B72D0">
        <w:rPr>
          <w:rFonts w:ascii="Garamond" w:hAnsi="Garamond" w:cs="Calibri"/>
          <w:sz w:val="20"/>
          <w:szCs w:val="20"/>
        </w:rPr>
        <w:t>https://assets.publishing.service.gov.uk/government/uploads/system/uploads/attachment_data/file/766109/decarbonising-heating.pdf [Accessed 28.06.2021].</w:t>
      </w:r>
    </w:p>
    <w:p w:rsidR="00072583" w:rsidRPr="002B72D0" w:rsidRDefault="00072583" w:rsidP="00072583">
      <w:pPr>
        <w:ind w:left="0" w:firstLine="426"/>
        <w:rPr>
          <w:rFonts w:ascii="Garamond" w:hAnsi="Garamond" w:cs="Calibri"/>
          <w:sz w:val="20"/>
          <w:szCs w:val="20"/>
        </w:rPr>
      </w:pPr>
      <w:r w:rsidRPr="002B72D0">
        <w:rPr>
          <w:rFonts w:ascii="Garamond" w:hAnsi="Garamond" w:cs="Calibri"/>
          <w:noProof/>
          <w:sz w:val="20"/>
          <w:szCs w:val="20"/>
        </w:rPr>
        <w:t xml:space="preserve">GOV.UK. 2018b. What is a heat network? Available from: </w:t>
      </w:r>
      <w:r w:rsidRPr="002B72D0">
        <w:rPr>
          <w:rFonts w:ascii="Garamond" w:hAnsi="Garamond" w:cs="Calibri"/>
          <w:sz w:val="20"/>
          <w:szCs w:val="20"/>
        </w:rPr>
        <w:t>https://assets.publishing.service.gov.uk/government/uploads/system/uploads/attachment_data/file/696273/HNIP_What_is_a_heat_</w:t>
      </w:r>
      <w:proofErr w:type="gramStart"/>
      <w:r w:rsidRPr="002B72D0">
        <w:rPr>
          <w:rFonts w:ascii="Garamond" w:hAnsi="Garamond" w:cs="Calibri"/>
          <w:sz w:val="20"/>
          <w:szCs w:val="20"/>
        </w:rPr>
        <w:t>network.pdf  [</w:t>
      </w:r>
      <w:proofErr w:type="gramEnd"/>
      <w:r w:rsidRPr="002B72D0">
        <w:rPr>
          <w:rFonts w:ascii="Garamond" w:hAnsi="Garamond" w:cs="Calibri"/>
          <w:sz w:val="20"/>
          <w:szCs w:val="20"/>
        </w:rPr>
        <w:t>Accessed 01.07.2020].</w:t>
      </w:r>
    </w:p>
    <w:p w:rsidR="00072583" w:rsidRPr="002B72D0" w:rsidRDefault="00072583" w:rsidP="00072583">
      <w:pPr>
        <w:ind w:left="0" w:firstLine="426"/>
        <w:rPr>
          <w:rFonts w:ascii="Garamond" w:hAnsi="Garamond" w:cs="Calibri"/>
          <w:sz w:val="20"/>
          <w:szCs w:val="20"/>
        </w:rPr>
      </w:pPr>
      <w:r w:rsidRPr="002B72D0">
        <w:rPr>
          <w:rFonts w:ascii="Garamond" w:hAnsi="Garamond" w:cs="Calibri"/>
          <w:noProof/>
          <w:sz w:val="20"/>
          <w:szCs w:val="20"/>
        </w:rPr>
        <w:t xml:space="preserve">GOV.UK. 2018c. </w:t>
      </w:r>
      <w:r w:rsidRPr="002B72D0">
        <w:rPr>
          <w:rFonts w:ascii="Garamond" w:hAnsi="Garamond" w:cs="Calibri Light"/>
          <w:sz w:val="20"/>
          <w:szCs w:val="20"/>
        </w:rPr>
        <w:t xml:space="preserve">Heat Networks Investment Project, Introduction to the Scheme. </w:t>
      </w:r>
      <w:r w:rsidRPr="002B72D0">
        <w:rPr>
          <w:rFonts w:ascii="Garamond" w:hAnsi="Garamond" w:cs="Calibri"/>
          <w:noProof/>
          <w:sz w:val="20"/>
          <w:szCs w:val="20"/>
        </w:rPr>
        <w:t xml:space="preserve">Available from: </w:t>
      </w:r>
      <w:r w:rsidRPr="002B72D0">
        <w:rPr>
          <w:rFonts w:ascii="Garamond" w:hAnsi="Garamond"/>
          <w:sz w:val="20"/>
          <w:szCs w:val="20"/>
        </w:rPr>
        <w:t xml:space="preserve">https://www.gov.uk/government/publications/heat-networks-investment-project-hnip-scheme-overview </w:t>
      </w:r>
      <w:r w:rsidRPr="002B72D0">
        <w:rPr>
          <w:rFonts w:ascii="Garamond" w:hAnsi="Garamond" w:cs="Calibri"/>
          <w:sz w:val="20"/>
          <w:szCs w:val="20"/>
        </w:rPr>
        <w:t>[Accessed 01.08.2020].</w:t>
      </w:r>
    </w:p>
    <w:p w:rsidR="00072583" w:rsidRPr="002B72D0" w:rsidRDefault="00072583" w:rsidP="00072583">
      <w:pPr>
        <w:ind w:left="0" w:firstLine="426"/>
        <w:rPr>
          <w:rFonts w:ascii="Garamond" w:hAnsi="Garamond" w:cs="Calibri"/>
          <w:sz w:val="20"/>
          <w:szCs w:val="20"/>
        </w:rPr>
      </w:pPr>
      <w:r w:rsidRPr="002B72D0">
        <w:rPr>
          <w:rFonts w:ascii="Garamond" w:hAnsi="Garamond" w:cs="Calibri"/>
          <w:sz w:val="20"/>
          <w:szCs w:val="20"/>
        </w:rPr>
        <w:t xml:space="preserve">London Borough of Islington. 2020. </w:t>
      </w:r>
      <w:r w:rsidRPr="002B72D0">
        <w:rPr>
          <w:rFonts w:ascii="Garamond" w:hAnsi="Garamond"/>
          <w:sz w:val="20"/>
          <w:szCs w:val="20"/>
        </w:rPr>
        <w:t xml:space="preserve">Vision 2030: Creating a Net Zero Carbon Islington by 2030. Available from: </w:t>
      </w:r>
      <w:hyperlink r:id="rId19" w:history="1">
        <w:r w:rsidR="00AA1D37" w:rsidRPr="002B72D0">
          <w:rPr>
            <w:rStyle w:val="Hyperlink"/>
            <w:rFonts w:ascii="Garamond" w:hAnsi="Garamond"/>
            <w:color w:val="auto"/>
            <w:sz w:val="20"/>
            <w:szCs w:val="20"/>
            <w:u w:val="none"/>
          </w:rPr>
          <w:t>https://www.islington.gov.uk/~/media/sharepoint-lists/public records/Communications/Publicity/Publicconsultation/20192020/20200327IslingtonZeroCarbonStrategy20201</w:t>
        </w:r>
      </w:hyperlink>
      <w:r w:rsidRPr="002B72D0">
        <w:rPr>
          <w:rFonts w:ascii="Garamond" w:hAnsi="Garamond"/>
          <w:sz w:val="20"/>
          <w:szCs w:val="20"/>
        </w:rPr>
        <w:t xml:space="preserve"> </w:t>
      </w:r>
      <w:r w:rsidRPr="002B72D0">
        <w:rPr>
          <w:rFonts w:ascii="Garamond" w:hAnsi="Garamond" w:cs="Calibri"/>
          <w:sz w:val="20"/>
          <w:szCs w:val="20"/>
        </w:rPr>
        <w:t>[28.06.2021].</w:t>
      </w:r>
    </w:p>
    <w:p w:rsidR="00072583" w:rsidRPr="002B72D0" w:rsidRDefault="00072583" w:rsidP="00072583">
      <w:pPr>
        <w:ind w:left="0" w:firstLine="426"/>
        <w:rPr>
          <w:rFonts w:ascii="Garamond" w:hAnsi="Garamond" w:cs="Calibri"/>
          <w:sz w:val="20"/>
          <w:szCs w:val="20"/>
        </w:rPr>
      </w:pPr>
      <w:r w:rsidRPr="002B72D0">
        <w:rPr>
          <w:rFonts w:ascii="Garamond" w:hAnsi="Garamond" w:cs="Calibri"/>
          <w:sz w:val="20"/>
          <w:szCs w:val="20"/>
        </w:rPr>
        <w:t>Marques C., Dunham C., Jones, P., Matabuena R., Revesz A., Lagoeiro H., Maidment G. 2021. Integration of high temperature heat networks with low carbon ambient loop systems. 2021 ASHRAE Winter Conference.</w:t>
      </w:r>
    </w:p>
    <w:p w:rsidR="00072583" w:rsidRPr="002B72D0" w:rsidRDefault="00072583" w:rsidP="00072583">
      <w:pPr>
        <w:pStyle w:val="Bibliography"/>
        <w:ind w:firstLine="426"/>
        <w:rPr>
          <w:rFonts w:ascii="Garamond" w:hAnsi="Garamond" w:cs="Calibri"/>
          <w:sz w:val="20"/>
          <w:szCs w:val="20"/>
        </w:rPr>
      </w:pPr>
      <w:r w:rsidRPr="002B72D0">
        <w:rPr>
          <w:rFonts w:ascii="Garamond" w:hAnsi="Garamond" w:cs="Calibri"/>
          <w:sz w:val="20"/>
          <w:szCs w:val="20"/>
        </w:rPr>
        <w:t>Revesz, A., Jones, P., Dunham, C., Davies, G., Marques, C., Matabuena, R., Scott, J., Maidment, G. 2021. Developing novel 5</w:t>
      </w:r>
      <w:r w:rsidRPr="002B72D0">
        <w:rPr>
          <w:rFonts w:ascii="Garamond" w:hAnsi="Garamond" w:cs="Calibri"/>
          <w:sz w:val="20"/>
          <w:szCs w:val="20"/>
          <w:vertAlign w:val="superscript"/>
        </w:rPr>
        <w:t>th</w:t>
      </w:r>
      <w:r w:rsidRPr="002B72D0">
        <w:rPr>
          <w:rFonts w:ascii="Garamond" w:hAnsi="Garamond" w:cs="Calibri"/>
          <w:sz w:val="20"/>
          <w:szCs w:val="20"/>
        </w:rPr>
        <w:t xml:space="preserve"> </w:t>
      </w:r>
      <w:proofErr w:type="gramStart"/>
      <w:r w:rsidRPr="002B72D0">
        <w:rPr>
          <w:rFonts w:ascii="Garamond" w:hAnsi="Garamond" w:cs="Calibri"/>
          <w:sz w:val="20"/>
          <w:szCs w:val="20"/>
        </w:rPr>
        <w:t>generation district energy networks</w:t>
      </w:r>
      <w:proofErr w:type="gramEnd"/>
      <w:r w:rsidRPr="002B72D0">
        <w:rPr>
          <w:rFonts w:ascii="Garamond" w:hAnsi="Garamond" w:cs="Calibri"/>
          <w:sz w:val="20"/>
          <w:szCs w:val="20"/>
        </w:rPr>
        <w:t xml:space="preserve">, </w:t>
      </w:r>
      <w:r w:rsidRPr="002B72D0">
        <w:rPr>
          <w:rFonts w:ascii="Garamond" w:hAnsi="Garamond" w:cs="Calibri"/>
          <w:i/>
          <w:iCs/>
          <w:sz w:val="20"/>
          <w:szCs w:val="20"/>
        </w:rPr>
        <w:t>Energy</w:t>
      </w:r>
      <w:r w:rsidRPr="002B72D0">
        <w:rPr>
          <w:rFonts w:ascii="Garamond" w:hAnsi="Garamond" w:cs="Calibri"/>
          <w:sz w:val="20"/>
          <w:szCs w:val="20"/>
        </w:rPr>
        <w:t xml:space="preserve"> 201.</w:t>
      </w:r>
    </w:p>
    <w:p w:rsidR="00072583" w:rsidRPr="002B72D0" w:rsidRDefault="00072583" w:rsidP="00072583">
      <w:pPr>
        <w:ind w:left="0" w:firstLine="426"/>
        <w:rPr>
          <w:rFonts w:ascii="Garamond" w:hAnsi="Garamond"/>
          <w:sz w:val="20"/>
          <w:szCs w:val="20"/>
          <w:lang w:val="en-GB" w:eastAsia="en-GB"/>
        </w:rPr>
      </w:pPr>
      <w:r w:rsidRPr="002B72D0">
        <w:rPr>
          <w:rFonts w:ascii="Garamond" w:hAnsi="Garamond"/>
          <w:sz w:val="20"/>
          <w:szCs w:val="20"/>
          <w:lang w:val="en-GB" w:eastAsia="en-GB"/>
        </w:rPr>
        <w:t>Revesz, A., Marques, C., Davies G., Matabuena R., Jones P., Dunham C., Maidment G. 2020. Initial assessment of a 5</w:t>
      </w:r>
      <w:r w:rsidRPr="002B72D0">
        <w:rPr>
          <w:rFonts w:ascii="Garamond" w:hAnsi="Garamond"/>
          <w:sz w:val="20"/>
          <w:szCs w:val="20"/>
          <w:vertAlign w:val="superscript"/>
          <w:lang w:val="en-GB" w:eastAsia="en-GB"/>
        </w:rPr>
        <w:t>th</w:t>
      </w:r>
      <w:r w:rsidRPr="002B72D0">
        <w:rPr>
          <w:rFonts w:ascii="Garamond" w:hAnsi="Garamond"/>
          <w:sz w:val="20"/>
          <w:szCs w:val="20"/>
          <w:lang w:val="en-GB" w:eastAsia="en-GB"/>
        </w:rPr>
        <w:t xml:space="preserve"> </w:t>
      </w:r>
      <w:proofErr w:type="gramStart"/>
      <w:r w:rsidRPr="002B72D0">
        <w:rPr>
          <w:rFonts w:ascii="Garamond" w:hAnsi="Garamond"/>
          <w:sz w:val="20"/>
          <w:szCs w:val="20"/>
          <w:lang w:val="en-GB" w:eastAsia="en-GB"/>
        </w:rPr>
        <w:t>generation district energy network</w:t>
      </w:r>
      <w:proofErr w:type="gramEnd"/>
      <w:r w:rsidRPr="002B72D0">
        <w:rPr>
          <w:rFonts w:ascii="Garamond" w:hAnsi="Garamond"/>
          <w:sz w:val="20"/>
          <w:szCs w:val="20"/>
          <w:lang w:val="en-GB" w:eastAsia="en-GB"/>
        </w:rPr>
        <w:t xml:space="preserve"> in central London. </w:t>
      </w:r>
      <w:r w:rsidRPr="002B72D0">
        <w:rPr>
          <w:rFonts w:ascii="Garamond" w:hAnsi="Garamond"/>
          <w:i/>
          <w:sz w:val="20"/>
          <w:szCs w:val="20"/>
          <w:lang w:val="en-GB" w:eastAsia="en-GB"/>
        </w:rPr>
        <w:t>ASHRAE Transactions</w:t>
      </w:r>
      <w:r w:rsidRPr="002B72D0">
        <w:rPr>
          <w:rFonts w:ascii="Garamond" w:hAnsi="Garamond"/>
          <w:sz w:val="20"/>
          <w:szCs w:val="20"/>
          <w:lang w:val="en-GB" w:eastAsia="en-GB"/>
        </w:rPr>
        <w:t xml:space="preserve">. </w:t>
      </w:r>
      <w:proofErr w:type="gramStart"/>
      <w:r w:rsidRPr="002B72D0">
        <w:rPr>
          <w:rFonts w:ascii="Garamond" w:hAnsi="Garamond"/>
          <w:sz w:val="20"/>
          <w:szCs w:val="20"/>
          <w:lang w:val="en-GB" w:eastAsia="en-GB"/>
        </w:rPr>
        <w:t>126</w:t>
      </w:r>
      <w:proofErr w:type="gramEnd"/>
      <w:r w:rsidRPr="002B72D0">
        <w:rPr>
          <w:rFonts w:ascii="Garamond" w:hAnsi="Garamond"/>
          <w:sz w:val="20"/>
          <w:szCs w:val="20"/>
          <w:lang w:val="en-GB" w:eastAsia="en-GB"/>
        </w:rPr>
        <w:t>, pp. 491-499.</w:t>
      </w:r>
    </w:p>
    <w:p w:rsidR="009D5846" w:rsidRPr="002B72D0" w:rsidRDefault="009D5846" w:rsidP="00072583">
      <w:pPr>
        <w:ind w:left="0" w:firstLine="426"/>
        <w:rPr>
          <w:rFonts w:ascii="Garamond" w:hAnsi="Garamond"/>
          <w:sz w:val="20"/>
          <w:szCs w:val="20"/>
          <w:lang w:val="en-GB" w:eastAsia="en-GB"/>
        </w:rPr>
      </w:pPr>
      <w:r w:rsidRPr="002B72D0">
        <w:rPr>
          <w:rFonts w:ascii="Garamond" w:hAnsi="Garamond"/>
          <w:sz w:val="20"/>
          <w:szCs w:val="20"/>
          <w:lang w:val="en-GB" w:eastAsia="en-GB"/>
        </w:rPr>
        <w:t>Revesz, A., Jones, P, Dunham C., Riddle A., Gatensby N., Maidment G. 2021. Decentralised heat pumps and thermal stores for 5</w:t>
      </w:r>
      <w:r w:rsidRPr="002B72D0">
        <w:rPr>
          <w:rFonts w:ascii="Garamond" w:hAnsi="Garamond"/>
          <w:sz w:val="20"/>
          <w:szCs w:val="20"/>
          <w:vertAlign w:val="superscript"/>
          <w:lang w:val="en-GB" w:eastAsia="en-GB"/>
        </w:rPr>
        <w:t>th</w:t>
      </w:r>
      <w:r w:rsidRPr="002B72D0">
        <w:rPr>
          <w:rFonts w:ascii="Garamond" w:hAnsi="Garamond"/>
          <w:sz w:val="20"/>
          <w:szCs w:val="20"/>
          <w:lang w:val="en-GB" w:eastAsia="en-GB"/>
        </w:rPr>
        <w:t xml:space="preserve"> generation district heating and cooling networks. 2021 CIBSE Technical Symposium.</w:t>
      </w:r>
    </w:p>
    <w:p w:rsidR="00072583" w:rsidRPr="002B72D0" w:rsidRDefault="00072583" w:rsidP="00072583">
      <w:pPr>
        <w:ind w:left="0" w:firstLine="426"/>
        <w:rPr>
          <w:rFonts w:ascii="Garamond" w:hAnsi="Garamond"/>
          <w:sz w:val="20"/>
          <w:szCs w:val="20"/>
        </w:rPr>
      </w:pPr>
      <w:r w:rsidRPr="002B72D0">
        <w:rPr>
          <w:rFonts w:ascii="Garamond" w:hAnsi="Garamond" w:cs="Calibri Light"/>
          <w:color w:val="000000"/>
          <w:sz w:val="20"/>
          <w:szCs w:val="20"/>
        </w:rPr>
        <w:t xml:space="preserve">Ricardo Energy &amp; Environment. 2018. Pilot study on the air quality </w:t>
      </w:r>
      <w:proofErr w:type="gramStart"/>
      <w:r w:rsidRPr="002B72D0">
        <w:rPr>
          <w:rFonts w:ascii="Garamond" w:hAnsi="Garamond" w:cs="Calibri Light"/>
          <w:color w:val="000000"/>
          <w:sz w:val="20"/>
          <w:szCs w:val="20"/>
        </w:rPr>
        <w:t>impacts</w:t>
      </w:r>
      <w:proofErr w:type="gramEnd"/>
      <w:r w:rsidRPr="002B72D0">
        <w:rPr>
          <w:rFonts w:ascii="Garamond" w:hAnsi="Garamond" w:cs="Calibri Light"/>
          <w:color w:val="000000"/>
          <w:sz w:val="20"/>
          <w:szCs w:val="20"/>
        </w:rPr>
        <w:t xml:space="preserve"> from Combined Heat and Power in London, </w:t>
      </w:r>
      <w:r w:rsidRPr="002B72D0">
        <w:rPr>
          <w:rFonts w:ascii="Garamond" w:hAnsi="Garamond" w:cs="Calibri"/>
          <w:noProof/>
          <w:color w:val="000000"/>
          <w:sz w:val="20"/>
          <w:szCs w:val="20"/>
        </w:rPr>
        <w:t xml:space="preserve">Available from: </w:t>
      </w:r>
      <w:r w:rsidRPr="002B72D0">
        <w:rPr>
          <w:rFonts w:ascii="Garamond" w:hAnsi="Garamond"/>
          <w:color w:val="000000"/>
          <w:sz w:val="20"/>
          <w:szCs w:val="20"/>
        </w:rPr>
        <w:t>https://www.london.gov.uk/sites/default/files/pilot_study_on_the_air_quality_impacts_from_combined_heat_and_power_in_london.pdf</w:t>
      </w:r>
      <w:r w:rsidRPr="002B72D0">
        <w:rPr>
          <w:rFonts w:ascii="Garamond" w:hAnsi="Garamond"/>
          <w:sz w:val="20"/>
          <w:szCs w:val="20"/>
        </w:rPr>
        <w:t xml:space="preserve"> </w:t>
      </w:r>
      <w:r w:rsidRPr="002B72D0">
        <w:rPr>
          <w:rFonts w:ascii="Garamond" w:hAnsi="Garamond" w:cs="Calibri"/>
          <w:sz w:val="20"/>
          <w:szCs w:val="20"/>
        </w:rPr>
        <w:t>[Accessed 01.08.2020].</w:t>
      </w:r>
    </w:p>
    <w:p w:rsidR="00072583" w:rsidRPr="002B72D0" w:rsidRDefault="00072583" w:rsidP="00072583">
      <w:pPr>
        <w:ind w:left="0" w:firstLine="426"/>
        <w:rPr>
          <w:rFonts w:ascii="Garamond" w:hAnsi="Garamond" w:cs="Calibri"/>
          <w:sz w:val="20"/>
          <w:szCs w:val="20"/>
        </w:rPr>
      </w:pPr>
      <w:r w:rsidRPr="002B72D0">
        <w:rPr>
          <w:rFonts w:ascii="Garamond" w:hAnsi="Garamond"/>
          <w:sz w:val="20"/>
          <w:szCs w:val="20"/>
        </w:rPr>
        <w:t xml:space="preserve">West Midlands Combined Authority. 2021. Five Year Plan 2021-26. Available from: </w:t>
      </w:r>
      <w:hyperlink r:id="rId20" w:history="1">
        <w:r w:rsidRPr="002B72D0">
          <w:rPr>
            <w:rStyle w:val="Hyperlink"/>
            <w:rFonts w:ascii="Garamond" w:hAnsi="Garamond"/>
            <w:color w:val="auto"/>
            <w:sz w:val="20"/>
            <w:szCs w:val="20"/>
            <w:u w:val="none"/>
          </w:rPr>
          <w:t>https://www.wmca.org.uk/media/4871/wm-net-zero-fyp-summary-tech-report.pdf</w:t>
        </w:r>
      </w:hyperlink>
      <w:r w:rsidRPr="002B72D0">
        <w:rPr>
          <w:rFonts w:ascii="Garamond" w:hAnsi="Garamond"/>
          <w:sz w:val="20"/>
          <w:szCs w:val="20"/>
        </w:rPr>
        <w:t xml:space="preserve"> </w:t>
      </w:r>
      <w:r w:rsidRPr="002B72D0">
        <w:rPr>
          <w:rFonts w:ascii="Garamond" w:hAnsi="Garamond" w:cs="Calibri"/>
          <w:sz w:val="20"/>
          <w:szCs w:val="20"/>
        </w:rPr>
        <w:t>[Accessed 03.06.2021].</w:t>
      </w:r>
    </w:p>
    <w:p w:rsidR="007E4265" w:rsidRPr="002B72D0" w:rsidRDefault="00072583" w:rsidP="00AA1D37">
      <w:pPr>
        <w:ind w:left="0" w:firstLine="426"/>
        <w:rPr>
          <w:rFonts w:ascii="Garamond" w:hAnsi="Garamond" w:cs="Calibri"/>
          <w:sz w:val="20"/>
          <w:szCs w:val="20"/>
        </w:rPr>
      </w:pPr>
      <w:r w:rsidRPr="002B72D0">
        <w:rPr>
          <w:rFonts w:ascii="Garamond" w:hAnsi="Garamond" w:cs="Calibri"/>
          <w:sz w:val="20"/>
          <w:szCs w:val="20"/>
        </w:rPr>
        <w:t xml:space="preserve">Woolley E., Luo Y., Simeone A. 2018. Industrial waste heat recovery: A systematic approach. </w:t>
      </w:r>
      <w:r w:rsidRPr="002B72D0">
        <w:rPr>
          <w:rFonts w:ascii="Garamond" w:hAnsi="Garamond" w:cs="Calibri"/>
          <w:i/>
          <w:sz w:val="20"/>
          <w:szCs w:val="20"/>
        </w:rPr>
        <w:t>Sustainable Energy Technologies and Assessments</w:t>
      </w:r>
      <w:r w:rsidRPr="002B72D0">
        <w:rPr>
          <w:rFonts w:ascii="Garamond" w:hAnsi="Garamond" w:cs="Calibri"/>
          <w:sz w:val="20"/>
          <w:szCs w:val="20"/>
        </w:rPr>
        <w:t xml:space="preserve">. </w:t>
      </w:r>
      <w:proofErr w:type="gramStart"/>
      <w:r w:rsidRPr="002B72D0">
        <w:rPr>
          <w:rFonts w:ascii="Garamond" w:hAnsi="Garamond" w:cs="Calibri"/>
          <w:sz w:val="20"/>
          <w:szCs w:val="20"/>
        </w:rPr>
        <w:t>29</w:t>
      </w:r>
      <w:proofErr w:type="gramEnd"/>
      <w:r w:rsidRPr="002B72D0">
        <w:rPr>
          <w:rFonts w:ascii="Garamond" w:hAnsi="Garamond" w:cs="Calibri"/>
          <w:sz w:val="20"/>
          <w:szCs w:val="20"/>
        </w:rPr>
        <w:t>, pp. 50-59.</w:t>
      </w:r>
    </w:p>
    <w:sectPr w:rsidR="007E4265" w:rsidRPr="002B72D0" w:rsidSect="00BC57A4">
      <w:footerReference w:type="first" r:id="rId21"/>
      <w:pgSz w:w="12240" w:h="15840"/>
      <w:pgMar w:top="1656" w:right="1080" w:bottom="1440" w:left="1080" w:header="547" w:footer="172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079" w:rsidRDefault="008D7079" w:rsidP="002620D9">
      <w:r>
        <w:separator/>
      </w:r>
    </w:p>
  </w:endnote>
  <w:endnote w:type="continuationSeparator" w:id="0">
    <w:p w:rsidR="008D7079" w:rsidRDefault="008D7079" w:rsidP="002620D9">
      <w:r>
        <w:continuationSeparator/>
      </w:r>
    </w:p>
  </w:endnote>
  <w:endnote w:type="continuationNotice" w:id="1">
    <w:p w:rsidR="008D7079" w:rsidRDefault="008D70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F93D3B4D-B34A-46D2-BEF5-DD9C69941D79}"/>
    <w:embedBold r:id="rId2" w:fontKey="{AADC1E15-9C05-4FE5-87D8-C2987ED13E37}"/>
    <w:embedItalic r:id="rId3" w:fontKey="{367B6623-6D70-47D3-ABB5-6A4A81026B79}"/>
  </w:font>
  <w:font w:name="Tahoma">
    <w:panose1 w:val="020B0604030504040204"/>
    <w:charset w:val="00"/>
    <w:family w:val="swiss"/>
    <w:pitch w:val="variable"/>
    <w:sig w:usb0="E1002EFF" w:usb1="C000605B" w:usb2="00000029" w:usb3="00000000" w:csb0="000101FF" w:csb1="00000000"/>
    <w:embedRegular r:id="rId4" w:fontKey="{310FD893-B076-4C77-AA89-FD7E49A4E27B}"/>
  </w:font>
  <w:font w:name="Garamond">
    <w:panose1 w:val="02020404030301010803"/>
    <w:charset w:val="00"/>
    <w:family w:val="roman"/>
    <w:pitch w:val="variable"/>
    <w:sig w:usb0="00000287" w:usb1="00000000" w:usb2="00000000" w:usb3="00000000" w:csb0="0000009F" w:csb1="00000000"/>
    <w:embedRegular r:id="rId5" w:fontKey="{6A9DC8F3-21F8-472A-95C2-C2604533CBF9}"/>
    <w:embedBold r:id="rId6" w:fontKey="{C382B64B-0F96-4F8D-8B4A-05E50D64C491}"/>
    <w:embedItalic r:id="rId7" w:fontKey="{0AD757E0-6D9E-4D21-9E1F-64FA28B1A8BC}"/>
  </w:font>
  <w:font w:name="Verdana">
    <w:panose1 w:val="020B0604030504040204"/>
    <w:charset w:val="00"/>
    <w:family w:val="swiss"/>
    <w:pitch w:val="variable"/>
    <w:sig w:usb0="A00006FF" w:usb1="4000205B" w:usb2="00000010" w:usb3="00000000" w:csb0="0000019F" w:csb1="00000000"/>
    <w:embedRegular r:id="rId8" w:fontKey="{203901A5-C796-48E8-9C35-C9D959C09108}"/>
    <w:embedBold r:id="rId9" w:fontKey="{C72EB037-2197-422E-BCFE-8EFE59DB2B50}"/>
    <w:embedItalic r:id="rId10" w:fontKey="{B507361A-DEF2-4D05-903B-A5D324282E92}"/>
  </w:font>
  <w:font w:name="Times New Roman PS MT">
    <w:altName w:val="Times New Roman"/>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11" w:fontKey="{C967D198-82FF-4E1D-9AD3-2D367D89110F}"/>
    <w:embedBold r:id="rId12" w:fontKey="{2C26FEEB-D9A8-4137-9EDB-B29BDE34143B}"/>
  </w:font>
  <w:font w:name="Gill Sans MT">
    <w:panose1 w:val="020B0502020104020203"/>
    <w:charset w:val="00"/>
    <w:family w:val="swiss"/>
    <w:pitch w:val="variable"/>
    <w:sig w:usb0="00000007" w:usb1="00000000" w:usb2="00000000" w:usb3="00000000" w:csb0="00000003" w:csb1="00000000"/>
    <w:embedBold r:id="rId13" w:fontKey="{C8A8169D-C2E8-4189-8E93-6C9E469997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707" w:rsidRDefault="009C2707" w:rsidP="007E4265">
    <w:pPr>
      <w:pStyle w:val="20AuthorNoteFirstPageFooter"/>
    </w:pPr>
  </w:p>
  <w:p w:rsidR="009C2707" w:rsidRPr="00BA1421" w:rsidRDefault="009C2707" w:rsidP="007E4265">
    <w:pPr>
      <w:pStyle w:val="20AuthorNoteFirstPageFooter"/>
    </w:pPr>
    <w:r>
      <w:rPr>
        <w:b/>
      </w:rPr>
      <w:t>Catarina Marques</w:t>
    </w:r>
    <w:r w:rsidRPr="003751A5">
      <w:t xml:space="preserve"> is a </w:t>
    </w:r>
    <w:r>
      <w:t>Senior Research Fellow at London South Bank University</w:t>
    </w:r>
    <w:r w:rsidRPr="003751A5">
      <w:t xml:space="preserve">, </w:t>
    </w:r>
    <w:r>
      <w:t>London</w:t>
    </w:r>
    <w:r w:rsidRPr="003751A5">
      <w:t xml:space="preserve">, </w:t>
    </w:r>
    <w:r>
      <w:t>United Kingdom</w:t>
    </w:r>
    <w:r w:rsidRPr="003751A5">
      <w:t xml:space="preserve">. </w:t>
    </w:r>
    <w:r w:rsidR="00021ADE">
      <w:rPr>
        <w:b/>
      </w:rPr>
      <w:t>Chris Dunham</w:t>
    </w:r>
    <w:r w:rsidR="00021ADE" w:rsidRPr="003751A5">
      <w:t xml:space="preserve"> is </w:t>
    </w:r>
    <w:r w:rsidR="00021ADE">
      <w:t>the Managing Director of Carbon Descent Projects Ltd, Bishops Stortford</w:t>
    </w:r>
    <w:r w:rsidR="00021ADE" w:rsidRPr="003751A5">
      <w:t xml:space="preserve">, </w:t>
    </w:r>
    <w:r w:rsidR="00021ADE">
      <w:t>UK</w:t>
    </w:r>
    <w:r w:rsidR="00021ADE" w:rsidRPr="003751A5">
      <w:t>.</w:t>
    </w:r>
    <w:r w:rsidR="00021ADE">
      <w:t xml:space="preserve"> </w:t>
    </w:r>
    <w:r w:rsidRPr="00E1169F">
      <w:rPr>
        <w:b/>
        <w:bCs/>
      </w:rPr>
      <w:t>Phil Jones</w:t>
    </w:r>
    <w:r>
      <w:t xml:space="preserve"> is the Managing Director of Building Low Carbon Solutions Ltd., London, UK. </w:t>
    </w:r>
    <w:r>
      <w:rPr>
        <w:b/>
        <w:bCs/>
      </w:rPr>
      <w:t>Helen Turnell</w:t>
    </w:r>
    <w:r>
      <w:t xml:space="preserve"> </w:t>
    </w:r>
    <w:r w:rsidRPr="003751A5">
      <w:t xml:space="preserve">is a </w:t>
    </w:r>
    <w:r>
      <w:t>Senior Lecturer at London South Bank University</w:t>
    </w:r>
    <w:r w:rsidRPr="003751A5">
      <w:t xml:space="preserve">, </w:t>
    </w:r>
    <w:r>
      <w:t>London</w:t>
    </w:r>
    <w:r w:rsidRPr="003751A5">
      <w:t xml:space="preserve">, </w:t>
    </w:r>
    <w:r>
      <w:t>UK</w:t>
    </w:r>
    <w:r w:rsidRPr="003751A5">
      <w:t xml:space="preserve">. </w:t>
    </w:r>
    <w:r w:rsidRPr="0041094E">
      <w:rPr>
        <w:b/>
        <w:bCs/>
      </w:rPr>
      <w:t>Akos Revesz</w:t>
    </w:r>
    <w:r>
      <w:t xml:space="preserve"> is Senior Research Fellow at London South Bank University</w:t>
    </w:r>
    <w:r w:rsidRPr="003751A5">
      <w:t xml:space="preserve">, </w:t>
    </w:r>
    <w:r>
      <w:t>London</w:t>
    </w:r>
    <w:r w:rsidRPr="003751A5">
      <w:t>,</w:t>
    </w:r>
    <w:r>
      <w:t xml:space="preserve"> UK. </w:t>
    </w:r>
    <w:r w:rsidRPr="0041094E">
      <w:rPr>
        <w:b/>
        <w:bCs/>
      </w:rPr>
      <w:t>Graeme Maidment</w:t>
    </w:r>
    <w:r>
      <w:t xml:space="preserve"> is a Professor of Heating and Cooling at London South Bank University</w:t>
    </w:r>
    <w:r w:rsidRPr="003751A5">
      <w:t xml:space="preserve">, </w:t>
    </w:r>
    <w:r>
      <w:t>London</w:t>
    </w:r>
    <w:r w:rsidRPr="003751A5">
      <w:t>,</w:t>
    </w:r>
    <w:r>
      <w:t xml:space="preserve"> UK.</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079" w:rsidRDefault="008D7079" w:rsidP="002620D9">
      <w:r>
        <w:separator/>
      </w:r>
    </w:p>
  </w:footnote>
  <w:footnote w:type="continuationSeparator" w:id="0">
    <w:p w:rsidR="008D7079" w:rsidRDefault="008D7079" w:rsidP="002620D9">
      <w:r>
        <w:continuationSeparator/>
      </w:r>
    </w:p>
  </w:footnote>
  <w:footnote w:type="continuationNotice" w:id="1">
    <w:p w:rsidR="008D7079" w:rsidRDefault="008D7079"/>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0B2"/>
    <w:multiLevelType w:val="hybridMultilevel"/>
    <w:tmpl w:val="1B24B728"/>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0A3215D"/>
    <w:multiLevelType w:val="hybridMultilevel"/>
    <w:tmpl w:val="67C68F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0E33886"/>
    <w:multiLevelType w:val="hybridMultilevel"/>
    <w:tmpl w:val="C9EAAFBA"/>
    <w:lvl w:ilvl="0" w:tplc="01C2B7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DF420F"/>
    <w:multiLevelType w:val="hybridMultilevel"/>
    <w:tmpl w:val="D4F8E42A"/>
    <w:lvl w:ilvl="0" w:tplc="EF320220">
      <w:start w:val="1"/>
      <w:numFmt w:val="decimal"/>
      <w:lvlText w:val="%1."/>
      <w:lvlJc w:val="left"/>
      <w:pPr>
        <w:ind w:left="806" w:hanging="360"/>
      </w:pPr>
      <w:rPr>
        <w:rFonts w:hint="default"/>
        <w:color w:val="000000"/>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4" w15:restartNumberingAfterBreak="0">
    <w:nsid w:val="093E52DF"/>
    <w:multiLevelType w:val="hybridMultilevel"/>
    <w:tmpl w:val="0EFC554C"/>
    <w:lvl w:ilvl="0" w:tplc="DA326C44">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5" w15:restartNumberingAfterBreak="0">
    <w:nsid w:val="0C524843"/>
    <w:multiLevelType w:val="hybridMultilevel"/>
    <w:tmpl w:val="F9DACFBC"/>
    <w:lvl w:ilvl="0" w:tplc="BA9EBC48">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1A001F"/>
    <w:multiLevelType w:val="hybridMultilevel"/>
    <w:tmpl w:val="C4C67840"/>
    <w:lvl w:ilvl="0" w:tplc="E200C376">
      <w:start w:val="1"/>
      <w:numFmt w:val="decimal"/>
      <w:lvlText w:val="%1."/>
      <w:lvlJc w:val="left"/>
      <w:pPr>
        <w:ind w:left="197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7" w15:restartNumberingAfterBreak="0">
    <w:nsid w:val="19DA015D"/>
    <w:multiLevelType w:val="hybridMultilevel"/>
    <w:tmpl w:val="1AFA47B2"/>
    <w:lvl w:ilvl="0" w:tplc="0409000F">
      <w:start w:val="1"/>
      <w:numFmt w:val="decimal"/>
      <w:lvlText w:val="%1."/>
      <w:lvlJc w:val="left"/>
      <w:pPr>
        <w:ind w:left="80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8" w15:restartNumberingAfterBreak="0">
    <w:nsid w:val="1EF2592F"/>
    <w:multiLevelType w:val="hybridMultilevel"/>
    <w:tmpl w:val="3F46AEC4"/>
    <w:lvl w:ilvl="0" w:tplc="F272AC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4796EAB"/>
    <w:multiLevelType w:val="hybridMultilevel"/>
    <w:tmpl w:val="8A2090F6"/>
    <w:lvl w:ilvl="0" w:tplc="B5425A26">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15:restartNumberingAfterBreak="0">
    <w:nsid w:val="2AEC6104"/>
    <w:multiLevelType w:val="hybridMultilevel"/>
    <w:tmpl w:val="4A32E904"/>
    <w:lvl w:ilvl="0" w:tplc="B9BCD16A">
      <w:start w:val="1"/>
      <w:numFmt w:val="lowerLetter"/>
      <w:lvlText w:val="%1."/>
      <w:lvlJc w:val="left"/>
      <w:pPr>
        <w:ind w:left="1080" w:hanging="36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7D0B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400123A"/>
    <w:multiLevelType w:val="hybridMultilevel"/>
    <w:tmpl w:val="C2363E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690270"/>
    <w:multiLevelType w:val="hybridMultilevel"/>
    <w:tmpl w:val="348081B2"/>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83756D8"/>
    <w:multiLevelType w:val="hybridMultilevel"/>
    <w:tmpl w:val="BB4C0658"/>
    <w:lvl w:ilvl="0" w:tplc="AC6E7274">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A3B20BC"/>
    <w:multiLevelType w:val="hybridMultilevel"/>
    <w:tmpl w:val="2240676A"/>
    <w:lvl w:ilvl="0" w:tplc="E4D2EB74">
      <w:start w:val="6"/>
      <w:numFmt w:val="decimal"/>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15:restartNumberingAfterBreak="0">
    <w:nsid w:val="3BA8675E"/>
    <w:multiLevelType w:val="hybridMultilevel"/>
    <w:tmpl w:val="A4027D88"/>
    <w:lvl w:ilvl="0" w:tplc="B8C84294">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15:restartNumberingAfterBreak="0">
    <w:nsid w:val="42B13B14"/>
    <w:multiLevelType w:val="hybridMultilevel"/>
    <w:tmpl w:val="85FEFC72"/>
    <w:lvl w:ilvl="0" w:tplc="A8BA8B10">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15:restartNumberingAfterBreak="0">
    <w:nsid w:val="44FE0435"/>
    <w:multiLevelType w:val="hybridMultilevel"/>
    <w:tmpl w:val="DA384A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A00BD7"/>
    <w:multiLevelType w:val="hybridMultilevel"/>
    <w:tmpl w:val="E83CDE6A"/>
    <w:lvl w:ilvl="0" w:tplc="E200C376">
      <w:start w:val="1"/>
      <w:numFmt w:val="decimal"/>
      <w:lvlText w:val="%1."/>
      <w:lvlJc w:val="left"/>
      <w:pPr>
        <w:ind w:left="197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20" w15:restartNumberingAfterBreak="0">
    <w:nsid w:val="47E86062"/>
    <w:multiLevelType w:val="hybridMultilevel"/>
    <w:tmpl w:val="1E8C5812"/>
    <w:lvl w:ilvl="0" w:tplc="E200C37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15:restartNumberingAfterBreak="0">
    <w:nsid w:val="499F14EB"/>
    <w:multiLevelType w:val="hybridMultilevel"/>
    <w:tmpl w:val="133EB34E"/>
    <w:lvl w:ilvl="0" w:tplc="5260B952">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9525C5"/>
    <w:multiLevelType w:val="hybridMultilevel"/>
    <w:tmpl w:val="42F6545A"/>
    <w:lvl w:ilvl="0" w:tplc="AC6E7274">
      <w:start w:val="1"/>
      <w:numFmt w:val="decimal"/>
      <w:lvlText w:val="%1."/>
      <w:lvlJc w:val="left"/>
      <w:pPr>
        <w:ind w:left="12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15:restartNumberingAfterBreak="0">
    <w:nsid w:val="61485CC7"/>
    <w:multiLevelType w:val="hybridMultilevel"/>
    <w:tmpl w:val="0AFCCFA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64FC56FF"/>
    <w:multiLevelType w:val="hybridMultilevel"/>
    <w:tmpl w:val="EA263BC6"/>
    <w:lvl w:ilvl="0" w:tplc="BA9EBC48">
      <w:start w:val="1"/>
      <w:numFmt w:val="low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52D4E82"/>
    <w:multiLevelType w:val="hybridMultilevel"/>
    <w:tmpl w:val="3DCE94B0"/>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1811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6D726F05"/>
    <w:multiLevelType w:val="hybridMultilevel"/>
    <w:tmpl w:val="91CE2408"/>
    <w:lvl w:ilvl="0" w:tplc="AC6E7274">
      <w:start w:val="1"/>
      <w:numFmt w:val="decimal"/>
      <w:lvlText w:val="%1."/>
      <w:lvlJc w:val="left"/>
      <w:pPr>
        <w:ind w:left="1980" w:hanging="360"/>
      </w:pPr>
      <w:rPr>
        <w:rFonts w:hint="default"/>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8" w15:restartNumberingAfterBreak="0">
    <w:nsid w:val="7102320C"/>
    <w:multiLevelType w:val="hybridMultilevel"/>
    <w:tmpl w:val="545CBDF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3C65108"/>
    <w:multiLevelType w:val="hybridMultilevel"/>
    <w:tmpl w:val="9B9C2E90"/>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76A55C51"/>
    <w:multiLevelType w:val="hybridMultilevel"/>
    <w:tmpl w:val="ED300080"/>
    <w:lvl w:ilvl="0" w:tplc="9B22E85E">
      <w:start w:val="1"/>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EAC6C08"/>
    <w:multiLevelType w:val="hybridMultilevel"/>
    <w:tmpl w:val="56543424"/>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356DCE"/>
    <w:multiLevelType w:val="hybridMultilevel"/>
    <w:tmpl w:val="A9DCE6BE"/>
    <w:lvl w:ilvl="0" w:tplc="BA9EBC48">
      <w:start w:val="1"/>
      <w:numFmt w:val="lowerLetter"/>
      <w:lvlText w:val="%1."/>
      <w:lvlJc w:val="left"/>
      <w:pPr>
        <w:ind w:left="80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num w:numId="1">
    <w:abstractNumId w:val="23"/>
  </w:num>
  <w:num w:numId="2">
    <w:abstractNumId w:val="9"/>
  </w:num>
  <w:num w:numId="3">
    <w:abstractNumId w:val="9"/>
    <w:lvlOverride w:ilvl="0">
      <w:startOverride w:val="1"/>
    </w:lvlOverride>
  </w:num>
  <w:num w:numId="4">
    <w:abstractNumId w:val="17"/>
  </w:num>
  <w:num w:numId="5">
    <w:abstractNumId w:val="13"/>
  </w:num>
  <w:num w:numId="6">
    <w:abstractNumId w:val="22"/>
  </w:num>
  <w:num w:numId="7">
    <w:abstractNumId w:val="14"/>
  </w:num>
  <w:num w:numId="8">
    <w:abstractNumId w:val="21"/>
  </w:num>
  <w:num w:numId="9">
    <w:abstractNumId w:val="0"/>
  </w:num>
  <w:num w:numId="10">
    <w:abstractNumId w:val="29"/>
  </w:num>
  <w:num w:numId="11">
    <w:abstractNumId w:val="20"/>
  </w:num>
  <w:num w:numId="12">
    <w:abstractNumId w:val="27"/>
  </w:num>
  <w:num w:numId="13">
    <w:abstractNumId w:val="31"/>
  </w:num>
  <w:num w:numId="14">
    <w:abstractNumId w:val="25"/>
  </w:num>
  <w:num w:numId="15">
    <w:abstractNumId w:val="6"/>
  </w:num>
  <w:num w:numId="16">
    <w:abstractNumId w:val="19"/>
  </w:num>
  <w:num w:numId="17">
    <w:abstractNumId w:val="4"/>
  </w:num>
  <w:num w:numId="18">
    <w:abstractNumId w:val="3"/>
  </w:num>
  <w:num w:numId="19">
    <w:abstractNumId w:val="18"/>
  </w:num>
  <w:num w:numId="20">
    <w:abstractNumId w:val="26"/>
  </w:num>
  <w:num w:numId="21">
    <w:abstractNumId w:val="11"/>
  </w:num>
  <w:num w:numId="22">
    <w:abstractNumId w:val="8"/>
  </w:num>
  <w:num w:numId="23">
    <w:abstractNumId w:val="28"/>
  </w:num>
  <w:num w:numId="24">
    <w:abstractNumId w:val="30"/>
  </w:num>
  <w:num w:numId="25">
    <w:abstractNumId w:val="10"/>
  </w:num>
  <w:num w:numId="26">
    <w:abstractNumId w:val="24"/>
  </w:num>
  <w:num w:numId="27">
    <w:abstractNumId w:val="2"/>
  </w:num>
  <w:num w:numId="28">
    <w:abstractNumId w:val="5"/>
  </w:num>
  <w:num w:numId="29">
    <w:abstractNumId w:val="32"/>
  </w:num>
  <w:num w:numId="30">
    <w:abstractNumId w:val="7"/>
  </w:num>
  <w:num w:numId="31">
    <w:abstractNumId w:val="15"/>
  </w:num>
  <w:num w:numId="32">
    <w:abstractNumId w:val="1"/>
  </w:num>
  <w:num w:numId="33">
    <w:abstractNumId w:val="16"/>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embedTrueTypeFonts/>
  <w:hideSpelling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49" o:allowoverlap="f" fill="f" fillcolor="white" stroke="f">
      <v:fill color="white" on="f"/>
      <v:stroke on="f"/>
      <v:textbox style="mso-rotate-with-shape: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C53"/>
    <w:rsid w:val="00001355"/>
    <w:rsid w:val="00013FF5"/>
    <w:rsid w:val="00020962"/>
    <w:rsid w:val="00021ADE"/>
    <w:rsid w:val="000222FE"/>
    <w:rsid w:val="00024EC3"/>
    <w:rsid w:val="000326B4"/>
    <w:rsid w:val="00042519"/>
    <w:rsid w:val="000456AF"/>
    <w:rsid w:val="00051785"/>
    <w:rsid w:val="000521EF"/>
    <w:rsid w:val="00053EAA"/>
    <w:rsid w:val="0005718D"/>
    <w:rsid w:val="000662DF"/>
    <w:rsid w:val="00066B60"/>
    <w:rsid w:val="00072583"/>
    <w:rsid w:val="0009556E"/>
    <w:rsid w:val="000A2185"/>
    <w:rsid w:val="000B3954"/>
    <w:rsid w:val="000C0F8D"/>
    <w:rsid w:val="000C6FA1"/>
    <w:rsid w:val="000D1A6F"/>
    <w:rsid w:val="000E0F0C"/>
    <w:rsid w:val="000E3F5D"/>
    <w:rsid w:val="000E4516"/>
    <w:rsid w:val="000F4DE4"/>
    <w:rsid w:val="0010042F"/>
    <w:rsid w:val="00107503"/>
    <w:rsid w:val="00107792"/>
    <w:rsid w:val="00112929"/>
    <w:rsid w:val="0012616F"/>
    <w:rsid w:val="00126974"/>
    <w:rsid w:val="00132844"/>
    <w:rsid w:val="00136316"/>
    <w:rsid w:val="001401E7"/>
    <w:rsid w:val="001405F2"/>
    <w:rsid w:val="0014073A"/>
    <w:rsid w:val="00143460"/>
    <w:rsid w:val="001470B5"/>
    <w:rsid w:val="001476EA"/>
    <w:rsid w:val="00152439"/>
    <w:rsid w:val="001554B9"/>
    <w:rsid w:val="00163935"/>
    <w:rsid w:val="00181F27"/>
    <w:rsid w:val="001869D6"/>
    <w:rsid w:val="00187055"/>
    <w:rsid w:val="00190243"/>
    <w:rsid w:val="00192073"/>
    <w:rsid w:val="0019345B"/>
    <w:rsid w:val="001A17B8"/>
    <w:rsid w:val="001A41E6"/>
    <w:rsid w:val="001B4A9B"/>
    <w:rsid w:val="001C0927"/>
    <w:rsid w:val="001D26B3"/>
    <w:rsid w:val="001E7335"/>
    <w:rsid w:val="00212EC1"/>
    <w:rsid w:val="00213DC3"/>
    <w:rsid w:val="00222C0D"/>
    <w:rsid w:val="002241B4"/>
    <w:rsid w:val="00230134"/>
    <w:rsid w:val="00232E5E"/>
    <w:rsid w:val="002422E0"/>
    <w:rsid w:val="00253FC2"/>
    <w:rsid w:val="002547C8"/>
    <w:rsid w:val="00257155"/>
    <w:rsid w:val="002579CE"/>
    <w:rsid w:val="002620D9"/>
    <w:rsid w:val="002742C3"/>
    <w:rsid w:val="00281E1A"/>
    <w:rsid w:val="0028390F"/>
    <w:rsid w:val="00285097"/>
    <w:rsid w:val="00297F44"/>
    <w:rsid w:val="002A5523"/>
    <w:rsid w:val="002A5FEA"/>
    <w:rsid w:val="002A62ED"/>
    <w:rsid w:val="002B14D8"/>
    <w:rsid w:val="002B29BD"/>
    <w:rsid w:val="002B35D3"/>
    <w:rsid w:val="002B57C0"/>
    <w:rsid w:val="002B72D0"/>
    <w:rsid w:val="002D7775"/>
    <w:rsid w:val="002E1030"/>
    <w:rsid w:val="002E5F1A"/>
    <w:rsid w:val="002E6875"/>
    <w:rsid w:val="002F5004"/>
    <w:rsid w:val="002F7001"/>
    <w:rsid w:val="002F70CC"/>
    <w:rsid w:val="00312D36"/>
    <w:rsid w:val="003161DD"/>
    <w:rsid w:val="00317D22"/>
    <w:rsid w:val="0032046E"/>
    <w:rsid w:val="00323022"/>
    <w:rsid w:val="00325F80"/>
    <w:rsid w:val="003368A5"/>
    <w:rsid w:val="00341644"/>
    <w:rsid w:val="0034250D"/>
    <w:rsid w:val="00343942"/>
    <w:rsid w:val="00350ABB"/>
    <w:rsid w:val="00350EA4"/>
    <w:rsid w:val="00356873"/>
    <w:rsid w:val="00360FDE"/>
    <w:rsid w:val="003640DA"/>
    <w:rsid w:val="00365678"/>
    <w:rsid w:val="00365A3D"/>
    <w:rsid w:val="00370C21"/>
    <w:rsid w:val="00371DFB"/>
    <w:rsid w:val="003751A5"/>
    <w:rsid w:val="00384133"/>
    <w:rsid w:val="0038456F"/>
    <w:rsid w:val="00386116"/>
    <w:rsid w:val="0038742B"/>
    <w:rsid w:val="0039074C"/>
    <w:rsid w:val="00394758"/>
    <w:rsid w:val="003A1671"/>
    <w:rsid w:val="003A4C53"/>
    <w:rsid w:val="003B0244"/>
    <w:rsid w:val="003B4123"/>
    <w:rsid w:val="003B473E"/>
    <w:rsid w:val="003C36C5"/>
    <w:rsid w:val="003D1D9A"/>
    <w:rsid w:val="003D2A0C"/>
    <w:rsid w:val="003E00B0"/>
    <w:rsid w:val="003E10B2"/>
    <w:rsid w:val="003E31B6"/>
    <w:rsid w:val="003E4687"/>
    <w:rsid w:val="003F04AC"/>
    <w:rsid w:val="003F4DC4"/>
    <w:rsid w:val="00400F9D"/>
    <w:rsid w:val="004054EB"/>
    <w:rsid w:val="00407A29"/>
    <w:rsid w:val="0041543C"/>
    <w:rsid w:val="00416D8D"/>
    <w:rsid w:val="00417BC5"/>
    <w:rsid w:val="0042722A"/>
    <w:rsid w:val="00430269"/>
    <w:rsid w:val="00430570"/>
    <w:rsid w:val="00430B9D"/>
    <w:rsid w:val="00443007"/>
    <w:rsid w:val="004507EC"/>
    <w:rsid w:val="0045482B"/>
    <w:rsid w:val="004626BE"/>
    <w:rsid w:val="00467D84"/>
    <w:rsid w:val="0047319A"/>
    <w:rsid w:val="00474B9B"/>
    <w:rsid w:val="004845A8"/>
    <w:rsid w:val="00485727"/>
    <w:rsid w:val="004861CC"/>
    <w:rsid w:val="00491341"/>
    <w:rsid w:val="004950F1"/>
    <w:rsid w:val="00495104"/>
    <w:rsid w:val="004A536C"/>
    <w:rsid w:val="004A5E4A"/>
    <w:rsid w:val="004B27A5"/>
    <w:rsid w:val="004B2A62"/>
    <w:rsid w:val="004B4808"/>
    <w:rsid w:val="004B61B8"/>
    <w:rsid w:val="004B761F"/>
    <w:rsid w:val="004C2579"/>
    <w:rsid w:val="004C3551"/>
    <w:rsid w:val="004D5822"/>
    <w:rsid w:val="004E6BDB"/>
    <w:rsid w:val="004F13F0"/>
    <w:rsid w:val="004F65C2"/>
    <w:rsid w:val="00505867"/>
    <w:rsid w:val="0051582B"/>
    <w:rsid w:val="00534DE1"/>
    <w:rsid w:val="005369B0"/>
    <w:rsid w:val="005423D8"/>
    <w:rsid w:val="005446DA"/>
    <w:rsid w:val="005455EE"/>
    <w:rsid w:val="005543AB"/>
    <w:rsid w:val="0057779F"/>
    <w:rsid w:val="00582744"/>
    <w:rsid w:val="005835DB"/>
    <w:rsid w:val="0058772A"/>
    <w:rsid w:val="00593085"/>
    <w:rsid w:val="00595674"/>
    <w:rsid w:val="005A0C01"/>
    <w:rsid w:val="005B5A27"/>
    <w:rsid w:val="005D670A"/>
    <w:rsid w:val="005E1EC4"/>
    <w:rsid w:val="005F0E5F"/>
    <w:rsid w:val="005F70E2"/>
    <w:rsid w:val="00620620"/>
    <w:rsid w:val="00633E99"/>
    <w:rsid w:val="0063409B"/>
    <w:rsid w:val="00634E6C"/>
    <w:rsid w:val="0064110A"/>
    <w:rsid w:val="0064307A"/>
    <w:rsid w:val="00652AEE"/>
    <w:rsid w:val="00653328"/>
    <w:rsid w:val="00661FCE"/>
    <w:rsid w:val="00665C08"/>
    <w:rsid w:val="00675CF1"/>
    <w:rsid w:val="00677A9E"/>
    <w:rsid w:val="0068441A"/>
    <w:rsid w:val="00684A76"/>
    <w:rsid w:val="00695EF4"/>
    <w:rsid w:val="006A00A6"/>
    <w:rsid w:val="006A40C9"/>
    <w:rsid w:val="006A49DB"/>
    <w:rsid w:val="006A66ED"/>
    <w:rsid w:val="006A729E"/>
    <w:rsid w:val="006B04CA"/>
    <w:rsid w:val="006B48DB"/>
    <w:rsid w:val="006C2546"/>
    <w:rsid w:val="006C7028"/>
    <w:rsid w:val="006D1FCB"/>
    <w:rsid w:val="006D2346"/>
    <w:rsid w:val="006D5036"/>
    <w:rsid w:val="006F3B16"/>
    <w:rsid w:val="006F513C"/>
    <w:rsid w:val="00700807"/>
    <w:rsid w:val="0070258F"/>
    <w:rsid w:val="00715847"/>
    <w:rsid w:val="007158B9"/>
    <w:rsid w:val="0072250B"/>
    <w:rsid w:val="007254DB"/>
    <w:rsid w:val="007318EC"/>
    <w:rsid w:val="007367B9"/>
    <w:rsid w:val="007407B7"/>
    <w:rsid w:val="00746042"/>
    <w:rsid w:val="007503F8"/>
    <w:rsid w:val="00752775"/>
    <w:rsid w:val="00752C38"/>
    <w:rsid w:val="00752F84"/>
    <w:rsid w:val="00761B58"/>
    <w:rsid w:val="00767BBF"/>
    <w:rsid w:val="00770525"/>
    <w:rsid w:val="0077098D"/>
    <w:rsid w:val="00771A94"/>
    <w:rsid w:val="00774112"/>
    <w:rsid w:val="00775662"/>
    <w:rsid w:val="00777C1F"/>
    <w:rsid w:val="00785819"/>
    <w:rsid w:val="007A72BC"/>
    <w:rsid w:val="007B7B1A"/>
    <w:rsid w:val="007C01C6"/>
    <w:rsid w:val="007C0C7E"/>
    <w:rsid w:val="007C199A"/>
    <w:rsid w:val="007C2D4B"/>
    <w:rsid w:val="007C4D15"/>
    <w:rsid w:val="007C4E79"/>
    <w:rsid w:val="007E1398"/>
    <w:rsid w:val="007E343A"/>
    <w:rsid w:val="007E4265"/>
    <w:rsid w:val="007E462D"/>
    <w:rsid w:val="008073D0"/>
    <w:rsid w:val="00807BE9"/>
    <w:rsid w:val="00810EFD"/>
    <w:rsid w:val="0081483E"/>
    <w:rsid w:val="0081604D"/>
    <w:rsid w:val="00816162"/>
    <w:rsid w:val="008459AA"/>
    <w:rsid w:val="0084641E"/>
    <w:rsid w:val="00846C70"/>
    <w:rsid w:val="00847CBB"/>
    <w:rsid w:val="008569F0"/>
    <w:rsid w:val="008600E2"/>
    <w:rsid w:val="00860189"/>
    <w:rsid w:val="00863654"/>
    <w:rsid w:val="008736CB"/>
    <w:rsid w:val="00875471"/>
    <w:rsid w:val="00894AC8"/>
    <w:rsid w:val="00896C17"/>
    <w:rsid w:val="008A2443"/>
    <w:rsid w:val="008C4210"/>
    <w:rsid w:val="008C6AC4"/>
    <w:rsid w:val="008C7B62"/>
    <w:rsid w:val="008D298A"/>
    <w:rsid w:val="008D7079"/>
    <w:rsid w:val="008E342C"/>
    <w:rsid w:val="008E68A1"/>
    <w:rsid w:val="008E7C66"/>
    <w:rsid w:val="008F3708"/>
    <w:rsid w:val="008F78F7"/>
    <w:rsid w:val="00901629"/>
    <w:rsid w:val="009037DD"/>
    <w:rsid w:val="009148D6"/>
    <w:rsid w:val="00915F01"/>
    <w:rsid w:val="00917EE1"/>
    <w:rsid w:val="009251E8"/>
    <w:rsid w:val="0092538E"/>
    <w:rsid w:val="0092571E"/>
    <w:rsid w:val="00926656"/>
    <w:rsid w:val="00927175"/>
    <w:rsid w:val="00931013"/>
    <w:rsid w:val="00933C08"/>
    <w:rsid w:val="00934D32"/>
    <w:rsid w:val="00944CB7"/>
    <w:rsid w:val="00945445"/>
    <w:rsid w:val="0094571D"/>
    <w:rsid w:val="00947952"/>
    <w:rsid w:val="00954A66"/>
    <w:rsid w:val="00976C86"/>
    <w:rsid w:val="009858F1"/>
    <w:rsid w:val="00985F61"/>
    <w:rsid w:val="00986B72"/>
    <w:rsid w:val="009929CA"/>
    <w:rsid w:val="00993332"/>
    <w:rsid w:val="0099761A"/>
    <w:rsid w:val="009A0185"/>
    <w:rsid w:val="009A68D8"/>
    <w:rsid w:val="009B19CD"/>
    <w:rsid w:val="009B57D4"/>
    <w:rsid w:val="009C0570"/>
    <w:rsid w:val="009C2707"/>
    <w:rsid w:val="009C2CA9"/>
    <w:rsid w:val="009C6CCF"/>
    <w:rsid w:val="009D37C3"/>
    <w:rsid w:val="009D5846"/>
    <w:rsid w:val="009F07E2"/>
    <w:rsid w:val="00A10E25"/>
    <w:rsid w:val="00A305FB"/>
    <w:rsid w:val="00A41B60"/>
    <w:rsid w:val="00A603C1"/>
    <w:rsid w:val="00A619F2"/>
    <w:rsid w:val="00A73556"/>
    <w:rsid w:val="00A82DB9"/>
    <w:rsid w:val="00A91120"/>
    <w:rsid w:val="00A9131B"/>
    <w:rsid w:val="00A92F8D"/>
    <w:rsid w:val="00AA1721"/>
    <w:rsid w:val="00AA1D37"/>
    <w:rsid w:val="00AA4003"/>
    <w:rsid w:val="00AA4467"/>
    <w:rsid w:val="00AB0DFF"/>
    <w:rsid w:val="00AB332D"/>
    <w:rsid w:val="00AC1ACD"/>
    <w:rsid w:val="00AC2FE9"/>
    <w:rsid w:val="00AC54A4"/>
    <w:rsid w:val="00AC5DFD"/>
    <w:rsid w:val="00AD5798"/>
    <w:rsid w:val="00AE37A5"/>
    <w:rsid w:val="00AE38B1"/>
    <w:rsid w:val="00AF064C"/>
    <w:rsid w:val="00AF2540"/>
    <w:rsid w:val="00AF2D6D"/>
    <w:rsid w:val="00AF7C03"/>
    <w:rsid w:val="00B00FB2"/>
    <w:rsid w:val="00B014A9"/>
    <w:rsid w:val="00B03A9D"/>
    <w:rsid w:val="00B110CC"/>
    <w:rsid w:val="00B25349"/>
    <w:rsid w:val="00B2608A"/>
    <w:rsid w:val="00B26215"/>
    <w:rsid w:val="00B27A92"/>
    <w:rsid w:val="00B322C0"/>
    <w:rsid w:val="00B32A81"/>
    <w:rsid w:val="00B34212"/>
    <w:rsid w:val="00B37969"/>
    <w:rsid w:val="00B45F1A"/>
    <w:rsid w:val="00B46ADF"/>
    <w:rsid w:val="00B53823"/>
    <w:rsid w:val="00B55BF8"/>
    <w:rsid w:val="00B5604D"/>
    <w:rsid w:val="00B66202"/>
    <w:rsid w:val="00B66A22"/>
    <w:rsid w:val="00B90BB6"/>
    <w:rsid w:val="00B915A4"/>
    <w:rsid w:val="00B9174A"/>
    <w:rsid w:val="00B92CD2"/>
    <w:rsid w:val="00B94050"/>
    <w:rsid w:val="00B94BEB"/>
    <w:rsid w:val="00BA1421"/>
    <w:rsid w:val="00BA2FD4"/>
    <w:rsid w:val="00BA65FA"/>
    <w:rsid w:val="00BB0A57"/>
    <w:rsid w:val="00BB7172"/>
    <w:rsid w:val="00BC57A4"/>
    <w:rsid w:val="00BC65DC"/>
    <w:rsid w:val="00BC6E09"/>
    <w:rsid w:val="00BE1FE2"/>
    <w:rsid w:val="00BE3683"/>
    <w:rsid w:val="00BE3D40"/>
    <w:rsid w:val="00BF5735"/>
    <w:rsid w:val="00BF7644"/>
    <w:rsid w:val="00C013EC"/>
    <w:rsid w:val="00C06080"/>
    <w:rsid w:val="00C105FF"/>
    <w:rsid w:val="00C15BD5"/>
    <w:rsid w:val="00C213E7"/>
    <w:rsid w:val="00C27E3B"/>
    <w:rsid w:val="00C35EF7"/>
    <w:rsid w:val="00C37A1A"/>
    <w:rsid w:val="00C443A3"/>
    <w:rsid w:val="00C5526C"/>
    <w:rsid w:val="00C5666F"/>
    <w:rsid w:val="00C57C79"/>
    <w:rsid w:val="00C67B93"/>
    <w:rsid w:val="00C7134A"/>
    <w:rsid w:val="00C77B23"/>
    <w:rsid w:val="00C874F6"/>
    <w:rsid w:val="00C96A53"/>
    <w:rsid w:val="00CC08B3"/>
    <w:rsid w:val="00CD5207"/>
    <w:rsid w:val="00CD5B4F"/>
    <w:rsid w:val="00CE45FA"/>
    <w:rsid w:val="00CE634D"/>
    <w:rsid w:val="00CF01CD"/>
    <w:rsid w:val="00CF167E"/>
    <w:rsid w:val="00D00A21"/>
    <w:rsid w:val="00D1561B"/>
    <w:rsid w:val="00D24B03"/>
    <w:rsid w:val="00D40C73"/>
    <w:rsid w:val="00D4531B"/>
    <w:rsid w:val="00D546C7"/>
    <w:rsid w:val="00D568BB"/>
    <w:rsid w:val="00D6404A"/>
    <w:rsid w:val="00D6786D"/>
    <w:rsid w:val="00D72FF6"/>
    <w:rsid w:val="00D757A8"/>
    <w:rsid w:val="00D76423"/>
    <w:rsid w:val="00D82230"/>
    <w:rsid w:val="00D90105"/>
    <w:rsid w:val="00D92AE5"/>
    <w:rsid w:val="00D92C9F"/>
    <w:rsid w:val="00DB43F7"/>
    <w:rsid w:val="00DB7618"/>
    <w:rsid w:val="00DB7D6C"/>
    <w:rsid w:val="00DC799A"/>
    <w:rsid w:val="00DD2E76"/>
    <w:rsid w:val="00DE1710"/>
    <w:rsid w:val="00DE4CE9"/>
    <w:rsid w:val="00DF1CE7"/>
    <w:rsid w:val="00DF39A9"/>
    <w:rsid w:val="00DF6ADB"/>
    <w:rsid w:val="00E101F0"/>
    <w:rsid w:val="00E20B64"/>
    <w:rsid w:val="00E31D34"/>
    <w:rsid w:val="00E34E84"/>
    <w:rsid w:val="00E3553C"/>
    <w:rsid w:val="00E35D41"/>
    <w:rsid w:val="00E41A43"/>
    <w:rsid w:val="00E53AE0"/>
    <w:rsid w:val="00E5636D"/>
    <w:rsid w:val="00E64DB6"/>
    <w:rsid w:val="00E74916"/>
    <w:rsid w:val="00E80111"/>
    <w:rsid w:val="00E813AD"/>
    <w:rsid w:val="00E8612B"/>
    <w:rsid w:val="00E86F5F"/>
    <w:rsid w:val="00E9040A"/>
    <w:rsid w:val="00E9698B"/>
    <w:rsid w:val="00EB0267"/>
    <w:rsid w:val="00EB172C"/>
    <w:rsid w:val="00EB46D2"/>
    <w:rsid w:val="00EB4871"/>
    <w:rsid w:val="00EB530B"/>
    <w:rsid w:val="00EC00CB"/>
    <w:rsid w:val="00EC5992"/>
    <w:rsid w:val="00ED60EF"/>
    <w:rsid w:val="00EE2B84"/>
    <w:rsid w:val="00EE6FCA"/>
    <w:rsid w:val="00EF123E"/>
    <w:rsid w:val="00EF27AB"/>
    <w:rsid w:val="00EF3C31"/>
    <w:rsid w:val="00F00F79"/>
    <w:rsid w:val="00F06CB5"/>
    <w:rsid w:val="00F1067B"/>
    <w:rsid w:val="00F32A4F"/>
    <w:rsid w:val="00F405EF"/>
    <w:rsid w:val="00F461E2"/>
    <w:rsid w:val="00F47A01"/>
    <w:rsid w:val="00F55C70"/>
    <w:rsid w:val="00F7455F"/>
    <w:rsid w:val="00F8237F"/>
    <w:rsid w:val="00F83BC6"/>
    <w:rsid w:val="00F87CCD"/>
    <w:rsid w:val="00F900A3"/>
    <w:rsid w:val="00FA07D3"/>
    <w:rsid w:val="00FA0E44"/>
    <w:rsid w:val="00FB3CE9"/>
    <w:rsid w:val="00FB4BAE"/>
    <w:rsid w:val="00FC48CA"/>
    <w:rsid w:val="00FC508D"/>
    <w:rsid w:val="00FC50AE"/>
    <w:rsid w:val="00FC5399"/>
    <w:rsid w:val="00FD164F"/>
    <w:rsid w:val="00FD48FB"/>
    <w:rsid w:val="00FD7161"/>
    <w:rsid w:val="00FD7773"/>
    <w:rsid w:val="00FE1C4E"/>
    <w:rsid w:val="00FE2070"/>
    <w:rsid w:val="00FF24B5"/>
    <w:rsid w:val="00FF261B"/>
    <w:rsid w:val="00FF3C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allowoverlap="f" fill="f" fillcolor="white" stroke="f">
      <v:fill color="white" on="f"/>
      <v:stroke on="f"/>
      <v:textbox style="mso-rotate-with-shape:t"/>
    </o:shapedefaults>
    <o:shapelayout v:ext="edit">
      <o:idmap v:ext="edit" data="1"/>
    </o:shapelayout>
  </w:shapeDefaults>
  <w:decimalSymbol w:val="."/>
  <w:listSeparator w:val=","/>
  <w14:docId w14:val="247E0D56"/>
  <w15:chartTrackingRefBased/>
  <w15:docId w15:val="{B4C4D0E1-713D-4F5F-9EEE-2396802B8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5604D"/>
    <w:pPr>
      <w:ind w:left="720" w:hanging="360"/>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9074C"/>
    <w:pPr>
      <w:autoSpaceDE w:val="0"/>
      <w:autoSpaceDN w:val="0"/>
      <w:adjustRightInd w:val="0"/>
      <w:spacing w:line="288" w:lineRule="auto"/>
      <w:ind w:left="0" w:firstLine="0"/>
      <w:textAlignment w:val="center"/>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AA1721"/>
    <w:rPr>
      <w:rFonts w:ascii="Tahoma" w:hAnsi="Tahoma" w:cs="Tahoma"/>
      <w:sz w:val="16"/>
      <w:szCs w:val="16"/>
    </w:rPr>
  </w:style>
  <w:style w:type="character" w:customStyle="1" w:styleId="BalloonTextChar">
    <w:name w:val="Balloon Text Char"/>
    <w:link w:val="BalloonText"/>
    <w:uiPriority w:val="99"/>
    <w:semiHidden/>
    <w:rsid w:val="00AA1721"/>
    <w:rPr>
      <w:rFonts w:ascii="Tahoma" w:hAnsi="Tahoma" w:cs="Tahoma"/>
      <w:sz w:val="16"/>
      <w:szCs w:val="16"/>
    </w:rPr>
  </w:style>
  <w:style w:type="table" w:styleId="TableGrid">
    <w:name w:val="Table Grid"/>
    <w:basedOn w:val="TableNormal"/>
    <w:uiPriority w:val="59"/>
    <w:rsid w:val="0078581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Equation">
    <w:name w:val="19. Equation"/>
    <w:basedOn w:val="Normal"/>
    <w:qFormat/>
    <w:rsid w:val="00B94BEB"/>
    <w:pPr>
      <w:tabs>
        <w:tab w:val="left" w:pos="3600"/>
        <w:tab w:val="left" w:pos="8640"/>
      </w:tabs>
      <w:spacing w:before="360"/>
      <w:ind w:firstLine="450"/>
    </w:pPr>
    <w:rPr>
      <w:rFonts w:ascii="Garamond" w:hAnsi="Garamond"/>
      <w:sz w:val="20"/>
    </w:rPr>
  </w:style>
  <w:style w:type="paragraph" w:customStyle="1" w:styleId="01PaperTitle">
    <w:name w:val="01. Paper Title"/>
    <w:basedOn w:val="Normal"/>
    <w:autoRedefine/>
    <w:qFormat/>
    <w:rsid w:val="00A91120"/>
    <w:pPr>
      <w:spacing w:before="240" w:after="960"/>
      <w:ind w:left="0" w:firstLine="0"/>
    </w:pPr>
    <w:rPr>
      <w:rFonts w:ascii="Verdana" w:hAnsi="Verdana"/>
      <w:b/>
      <w:sz w:val="48"/>
      <w:szCs w:val="48"/>
    </w:rPr>
  </w:style>
  <w:style w:type="paragraph" w:styleId="NormalWeb">
    <w:name w:val="Normal (Web)"/>
    <w:basedOn w:val="Normal"/>
    <w:uiPriority w:val="99"/>
    <w:rsid w:val="0042722A"/>
    <w:pPr>
      <w:spacing w:before="100" w:beforeAutospacing="1" w:after="100" w:afterAutospacing="1"/>
      <w:ind w:left="0" w:firstLine="0"/>
    </w:pPr>
    <w:rPr>
      <w:rFonts w:ascii="Times New Roman" w:eastAsia="Times New Roman" w:hAnsi="Times New Roman"/>
      <w:sz w:val="24"/>
      <w:szCs w:val="24"/>
      <w:lang w:val="en-GB" w:eastAsia="en-GB"/>
    </w:rPr>
  </w:style>
  <w:style w:type="paragraph" w:customStyle="1" w:styleId="02AuthorName">
    <w:name w:val="02. Author Name"/>
    <w:basedOn w:val="Normal"/>
    <w:autoRedefine/>
    <w:qFormat/>
    <w:rsid w:val="00020962"/>
    <w:pPr>
      <w:tabs>
        <w:tab w:val="left" w:pos="3686"/>
        <w:tab w:val="left" w:pos="6804"/>
      </w:tabs>
      <w:ind w:left="0" w:firstLine="0"/>
    </w:pPr>
    <w:rPr>
      <w:rFonts w:ascii="Verdana" w:hAnsi="Verdana"/>
      <w:b/>
    </w:rPr>
  </w:style>
  <w:style w:type="paragraph" w:customStyle="1" w:styleId="03ASHRAEAffiliationMemberASHRAE">
    <w:name w:val="03. ASHRAE Affiliation [Member ASHRAE"/>
    <w:aliases w:val="Fellow ASHRAE,etc.]"/>
    <w:basedOn w:val="Normal"/>
    <w:autoRedefine/>
    <w:qFormat/>
    <w:rsid w:val="00E64DB6"/>
    <w:pPr>
      <w:tabs>
        <w:tab w:val="left" w:pos="3960"/>
        <w:tab w:val="left" w:pos="7560"/>
      </w:tabs>
      <w:spacing w:before="60"/>
      <w:ind w:left="0" w:firstLine="0"/>
    </w:pPr>
    <w:rPr>
      <w:rFonts w:ascii="Verdana" w:hAnsi="Verdana"/>
      <w:i/>
      <w:sz w:val="18"/>
      <w:szCs w:val="18"/>
    </w:rPr>
  </w:style>
  <w:style w:type="paragraph" w:customStyle="1" w:styleId="04AbstractHeading">
    <w:name w:val="04. Abstract Heading"/>
    <w:basedOn w:val="Normal"/>
    <w:autoRedefine/>
    <w:qFormat/>
    <w:rsid w:val="007E4265"/>
    <w:pPr>
      <w:tabs>
        <w:tab w:val="left" w:pos="3960"/>
        <w:tab w:val="left" w:pos="7560"/>
      </w:tabs>
      <w:spacing w:before="480" w:after="120"/>
      <w:ind w:left="0" w:firstLine="0"/>
    </w:pPr>
    <w:rPr>
      <w:rFonts w:ascii="Verdana" w:hAnsi="Verdana"/>
      <w:b/>
      <w:caps/>
      <w:sz w:val="20"/>
      <w:szCs w:val="20"/>
    </w:rPr>
  </w:style>
  <w:style w:type="paragraph" w:customStyle="1" w:styleId="05AbstractBodyApplytomaintextofAbstract">
    <w:name w:val="05. Abstract Body [Apply to main text of Abstract]"/>
    <w:basedOn w:val="03ASHRAEAffiliationMemberASHRAE"/>
    <w:autoRedefine/>
    <w:qFormat/>
    <w:rsid w:val="003751A5"/>
    <w:pPr>
      <w:spacing w:line="288" w:lineRule="auto"/>
      <w:jc w:val="both"/>
    </w:pPr>
    <w:rPr>
      <w:rFonts w:ascii="Garamond" w:hAnsi="Garamond"/>
      <w:sz w:val="20"/>
    </w:rPr>
  </w:style>
  <w:style w:type="paragraph" w:customStyle="1" w:styleId="10Level1Heading">
    <w:name w:val="10. Level 1 Heading"/>
    <w:basedOn w:val="BasicParagraph"/>
    <w:autoRedefine/>
    <w:qFormat/>
    <w:rsid w:val="00E64DB6"/>
    <w:pPr>
      <w:spacing w:before="240" w:after="120"/>
    </w:pPr>
    <w:rPr>
      <w:rFonts w:ascii="Verdana" w:hAnsi="Verdana"/>
      <w:b/>
      <w:caps/>
      <w:sz w:val="20"/>
      <w:szCs w:val="20"/>
    </w:rPr>
  </w:style>
  <w:style w:type="paragraph" w:customStyle="1" w:styleId="06BodyMaintext">
    <w:name w:val="06. Body [Main text]"/>
    <w:basedOn w:val="BasicParagraph"/>
    <w:autoRedefine/>
    <w:qFormat/>
    <w:rsid w:val="00DC799A"/>
    <w:pPr>
      <w:widowControl w:val="0"/>
      <w:spacing w:line="264" w:lineRule="auto"/>
      <w:ind w:firstLine="446"/>
      <w:jc w:val="both"/>
    </w:pPr>
    <w:rPr>
      <w:rFonts w:ascii="Garamond" w:hAnsi="Garamond"/>
      <w:color w:val="auto"/>
      <w:sz w:val="22"/>
      <w:szCs w:val="20"/>
    </w:rPr>
  </w:style>
  <w:style w:type="paragraph" w:customStyle="1" w:styleId="11Level2Heading">
    <w:name w:val="11. Level 2 Heading"/>
    <w:basedOn w:val="BasicParagraph"/>
    <w:autoRedefine/>
    <w:qFormat/>
    <w:rsid w:val="00AB332D"/>
    <w:pPr>
      <w:spacing w:before="240" w:after="120"/>
    </w:pPr>
    <w:rPr>
      <w:rFonts w:ascii="Verdana" w:hAnsi="Verdana"/>
      <w:b/>
      <w:color w:val="auto"/>
      <w:sz w:val="20"/>
      <w:szCs w:val="20"/>
    </w:rPr>
  </w:style>
  <w:style w:type="paragraph" w:customStyle="1" w:styleId="13FigureCaption">
    <w:name w:val="13. Figure Caption"/>
    <w:basedOn w:val="Normal"/>
    <w:qFormat/>
    <w:rsid w:val="007E4265"/>
    <w:pPr>
      <w:tabs>
        <w:tab w:val="left" w:pos="1440"/>
        <w:tab w:val="left" w:pos="2790"/>
        <w:tab w:val="left" w:pos="8640"/>
      </w:tabs>
      <w:spacing w:after="840"/>
      <w:ind w:left="1440" w:hanging="990"/>
      <w:jc w:val="both"/>
    </w:pPr>
    <w:rPr>
      <w:rFonts w:ascii="Garamond" w:hAnsi="Garamond"/>
      <w:sz w:val="20"/>
      <w:szCs w:val="20"/>
    </w:rPr>
  </w:style>
  <w:style w:type="paragraph" w:customStyle="1" w:styleId="12FigureFormatSelectafigureandclickonthisstyle">
    <w:name w:val="12. Figure Format [Select a figure and click on this style]"/>
    <w:basedOn w:val="06BodyMaintext"/>
    <w:autoRedefine/>
    <w:qFormat/>
    <w:rsid w:val="00FC48CA"/>
    <w:pPr>
      <w:spacing w:after="240"/>
      <w:jc w:val="center"/>
    </w:pPr>
  </w:style>
  <w:style w:type="paragraph" w:customStyle="1" w:styleId="15TableTitle">
    <w:name w:val="15. Table Title"/>
    <w:basedOn w:val="Normal"/>
    <w:autoRedefine/>
    <w:qFormat/>
    <w:rsid w:val="00B94BEB"/>
    <w:pPr>
      <w:jc w:val="center"/>
    </w:pPr>
    <w:rPr>
      <w:rFonts w:ascii="Verdana" w:hAnsi="Verdana"/>
      <w:b/>
      <w:sz w:val="20"/>
      <w:szCs w:val="20"/>
    </w:rPr>
  </w:style>
  <w:style w:type="paragraph" w:customStyle="1" w:styleId="14TableHeading">
    <w:name w:val="14. Table Heading"/>
    <w:basedOn w:val="Normal"/>
    <w:autoRedefine/>
    <w:qFormat/>
    <w:rsid w:val="00AC2FE9"/>
    <w:pPr>
      <w:ind w:left="77" w:firstLine="0"/>
      <w:jc w:val="center"/>
    </w:pPr>
    <w:rPr>
      <w:rFonts w:ascii="Garamond" w:hAnsi="Garamond"/>
      <w:b/>
      <w:sz w:val="20"/>
      <w:szCs w:val="20"/>
    </w:rPr>
  </w:style>
  <w:style w:type="paragraph" w:customStyle="1" w:styleId="16TableText">
    <w:name w:val="16. Table Text"/>
    <w:basedOn w:val="Normal"/>
    <w:qFormat/>
    <w:rsid w:val="00FF24B5"/>
    <w:pPr>
      <w:ind w:left="360"/>
      <w:jc w:val="center"/>
    </w:pPr>
    <w:rPr>
      <w:rFonts w:ascii="Garamond" w:hAnsi="Garamond"/>
      <w:sz w:val="20"/>
      <w:szCs w:val="20"/>
    </w:rPr>
  </w:style>
  <w:style w:type="paragraph" w:customStyle="1" w:styleId="09BodyafterTableApplytomaintextafteratable">
    <w:name w:val="09. Body after Table [Apply to main text after a table]"/>
    <w:basedOn w:val="07BodySpaceAboveApplytomaintextafternumberedlist"/>
    <w:autoRedefine/>
    <w:qFormat/>
    <w:rsid w:val="00C15BD5"/>
    <w:pPr>
      <w:spacing w:before="0"/>
      <w:ind w:firstLine="426"/>
    </w:pPr>
  </w:style>
  <w:style w:type="paragraph" w:customStyle="1" w:styleId="17Nomenclature">
    <w:name w:val="17. Nomenclature"/>
    <w:basedOn w:val="Normal"/>
    <w:qFormat/>
    <w:rsid w:val="00B94BEB"/>
    <w:pPr>
      <w:tabs>
        <w:tab w:val="left" w:pos="720"/>
        <w:tab w:val="left" w:pos="1080"/>
      </w:tabs>
      <w:spacing w:before="60" w:after="60"/>
    </w:pPr>
    <w:rPr>
      <w:rFonts w:ascii="Garamond" w:hAnsi="Garamond"/>
      <w:sz w:val="20"/>
      <w:szCs w:val="20"/>
    </w:rPr>
  </w:style>
  <w:style w:type="paragraph" w:customStyle="1" w:styleId="18References">
    <w:name w:val="18. References"/>
    <w:basedOn w:val="Normal"/>
    <w:qFormat/>
    <w:rsid w:val="00B94BEB"/>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s>
      <w:autoSpaceDE w:val="0"/>
      <w:autoSpaceDN w:val="0"/>
      <w:adjustRightInd w:val="0"/>
      <w:spacing w:line="240" w:lineRule="atLeast"/>
      <w:ind w:left="360"/>
      <w:jc w:val="both"/>
    </w:pPr>
    <w:rPr>
      <w:rFonts w:ascii="Garamond" w:hAnsi="Garamond" w:cs="Times New Roman PS MT"/>
      <w:color w:val="000000"/>
      <w:sz w:val="21"/>
      <w:szCs w:val="20"/>
    </w:rPr>
  </w:style>
  <w:style w:type="paragraph" w:customStyle="1" w:styleId="08BodySpaceBelowApplytomaintextbeforeanumberedlist">
    <w:name w:val="08. Body Space Below [Apply to main text before a numbered list]"/>
    <w:basedOn w:val="06BodyMaintext"/>
    <w:autoRedefine/>
    <w:qFormat/>
    <w:rsid w:val="00371DFB"/>
    <w:pPr>
      <w:ind w:firstLine="284"/>
    </w:pPr>
  </w:style>
  <w:style w:type="paragraph" w:customStyle="1" w:styleId="07BodySpaceAboveApplytomaintextafternumberedlist">
    <w:name w:val="07. Body Space Above [Apply to main text after numbered list]"/>
    <w:basedOn w:val="08BodySpaceBelowApplytomaintextbeforeanumberedlist"/>
    <w:autoRedefine/>
    <w:qFormat/>
    <w:rsid w:val="006A49DB"/>
    <w:pPr>
      <w:spacing w:before="240"/>
    </w:pPr>
    <w:rPr>
      <w:szCs w:val="22"/>
    </w:rPr>
  </w:style>
  <w:style w:type="paragraph" w:styleId="Header">
    <w:name w:val="header"/>
    <w:basedOn w:val="Normal"/>
    <w:link w:val="HeaderChar"/>
    <w:uiPriority w:val="99"/>
    <w:unhideWhenUsed/>
    <w:rsid w:val="007E4265"/>
    <w:pPr>
      <w:tabs>
        <w:tab w:val="center" w:pos="4680"/>
        <w:tab w:val="right" w:pos="9360"/>
      </w:tabs>
    </w:pPr>
    <w:rPr>
      <w:rFonts w:ascii="Verdana" w:hAnsi="Verdana"/>
      <w:sz w:val="20"/>
    </w:rPr>
  </w:style>
  <w:style w:type="character" w:customStyle="1" w:styleId="HeaderChar">
    <w:name w:val="Header Char"/>
    <w:link w:val="Header"/>
    <w:uiPriority w:val="99"/>
    <w:rsid w:val="007E4265"/>
    <w:rPr>
      <w:rFonts w:ascii="Verdana" w:hAnsi="Verdana"/>
      <w:szCs w:val="22"/>
    </w:rPr>
  </w:style>
  <w:style w:type="paragraph" w:styleId="Footer">
    <w:name w:val="footer"/>
    <w:basedOn w:val="Normal"/>
    <w:link w:val="FooterChar"/>
    <w:uiPriority w:val="99"/>
    <w:unhideWhenUsed/>
    <w:rsid w:val="007E4265"/>
    <w:pPr>
      <w:tabs>
        <w:tab w:val="center" w:pos="4680"/>
        <w:tab w:val="right" w:pos="9360"/>
      </w:tabs>
    </w:pPr>
    <w:rPr>
      <w:rFonts w:ascii="Verdana" w:hAnsi="Verdana"/>
      <w:sz w:val="20"/>
    </w:rPr>
  </w:style>
  <w:style w:type="character" w:customStyle="1" w:styleId="FooterChar">
    <w:name w:val="Footer Char"/>
    <w:link w:val="Footer"/>
    <w:uiPriority w:val="99"/>
    <w:rsid w:val="007E4265"/>
    <w:rPr>
      <w:rFonts w:ascii="Verdana" w:hAnsi="Verdana"/>
      <w:szCs w:val="22"/>
    </w:rPr>
  </w:style>
  <w:style w:type="paragraph" w:customStyle="1" w:styleId="20AuthorNoteFirstPageFooter">
    <w:name w:val="20. Author Note (First Page Footer)"/>
    <w:basedOn w:val="Footer"/>
    <w:autoRedefine/>
    <w:qFormat/>
    <w:rsid w:val="003751A5"/>
    <w:pPr>
      <w:tabs>
        <w:tab w:val="left" w:pos="8100"/>
      </w:tabs>
      <w:ind w:left="0" w:firstLine="0"/>
    </w:pPr>
    <w:rPr>
      <w:rFonts w:ascii="Garamond" w:hAnsi="Garamond" w:cs="Arial"/>
      <w:sz w:val="16"/>
      <w:szCs w:val="16"/>
    </w:rPr>
  </w:style>
  <w:style w:type="table" w:customStyle="1" w:styleId="TableFormat">
    <w:name w:val="Table Format"/>
    <w:basedOn w:val="TableNormal"/>
    <w:uiPriority w:val="99"/>
    <w:qFormat/>
    <w:rsid w:val="006C7028"/>
    <w:rPr>
      <w:rFonts w:ascii="Times New Roman PS MT" w:hAnsi="Times New Roman PS MT"/>
    </w:rPr>
    <w:tblPr>
      <w:jc w:val="center"/>
      <w:tblBorders>
        <w:top w:val="single" w:sz="18" w:space="0" w:color="auto"/>
        <w:bottom w:val="single" w:sz="18" w:space="0" w:color="auto"/>
      </w:tblBorders>
    </w:tblPr>
    <w:trPr>
      <w:jc w:val="center"/>
    </w:trPr>
    <w:tcPr>
      <w:vAlign w:val="center"/>
    </w:tcPr>
    <w:tblStylePr w:type="firstRow">
      <w:rPr>
        <w:rFonts w:ascii="Calibri Light" w:hAnsi="Calibri Light"/>
        <w:b/>
        <w:sz w:val="20"/>
      </w:rPr>
      <w:tblPr>
        <w:jc w:val="center"/>
      </w:tblPr>
      <w:trPr>
        <w:jc w:val="center"/>
      </w:trPr>
      <w:tcPr>
        <w:tcBorders>
          <w:top w:val="nil"/>
          <w:bottom w:val="single" w:sz="18" w:space="0" w:color="auto"/>
        </w:tcBorders>
        <w:vAlign w:val="center"/>
      </w:tcPr>
    </w:tblStylePr>
  </w:style>
  <w:style w:type="character" w:styleId="Hyperlink">
    <w:name w:val="Hyperlink"/>
    <w:uiPriority w:val="99"/>
    <w:rsid w:val="00D1561B"/>
    <w:rPr>
      <w:rFonts w:cs="Times New Roman"/>
      <w:color w:val="0000FF"/>
      <w:u w:val="single"/>
    </w:rPr>
  </w:style>
  <w:style w:type="paragraph" w:styleId="Bibliography">
    <w:name w:val="Bibliography"/>
    <w:basedOn w:val="Normal"/>
    <w:next w:val="Normal"/>
    <w:uiPriority w:val="37"/>
    <w:unhideWhenUsed/>
    <w:rsid w:val="00D1561B"/>
    <w:pPr>
      <w:ind w:left="0" w:firstLine="0"/>
    </w:pPr>
    <w:rPr>
      <w:rFonts w:ascii="Times New Roman" w:eastAsia="Times New Roman" w:hAnsi="Times New Roman"/>
      <w:sz w:val="24"/>
      <w:szCs w:val="24"/>
      <w:lang w:val="en-GB" w:eastAsia="en-GB"/>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0A2185"/>
    <w:pPr>
      <w:ind w:left="0" w:firstLine="0"/>
      <w:contextualSpacing/>
    </w:pPr>
    <w:rPr>
      <w:rFonts w:ascii="Times New Roman" w:eastAsia="Times New Roman" w:hAnsi="Times New Roman" w:cs="Calibri"/>
      <w:sz w:val="24"/>
      <w:szCs w:val="24"/>
      <w:lang w:val="en-GB" w:eastAsia="en-GB"/>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0A2185"/>
    <w:rPr>
      <w:rFonts w:ascii="Times New Roman" w:eastAsia="Times New Roman" w:hAnsi="Times New Roman" w:cs="Calibri"/>
      <w:sz w:val="24"/>
      <w:szCs w:val="24"/>
    </w:rPr>
  </w:style>
  <w:style w:type="character" w:styleId="CommentReference">
    <w:name w:val="annotation reference"/>
    <w:uiPriority w:val="99"/>
    <w:semiHidden/>
    <w:unhideWhenUsed/>
    <w:rsid w:val="00365678"/>
    <w:rPr>
      <w:sz w:val="16"/>
      <w:szCs w:val="16"/>
    </w:rPr>
  </w:style>
  <w:style w:type="paragraph" w:styleId="CommentText">
    <w:name w:val="annotation text"/>
    <w:basedOn w:val="Normal"/>
    <w:link w:val="CommentTextChar"/>
    <w:uiPriority w:val="99"/>
    <w:unhideWhenUsed/>
    <w:rsid w:val="004B2A62"/>
    <w:rPr>
      <w:sz w:val="20"/>
      <w:szCs w:val="20"/>
    </w:rPr>
  </w:style>
  <w:style w:type="character" w:customStyle="1" w:styleId="CommentTextChar">
    <w:name w:val="Comment Text Char"/>
    <w:link w:val="CommentText"/>
    <w:uiPriority w:val="99"/>
    <w:rsid w:val="00365678"/>
    <w:rPr>
      <w:lang w:val="en-US" w:eastAsia="en-US"/>
    </w:rPr>
  </w:style>
  <w:style w:type="paragraph" w:styleId="CommentSubject">
    <w:name w:val="annotation subject"/>
    <w:basedOn w:val="CommentText"/>
    <w:next w:val="CommentText"/>
    <w:link w:val="CommentSubjectChar"/>
    <w:uiPriority w:val="99"/>
    <w:semiHidden/>
    <w:unhideWhenUsed/>
    <w:rsid w:val="00365678"/>
    <w:rPr>
      <w:b/>
      <w:bCs/>
    </w:rPr>
  </w:style>
  <w:style w:type="character" w:customStyle="1" w:styleId="CommentSubjectChar">
    <w:name w:val="Comment Subject Char"/>
    <w:link w:val="CommentSubject"/>
    <w:uiPriority w:val="99"/>
    <w:semiHidden/>
    <w:rsid w:val="00365678"/>
    <w:rPr>
      <w:b/>
      <w:bCs/>
      <w:lang w:val="en-US" w:eastAsia="en-US"/>
    </w:rPr>
  </w:style>
  <w:style w:type="character" w:customStyle="1" w:styleId="UnresolvedMention">
    <w:name w:val="Unresolved Mention"/>
    <w:uiPriority w:val="99"/>
    <w:semiHidden/>
    <w:unhideWhenUsed/>
    <w:rsid w:val="00365678"/>
    <w:rPr>
      <w:color w:val="605E5C"/>
      <w:shd w:val="clear" w:color="auto" w:fill="E1DFDD"/>
    </w:rPr>
  </w:style>
  <w:style w:type="paragraph" w:styleId="Revision">
    <w:name w:val="Revision"/>
    <w:hidden/>
    <w:uiPriority w:val="99"/>
    <w:semiHidden/>
    <w:rsid w:val="004B2A62"/>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552155">
      <w:bodyDiv w:val="1"/>
      <w:marLeft w:val="0"/>
      <w:marRight w:val="0"/>
      <w:marTop w:val="0"/>
      <w:marBottom w:val="0"/>
      <w:divBdr>
        <w:top w:val="none" w:sz="0" w:space="0" w:color="auto"/>
        <w:left w:val="none" w:sz="0" w:space="0" w:color="auto"/>
        <w:bottom w:val="none" w:sz="0" w:space="0" w:color="auto"/>
        <w:right w:val="none" w:sz="0" w:space="0" w:color="auto"/>
      </w:divBdr>
    </w:div>
    <w:div w:id="934172341">
      <w:bodyDiv w:val="1"/>
      <w:marLeft w:val="0"/>
      <w:marRight w:val="0"/>
      <w:marTop w:val="0"/>
      <w:marBottom w:val="0"/>
      <w:divBdr>
        <w:top w:val="none" w:sz="0" w:space="0" w:color="auto"/>
        <w:left w:val="none" w:sz="0" w:space="0" w:color="auto"/>
        <w:bottom w:val="none" w:sz="0" w:space="0" w:color="auto"/>
        <w:right w:val="none" w:sz="0" w:space="0" w:color="auto"/>
      </w:divBdr>
    </w:div>
    <w:div w:id="1508327877">
      <w:bodyDiv w:val="1"/>
      <w:marLeft w:val="0"/>
      <w:marRight w:val="0"/>
      <w:marTop w:val="0"/>
      <w:marBottom w:val="0"/>
      <w:divBdr>
        <w:top w:val="none" w:sz="0" w:space="0" w:color="auto"/>
        <w:left w:val="none" w:sz="0" w:space="0" w:color="auto"/>
        <w:bottom w:val="none" w:sz="0" w:space="0" w:color="auto"/>
        <w:right w:val="none" w:sz="0" w:space="0" w:color="auto"/>
      </w:divBdr>
    </w:div>
    <w:div w:id="162438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wmca.org.uk/media/4871/wm-net-zero-fyp-summary-tech-report.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islington.gov.uk/~/media/sharepoint-lists/public%20records/Communications/Publicity/Publicconsultation/20192020/20200327IslingtonZeroCarbonStrategy2020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48EE5E6C787C4A9B14B4FA2D158499" ma:contentTypeVersion="13" ma:contentTypeDescription="Create a new document." ma:contentTypeScope="" ma:versionID="b2fde99b3b5a7827d17dd4aa1adb23b0">
  <xsd:schema xmlns:xsd="http://www.w3.org/2001/XMLSchema" xmlns:xs="http://www.w3.org/2001/XMLSchema" xmlns:p="http://schemas.microsoft.com/office/2006/metadata/properties" xmlns:ns2="e77465b7-ed91-478d-9eda-e9d07b844392" xmlns:ns3="4f62304d-8b1c-41ee-9285-d9af869f0443" targetNamespace="http://schemas.microsoft.com/office/2006/metadata/properties" ma:root="true" ma:fieldsID="ff927a8c85d950df8f5d404ac4e21f55" ns2:_="" ns3:_="">
    <xsd:import namespace="e77465b7-ed91-478d-9eda-e9d07b844392"/>
    <xsd:import namespace="4f62304d-8b1c-41ee-9285-d9af869f04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465b7-ed91-478d-9eda-e9d07b844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62304d-8b1c-41ee-9285-d9af869f04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82CE7A-70F0-45D0-984A-BE0C33660A4B}">
  <ds:schemaRefs>
    <ds:schemaRef ds:uri="http://schemas.microsoft.com/sharepoint/v3/contenttype/forms"/>
  </ds:schemaRefs>
</ds:datastoreItem>
</file>

<file path=customXml/itemProps2.xml><?xml version="1.0" encoding="utf-8"?>
<ds:datastoreItem xmlns:ds="http://schemas.openxmlformats.org/officeDocument/2006/customXml" ds:itemID="{B687B842-C010-4848-8B48-BDC5192C8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465b7-ed91-478d-9eda-e9d07b844392"/>
    <ds:schemaRef ds:uri="4f62304d-8b1c-41ee-9285-d9af869f04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DEBC5D-83E0-430D-B51A-D41272ACDC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9</Pages>
  <Words>4592</Words>
  <Characters>26175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30706</CharactersWithSpaces>
  <SharedDoc>false</SharedDoc>
  <HLinks>
    <vt:vector size="18" baseType="variant">
      <vt:variant>
        <vt:i4>6684799</vt:i4>
      </vt:variant>
      <vt:variant>
        <vt:i4>24</vt:i4>
      </vt:variant>
      <vt:variant>
        <vt:i4>0</vt:i4>
      </vt:variant>
      <vt:variant>
        <vt:i4>5</vt:i4>
      </vt:variant>
      <vt:variant>
        <vt:lpwstr>https://www.wmca.org.uk/media/4871/wm-net-zero-fyp-summary-tech-report.pdf</vt:lpwstr>
      </vt:variant>
      <vt:variant>
        <vt:lpwstr/>
      </vt:variant>
      <vt:variant>
        <vt:i4>3276844</vt:i4>
      </vt:variant>
      <vt:variant>
        <vt:i4>21</vt:i4>
      </vt:variant>
      <vt:variant>
        <vt:i4>0</vt:i4>
      </vt:variant>
      <vt:variant>
        <vt:i4>5</vt:i4>
      </vt:variant>
      <vt:variant>
        <vt:lpwstr>https://www.islington.gov.uk/~/media/sharepoint-lists/public records/Communications/Publicity/Publicconsultation/20192020/20200327IslingtonZeroCarbonStrategy20201</vt:lpwstr>
      </vt:variant>
      <vt:variant>
        <vt:lpwstr/>
      </vt:variant>
      <vt:variant>
        <vt:i4>5701742</vt:i4>
      </vt:variant>
      <vt:variant>
        <vt:i4>0</vt:i4>
      </vt:variant>
      <vt:variant>
        <vt:i4>0</vt:i4>
      </vt:variant>
      <vt:variant>
        <vt:i4>5</vt:i4>
      </vt:variant>
      <vt:variant>
        <vt:lpwstr>https://assets.publishing.service.gov.uk/government/uploads/system/uploads/attachment_data/file/891722/chp-route-to-2050-call-for-evidence.pdf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mwalker</dc:creator>
  <cp:keywords/>
  <dc:description/>
  <cp:lastModifiedBy>De Almeida Marques, Ana 4</cp:lastModifiedBy>
  <cp:revision>8</cp:revision>
  <cp:lastPrinted>2021-08-05T19:07:00Z</cp:lastPrinted>
  <dcterms:created xsi:type="dcterms:W3CDTF">2021-07-28T09:04:00Z</dcterms:created>
  <dcterms:modified xsi:type="dcterms:W3CDTF">2021-08-05T19:16:00Z</dcterms:modified>
</cp:coreProperties>
</file>