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F921F" w14:textId="18CA275D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Days of dabigatran</w:t>
      </w:r>
    </w:p>
    <w:p w14:paraId="7F471CE0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E4F6724" w14:textId="77777777" w:rsidR="0030144E" w:rsidRDefault="0030144E" w:rsidP="0030144E">
      <w:pPr>
        <w:shd w:val="clear" w:color="auto" w:fill="F5F8FA"/>
        <w:spacing w:line="308" w:lineRule="atLeast"/>
        <w:rPr>
          <w:rStyle w:val="Hyperlink"/>
          <w:rFonts w:ascii="Segoe UI" w:hAnsi="Segoe UI" w:cs="Segoe UI"/>
          <w:color w:val="38444D"/>
          <w:sz w:val="21"/>
          <w:szCs w:val="21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5734A1F9" w14:textId="77777777" w:rsidR="0030144E" w:rsidRDefault="0030144E" w:rsidP="0030144E">
      <w:pPr>
        <w:shd w:val="clear" w:color="auto" w:fill="F5F8FA"/>
        <w:spacing w:line="308" w:lineRule="atLeast"/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Dr Sharon Rees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1936BBC1" w14:textId="5E2483F0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22035557" w14:textId="77777777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7 days of </w:t>
      </w:r>
      <w:hyperlink r:id="rId5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>.</w:t>
      </w:r>
    </w:p>
    <w:p w14:paraId="5C630B74" w14:textId="77777777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63CD9CF9" w14:textId="127DB950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As the 1st new/non-vitamin K oral anti-coagulant (NOAC) in class &amp; the first warfarin alternative for 50 y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ea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rs, </w:t>
      </w:r>
      <w:hyperlink r:id="rId6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was licensed in the USA/UK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2010-11 for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treatment &amp; prevention of DVT/PE, prevention CVA/embolism in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atrial fibrillation if there is 1 or more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risk factor.</w:t>
      </w:r>
    </w:p>
    <w:p w14:paraId="45B408E9" w14:textId="77777777" w:rsidR="0030144E" w:rsidRDefault="0030144E" w:rsidP="0030144E">
      <w:pPr>
        <w:shd w:val="clear" w:color="auto" w:fill="F5F8FA"/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26C6A285" w14:textId="665853F6" w:rsidR="0030144E" w:rsidRDefault="0030144E" w:rsidP="0030144E">
      <w:pPr>
        <w:shd w:val="clear" w:color="auto" w:fill="F5F8FA"/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"https://pbs.twimg.com/profile_images/988741477550436352/eAE3suwB_bigger.jpg"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108F5CD3" wp14:editId="5B9E6367">
            <wp:extent cx="927100" cy="927100"/>
            <wp:effectExtent l="0" t="0" r="0" b="0"/>
            <wp:docPr id="6" name="Picture 6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2D5593EC" w14:textId="77777777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Dr Sharon Rees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471882C6" w14:textId="58B894A0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125DCF0F" w14:textId="3390223E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2: </w:t>
      </w:r>
      <w:hyperlink r:id="rId9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 direct thrombin inhibitor for adults, usually taken as 150mg capsule twice daily, unless dose reduction is needed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elderly &gt;75 y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ea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rs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or in moderate renal impairment when dose 110-150mg twice daily (not exhaustive)</w:t>
      </w:r>
    </w:p>
    <w:p w14:paraId="455E7B4C" w14:textId="77777777" w:rsidR="0030144E" w:rsidRDefault="0030144E" w:rsidP="0030144E">
      <w:pPr>
        <w:shd w:val="clear" w:color="auto" w:fill="F5F8FA"/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54ACF224" w14:textId="1CB9D17F" w:rsidR="0030144E" w:rsidRDefault="0030144E" w:rsidP="0030144E">
      <w:pPr>
        <w:shd w:val="clear" w:color="auto" w:fill="F5F8FA"/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"https://pbs.twimg.com/profile_images/988741477550436352/eAE3suwB_bigger.jpg"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66E8BA74" wp14:editId="4480D009">
            <wp:extent cx="927100" cy="927100"/>
            <wp:effectExtent l="0" t="0" r="0" b="0"/>
            <wp:docPr id="5" name="Picture 5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09D23FA0" w14:textId="77777777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Dr Sharon Rees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61DF89DB" w14:textId="4B425750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57B88141" w14:textId="1F6AFDDD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3: Kinetics: </w:t>
      </w:r>
      <w:hyperlink r:id="rId10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 prodrug; post oral absorption, plasma + liver hydrolases convert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it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to the active form. Food delays time to peak plasma conc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entration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There is some conjugation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converting to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active metabolites, but most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of the drug is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excreted unchanged, t ½ 12-14 hrs. t½ is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increased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in renal impairment</w:t>
      </w:r>
    </w:p>
    <w:p w14:paraId="72DBB961" w14:textId="77777777" w:rsidR="0030144E" w:rsidRDefault="0030144E" w:rsidP="0030144E">
      <w:pPr>
        <w:shd w:val="clear" w:color="auto" w:fill="F5F8FA"/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7263C4F5" w14:textId="4BB0E56D" w:rsidR="0030144E" w:rsidRDefault="0030144E" w:rsidP="0030144E">
      <w:pPr>
        <w:shd w:val="clear" w:color="auto" w:fill="F5F8FA"/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"https://pbs.twimg.com/profile_images/988741477550436352/eAE3suwB_bigger.jpg"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0945F000" wp14:editId="516FDE53">
            <wp:extent cx="927100" cy="927100"/>
            <wp:effectExtent l="0" t="0" r="0" b="0"/>
            <wp:docPr id="4" name="Picture 4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7887DB9E" w14:textId="77777777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Dr Sharon Rees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0F013CE7" w14:textId="1E24F2C3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3D8A312D" w14:textId="77777777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4: </w:t>
      </w:r>
      <w:hyperlink r:id="rId11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attaches to thrombin, as it looks like a peptide normally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hydrolysed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by thrombin as part of the coagulation cascade. Once bound, thrombin cannot perform its roles, such as converting fibrinogen to fibrin &amp; catalysis of many other coagulation cascade reactions</w:t>
      </w:r>
    </w:p>
    <w:p w14:paraId="060A7639" w14:textId="36C4BC86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</w:p>
    <w:p w14:paraId="5A66186F" w14:textId="6448B76D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lastRenderedPageBreak/>
        <w:t xml:space="preserve">Day 5: Adverse drug events; Common, abnormal hepatic function, bleeding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nose bleeds, Uncommon,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anaemia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>, nausea/vomiting, abdo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minal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pain (not exhaustive).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Check 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enal function check before starting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#dabigatran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&amp; min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imum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x1/year check for elderly. If overdose/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haemorrhage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, can reverse using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Praxbind</w:t>
      </w:r>
      <w:proofErr w:type="spellEnd"/>
    </w:p>
    <w:p w14:paraId="7D8F7F31" w14:textId="77777777" w:rsidR="0030144E" w:rsidRDefault="0030144E" w:rsidP="0030144E">
      <w:pPr>
        <w:shd w:val="clear" w:color="auto" w:fill="F5F8FA"/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050F711E" w14:textId="46229B22" w:rsidR="0030144E" w:rsidRDefault="0030144E" w:rsidP="0030144E">
      <w:pPr>
        <w:shd w:val="clear" w:color="auto" w:fill="F5F8FA"/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"https://pbs.twimg.com/profile_images/988741477550436352/eAE3suwB_bigger.jpg"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4CDA604F" wp14:editId="566D9CBB">
            <wp:extent cx="927100" cy="927100"/>
            <wp:effectExtent l="0" t="0" r="0" b="0"/>
            <wp:docPr id="2" name="Picture 2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3C73382E" w14:textId="77777777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Dr Sharon Rees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2B3F23F7" w14:textId="34812D55" w:rsidR="0030144E" w:rsidRDefault="0030144E" w:rsidP="0030144E">
      <w:pPr>
        <w:shd w:val="clear" w:color="auto" w:fill="F5F8FA"/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305379BF" w14:textId="090D5800" w:rsidR="0030144E" w:rsidRDefault="0030144E" w:rsidP="0030144E">
      <w:pPr>
        <w:pStyle w:val="js-tweet-text"/>
        <w:shd w:val="clear" w:color="auto" w:fill="F5F8FA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6: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Drug-drug interactions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; many ‘severe’ as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increased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bleeding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e.g.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anti-platelets, SSRIs, other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anti-coagulants,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NSAIDs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</w:t>
      </w:r>
      <w:hyperlink r:id="rId12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 P-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gp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transporter substrate; P-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gp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inhibitors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itraconazole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lead to increased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drug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conc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entration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There is reduced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drug exposure re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P-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gp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inducers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rifampicin, St John’s Wort, phenytoin, carbamazepine (not exhaustive)</w:t>
      </w:r>
    </w:p>
    <w:p w14:paraId="4A17E767" w14:textId="773C0D70" w:rsidR="0030144E" w:rsidRDefault="0030144E" w:rsidP="0030144E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noProof/>
          <w:color w:val="1DA1F2"/>
          <w:sz w:val="21"/>
          <w:szCs w:val="21"/>
        </w:rPr>
        <w:drawing>
          <wp:inline distT="0" distB="0" distL="0" distR="0" wp14:anchorId="70AD958E" wp14:editId="1111E99E">
            <wp:extent cx="927100" cy="927100"/>
            <wp:effectExtent l="0" t="0" r="0" b="0"/>
            <wp:docPr id="1" name="Picture 1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4724" w14:textId="77777777" w:rsidR="0030144E" w:rsidRDefault="0030144E" w:rsidP="0030144E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hyperlink r:id="rId13" w:tgtFrame="_blank" w:history="1">
        <w:r>
          <w:rPr>
            <w:rStyle w:val="Hyperlink"/>
            <w:rFonts w:ascii="Segoe UI" w:hAnsi="Segoe UI" w:cs="Segoe UI"/>
            <w:b/>
            <w:bCs/>
            <w:color w:val="38444D"/>
            <w:sz w:val="21"/>
            <w:szCs w:val="21"/>
          </w:rPr>
          <w:t>Dr Sharon Rees</w:t>
        </w:r>
      </w:hyperlink>
    </w:p>
    <w:p w14:paraId="5556F90F" w14:textId="77777777" w:rsidR="0030144E" w:rsidRDefault="0030144E" w:rsidP="0030144E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hyperlink r:id="rId14" w:tgtFrame="_blank" w:history="1">
        <w:r>
          <w:rPr>
            <w:rStyle w:val="username"/>
            <w:rFonts w:ascii="Segoe UI" w:hAnsi="Segoe UI" w:cs="Segoe UI"/>
            <w:color w:val="8899A6"/>
            <w:sz w:val="21"/>
            <w:szCs w:val="21"/>
          </w:rPr>
          <w:t>@reesprescribe</w:t>
        </w:r>
      </w:hyperlink>
    </w:p>
    <w:p w14:paraId="049D8B25" w14:textId="545D03B3" w:rsidR="0030144E" w:rsidRDefault="0030144E" w:rsidP="0030144E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7: When taking </w:t>
      </w:r>
      <w:hyperlink r:id="rId15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dabigatran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,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a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patient alert card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should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be carried. The NICE patient decision aid for atrial fibrillation can be used to support the clinician for this indication, as well as assist the patient-led selection of the best oral anti-coagulant for the individual</w:t>
      </w:r>
    </w:p>
    <w:p w14:paraId="33F86C69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D199B1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6B9C1D7" w14:textId="0F63C9DD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CPD: in addition to the tweets, read the BNF section on ‘Thromboembolism’ and the monograph on Dabigatran </w:t>
      </w:r>
      <w:proofErr w:type="spellStart"/>
      <w:r>
        <w:rPr>
          <w:rFonts w:asciiTheme="minorHAnsi" w:hAnsiTheme="minorHAnsi" w:cstheme="minorHAnsi"/>
        </w:rPr>
        <w:t>etexilate</w:t>
      </w:r>
      <w:proofErr w:type="spellEnd"/>
      <w:r>
        <w:rPr>
          <w:rFonts w:asciiTheme="minorHAnsi" w:hAnsiTheme="minorHAnsi" w:cstheme="minorHAnsi"/>
        </w:rPr>
        <w:t xml:space="preserve">. Another useful source is the Summary of Product Characteristics for dabigatran </w:t>
      </w:r>
      <w:proofErr w:type="spellStart"/>
      <w:r>
        <w:rPr>
          <w:rFonts w:asciiTheme="minorHAnsi" w:hAnsiTheme="minorHAnsi" w:cstheme="minorHAnsi"/>
        </w:rPr>
        <w:t>etexilate</w:t>
      </w:r>
      <w:proofErr w:type="spellEnd"/>
      <w:r>
        <w:rPr>
          <w:rFonts w:asciiTheme="minorHAnsi" w:hAnsiTheme="minorHAnsi" w:cstheme="minorHAnsi"/>
        </w:rPr>
        <w:t xml:space="preserve"> – see links below</w:t>
      </w:r>
    </w:p>
    <w:p w14:paraId="0243E2FA" w14:textId="01675370" w:rsidR="0030144E" w:rsidRDefault="0030144E" w:rsidP="0030144E">
      <w:pPr>
        <w:rPr>
          <w:rFonts w:asciiTheme="minorHAnsi" w:hAnsiTheme="minorHAnsi" w:cstheme="minorHAnsi"/>
        </w:rPr>
      </w:pPr>
    </w:p>
    <w:p w14:paraId="73F88F28" w14:textId="60D259D8" w:rsidR="0030144E" w:rsidRDefault="0030144E" w:rsidP="0030144E">
      <w:pPr>
        <w:rPr>
          <w:rFonts w:asciiTheme="minorHAnsi" w:hAnsiTheme="minorHAnsi" w:cstheme="minorHAnsi"/>
        </w:rPr>
      </w:pPr>
      <w:hyperlink r:id="rId16" w:history="1">
        <w:r w:rsidRPr="00CB62AA">
          <w:rPr>
            <w:rStyle w:val="Hyperlink"/>
            <w:rFonts w:asciiTheme="minorHAnsi" w:hAnsiTheme="minorHAnsi" w:cstheme="minorHAnsi"/>
          </w:rPr>
          <w:t>https://bnf.nice.org.uk/drug/dabigatran-etexilate.html</w:t>
        </w:r>
      </w:hyperlink>
    </w:p>
    <w:p w14:paraId="564A2078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6F4E0150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E953A59" w14:textId="77777777" w:rsidR="0030144E" w:rsidRDefault="0030144E" w:rsidP="0030144E">
      <w:pPr>
        <w:rPr>
          <w:rFonts w:asciiTheme="minorHAnsi" w:hAnsiTheme="minorHAnsi" w:cstheme="minorHAnsi"/>
        </w:rPr>
      </w:pPr>
      <w:hyperlink r:id="rId17" w:anchor="gref" w:history="1">
        <w:r w:rsidRPr="00EC019A">
          <w:rPr>
            <w:rStyle w:val="Hyperlink"/>
            <w:rFonts w:asciiTheme="minorHAnsi" w:hAnsiTheme="minorHAnsi" w:cstheme="minorHAnsi"/>
          </w:rPr>
          <w:t>https://www.medicines.org.uk/EMC/medicine/24839/SPC/Pradaxa+150+mg+hard+capsules#gref</w:t>
        </w:r>
      </w:hyperlink>
    </w:p>
    <w:p w14:paraId="5DEC2B8B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84F4AB6" w14:textId="77777777" w:rsidR="0030144E" w:rsidRPr="00061B6F" w:rsidRDefault="0030144E" w:rsidP="0030144E"/>
    <w:p w14:paraId="68B2E15E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CB3C19C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235146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E08DD58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526F13E2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504B83D6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2E123765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24F21271" w14:textId="7C0D8773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CPD questions (most but not all answers will be in the tweets). There is only one correct answer per question</w:t>
      </w:r>
    </w:p>
    <w:p w14:paraId="75BA4939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697F730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EF29A12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C0D6FC5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A859A20" w14:textId="77777777" w:rsidR="0030144E" w:rsidRPr="001D5F36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D5F36">
        <w:rPr>
          <w:rFonts w:asciiTheme="minorHAnsi" w:hAnsiTheme="minorHAnsi" w:cstheme="minorHAnsi"/>
        </w:rPr>
        <w:t>Dab</w:t>
      </w:r>
      <w:r>
        <w:rPr>
          <w:rFonts w:asciiTheme="minorHAnsi" w:hAnsiTheme="minorHAnsi" w:cstheme="minorHAnsi"/>
        </w:rPr>
        <w:t>igatran</w:t>
      </w:r>
      <w:r w:rsidRPr="001D5F36">
        <w:rPr>
          <w:rFonts w:asciiTheme="minorHAnsi" w:hAnsiTheme="minorHAnsi" w:cstheme="minorHAnsi"/>
        </w:rPr>
        <w:t xml:space="preserve"> is licensed for both treatment and prevention of DVT and PE</w:t>
      </w:r>
    </w:p>
    <w:p w14:paraId="7276BB5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FFE641B" w14:textId="0BE3F7D5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TRUE or FALSE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D5335C0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2C41EDB4" w14:textId="77777777" w:rsidR="0030144E" w:rsidRPr="001D5F36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D5F36">
        <w:rPr>
          <w:rFonts w:asciiTheme="minorHAnsi" w:hAnsiTheme="minorHAnsi" w:cstheme="minorHAnsi"/>
        </w:rPr>
        <w:t>Which is TRUE?</w:t>
      </w:r>
    </w:p>
    <w:p w14:paraId="7848DC0B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E2E810B" w14:textId="77777777" w:rsidR="0030144E" w:rsidRDefault="0030144E" w:rsidP="00301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Dabigatran is excreted whole therefore renal impairment increases plasma levels of active drug</w:t>
      </w:r>
    </w:p>
    <w:p w14:paraId="79193DF6" w14:textId="77777777" w:rsidR="0030144E" w:rsidRDefault="0030144E" w:rsidP="00301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Dabigatran is converted in the kidneys to its active form</w:t>
      </w:r>
    </w:p>
    <w:p w14:paraId="586B04B2" w14:textId="1D8C7A35" w:rsidR="0030144E" w:rsidRDefault="0030144E" w:rsidP="00301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Formulations of dabigatran are </w:t>
      </w:r>
      <w:r>
        <w:rPr>
          <w:rFonts w:asciiTheme="minorHAnsi" w:hAnsiTheme="minorHAnsi" w:cstheme="minorHAnsi"/>
        </w:rPr>
        <w:t xml:space="preserve">all </w:t>
      </w:r>
      <w:r>
        <w:rPr>
          <w:rFonts w:asciiTheme="minorHAnsi" w:hAnsiTheme="minorHAnsi" w:cstheme="minorHAnsi"/>
        </w:rPr>
        <w:t>parenteral</w:t>
      </w:r>
    </w:p>
    <w:p w14:paraId="1CA00419" w14:textId="77777777" w:rsidR="0030144E" w:rsidRDefault="0030144E" w:rsidP="00301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Metabolism via the CYP450 system </w:t>
      </w:r>
    </w:p>
    <w:p w14:paraId="41C9E7FB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B7D0214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55C5683F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13D0E75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‘N’ in the term NOAC is reported in the literature as meaning all of the following: new, novel or non-vitamin K antagonist ‘oral anti-coagulant’</w:t>
      </w:r>
    </w:p>
    <w:p w14:paraId="6E60629C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2B3FF26" w14:textId="3139098A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E500DAD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0297A84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Dose reduction is recommended in</w:t>
      </w:r>
    </w:p>
    <w:p w14:paraId="024E148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876ABE8" w14:textId="77777777" w:rsidR="0030144E" w:rsidRDefault="0030144E" w:rsidP="003014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Children</w:t>
      </w:r>
    </w:p>
    <w:p w14:paraId="4BAD987B" w14:textId="77777777" w:rsidR="0030144E" w:rsidRDefault="0030144E" w:rsidP="003014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Moderate liver failure</w:t>
      </w:r>
    </w:p>
    <w:p w14:paraId="5DBF962B" w14:textId="77777777" w:rsidR="0030144E" w:rsidRPr="00BE0240" w:rsidRDefault="0030144E" w:rsidP="0030144E">
      <w:pPr>
        <w:pStyle w:val="ListParagraph"/>
        <w:numPr>
          <w:ilvl w:val="0"/>
          <w:numId w:val="3"/>
        </w:numPr>
      </w:pPr>
      <w:r>
        <w:rPr>
          <w:rFonts w:ascii="Helvetica Neue" w:hAnsi="Helvetica Neue"/>
          <w:color w:val="0E0E0E"/>
          <w:shd w:val="clear" w:color="auto" w:fill="FFFFFF"/>
        </w:rPr>
        <w:t xml:space="preserve">Creatinine clearance </w:t>
      </w:r>
      <w:r w:rsidRPr="00BE0240">
        <w:rPr>
          <w:rFonts w:ascii="Helvetica Neue" w:hAnsi="Helvetica Neue"/>
          <w:color w:val="0E0E0E"/>
          <w:shd w:val="clear" w:color="auto" w:fill="FFFFFF"/>
        </w:rPr>
        <w:t>30–50 mL/minute</w:t>
      </w:r>
    </w:p>
    <w:p w14:paraId="19F0C4F8" w14:textId="77777777" w:rsidR="0030144E" w:rsidRPr="006F488D" w:rsidRDefault="0030144E" w:rsidP="0030144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Diabetes</w:t>
      </w:r>
    </w:p>
    <w:p w14:paraId="44C10D4C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B04C7E6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217570DD" w14:textId="77777777" w:rsidR="0030144E" w:rsidRDefault="0030144E" w:rsidP="0030144E">
      <w:pPr>
        <w:pStyle w:val="ListParagraph"/>
        <w:rPr>
          <w:rFonts w:asciiTheme="minorHAnsi" w:hAnsiTheme="minorHAnsi" w:cstheme="minorHAnsi"/>
        </w:rPr>
      </w:pPr>
    </w:p>
    <w:p w14:paraId="31778B81" w14:textId="77777777" w:rsidR="0030144E" w:rsidRDefault="0030144E" w:rsidP="0030144E">
      <w:pPr>
        <w:pStyle w:val="ListParagraph"/>
        <w:rPr>
          <w:rFonts w:asciiTheme="minorHAnsi" w:hAnsiTheme="minorHAnsi" w:cstheme="minorHAnsi"/>
        </w:rPr>
      </w:pPr>
    </w:p>
    <w:p w14:paraId="522F96B3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Dabigatran is an indirect prothrombin inhibitor</w:t>
      </w:r>
    </w:p>
    <w:p w14:paraId="06B52BC5" w14:textId="77777777" w:rsidR="0030144E" w:rsidRPr="00453A6D" w:rsidRDefault="0030144E" w:rsidP="0030144E">
      <w:pPr>
        <w:rPr>
          <w:rFonts w:asciiTheme="minorHAnsi" w:hAnsiTheme="minorHAnsi" w:cstheme="minorHAnsi"/>
        </w:rPr>
      </w:pPr>
    </w:p>
    <w:p w14:paraId="6F5CD6C4" w14:textId="77777777" w:rsidR="0030144E" w:rsidRPr="006F488D" w:rsidRDefault="0030144E" w:rsidP="0030144E">
      <w:pPr>
        <w:rPr>
          <w:rFonts w:asciiTheme="minorHAnsi" w:hAnsiTheme="minorHAnsi" w:cstheme="minorHAnsi"/>
        </w:rPr>
      </w:pPr>
    </w:p>
    <w:p w14:paraId="57A811DE" w14:textId="742FB524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5C24471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68C8983D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285394B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Thrombin is a proteolytic enzyme and when dabigatran attaches to it,</w:t>
      </w:r>
    </w:p>
    <w:p w14:paraId="7BF3E9F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57642636" w14:textId="77777777" w:rsidR="0030144E" w:rsidRDefault="0030144E" w:rsidP="003014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causes thrombin to auto-digest</w:t>
      </w:r>
    </w:p>
    <w:p w14:paraId="381AD257" w14:textId="77777777" w:rsidR="0030144E" w:rsidRDefault="0030144E" w:rsidP="003014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prevents thrombin from catalysing other substances</w:t>
      </w:r>
    </w:p>
    <w:p w14:paraId="78041C95" w14:textId="77777777" w:rsidR="0030144E" w:rsidRDefault="0030144E" w:rsidP="003014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sets off a chain reaction leading to the production of more clotting factors</w:t>
      </w:r>
    </w:p>
    <w:p w14:paraId="50C97D2F" w14:textId="77777777" w:rsidR="0030144E" w:rsidRDefault="0030144E" w:rsidP="0030144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directly breaks up fibrin strands</w:t>
      </w:r>
    </w:p>
    <w:p w14:paraId="5CD4540E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58A99113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18141CC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6C60D26" w14:textId="28FFC826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abigatran causes haemorrhage, the action of the drug cannot be reversed</w:t>
      </w:r>
    </w:p>
    <w:p w14:paraId="46F31CB5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7A1248A" w14:textId="77777777" w:rsidR="0030144E" w:rsidRPr="00381ECD" w:rsidRDefault="0030144E" w:rsidP="0030144E">
      <w:pPr>
        <w:rPr>
          <w:rFonts w:asciiTheme="minorHAnsi" w:hAnsiTheme="minorHAnsi" w:cstheme="minorHAnsi"/>
        </w:rPr>
      </w:pPr>
    </w:p>
    <w:p w14:paraId="7C03CBB3" w14:textId="77AE23FB" w:rsidR="0030144E" w:rsidRDefault="0030144E" w:rsidP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8AA7EC0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FCD54CD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33B4080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does NOT have an increased risk of bleeding when taken with dabigatran?</w:t>
      </w:r>
    </w:p>
    <w:p w14:paraId="13262414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3942C1E0" w14:textId="77777777" w:rsidR="0030144E" w:rsidRDefault="0030144E" w:rsidP="003014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Citalopram</w:t>
      </w:r>
    </w:p>
    <w:p w14:paraId="5114781B" w14:textId="77777777" w:rsidR="0030144E" w:rsidRDefault="0030144E" w:rsidP="003014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Clarithromycin</w:t>
      </w:r>
    </w:p>
    <w:p w14:paraId="19507376" w14:textId="77777777" w:rsidR="0030144E" w:rsidRDefault="0030144E" w:rsidP="003014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Ibuprofen </w:t>
      </w:r>
    </w:p>
    <w:p w14:paraId="3E6A2C91" w14:textId="77777777" w:rsidR="0030144E" w:rsidRDefault="0030144E" w:rsidP="0030144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 John’s Wort</w:t>
      </w:r>
    </w:p>
    <w:p w14:paraId="0A3C8115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3FE6430A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7FA6A468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36FE1874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Renal impairment is an issue with dabigatran use because most of the drug is excreted unchanged </w:t>
      </w:r>
    </w:p>
    <w:p w14:paraId="4CFCD88E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1B0CA531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F2A07F7" w14:textId="6EA74DA4" w:rsidR="0030144E" w:rsidRDefault="0030144E" w:rsidP="0030144E">
      <w:pPr>
        <w:rPr>
          <w:rFonts w:asciiTheme="minorHAnsi" w:hAnsiTheme="minorHAnsi" w:cstheme="minorHAnsi"/>
        </w:rPr>
      </w:pPr>
      <w:r w:rsidRPr="00451E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A806D4B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4BED9290" w14:textId="77777777" w:rsidR="0030144E" w:rsidRDefault="0030144E" w:rsidP="003014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Nausea and vomiting are common side-effects of dabigatran</w:t>
      </w:r>
    </w:p>
    <w:p w14:paraId="741C809E" w14:textId="77777777" w:rsidR="0030144E" w:rsidRDefault="0030144E" w:rsidP="0030144E">
      <w:pPr>
        <w:rPr>
          <w:rFonts w:asciiTheme="minorHAnsi" w:hAnsiTheme="minorHAnsi" w:cstheme="minorHAnsi"/>
        </w:rPr>
      </w:pPr>
    </w:p>
    <w:p w14:paraId="047F133B" w14:textId="77777777" w:rsidR="0030144E" w:rsidRPr="00EB0243" w:rsidRDefault="0030144E" w:rsidP="0030144E">
      <w:pPr>
        <w:rPr>
          <w:rFonts w:asciiTheme="minorHAnsi" w:hAnsiTheme="minorHAnsi" w:cstheme="minorHAnsi"/>
        </w:rPr>
      </w:pPr>
    </w:p>
    <w:p w14:paraId="2F444807" w14:textId="1F68551D" w:rsidR="00E665ED" w:rsidRPr="00CA4480" w:rsidRDefault="00301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</w:p>
    <w:sectPr w:rsidR="00E665ED" w:rsidRPr="00CA4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831"/>
    <w:multiLevelType w:val="hybridMultilevel"/>
    <w:tmpl w:val="DC6834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A97"/>
    <w:multiLevelType w:val="hybridMultilevel"/>
    <w:tmpl w:val="6FC08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0F82"/>
    <w:multiLevelType w:val="multilevel"/>
    <w:tmpl w:val="3B5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16C5F"/>
    <w:multiLevelType w:val="multilevel"/>
    <w:tmpl w:val="6DDA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F7205"/>
    <w:multiLevelType w:val="hybridMultilevel"/>
    <w:tmpl w:val="980222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7E74"/>
    <w:multiLevelType w:val="hybridMultilevel"/>
    <w:tmpl w:val="A5B247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0DAD"/>
    <w:multiLevelType w:val="multilevel"/>
    <w:tmpl w:val="B7CE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7144A"/>
    <w:multiLevelType w:val="multilevel"/>
    <w:tmpl w:val="FCB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6206D"/>
    <w:multiLevelType w:val="multilevel"/>
    <w:tmpl w:val="5ED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46C1C"/>
    <w:multiLevelType w:val="multilevel"/>
    <w:tmpl w:val="61C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A1E4D"/>
    <w:multiLevelType w:val="hybridMultilevel"/>
    <w:tmpl w:val="914221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E"/>
    <w:rsid w:val="0030144E"/>
    <w:rsid w:val="00CA4480"/>
    <w:rsid w:val="00E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B030B"/>
  <w15:chartTrackingRefBased/>
  <w15:docId w15:val="{CA276930-4ADD-354B-8EDF-8C6E84CF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4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4E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0144E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30144E"/>
  </w:style>
  <w:style w:type="character" w:customStyle="1" w:styleId="username">
    <w:name w:val="username"/>
    <w:basedOn w:val="DefaultParagraphFont"/>
    <w:rsid w:val="0030144E"/>
  </w:style>
  <w:style w:type="paragraph" w:customStyle="1" w:styleId="js-tweet-text">
    <w:name w:val="js-tweet-text"/>
    <w:basedOn w:val="Normal"/>
    <w:rsid w:val="0030144E"/>
    <w:pPr>
      <w:spacing w:before="100" w:beforeAutospacing="1" w:after="100" w:afterAutospacing="1"/>
    </w:pPr>
  </w:style>
  <w:style w:type="character" w:customStyle="1" w:styleId="hash">
    <w:name w:val="hash"/>
    <w:basedOn w:val="DefaultParagraphFont"/>
    <w:rsid w:val="0030144E"/>
  </w:style>
  <w:style w:type="character" w:customStyle="1" w:styleId="link-complex-target">
    <w:name w:val="link-complex-target"/>
    <w:basedOn w:val="DefaultParagraphFont"/>
    <w:rsid w:val="0030144E"/>
  </w:style>
  <w:style w:type="paragraph" w:customStyle="1" w:styleId="tweet-action-item">
    <w:name w:val="tweet-action-item"/>
    <w:basedOn w:val="Normal"/>
    <w:rsid w:val="0030144E"/>
    <w:pPr>
      <w:spacing w:before="100" w:beforeAutospacing="1" w:after="100" w:afterAutospacing="1"/>
    </w:pPr>
  </w:style>
  <w:style w:type="character" w:customStyle="1" w:styleId="pull-right">
    <w:name w:val="pull-right"/>
    <w:basedOn w:val="DefaultParagraphFont"/>
    <w:rsid w:val="0030144E"/>
  </w:style>
  <w:style w:type="character" w:customStyle="1" w:styleId="is-vishidden">
    <w:name w:val="is-vishidden"/>
    <w:basedOn w:val="DefaultParagraphFont"/>
    <w:rsid w:val="0030144E"/>
  </w:style>
  <w:style w:type="character" w:styleId="FollowedHyperlink">
    <w:name w:val="FollowedHyperlink"/>
    <w:basedOn w:val="DefaultParagraphFont"/>
    <w:uiPriority w:val="99"/>
    <w:semiHidden/>
    <w:unhideWhenUsed/>
    <w:rsid w:val="003014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3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766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5564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724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088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169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reesprescri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reesprescribe" TargetMode="External"/><Relationship Id="rId12" Type="http://schemas.openxmlformats.org/officeDocument/2006/relationships/hyperlink" Target="https://twitter.com/search?q=%23dabigatran" TargetMode="External"/><Relationship Id="rId17" Type="http://schemas.openxmlformats.org/officeDocument/2006/relationships/hyperlink" Target="https://www.medicines.org.uk/EMC/medicine/24839/SPC/Pradaxa+150+mg+hard+caps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nf.nice.org.uk/drug/dabigatran-etexilat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dabigatran" TargetMode="External"/><Relationship Id="rId11" Type="http://schemas.openxmlformats.org/officeDocument/2006/relationships/hyperlink" Target="https://twitter.com/search?q=%23dabigatran" TargetMode="External"/><Relationship Id="rId5" Type="http://schemas.openxmlformats.org/officeDocument/2006/relationships/hyperlink" Target="https://twitter.com/search?q=%23dabigatran" TargetMode="External"/><Relationship Id="rId15" Type="http://schemas.openxmlformats.org/officeDocument/2006/relationships/hyperlink" Target="https://twitter.com/search?q=%23dabigatran" TargetMode="External"/><Relationship Id="rId10" Type="http://schemas.openxmlformats.org/officeDocument/2006/relationships/hyperlink" Target="https://twitter.com/search?q=%23dabigatr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dabigatran" TargetMode="External"/><Relationship Id="rId14" Type="http://schemas.openxmlformats.org/officeDocument/2006/relationships/hyperlink" Target="https://twitter.com/reespresc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1</cp:revision>
  <dcterms:created xsi:type="dcterms:W3CDTF">2020-10-09T15:25:00Z</dcterms:created>
  <dcterms:modified xsi:type="dcterms:W3CDTF">2020-10-09T15:36:00Z</dcterms:modified>
</cp:coreProperties>
</file>