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1C56" w14:textId="2915970C" w:rsidR="00520C87" w:rsidRPr="00011FE4" w:rsidRDefault="00520C87" w:rsidP="005F2503">
      <w:pPr>
        <w:spacing w:line="360" w:lineRule="auto"/>
        <w:jc w:val="center"/>
      </w:pPr>
      <w:r w:rsidRPr="00011FE4">
        <w:rPr>
          <w:b/>
        </w:rPr>
        <w:t>Universal Design for Learning (UDL) in Higher Education: A UK, USA comparison.</w:t>
      </w:r>
    </w:p>
    <w:p w14:paraId="75D70D3D" w14:textId="45DCA2C8" w:rsidR="00520C87" w:rsidRPr="00011FE4" w:rsidRDefault="00520C87" w:rsidP="00235691">
      <w:pPr>
        <w:pStyle w:val="Heading2"/>
        <w:rPr>
          <w:rFonts w:cs="Arial"/>
          <w:sz w:val="24"/>
          <w:szCs w:val="24"/>
        </w:rPr>
      </w:pPr>
      <w:bookmarkStart w:id="0" w:name="_Toc6146116"/>
      <w:r w:rsidRPr="00011FE4">
        <w:rPr>
          <w:rFonts w:cs="Arial"/>
          <w:sz w:val="24"/>
          <w:szCs w:val="24"/>
        </w:rPr>
        <w:t>Author and Affiliation</w:t>
      </w:r>
      <w:bookmarkEnd w:id="0"/>
    </w:p>
    <w:p w14:paraId="5623DFAF" w14:textId="73EA1C31" w:rsidR="00520C87" w:rsidRPr="00011FE4" w:rsidRDefault="00520C87" w:rsidP="00235691">
      <w:r w:rsidRPr="00011FE4">
        <w:t>Professor Nicola Martin, London South Bank University.</w:t>
      </w:r>
    </w:p>
    <w:bookmarkStart w:id="1" w:name="_Toc7006862"/>
    <w:p w14:paraId="369C9B2C" w14:textId="0CD8DAD9" w:rsidR="00045A38" w:rsidRPr="00011FE4" w:rsidRDefault="00045A38" w:rsidP="00235691">
      <w:pPr>
        <w:pStyle w:val="Heading2"/>
        <w:rPr>
          <w:rFonts w:cs="Arial"/>
          <w:sz w:val="24"/>
          <w:szCs w:val="24"/>
        </w:rPr>
      </w:pPr>
      <w:r w:rsidRPr="00011FE4">
        <w:rPr>
          <w:rFonts w:cs="Arial"/>
          <w:sz w:val="24"/>
          <w:szCs w:val="24"/>
        </w:rPr>
        <w:fldChar w:fldCharType="begin"/>
      </w:r>
      <w:r w:rsidRPr="00011FE4">
        <w:rPr>
          <w:rFonts w:cs="Arial"/>
          <w:sz w:val="24"/>
          <w:szCs w:val="24"/>
        </w:rPr>
        <w:instrText xml:space="preserve"> HYPERLINK "mailto:Martinn4@lsbu.ac.uk" </w:instrText>
      </w:r>
      <w:r w:rsidRPr="00011FE4">
        <w:rPr>
          <w:rFonts w:cs="Arial"/>
          <w:sz w:val="24"/>
          <w:szCs w:val="24"/>
        </w:rPr>
        <w:fldChar w:fldCharType="separate"/>
      </w:r>
      <w:r w:rsidRPr="00011FE4">
        <w:rPr>
          <w:rStyle w:val="Hyperlink"/>
          <w:rFonts w:cs="Arial"/>
          <w:sz w:val="24"/>
          <w:szCs w:val="24"/>
        </w:rPr>
        <w:t>Martinn4@lsbu.ac.uk</w:t>
      </w:r>
      <w:r w:rsidRPr="00011FE4">
        <w:rPr>
          <w:rFonts w:cs="Arial"/>
          <w:sz w:val="24"/>
          <w:szCs w:val="24"/>
        </w:rPr>
        <w:fldChar w:fldCharType="end"/>
      </w:r>
    </w:p>
    <w:p w14:paraId="2768ED1F" w14:textId="0EC4FFF9" w:rsidR="00BE7BF7" w:rsidRPr="00011FE4" w:rsidRDefault="00BE7BF7" w:rsidP="00235691">
      <w:pPr>
        <w:pStyle w:val="Heading2"/>
        <w:rPr>
          <w:rFonts w:cs="Arial"/>
          <w:sz w:val="24"/>
          <w:szCs w:val="24"/>
        </w:rPr>
      </w:pPr>
      <w:r w:rsidRPr="00011FE4">
        <w:rPr>
          <w:rFonts w:cs="Arial"/>
          <w:sz w:val="24"/>
          <w:szCs w:val="24"/>
        </w:rPr>
        <w:t>Abstract</w:t>
      </w:r>
      <w:bookmarkEnd w:id="1"/>
    </w:p>
    <w:p w14:paraId="7916D5FC" w14:textId="233DD207" w:rsidR="00BA4973" w:rsidRPr="00011FE4" w:rsidRDefault="0071669A" w:rsidP="009D58E5">
      <w:r w:rsidRPr="00011FE4">
        <w:t>U</w:t>
      </w:r>
      <w:r w:rsidR="009D58E5" w:rsidRPr="00011FE4">
        <w:t>niversal design for learning (UDL</w:t>
      </w:r>
      <w:proofErr w:type="gramStart"/>
      <w:r w:rsidR="009D58E5" w:rsidRPr="00011FE4">
        <w:t>)</w:t>
      </w:r>
      <w:r w:rsidR="005C092A" w:rsidRPr="00011FE4">
        <w:t>,</w:t>
      </w:r>
      <w:r w:rsidR="009D58E5" w:rsidRPr="00011FE4">
        <w:t>and</w:t>
      </w:r>
      <w:proofErr w:type="gramEnd"/>
      <w:r w:rsidR="009D58E5" w:rsidRPr="00011FE4">
        <w:t xml:space="preserve"> related ideas</w:t>
      </w:r>
      <w:r w:rsidR="00D30544" w:rsidRPr="00011FE4">
        <w:t>,</w:t>
      </w:r>
      <w:r w:rsidR="00422D64" w:rsidRPr="00011FE4">
        <w:t xml:space="preserve"> similarly</w:t>
      </w:r>
      <w:r w:rsidR="006669AD" w:rsidRPr="00011FE4">
        <w:t xml:space="preserve"> involving planning for</w:t>
      </w:r>
      <w:r w:rsidR="00441161" w:rsidRPr="00011FE4">
        <w:t xml:space="preserve"> widening participation and </w:t>
      </w:r>
      <w:r w:rsidR="006669AD" w:rsidRPr="00011FE4">
        <w:t xml:space="preserve"> </w:t>
      </w:r>
      <w:r w:rsidR="00FF29EE" w:rsidRPr="00011FE4">
        <w:t>diversity</w:t>
      </w:r>
      <w:r w:rsidR="00FC7660" w:rsidRPr="00011FE4">
        <w:t xml:space="preserve"> in higher education</w:t>
      </w:r>
      <w:r w:rsidR="00FF29EE" w:rsidRPr="00011FE4">
        <w:t>, are</w:t>
      </w:r>
      <w:r w:rsidRPr="00011FE4">
        <w:t xml:space="preserve"> discussed </w:t>
      </w:r>
      <w:r w:rsidR="00270B4C" w:rsidRPr="00011FE4">
        <w:t>here</w:t>
      </w:r>
      <w:r w:rsidR="002458B7" w:rsidRPr="00011FE4">
        <w:t xml:space="preserve"> with reference to relevant literature</w:t>
      </w:r>
      <w:r w:rsidR="00F226F1" w:rsidRPr="00011FE4">
        <w:t>,</w:t>
      </w:r>
      <w:r w:rsidR="002458B7" w:rsidRPr="00011FE4">
        <w:t xml:space="preserve"> and primary research</w:t>
      </w:r>
      <w:r w:rsidR="00976158" w:rsidRPr="00011FE4">
        <w:t xml:space="preserve"> conducted prior to the </w:t>
      </w:r>
      <w:r w:rsidR="00FA5BE4" w:rsidRPr="00011FE4">
        <w:t>Covid 19 crisis</w:t>
      </w:r>
      <w:r w:rsidR="009D495D" w:rsidRPr="00011FE4">
        <w:t>.</w:t>
      </w:r>
      <w:r w:rsidR="00BA4973" w:rsidRPr="00011FE4">
        <w:t xml:space="preserve"> </w:t>
      </w:r>
      <w:r w:rsidR="0036549C" w:rsidRPr="00011FE4">
        <w:t xml:space="preserve"> Participants included s</w:t>
      </w:r>
      <w:r w:rsidR="00FC7660" w:rsidRPr="00011FE4">
        <w:t>elf-selecting student and staff from four English and four American universities, and members of a UK professional organisation of university disability practitioners</w:t>
      </w:r>
      <w:r w:rsidR="0036549C" w:rsidRPr="00011FE4">
        <w:t>.</w:t>
      </w:r>
      <w:r w:rsidR="00FC7660" w:rsidRPr="00011FE4">
        <w:t xml:space="preserve">  Contributors were self-confessed UDL enthusiasts but generally regarded embedding the practices as complex.</w:t>
      </w:r>
      <w:r w:rsidR="00A14968" w:rsidRPr="00011FE4">
        <w:t xml:space="preserve"> </w:t>
      </w:r>
      <w:r w:rsidR="00BA4973" w:rsidRPr="00011FE4">
        <w:t>C</w:t>
      </w:r>
      <w:r w:rsidR="009D58E5" w:rsidRPr="00011FE4">
        <w:t>omparison</w:t>
      </w:r>
      <w:r w:rsidR="00BA4973" w:rsidRPr="00011FE4">
        <w:t xml:space="preserve"> between institutions and nations </w:t>
      </w:r>
      <w:r w:rsidR="00EF11BE" w:rsidRPr="00011FE4">
        <w:t>was found to be</w:t>
      </w:r>
      <w:r w:rsidR="00BA4973" w:rsidRPr="00011FE4">
        <w:t xml:space="preserve"> difficult</w:t>
      </w:r>
      <w:r w:rsidR="00577F3E" w:rsidRPr="00011FE4">
        <w:t>,</w:t>
      </w:r>
      <w:r w:rsidRPr="00011FE4">
        <w:t xml:space="preserve"> </w:t>
      </w:r>
      <w:r w:rsidR="00FF29EE" w:rsidRPr="00011FE4">
        <w:t>partly because</w:t>
      </w:r>
      <w:r w:rsidRPr="00011FE4">
        <w:t xml:space="preserve"> </w:t>
      </w:r>
      <w:r w:rsidR="005F6487" w:rsidRPr="00011FE4">
        <w:t xml:space="preserve">of </w:t>
      </w:r>
      <w:r w:rsidR="00FF29EE" w:rsidRPr="00011FE4">
        <w:t>patch</w:t>
      </w:r>
      <w:r w:rsidR="005F6487" w:rsidRPr="00011FE4">
        <w:t>y research</w:t>
      </w:r>
      <w:r w:rsidR="006669AD" w:rsidRPr="00011FE4">
        <w:t xml:space="preserve"> </w:t>
      </w:r>
      <w:r w:rsidR="006C4B9F" w:rsidRPr="00011FE4">
        <w:t>evidence and</w:t>
      </w:r>
      <w:r w:rsidR="006669AD" w:rsidRPr="00011FE4">
        <w:t xml:space="preserve"> </w:t>
      </w:r>
      <w:r w:rsidR="009D58E5" w:rsidRPr="00011FE4">
        <w:t xml:space="preserve">lack of </w:t>
      </w:r>
      <w:proofErr w:type="gramStart"/>
      <w:r w:rsidR="009D58E5" w:rsidRPr="00011FE4">
        <w:t>sector</w:t>
      </w:r>
      <w:r w:rsidR="00577F3E" w:rsidRPr="00011FE4">
        <w:t>-</w:t>
      </w:r>
      <w:r w:rsidR="009D58E5" w:rsidRPr="00011FE4">
        <w:t>wide</w:t>
      </w:r>
      <w:proofErr w:type="gramEnd"/>
      <w:r w:rsidR="009D58E5" w:rsidRPr="00011FE4">
        <w:t xml:space="preserve"> </w:t>
      </w:r>
      <w:r w:rsidR="00096D93" w:rsidRPr="00011FE4">
        <w:t xml:space="preserve">UDL </w:t>
      </w:r>
      <w:r w:rsidR="009D58E5" w:rsidRPr="00011FE4">
        <w:t>baselines</w:t>
      </w:r>
      <w:r w:rsidR="00096D93" w:rsidRPr="00011FE4">
        <w:t>.</w:t>
      </w:r>
      <w:r w:rsidR="006669AD" w:rsidRPr="00011FE4">
        <w:t xml:space="preserve"> </w:t>
      </w:r>
      <w:r w:rsidR="009D58E5" w:rsidRPr="00011FE4">
        <w:t xml:space="preserve"> </w:t>
      </w:r>
      <w:r w:rsidR="00FF29EE" w:rsidRPr="00011FE4">
        <w:t>Various workable</w:t>
      </w:r>
      <w:r w:rsidR="00096D93" w:rsidRPr="00011FE4">
        <w:t xml:space="preserve"> suggestions </w:t>
      </w:r>
      <w:r w:rsidR="007D7B96" w:rsidRPr="00011FE4">
        <w:t xml:space="preserve">which arose </w:t>
      </w:r>
      <w:r w:rsidR="00096D93" w:rsidRPr="00011FE4">
        <w:t>includ</w:t>
      </w:r>
      <w:r w:rsidR="00217B3F" w:rsidRPr="00011FE4">
        <w:t>ed</w:t>
      </w:r>
      <w:r w:rsidR="00D93346" w:rsidRPr="00011FE4">
        <w:t>:</w:t>
      </w:r>
      <w:r w:rsidR="00217B3F" w:rsidRPr="00011FE4">
        <w:t xml:space="preserve"> </w:t>
      </w:r>
      <w:r w:rsidR="00CA38CF" w:rsidRPr="00011FE4">
        <w:t xml:space="preserve">senior level </w:t>
      </w:r>
      <w:r w:rsidR="005F6487" w:rsidRPr="00011FE4">
        <w:t xml:space="preserve">and stakeholder </w:t>
      </w:r>
      <w:r w:rsidR="00CA38CF" w:rsidRPr="00011FE4">
        <w:t>buy</w:t>
      </w:r>
      <w:r w:rsidR="00577F3E" w:rsidRPr="00011FE4">
        <w:t>-</w:t>
      </w:r>
      <w:r w:rsidR="00CA38CF" w:rsidRPr="00011FE4">
        <w:t>in</w:t>
      </w:r>
      <w:r w:rsidR="005F6487" w:rsidRPr="00011FE4">
        <w:t xml:space="preserve"> to</w:t>
      </w:r>
      <w:r w:rsidR="00CA38CF" w:rsidRPr="00011FE4">
        <w:t xml:space="preserve"> </w:t>
      </w:r>
      <w:r w:rsidR="005F6487" w:rsidRPr="00011FE4">
        <w:t xml:space="preserve">planned longitudinal </w:t>
      </w:r>
      <w:r w:rsidR="00CA38CF" w:rsidRPr="00011FE4">
        <w:t xml:space="preserve">cultural change, </w:t>
      </w:r>
      <w:r w:rsidR="00217B3F" w:rsidRPr="00011FE4">
        <w:t xml:space="preserve">leaning heavily on equalities </w:t>
      </w:r>
      <w:r w:rsidR="00FF29EE" w:rsidRPr="00011FE4">
        <w:t>legislation, embedding</w:t>
      </w:r>
      <w:r w:rsidR="00096D93" w:rsidRPr="00011FE4">
        <w:t xml:space="preserve"> accessible technology</w:t>
      </w:r>
      <w:r w:rsidR="005F6487" w:rsidRPr="00011FE4">
        <w:t>,</w:t>
      </w:r>
      <w:r w:rsidR="00096D93" w:rsidRPr="00011FE4">
        <w:t xml:space="preserve"> equipping students with information about how to access sources of support easily</w:t>
      </w:r>
      <w:r w:rsidR="005F6487" w:rsidRPr="00011FE4">
        <w:t>, and building in staff development</w:t>
      </w:r>
      <w:r w:rsidR="00096D93" w:rsidRPr="00011FE4">
        <w:t>.</w:t>
      </w:r>
      <w:r w:rsidR="00BA4973" w:rsidRPr="00011FE4">
        <w:t xml:space="preserve"> </w:t>
      </w:r>
      <w:r w:rsidR="003B6B15" w:rsidRPr="00011FE4">
        <w:t>These are presented here in bullet point form with the aim of creating a useful document which can be used</w:t>
      </w:r>
      <w:r w:rsidRPr="00011FE4">
        <w:t xml:space="preserve"> </w:t>
      </w:r>
      <w:r w:rsidR="003B6B15" w:rsidRPr="00011FE4">
        <w:t>to progress the UDL agenda.</w:t>
      </w:r>
      <w:r w:rsidR="002041EA" w:rsidRPr="00011FE4">
        <w:t xml:space="preserve"> Next steps are considered</w:t>
      </w:r>
      <w:r w:rsidR="00D93643" w:rsidRPr="00011FE4">
        <w:t xml:space="preserve"> tentatively given the uncertainties surrounding the currently raging global pandemic</w:t>
      </w:r>
      <w:proofErr w:type="gramStart"/>
      <w:r w:rsidR="00F226F1" w:rsidRPr="00011FE4">
        <w:t>.</w:t>
      </w:r>
      <w:r w:rsidR="00FA5BE4" w:rsidRPr="00011FE4">
        <w:t xml:space="preserve"> </w:t>
      </w:r>
      <w:r w:rsidR="00682E6E" w:rsidRPr="00011FE4">
        <w:t>.</w:t>
      </w:r>
      <w:proofErr w:type="gramEnd"/>
    </w:p>
    <w:p w14:paraId="22C4CC6E" w14:textId="6637E99C" w:rsidR="00096D93" w:rsidRPr="00011FE4" w:rsidRDefault="00096D93" w:rsidP="009D58E5">
      <w:pPr>
        <w:rPr>
          <w:b/>
        </w:rPr>
      </w:pPr>
      <w:r w:rsidRPr="00011FE4">
        <w:rPr>
          <w:b/>
        </w:rPr>
        <w:t>Points of Interest</w:t>
      </w:r>
    </w:p>
    <w:p w14:paraId="0A09F518" w14:textId="0E6BDC27" w:rsidR="00096D93" w:rsidRPr="00011FE4" w:rsidRDefault="00096D93" w:rsidP="009D58E5">
      <w:r w:rsidRPr="00011FE4">
        <w:t>University UDL is relevant beyond the disabled student population.</w:t>
      </w:r>
    </w:p>
    <w:p w14:paraId="4D1E3EE1" w14:textId="12FFB0B0" w:rsidR="00096D93" w:rsidRPr="00011FE4" w:rsidRDefault="00096D93" w:rsidP="009D58E5">
      <w:r w:rsidRPr="00011FE4">
        <w:t>Teaching</w:t>
      </w:r>
      <w:r w:rsidR="00D57658" w:rsidRPr="00011FE4">
        <w:t>,</w:t>
      </w:r>
      <w:r w:rsidRPr="00011FE4">
        <w:t xml:space="preserve"> </w:t>
      </w:r>
      <w:proofErr w:type="gramStart"/>
      <w:r w:rsidRPr="00011FE4">
        <w:t>learning</w:t>
      </w:r>
      <w:proofErr w:type="gramEnd"/>
      <w:r w:rsidR="00D57658" w:rsidRPr="00011FE4">
        <w:t xml:space="preserve"> and students are</w:t>
      </w:r>
      <w:r w:rsidRPr="00011FE4">
        <w:t xml:space="preserve"> only part of the UDL story. </w:t>
      </w:r>
    </w:p>
    <w:p w14:paraId="4C929A85" w14:textId="2DA0CF67" w:rsidR="00096D93" w:rsidRPr="00011FE4" w:rsidRDefault="00096D93" w:rsidP="009D58E5">
      <w:r w:rsidRPr="00011FE4">
        <w:t>Good UDL practice is cognisant of the idea of belonging.</w:t>
      </w:r>
    </w:p>
    <w:p w14:paraId="4AC7D94B" w14:textId="739E97F2" w:rsidR="00096D93" w:rsidRPr="00011FE4" w:rsidRDefault="00096D93" w:rsidP="009D58E5">
      <w:r w:rsidRPr="00011FE4">
        <w:t>Senior leadership buy</w:t>
      </w:r>
      <w:r w:rsidR="00577F3E" w:rsidRPr="00011FE4">
        <w:t>-</w:t>
      </w:r>
      <w:r w:rsidRPr="00011FE4">
        <w:t>in is essential for UDL to work across an institution rather than in pockets.</w:t>
      </w:r>
    </w:p>
    <w:p w14:paraId="379DAFF6" w14:textId="0D416675" w:rsidR="00096D93" w:rsidRPr="00011FE4" w:rsidRDefault="00096D93" w:rsidP="009D58E5">
      <w:r w:rsidRPr="00011FE4">
        <w:t>Comparison of UDL practices across institutions is difficult without benchmarking information.</w:t>
      </w:r>
    </w:p>
    <w:p w14:paraId="21044749" w14:textId="119FC26B" w:rsidR="00096D93" w:rsidRPr="00011FE4" w:rsidRDefault="00CB2569" w:rsidP="009D58E5">
      <w:r w:rsidRPr="00011FE4">
        <w:t xml:space="preserve">Some practical </w:t>
      </w:r>
      <w:r w:rsidR="00FF29EE" w:rsidRPr="00011FE4">
        <w:t>solutions</w:t>
      </w:r>
      <w:r w:rsidRPr="00011FE4">
        <w:t xml:space="preserve"> are relatively simple</w:t>
      </w:r>
      <w:r w:rsidR="00612096" w:rsidRPr="00011FE4">
        <w:t>,</w:t>
      </w:r>
      <w:r w:rsidRPr="00011FE4">
        <w:t xml:space="preserve"> and involve making individualised practices </w:t>
      </w:r>
      <w:r w:rsidR="00D57658" w:rsidRPr="00011FE4">
        <w:t xml:space="preserve">aimed at disabled </w:t>
      </w:r>
      <w:r w:rsidR="006C4B9F" w:rsidRPr="00011FE4">
        <w:t>students more</w:t>
      </w:r>
      <w:r w:rsidRPr="00011FE4">
        <w:t xml:space="preserve"> broadly available.</w:t>
      </w:r>
    </w:p>
    <w:p w14:paraId="38F24808" w14:textId="21E63FAC" w:rsidR="00B07CC3" w:rsidRPr="00011FE4" w:rsidRDefault="00B07CC3" w:rsidP="009D58E5">
      <w:r w:rsidRPr="00011FE4">
        <w:t>Covid 19 has, to an extent</w:t>
      </w:r>
      <w:r w:rsidR="00E96D11" w:rsidRPr="00011FE4">
        <w:t>, forced aspects of the UDL agenda</w:t>
      </w:r>
    </w:p>
    <w:p w14:paraId="78B9602E" w14:textId="62691F80" w:rsidR="00CB2569" w:rsidRPr="00011FE4" w:rsidRDefault="00CB2569" w:rsidP="009D58E5">
      <w:pPr>
        <w:rPr>
          <w:b/>
        </w:rPr>
      </w:pPr>
      <w:r w:rsidRPr="00011FE4">
        <w:rPr>
          <w:b/>
        </w:rPr>
        <w:t>Key words</w:t>
      </w:r>
    </w:p>
    <w:p w14:paraId="75EA596C" w14:textId="54D69EBC" w:rsidR="00CB2569" w:rsidRPr="00011FE4" w:rsidRDefault="00CB2569" w:rsidP="009D58E5">
      <w:r w:rsidRPr="00011FE4">
        <w:t>Universal Design for Learning</w:t>
      </w:r>
    </w:p>
    <w:p w14:paraId="48946FE2" w14:textId="0F4A957D" w:rsidR="00CB2569" w:rsidRPr="00011FE4" w:rsidRDefault="00CB2569" w:rsidP="009D58E5">
      <w:r w:rsidRPr="00011FE4">
        <w:t>Universal Design</w:t>
      </w:r>
    </w:p>
    <w:p w14:paraId="3B5598BA" w14:textId="330F1EDF" w:rsidR="00CB2569" w:rsidRPr="00011FE4" w:rsidRDefault="00CB2569" w:rsidP="009D58E5">
      <w:r w:rsidRPr="00011FE4">
        <w:t>Inclusion</w:t>
      </w:r>
    </w:p>
    <w:p w14:paraId="66201AF7" w14:textId="2216394F" w:rsidR="00CB2569" w:rsidRPr="00011FE4" w:rsidRDefault="00CB2569" w:rsidP="009D58E5">
      <w:r w:rsidRPr="00011FE4">
        <w:t>Equality</w:t>
      </w:r>
    </w:p>
    <w:p w14:paraId="49A1531B" w14:textId="2A9E8777" w:rsidR="00AD03E6" w:rsidRPr="00011FE4" w:rsidRDefault="00AD03E6" w:rsidP="009D58E5">
      <w:r w:rsidRPr="00011FE4">
        <w:t>Disability</w:t>
      </w:r>
    </w:p>
    <w:p w14:paraId="6A2121EC" w14:textId="77777777" w:rsidR="002F179A" w:rsidRPr="00011FE4" w:rsidRDefault="002F179A" w:rsidP="002F179A">
      <w:pPr>
        <w:rPr>
          <w:b/>
        </w:rPr>
      </w:pPr>
      <w:r w:rsidRPr="00011FE4">
        <w:rPr>
          <w:b/>
        </w:rPr>
        <w:t>Funding</w:t>
      </w:r>
    </w:p>
    <w:p w14:paraId="7B07B1A6" w14:textId="04E7288D" w:rsidR="00096D93" w:rsidRPr="00011FE4" w:rsidRDefault="002F179A" w:rsidP="009D58E5">
      <w:r w:rsidRPr="00011FE4">
        <w:lastRenderedPageBreak/>
        <w:t xml:space="preserve">Funding for the </w:t>
      </w:r>
      <w:r w:rsidR="005A08E7" w:rsidRPr="00011FE4">
        <w:t xml:space="preserve">England </w:t>
      </w:r>
      <w:r w:rsidRPr="00011FE4">
        <w:t xml:space="preserve">based enquiry came </w:t>
      </w:r>
      <w:r w:rsidR="00FF29EE" w:rsidRPr="00011FE4">
        <w:t>from The</w:t>
      </w:r>
      <w:r w:rsidRPr="00011FE4">
        <w:t xml:space="preserve"> Society for Research in Higher Education (SRHE). </w:t>
      </w:r>
      <w:r w:rsidR="00FF29EE" w:rsidRPr="00011FE4">
        <w:t>A National</w:t>
      </w:r>
      <w:r w:rsidRPr="00011FE4">
        <w:t xml:space="preserve"> Teaching Fellowship (NTF) award financed American universit</w:t>
      </w:r>
      <w:r w:rsidR="00F02FAD" w:rsidRPr="00011FE4">
        <w:t>y visits</w:t>
      </w:r>
      <w:r w:rsidRPr="00011FE4">
        <w:t xml:space="preserve"> for the purpose of comparison. </w:t>
      </w:r>
    </w:p>
    <w:p w14:paraId="676373FC" w14:textId="77777777" w:rsidR="00BF1BCB" w:rsidRPr="00011FE4" w:rsidRDefault="00BF1BCB" w:rsidP="009D58E5"/>
    <w:p w14:paraId="32C642AC" w14:textId="2E16374A" w:rsidR="00954A80" w:rsidRPr="00011FE4" w:rsidRDefault="00096D93" w:rsidP="005F2503">
      <w:r w:rsidRPr="00011FE4">
        <w:rPr>
          <w:b/>
        </w:rPr>
        <w:t>Introduction</w:t>
      </w:r>
      <w:r w:rsidR="005E41FD" w:rsidRPr="00011FE4">
        <w:t xml:space="preserve"> </w:t>
      </w:r>
      <w:r w:rsidR="00954A80" w:rsidRPr="00011FE4">
        <w:t xml:space="preserve"> </w:t>
      </w:r>
    </w:p>
    <w:p w14:paraId="20BA72C7" w14:textId="3D02E8C7" w:rsidR="007D7B96" w:rsidRPr="00011FE4" w:rsidRDefault="00B06921" w:rsidP="009D58E5">
      <w:r w:rsidRPr="00011FE4">
        <w:t>Focussing on relevant publications and primary research, t</w:t>
      </w:r>
      <w:r w:rsidR="00FF29EE" w:rsidRPr="00011FE4">
        <w:t xml:space="preserve">his </w:t>
      </w:r>
      <w:r w:rsidRPr="00011FE4">
        <w:t>paper</w:t>
      </w:r>
      <w:r w:rsidR="009D58E5" w:rsidRPr="00011FE4">
        <w:t xml:space="preserve"> </w:t>
      </w:r>
      <w:r w:rsidRPr="00011FE4">
        <w:t>explores how</w:t>
      </w:r>
      <w:r w:rsidR="009D58E5" w:rsidRPr="00011FE4">
        <w:t xml:space="preserve"> UDL operates </w:t>
      </w:r>
      <w:r w:rsidR="00FF29EE" w:rsidRPr="00011FE4">
        <w:t>and intersects</w:t>
      </w:r>
      <w:r w:rsidR="00E7036B" w:rsidRPr="00011FE4">
        <w:t xml:space="preserve"> with</w:t>
      </w:r>
      <w:r w:rsidR="009D58E5" w:rsidRPr="00011FE4">
        <w:t xml:space="preserve"> inclusive practice</w:t>
      </w:r>
      <w:r w:rsidRPr="00011FE4">
        <w:t xml:space="preserve"> and individualised student support. </w:t>
      </w:r>
      <w:r w:rsidR="00B110B2" w:rsidRPr="00011FE4">
        <w:t>Fieldwork</w:t>
      </w:r>
      <w:r w:rsidR="00080D3A" w:rsidRPr="00011FE4">
        <w:t>, conducted between 2017</w:t>
      </w:r>
      <w:r w:rsidR="00377671" w:rsidRPr="00011FE4">
        <w:t xml:space="preserve"> and </w:t>
      </w:r>
      <w:r w:rsidR="00080D3A" w:rsidRPr="00011FE4">
        <w:t>2019</w:t>
      </w:r>
      <w:r w:rsidR="00377671" w:rsidRPr="00011FE4">
        <w:t>,</w:t>
      </w:r>
      <w:r w:rsidR="009E1173" w:rsidRPr="00011FE4">
        <w:t xml:space="preserve"> </w:t>
      </w:r>
      <w:r w:rsidRPr="00011FE4">
        <w:t>concentrat</w:t>
      </w:r>
      <w:r w:rsidR="009E1173" w:rsidRPr="00011FE4">
        <w:t>e</w:t>
      </w:r>
      <w:r w:rsidR="0069682A" w:rsidRPr="00011FE4">
        <w:t>d</w:t>
      </w:r>
      <w:r w:rsidRPr="00011FE4">
        <w:t xml:space="preserve"> </w:t>
      </w:r>
      <w:r w:rsidR="006C4B9F" w:rsidRPr="00011FE4">
        <w:t xml:space="preserve">on </w:t>
      </w:r>
      <w:r w:rsidR="00E9532F" w:rsidRPr="00011FE4">
        <w:t xml:space="preserve">contributions from </w:t>
      </w:r>
      <w:r w:rsidR="006C4B9F" w:rsidRPr="00011FE4">
        <w:t>four</w:t>
      </w:r>
      <w:r w:rsidR="00DC4767" w:rsidRPr="00011FE4">
        <w:t xml:space="preserve"> </w:t>
      </w:r>
      <w:r w:rsidRPr="00011FE4">
        <w:t>America</w:t>
      </w:r>
      <w:r w:rsidR="00AA5C74" w:rsidRPr="00011FE4">
        <w:t>n</w:t>
      </w:r>
      <w:r w:rsidRPr="00011FE4">
        <w:t xml:space="preserve"> </w:t>
      </w:r>
      <w:r w:rsidR="006C4B9F" w:rsidRPr="00011FE4">
        <w:t>and four</w:t>
      </w:r>
      <w:r w:rsidR="00DC4767" w:rsidRPr="00011FE4">
        <w:t xml:space="preserve"> </w:t>
      </w:r>
      <w:r w:rsidR="00706E9E" w:rsidRPr="00011FE4">
        <w:t>English</w:t>
      </w:r>
      <w:r w:rsidR="009D58E5" w:rsidRPr="00011FE4">
        <w:t xml:space="preserve"> </w:t>
      </w:r>
      <w:r w:rsidR="00E7036B" w:rsidRPr="00011FE4">
        <w:t>higher education institutes (HEIs)</w:t>
      </w:r>
      <w:r w:rsidR="00DC4767" w:rsidRPr="00011FE4">
        <w:t xml:space="preserve"> and </w:t>
      </w:r>
      <w:r w:rsidR="00E9532F" w:rsidRPr="00011FE4">
        <w:t xml:space="preserve">university disability services staff from </w:t>
      </w:r>
      <w:proofErr w:type="gramStart"/>
      <w:r w:rsidR="009E63D4" w:rsidRPr="00011FE4">
        <w:t>The</w:t>
      </w:r>
      <w:proofErr w:type="gramEnd"/>
      <w:r w:rsidR="009E63D4" w:rsidRPr="00011FE4">
        <w:t xml:space="preserve"> (</w:t>
      </w:r>
      <w:r w:rsidR="00E9532F" w:rsidRPr="00011FE4">
        <w:t>UK</w:t>
      </w:r>
      <w:r w:rsidR="009E63D4" w:rsidRPr="00011FE4">
        <w:t>) National</w:t>
      </w:r>
      <w:r w:rsidR="00E9532F" w:rsidRPr="00011FE4">
        <w:t xml:space="preserve"> Network of Disability Practitioners (NADP-UK.org</w:t>
      </w:r>
      <w:r w:rsidR="009E63D4" w:rsidRPr="00011FE4">
        <w:t xml:space="preserve">). </w:t>
      </w:r>
      <w:r w:rsidR="007D7B96" w:rsidRPr="00011FE4">
        <w:t xml:space="preserve">Participants shared their personal insights. </w:t>
      </w:r>
    </w:p>
    <w:p w14:paraId="4FD1BEAB" w14:textId="72994978" w:rsidR="002F179A" w:rsidRPr="00011FE4" w:rsidRDefault="0069682A" w:rsidP="009D58E5">
      <w:r w:rsidRPr="00011FE4">
        <w:t>In each nation, t</w:t>
      </w:r>
      <w:r w:rsidR="009D58E5" w:rsidRPr="00011FE4">
        <w:t>raditional e</w:t>
      </w:r>
      <w:r w:rsidRPr="00011FE4">
        <w:t>xam passes</w:t>
      </w:r>
      <w:r w:rsidR="009D58E5" w:rsidRPr="00011FE4">
        <w:t xml:space="preserve"> </w:t>
      </w:r>
      <w:r w:rsidR="00DC4767" w:rsidRPr="00011FE4">
        <w:t>were required</w:t>
      </w:r>
      <w:r w:rsidRPr="00011FE4">
        <w:t xml:space="preserve"> for admission</w:t>
      </w:r>
      <w:r w:rsidR="00DC4767" w:rsidRPr="00011FE4">
        <w:t xml:space="preserve"> by half the universities, while the </w:t>
      </w:r>
      <w:r w:rsidR="006C4B9F" w:rsidRPr="00011FE4">
        <w:t>others encompassed</w:t>
      </w:r>
      <w:r w:rsidR="009D58E5" w:rsidRPr="00011FE4">
        <w:t xml:space="preserve"> broader </w:t>
      </w:r>
      <w:r w:rsidR="00DC4767" w:rsidRPr="00011FE4">
        <w:t>entry requirements</w:t>
      </w:r>
      <w:r w:rsidR="009D58E5" w:rsidRPr="00011FE4">
        <w:t xml:space="preserve">. </w:t>
      </w:r>
      <w:r w:rsidR="00AA5C74" w:rsidRPr="00011FE4">
        <w:t>F</w:t>
      </w:r>
      <w:r w:rsidR="009D58E5" w:rsidRPr="00011FE4">
        <w:t xml:space="preserve">ocus groups, interviews and questionnaires were utilised to </w:t>
      </w:r>
      <w:r w:rsidR="00FF29EE" w:rsidRPr="00011FE4">
        <w:t>elicit views</w:t>
      </w:r>
      <w:r w:rsidR="009D58E5" w:rsidRPr="00011FE4">
        <w:t xml:space="preserve"> </w:t>
      </w:r>
      <w:r w:rsidR="00FF29EE" w:rsidRPr="00011FE4">
        <w:t>from academic</w:t>
      </w:r>
      <w:r w:rsidR="009D58E5" w:rsidRPr="00011FE4">
        <w:t xml:space="preserve"> and </w:t>
      </w:r>
      <w:r w:rsidR="008E1B16" w:rsidRPr="00011FE4">
        <w:t>p</w:t>
      </w:r>
      <w:r w:rsidR="00C31F76" w:rsidRPr="00011FE4">
        <w:t xml:space="preserve">rofessional </w:t>
      </w:r>
      <w:r w:rsidR="008E1B16" w:rsidRPr="00011FE4">
        <w:t>s</w:t>
      </w:r>
      <w:r w:rsidR="00C31F76" w:rsidRPr="00011FE4">
        <w:t>upport</w:t>
      </w:r>
      <w:r w:rsidR="009D58E5" w:rsidRPr="00011FE4">
        <w:t xml:space="preserve"> (PS) staff, and students. </w:t>
      </w:r>
      <w:r w:rsidR="003B170E" w:rsidRPr="00011FE4">
        <w:t>PS colleagues came from roles</w:t>
      </w:r>
      <w:r w:rsidR="003B465F" w:rsidRPr="00011FE4">
        <w:t xml:space="preserve"> </w:t>
      </w:r>
      <w:r w:rsidR="00285C34" w:rsidRPr="00011FE4">
        <w:t>focussing on supporting</w:t>
      </w:r>
      <w:r w:rsidR="003B465F" w:rsidRPr="00011FE4">
        <w:t xml:space="preserve"> the academic development of students</w:t>
      </w:r>
      <w:r w:rsidR="008C5891" w:rsidRPr="00011FE4">
        <w:t>. These included disability services</w:t>
      </w:r>
      <w:r w:rsidR="00D623DC" w:rsidRPr="00011FE4">
        <w:t xml:space="preserve"> and study skills colleagues, </w:t>
      </w:r>
      <w:proofErr w:type="gramStart"/>
      <w:r w:rsidR="00D623DC" w:rsidRPr="00011FE4">
        <w:t>librarians</w:t>
      </w:r>
      <w:proofErr w:type="gramEnd"/>
      <w:r w:rsidR="006C1121" w:rsidRPr="00011FE4">
        <w:t xml:space="preserve"> and </w:t>
      </w:r>
      <w:r w:rsidR="00282450" w:rsidRPr="00011FE4">
        <w:t>technology</w:t>
      </w:r>
      <w:r w:rsidR="00017645" w:rsidRPr="00011FE4">
        <w:t xml:space="preserve"> support staff.</w:t>
      </w:r>
      <w:r w:rsidR="003B465F" w:rsidRPr="00011FE4">
        <w:t xml:space="preserve"> </w:t>
      </w:r>
      <w:r w:rsidR="00FF29EE" w:rsidRPr="00011FE4">
        <w:t>Recommendations are</w:t>
      </w:r>
      <w:r w:rsidR="00B43B54" w:rsidRPr="00011FE4">
        <w:t xml:space="preserve"> potentially beneficial </w:t>
      </w:r>
      <w:r w:rsidR="00E7036B" w:rsidRPr="00011FE4">
        <w:t xml:space="preserve">beyond </w:t>
      </w:r>
      <w:r w:rsidR="00B06921" w:rsidRPr="00011FE4">
        <w:t xml:space="preserve">the </w:t>
      </w:r>
      <w:r w:rsidRPr="00011FE4">
        <w:t>original</w:t>
      </w:r>
      <w:r w:rsidR="00E7036B" w:rsidRPr="00011FE4">
        <w:t xml:space="preserve"> </w:t>
      </w:r>
      <w:r w:rsidR="00AA5C74" w:rsidRPr="00011FE4">
        <w:t>settings</w:t>
      </w:r>
      <w:r w:rsidR="00B43B54" w:rsidRPr="00011FE4">
        <w:t>, but not necessarily applicable globally</w:t>
      </w:r>
      <w:r w:rsidR="00AA5C74" w:rsidRPr="00011FE4">
        <w:t xml:space="preserve"> as</w:t>
      </w:r>
      <w:r w:rsidR="00B43B54" w:rsidRPr="00011FE4">
        <w:t xml:space="preserve"> HE is not available universally, particularly to disabled and disadvantaged </w:t>
      </w:r>
      <w:r w:rsidR="006C4B9F" w:rsidRPr="00011FE4">
        <w:t>students. Relevant</w:t>
      </w:r>
      <w:r w:rsidR="00FF29EE" w:rsidRPr="00011FE4">
        <w:t xml:space="preserve"> literature and primary qualitative research</w:t>
      </w:r>
      <w:r w:rsidR="00B43B54" w:rsidRPr="00011FE4">
        <w:t xml:space="preserve"> </w:t>
      </w:r>
      <w:r w:rsidR="006C4B9F" w:rsidRPr="00011FE4">
        <w:t>are</w:t>
      </w:r>
      <w:r w:rsidR="00B43B54" w:rsidRPr="00011FE4">
        <w:t xml:space="preserve"> presented with a view to contributing to the </w:t>
      </w:r>
      <w:r w:rsidR="00FF29EE" w:rsidRPr="00011FE4">
        <w:t>existing</w:t>
      </w:r>
      <w:r w:rsidR="00B43B54" w:rsidRPr="00011FE4">
        <w:t xml:space="preserve"> limited evidence </w:t>
      </w:r>
      <w:r w:rsidR="00FF29EE" w:rsidRPr="00011FE4">
        <w:t>base.</w:t>
      </w:r>
      <w:r w:rsidR="00B43B54" w:rsidRPr="00011FE4">
        <w:t xml:space="preserve"> Researchers involved </w:t>
      </w:r>
      <w:r w:rsidR="0013582B" w:rsidRPr="00011FE4">
        <w:t>recognise</w:t>
      </w:r>
      <w:r w:rsidR="00B43B54" w:rsidRPr="00011FE4">
        <w:t xml:space="preserve"> their </w:t>
      </w:r>
      <w:r w:rsidR="00D609F7" w:rsidRPr="00011FE4">
        <w:t>positivity around UDL</w:t>
      </w:r>
      <w:r w:rsidR="00B43B54" w:rsidRPr="00011FE4">
        <w:t xml:space="preserve">. </w:t>
      </w:r>
    </w:p>
    <w:p w14:paraId="23814811" w14:textId="47666659" w:rsidR="009D58E5" w:rsidRPr="00011FE4" w:rsidRDefault="009D58E5" w:rsidP="009D58E5">
      <w:r w:rsidRPr="00011FE4">
        <w:t xml:space="preserve">Common </w:t>
      </w:r>
      <w:r w:rsidR="006C4B9F" w:rsidRPr="00011FE4">
        <w:t>to contributors</w:t>
      </w:r>
      <w:r w:rsidRPr="00011FE4">
        <w:t xml:space="preserve"> was the </w:t>
      </w:r>
      <w:r w:rsidR="006A36C9" w:rsidRPr="00011FE4">
        <w:t>idea</w:t>
      </w:r>
      <w:r w:rsidRPr="00011FE4">
        <w:t xml:space="preserve"> that </w:t>
      </w:r>
      <w:r w:rsidR="00FF29EE" w:rsidRPr="00011FE4">
        <w:t>UDL could</w:t>
      </w:r>
      <w:r w:rsidRPr="00011FE4">
        <w:t xml:space="preserve"> potentially benefit everyone </w:t>
      </w:r>
      <w:r w:rsidR="00FF29EE" w:rsidRPr="00011FE4">
        <w:t xml:space="preserve">and </w:t>
      </w:r>
      <w:r w:rsidR="007F47BF" w:rsidRPr="00011FE4">
        <w:t>fit</w:t>
      </w:r>
      <w:r w:rsidR="009C4860" w:rsidRPr="00011FE4">
        <w:t>s</w:t>
      </w:r>
      <w:r w:rsidRPr="00011FE4">
        <w:t xml:space="preserve"> with the </w:t>
      </w:r>
      <w:r w:rsidR="007F47BF" w:rsidRPr="00011FE4">
        <w:t xml:space="preserve">social justice </w:t>
      </w:r>
      <w:r w:rsidRPr="00011FE4">
        <w:t xml:space="preserve">ethos underpinning equalities legislation. </w:t>
      </w:r>
      <w:r w:rsidR="00B43B54" w:rsidRPr="00011FE4">
        <w:t xml:space="preserve">  </w:t>
      </w:r>
      <w:r w:rsidRPr="00011FE4">
        <w:t xml:space="preserve">Examples </w:t>
      </w:r>
      <w:r w:rsidR="00FF29EE" w:rsidRPr="00011FE4">
        <w:t xml:space="preserve">of </w:t>
      </w:r>
      <w:r w:rsidR="00D93346" w:rsidRPr="00011FE4">
        <w:t xml:space="preserve">broadly beneficial practice </w:t>
      </w:r>
      <w:r w:rsidR="00FF29EE" w:rsidRPr="00011FE4">
        <w:t xml:space="preserve">included </w:t>
      </w:r>
      <w:r w:rsidR="00D93346" w:rsidRPr="00011FE4">
        <w:t xml:space="preserve">reliable use of </w:t>
      </w:r>
      <w:r w:rsidR="00FF29EE" w:rsidRPr="00011FE4">
        <w:t>inclusive</w:t>
      </w:r>
      <w:r w:rsidRPr="00011FE4">
        <w:t xml:space="preserve"> technology and virtual learning environments (VLEs). </w:t>
      </w:r>
      <w:r w:rsidR="00FF29EE" w:rsidRPr="00011FE4">
        <w:t>Except for</w:t>
      </w:r>
      <w:r w:rsidRPr="00011FE4">
        <w:t xml:space="preserve"> </w:t>
      </w:r>
      <w:r w:rsidR="006A36C9" w:rsidRPr="00011FE4">
        <w:t>participants</w:t>
      </w:r>
      <w:r w:rsidRPr="00011FE4">
        <w:t xml:space="preserve"> from a very </w:t>
      </w:r>
      <w:r w:rsidR="006C4B9F" w:rsidRPr="00011FE4">
        <w:t>small American</w:t>
      </w:r>
      <w:r w:rsidRPr="00011FE4">
        <w:t xml:space="preserve"> </w:t>
      </w:r>
      <w:r w:rsidR="00B110B2" w:rsidRPr="00011FE4">
        <w:t>u</w:t>
      </w:r>
      <w:r w:rsidRPr="00011FE4">
        <w:t xml:space="preserve">niversity, most </w:t>
      </w:r>
      <w:r w:rsidR="006C4B9F" w:rsidRPr="00011FE4">
        <w:t>found high</w:t>
      </w:r>
      <w:r w:rsidRPr="00011FE4">
        <w:t xml:space="preserve"> level strategic engagement hard to </w:t>
      </w:r>
      <w:r w:rsidR="00FF29EE" w:rsidRPr="00011FE4">
        <w:t>achieve. Students</w:t>
      </w:r>
      <w:r w:rsidRPr="00011FE4">
        <w:t xml:space="preserve"> </w:t>
      </w:r>
      <w:r w:rsidR="007F47BF" w:rsidRPr="00011FE4">
        <w:t>experienced</w:t>
      </w:r>
      <w:r w:rsidRPr="00011FE4">
        <w:t xml:space="preserve"> systems designed to support their </w:t>
      </w:r>
      <w:r w:rsidR="00FF29EE" w:rsidRPr="00011FE4">
        <w:t xml:space="preserve">development </w:t>
      </w:r>
      <w:r w:rsidR="007F47BF" w:rsidRPr="00011FE4">
        <w:t xml:space="preserve">as </w:t>
      </w:r>
      <w:r w:rsidRPr="00011FE4">
        <w:t>difficult to navigat</w:t>
      </w:r>
      <w:r w:rsidR="007F47BF" w:rsidRPr="00011FE4">
        <w:t>e. S</w:t>
      </w:r>
      <w:r w:rsidR="00FF29EE" w:rsidRPr="00011FE4">
        <w:t>taff</w:t>
      </w:r>
      <w:r w:rsidRPr="00011FE4">
        <w:t xml:space="preserve"> acknowledged the need for joined up thinking between PS and academic staff and senior leaders.</w:t>
      </w:r>
      <w:r w:rsidR="00CA38CF" w:rsidRPr="00011FE4">
        <w:t xml:space="preserve"> Potentially useful t</w:t>
      </w:r>
      <w:r w:rsidRPr="00011FE4">
        <w:t xml:space="preserve">ools for benchmarking UDL and comparing practice </w:t>
      </w:r>
      <w:r w:rsidR="006A36C9" w:rsidRPr="00011FE4">
        <w:t>were apparently lacking</w:t>
      </w:r>
      <w:r w:rsidR="00EC3F5E" w:rsidRPr="00011FE4">
        <w:t>,</w:t>
      </w:r>
      <w:r w:rsidRPr="00011FE4">
        <w:t xml:space="preserve"> </w:t>
      </w:r>
      <w:r w:rsidR="00CA38CF" w:rsidRPr="00011FE4">
        <w:t xml:space="preserve">but could possibly be </w:t>
      </w:r>
      <w:r w:rsidR="00FF29EE" w:rsidRPr="00011FE4">
        <w:t>created.</w:t>
      </w:r>
    </w:p>
    <w:p w14:paraId="50F7317A" w14:textId="508594DD" w:rsidR="009B7EED" w:rsidRPr="00011FE4" w:rsidRDefault="000E0D90" w:rsidP="00B43B54">
      <w:pPr>
        <w:pStyle w:val="Heading2"/>
        <w:rPr>
          <w:rFonts w:cs="Arial"/>
          <w:sz w:val="24"/>
          <w:szCs w:val="24"/>
        </w:rPr>
      </w:pPr>
      <w:r w:rsidRPr="00011FE4">
        <w:rPr>
          <w:rFonts w:cs="Arial"/>
          <w:sz w:val="24"/>
          <w:szCs w:val="24"/>
        </w:rPr>
        <w:t>Context</w:t>
      </w:r>
    </w:p>
    <w:p w14:paraId="089A43BD" w14:textId="62D0A61F" w:rsidR="0052071F" w:rsidRPr="00011FE4" w:rsidRDefault="118435A4" w:rsidP="00235691">
      <w:r w:rsidRPr="00011FE4">
        <w:t>UDL is underpinned by the notion that everyone benefits, and is based on planning for rather than being surprised by diversity. The term ‘benefit’ speaks to reducing disadvantage generally rather than creating advantage for some. Students do not all begin HE with equally solid foundations (Beardon et al., 2009; Webb et al., 2017). Bourdieu (1986) contentiously theorises this in terms of Social, Cultural and Academic Capital, postulating that those with ‘</w:t>
      </w:r>
      <w:r w:rsidRPr="00011FE4">
        <w:rPr>
          <w:i/>
        </w:rPr>
        <w:t>the right sort of connections and background</w:t>
      </w:r>
      <w:r w:rsidRPr="00011FE4">
        <w:rPr>
          <w:i/>
          <w:iCs/>
        </w:rPr>
        <w:t>’</w:t>
      </w:r>
      <w:r w:rsidRPr="00011FE4">
        <w:t xml:space="preserve"> [author’s italics] thrive more easily educationally. UDL institutions reject the notion that ‘</w:t>
      </w:r>
      <w:r w:rsidRPr="00011FE4">
        <w:rPr>
          <w:i/>
        </w:rPr>
        <w:t>capital disadvantage</w:t>
      </w:r>
      <w:r w:rsidRPr="00011FE4">
        <w:rPr>
          <w:i/>
          <w:iCs/>
        </w:rPr>
        <w:t>’</w:t>
      </w:r>
      <w:r w:rsidRPr="00011FE4">
        <w:t xml:space="preserve"> is a given in favour of a social justice approach based on entitlement and planning to reduce structural barriers and promote intellectual growth (Donnelly and Evans, 2019; Leadley-Meade and Goodwin, 2019). </w:t>
      </w:r>
    </w:p>
    <w:p w14:paraId="5446FC64" w14:textId="6AB4796A" w:rsidR="009C005B" w:rsidRPr="00011FE4" w:rsidRDefault="0052071F" w:rsidP="00473844">
      <w:r w:rsidRPr="00011FE4">
        <w:t xml:space="preserve">Supporting disabled students is </w:t>
      </w:r>
      <w:r w:rsidR="001D5F8D" w:rsidRPr="00011FE4">
        <w:t>one</w:t>
      </w:r>
      <w:r w:rsidRPr="00011FE4">
        <w:t xml:space="preserve"> facet of UDL</w:t>
      </w:r>
      <w:r w:rsidR="000D46CB" w:rsidRPr="00011FE4">
        <w:t>,</w:t>
      </w:r>
      <w:r w:rsidRPr="00011FE4">
        <w:t xml:space="preserve"> not the whole story. In the UK Disabled Student Allowance (DSA</w:t>
      </w:r>
      <w:r w:rsidR="006C4B9F" w:rsidRPr="00011FE4">
        <w:t xml:space="preserve">), </w:t>
      </w:r>
      <w:r w:rsidR="007B24F0" w:rsidRPr="00011FE4">
        <w:t xml:space="preserve">is </w:t>
      </w:r>
      <w:r w:rsidR="006C4B9F" w:rsidRPr="00011FE4">
        <w:t>currently</w:t>
      </w:r>
      <w:r w:rsidRPr="00011FE4">
        <w:t xml:space="preserve"> under review</w:t>
      </w:r>
      <w:r w:rsidR="008B68AB" w:rsidRPr="00011FE4">
        <w:t>, partly</w:t>
      </w:r>
      <w:r w:rsidRPr="00011FE4">
        <w:t xml:space="preserve"> because of </w:t>
      </w:r>
      <w:r w:rsidR="006C4B9F" w:rsidRPr="00011FE4">
        <w:t>spiralling</w:t>
      </w:r>
      <w:r w:rsidRPr="00011FE4">
        <w:t xml:space="preserve"> costs</w:t>
      </w:r>
      <w:r w:rsidR="008B68AB" w:rsidRPr="00011FE4">
        <w:t>. DSA</w:t>
      </w:r>
      <w:r w:rsidRPr="00011FE4">
        <w:t xml:space="preserve"> offers bespoke reasonable adjustments to eligible disabled </w:t>
      </w:r>
      <w:r w:rsidR="00143E43" w:rsidRPr="00011FE4">
        <w:t>learners (</w:t>
      </w:r>
      <w:r w:rsidR="001D1DCA" w:rsidRPr="00011FE4">
        <w:t>Cameron et al</w:t>
      </w:r>
      <w:r w:rsidR="005F575D" w:rsidRPr="00011FE4">
        <w:t>.</w:t>
      </w:r>
      <w:r w:rsidR="000D46CB" w:rsidRPr="00011FE4">
        <w:t>,</w:t>
      </w:r>
      <w:r w:rsidR="001D1DCA" w:rsidRPr="00011FE4">
        <w:t xml:space="preserve"> 2019</w:t>
      </w:r>
      <w:r w:rsidR="000D46CB" w:rsidRPr="00011FE4">
        <w:t>;</w:t>
      </w:r>
      <w:r w:rsidR="001D1DCA" w:rsidRPr="00011FE4">
        <w:t xml:space="preserve"> </w:t>
      </w:r>
      <w:r w:rsidR="00465513" w:rsidRPr="00011FE4">
        <w:t>Johnson</w:t>
      </w:r>
      <w:r w:rsidR="000D46CB" w:rsidRPr="00011FE4">
        <w:t>,</w:t>
      </w:r>
      <w:r w:rsidR="00465513" w:rsidRPr="00011FE4">
        <w:t xml:space="preserve"> 2015</w:t>
      </w:r>
      <w:r w:rsidR="000D46CB" w:rsidRPr="00011FE4">
        <w:t>;</w:t>
      </w:r>
      <w:r w:rsidR="00465513" w:rsidRPr="00011FE4">
        <w:t xml:space="preserve"> Layer</w:t>
      </w:r>
      <w:r w:rsidR="000D46CB" w:rsidRPr="00011FE4">
        <w:t>,</w:t>
      </w:r>
      <w:r w:rsidR="00465513" w:rsidRPr="00011FE4">
        <w:t xml:space="preserve"> 2017</w:t>
      </w:r>
      <w:r w:rsidR="000D46CB" w:rsidRPr="00011FE4">
        <w:t>;</w:t>
      </w:r>
      <w:r w:rsidRPr="00011FE4">
        <w:t xml:space="preserve"> Willetts</w:t>
      </w:r>
      <w:r w:rsidR="000D46CB" w:rsidRPr="00011FE4">
        <w:t>,</w:t>
      </w:r>
      <w:r w:rsidRPr="00011FE4">
        <w:t xml:space="preserve"> 2014</w:t>
      </w:r>
      <w:r w:rsidR="00FF29EE" w:rsidRPr="00011FE4">
        <w:t xml:space="preserve">). </w:t>
      </w:r>
      <w:r w:rsidR="000B546F" w:rsidRPr="00011FE4">
        <w:t xml:space="preserve">Without </w:t>
      </w:r>
      <w:r w:rsidR="00FF29EE" w:rsidRPr="00011FE4">
        <w:t>equivalent</w:t>
      </w:r>
      <w:r w:rsidR="00520C87" w:rsidRPr="00011FE4">
        <w:t xml:space="preserve"> government funding in </w:t>
      </w:r>
      <w:r w:rsidR="00D877A9" w:rsidRPr="00011FE4">
        <w:t>t</w:t>
      </w:r>
      <w:r w:rsidR="00520C87" w:rsidRPr="00011FE4">
        <w:t>he</w:t>
      </w:r>
      <w:r w:rsidR="000B546F" w:rsidRPr="00011FE4">
        <w:t xml:space="preserve"> </w:t>
      </w:r>
      <w:r w:rsidR="00D877A9" w:rsidRPr="00011FE4">
        <w:t>USA</w:t>
      </w:r>
      <w:r w:rsidR="000B546F" w:rsidRPr="00011FE4">
        <w:t>,</w:t>
      </w:r>
      <w:r w:rsidR="00FF29EE" w:rsidRPr="00011FE4">
        <w:t xml:space="preserve"> </w:t>
      </w:r>
      <w:proofErr w:type="gramStart"/>
      <w:r w:rsidR="006C4B9F" w:rsidRPr="00011FE4">
        <w:t xml:space="preserve">finance </w:t>
      </w:r>
      <w:r w:rsidR="00257AEC" w:rsidRPr="00011FE4">
        <w:t xml:space="preserve"> for</w:t>
      </w:r>
      <w:proofErr w:type="gramEnd"/>
      <w:r w:rsidR="00257AEC" w:rsidRPr="00011FE4">
        <w:t xml:space="preserve"> this purpose </w:t>
      </w:r>
      <w:r w:rsidR="006C4B9F" w:rsidRPr="00011FE4">
        <w:t>comes</w:t>
      </w:r>
      <w:r w:rsidR="00520C87" w:rsidRPr="00011FE4">
        <w:t xml:space="preserve"> from the institutions </w:t>
      </w:r>
      <w:r w:rsidR="004841FF" w:rsidRPr="00011FE4">
        <w:t>(Hadley et al</w:t>
      </w:r>
      <w:r w:rsidR="00072029" w:rsidRPr="00011FE4">
        <w:t>.</w:t>
      </w:r>
      <w:r w:rsidR="000D46CB" w:rsidRPr="00011FE4">
        <w:t>,</w:t>
      </w:r>
      <w:r w:rsidR="004841FF" w:rsidRPr="00011FE4">
        <w:t xml:space="preserve"> 2020). </w:t>
      </w:r>
      <w:r w:rsidR="00473844" w:rsidRPr="00011FE4">
        <w:t xml:space="preserve">  </w:t>
      </w:r>
      <w:r w:rsidR="0034642C" w:rsidRPr="00011FE4">
        <w:t xml:space="preserve">Disadvantaged </w:t>
      </w:r>
      <w:proofErr w:type="gramStart"/>
      <w:r w:rsidR="006C4B9F" w:rsidRPr="00011FE4">
        <w:t>students</w:t>
      </w:r>
      <w:proofErr w:type="gramEnd"/>
      <w:r w:rsidR="0034642C" w:rsidRPr="00011FE4">
        <w:t xml:space="preserve"> </w:t>
      </w:r>
      <w:r w:rsidR="006C4B9F" w:rsidRPr="00011FE4">
        <w:t>ineligible</w:t>
      </w:r>
      <w:r w:rsidR="0034642C" w:rsidRPr="00011FE4">
        <w:t xml:space="preserve"> for disability </w:t>
      </w:r>
      <w:r w:rsidR="006C4B9F" w:rsidRPr="00011FE4">
        <w:t>services do</w:t>
      </w:r>
      <w:r w:rsidR="0034642C" w:rsidRPr="00011FE4">
        <w:t xml:space="preserve"> not </w:t>
      </w:r>
      <w:r w:rsidR="00473844" w:rsidRPr="00011FE4">
        <w:t xml:space="preserve">routinely </w:t>
      </w:r>
      <w:r w:rsidR="0034642C" w:rsidRPr="00011FE4">
        <w:t xml:space="preserve">attract statutory </w:t>
      </w:r>
      <w:r w:rsidR="006C4B9F" w:rsidRPr="00011FE4">
        <w:t>funding for</w:t>
      </w:r>
      <w:r w:rsidR="0034642C" w:rsidRPr="00011FE4">
        <w:t xml:space="preserve"> </w:t>
      </w:r>
      <w:r w:rsidR="000B546F" w:rsidRPr="00011FE4">
        <w:t xml:space="preserve">support </w:t>
      </w:r>
      <w:r w:rsidR="006C4B9F" w:rsidRPr="00011FE4">
        <w:t>in the</w:t>
      </w:r>
      <w:r w:rsidR="0034642C" w:rsidRPr="00011FE4">
        <w:t xml:space="preserve"> UK or USA. </w:t>
      </w:r>
      <w:r w:rsidR="007B0FB0" w:rsidRPr="00011FE4">
        <w:t xml:space="preserve">Dedicated disability services </w:t>
      </w:r>
      <w:r w:rsidR="00F43AD4" w:rsidRPr="00011FE4">
        <w:t xml:space="preserve">fulfil comparable </w:t>
      </w:r>
      <w:r w:rsidR="006C4B9F" w:rsidRPr="00011FE4">
        <w:t>roles in</w:t>
      </w:r>
      <w:r w:rsidR="007B0FB0" w:rsidRPr="00011FE4">
        <w:t xml:space="preserve"> </w:t>
      </w:r>
      <w:r w:rsidR="00C2534B" w:rsidRPr="00011FE4">
        <w:t>both nations,</w:t>
      </w:r>
      <w:r w:rsidR="00F43AD4" w:rsidRPr="00011FE4">
        <w:t xml:space="preserve"> w</w:t>
      </w:r>
      <w:r w:rsidR="007B0FB0" w:rsidRPr="00011FE4">
        <w:t>orking with individual</w:t>
      </w:r>
      <w:r w:rsidR="00C2534B" w:rsidRPr="00011FE4">
        <w:t>s</w:t>
      </w:r>
      <w:r w:rsidR="00F43AD4" w:rsidRPr="00011FE4">
        <w:t xml:space="preserve"> and </w:t>
      </w:r>
      <w:r w:rsidR="00F43AD4" w:rsidRPr="00011FE4">
        <w:lastRenderedPageBreak/>
        <w:t>endeavouring to influence institutional culture</w:t>
      </w:r>
      <w:r w:rsidR="00FF29EE" w:rsidRPr="00011FE4">
        <w:t>.</w:t>
      </w:r>
      <w:r w:rsidR="007B0FB0" w:rsidRPr="00011FE4">
        <w:t xml:space="preserve"> This involves</w:t>
      </w:r>
      <w:r w:rsidR="004841FF" w:rsidRPr="00011FE4">
        <w:t xml:space="preserve"> </w:t>
      </w:r>
      <w:r w:rsidR="00C113E9" w:rsidRPr="00011FE4">
        <w:t xml:space="preserve">listening to </w:t>
      </w:r>
      <w:proofErr w:type="gramStart"/>
      <w:r w:rsidR="00C113E9" w:rsidRPr="00011FE4">
        <w:t>students  and</w:t>
      </w:r>
      <w:proofErr w:type="gramEnd"/>
      <w:r w:rsidR="00C113E9" w:rsidRPr="00011FE4">
        <w:t xml:space="preserve"> </w:t>
      </w:r>
      <w:r w:rsidR="004841FF" w:rsidRPr="00011FE4">
        <w:t>collaborating</w:t>
      </w:r>
      <w:r w:rsidR="007B0FB0" w:rsidRPr="00011FE4">
        <w:t xml:space="preserve"> with other </w:t>
      </w:r>
      <w:r w:rsidR="00897993" w:rsidRPr="00011FE4">
        <w:t>PS</w:t>
      </w:r>
      <w:r w:rsidR="007B0FB0" w:rsidRPr="00011FE4">
        <w:t xml:space="preserve"> </w:t>
      </w:r>
      <w:r w:rsidR="00FF29EE" w:rsidRPr="00011FE4">
        <w:t>staff, academics</w:t>
      </w:r>
      <w:r w:rsidR="007B0FB0" w:rsidRPr="00011FE4">
        <w:t xml:space="preserve"> and strategic planners . </w:t>
      </w:r>
      <w:r w:rsidR="00520C87" w:rsidRPr="00011FE4">
        <w:t xml:space="preserve">Legislative compliance is a </w:t>
      </w:r>
      <w:r w:rsidR="006C4B9F" w:rsidRPr="00011FE4">
        <w:t>factor.</w:t>
      </w:r>
      <w:r w:rsidR="00520C87" w:rsidRPr="00011FE4">
        <w:t xml:space="preserve"> The </w:t>
      </w:r>
      <w:r w:rsidR="00991F08" w:rsidRPr="00011FE4">
        <w:t>UK</w:t>
      </w:r>
      <w:r w:rsidR="00FA41DE" w:rsidRPr="00011FE4">
        <w:t xml:space="preserve"> </w:t>
      </w:r>
      <w:r w:rsidR="00991F08" w:rsidRPr="00011FE4">
        <w:rPr>
          <w:i/>
        </w:rPr>
        <w:t>E</w:t>
      </w:r>
      <w:r w:rsidR="00FA41DE" w:rsidRPr="00011FE4">
        <w:rPr>
          <w:i/>
        </w:rPr>
        <w:t xml:space="preserve">quality </w:t>
      </w:r>
      <w:r w:rsidR="00991F08" w:rsidRPr="00011FE4">
        <w:rPr>
          <w:i/>
        </w:rPr>
        <w:t>A</w:t>
      </w:r>
      <w:r w:rsidR="00FA41DE" w:rsidRPr="00011FE4">
        <w:rPr>
          <w:i/>
        </w:rPr>
        <w:t>ct</w:t>
      </w:r>
      <w:r w:rsidR="00520C87" w:rsidRPr="00011FE4">
        <w:t xml:space="preserve"> </w:t>
      </w:r>
      <w:r w:rsidR="00BE005C" w:rsidRPr="00011FE4">
        <w:rPr>
          <w:i/>
        </w:rPr>
        <w:t>2010</w:t>
      </w:r>
      <w:r w:rsidR="00BE005C" w:rsidRPr="00011FE4">
        <w:t xml:space="preserve"> </w:t>
      </w:r>
      <w:r w:rsidR="00FA41DE" w:rsidRPr="00011FE4">
        <w:t>(</w:t>
      </w:r>
      <w:r w:rsidR="00FA41DE" w:rsidRPr="00011FE4">
        <w:rPr>
          <w:i/>
        </w:rPr>
        <w:t>EA</w:t>
      </w:r>
      <w:r w:rsidR="00BE005C" w:rsidRPr="00011FE4">
        <w:rPr>
          <w:i/>
        </w:rPr>
        <w:t xml:space="preserve"> 2010</w:t>
      </w:r>
      <w:r w:rsidR="00FA41DE" w:rsidRPr="00011FE4">
        <w:t>)</w:t>
      </w:r>
      <w:r w:rsidR="00520C87" w:rsidRPr="00011FE4">
        <w:t xml:space="preserve"> and </w:t>
      </w:r>
      <w:r w:rsidR="006C4B9F" w:rsidRPr="00011FE4">
        <w:t>the</w:t>
      </w:r>
      <w:r w:rsidR="00520C87" w:rsidRPr="00011FE4">
        <w:t xml:space="preserve"> </w:t>
      </w:r>
      <w:r w:rsidR="00FA41DE" w:rsidRPr="00011FE4">
        <w:t xml:space="preserve">1990 </w:t>
      </w:r>
      <w:r w:rsidR="00520C87" w:rsidRPr="00011FE4">
        <w:rPr>
          <w:i/>
        </w:rPr>
        <w:t>Americans with Disabilities Act</w:t>
      </w:r>
      <w:r w:rsidR="00520C87" w:rsidRPr="00011FE4">
        <w:t xml:space="preserve"> (</w:t>
      </w:r>
      <w:r w:rsidR="00FA41DE" w:rsidRPr="00011FE4">
        <w:rPr>
          <w:i/>
        </w:rPr>
        <w:t>ADA</w:t>
      </w:r>
      <w:r w:rsidR="00520C87" w:rsidRPr="00011FE4">
        <w:t xml:space="preserve">) </w:t>
      </w:r>
      <w:r w:rsidR="00BA6650" w:rsidRPr="00011FE4">
        <w:t xml:space="preserve">(and its subsequent 2008 </w:t>
      </w:r>
      <w:r w:rsidR="00FF29EE" w:rsidRPr="00011FE4">
        <w:t>amendment</w:t>
      </w:r>
      <w:r w:rsidR="00BA6650" w:rsidRPr="00011FE4">
        <w:t xml:space="preserve">) </w:t>
      </w:r>
      <w:r w:rsidR="00520C87" w:rsidRPr="00011FE4">
        <w:t xml:space="preserve">provide a </w:t>
      </w:r>
      <w:r w:rsidR="00B54610" w:rsidRPr="00011FE4">
        <w:t xml:space="preserve">planning </w:t>
      </w:r>
      <w:r w:rsidR="006C4B9F" w:rsidRPr="00011FE4">
        <w:t>framework based</w:t>
      </w:r>
      <w:r w:rsidR="00520C87" w:rsidRPr="00011FE4">
        <w:t xml:space="preserve"> </w:t>
      </w:r>
      <w:r w:rsidR="006C4B9F" w:rsidRPr="00011FE4">
        <w:t>on avoiding</w:t>
      </w:r>
      <w:r w:rsidR="00520C87" w:rsidRPr="00011FE4">
        <w:t xml:space="preserve"> discrimination.</w:t>
      </w:r>
      <w:r w:rsidR="00E64B1B" w:rsidRPr="00011FE4">
        <w:t xml:space="preserve"> </w:t>
      </w:r>
      <w:r w:rsidR="00B54610" w:rsidRPr="00011FE4">
        <w:t>S</w:t>
      </w:r>
      <w:r w:rsidR="00E64B1B" w:rsidRPr="00011FE4">
        <w:t xml:space="preserve">ound knowledge </w:t>
      </w:r>
      <w:r w:rsidR="00FF29EE" w:rsidRPr="00011FE4">
        <w:t>of equalities</w:t>
      </w:r>
      <w:r w:rsidR="0037071D" w:rsidRPr="00011FE4">
        <w:t xml:space="preserve"> legislation</w:t>
      </w:r>
      <w:r w:rsidR="00E64B1B" w:rsidRPr="00011FE4">
        <w:t xml:space="preserve"> is </w:t>
      </w:r>
      <w:r w:rsidR="00FF29EE" w:rsidRPr="00011FE4">
        <w:t>essential,</w:t>
      </w:r>
      <w:r w:rsidR="00E64B1B" w:rsidRPr="00011FE4">
        <w:t xml:space="preserve"> particularly for disability service heads</w:t>
      </w:r>
      <w:r w:rsidR="0037071D" w:rsidRPr="00011FE4">
        <w:t>.</w:t>
      </w:r>
      <w:r w:rsidR="00471217" w:rsidRPr="00011FE4">
        <w:t xml:space="preserve"> </w:t>
      </w:r>
      <w:r w:rsidR="005D1AFE" w:rsidRPr="00011FE4">
        <w:t xml:space="preserve">Guidance for staff working on UDL is limited. The literature review which follows unpacks available </w:t>
      </w:r>
      <w:r w:rsidR="008B68AB" w:rsidRPr="00011FE4">
        <w:t>information</w:t>
      </w:r>
      <w:r w:rsidR="005D1AFE" w:rsidRPr="00011FE4">
        <w:t xml:space="preserve"> and identifies </w:t>
      </w:r>
      <w:r w:rsidR="007D7B96" w:rsidRPr="00011FE4">
        <w:t xml:space="preserve">some </w:t>
      </w:r>
      <w:r w:rsidR="005D1AFE" w:rsidRPr="00011FE4">
        <w:t>big gaps.</w:t>
      </w:r>
      <w:r w:rsidR="00FF429D" w:rsidRPr="00011FE4">
        <w:t xml:space="preserve"> Covid 19 is </w:t>
      </w:r>
      <w:r w:rsidR="002C2649" w:rsidRPr="00011FE4">
        <w:t>too recent to be reflected in peer reviewed research.</w:t>
      </w:r>
      <w:r w:rsidR="005D1AFE" w:rsidRPr="00011FE4">
        <w:t xml:space="preserve"> </w:t>
      </w:r>
    </w:p>
    <w:p w14:paraId="26183F0E" w14:textId="0B37AFF1" w:rsidR="00524BD4" w:rsidRPr="00011FE4" w:rsidRDefault="00524BD4" w:rsidP="00235691"/>
    <w:p w14:paraId="72655856" w14:textId="07C7A959" w:rsidR="00524BD4" w:rsidRPr="00011FE4" w:rsidRDefault="00524BD4" w:rsidP="00235691">
      <w:pPr>
        <w:rPr>
          <w:b/>
        </w:rPr>
      </w:pPr>
      <w:r w:rsidRPr="00011FE4">
        <w:rPr>
          <w:b/>
        </w:rPr>
        <w:t>Literature Review</w:t>
      </w:r>
    </w:p>
    <w:p w14:paraId="4672499B" w14:textId="533AAFC9" w:rsidR="002717A1" w:rsidRPr="00011FE4" w:rsidRDefault="001B7960" w:rsidP="00235691">
      <w:r w:rsidRPr="00011FE4">
        <w:rPr>
          <w:rFonts w:eastAsia="Arial"/>
        </w:rPr>
        <w:t>S</w:t>
      </w:r>
      <w:r w:rsidR="00E60AD0" w:rsidRPr="00011FE4">
        <w:rPr>
          <w:rFonts w:eastAsia="Arial"/>
        </w:rPr>
        <w:t xml:space="preserve">earch terms such as </w:t>
      </w:r>
      <w:r w:rsidR="00FF29EE" w:rsidRPr="00011FE4">
        <w:rPr>
          <w:rFonts w:eastAsia="Arial"/>
        </w:rPr>
        <w:t>‘Disability</w:t>
      </w:r>
      <w:r w:rsidR="00E60AD0" w:rsidRPr="00011FE4">
        <w:rPr>
          <w:rFonts w:eastAsia="Arial"/>
        </w:rPr>
        <w:t xml:space="preserve"> equality, incl</w:t>
      </w:r>
      <w:r w:rsidR="00DE3F07" w:rsidRPr="00011FE4">
        <w:rPr>
          <w:rFonts w:eastAsia="Arial"/>
        </w:rPr>
        <w:t>usive practice, universal design for learning</w:t>
      </w:r>
      <w:r w:rsidR="007D7B96" w:rsidRPr="00011FE4">
        <w:rPr>
          <w:rFonts w:eastAsia="Arial"/>
        </w:rPr>
        <w:t xml:space="preserve"> (UDL)</w:t>
      </w:r>
      <w:r w:rsidR="00DE3F07" w:rsidRPr="00011FE4">
        <w:rPr>
          <w:rFonts w:eastAsia="Arial"/>
        </w:rPr>
        <w:t>, higher education UK, USA’</w:t>
      </w:r>
      <w:r w:rsidRPr="00011FE4">
        <w:rPr>
          <w:rFonts w:eastAsia="Arial"/>
        </w:rPr>
        <w:t xml:space="preserve"> </w:t>
      </w:r>
      <w:r w:rsidR="00F635AF" w:rsidRPr="00011FE4">
        <w:rPr>
          <w:rFonts w:eastAsia="Arial"/>
        </w:rPr>
        <w:t>yielded slim pickings</w:t>
      </w:r>
      <w:r w:rsidR="00DE3F07" w:rsidRPr="00011FE4">
        <w:rPr>
          <w:rFonts w:eastAsia="Arial"/>
        </w:rPr>
        <w:t xml:space="preserve">. Google </w:t>
      </w:r>
      <w:r w:rsidR="00143E43" w:rsidRPr="00011FE4">
        <w:rPr>
          <w:rFonts w:eastAsia="Arial"/>
        </w:rPr>
        <w:t>S</w:t>
      </w:r>
      <w:r w:rsidR="00DE3F07" w:rsidRPr="00011FE4">
        <w:rPr>
          <w:rFonts w:eastAsia="Arial"/>
        </w:rPr>
        <w:t xml:space="preserve">cholar and various data </w:t>
      </w:r>
      <w:r w:rsidR="00FF29EE" w:rsidRPr="00011FE4">
        <w:rPr>
          <w:rFonts w:eastAsia="Arial"/>
        </w:rPr>
        <w:t>bases revealed small</w:t>
      </w:r>
      <w:r w:rsidR="00143E43" w:rsidRPr="00011FE4">
        <w:rPr>
          <w:rFonts w:eastAsia="Arial"/>
        </w:rPr>
        <w:t>-</w:t>
      </w:r>
      <w:r w:rsidR="00524BD4" w:rsidRPr="00011FE4">
        <w:rPr>
          <w:rFonts w:eastAsia="Arial"/>
        </w:rPr>
        <w:t xml:space="preserve">scale </w:t>
      </w:r>
      <w:r w:rsidR="00943BAA" w:rsidRPr="00011FE4">
        <w:rPr>
          <w:rFonts w:eastAsia="Arial"/>
        </w:rPr>
        <w:t>studies</w:t>
      </w:r>
      <w:r w:rsidR="00143E43" w:rsidRPr="00011FE4">
        <w:rPr>
          <w:rFonts w:eastAsia="Arial"/>
        </w:rPr>
        <w:t xml:space="preserve"> </w:t>
      </w:r>
      <w:r w:rsidR="00943BAA" w:rsidRPr="00011FE4">
        <w:rPr>
          <w:rFonts w:eastAsia="Arial"/>
        </w:rPr>
        <w:t>generally</w:t>
      </w:r>
      <w:r w:rsidR="00524BD4" w:rsidRPr="00011FE4">
        <w:rPr>
          <w:rFonts w:eastAsia="Arial"/>
        </w:rPr>
        <w:t xml:space="preserve"> </w:t>
      </w:r>
      <w:r w:rsidR="00B02517" w:rsidRPr="00011FE4">
        <w:rPr>
          <w:rFonts w:eastAsia="Arial"/>
        </w:rPr>
        <w:t>by</w:t>
      </w:r>
      <w:r w:rsidR="00524BD4" w:rsidRPr="00011FE4">
        <w:rPr>
          <w:rFonts w:eastAsia="Arial"/>
        </w:rPr>
        <w:t xml:space="preserve"> </w:t>
      </w:r>
      <w:r w:rsidR="006C4B9F" w:rsidRPr="00011FE4">
        <w:rPr>
          <w:rFonts w:eastAsia="Arial"/>
        </w:rPr>
        <w:t>researchers broadly</w:t>
      </w:r>
      <w:r w:rsidR="00B02517" w:rsidRPr="00011FE4">
        <w:rPr>
          <w:rFonts w:eastAsia="Arial"/>
        </w:rPr>
        <w:t xml:space="preserve"> shar</w:t>
      </w:r>
      <w:r w:rsidR="00B54610" w:rsidRPr="00011FE4">
        <w:rPr>
          <w:rFonts w:eastAsia="Arial"/>
        </w:rPr>
        <w:t>ing</w:t>
      </w:r>
      <w:r w:rsidR="00B02517" w:rsidRPr="00011FE4">
        <w:rPr>
          <w:rFonts w:eastAsia="Arial"/>
        </w:rPr>
        <w:t xml:space="preserve"> the ontological perspective </w:t>
      </w:r>
      <w:r w:rsidRPr="00011FE4">
        <w:rPr>
          <w:rFonts w:eastAsia="Arial"/>
        </w:rPr>
        <w:t xml:space="preserve">of UDL </w:t>
      </w:r>
      <w:r w:rsidR="006C4B9F" w:rsidRPr="00011FE4">
        <w:rPr>
          <w:rFonts w:eastAsia="Arial"/>
        </w:rPr>
        <w:t>aficionados.</w:t>
      </w:r>
      <w:r w:rsidR="00943BAA" w:rsidRPr="00011FE4">
        <w:rPr>
          <w:rFonts w:eastAsia="Arial"/>
        </w:rPr>
        <w:t xml:space="preserve"> </w:t>
      </w:r>
      <w:r w:rsidR="000A7CC8" w:rsidRPr="00011FE4">
        <w:rPr>
          <w:rFonts w:eastAsia="Arial"/>
        </w:rPr>
        <w:t>C</w:t>
      </w:r>
      <w:r w:rsidR="000D132D" w:rsidRPr="00011FE4">
        <w:rPr>
          <w:rFonts w:eastAsia="Arial"/>
        </w:rPr>
        <w:t>ommon insight emerged</w:t>
      </w:r>
      <w:r w:rsidR="000A7CC8" w:rsidRPr="00011FE4">
        <w:rPr>
          <w:rFonts w:eastAsia="Arial"/>
        </w:rPr>
        <w:t xml:space="preserve"> but</w:t>
      </w:r>
      <w:r w:rsidR="000D132D" w:rsidRPr="00011FE4">
        <w:rPr>
          <w:rFonts w:eastAsia="Arial"/>
        </w:rPr>
        <w:t xml:space="preserve"> v</w:t>
      </w:r>
      <w:r w:rsidR="00943BAA" w:rsidRPr="00011FE4">
        <w:rPr>
          <w:rFonts w:eastAsia="Arial"/>
        </w:rPr>
        <w:t xml:space="preserve">ariations in </w:t>
      </w:r>
      <w:r w:rsidR="00FF29EE" w:rsidRPr="00011FE4">
        <w:rPr>
          <w:rFonts w:eastAsia="Arial"/>
        </w:rPr>
        <w:t>terminology and</w:t>
      </w:r>
      <w:r w:rsidR="000D132D" w:rsidRPr="00011FE4">
        <w:rPr>
          <w:rFonts w:eastAsia="Arial"/>
        </w:rPr>
        <w:t xml:space="preserve"> methodology</w:t>
      </w:r>
      <w:r w:rsidR="00943BAA" w:rsidRPr="00011FE4">
        <w:rPr>
          <w:rFonts w:eastAsia="Arial"/>
        </w:rPr>
        <w:t xml:space="preserve"> </w:t>
      </w:r>
      <w:r w:rsidR="006C4B9F" w:rsidRPr="00011FE4">
        <w:rPr>
          <w:rFonts w:eastAsia="Arial"/>
        </w:rPr>
        <w:t>made comparison</w:t>
      </w:r>
      <w:r w:rsidR="00FF29EE" w:rsidRPr="00011FE4">
        <w:rPr>
          <w:rFonts w:eastAsia="Arial"/>
        </w:rPr>
        <w:t xml:space="preserve"> </w:t>
      </w:r>
      <w:r w:rsidR="008B68AB" w:rsidRPr="00011FE4">
        <w:rPr>
          <w:rFonts w:eastAsia="Arial"/>
        </w:rPr>
        <w:t>challenging</w:t>
      </w:r>
      <w:r w:rsidR="00FF29EE" w:rsidRPr="00011FE4">
        <w:rPr>
          <w:rFonts w:eastAsia="Arial"/>
        </w:rPr>
        <w:t>.</w:t>
      </w:r>
      <w:r w:rsidR="00070113" w:rsidRPr="00011FE4">
        <w:t xml:space="preserve"> P</w:t>
      </w:r>
      <w:r w:rsidR="00524BD4" w:rsidRPr="00011FE4">
        <w:t>ockets of UDL</w:t>
      </w:r>
      <w:r w:rsidR="00143E43" w:rsidRPr="00011FE4">
        <w:t>-</w:t>
      </w:r>
      <w:r w:rsidR="00524BD4" w:rsidRPr="00011FE4">
        <w:t>informed inclusive pedagogy and delivery</w:t>
      </w:r>
      <w:r w:rsidR="00070113" w:rsidRPr="00011FE4">
        <w:t xml:space="preserve"> </w:t>
      </w:r>
      <w:r w:rsidR="00F11A23" w:rsidRPr="00011FE4">
        <w:t>were revealed. Examples included</w:t>
      </w:r>
      <w:r w:rsidR="003B1BCB" w:rsidRPr="00011FE4">
        <w:t>:</w:t>
      </w:r>
      <w:r w:rsidR="00524BD4" w:rsidRPr="00011FE4">
        <w:t xml:space="preserve"> accessible virtual learning environments (VLEs), effective use of technology, multiple means of engagement</w:t>
      </w:r>
      <w:r w:rsidR="00F11A23" w:rsidRPr="00011FE4">
        <w:t>,</w:t>
      </w:r>
      <w:r w:rsidR="00524BD4" w:rsidRPr="00011FE4">
        <w:t xml:space="preserve"> easy access to help from </w:t>
      </w:r>
      <w:r w:rsidR="006C4B9F" w:rsidRPr="00011FE4">
        <w:t>PS and</w:t>
      </w:r>
      <w:r w:rsidR="00F11A23" w:rsidRPr="00011FE4">
        <w:t xml:space="preserve"> promotion of a culture of belonging</w:t>
      </w:r>
      <w:r w:rsidR="00524BD4" w:rsidRPr="00011FE4">
        <w:t xml:space="preserve">. </w:t>
      </w:r>
      <w:r w:rsidR="006C4B9F" w:rsidRPr="00011FE4">
        <w:t>Studies framed</w:t>
      </w:r>
      <w:r w:rsidR="00524BD4" w:rsidRPr="00011FE4">
        <w:t xml:space="preserve"> </w:t>
      </w:r>
      <w:r w:rsidR="006C4B9F" w:rsidRPr="00011FE4">
        <w:t>around entitlement</w:t>
      </w:r>
      <w:r w:rsidR="00524BD4" w:rsidRPr="00011FE4">
        <w:t xml:space="preserve"> </w:t>
      </w:r>
      <w:r w:rsidR="00070113" w:rsidRPr="00011FE4">
        <w:t>positioned</w:t>
      </w:r>
      <w:r w:rsidR="00524BD4" w:rsidRPr="00011FE4">
        <w:t xml:space="preserve"> </w:t>
      </w:r>
      <w:r w:rsidR="00FF29EE" w:rsidRPr="00011FE4">
        <w:t>disability under</w:t>
      </w:r>
      <w:r w:rsidR="00524BD4" w:rsidRPr="00011FE4">
        <w:t xml:space="preserve"> the </w:t>
      </w:r>
      <w:r w:rsidR="00070113" w:rsidRPr="00011FE4">
        <w:t xml:space="preserve">broader </w:t>
      </w:r>
      <w:r w:rsidR="00524BD4" w:rsidRPr="00011FE4">
        <w:t>equalities umbrella</w:t>
      </w:r>
      <w:r w:rsidR="00070113" w:rsidRPr="00011FE4">
        <w:t xml:space="preserve"> and recognised</w:t>
      </w:r>
      <w:r w:rsidR="00524BD4" w:rsidRPr="00011FE4">
        <w:t xml:space="preserve"> </w:t>
      </w:r>
      <w:r w:rsidR="00070113" w:rsidRPr="00011FE4">
        <w:t>i</w:t>
      </w:r>
      <w:r w:rsidR="00524BD4" w:rsidRPr="00011FE4">
        <w:t>ntersectionality</w:t>
      </w:r>
      <w:r w:rsidR="008F70C7" w:rsidRPr="00011FE4">
        <w:t xml:space="preserve">, cultural </w:t>
      </w:r>
      <w:proofErr w:type="gramStart"/>
      <w:r w:rsidR="008F70C7" w:rsidRPr="00011FE4">
        <w:t>sensitivity</w:t>
      </w:r>
      <w:proofErr w:type="gramEnd"/>
      <w:r w:rsidR="00524BD4" w:rsidRPr="00011FE4">
        <w:t xml:space="preserve"> </w:t>
      </w:r>
      <w:r w:rsidR="00070113" w:rsidRPr="00011FE4">
        <w:t>and multiple oppression</w:t>
      </w:r>
      <w:r w:rsidR="006E5916" w:rsidRPr="00011FE4">
        <w:t xml:space="preserve"> (</w:t>
      </w:r>
      <w:r w:rsidR="00B54610" w:rsidRPr="00011FE4">
        <w:t>Anderson et al</w:t>
      </w:r>
      <w:r w:rsidR="005F575D" w:rsidRPr="00011FE4">
        <w:t>.</w:t>
      </w:r>
      <w:r w:rsidR="00897CA3" w:rsidRPr="00011FE4">
        <w:t>,</w:t>
      </w:r>
      <w:r w:rsidR="00B54610" w:rsidRPr="00011FE4">
        <w:t xml:space="preserve"> 2019</w:t>
      </w:r>
      <w:r w:rsidR="00897CA3" w:rsidRPr="00011FE4">
        <w:t>;</w:t>
      </w:r>
      <w:r w:rsidR="00B54610" w:rsidRPr="00011FE4">
        <w:t xml:space="preserve"> </w:t>
      </w:r>
      <w:r w:rsidR="008F70C7" w:rsidRPr="00011FE4">
        <w:t>Bracken and Nov</w:t>
      </w:r>
      <w:r w:rsidR="00235F22" w:rsidRPr="00011FE4">
        <w:t>a</w:t>
      </w:r>
      <w:r w:rsidR="008F70C7" w:rsidRPr="00011FE4">
        <w:t>k</w:t>
      </w:r>
      <w:r w:rsidR="00897CA3" w:rsidRPr="00011FE4">
        <w:t>,</w:t>
      </w:r>
      <w:r w:rsidR="008F70C7" w:rsidRPr="00011FE4">
        <w:t xml:space="preserve"> 2019</w:t>
      </w:r>
      <w:r w:rsidR="00897CA3" w:rsidRPr="00011FE4">
        <w:t>;</w:t>
      </w:r>
      <w:r w:rsidR="008F70C7" w:rsidRPr="00011FE4">
        <w:t xml:space="preserve"> </w:t>
      </w:r>
      <w:r w:rsidR="006E5916" w:rsidRPr="00011FE4">
        <w:t>Leadley-Meade and Goodwin</w:t>
      </w:r>
      <w:r w:rsidR="00897CA3" w:rsidRPr="00011FE4">
        <w:t>,</w:t>
      </w:r>
      <w:r w:rsidR="006E5916" w:rsidRPr="00011FE4">
        <w:t xml:space="preserve"> 2019</w:t>
      </w:r>
      <w:r w:rsidR="00897CA3" w:rsidRPr="00011FE4">
        <w:t>;</w:t>
      </w:r>
      <w:r w:rsidR="00CA1BD3" w:rsidRPr="00011FE4">
        <w:t xml:space="preserve"> L</w:t>
      </w:r>
      <w:r w:rsidR="00B90340" w:rsidRPr="00011FE4">
        <w:t>iu</w:t>
      </w:r>
      <w:r w:rsidR="00897CA3" w:rsidRPr="00011FE4">
        <w:t>,</w:t>
      </w:r>
      <w:r w:rsidR="00CA1BD3" w:rsidRPr="00011FE4">
        <w:t xml:space="preserve"> 2017</w:t>
      </w:r>
      <w:r w:rsidR="006E5916" w:rsidRPr="00011FE4">
        <w:t>)</w:t>
      </w:r>
      <w:r w:rsidR="00070113" w:rsidRPr="00011FE4">
        <w:t>.</w:t>
      </w:r>
      <w:r w:rsidR="00524BD4" w:rsidRPr="00011FE4">
        <w:t xml:space="preserve"> Student voice was </w:t>
      </w:r>
      <w:r w:rsidR="001D1DCA" w:rsidRPr="00011FE4">
        <w:t xml:space="preserve">viewed as central by many researchers, such as Hastwell </w:t>
      </w:r>
      <w:r w:rsidR="00EE1D24" w:rsidRPr="00011FE4">
        <w:t>et al.</w:t>
      </w:r>
      <w:r w:rsidR="00235F22" w:rsidRPr="00011FE4">
        <w:t xml:space="preserve"> </w:t>
      </w:r>
      <w:r w:rsidR="00897CA3" w:rsidRPr="00011FE4">
        <w:t>(</w:t>
      </w:r>
      <w:r w:rsidR="001D1DCA" w:rsidRPr="00011FE4">
        <w:t>2012, 2017</w:t>
      </w:r>
      <w:r w:rsidR="00897CA3" w:rsidRPr="00011FE4">
        <w:t>),</w:t>
      </w:r>
      <w:r w:rsidR="001D1DCA" w:rsidRPr="00011FE4">
        <w:t xml:space="preserve"> Hughes </w:t>
      </w:r>
      <w:r w:rsidR="00EE1D24" w:rsidRPr="00011FE4">
        <w:t>et al.</w:t>
      </w:r>
      <w:r w:rsidR="00235F22" w:rsidRPr="00011FE4">
        <w:t xml:space="preserve"> </w:t>
      </w:r>
      <w:r w:rsidR="00897CA3" w:rsidRPr="00011FE4">
        <w:t>(</w:t>
      </w:r>
      <w:r w:rsidR="001D1DCA" w:rsidRPr="00011FE4">
        <w:t>201</w:t>
      </w:r>
      <w:r w:rsidR="00235F22" w:rsidRPr="00011FE4">
        <w:t>6</w:t>
      </w:r>
      <w:r w:rsidR="00897CA3" w:rsidRPr="00011FE4">
        <w:t>),</w:t>
      </w:r>
      <w:r w:rsidR="001D1DCA" w:rsidRPr="00011FE4">
        <w:t xml:space="preserve"> and Seale</w:t>
      </w:r>
      <w:r w:rsidR="00897CA3" w:rsidRPr="00011FE4">
        <w:t xml:space="preserve"> (</w:t>
      </w:r>
      <w:r w:rsidR="001D1DCA" w:rsidRPr="00011FE4">
        <w:t>2009</w:t>
      </w:r>
      <w:r w:rsidR="00897CA3" w:rsidRPr="00011FE4">
        <w:t>), but</w:t>
      </w:r>
      <w:r w:rsidR="001D1DCA" w:rsidRPr="00011FE4">
        <w:t xml:space="preserve"> not evident in all</w:t>
      </w:r>
      <w:r w:rsidR="008B68AB" w:rsidRPr="00011FE4">
        <w:t xml:space="preserve"> </w:t>
      </w:r>
      <w:r w:rsidR="00BE005C" w:rsidRPr="00011FE4">
        <w:t xml:space="preserve">studies. </w:t>
      </w:r>
    </w:p>
    <w:p w14:paraId="47AF3CF0" w14:textId="77777777" w:rsidR="002717A1" w:rsidRPr="00011FE4" w:rsidRDefault="002717A1" w:rsidP="00235691"/>
    <w:p w14:paraId="28C1ADBD" w14:textId="08DC1ED6" w:rsidR="002717A1" w:rsidRPr="00011FE4" w:rsidRDefault="003E3D88" w:rsidP="00235691">
      <w:pPr>
        <w:pStyle w:val="Heading3"/>
        <w:rPr>
          <w:rFonts w:cs="Arial"/>
        </w:rPr>
      </w:pPr>
      <w:r w:rsidRPr="00011FE4">
        <w:rPr>
          <w:rFonts w:cs="Arial"/>
        </w:rPr>
        <w:t>Terminology</w:t>
      </w:r>
    </w:p>
    <w:p w14:paraId="31D14EB2" w14:textId="2C7881A8" w:rsidR="00235691" w:rsidRPr="00011FE4" w:rsidRDefault="00235691" w:rsidP="00235691">
      <w:r w:rsidRPr="00011FE4">
        <w:t>Terms</w:t>
      </w:r>
      <w:r w:rsidR="00070113" w:rsidRPr="00011FE4">
        <w:t xml:space="preserve"> </w:t>
      </w:r>
      <w:r w:rsidR="00373102" w:rsidRPr="00011FE4">
        <w:t>like</w:t>
      </w:r>
      <w:r w:rsidRPr="00011FE4">
        <w:t xml:space="preserve"> UDL, universal design (UD) and inclusion </w:t>
      </w:r>
      <w:r w:rsidR="00EB37FE" w:rsidRPr="00011FE4">
        <w:t>appear</w:t>
      </w:r>
      <w:r w:rsidRPr="00011FE4">
        <w:t xml:space="preserve"> interchangeably</w:t>
      </w:r>
      <w:r w:rsidR="008B30CD" w:rsidRPr="00011FE4">
        <w:t>,</w:t>
      </w:r>
      <w:r w:rsidR="00EB37FE" w:rsidRPr="00011FE4">
        <w:t xml:space="preserve"> partly</w:t>
      </w:r>
      <w:r w:rsidRPr="00011FE4">
        <w:t xml:space="preserve"> because </w:t>
      </w:r>
      <w:r w:rsidR="00FF29EE" w:rsidRPr="00011FE4">
        <w:t>of similarities</w:t>
      </w:r>
      <w:r w:rsidRPr="00011FE4">
        <w:t xml:space="preserve"> </w:t>
      </w:r>
      <w:r w:rsidR="006C4B9F" w:rsidRPr="00011FE4">
        <w:t>in philosophy</w:t>
      </w:r>
      <w:r w:rsidRPr="00011FE4">
        <w:t xml:space="preserve">. UD and inclusion extend beyond education and are predicated </w:t>
      </w:r>
      <w:r w:rsidR="006C4B9F" w:rsidRPr="00011FE4">
        <w:t>on planning</w:t>
      </w:r>
      <w:r w:rsidRPr="00011FE4">
        <w:t xml:space="preserve"> for </w:t>
      </w:r>
      <w:r w:rsidR="00070113" w:rsidRPr="00011FE4">
        <w:t xml:space="preserve">universal </w:t>
      </w:r>
      <w:r w:rsidRPr="00011FE4">
        <w:t xml:space="preserve">social </w:t>
      </w:r>
      <w:r w:rsidR="00FF29EE" w:rsidRPr="00011FE4">
        <w:t>inclusion.</w:t>
      </w:r>
      <w:r w:rsidRPr="00011FE4">
        <w:t xml:space="preserve"> UDL </w:t>
      </w:r>
      <w:r w:rsidR="006C4B9F" w:rsidRPr="00011FE4">
        <w:t>is specifically</w:t>
      </w:r>
      <w:r w:rsidRPr="00011FE4">
        <w:t xml:space="preserve"> </w:t>
      </w:r>
      <w:r w:rsidR="00373102" w:rsidRPr="00011FE4">
        <w:t>about</w:t>
      </w:r>
      <w:r w:rsidRPr="00011FE4">
        <w:t xml:space="preserve"> education (Al-Azawei et al., 2016; Bracken and Novak, </w:t>
      </w:r>
      <w:r w:rsidR="00FF29EE" w:rsidRPr="00011FE4">
        <w:t>2019;</w:t>
      </w:r>
      <w:r w:rsidRPr="00011FE4">
        <w:t xml:space="preserve"> Lawrie et al., 2017; Milton et al., 2016). </w:t>
      </w:r>
      <w:r w:rsidR="00FF29EE" w:rsidRPr="00011FE4">
        <w:t xml:space="preserve">The </w:t>
      </w:r>
      <w:r w:rsidR="00B7112E" w:rsidRPr="00011FE4">
        <w:t>idea</w:t>
      </w:r>
      <w:r w:rsidR="00FF29EE" w:rsidRPr="00011FE4">
        <w:t xml:space="preserve"> </w:t>
      </w:r>
      <w:r w:rsidR="006C4B9F" w:rsidRPr="00011FE4">
        <w:t>was described</w:t>
      </w:r>
      <w:r w:rsidRPr="00011FE4">
        <w:t xml:space="preserve"> thus by </w:t>
      </w:r>
      <w:r w:rsidR="008B30CD" w:rsidRPr="00011FE4">
        <w:t>t</w:t>
      </w:r>
      <w:r w:rsidRPr="00011FE4">
        <w:t xml:space="preserve">he US </w:t>
      </w:r>
      <w:r w:rsidR="00BC03B1" w:rsidRPr="00011FE4">
        <w:t>Congress</w:t>
      </w:r>
      <w:r w:rsidR="00B7112E" w:rsidRPr="00011FE4">
        <w:t xml:space="preserve"> </w:t>
      </w:r>
      <w:r w:rsidR="008B30CD" w:rsidRPr="00011FE4">
        <w:t>(</w:t>
      </w:r>
      <w:r w:rsidR="00B7112E" w:rsidRPr="00011FE4">
        <w:t>2008</w:t>
      </w:r>
      <w:r w:rsidR="008B30CD" w:rsidRPr="00011FE4">
        <w:t>)</w:t>
      </w:r>
      <w:r w:rsidR="00FF29EE" w:rsidRPr="00011FE4">
        <w:t>:</w:t>
      </w:r>
    </w:p>
    <w:p w14:paraId="3C0F8403" w14:textId="77777777" w:rsidR="00233AE8" w:rsidRPr="00011FE4" w:rsidRDefault="00EB37FE" w:rsidP="00235691">
      <w:pPr>
        <w:ind w:left="426" w:right="804"/>
      </w:pPr>
      <w:r w:rsidRPr="00011FE4">
        <w:t>UDL</w:t>
      </w:r>
      <w:r w:rsidR="00235691" w:rsidRPr="00011FE4">
        <w:t xml:space="preserve"> provides flexibility in the ways</w:t>
      </w:r>
      <w:r w:rsidRPr="00011FE4">
        <w:t>:</w:t>
      </w:r>
      <w:r w:rsidR="00235691" w:rsidRPr="00011FE4">
        <w:t xml:space="preserve"> information is presented</w:t>
      </w:r>
      <w:r w:rsidRPr="00011FE4">
        <w:t>…</w:t>
      </w:r>
      <w:r w:rsidR="00235691" w:rsidRPr="00011FE4">
        <w:t xml:space="preserve"> students respond or demonstrate knowledge and skills</w:t>
      </w:r>
      <w:r w:rsidRPr="00011FE4">
        <w:t>…</w:t>
      </w:r>
      <w:r w:rsidR="00235691" w:rsidRPr="00011FE4">
        <w:t xml:space="preserve">students are engaged. UDL reduces barriers in instruction, provides appropriate accommodations, </w:t>
      </w:r>
      <w:proofErr w:type="gramStart"/>
      <w:r w:rsidR="00235691" w:rsidRPr="00011FE4">
        <w:t>supports</w:t>
      </w:r>
      <w:proofErr w:type="gramEnd"/>
      <w:r w:rsidR="00235691" w:rsidRPr="00011FE4">
        <w:t xml:space="preserve"> and challenges, and maintains high achievement expectations for all</w:t>
      </w:r>
      <w:r w:rsidR="00233AE8" w:rsidRPr="00011FE4">
        <w:t>.</w:t>
      </w:r>
      <w:r w:rsidR="00235691" w:rsidRPr="00011FE4">
        <w:t xml:space="preserve"> </w:t>
      </w:r>
    </w:p>
    <w:p w14:paraId="45C4BD8F" w14:textId="308A1334" w:rsidR="00235691" w:rsidRPr="00011FE4" w:rsidRDefault="00235691" w:rsidP="00233AE8">
      <w:pPr>
        <w:ind w:left="426" w:right="804"/>
        <w:jc w:val="right"/>
      </w:pPr>
      <w:r w:rsidRPr="00011FE4">
        <w:t>(US Congress, 2008).</w:t>
      </w:r>
    </w:p>
    <w:p w14:paraId="29DC3289" w14:textId="7A82E302" w:rsidR="004B529C" w:rsidRPr="00011FE4" w:rsidRDefault="004B529C" w:rsidP="004B529C">
      <w:pPr>
        <w:ind w:right="1088"/>
      </w:pPr>
      <w:r w:rsidRPr="00011FE4">
        <w:t xml:space="preserve">UDL is </w:t>
      </w:r>
      <w:r w:rsidR="006500D8" w:rsidRPr="00011FE4">
        <w:t>founded on</w:t>
      </w:r>
      <w:r w:rsidRPr="00011FE4">
        <w:t xml:space="preserve"> UD and inclusive </w:t>
      </w:r>
      <w:r w:rsidR="006C4B9F" w:rsidRPr="00011FE4">
        <w:t>practices looking</w:t>
      </w:r>
      <w:r w:rsidRPr="00011FE4">
        <w:t xml:space="preserve"> beyond the purely </w:t>
      </w:r>
      <w:r w:rsidR="00FF29EE" w:rsidRPr="00011FE4">
        <w:t>academic (</w:t>
      </w:r>
      <w:r w:rsidRPr="00011FE4">
        <w:t>Burgstahler, 2015</w:t>
      </w:r>
      <w:r w:rsidR="00B8148B" w:rsidRPr="00011FE4">
        <w:t>;</w:t>
      </w:r>
      <w:r w:rsidRPr="00011FE4">
        <w:t xml:space="preserve"> </w:t>
      </w:r>
      <w:r w:rsidR="003C58F2" w:rsidRPr="00011FE4">
        <w:t>Hadley et al</w:t>
      </w:r>
      <w:r w:rsidR="00072029" w:rsidRPr="00011FE4">
        <w:t>.</w:t>
      </w:r>
      <w:r w:rsidR="00B8148B" w:rsidRPr="00011FE4">
        <w:t>,</w:t>
      </w:r>
      <w:r w:rsidR="003C58F2" w:rsidRPr="00011FE4">
        <w:t xml:space="preserve"> 2020</w:t>
      </w:r>
      <w:r w:rsidR="00B8148B" w:rsidRPr="00011FE4">
        <w:t>;</w:t>
      </w:r>
      <w:r w:rsidR="003C58F2" w:rsidRPr="00011FE4">
        <w:t xml:space="preserve"> </w:t>
      </w:r>
      <w:r w:rsidRPr="00011FE4">
        <w:t>Hockings, 2010</w:t>
      </w:r>
      <w:r w:rsidR="00B8148B" w:rsidRPr="00011FE4">
        <w:t>;</w:t>
      </w:r>
      <w:r w:rsidRPr="00011FE4">
        <w:t xml:space="preserve"> Leadley-Meade and Goodwin, 2019). Student experience does not happen in little boxes </w:t>
      </w:r>
      <w:r w:rsidR="006C4B9F" w:rsidRPr="00011FE4">
        <w:t>and UD is</w:t>
      </w:r>
      <w:r w:rsidRPr="00011FE4">
        <w:t xml:space="preserve"> cognisant </w:t>
      </w:r>
      <w:r w:rsidR="00FF29EE" w:rsidRPr="00011FE4">
        <w:t>of every</w:t>
      </w:r>
      <w:r w:rsidRPr="00011FE4">
        <w:t xml:space="preserve"> aspect of the inclusive student journey</w:t>
      </w:r>
      <w:r w:rsidR="000845FB" w:rsidRPr="00011FE4">
        <w:t>,</w:t>
      </w:r>
      <w:r w:rsidRPr="00011FE4">
        <w:t xml:space="preserve"> pre</w:t>
      </w:r>
      <w:r w:rsidR="00B8148B" w:rsidRPr="00011FE4">
        <w:t>-</w:t>
      </w:r>
      <w:r w:rsidRPr="00011FE4">
        <w:t>entry to post</w:t>
      </w:r>
      <w:r w:rsidR="00B8148B" w:rsidRPr="00011FE4">
        <w:t>-</w:t>
      </w:r>
      <w:r w:rsidRPr="00011FE4">
        <w:t xml:space="preserve">exit. Advantages of UDL extend beyond disabled learners </w:t>
      </w:r>
      <w:r w:rsidR="006C4B9F" w:rsidRPr="00011FE4">
        <w:t>and classroom</w:t>
      </w:r>
      <w:r w:rsidR="000845FB" w:rsidRPr="00011FE4">
        <w:t xml:space="preserve"> </w:t>
      </w:r>
      <w:r w:rsidR="006C4B9F" w:rsidRPr="00011FE4">
        <w:t>practice (</w:t>
      </w:r>
      <w:r w:rsidR="008F70C7" w:rsidRPr="00011FE4">
        <w:t>Bracken and Novak</w:t>
      </w:r>
      <w:r w:rsidR="00B8148B" w:rsidRPr="00011FE4">
        <w:t>,</w:t>
      </w:r>
      <w:r w:rsidR="008F70C7" w:rsidRPr="00011FE4">
        <w:t xml:space="preserve"> 2019</w:t>
      </w:r>
      <w:r w:rsidR="00B8148B" w:rsidRPr="00011FE4">
        <w:t>;</w:t>
      </w:r>
      <w:r w:rsidR="008F70C7" w:rsidRPr="00011FE4">
        <w:t xml:space="preserve"> </w:t>
      </w:r>
      <w:r w:rsidRPr="00011FE4">
        <w:t>Jones, 2018; Knight et al</w:t>
      </w:r>
      <w:r w:rsidR="00B8148B" w:rsidRPr="00011FE4">
        <w:t>.</w:t>
      </w:r>
      <w:r w:rsidRPr="00011FE4">
        <w:t>,</w:t>
      </w:r>
      <w:r w:rsidR="00320D16" w:rsidRPr="00011FE4">
        <w:t xml:space="preserve"> </w:t>
      </w:r>
      <w:r w:rsidRPr="00011FE4">
        <w:t xml:space="preserve">2018; </w:t>
      </w:r>
      <w:r w:rsidRPr="00011FE4">
        <w:rPr>
          <w:rFonts w:eastAsia="Arial"/>
        </w:rPr>
        <w:t xml:space="preserve">LaRocco and Wilken, </w:t>
      </w:r>
      <w:r w:rsidR="00FF29EE" w:rsidRPr="00011FE4">
        <w:rPr>
          <w:rFonts w:eastAsia="Arial"/>
        </w:rPr>
        <w:t>2013;</w:t>
      </w:r>
      <w:r w:rsidR="00D5139C" w:rsidRPr="00011FE4">
        <w:t xml:space="preserve"> Reinhardt et al., 2018</w:t>
      </w:r>
      <w:r w:rsidRPr="00011FE4">
        <w:t>)</w:t>
      </w:r>
      <w:r w:rsidR="00D5139C" w:rsidRPr="00011FE4">
        <w:t>.</w:t>
      </w:r>
      <w:r w:rsidRPr="00011FE4">
        <w:t xml:space="preserve"> </w:t>
      </w:r>
    </w:p>
    <w:p w14:paraId="398AD422" w14:textId="168AA41B" w:rsidR="004B529C" w:rsidRPr="00011FE4" w:rsidRDefault="004B529C" w:rsidP="004B529C">
      <w:r w:rsidRPr="00011FE4">
        <w:t xml:space="preserve">The National Center on Universal Design for </w:t>
      </w:r>
      <w:r w:rsidR="009E63D4" w:rsidRPr="00011FE4">
        <w:t>learning</w:t>
      </w:r>
      <w:r w:rsidRPr="00011FE4">
        <w:t xml:space="preserve"> (2011) and UK Professional Standards Framework for teaching and supporting learning in HE (Advance HE, 2019</w:t>
      </w:r>
      <w:r w:rsidR="006C4B9F" w:rsidRPr="00011FE4">
        <w:t xml:space="preserve">b) </w:t>
      </w:r>
      <w:proofErr w:type="gramStart"/>
      <w:r w:rsidR="006C4B9F" w:rsidRPr="00011FE4">
        <w:t>emphasise</w:t>
      </w:r>
      <w:proofErr w:type="gramEnd"/>
      <w:r w:rsidR="006C4B9F" w:rsidRPr="00011FE4">
        <w:t xml:space="preserve"> curriculum</w:t>
      </w:r>
      <w:r w:rsidRPr="00011FE4">
        <w:t xml:space="preserve"> planning, design, delivery and evaluation. Layer</w:t>
      </w:r>
      <w:r w:rsidR="000845FB" w:rsidRPr="00011FE4">
        <w:t>’s</w:t>
      </w:r>
      <w:r w:rsidRPr="00011FE4">
        <w:t xml:space="preserve"> (2017) </w:t>
      </w:r>
      <w:r w:rsidR="000845FB" w:rsidRPr="00011FE4">
        <w:t>definition, taken from the</w:t>
      </w:r>
      <w:r w:rsidRPr="00011FE4">
        <w:t xml:space="preserve"> UK Higher Education Academy </w:t>
      </w:r>
      <w:r w:rsidR="000845FB" w:rsidRPr="00011FE4">
        <w:t>is broader</w:t>
      </w:r>
      <w:r w:rsidRPr="00011FE4">
        <w:t xml:space="preserve">: </w:t>
      </w:r>
      <w:r w:rsidR="00FF29EE" w:rsidRPr="00011FE4">
        <w:t>‘Inclusive</w:t>
      </w:r>
      <w:r w:rsidRPr="00011FE4">
        <w:t xml:space="preserve"> learning and teaching recognises all students’ </w:t>
      </w:r>
      <w:r w:rsidRPr="00011FE4">
        <w:lastRenderedPageBreak/>
        <w:t xml:space="preserve">entitlement </w:t>
      </w:r>
      <w:r w:rsidR="006C4B9F" w:rsidRPr="00011FE4">
        <w:t>to learning</w:t>
      </w:r>
      <w:r w:rsidRPr="00011FE4">
        <w:t xml:space="preserve"> and experience that respects diversity, enables participation, removes barriers</w:t>
      </w:r>
      <w:r w:rsidR="000845FB" w:rsidRPr="00011FE4">
        <w:t>,</w:t>
      </w:r>
      <w:r w:rsidRPr="00011FE4">
        <w:t xml:space="preserve"> anticipates and considers a variety of learning needs and preferences without directly or indirectly excluding anyone.</w:t>
      </w:r>
      <w:r w:rsidR="00964480" w:rsidRPr="00011FE4">
        <w:t>’</w:t>
      </w:r>
      <w:r w:rsidRPr="00011FE4">
        <w:t xml:space="preserve"> (p12)</w:t>
      </w:r>
      <w:r w:rsidR="00B63805" w:rsidRPr="00011FE4">
        <w:t>.</w:t>
      </w:r>
      <w:r w:rsidR="00942A17" w:rsidRPr="00011FE4">
        <w:t xml:space="preserve"> </w:t>
      </w:r>
    </w:p>
    <w:p w14:paraId="1DF8E52F" w14:textId="71AE4859" w:rsidR="004B529C" w:rsidRPr="00011FE4" w:rsidRDefault="00253302" w:rsidP="004B529C">
      <w:pPr>
        <w:ind w:right="1088"/>
      </w:pPr>
      <w:r w:rsidRPr="00011FE4">
        <w:t xml:space="preserve">UDL is characterised by </w:t>
      </w:r>
      <w:r w:rsidR="008F70C7" w:rsidRPr="00011FE4">
        <w:t>Dean</w:t>
      </w:r>
      <w:r w:rsidR="00EF5007" w:rsidRPr="00011FE4">
        <w:t xml:space="preserve"> et al</w:t>
      </w:r>
      <w:r w:rsidR="005F575D" w:rsidRPr="00011FE4">
        <w:t>.</w:t>
      </w:r>
      <w:r w:rsidR="008F70C7" w:rsidRPr="00011FE4">
        <w:t xml:space="preserve"> </w:t>
      </w:r>
      <w:r w:rsidR="00964480" w:rsidRPr="00011FE4">
        <w:t>(</w:t>
      </w:r>
      <w:r w:rsidR="008F70C7" w:rsidRPr="00011FE4">
        <w:t>2017</w:t>
      </w:r>
      <w:r w:rsidR="00964480" w:rsidRPr="00011FE4">
        <w:t>)</w:t>
      </w:r>
      <w:r w:rsidR="008F70C7" w:rsidRPr="00011FE4">
        <w:t xml:space="preserve">, </w:t>
      </w:r>
      <w:r w:rsidR="002D05DA" w:rsidRPr="00011FE4">
        <w:t xml:space="preserve">Everett </w:t>
      </w:r>
      <w:r w:rsidR="00964480" w:rsidRPr="00011FE4">
        <w:t>(</w:t>
      </w:r>
      <w:r w:rsidR="002D05DA" w:rsidRPr="00011FE4">
        <w:t>2017</w:t>
      </w:r>
      <w:r w:rsidR="00964480" w:rsidRPr="00011FE4">
        <w:t>)</w:t>
      </w:r>
      <w:r w:rsidR="00F428D5" w:rsidRPr="00011FE4">
        <w:t xml:space="preserve"> and</w:t>
      </w:r>
      <w:r w:rsidR="008F70C7" w:rsidRPr="00011FE4">
        <w:t xml:space="preserve"> Lock </w:t>
      </w:r>
      <w:r w:rsidR="00EE1D24" w:rsidRPr="00011FE4">
        <w:t>et al.</w:t>
      </w:r>
      <w:r w:rsidR="00EF5007" w:rsidRPr="00011FE4">
        <w:t xml:space="preserve"> </w:t>
      </w:r>
      <w:r w:rsidR="00964480" w:rsidRPr="00011FE4">
        <w:t>(</w:t>
      </w:r>
      <w:r w:rsidR="00FF29EE" w:rsidRPr="00011FE4">
        <w:t>2019</w:t>
      </w:r>
      <w:r w:rsidR="00964480" w:rsidRPr="00011FE4">
        <w:t>)</w:t>
      </w:r>
      <w:r w:rsidR="00F428D5" w:rsidRPr="00011FE4">
        <w:t xml:space="preserve">, for </w:t>
      </w:r>
      <w:r w:rsidR="006C4B9F" w:rsidRPr="00011FE4">
        <w:t>example</w:t>
      </w:r>
      <w:r w:rsidR="00964480" w:rsidRPr="00011FE4">
        <w:t>,</w:t>
      </w:r>
      <w:r w:rsidR="006C4B9F" w:rsidRPr="00011FE4">
        <w:t xml:space="preserve"> as</w:t>
      </w:r>
      <w:r w:rsidRPr="00011FE4">
        <w:t xml:space="preserve"> </w:t>
      </w:r>
      <w:r w:rsidR="00CA4B55" w:rsidRPr="00011FE4">
        <w:t xml:space="preserve">dynamically </w:t>
      </w:r>
      <w:r w:rsidRPr="00011FE4">
        <w:t>encompassing</w:t>
      </w:r>
      <w:r w:rsidR="004B529C" w:rsidRPr="00011FE4">
        <w:t xml:space="preserve"> </w:t>
      </w:r>
      <w:r w:rsidR="00CA4B55" w:rsidRPr="00011FE4">
        <w:t>changing pedagogy and multiple formats including</w:t>
      </w:r>
      <w:r w:rsidR="004B529C" w:rsidRPr="00011FE4">
        <w:t xml:space="preserve"> accessible e-learning</w:t>
      </w:r>
      <w:r w:rsidR="00CA4B55" w:rsidRPr="00011FE4">
        <w:t xml:space="preserve"> and digital technologies</w:t>
      </w:r>
      <w:r w:rsidR="004B529C" w:rsidRPr="00011FE4">
        <w:t xml:space="preserve">, distance and blended </w:t>
      </w:r>
      <w:r w:rsidR="00CA4B55" w:rsidRPr="00011FE4">
        <w:t>approaches and</w:t>
      </w:r>
      <w:r w:rsidR="008F70C7" w:rsidRPr="00011FE4">
        <w:t xml:space="preserve"> </w:t>
      </w:r>
      <w:r w:rsidR="00CA4B55" w:rsidRPr="00011FE4">
        <w:t>huge</w:t>
      </w:r>
      <w:r w:rsidR="008F70C7" w:rsidRPr="00011FE4">
        <w:t xml:space="preserve"> lectures</w:t>
      </w:r>
      <w:r w:rsidR="00CA4B55" w:rsidRPr="00011FE4">
        <w:t>. I</w:t>
      </w:r>
      <w:r w:rsidR="008F70C7" w:rsidRPr="00011FE4">
        <w:t xml:space="preserve">nterpretations by Anderson </w:t>
      </w:r>
      <w:r w:rsidR="00EE1D24" w:rsidRPr="00011FE4">
        <w:t>et al.</w:t>
      </w:r>
      <w:r w:rsidR="003B6068" w:rsidRPr="00011FE4">
        <w:t xml:space="preserve"> </w:t>
      </w:r>
      <w:r w:rsidR="008F70C7" w:rsidRPr="00011FE4">
        <w:t xml:space="preserve">(2019), Bracken and Novak (2019), </w:t>
      </w:r>
      <w:r w:rsidR="004B529C" w:rsidRPr="00011FE4">
        <w:t>Farrar and Young (2007)</w:t>
      </w:r>
      <w:r w:rsidR="008F70C7" w:rsidRPr="00011FE4">
        <w:t xml:space="preserve"> and </w:t>
      </w:r>
      <w:r w:rsidR="00FF29EE" w:rsidRPr="00011FE4">
        <w:t xml:space="preserve">others </w:t>
      </w:r>
      <w:r w:rsidR="0066040D" w:rsidRPr="00011FE4">
        <w:t>encompass</w:t>
      </w:r>
      <w:r w:rsidRPr="00011FE4">
        <w:t xml:space="preserve"> a wider conception of inclusion and </w:t>
      </w:r>
      <w:r w:rsidR="00964480" w:rsidRPr="00011FE4">
        <w:t>belonging, incorporating</w:t>
      </w:r>
      <w:r w:rsidR="008F70C7" w:rsidRPr="00011FE4">
        <w:t xml:space="preserve"> cultural sensitivities</w:t>
      </w:r>
      <w:r w:rsidR="003C58F2" w:rsidRPr="00011FE4">
        <w:t xml:space="preserve"> and all aspects of student experience</w:t>
      </w:r>
      <w:r w:rsidR="0066040D" w:rsidRPr="00011FE4">
        <w:t>.</w:t>
      </w:r>
      <w:r w:rsidR="004B529C" w:rsidRPr="00011FE4">
        <w:t xml:space="preserve"> </w:t>
      </w:r>
    </w:p>
    <w:p w14:paraId="2833D2E0" w14:textId="2816F4B4" w:rsidR="00235691" w:rsidRPr="00011FE4" w:rsidRDefault="00235691" w:rsidP="00235691">
      <w:pPr>
        <w:ind w:right="1088"/>
      </w:pPr>
      <w:r w:rsidRPr="00011FE4">
        <w:t>Sheffield Hallam Universit</w:t>
      </w:r>
      <w:r w:rsidR="001F5BC9" w:rsidRPr="00011FE4">
        <w:t>y’s</w:t>
      </w:r>
      <w:r w:rsidRPr="00011FE4">
        <w:t xml:space="preserve"> Teaching Essentials </w:t>
      </w:r>
      <w:r w:rsidR="00FF29EE" w:rsidRPr="00011FE4">
        <w:t>Toolkit (</w:t>
      </w:r>
      <w:r w:rsidRPr="00011FE4">
        <w:t>2016</w:t>
      </w:r>
      <w:r w:rsidR="00FF29EE" w:rsidRPr="00011FE4">
        <w:t xml:space="preserve">) </w:t>
      </w:r>
      <w:r w:rsidR="003C4B75" w:rsidRPr="00011FE4">
        <w:t xml:space="preserve">focusses </w:t>
      </w:r>
      <w:r w:rsidR="006C4B9F" w:rsidRPr="00011FE4">
        <w:t>on universal</w:t>
      </w:r>
      <w:r w:rsidR="00253302" w:rsidRPr="00011FE4">
        <w:t xml:space="preserve"> </w:t>
      </w:r>
      <w:r w:rsidR="006C4B9F" w:rsidRPr="00011FE4">
        <w:t>benefits in</w:t>
      </w:r>
      <w:r w:rsidRPr="00011FE4">
        <w:t xml:space="preserve"> the following descriptor </w:t>
      </w:r>
      <w:r w:rsidR="006C4B9F" w:rsidRPr="00011FE4">
        <w:t>of inclusive</w:t>
      </w:r>
      <w:r w:rsidRPr="00011FE4">
        <w:t xml:space="preserve"> </w:t>
      </w:r>
      <w:r w:rsidR="006C4B9F" w:rsidRPr="00011FE4">
        <w:t>practice:</w:t>
      </w:r>
    </w:p>
    <w:p w14:paraId="672DB25D" w14:textId="77777777" w:rsidR="00235691" w:rsidRPr="00011FE4" w:rsidRDefault="00235691" w:rsidP="00235691">
      <w:pPr>
        <w:pStyle w:val="ListParagraph"/>
        <w:numPr>
          <w:ilvl w:val="0"/>
          <w:numId w:val="8"/>
        </w:numPr>
      </w:pPr>
      <w:r w:rsidRPr="00011FE4">
        <w:t>Being Flexible – open to change and versatile</w:t>
      </w:r>
    </w:p>
    <w:p w14:paraId="5F209591" w14:textId="77777777" w:rsidR="00235691" w:rsidRPr="00011FE4" w:rsidRDefault="00235691" w:rsidP="00235691">
      <w:pPr>
        <w:pStyle w:val="ListParagraph"/>
        <w:numPr>
          <w:ilvl w:val="0"/>
          <w:numId w:val="8"/>
        </w:numPr>
      </w:pPr>
      <w:r w:rsidRPr="00011FE4">
        <w:t>Being Equitable – ensuring consistency and accessibility for all</w:t>
      </w:r>
    </w:p>
    <w:p w14:paraId="0016B837" w14:textId="77777777" w:rsidR="00235691" w:rsidRPr="00011FE4" w:rsidRDefault="00235691" w:rsidP="00235691">
      <w:pPr>
        <w:pStyle w:val="ListParagraph"/>
        <w:numPr>
          <w:ilvl w:val="0"/>
          <w:numId w:val="8"/>
        </w:numPr>
      </w:pPr>
      <w:r w:rsidRPr="00011FE4">
        <w:t>Working Collaboratively – involving students and stakeholders</w:t>
      </w:r>
    </w:p>
    <w:p w14:paraId="02A5D5F9" w14:textId="77777777" w:rsidR="00235691" w:rsidRPr="00011FE4" w:rsidRDefault="00235691" w:rsidP="00235691">
      <w:pPr>
        <w:pStyle w:val="ListParagraph"/>
        <w:numPr>
          <w:ilvl w:val="0"/>
          <w:numId w:val="8"/>
        </w:numPr>
      </w:pPr>
      <w:r w:rsidRPr="00011FE4">
        <w:t>Supporting Personalisation – recognising that successful learning and teaching is governed by personal difference</w:t>
      </w:r>
    </w:p>
    <w:p w14:paraId="47D3ECE4" w14:textId="2563DD54" w:rsidR="00235691" w:rsidRPr="00011FE4" w:rsidRDefault="00235691" w:rsidP="00964480">
      <w:pPr>
        <w:pStyle w:val="ListParagraph"/>
        <w:numPr>
          <w:ilvl w:val="0"/>
          <w:numId w:val="8"/>
        </w:numPr>
        <w:ind w:right="804"/>
      </w:pPr>
      <w:r w:rsidRPr="00011FE4">
        <w:t>Embracing Diversity – creating opportunities to develop awareness of diversity and global issues.</w:t>
      </w:r>
    </w:p>
    <w:p w14:paraId="42378872" w14:textId="5426CBA9" w:rsidR="002717A1" w:rsidRPr="00011FE4" w:rsidRDefault="0077418A" w:rsidP="00235691">
      <w:r w:rsidRPr="00011FE4">
        <w:t>Theorising disability i</w:t>
      </w:r>
      <w:r w:rsidR="002D7B16" w:rsidRPr="00011FE4">
        <w:t>n</w:t>
      </w:r>
      <w:r w:rsidRPr="00011FE4">
        <w:t xml:space="preserve"> </w:t>
      </w:r>
      <w:r w:rsidR="002717A1" w:rsidRPr="00011FE4">
        <w:t xml:space="preserve">Social Model </w:t>
      </w:r>
      <w:r w:rsidRPr="00011FE4">
        <w:t>terms</w:t>
      </w:r>
      <w:r w:rsidR="0068562B" w:rsidRPr="00011FE4">
        <w:t xml:space="preserve"> (Oliver</w:t>
      </w:r>
      <w:r w:rsidR="00BC037A" w:rsidRPr="00011FE4">
        <w:t>,</w:t>
      </w:r>
      <w:r w:rsidR="0068562B" w:rsidRPr="00011FE4">
        <w:t xml:space="preserve"> 2009)</w:t>
      </w:r>
      <w:r w:rsidR="002717A1" w:rsidRPr="00011FE4">
        <w:t xml:space="preserve"> </w:t>
      </w:r>
      <w:r w:rsidR="00363721" w:rsidRPr="00011FE4">
        <w:t>resonates</w:t>
      </w:r>
      <w:r w:rsidR="0068562B" w:rsidRPr="00011FE4">
        <w:t xml:space="preserve"> </w:t>
      </w:r>
      <w:r w:rsidR="00FF29EE" w:rsidRPr="00011FE4">
        <w:t>with</w:t>
      </w:r>
      <w:r w:rsidR="002C7C81" w:rsidRPr="00011FE4">
        <w:t xml:space="preserve"> ideas </w:t>
      </w:r>
      <w:r w:rsidR="006C4B9F" w:rsidRPr="00011FE4">
        <w:t>underpinning</w:t>
      </w:r>
      <w:r w:rsidR="00FF29EE" w:rsidRPr="00011FE4">
        <w:t xml:space="preserve"> inclusive</w:t>
      </w:r>
      <w:r w:rsidR="002717A1" w:rsidRPr="00011FE4">
        <w:t xml:space="preserve"> practice</w:t>
      </w:r>
      <w:r w:rsidR="0068562B" w:rsidRPr="00011FE4">
        <w:t>s based on UD and UDL</w:t>
      </w:r>
      <w:r w:rsidRPr="00011FE4">
        <w:t xml:space="preserve"> which similarly emphasise</w:t>
      </w:r>
      <w:r w:rsidR="0068562B" w:rsidRPr="00011FE4">
        <w:t xml:space="preserve"> e</w:t>
      </w:r>
      <w:r w:rsidR="002717A1" w:rsidRPr="00011FE4">
        <w:t>radicatin</w:t>
      </w:r>
      <w:r w:rsidR="0068562B" w:rsidRPr="00011FE4">
        <w:t>g</w:t>
      </w:r>
      <w:r w:rsidR="002717A1" w:rsidRPr="00011FE4">
        <w:t xml:space="preserve"> barriers </w:t>
      </w:r>
      <w:r w:rsidR="00FF29EE" w:rsidRPr="00011FE4">
        <w:t>to participation</w:t>
      </w:r>
      <w:r w:rsidR="0068562B" w:rsidRPr="00011FE4">
        <w:t>.</w:t>
      </w:r>
      <w:r w:rsidR="002D7B16" w:rsidRPr="00011FE4">
        <w:t xml:space="preserve"> Social Model thinking </w:t>
      </w:r>
      <w:r w:rsidR="007B6884" w:rsidRPr="00011FE4">
        <w:t xml:space="preserve">distinguishes </w:t>
      </w:r>
      <w:r w:rsidR="002D7B16" w:rsidRPr="00011FE4">
        <w:t>i</w:t>
      </w:r>
      <w:r w:rsidR="0068562B" w:rsidRPr="00011FE4">
        <w:t xml:space="preserve">mpairment </w:t>
      </w:r>
      <w:r w:rsidR="00696528" w:rsidRPr="00011FE4">
        <w:t>from</w:t>
      </w:r>
      <w:r w:rsidR="0068562B" w:rsidRPr="00011FE4">
        <w:t xml:space="preserve"> disability</w:t>
      </w:r>
      <w:r w:rsidR="007B6884" w:rsidRPr="00011FE4">
        <w:t xml:space="preserve">. </w:t>
      </w:r>
      <w:r w:rsidR="0011396A" w:rsidRPr="00011FE4">
        <w:t>Society</w:t>
      </w:r>
      <w:r w:rsidR="0068562B" w:rsidRPr="00011FE4">
        <w:t xml:space="preserve"> can create disability. </w:t>
      </w:r>
      <w:r w:rsidR="007B6884" w:rsidRPr="00011FE4">
        <w:t>M</w:t>
      </w:r>
      <w:r w:rsidR="00A74375" w:rsidRPr="00011FE4">
        <w:t xml:space="preserve">obility </w:t>
      </w:r>
      <w:r w:rsidR="00696528" w:rsidRPr="00011FE4">
        <w:t>challenges</w:t>
      </w:r>
      <w:r w:rsidR="00A74375" w:rsidRPr="00011FE4">
        <w:t xml:space="preserve"> for example </w:t>
      </w:r>
      <w:r w:rsidR="007B6884" w:rsidRPr="00011FE4">
        <w:t>are exacerbated by</w:t>
      </w:r>
      <w:r w:rsidR="00A74375" w:rsidRPr="00011FE4">
        <w:t xml:space="preserve"> stairs.</w:t>
      </w:r>
      <w:r w:rsidR="002717A1" w:rsidRPr="00011FE4">
        <w:t xml:space="preserve"> </w:t>
      </w:r>
      <w:r w:rsidR="0011396A" w:rsidRPr="00011FE4">
        <w:t>Organisations</w:t>
      </w:r>
      <w:r w:rsidRPr="00011FE4">
        <w:t xml:space="preserve"> </w:t>
      </w:r>
      <w:r w:rsidR="00BC037A" w:rsidRPr="00011FE4">
        <w:t>can generate</w:t>
      </w:r>
      <w:r w:rsidRPr="00011FE4">
        <w:t xml:space="preserve"> disadvantage </w:t>
      </w:r>
      <w:r w:rsidR="006C4B9F" w:rsidRPr="00011FE4">
        <w:t>for marginalised</w:t>
      </w:r>
      <w:r w:rsidRPr="00011FE4">
        <w:t xml:space="preserve"> </w:t>
      </w:r>
      <w:r w:rsidR="00BC037A" w:rsidRPr="00011FE4">
        <w:t>citizens,</w:t>
      </w:r>
      <w:r w:rsidR="00F428D5" w:rsidRPr="00011FE4">
        <w:t xml:space="preserve"> for instance</w:t>
      </w:r>
      <w:r w:rsidRPr="00011FE4">
        <w:t xml:space="preserve"> </w:t>
      </w:r>
      <w:r w:rsidR="006C4B9F" w:rsidRPr="00011FE4">
        <w:t xml:space="preserve">policies </w:t>
      </w:r>
      <w:r w:rsidR="00EA3EE6" w:rsidRPr="00011FE4">
        <w:t>that</w:t>
      </w:r>
      <w:r w:rsidRPr="00011FE4">
        <w:t xml:space="preserve"> automatically exclude </w:t>
      </w:r>
      <w:r w:rsidR="007B6884" w:rsidRPr="00011FE4">
        <w:t>former</w:t>
      </w:r>
      <w:r w:rsidRPr="00011FE4">
        <w:t xml:space="preserve"> prison</w:t>
      </w:r>
      <w:r w:rsidR="007B6884" w:rsidRPr="00011FE4">
        <w:t>ers</w:t>
      </w:r>
      <w:r w:rsidR="00627016" w:rsidRPr="00011FE4">
        <w:t xml:space="preserve"> (</w:t>
      </w:r>
      <w:r w:rsidR="00FF29EE" w:rsidRPr="00011FE4">
        <w:t>Custer</w:t>
      </w:r>
      <w:r w:rsidR="007E2AB3" w:rsidRPr="00011FE4">
        <w:t>,</w:t>
      </w:r>
      <w:r w:rsidR="00FF29EE" w:rsidRPr="00011FE4">
        <w:t xml:space="preserve"> 2018</w:t>
      </w:r>
      <w:r w:rsidR="00627016" w:rsidRPr="00011FE4">
        <w:t>)</w:t>
      </w:r>
      <w:r w:rsidRPr="00011FE4">
        <w:t xml:space="preserve"> or</w:t>
      </w:r>
      <w:r w:rsidR="002D7B16" w:rsidRPr="00011FE4">
        <w:t xml:space="preserve"> </w:t>
      </w:r>
      <w:r w:rsidR="00E844DC" w:rsidRPr="00011FE4">
        <w:t xml:space="preserve">deny </w:t>
      </w:r>
      <w:r w:rsidR="00F428D5" w:rsidRPr="00011FE4">
        <w:t xml:space="preserve">university </w:t>
      </w:r>
      <w:r w:rsidR="00E844DC" w:rsidRPr="00011FE4">
        <w:t>access to those</w:t>
      </w:r>
      <w:r w:rsidR="007B6884" w:rsidRPr="00011FE4">
        <w:t xml:space="preserve"> </w:t>
      </w:r>
      <w:r w:rsidR="006C4B9F" w:rsidRPr="00011FE4">
        <w:t>with atypical</w:t>
      </w:r>
      <w:r w:rsidRPr="00011FE4">
        <w:t xml:space="preserve"> </w:t>
      </w:r>
      <w:r w:rsidR="00696528" w:rsidRPr="00011FE4">
        <w:t xml:space="preserve">entry </w:t>
      </w:r>
      <w:r w:rsidR="006C4B9F" w:rsidRPr="00011FE4">
        <w:t>qualifications (</w:t>
      </w:r>
      <w:r w:rsidR="00E34901" w:rsidRPr="00011FE4">
        <w:t>Bathmaker et al</w:t>
      </w:r>
      <w:r w:rsidR="005F575D" w:rsidRPr="00011FE4">
        <w:t>.</w:t>
      </w:r>
      <w:r w:rsidR="007E2AB3" w:rsidRPr="00011FE4">
        <w:t>,</w:t>
      </w:r>
      <w:r w:rsidR="00E34901" w:rsidRPr="00011FE4">
        <w:t xml:space="preserve"> 2016)</w:t>
      </w:r>
      <w:r w:rsidRPr="00011FE4">
        <w:t xml:space="preserve">. </w:t>
      </w:r>
      <w:r w:rsidR="005857B1" w:rsidRPr="00011FE4">
        <w:t>Poverty</w:t>
      </w:r>
      <w:r w:rsidR="00186596" w:rsidRPr="00011FE4">
        <w:t xml:space="preserve"> is not covered by UK or USA</w:t>
      </w:r>
      <w:r w:rsidR="001B7381" w:rsidRPr="00011FE4">
        <w:t xml:space="preserve"> </w:t>
      </w:r>
      <w:r w:rsidR="00FF29EE" w:rsidRPr="00011FE4">
        <w:t xml:space="preserve">equalities </w:t>
      </w:r>
      <w:r w:rsidR="006C4B9F" w:rsidRPr="00011FE4">
        <w:t>legislation,</w:t>
      </w:r>
      <w:r w:rsidR="00253302" w:rsidRPr="00011FE4">
        <w:t xml:space="preserve"> but is </w:t>
      </w:r>
      <w:r w:rsidR="006C4B9F" w:rsidRPr="00011FE4">
        <w:t>increasingly recognised</w:t>
      </w:r>
      <w:r w:rsidR="00253302" w:rsidRPr="00011FE4">
        <w:t xml:space="preserve"> as a major </w:t>
      </w:r>
      <w:r w:rsidR="00FF29EE" w:rsidRPr="00011FE4">
        <w:t>obstacle</w:t>
      </w:r>
      <w:r w:rsidR="008069F5" w:rsidRPr="00011FE4">
        <w:t xml:space="preserve"> (O’Sulllivan et al</w:t>
      </w:r>
      <w:r w:rsidR="005F575D" w:rsidRPr="00011FE4">
        <w:t>.</w:t>
      </w:r>
      <w:r w:rsidR="007E2AB3" w:rsidRPr="00011FE4">
        <w:t>,</w:t>
      </w:r>
      <w:r w:rsidR="008069F5" w:rsidRPr="00011FE4">
        <w:t xml:space="preserve"> 2019</w:t>
      </w:r>
      <w:r w:rsidR="007E2AB3" w:rsidRPr="00011FE4">
        <w:t>;</w:t>
      </w:r>
      <w:r w:rsidR="008069F5" w:rsidRPr="00011FE4">
        <w:t xml:space="preserve"> S</w:t>
      </w:r>
      <w:r w:rsidR="000C37B1" w:rsidRPr="00011FE4">
        <w:rPr>
          <w:color w:val="222222"/>
          <w:shd w:val="clear" w:color="auto" w:fill="FFFFFF"/>
        </w:rPr>
        <w:t>á</w:t>
      </w:r>
      <w:r w:rsidR="008069F5" w:rsidRPr="00011FE4">
        <w:t>, 2019</w:t>
      </w:r>
      <w:r w:rsidR="007E2AB3" w:rsidRPr="00011FE4">
        <w:t xml:space="preserve">; </w:t>
      </w:r>
      <w:r w:rsidR="008069F5" w:rsidRPr="00011FE4">
        <w:t>Scanlon et al</w:t>
      </w:r>
      <w:r w:rsidR="003109B3" w:rsidRPr="00011FE4">
        <w:t>.</w:t>
      </w:r>
      <w:r w:rsidR="007E2AB3" w:rsidRPr="00011FE4">
        <w:t>,</w:t>
      </w:r>
      <w:r w:rsidR="008069F5" w:rsidRPr="00011FE4">
        <w:t xml:space="preserve"> 2019</w:t>
      </w:r>
      <w:r w:rsidR="007E2AB3" w:rsidRPr="00011FE4">
        <w:t>;</w:t>
      </w:r>
      <w:r w:rsidR="008069F5" w:rsidRPr="00011FE4">
        <w:t xml:space="preserve"> Perelli</w:t>
      </w:r>
      <w:r w:rsidR="007E2AB3" w:rsidRPr="00011FE4">
        <w:t>,</w:t>
      </w:r>
      <w:r w:rsidR="008069F5" w:rsidRPr="00011FE4">
        <w:t xml:space="preserve"> 2020).</w:t>
      </w:r>
      <w:r w:rsidR="00B43EC4" w:rsidRPr="00011FE4">
        <w:t xml:space="preserve"> Intersectionality is reflected in </w:t>
      </w:r>
      <w:r w:rsidR="00F428D5" w:rsidRPr="00011FE4">
        <w:t xml:space="preserve">British </w:t>
      </w:r>
      <w:r w:rsidR="00B43EC4" w:rsidRPr="00011FE4">
        <w:t>equalities legislation but does not cover socio</w:t>
      </w:r>
      <w:r w:rsidR="000C37B1" w:rsidRPr="00011FE4">
        <w:t>-</w:t>
      </w:r>
      <w:r w:rsidR="006C4B9F" w:rsidRPr="00011FE4">
        <w:t>economic</w:t>
      </w:r>
      <w:r w:rsidR="00B43EC4" w:rsidRPr="00011FE4">
        <w:t xml:space="preserve"> status.</w:t>
      </w:r>
      <w:r w:rsidR="008069F5" w:rsidRPr="00011FE4">
        <w:t xml:space="preserve">  Perelli’s (2020) study provides a salient example of </w:t>
      </w:r>
      <w:r w:rsidR="00B43EC4" w:rsidRPr="00011FE4">
        <w:t>Americans</w:t>
      </w:r>
      <w:r w:rsidR="008069F5" w:rsidRPr="00011FE4">
        <w:t xml:space="preserve"> of </w:t>
      </w:r>
      <w:r w:rsidR="00FF29EE" w:rsidRPr="00011FE4">
        <w:t>Hispanic</w:t>
      </w:r>
      <w:r w:rsidR="008069F5" w:rsidRPr="00011FE4">
        <w:t xml:space="preserve"> </w:t>
      </w:r>
      <w:r w:rsidR="006C4B9F" w:rsidRPr="00011FE4">
        <w:t>origin both</w:t>
      </w:r>
      <w:r w:rsidR="008069F5" w:rsidRPr="00011FE4">
        <w:t xml:space="preserve"> </w:t>
      </w:r>
      <w:r w:rsidR="006C4B9F" w:rsidRPr="00011FE4">
        <w:t>under</w:t>
      </w:r>
      <w:r w:rsidR="00741A80" w:rsidRPr="00011FE4">
        <w:t>-</w:t>
      </w:r>
      <w:r w:rsidR="006C4B9F" w:rsidRPr="00011FE4">
        <w:t>represented</w:t>
      </w:r>
      <w:r w:rsidR="008069F5" w:rsidRPr="00011FE4">
        <w:t xml:space="preserve"> in </w:t>
      </w:r>
      <w:r w:rsidR="00B43EC4" w:rsidRPr="00011FE4">
        <w:t>HE</w:t>
      </w:r>
      <w:r w:rsidR="008069F5" w:rsidRPr="00011FE4">
        <w:t xml:space="preserve"> and </w:t>
      </w:r>
      <w:proofErr w:type="gramStart"/>
      <w:r w:rsidR="008069F5" w:rsidRPr="00011FE4">
        <w:t>economically disadvantaged</w:t>
      </w:r>
      <w:proofErr w:type="gramEnd"/>
      <w:r w:rsidR="008069F5" w:rsidRPr="00011FE4">
        <w:t>.</w:t>
      </w:r>
    </w:p>
    <w:p w14:paraId="5E416BBA" w14:textId="0EE8F891" w:rsidR="00591210" w:rsidRPr="00011FE4" w:rsidRDefault="0078328D" w:rsidP="00235691">
      <w:r w:rsidRPr="00011FE4">
        <w:t xml:space="preserve">Comparing literature </w:t>
      </w:r>
      <w:r w:rsidR="00B43EC4" w:rsidRPr="00011FE4">
        <w:t xml:space="preserve">internationally </w:t>
      </w:r>
      <w:r w:rsidRPr="00011FE4">
        <w:t xml:space="preserve">reveals </w:t>
      </w:r>
      <w:r w:rsidR="00B43EC4" w:rsidRPr="00011FE4">
        <w:t>variation</w:t>
      </w:r>
      <w:r w:rsidRPr="00011FE4">
        <w:t xml:space="preserve"> in terminology. </w:t>
      </w:r>
      <w:r w:rsidR="002717A1" w:rsidRPr="00011FE4">
        <w:t xml:space="preserve">UK </w:t>
      </w:r>
      <w:r w:rsidR="00131F52" w:rsidRPr="00011FE4">
        <w:t>S</w:t>
      </w:r>
      <w:r w:rsidR="002717A1" w:rsidRPr="00011FE4">
        <w:t xml:space="preserve">ocial </w:t>
      </w:r>
      <w:r w:rsidR="00131F52" w:rsidRPr="00011FE4">
        <w:t>M</w:t>
      </w:r>
      <w:r w:rsidR="002717A1" w:rsidRPr="00011FE4">
        <w:t xml:space="preserve">odel critical disability </w:t>
      </w:r>
      <w:r w:rsidR="00FF29EE" w:rsidRPr="00011FE4">
        <w:t>theorists</w:t>
      </w:r>
      <w:r w:rsidR="001A646A" w:rsidRPr="00011FE4">
        <w:t xml:space="preserve"> </w:t>
      </w:r>
      <w:r w:rsidR="006C4B9F" w:rsidRPr="00011FE4">
        <w:t>favour ‘</w:t>
      </w:r>
      <w:r w:rsidR="002717A1" w:rsidRPr="00011FE4">
        <w:t xml:space="preserve">disabled person’ </w:t>
      </w:r>
      <w:r w:rsidR="00B43EC4" w:rsidRPr="00011FE4">
        <w:t>over</w:t>
      </w:r>
      <w:r w:rsidR="002717A1" w:rsidRPr="00011FE4">
        <w:t xml:space="preserve"> ‘person </w:t>
      </w:r>
      <w:r w:rsidR="006C4B9F" w:rsidRPr="00011FE4">
        <w:t>with disability</w:t>
      </w:r>
      <w:r w:rsidR="002717A1" w:rsidRPr="00011FE4">
        <w:t xml:space="preserve">’, </w:t>
      </w:r>
      <w:r w:rsidR="006C4B9F" w:rsidRPr="00011FE4">
        <w:t>which American</w:t>
      </w:r>
      <w:r w:rsidR="002717A1" w:rsidRPr="00011FE4">
        <w:t xml:space="preserve"> scholars </w:t>
      </w:r>
      <w:r w:rsidR="00747A2B" w:rsidRPr="00011FE4">
        <w:t xml:space="preserve">define </w:t>
      </w:r>
      <w:r w:rsidR="006C4B9F" w:rsidRPr="00011FE4">
        <w:t>as ‘</w:t>
      </w:r>
      <w:r w:rsidR="002717A1" w:rsidRPr="00011FE4">
        <w:t>people first language</w:t>
      </w:r>
      <w:r w:rsidR="00747A2B" w:rsidRPr="00011FE4">
        <w:t>’, arguing</w:t>
      </w:r>
      <w:r w:rsidR="002717A1" w:rsidRPr="00011FE4">
        <w:t xml:space="preserve"> that ‘disabled person’ negatively </w:t>
      </w:r>
      <w:r w:rsidR="006C4B9F" w:rsidRPr="00011FE4">
        <w:t>foregrounds impairment</w:t>
      </w:r>
      <w:r w:rsidR="002717A1" w:rsidRPr="00011FE4">
        <w:t xml:space="preserve"> as </w:t>
      </w:r>
      <w:r w:rsidR="00747A2B" w:rsidRPr="00011FE4">
        <w:t>a</w:t>
      </w:r>
      <w:r w:rsidR="002717A1" w:rsidRPr="00011FE4">
        <w:t xml:space="preserve"> </w:t>
      </w:r>
      <w:r w:rsidR="0072140A" w:rsidRPr="00011FE4">
        <w:t>prominent</w:t>
      </w:r>
      <w:r w:rsidR="002717A1" w:rsidRPr="00011FE4">
        <w:t xml:space="preserve"> feature </w:t>
      </w:r>
      <w:r w:rsidR="006C4B9F" w:rsidRPr="00011FE4">
        <w:t>of identity</w:t>
      </w:r>
      <w:r w:rsidR="002717A1" w:rsidRPr="00011FE4">
        <w:t xml:space="preserve"> </w:t>
      </w:r>
      <w:r w:rsidR="00BB002C" w:rsidRPr="00011FE4">
        <w:t>(Dunn and Andrews</w:t>
      </w:r>
      <w:r w:rsidR="0052269F" w:rsidRPr="00011FE4">
        <w:t>,</w:t>
      </w:r>
      <w:r w:rsidR="00BB002C" w:rsidRPr="00011FE4">
        <w:t xml:space="preserve"> 2015</w:t>
      </w:r>
      <w:r w:rsidR="00FF29EE" w:rsidRPr="00011FE4">
        <w:t>). The</w:t>
      </w:r>
      <w:r w:rsidR="002717A1" w:rsidRPr="00011FE4">
        <w:t xml:space="preserve"> counter argument is </w:t>
      </w:r>
      <w:r w:rsidR="00FF29EE" w:rsidRPr="00011FE4">
        <w:t>that ‘</w:t>
      </w:r>
      <w:r w:rsidR="002717A1" w:rsidRPr="00011FE4">
        <w:t xml:space="preserve">disabled’ </w:t>
      </w:r>
      <w:r w:rsidR="00F428D5" w:rsidRPr="00011FE4">
        <w:t>acknowledges</w:t>
      </w:r>
      <w:r w:rsidR="002717A1" w:rsidRPr="00011FE4">
        <w:t xml:space="preserve"> disabling barriers </w:t>
      </w:r>
      <w:r w:rsidR="00747A2B" w:rsidRPr="00011FE4">
        <w:t xml:space="preserve">external </w:t>
      </w:r>
      <w:r w:rsidR="006C4B9F" w:rsidRPr="00011FE4">
        <w:t>to embodiment</w:t>
      </w:r>
      <w:r w:rsidR="002717A1" w:rsidRPr="00011FE4">
        <w:t xml:space="preserve"> (Oliver</w:t>
      </w:r>
      <w:r w:rsidR="0052269F" w:rsidRPr="00011FE4">
        <w:t>,</w:t>
      </w:r>
      <w:r w:rsidR="002717A1" w:rsidRPr="00011FE4">
        <w:t xml:space="preserve"> 2009</w:t>
      </w:r>
      <w:r w:rsidR="0052269F" w:rsidRPr="00011FE4">
        <w:t>;</w:t>
      </w:r>
      <w:r w:rsidR="002717A1" w:rsidRPr="00011FE4">
        <w:t xml:space="preserve"> Wilson and Martin, 2018). </w:t>
      </w:r>
    </w:p>
    <w:p w14:paraId="2E352C49" w14:textId="1FA44990" w:rsidR="00591210" w:rsidRPr="00011FE4" w:rsidRDefault="006C4B9F" w:rsidP="00235691">
      <w:r w:rsidRPr="00011FE4">
        <w:t>‘Students</w:t>
      </w:r>
      <w:r w:rsidR="00591210" w:rsidRPr="00011FE4">
        <w:t xml:space="preserve"> with a learning disability</w:t>
      </w:r>
      <w:r w:rsidR="00E448B5" w:rsidRPr="00011FE4">
        <w:t xml:space="preserve">’ is used in America to </w:t>
      </w:r>
      <w:r w:rsidRPr="00011FE4">
        <w:t>indicate ‘having</w:t>
      </w:r>
      <w:r w:rsidR="00591210" w:rsidRPr="00011FE4">
        <w:t xml:space="preserve"> one or more of the following conditions: </w:t>
      </w:r>
      <w:r w:rsidRPr="00011FE4">
        <w:t>“specific</w:t>
      </w:r>
      <w:r w:rsidR="00591210" w:rsidRPr="00011FE4">
        <w:t xml:space="preserve"> learning </w:t>
      </w:r>
      <w:r w:rsidRPr="00011FE4">
        <w:t>disability, visual</w:t>
      </w:r>
      <w:r w:rsidR="00591210" w:rsidRPr="00011FE4">
        <w:t xml:space="preserve"> handicap, hard of hearing, </w:t>
      </w:r>
      <w:r w:rsidRPr="00011FE4">
        <w:t>deafness, speech</w:t>
      </w:r>
      <w:r w:rsidR="00591210" w:rsidRPr="00011FE4">
        <w:t xml:space="preserve"> </w:t>
      </w:r>
      <w:r w:rsidRPr="00011FE4">
        <w:t>disability, orthopaedic</w:t>
      </w:r>
      <w:r w:rsidR="00591210" w:rsidRPr="00011FE4">
        <w:t xml:space="preserve"> handicap, </w:t>
      </w:r>
      <w:r w:rsidRPr="00011FE4">
        <w:t>or health</w:t>
      </w:r>
      <w:r w:rsidR="00591210" w:rsidRPr="00011FE4">
        <w:t xml:space="preserve"> impairment” (U.S. </w:t>
      </w:r>
      <w:r w:rsidR="00D4578D" w:rsidRPr="00011FE4">
        <w:t>Department of Education, 2013)’</w:t>
      </w:r>
      <w:r w:rsidR="00E448B5" w:rsidRPr="00011FE4">
        <w:t xml:space="preserve"> </w:t>
      </w:r>
      <w:r w:rsidR="00D4578D" w:rsidRPr="00011FE4">
        <w:t>(</w:t>
      </w:r>
      <w:r w:rsidR="00E448B5" w:rsidRPr="00011FE4">
        <w:t xml:space="preserve">Hadley </w:t>
      </w:r>
      <w:r w:rsidR="00EE1D24" w:rsidRPr="00011FE4">
        <w:t>et al.</w:t>
      </w:r>
      <w:r w:rsidR="00D4578D" w:rsidRPr="00011FE4">
        <w:t>,</w:t>
      </w:r>
      <w:r w:rsidR="00072029" w:rsidRPr="00011FE4">
        <w:t xml:space="preserve"> </w:t>
      </w:r>
      <w:r w:rsidR="00E448B5" w:rsidRPr="00011FE4">
        <w:t>2020</w:t>
      </w:r>
      <w:r w:rsidR="0052269F" w:rsidRPr="00011FE4">
        <w:t>, p.</w:t>
      </w:r>
      <w:r w:rsidR="00DE3F07" w:rsidRPr="00011FE4">
        <w:t>2</w:t>
      </w:r>
      <w:r w:rsidR="0052269F" w:rsidRPr="00011FE4">
        <w:t>)</w:t>
      </w:r>
      <w:r w:rsidR="00DE3F07" w:rsidRPr="00011FE4">
        <w:t>.</w:t>
      </w:r>
    </w:p>
    <w:p w14:paraId="03ECC59B" w14:textId="123B056E" w:rsidR="00591210" w:rsidRPr="00011FE4" w:rsidRDefault="118435A4" w:rsidP="00235691">
      <w:r w:rsidRPr="00011FE4">
        <w:t>‘Learning disability’ is associated with ‘intellectual impairment’ in the UK (Cooper et al., 2016).  Durham University’s website</w:t>
      </w:r>
      <w:r w:rsidR="001F40A5" w:rsidRPr="00011FE4">
        <w:t xml:space="preserve"> (2018)</w:t>
      </w:r>
      <w:r w:rsidRPr="00011FE4">
        <w:t xml:space="preserve"> quotes the </w:t>
      </w:r>
      <w:r w:rsidRPr="00011FE4">
        <w:rPr>
          <w:i/>
          <w:iCs/>
        </w:rPr>
        <w:t>EA 2010</w:t>
      </w:r>
      <w:r w:rsidRPr="00011FE4">
        <w:t xml:space="preserve"> definition of </w:t>
      </w:r>
      <w:r w:rsidR="005F575D" w:rsidRPr="00011FE4">
        <w:t>disability, which</w:t>
      </w:r>
      <w:r w:rsidRPr="00011FE4">
        <w:t xml:space="preserve"> clarifies the distinction:</w:t>
      </w:r>
    </w:p>
    <w:p w14:paraId="44E3883D" w14:textId="52699A5B" w:rsidR="001E4D7D" w:rsidRPr="00011FE4" w:rsidRDefault="006C4B9F" w:rsidP="0052269F">
      <w:pPr>
        <w:pStyle w:val="NormalWeb"/>
        <w:spacing w:before="0" w:beforeAutospacing="0" w:after="150" w:afterAutospacing="0"/>
        <w:ind w:left="390"/>
        <w:rPr>
          <w:rFonts w:ascii="Arial" w:hAnsi="Arial" w:cs="Arial"/>
        </w:rPr>
      </w:pPr>
      <w:r w:rsidRPr="00011FE4">
        <w:rPr>
          <w:rFonts w:ascii="Arial" w:hAnsi="Arial" w:cs="Arial"/>
        </w:rPr>
        <w:lastRenderedPageBreak/>
        <w:t>a</w:t>
      </w:r>
      <w:r w:rsidR="001E4D7D" w:rsidRPr="00011FE4">
        <w:rPr>
          <w:rFonts w:ascii="Arial" w:hAnsi="Arial" w:cs="Arial"/>
        </w:rPr>
        <w:t xml:space="preserve"> disabled person as someone </w:t>
      </w:r>
      <w:r w:rsidR="00D43982" w:rsidRPr="00011FE4">
        <w:rPr>
          <w:rFonts w:ascii="Arial" w:hAnsi="Arial" w:cs="Arial"/>
        </w:rPr>
        <w:t>with</w:t>
      </w:r>
      <w:r w:rsidR="001E4D7D" w:rsidRPr="00011FE4">
        <w:rPr>
          <w:rFonts w:ascii="Arial" w:hAnsi="Arial" w:cs="Arial"/>
        </w:rPr>
        <w:t xml:space="preserve"> a physical or mental impairment that has a substantial and long-term adverse effect on </w:t>
      </w:r>
      <w:r w:rsidR="00D43982" w:rsidRPr="00011FE4">
        <w:rPr>
          <w:rFonts w:ascii="Arial" w:hAnsi="Arial" w:cs="Arial"/>
        </w:rPr>
        <w:t>their</w:t>
      </w:r>
      <w:r w:rsidR="001E4D7D" w:rsidRPr="00011FE4">
        <w:rPr>
          <w:rFonts w:ascii="Arial" w:hAnsi="Arial" w:cs="Arial"/>
        </w:rPr>
        <w:t xml:space="preserve"> ability to carry out normal day-to-day activities. This may include:</w:t>
      </w:r>
    </w:p>
    <w:p w14:paraId="67EE536A" w14:textId="0E227B8E" w:rsidR="001E4D7D" w:rsidRPr="00011FE4" w:rsidRDefault="00D43982" w:rsidP="0052269F">
      <w:pPr>
        <w:pStyle w:val="ListParagraph"/>
        <w:numPr>
          <w:ilvl w:val="0"/>
          <w:numId w:val="25"/>
        </w:numPr>
        <w:spacing w:before="100" w:beforeAutospacing="1" w:after="100" w:afterAutospacing="1" w:line="300" w:lineRule="atLeast"/>
      </w:pPr>
      <w:r w:rsidRPr="00011FE4">
        <w:t>S</w:t>
      </w:r>
      <w:r w:rsidR="001E4D7D" w:rsidRPr="00011FE4">
        <w:t>pecific learning difficulty such as Dyslexia, Dyspraxia or ADHD</w:t>
      </w:r>
    </w:p>
    <w:p w14:paraId="3D02FFBF" w14:textId="77777777" w:rsidR="001E4D7D" w:rsidRPr="00011FE4" w:rsidRDefault="001E4D7D" w:rsidP="0052269F">
      <w:pPr>
        <w:pStyle w:val="ListParagraph"/>
        <w:numPr>
          <w:ilvl w:val="0"/>
          <w:numId w:val="25"/>
        </w:numPr>
        <w:spacing w:before="100" w:beforeAutospacing="1" w:after="100" w:afterAutospacing="1" w:line="300" w:lineRule="atLeast"/>
      </w:pPr>
      <w:r w:rsidRPr="00011FE4">
        <w:t>Asperger Syndrome or Autism Spectrum Conditions</w:t>
      </w:r>
    </w:p>
    <w:p w14:paraId="371A0DFE" w14:textId="15C8A097" w:rsidR="001E4D7D" w:rsidRPr="00011FE4" w:rsidRDefault="00D43982" w:rsidP="0052269F">
      <w:pPr>
        <w:pStyle w:val="ListParagraph"/>
        <w:numPr>
          <w:ilvl w:val="0"/>
          <w:numId w:val="25"/>
        </w:numPr>
        <w:spacing w:before="100" w:beforeAutospacing="1" w:after="100" w:afterAutospacing="1" w:line="300" w:lineRule="atLeast"/>
      </w:pPr>
      <w:r w:rsidRPr="00011FE4">
        <w:t>V</w:t>
      </w:r>
      <w:r w:rsidR="001E4D7D" w:rsidRPr="00011FE4">
        <w:t>isual impairment</w:t>
      </w:r>
    </w:p>
    <w:p w14:paraId="7D978750" w14:textId="0A239293" w:rsidR="001E4D7D" w:rsidRPr="00011FE4" w:rsidRDefault="00D43982" w:rsidP="0052269F">
      <w:pPr>
        <w:pStyle w:val="ListParagraph"/>
        <w:numPr>
          <w:ilvl w:val="0"/>
          <w:numId w:val="25"/>
        </w:numPr>
        <w:spacing w:before="100" w:beforeAutospacing="1" w:after="100" w:afterAutospacing="1" w:line="300" w:lineRule="atLeast"/>
      </w:pPr>
      <w:r w:rsidRPr="00011FE4">
        <w:t>H</w:t>
      </w:r>
      <w:r w:rsidR="001E4D7D" w:rsidRPr="00011FE4">
        <w:t>earing impairment</w:t>
      </w:r>
    </w:p>
    <w:p w14:paraId="392EF130" w14:textId="108619FC" w:rsidR="001E4D7D" w:rsidRPr="00011FE4" w:rsidRDefault="00D43982" w:rsidP="0052269F">
      <w:pPr>
        <w:pStyle w:val="ListParagraph"/>
        <w:numPr>
          <w:ilvl w:val="0"/>
          <w:numId w:val="25"/>
        </w:numPr>
        <w:spacing w:before="100" w:beforeAutospacing="1" w:after="100" w:afterAutospacing="1" w:line="300" w:lineRule="atLeast"/>
      </w:pPr>
      <w:r w:rsidRPr="00011FE4">
        <w:t>P</w:t>
      </w:r>
      <w:r w:rsidR="001E4D7D" w:rsidRPr="00011FE4">
        <w:t xml:space="preserve">hysical condition </w:t>
      </w:r>
      <w:r w:rsidR="006C4B9F" w:rsidRPr="00011FE4">
        <w:t>affecting mobility</w:t>
      </w:r>
    </w:p>
    <w:p w14:paraId="58E79248" w14:textId="087EB6FD" w:rsidR="001E4D7D" w:rsidRPr="00011FE4" w:rsidRDefault="00D43982" w:rsidP="0052269F">
      <w:pPr>
        <w:pStyle w:val="ListParagraph"/>
        <w:numPr>
          <w:ilvl w:val="0"/>
          <w:numId w:val="25"/>
        </w:numPr>
        <w:spacing w:before="100" w:beforeAutospacing="1" w:after="100" w:afterAutospacing="1" w:line="300" w:lineRule="atLeast"/>
      </w:pPr>
      <w:r w:rsidRPr="00011FE4">
        <w:t>M</w:t>
      </w:r>
      <w:r w:rsidR="001E4D7D" w:rsidRPr="00011FE4">
        <w:t>ental health condition</w:t>
      </w:r>
    </w:p>
    <w:p w14:paraId="585B2491" w14:textId="66A61486" w:rsidR="00591210" w:rsidRPr="00011FE4" w:rsidRDefault="00D43982" w:rsidP="0052269F">
      <w:pPr>
        <w:pStyle w:val="ListParagraph"/>
        <w:numPr>
          <w:ilvl w:val="0"/>
          <w:numId w:val="25"/>
        </w:numPr>
        <w:spacing w:before="100" w:beforeAutospacing="1" w:after="100" w:afterAutospacing="1" w:line="300" w:lineRule="atLeast"/>
      </w:pPr>
      <w:r w:rsidRPr="00011FE4">
        <w:t>L</w:t>
      </w:r>
      <w:r w:rsidR="002E001E" w:rsidRPr="00011FE4">
        <w:t>ong-term medical condition</w:t>
      </w:r>
    </w:p>
    <w:p w14:paraId="677A50F5" w14:textId="2E952A6E" w:rsidR="002717A1" w:rsidRPr="00011FE4" w:rsidRDefault="00D5139C" w:rsidP="0052269F">
      <w:r w:rsidRPr="00011FE4">
        <w:t>Arguably,</w:t>
      </w:r>
      <w:r w:rsidR="0037224C" w:rsidRPr="00011FE4">
        <w:t xml:space="preserve"> </w:t>
      </w:r>
      <w:r w:rsidR="00FF29EE" w:rsidRPr="00011FE4">
        <w:t xml:space="preserve">the </w:t>
      </w:r>
      <w:r w:rsidR="00991F08" w:rsidRPr="00011FE4">
        <w:rPr>
          <w:i/>
        </w:rPr>
        <w:t>EA</w:t>
      </w:r>
      <w:r w:rsidR="007663BE" w:rsidRPr="00011FE4">
        <w:rPr>
          <w:i/>
        </w:rPr>
        <w:t xml:space="preserve"> 2010</w:t>
      </w:r>
      <w:r w:rsidR="00A74375" w:rsidRPr="00011FE4">
        <w:t xml:space="preserve"> </w:t>
      </w:r>
      <w:r w:rsidR="00FF29EE" w:rsidRPr="00011FE4">
        <w:t>definition describes</w:t>
      </w:r>
      <w:r w:rsidR="0037224C" w:rsidRPr="00011FE4">
        <w:t xml:space="preserve"> </w:t>
      </w:r>
      <w:r w:rsidR="006C4B9F" w:rsidRPr="00011FE4">
        <w:t>impairment, effectively</w:t>
      </w:r>
      <w:r w:rsidR="00A74375" w:rsidRPr="00011FE4">
        <w:t xml:space="preserve"> </w:t>
      </w:r>
      <w:r w:rsidR="00FF29EE" w:rsidRPr="00011FE4">
        <w:t>deemphasis</w:t>
      </w:r>
      <w:r w:rsidR="008C0B88" w:rsidRPr="00011FE4">
        <w:t>ing</w:t>
      </w:r>
      <w:r w:rsidR="00A74375" w:rsidRPr="00011FE4">
        <w:t xml:space="preserve"> social construction</w:t>
      </w:r>
      <w:r w:rsidR="008C0B88" w:rsidRPr="00011FE4">
        <w:t>s</w:t>
      </w:r>
      <w:r w:rsidR="00A74375" w:rsidRPr="00011FE4">
        <w:t xml:space="preserve"> of disability</w:t>
      </w:r>
      <w:r w:rsidR="0037224C" w:rsidRPr="00011FE4">
        <w:t xml:space="preserve">. </w:t>
      </w:r>
      <w:r w:rsidR="002717A1" w:rsidRPr="00011FE4">
        <w:t xml:space="preserve">  Semantics can create tensions</w:t>
      </w:r>
      <w:r w:rsidR="00CF53CA" w:rsidRPr="00011FE4">
        <w:t>.</w:t>
      </w:r>
      <w:r w:rsidR="002717A1" w:rsidRPr="00011FE4">
        <w:t xml:space="preserve">  </w:t>
      </w:r>
      <w:r w:rsidR="006748B7" w:rsidRPr="00011FE4">
        <w:t>Universities purporting</w:t>
      </w:r>
      <w:r w:rsidR="00C51F4C" w:rsidRPr="00011FE4">
        <w:t xml:space="preserve"> to embrace Social Model thinking</w:t>
      </w:r>
      <w:r w:rsidR="0052269F" w:rsidRPr="00011FE4">
        <w:t>,</w:t>
      </w:r>
      <w:r w:rsidR="00C51F4C" w:rsidRPr="00011FE4">
        <w:t xml:space="preserve"> while being reliant</w:t>
      </w:r>
      <w:r w:rsidR="002717A1" w:rsidRPr="00011FE4">
        <w:t xml:space="preserve"> on Medical Model diagnostic labelling as a gateway to </w:t>
      </w:r>
      <w:r w:rsidR="00C51F4C" w:rsidRPr="00011FE4">
        <w:t xml:space="preserve">individualised </w:t>
      </w:r>
      <w:r w:rsidR="00E448B5" w:rsidRPr="00011FE4">
        <w:t>adjustments</w:t>
      </w:r>
      <w:r w:rsidR="0052269F" w:rsidRPr="00011FE4">
        <w:t>,</w:t>
      </w:r>
      <w:r w:rsidR="00E448B5" w:rsidRPr="00011FE4">
        <w:t xml:space="preserve"> </w:t>
      </w:r>
      <w:r w:rsidR="00C51F4C" w:rsidRPr="00011FE4">
        <w:t xml:space="preserve">represent a </w:t>
      </w:r>
      <w:r w:rsidR="006C4B9F" w:rsidRPr="00011FE4">
        <w:t>contradiction (</w:t>
      </w:r>
      <w:r w:rsidR="008032AD" w:rsidRPr="00011FE4">
        <w:t>Minich</w:t>
      </w:r>
      <w:r w:rsidR="0052269F" w:rsidRPr="00011FE4">
        <w:t>,</w:t>
      </w:r>
      <w:r w:rsidR="008032AD" w:rsidRPr="00011FE4">
        <w:t xml:space="preserve"> 2016</w:t>
      </w:r>
      <w:r w:rsidR="0052269F" w:rsidRPr="00011FE4">
        <w:t>;</w:t>
      </w:r>
      <w:r w:rsidR="008032AD" w:rsidRPr="00011FE4">
        <w:t xml:space="preserve"> </w:t>
      </w:r>
      <w:r w:rsidR="002717A1" w:rsidRPr="00011FE4">
        <w:t>Wilson and Martin, 2017).</w:t>
      </w:r>
      <w:r w:rsidR="003D6205" w:rsidRPr="00011FE4">
        <w:t xml:space="preserve"> </w:t>
      </w:r>
      <w:r w:rsidR="00644461" w:rsidRPr="00011FE4">
        <w:t>Confusion around terminology is evident in UK university websites. A random selection of ten found six using the expression ‘students with disabilities</w:t>
      </w:r>
      <w:r w:rsidR="006C4B9F" w:rsidRPr="00011FE4">
        <w:t>’ alongside</w:t>
      </w:r>
      <w:r w:rsidR="00644461" w:rsidRPr="00011FE4">
        <w:t xml:space="preserve"> a narrative about Social Model thinking.</w:t>
      </w:r>
    </w:p>
    <w:p w14:paraId="5A80B526" w14:textId="77777777" w:rsidR="002717A1" w:rsidRPr="00011FE4" w:rsidRDefault="002717A1" w:rsidP="00235691"/>
    <w:p w14:paraId="16B24D19" w14:textId="20EFE5A1" w:rsidR="002717A1" w:rsidRPr="00011FE4" w:rsidRDefault="002717A1" w:rsidP="00235691">
      <w:pPr>
        <w:pStyle w:val="Heading3"/>
        <w:rPr>
          <w:rFonts w:cs="Arial"/>
        </w:rPr>
      </w:pPr>
      <w:bookmarkStart w:id="2" w:name="_Toc7006870"/>
      <w:r w:rsidRPr="00011FE4">
        <w:rPr>
          <w:rFonts w:cs="Arial"/>
        </w:rPr>
        <w:t>Legislati</w:t>
      </w:r>
      <w:r w:rsidR="00E4036C" w:rsidRPr="00011FE4">
        <w:rPr>
          <w:rFonts w:cs="Arial"/>
        </w:rPr>
        <w:t>on Relevant to UK and USA Universities</w:t>
      </w:r>
      <w:bookmarkEnd w:id="2"/>
    </w:p>
    <w:p w14:paraId="71B81548" w14:textId="676AD338" w:rsidR="002717A1" w:rsidRPr="00011FE4" w:rsidRDefault="005E446D" w:rsidP="00235691">
      <w:r w:rsidRPr="00011FE4">
        <w:t xml:space="preserve">The </w:t>
      </w:r>
      <w:r w:rsidR="006D66EC" w:rsidRPr="00011FE4">
        <w:rPr>
          <w:i/>
          <w:iCs/>
        </w:rPr>
        <w:t>E</w:t>
      </w:r>
      <w:r w:rsidR="00135707" w:rsidRPr="00011FE4">
        <w:rPr>
          <w:i/>
          <w:iCs/>
        </w:rPr>
        <w:t>quality Act 2010</w:t>
      </w:r>
      <w:r w:rsidR="00135707" w:rsidRPr="00011FE4">
        <w:rPr>
          <w:i/>
        </w:rPr>
        <w:t xml:space="preserve"> </w:t>
      </w:r>
      <w:r w:rsidR="00135707" w:rsidRPr="00011FE4">
        <w:rPr>
          <w:iCs/>
        </w:rPr>
        <w:t>(</w:t>
      </w:r>
      <w:r w:rsidR="00135707" w:rsidRPr="00011FE4">
        <w:rPr>
          <w:i/>
          <w:iCs/>
        </w:rPr>
        <w:t>EA</w:t>
      </w:r>
      <w:r w:rsidR="002C70E0" w:rsidRPr="00011FE4">
        <w:rPr>
          <w:i/>
          <w:iCs/>
        </w:rPr>
        <w:t>2010</w:t>
      </w:r>
      <w:proofErr w:type="gramStart"/>
      <w:r w:rsidR="00135707" w:rsidRPr="00011FE4">
        <w:rPr>
          <w:iCs/>
        </w:rPr>
        <w:t>)</w:t>
      </w:r>
      <w:r w:rsidR="007663BE" w:rsidRPr="00011FE4">
        <w:rPr>
          <w:iCs/>
        </w:rPr>
        <w:t xml:space="preserve"> </w:t>
      </w:r>
      <w:r w:rsidR="006C4B9F" w:rsidRPr="00011FE4">
        <w:t xml:space="preserve"> is</w:t>
      </w:r>
      <w:proofErr w:type="gramEnd"/>
      <w:r w:rsidR="00550C8B" w:rsidRPr="00011FE4">
        <w:t xml:space="preserve"> designed</w:t>
      </w:r>
      <w:r w:rsidR="00F32096" w:rsidRPr="00011FE4">
        <w:t xml:space="preserve"> </w:t>
      </w:r>
      <w:r w:rsidR="006748B7" w:rsidRPr="00011FE4">
        <w:t>to pro</w:t>
      </w:r>
      <w:r w:rsidR="0085167F" w:rsidRPr="00011FE4">
        <w:t xml:space="preserve">mote </w:t>
      </w:r>
      <w:r w:rsidR="006C4B9F" w:rsidRPr="00011FE4">
        <w:t>anti-discrimination</w:t>
      </w:r>
      <w:r w:rsidR="006748B7" w:rsidRPr="00011FE4">
        <w:t xml:space="preserve"> </w:t>
      </w:r>
      <w:r w:rsidR="0085167F" w:rsidRPr="00011FE4">
        <w:t>of citizens</w:t>
      </w:r>
      <w:r w:rsidR="00D94A0E" w:rsidRPr="00011FE4">
        <w:t xml:space="preserve"> with</w:t>
      </w:r>
      <w:r w:rsidR="002717A1" w:rsidRPr="00011FE4">
        <w:t xml:space="preserve"> </w:t>
      </w:r>
      <w:r w:rsidR="00D94A0E" w:rsidRPr="00011FE4">
        <w:t xml:space="preserve">one or more of </w:t>
      </w:r>
      <w:r w:rsidR="00135707" w:rsidRPr="00011FE4">
        <w:t xml:space="preserve">nine </w:t>
      </w:r>
      <w:r w:rsidR="00A42AC5" w:rsidRPr="00011FE4">
        <w:t>protected characteristics</w:t>
      </w:r>
      <w:r w:rsidR="002717A1" w:rsidRPr="00011FE4">
        <w:t xml:space="preserve">, including </w:t>
      </w:r>
      <w:r w:rsidR="00A42AC5" w:rsidRPr="00011FE4">
        <w:t>disability,</w:t>
      </w:r>
      <w:r w:rsidR="00D94A0E" w:rsidRPr="00011FE4">
        <w:t xml:space="preserve"> </w:t>
      </w:r>
      <w:r w:rsidR="002717A1" w:rsidRPr="00011FE4">
        <w:t>gender and age</w:t>
      </w:r>
      <w:r w:rsidR="00A42AC5" w:rsidRPr="00011FE4">
        <w:t>.</w:t>
      </w:r>
      <w:r w:rsidR="002717A1" w:rsidRPr="00011FE4">
        <w:t xml:space="preserve"> </w:t>
      </w:r>
      <w:r w:rsidR="006748B7" w:rsidRPr="00011FE4">
        <w:t xml:space="preserve">It </w:t>
      </w:r>
      <w:r w:rsidR="0085167F" w:rsidRPr="00011FE4">
        <w:t xml:space="preserve">factors in intersectionality and </w:t>
      </w:r>
      <w:r w:rsidR="006748B7" w:rsidRPr="00011FE4">
        <w:t>harmonises</w:t>
      </w:r>
      <w:r w:rsidR="00BA6650" w:rsidRPr="00011FE4">
        <w:t xml:space="preserve"> </w:t>
      </w:r>
      <w:r w:rsidR="0085167F" w:rsidRPr="00011FE4">
        <w:t>previous</w:t>
      </w:r>
      <w:r w:rsidR="00BA6650" w:rsidRPr="00011FE4">
        <w:t xml:space="preserve"> </w:t>
      </w:r>
      <w:r w:rsidR="006748B7" w:rsidRPr="00011FE4">
        <w:t>anti-discrimination</w:t>
      </w:r>
      <w:r w:rsidR="00BA6650" w:rsidRPr="00011FE4">
        <w:t xml:space="preserve"> legislation </w:t>
      </w:r>
      <w:r w:rsidR="006748B7" w:rsidRPr="00011FE4">
        <w:t>including various</w:t>
      </w:r>
      <w:r w:rsidR="00BA6650" w:rsidRPr="00011FE4">
        <w:t xml:space="preserve"> iterations of the Disability Discrimination Act from the 1990s </w:t>
      </w:r>
      <w:r w:rsidR="00A42AC5" w:rsidRPr="00011FE4">
        <w:t>(Equality and Human Rights Commission</w:t>
      </w:r>
      <w:r w:rsidRPr="00011FE4">
        <w:t xml:space="preserve"> (EHRC)</w:t>
      </w:r>
      <w:r w:rsidR="00A42AC5" w:rsidRPr="00011FE4">
        <w:t>, 2016</w:t>
      </w:r>
      <w:r w:rsidRPr="00011FE4">
        <w:t>)</w:t>
      </w:r>
      <w:r w:rsidR="00D94A0E" w:rsidRPr="00011FE4">
        <w:t>.</w:t>
      </w:r>
      <w:r w:rsidR="008C2461" w:rsidRPr="00011FE4">
        <w:rPr>
          <w:rFonts w:eastAsia="Arial"/>
        </w:rPr>
        <w:t xml:space="preserve"> </w:t>
      </w:r>
      <w:r w:rsidR="00AD03E6" w:rsidRPr="00011FE4">
        <w:t xml:space="preserve">The Equality Duty (EHRC, 2014b, section 149) and the </w:t>
      </w:r>
      <w:r w:rsidR="00975D66" w:rsidRPr="00011FE4">
        <w:t xml:space="preserve">Technical Guidance on Further and Higher Education (EHRC, 2014a) </w:t>
      </w:r>
      <w:r w:rsidR="00DD2FF6" w:rsidRPr="00011FE4">
        <w:t>specif</w:t>
      </w:r>
      <w:r w:rsidR="00AD03E6" w:rsidRPr="00011FE4">
        <w:t xml:space="preserve">ied the requirement to </w:t>
      </w:r>
      <w:r w:rsidR="0085167F" w:rsidRPr="00011FE4">
        <w:t xml:space="preserve">publish </w:t>
      </w:r>
      <w:r w:rsidR="00975D66" w:rsidRPr="00011FE4">
        <w:t>action plan</w:t>
      </w:r>
      <w:r w:rsidR="00AD03E6" w:rsidRPr="00011FE4">
        <w:t>s which include</w:t>
      </w:r>
      <w:r w:rsidR="00975D66" w:rsidRPr="00011FE4">
        <w:t xml:space="preserve"> measurable equality </w:t>
      </w:r>
      <w:proofErr w:type="gramStart"/>
      <w:r w:rsidR="00975D66" w:rsidRPr="00011FE4">
        <w:t>objectives</w:t>
      </w:r>
      <w:r w:rsidR="00DD2FF6" w:rsidRPr="00011FE4">
        <w:t>.</w:t>
      </w:r>
      <w:r w:rsidR="006C4B9F" w:rsidRPr="00011FE4">
        <w:t>.</w:t>
      </w:r>
      <w:proofErr w:type="gramEnd"/>
      <w:r w:rsidR="00975D66" w:rsidRPr="00011FE4">
        <w:t xml:space="preserve"> </w:t>
      </w:r>
      <w:r w:rsidR="008C2461" w:rsidRPr="00011FE4">
        <w:rPr>
          <w:rFonts w:eastAsia="Arial"/>
        </w:rPr>
        <w:t>DSA</w:t>
      </w:r>
      <w:r w:rsidR="00F32096" w:rsidRPr="00011FE4">
        <w:rPr>
          <w:rFonts w:eastAsia="Arial"/>
        </w:rPr>
        <w:t xml:space="preserve"> reforms</w:t>
      </w:r>
      <w:r w:rsidR="008C2461" w:rsidRPr="00011FE4">
        <w:rPr>
          <w:rFonts w:eastAsia="Arial"/>
        </w:rPr>
        <w:t xml:space="preserve"> </w:t>
      </w:r>
      <w:r w:rsidR="00DD2FF6" w:rsidRPr="00011FE4">
        <w:rPr>
          <w:rFonts w:eastAsia="Arial"/>
        </w:rPr>
        <w:t>must</w:t>
      </w:r>
      <w:r w:rsidR="008C2461" w:rsidRPr="00011FE4">
        <w:rPr>
          <w:rFonts w:eastAsia="Arial"/>
        </w:rPr>
        <w:t xml:space="preserve"> </w:t>
      </w:r>
      <w:r w:rsidR="00F32096" w:rsidRPr="00011FE4">
        <w:rPr>
          <w:rFonts w:eastAsia="Arial"/>
        </w:rPr>
        <w:t xml:space="preserve">adhere to </w:t>
      </w:r>
      <w:r w:rsidR="00416CA5" w:rsidRPr="00011FE4">
        <w:rPr>
          <w:rFonts w:eastAsia="Arial"/>
        </w:rPr>
        <w:t>the anticipatory</w:t>
      </w:r>
      <w:r w:rsidR="008C2461" w:rsidRPr="00011FE4">
        <w:rPr>
          <w:rFonts w:eastAsia="Arial"/>
        </w:rPr>
        <w:t xml:space="preserve"> </w:t>
      </w:r>
      <w:r w:rsidR="006748B7" w:rsidRPr="00011FE4">
        <w:rPr>
          <w:rFonts w:eastAsia="Arial"/>
        </w:rPr>
        <w:t xml:space="preserve">duty </w:t>
      </w:r>
      <w:r w:rsidR="00416CA5" w:rsidRPr="00011FE4">
        <w:rPr>
          <w:rFonts w:eastAsia="Arial"/>
        </w:rPr>
        <w:t xml:space="preserve">of the </w:t>
      </w:r>
      <w:r w:rsidR="006D66EC" w:rsidRPr="00011FE4">
        <w:rPr>
          <w:rFonts w:eastAsia="Arial"/>
          <w:i/>
        </w:rPr>
        <w:t>EA</w:t>
      </w:r>
      <w:r w:rsidR="00416CA5" w:rsidRPr="00011FE4">
        <w:rPr>
          <w:rFonts w:eastAsia="Arial"/>
          <w:i/>
        </w:rPr>
        <w:t xml:space="preserve"> 2010</w:t>
      </w:r>
      <w:r w:rsidR="00416CA5" w:rsidRPr="00011FE4">
        <w:rPr>
          <w:rFonts w:eastAsia="Arial"/>
        </w:rPr>
        <w:t xml:space="preserve"> </w:t>
      </w:r>
      <w:r w:rsidR="006748B7" w:rsidRPr="00011FE4">
        <w:rPr>
          <w:rFonts w:eastAsia="Arial"/>
        </w:rPr>
        <w:t>as</w:t>
      </w:r>
      <w:r w:rsidR="00975D66" w:rsidRPr="00011FE4">
        <w:rPr>
          <w:rFonts w:eastAsia="Arial"/>
        </w:rPr>
        <w:t xml:space="preserve"> outlined in </w:t>
      </w:r>
      <w:r w:rsidR="00975D66" w:rsidRPr="00011FE4">
        <w:t xml:space="preserve">The </w:t>
      </w:r>
      <w:r w:rsidR="00975D66" w:rsidRPr="00011FE4">
        <w:rPr>
          <w:rFonts w:eastAsia="Arial"/>
        </w:rPr>
        <w:t>Public Sector</w:t>
      </w:r>
      <w:r w:rsidR="00975D66" w:rsidRPr="00011FE4">
        <w:t xml:space="preserve"> Equality </w:t>
      </w:r>
      <w:r w:rsidR="006748B7" w:rsidRPr="00011FE4">
        <w:t>Duty Section</w:t>
      </w:r>
      <w:r w:rsidR="00975D66" w:rsidRPr="00011FE4">
        <w:t xml:space="preserve"> 7.26 and 7.727</w:t>
      </w:r>
      <w:r w:rsidR="00975D66" w:rsidRPr="00011FE4">
        <w:rPr>
          <w:rFonts w:eastAsia="Arial"/>
        </w:rPr>
        <w:t>.</w:t>
      </w:r>
      <w:r w:rsidR="008C2461" w:rsidRPr="00011FE4">
        <w:rPr>
          <w:rFonts w:eastAsia="Arial"/>
        </w:rPr>
        <w:t xml:space="preserve"> </w:t>
      </w:r>
      <w:r w:rsidR="002717A1" w:rsidRPr="00011FE4">
        <w:t xml:space="preserve">  The UK Quality Code for H</w:t>
      </w:r>
      <w:r w:rsidR="0085167F" w:rsidRPr="00011FE4">
        <w:t>E</w:t>
      </w:r>
      <w:r w:rsidR="00A061B1" w:rsidRPr="00011FE4">
        <w:t xml:space="preserve"> (</w:t>
      </w:r>
      <w:r w:rsidR="002717A1" w:rsidRPr="00011FE4">
        <w:rPr>
          <w:i/>
        </w:rPr>
        <w:t>Advice and Guidance: Enabling Student Achievement</w:t>
      </w:r>
      <w:r w:rsidR="00A061B1" w:rsidRPr="00011FE4">
        <w:t>)</w:t>
      </w:r>
      <w:r w:rsidR="00AF349C" w:rsidRPr="00011FE4">
        <w:t xml:space="preserve"> (Quality Assurance Agency for Higher Education, 2018</w:t>
      </w:r>
      <w:r w:rsidR="00E848F6" w:rsidRPr="00011FE4">
        <w:t>) requires</w:t>
      </w:r>
      <w:r w:rsidR="002717A1" w:rsidRPr="00011FE4">
        <w:t xml:space="preserve"> ‘clear, accessible and inclusive policies and procedures to enable students and staff to identify when support mechanisms may be required for academic and personal progression’ (p</w:t>
      </w:r>
      <w:r w:rsidR="00B85383" w:rsidRPr="00011FE4">
        <w:t>.</w:t>
      </w:r>
      <w:r w:rsidR="002717A1" w:rsidRPr="00011FE4">
        <w:t>3)</w:t>
      </w:r>
      <w:r w:rsidR="008E3CC4" w:rsidRPr="00011FE4">
        <w:t xml:space="preserve"> and</w:t>
      </w:r>
      <w:r w:rsidR="002717A1" w:rsidRPr="00011FE4">
        <w:t xml:space="preserve"> ‘an accessible, inclusive and engaging community that incorporates staff and students to facilitate a supportive environment’</w:t>
      </w:r>
      <w:r w:rsidR="00A061B1" w:rsidRPr="00011FE4">
        <w:t xml:space="preserve"> (p4)</w:t>
      </w:r>
      <w:r w:rsidR="008E3CC4" w:rsidRPr="00011FE4">
        <w:t xml:space="preserve">. </w:t>
      </w:r>
      <w:r w:rsidR="006748B7" w:rsidRPr="00011FE4">
        <w:t>It specifies</w:t>
      </w:r>
      <w:r w:rsidR="002717A1" w:rsidRPr="00011FE4">
        <w:t xml:space="preserve"> that: ‘Providers should define, coordinate, monitor and evaluate staff roles and responsibilities to ensure students have access to the support and opportunities required to achieve their personal and academic goals’ (p</w:t>
      </w:r>
      <w:r w:rsidR="00B85383" w:rsidRPr="00011FE4">
        <w:t>.</w:t>
      </w:r>
      <w:r w:rsidR="002717A1" w:rsidRPr="00011FE4">
        <w:t xml:space="preserve">9). </w:t>
      </w:r>
      <w:r w:rsidR="006748B7" w:rsidRPr="00011FE4">
        <w:t>Under ‘</w:t>
      </w:r>
      <w:r w:rsidR="002717A1" w:rsidRPr="00011FE4">
        <w:t xml:space="preserve">Expectation for Quality’ the </w:t>
      </w:r>
      <w:r w:rsidR="00A061B1" w:rsidRPr="00011FE4">
        <w:t>C</w:t>
      </w:r>
      <w:r w:rsidR="002717A1" w:rsidRPr="00011FE4">
        <w:t xml:space="preserve">ode </w:t>
      </w:r>
      <w:r w:rsidR="00DD2FF6" w:rsidRPr="00011FE4">
        <w:t xml:space="preserve">states that </w:t>
      </w:r>
      <w:r w:rsidR="008E3CC4" w:rsidRPr="00011FE4">
        <w:t>support</w:t>
      </w:r>
      <w:r w:rsidR="00DD2FF6" w:rsidRPr="00011FE4">
        <w:t xml:space="preserve"> should be ‘</w:t>
      </w:r>
      <w:r w:rsidR="00A061B1" w:rsidRPr="00011FE4">
        <w:t xml:space="preserve">accessible and inclusive of all students, but not the same for all students’ (p.2). </w:t>
      </w:r>
      <w:r w:rsidR="002717A1" w:rsidRPr="00011FE4">
        <w:t xml:space="preserve"> </w:t>
      </w:r>
    </w:p>
    <w:p w14:paraId="66D05158" w14:textId="6B45CFC9" w:rsidR="00DD2FF6" w:rsidRPr="00011FE4" w:rsidRDefault="003752CC" w:rsidP="00873893">
      <w:r w:rsidRPr="00011FE4">
        <w:t>Th</w:t>
      </w:r>
      <w:r w:rsidR="00BA6650" w:rsidRPr="00011FE4">
        <w:t>e</w:t>
      </w:r>
      <w:r w:rsidRPr="00011FE4">
        <w:t xml:space="preserve"> </w:t>
      </w:r>
      <w:r w:rsidR="00135707" w:rsidRPr="00011FE4">
        <w:rPr>
          <w:i/>
          <w:iCs/>
        </w:rPr>
        <w:t>Americans with Disabilities Act</w:t>
      </w:r>
      <w:r w:rsidR="005B50EE" w:rsidRPr="00011FE4">
        <w:rPr>
          <w:i/>
          <w:iCs/>
        </w:rPr>
        <w:t xml:space="preserve"> </w:t>
      </w:r>
      <w:r w:rsidR="005B50EE" w:rsidRPr="00011FE4">
        <w:t>(</w:t>
      </w:r>
      <w:r w:rsidR="005B50EE" w:rsidRPr="00011FE4">
        <w:rPr>
          <w:i/>
        </w:rPr>
        <w:t>ADA)</w:t>
      </w:r>
      <w:r w:rsidR="00135707" w:rsidRPr="00011FE4">
        <w:rPr>
          <w:i/>
          <w:iCs/>
        </w:rPr>
        <w:t xml:space="preserve"> </w:t>
      </w:r>
      <w:r w:rsidR="00135707" w:rsidRPr="00011FE4">
        <w:t xml:space="preserve">2008 </w:t>
      </w:r>
      <w:r w:rsidR="00FD3101" w:rsidRPr="00011FE4">
        <w:t>amendment</w:t>
      </w:r>
      <w:r w:rsidR="00BA6650" w:rsidRPr="00011FE4">
        <w:t xml:space="preserve"> fulfils </w:t>
      </w:r>
      <w:r w:rsidR="006748B7" w:rsidRPr="00011FE4">
        <w:t>a role</w:t>
      </w:r>
      <w:r w:rsidR="00BA6650" w:rsidRPr="00011FE4">
        <w:t xml:space="preserve"> </w:t>
      </w:r>
      <w:proofErr w:type="gramStart"/>
      <w:r w:rsidR="00B85383" w:rsidRPr="00011FE4">
        <w:t>similar to</w:t>
      </w:r>
      <w:proofErr w:type="gramEnd"/>
      <w:r w:rsidR="00BA6650" w:rsidRPr="00011FE4">
        <w:t xml:space="preserve"> the disability </w:t>
      </w:r>
      <w:r w:rsidR="006D66EC" w:rsidRPr="00011FE4">
        <w:t>legislation that</w:t>
      </w:r>
      <w:r w:rsidR="00BA6650" w:rsidRPr="00011FE4">
        <w:t xml:space="preserve"> pre</w:t>
      </w:r>
      <w:r w:rsidR="00B85383" w:rsidRPr="00011FE4">
        <w:t>-</w:t>
      </w:r>
      <w:r w:rsidR="00BA6650" w:rsidRPr="00011FE4">
        <w:t xml:space="preserve">dated </w:t>
      </w:r>
      <w:r w:rsidR="00135707" w:rsidRPr="00011FE4">
        <w:t xml:space="preserve">UK </w:t>
      </w:r>
      <w:r w:rsidR="006D66EC" w:rsidRPr="00011FE4">
        <w:rPr>
          <w:i/>
        </w:rPr>
        <w:t>EA</w:t>
      </w:r>
      <w:r w:rsidR="007663BE" w:rsidRPr="00011FE4">
        <w:rPr>
          <w:i/>
        </w:rPr>
        <w:t xml:space="preserve"> 2010</w:t>
      </w:r>
      <w:r w:rsidR="00953808" w:rsidRPr="00011FE4">
        <w:t xml:space="preserve">.  </w:t>
      </w:r>
      <w:r w:rsidR="00BA6650" w:rsidRPr="00011FE4">
        <w:t xml:space="preserve"> Ruddy (2019)</w:t>
      </w:r>
      <w:r w:rsidR="002717A1" w:rsidRPr="00011FE4">
        <w:t xml:space="preserve"> </w:t>
      </w:r>
      <w:r w:rsidR="00BA6650" w:rsidRPr="00011FE4">
        <w:t>contends that ‘</w:t>
      </w:r>
      <w:r w:rsidR="00BD4291" w:rsidRPr="00011FE4">
        <w:t>The</w:t>
      </w:r>
      <w:r w:rsidR="00BA6650" w:rsidRPr="00011FE4">
        <w:t xml:space="preserve"> </w:t>
      </w:r>
      <w:r w:rsidR="00BD4291" w:rsidRPr="00011FE4">
        <w:rPr>
          <w:i/>
        </w:rPr>
        <w:t>ADA</w:t>
      </w:r>
      <w:r w:rsidR="00BA6650" w:rsidRPr="00011FE4">
        <w:t xml:space="preserve">, </w:t>
      </w:r>
      <w:r w:rsidR="00BD4291" w:rsidRPr="00011FE4">
        <w:t>according to President</w:t>
      </w:r>
      <w:r w:rsidR="00BA6650" w:rsidRPr="00011FE4">
        <w:t xml:space="preserve"> </w:t>
      </w:r>
      <w:r w:rsidR="006748B7" w:rsidRPr="00011FE4">
        <w:t>George</w:t>
      </w:r>
      <w:r w:rsidR="00BD4291" w:rsidRPr="00011FE4">
        <w:t xml:space="preserve"> Bush, </w:t>
      </w:r>
      <w:r w:rsidR="006748B7" w:rsidRPr="00011FE4">
        <w:t>was “the</w:t>
      </w:r>
      <w:r w:rsidR="00BA6650" w:rsidRPr="00011FE4">
        <w:t xml:space="preserve"> </w:t>
      </w:r>
      <w:r w:rsidR="00BD4291" w:rsidRPr="00011FE4">
        <w:t>world’s first comprehensive declaration of equality for people with disabilities.” The</w:t>
      </w:r>
      <w:r w:rsidR="00BA6650" w:rsidRPr="00011FE4">
        <w:t xml:space="preserve"> </w:t>
      </w:r>
      <w:r w:rsidR="00BD4291" w:rsidRPr="00011FE4">
        <w:t>statute</w:t>
      </w:r>
      <w:r w:rsidR="00BA6650" w:rsidRPr="00011FE4">
        <w:t xml:space="preserve"> </w:t>
      </w:r>
      <w:r w:rsidR="00BD4291" w:rsidRPr="00011FE4">
        <w:t>forbade</w:t>
      </w:r>
      <w:r w:rsidR="00BA6650" w:rsidRPr="00011FE4">
        <w:t xml:space="preserve"> </w:t>
      </w:r>
      <w:r w:rsidR="00BD4291" w:rsidRPr="00011FE4">
        <w:t xml:space="preserve">disability discrimination in </w:t>
      </w:r>
      <w:r w:rsidR="006748B7" w:rsidRPr="00011FE4">
        <w:t>employment, public</w:t>
      </w:r>
      <w:r w:rsidR="00BA6650" w:rsidRPr="00011FE4">
        <w:t xml:space="preserve"> </w:t>
      </w:r>
      <w:r w:rsidR="00BD4291" w:rsidRPr="00011FE4">
        <w:t xml:space="preserve">services, transportation </w:t>
      </w:r>
      <w:proofErr w:type="gramStart"/>
      <w:r w:rsidR="00BD4291" w:rsidRPr="00011FE4">
        <w:t>and,</w:t>
      </w:r>
      <w:proofErr w:type="gramEnd"/>
      <w:r w:rsidR="00BD4291" w:rsidRPr="00011FE4">
        <w:t xml:space="preserve"> as releva</w:t>
      </w:r>
      <w:r w:rsidR="00BA6650" w:rsidRPr="00011FE4">
        <w:t>n</w:t>
      </w:r>
      <w:r w:rsidR="00BD4291" w:rsidRPr="00011FE4">
        <w:t xml:space="preserve">t provision of goods and </w:t>
      </w:r>
      <w:r w:rsidR="006748B7" w:rsidRPr="00011FE4">
        <w:t>services</w:t>
      </w:r>
      <w:r w:rsidR="00B85383" w:rsidRPr="00011FE4">
        <w:t>.’  (p.83)</w:t>
      </w:r>
      <w:r w:rsidR="00BD4291" w:rsidRPr="00011FE4">
        <w:t>.</w:t>
      </w:r>
      <w:r w:rsidR="00B85383" w:rsidRPr="00011FE4">
        <w:t xml:space="preserve">  </w:t>
      </w:r>
      <w:r w:rsidR="00873893" w:rsidRPr="00011FE4">
        <w:t xml:space="preserve">In 2008 </w:t>
      </w:r>
      <w:r w:rsidR="00FD3101" w:rsidRPr="00011FE4">
        <w:t>the amendment</w:t>
      </w:r>
      <w:r w:rsidR="008B74CB" w:rsidRPr="00011FE4">
        <w:t xml:space="preserve"> was instigated</w:t>
      </w:r>
      <w:r w:rsidR="00873893" w:rsidRPr="00011FE4">
        <w:t xml:space="preserve"> ‘to make it easier for an individual seeking protection under the ADA to establish that he or she has a disability within the meaning of the</w:t>
      </w:r>
      <w:r w:rsidR="00BA6650" w:rsidRPr="00011FE4">
        <w:t xml:space="preserve"> </w:t>
      </w:r>
      <w:r w:rsidR="00873893" w:rsidRPr="00011FE4">
        <w:t>ADA’</w:t>
      </w:r>
      <w:r w:rsidR="00BA6650" w:rsidRPr="00011FE4">
        <w:t xml:space="preserve"> </w:t>
      </w:r>
      <w:r w:rsidR="005D50D1" w:rsidRPr="00011FE4">
        <w:t>(</w:t>
      </w:r>
      <w:proofErr w:type="spellStart"/>
      <w:r w:rsidR="00BA6650" w:rsidRPr="00011FE4">
        <w:t>Daddona</w:t>
      </w:r>
      <w:proofErr w:type="spellEnd"/>
      <w:r w:rsidR="00BA6650" w:rsidRPr="00011FE4">
        <w:t xml:space="preserve"> and Harold</w:t>
      </w:r>
      <w:r w:rsidR="005D50D1" w:rsidRPr="00011FE4">
        <w:t xml:space="preserve">, </w:t>
      </w:r>
      <w:r w:rsidR="00BA6650" w:rsidRPr="00011FE4">
        <w:t>2018</w:t>
      </w:r>
      <w:r w:rsidR="005D50D1" w:rsidRPr="00011FE4">
        <w:t>,</w:t>
      </w:r>
      <w:r w:rsidR="00BA6650" w:rsidRPr="00011FE4">
        <w:t xml:space="preserve"> </w:t>
      </w:r>
      <w:r w:rsidR="00873893" w:rsidRPr="00011FE4">
        <w:t>p</w:t>
      </w:r>
      <w:r w:rsidR="005D50D1" w:rsidRPr="00011FE4">
        <w:t>.</w:t>
      </w:r>
      <w:r w:rsidR="00873893" w:rsidRPr="00011FE4">
        <w:t>50</w:t>
      </w:r>
      <w:r w:rsidR="005D50D1" w:rsidRPr="00011FE4">
        <w:t>)</w:t>
      </w:r>
      <w:r w:rsidR="00BA6650" w:rsidRPr="00011FE4">
        <w:t xml:space="preserve">. This did not negate the requirement for </w:t>
      </w:r>
      <w:r w:rsidR="00FD3101" w:rsidRPr="00011FE4">
        <w:t>medical proof</w:t>
      </w:r>
      <w:r w:rsidR="00BA6650" w:rsidRPr="00011FE4">
        <w:t xml:space="preserve"> of eligibility.</w:t>
      </w:r>
      <w:r w:rsidR="00BE4464" w:rsidRPr="00011FE4">
        <w:t xml:space="preserve"> </w:t>
      </w:r>
      <w:r w:rsidR="00F768FE" w:rsidRPr="00011FE4">
        <w:t>Further US developments include the</w:t>
      </w:r>
      <w:r w:rsidR="00131F52" w:rsidRPr="00011FE4">
        <w:t xml:space="preserve"> 2008 </w:t>
      </w:r>
      <w:r w:rsidR="00131F52" w:rsidRPr="00011FE4">
        <w:rPr>
          <w:i/>
        </w:rPr>
        <w:t>Hig</w:t>
      </w:r>
      <w:r w:rsidR="00B110B2" w:rsidRPr="00011FE4">
        <w:rPr>
          <w:i/>
        </w:rPr>
        <w:t>her Education Opportunities Act</w:t>
      </w:r>
      <w:r w:rsidR="00131F52" w:rsidRPr="00011FE4">
        <w:t xml:space="preserve"> and the 2015 </w:t>
      </w:r>
      <w:r w:rsidR="00131F52" w:rsidRPr="00011FE4">
        <w:rPr>
          <w:i/>
        </w:rPr>
        <w:t>Every Student Succeeds Act</w:t>
      </w:r>
      <w:r w:rsidR="006C4B9F" w:rsidRPr="00011FE4">
        <w:t xml:space="preserve"> </w:t>
      </w:r>
      <w:r w:rsidR="006C4B9F" w:rsidRPr="00011FE4">
        <w:lastRenderedPageBreak/>
        <w:t>referenced</w:t>
      </w:r>
      <w:r w:rsidR="00131F52" w:rsidRPr="00011FE4">
        <w:t xml:space="preserve"> by Bracken and Novak (2019) and commended for their </w:t>
      </w:r>
      <w:r w:rsidR="00764B56" w:rsidRPr="00011FE4">
        <w:t>endorsement of the universal benefits of</w:t>
      </w:r>
      <w:r w:rsidR="00131F52" w:rsidRPr="00011FE4">
        <w:t xml:space="preserve"> UDL</w:t>
      </w:r>
      <w:r w:rsidR="00764B56" w:rsidRPr="00011FE4">
        <w:t>.</w:t>
      </w:r>
    </w:p>
    <w:p w14:paraId="3A1CFD9F" w14:textId="6D1B9D63" w:rsidR="00473844" w:rsidRPr="00011FE4" w:rsidRDefault="00914E15" w:rsidP="00B8739F">
      <w:pPr>
        <w:rPr>
          <w:color w:val="423F40"/>
        </w:rPr>
      </w:pPr>
      <w:r w:rsidRPr="00011FE4">
        <w:t xml:space="preserve">The US Congress website (2019) </w:t>
      </w:r>
      <w:r w:rsidR="00BE4464" w:rsidRPr="00011FE4">
        <w:t xml:space="preserve">provides information about </w:t>
      </w:r>
      <w:r w:rsidR="006A1E6F" w:rsidRPr="00011FE4">
        <w:t>potential</w:t>
      </w:r>
      <w:r w:rsidR="00BE4464" w:rsidRPr="00011FE4">
        <w:t xml:space="preserve"> legislative changes in the USA </w:t>
      </w:r>
      <w:r w:rsidR="00DD2FF6" w:rsidRPr="00011FE4">
        <w:t>conceived</w:t>
      </w:r>
      <w:r w:rsidR="00BE4464" w:rsidRPr="00011FE4">
        <w:t xml:space="preserve"> to </w:t>
      </w:r>
      <w:r w:rsidR="006748B7" w:rsidRPr="00011FE4">
        <w:t>harmonise</w:t>
      </w:r>
      <w:r w:rsidR="00BE4464" w:rsidRPr="00011FE4">
        <w:t xml:space="preserve"> previous aspects of equalities legislation</w:t>
      </w:r>
      <w:r w:rsidR="001506C2" w:rsidRPr="00011FE4">
        <w:t xml:space="preserve"> currently under the umbrella of </w:t>
      </w:r>
      <w:r w:rsidR="00227A18" w:rsidRPr="00011FE4">
        <w:t>The Civil Rights Act a</w:t>
      </w:r>
      <w:r w:rsidR="00416CA5" w:rsidRPr="00011FE4">
        <w:t>nd subsequent</w:t>
      </w:r>
      <w:r w:rsidR="00227A18" w:rsidRPr="00011FE4">
        <w:t xml:space="preserve"> updates (enacted initially in 1964 without reference to disability). </w:t>
      </w:r>
      <w:r w:rsidR="00B03899" w:rsidRPr="00011FE4">
        <w:t>On 17</w:t>
      </w:r>
      <w:r w:rsidR="00416CA5" w:rsidRPr="00011FE4">
        <w:t xml:space="preserve"> </w:t>
      </w:r>
      <w:r w:rsidR="00227A18" w:rsidRPr="00011FE4">
        <w:t xml:space="preserve">May 2019 the United States House of Representatives passed </w:t>
      </w:r>
      <w:r w:rsidR="00416CA5" w:rsidRPr="00011FE4">
        <w:t>t</w:t>
      </w:r>
      <w:r w:rsidR="00227A18" w:rsidRPr="00011FE4">
        <w:t xml:space="preserve">he </w:t>
      </w:r>
      <w:r w:rsidR="00227A18" w:rsidRPr="00011FE4">
        <w:rPr>
          <w:i/>
        </w:rPr>
        <w:t>Equality Bill</w:t>
      </w:r>
      <w:r w:rsidR="00227A18" w:rsidRPr="00011FE4">
        <w:t xml:space="preserve"> which references ‘discrimination based on the sex, sexual orientation, gender identity, or pregnancy, childbirth, or a related medical condition…’ Parallels with </w:t>
      </w:r>
      <w:r w:rsidR="006D66EC" w:rsidRPr="00011FE4">
        <w:rPr>
          <w:i/>
        </w:rPr>
        <w:t>EA</w:t>
      </w:r>
      <w:r w:rsidR="007663BE" w:rsidRPr="00011FE4">
        <w:rPr>
          <w:i/>
        </w:rPr>
        <w:t xml:space="preserve"> 2010</w:t>
      </w:r>
      <w:r w:rsidR="00227A18" w:rsidRPr="00011FE4">
        <w:t xml:space="preserve"> are obvious. </w:t>
      </w:r>
      <w:r w:rsidR="00BE4464" w:rsidRPr="00011FE4">
        <w:t xml:space="preserve">A </w:t>
      </w:r>
      <w:r w:rsidR="006748B7" w:rsidRPr="00011FE4">
        <w:t>complication</w:t>
      </w:r>
      <w:r w:rsidR="00BE4464" w:rsidRPr="00011FE4">
        <w:t xml:space="preserve"> in America is </w:t>
      </w:r>
      <w:r w:rsidR="006C4B9F" w:rsidRPr="00011FE4">
        <w:t>variation between</w:t>
      </w:r>
      <w:r w:rsidR="00A7713F" w:rsidRPr="00011FE4">
        <w:t xml:space="preserve"> </w:t>
      </w:r>
      <w:r w:rsidR="00BE4464" w:rsidRPr="00011FE4">
        <w:t xml:space="preserve">federal and state </w:t>
      </w:r>
      <w:r w:rsidR="006C4B9F" w:rsidRPr="00011FE4">
        <w:t>laws.</w:t>
      </w:r>
      <w:r w:rsidR="001506C2" w:rsidRPr="00011FE4">
        <w:t xml:space="preserve"> It is too soon to determine the</w:t>
      </w:r>
      <w:r w:rsidR="00844C5E" w:rsidRPr="00011FE4">
        <w:t xml:space="preserve"> </w:t>
      </w:r>
      <w:r w:rsidR="006748B7" w:rsidRPr="00011FE4">
        <w:t>potential impact</w:t>
      </w:r>
      <w:r w:rsidR="001506C2" w:rsidRPr="00011FE4">
        <w:t xml:space="preserve"> of </w:t>
      </w:r>
      <w:r w:rsidR="007663BE" w:rsidRPr="00011FE4">
        <w:t>a</w:t>
      </w:r>
      <w:r w:rsidR="00F52D0D" w:rsidRPr="00011FE4">
        <w:t xml:space="preserve">n </w:t>
      </w:r>
      <w:r w:rsidR="006D66EC" w:rsidRPr="00011FE4">
        <w:rPr>
          <w:i/>
        </w:rPr>
        <w:t>EA</w:t>
      </w:r>
      <w:r w:rsidR="007663BE" w:rsidRPr="00011FE4">
        <w:rPr>
          <w:i/>
        </w:rPr>
        <w:t xml:space="preserve"> 2010</w:t>
      </w:r>
      <w:r w:rsidR="00F52D0D" w:rsidRPr="00011FE4">
        <w:t>-style act</w:t>
      </w:r>
      <w:r w:rsidR="00844C5E" w:rsidRPr="00011FE4">
        <w:t xml:space="preserve"> </w:t>
      </w:r>
      <w:r w:rsidR="001506C2" w:rsidRPr="00011FE4">
        <w:t xml:space="preserve">on </w:t>
      </w:r>
      <w:r w:rsidR="006748B7" w:rsidRPr="00011FE4">
        <w:t>the USA</w:t>
      </w:r>
      <w:r w:rsidR="00844C5E" w:rsidRPr="00011FE4">
        <w:t xml:space="preserve"> </w:t>
      </w:r>
      <w:r w:rsidR="001506C2" w:rsidRPr="00011FE4">
        <w:t>university sector</w:t>
      </w:r>
      <w:r w:rsidR="00A7713F" w:rsidRPr="00011FE4">
        <w:t>. A</w:t>
      </w:r>
      <w:r w:rsidR="001506C2" w:rsidRPr="00011FE4">
        <w:t xml:space="preserve"> </w:t>
      </w:r>
      <w:r w:rsidR="00A7713F" w:rsidRPr="00011FE4">
        <w:t xml:space="preserve">random </w:t>
      </w:r>
      <w:r w:rsidR="001506C2" w:rsidRPr="00011FE4">
        <w:t xml:space="preserve">dip </w:t>
      </w:r>
      <w:r w:rsidR="006C4B9F" w:rsidRPr="00011FE4">
        <w:t>into ten</w:t>
      </w:r>
      <w:r w:rsidR="001506C2" w:rsidRPr="00011FE4">
        <w:t xml:space="preserve"> American university </w:t>
      </w:r>
      <w:r w:rsidR="006C4B9F" w:rsidRPr="00011FE4">
        <w:t>websites revealed</w:t>
      </w:r>
      <w:r w:rsidR="001506C2" w:rsidRPr="00011FE4">
        <w:t xml:space="preserve"> </w:t>
      </w:r>
      <w:r w:rsidR="00A7713F" w:rsidRPr="00011FE4">
        <w:t>no</w:t>
      </w:r>
      <w:r w:rsidR="001506C2" w:rsidRPr="00011FE4">
        <w:t xml:space="preserve"> useful information</w:t>
      </w:r>
      <w:r w:rsidR="00E525F9" w:rsidRPr="00011FE4">
        <w:t xml:space="preserve"> about </w:t>
      </w:r>
      <w:r w:rsidR="006C4B9F" w:rsidRPr="00011FE4">
        <w:t>this. University</w:t>
      </w:r>
      <w:r w:rsidR="00473844" w:rsidRPr="00011FE4">
        <w:t xml:space="preserve"> </w:t>
      </w:r>
      <w:r w:rsidR="006748B7" w:rsidRPr="00011FE4">
        <w:t>websites</w:t>
      </w:r>
      <w:r w:rsidR="00473844" w:rsidRPr="00011FE4">
        <w:t xml:space="preserve"> routinely </w:t>
      </w:r>
      <w:r w:rsidR="006C4B9F" w:rsidRPr="00011FE4">
        <w:t>reference their</w:t>
      </w:r>
      <w:r w:rsidR="004C2C17" w:rsidRPr="00011FE4">
        <w:t xml:space="preserve"> current legislative responsibilities</w:t>
      </w:r>
      <w:r w:rsidR="00473844" w:rsidRPr="00011FE4">
        <w:t>. The following</w:t>
      </w:r>
      <w:r w:rsidR="00B02FA2" w:rsidRPr="00011FE4">
        <w:t xml:space="preserve"> extract is typical</w:t>
      </w:r>
      <w:r w:rsidR="00B8739F" w:rsidRPr="00011FE4">
        <w:t>:</w:t>
      </w:r>
    </w:p>
    <w:p w14:paraId="30CDA4DB" w14:textId="1A29BE32" w:rsidR="00473844" w:rsidRPr="00011FE4" w:rsidRDefault="00473844" w:rsidP="00473844">
      <w:pPr>
        <w:pStyle w:val="NormalWeb"/>
        <w:spacing w:before="0" w:beforeAutospacing="0" w:after="288" w:afterAutospacing="0"/>
        <w:ind w:left="720"/>
        <w:rPr>
          <w:rFonts w:ascii="Arial" w:hAnsi="Arial" w:cs="Arial"/>
        </w:rPr>
      </w:pPr>
      <w:r w:rsidRPr="00011FE4">
        <w:rPr>
          <w:rFonts w:ascii="Arial" w:hAnsi="Arial" w:cs="Arial"/>
        </w:rPr>
        <w:t xml:space="preserve">The </w:t>
      </w:r>
      <w:r w:rsidR="00227A18" w:rsidRPr="00011FE4">
        <w:rPr>
          <w:rFonts w:ascii="Arial" w:hAnsi="Arial" w:cs="Arial"/>
        </w:rPr>
        <w:t>ADA (</w:t>
      </w:r>
      <w:r w:rsidR="006B3353" w:rsidRPr="00011FE4">
        <w:rPr>
          <w:rFonts w:ascii="Arial" w:hAnsi="Arial" w:cs="Arial"/>
        </w:rPr>
        <w:t>guidance on</w:t>
      </w:r>
      <w:r w:rsidR="007032EA" w:rsidRPr="00011FE4">
        <w:rPr>
          <w:rFonts w:ascii="Arial" w:hAnsi="Arial" w:cs="Arial"/>
        </w:rPr>
        <w:t>)</w:t>
      </w:r>
      <w:r w:rsidR="006B3353" w:rsidRPr="00011FE4">
        <w:rPr>
          <w:rFonts w:ascii="Arial" w:hAnsi="Arial" w:cs="Arial"/>
        </w:rPr>
        <w:t xml:space="preserve"> HE </w:t>
      </w:r>
      <w:r w:rsidRPr="00011FE4">
        <w:rPr>
          <w:rFonts w:ascii="Arial" w:hAnsi="Arial" w:cs="Arial"/>
        </w:rPr>
        <w:t>1990 impacts the whole institution including activities, programs, and employment</w:t>
      </w:r>
      <w:r w:rsidR="006B3353" w:rsidRPr="00011FE4">
        <w:rPr>
          <w:rFonts w:ascii="Arial" w:hAnsi="Arial" w:cs="Arial"/>
        </w:rPr>
        <w:t>….</w:t>
      </w:r>
      <w:r w:rsidRPr="00011FE4">
        <w:rPr>
          <w:rFonts w:ascii="Arial" w:hAnsi="Arial" w:cs="Arial"/>
        </w:rPr>
        <w:t xml:space="preserve">required  institutions to provide </w:t>
      </w:r>
      <w:hyperlink r:id="rId9" w:history="1">
        <w:r w:rsidRPr="00011FE4">
          <w:rPr>
            <w:rStyle w:val="Hyperlink"/>
            <w:rFonts w:ascii="Arial" w:hAnsi="Arial" w:cs="Arial"/>
            <w:color w:val="auto"/>
          </w:rPr>
          <w:t>reasonable accommodations</w:t>
        </w:r>
      </w:hyperlink>
      <w:r w:rsidRPr="00011FE4">
        <w:rPr>
          <w:rFonts w:ascii="Arial" w:hAnsi="Arial" w:cs="Arial"/>
        </w:rPr>
        <w:t xml:space="preserve"> for students. Colleges and universities receiving federal financial assistance must not discriminate in recruitment, </w:t>
      </w:r>
      <w:hyperlink r:id="rId10" w:history="1">
        <w:r w:rsidRPr="00011FE4">
          <w:rPr>
            <w:rStyle w:val="Hyperlink"/>
            <w:rFonts w:ascii="Arial" w:hAnsi="Arial" w:cs="Arial"/>
            <w:color w:val="auto"/>
          </w:rPr>
          <w:t>admission</w:t>
        </w:r>
      </w:hyperlink>
      <w:r w:rsidRPr="00011FE4">
        <w:rPr>
          <w:rFonts w:ascii="Arial" w:hAnsi="Arial" w:cs="Arial"/>
        </w:rPr>
        <w:t xml:space="preserve">, or treatment of students. Students with </w:t>
      </w:r>
      <w:hyperlink r:id="rId11" w:history="1">
        <w:r w:rsidRPr="00011FE4">
          <w:rPr>
            <w:rStyle w:val="Hyperlink"/>
            <w:rFonts w:ascii="Arial" w:hAnsi="Arial" w:cs="Arial"/>
            <w:color w:val="auto"/>
          </w:rPr>
          <w:t>documented</w:t>
        </w:r>
      </w:hyperlink>
      <w:r w:rsidRPr="00011FE4">
        <w:rPr>
          <w:rFonts w:ascii="Arial" w:hAnsi="Arial" w:cs="Arial"/>
        </w:rPr>
        <w:t xml:space="preserve"> disabilities may request academic adjustments, including auxiliary aids which will enable them to participate in and benefit from all postsecondary educational programs and activities. Postsecondary institutions must make such adjustments to ensure that the academic program is accessible to the greatest extent possible by all students with </w:t>
      </w:r>
      <w:r w:rsidR="006748B7" w:rsidRPr="00011FE4">
        <w:rPr>
          <w:rFonts w:ascii="Arial" w:hAnsi="Arial" w:cs="Arial"/>
        </w:rPr>
        <w:t>disabilities</w:t>
      </w:r>
      <w:r w:rsidRPr="00011FE4">
        <w:rPr>
          <w:rFonts w:ascii="Arial" w:hAnsi="Arial" w:cs="Arial"/>
        </w:rPr>
        <w:t xml:space="preserve">. </w:t>
      </w:r>
    </w:p>
    <w:p w14:paraId="63EAE303" w14:textId="4B86FA34" w:rsidR="00B34853" w:rsidRPr="00011FE4" w:rsidRDefault="00B34853" w:rsidP="00CD135B">
      <w:pPr>
        <w:ind w:left="720"/>
        <w:jc w:val="right"/>
        <w:rPr>
          <w:color w:val="423F40"/>
        </w:rPr>
      </w:pPr>
      <w:r w:rsidRPr="00011FE4">
        <w:t>(</w:t>
      </w:r>
      <w:r w:rsidR="00CD135B" w:rsidRPr="00011FE4">
        <w:t>Ferris State University, 2020)</w:t>
      </w:r>
    </w:p>
    <w:p w14:paraId="5C3A2FE3" w14:textId="125EBC8C" w:rsidR="00473844" w:rsidRPr="00011FE4" w:rsidRDefault="006C0AB1" w:rsidP="00473844">
      <w:pPr>
        <w:pStyle w:val="NormalWeb"/>
        <w:spacing w:before="0" w:beforeAutospacing="0" w:after="150" w:afterAutospacing="0"/>
        <w:rPr>
          <w:rFonts w:ascii="Arial" w:hAnsi="Arial" w:cs="Arial"/>
        </w:rPr>
      </w:pPr>
      <w:r w:rsidRPr="00011FE4">
        <w:rPr>
          <w:rFonts w:ascii="Arial" w:hAnsi="Arial" w:cs="Arial"/>
        </w:rPr>
        <w:t>T</w:t>
      </w:r>
      <w:r w:rsidR="00473844" w:rsidRPr="00011FE4">
        <w:rPr>
          <w:rFonts w:ascii="Arial" w:hAnsi="Arial" w:cs="Arial"/>
        </w:rPr>
        <w:t xml:space="preserve">his </w:t>
      </w:r>
      <w:r w:rsidR="006748B7" w:rsidRPr="00011FE4">
        <w:rPr>
          <w:rFonts w:ascii="Arial" w:hAnsi="Arial" w:cs="Arial"/>
        </w:rPr>
        <w:t>example</w:t>
      </w:r>
      <w:r w:rsidRPr="00011FE4">
        <w:rPr>
          <w:rFonts w:ascii="Arial" w:hAnsi="Arial" w:cs="Arial"/>
        </w:rPr>
        <w:t>,</w:t>
      </w:r>
      <w:r w:rsidR="006748B7" w:rsidRPr="00011FE4">
        <w:rPr>
          <w:rFonts w:ascii="Arial" w:hAnsi="Arial" w:cs="Arial"/>
        </w:rPr>
        <w:t xml:space="preserve"> </w:t>
      </w:r>
      <w:r w:rsidRPr="00011FE4">
        <w:rPr>
          <w:rFonts w:ascii="Arial" w:hAnsi="Arial" w:cs="Arial"/>
        </w:rPr>
        <w:t>from a UK university website, documents possible reasonable adjustments</w:t>
      </w:r>
      <w:r w:rsidR="006748B7" w:rsidRPr="00011FE4">
        <w:rPr>
          <w:rFonts w:ascii="Arial" w:hAnsi="Arial" w:cs="Arial"/>
        </w:rPr>
        <w:t xml:space="preserve"> framed</w:t>
      </w:r>
      <w:r w:rsidR="00473844" w:rsidRPr="00011FE4">
        <w:rPr>
          <w:rFonts w:ascii="Arial" w:hAnsi="Arial" w:cs="Arial"/>
        </w:rPr>
        <w:t xml:space="preserve"> as entitlements under the </w:t>
      </w:r>
      <w:r w:rsidR="006D66EC" w:rsidRPr="00011FE4">
        <w:rPr>
          <w:rFonts w:ascii="Arial" w:hAnsi="Arial" w:cs="Arial"/>
          <w:i/>
        </w:rPr>
        <w:t>EA</w:t>
      </w:r>
      <w:r w:rsidR="007663BE" w:rsidRPr="00011FE4">
        <w:rPr>
          <w:rFonts w:ascii="Arial" w:hAnsi="Arial" w:cs="Arial"/>
          <w:i/>
        </w:rPr>
        <w:t xml:space="preserve"> 2010</w:t>
      </w:r>
      <w:r w:rsidR="00473844" w:rsidRPr="00011FE4">
        <w:rPr>
          <w:rFonts w:ascii="Arial" w:hAnsi="Arial" w:cs="Arial"/>
        </w:rPr>
        <w:t>.</w:t>
      </w:r>
    </w:p>
    <w:p w14:paraId="3F4BF87F" w14:textId="07A77CD8" w:rsidR="00473844" w:rsidRPr="00011FE4" w:rsidRDefault="00473844" w:rsidP="00262D24">
      <w:pPr>
        <w:pStyle w:val="NormalWeb"/>
        <w:spacing w:before="0" w:beforeAutospacing="0" w:after="150" w:afterAutospacing="0"/>
        <w:ind w:firstLine="375"/>
        <w:rPr>
          <w:rFonts w:ascii="Arial" w:hAnsi="Arial" w:cs="Arial"/>
        </w:rPr>
      </w:pPr>
      <w:r w:rsidRPr="00011FE4">
        <w:rPr>
          <w:rFonts w:ascii="Arial" w:hAnsi="Arial" w:cs="Arial"/>
        </w:rPr>
        <w:t>We offer a variety of professional support and advice, including:</w:t>
      </w:r>
    </w:p>
    <w:p w14:paraId="317461BA" w14:textId="77777777" w:rsidR="00262D24" w:rsidRPr="00011FE4" w:rsidRDefault="00262D24" w:rsidP="00914314">
      <w:pPr>
        <w:numPr>
          <w:ilvl w:val="0"/>
          <w:numId w:val="26"/>
        </w:numPr>
        <w:spacing w:before="100" w:beforeAutospacing="1" w:after="100" w:afterAutospacing="1" w:line="300" w:lineRule="atLeast"/>
        <w:ind w:left="1094" w:hanging="357"/>
        <w:contextualSpacing/>
      </w:pPr>
      <w:r w:rsidRPr="00011FE4">
        <w:t>Advice before you arrive at Durham University</w:t>
      </w:r>
    </w:p>
    <w:p w14:paraId="0DE2A7B8" w14:textId="77777777" w:rsidR="00262D24" w:rsidRPr="00011FE4" w:rsidRDefault="00262D24" w:rsidP="00914314">
      <w:pPr>
        <w:numPr>
          <w:ilvl w:val="0"/>
          <w:numId w:val="26"/>
        </w:numPr>
        <w:spacing w:before="100" w:beforeAutospacing="1" w:after="100" w:afterAutospacing="1" w:line="300" w:lineRule="atLeast"/>
        <w:ind w:left="1094" w:hanging="357"/>
        <w:contextualSpacing/>
      </w:pPr>
      <w:r w:rsidRPr="00011FE4">
        <w:t>Contact with a Disability Adviser to determine appropriate support arrangements</w:t>
      </w:r>
    </w:p>
    <w:p w14:paraId="4B48EDCC" w14:textId="77777777" w:rsidR="00262D24" w:rsidRPr="00011FE4" w:rsidRDefault="00262D24" w:rsidP="00914314">
      <w:pPr>
        <w:numPr>
          <w:ilvl w:val="0"/>
          <w:numId w:val="26"/>
        </w:numPr>
        <w:spacing w:before="100" w:beforeAutospacing="1" w:after="100" w:afterAutospacing="1" w:line="300" w:lineRule="atLeast"/>
        <w:ind w:left="1094" w:hanging="357"/>
        <w:contextualSpacing/>
      </w:pPr>
      <w:r w:rsidRPr="00011FE4">
        <w:t>Individual Student Support Plans</w:t>
      </w:r>
    </w:p>
    <w:p w14:paraId="6D00715C" w14:textId="77777777" w:rsidR="00262D24" w:rsidRPr="00011FE4" w:rsidRDefault="00262D24" w:rsidP="00914314">
      <w:pPr>
        <w:numPr>
          <w:ilvl w:val="0"/>
          <w:numId w:val="26"/>
        </w:numPr>
        <w:spacing w:before="100" w:beforeAutospacing="1" w:after="100" w:afterAutospacing="1" w:line="300" w:lineRule="atLeast"/>
        <w:ind w:left="1094" w:hanging="357"/>
        <w:contextualSpacing/>
      </w:pPr>
      <w:r w:rsidRPr="00011FE4">
        <w:t>Liaison with departments and tutors</w:t>
      </w:r>
    </w:p>
    <w:p w14:paraId="08EBEBF0" w14:textId="32329979" w:rsidR="00262D24" w:rsidRPr="00011FE4" w:rsidRDefault="00262D24" w:rsidP="00914314">
      <w:pPr>
        <w:pStyle w:val="NormalWeb"/>
        <w:numPr>
          <w:ilvl w:val="0"/>
          <w:numId w:val="26"/>
        </w:numPr>
        <w:spacing w:line="300" w:lineRule="atLeast"/>
        <w:ind w:left="1094" w:hanging="357"/>
        <w:contextualSpacing/>
        <w:rPr>
          <w:rFonts w:ascii="Arial" w:hAnsi="Arial" w:cs="Arial"/>
        </w:rPr>
      </w:pPr>
      <w:r w:rsidRPr="00011FE4">
        <w:rPr>
          <w:rFonts w:ascii="Arial" w:hAnsi="Arial" w:cs="Arial"/>
        </w:rPr>
        <w:t>Help applying for Disabled Students' Allowances (DSA) or other financial support</w:t>
      </w:r>
    </w:p>
    <w:p w14:paraId="012B4381" w14:textId="77777777" w:rsidR="00262D24" w:rsidRPr="00011FE4" w:rsidRDefault="00262D24" w:rsidP="00914314">
      <w:pPr>
        <w:numPr>
          <w:ilvl w:val="0"/>
          <w:numId w:val="26"/>
        </w:numPr>
        <w:spacing w:before="100" w:beforeAutospacing="1" w:after="100" w:afterAutospacing="1" w:line="300" w:lineRule="atLeast"/>
        <w:ind w:left="1094" w:hanging="357"/>
        <w:contextualSpacing/>
      </w:pPr>
      <w:r w:rsidRPr="00011FE4">
        <w:t>Referral for regular Study Skills or Mental Health support, in accordance with funded recommendations</w:t>
      </w:r>
    </w:p>
    <w:p w14:paraId="7AAFC613" w14:textId="77777777" w:rsidR="00262D24" w:rsidRPr="00011FE4" w:rsidRDefault="00262D24" w:rsidP="00262D24">
      <w:pPr>
        <w:numPr>
          <w:ilvl w:val="0"/>
          <w:numId w:val="26"/>
        </w:numPr>
        <w:spacing w:before="100" w:beforeAutospacing="1" w:after="100" w:afterAutospacing="1" w:line="300" w:lineRule="atLeast"/>
      </w:pPr>
      <w:r w:rsidRPr="00011FE4">
        <w:t>Specialist support from qualified Mental Health Advisors</w:t>
      </w:r>
    </w:p>
    <w:p w14:paraId="0BCD02D2" w14:textId="77777777" w:rsidR="00262D24" w:rsidRPr="00011FE4" w:rsidRDefault="00262D24" w:rsidP="00262D24">
      <w:pPr>
        <w:numPr>
          <w:ilvl w:val="0"/>
          <w:numId w:val="26"/>
        </w:numPr>
        <w:spacing w:before="100" w:beforeAutospacing="1" w:after="100" w:afterAutospacing="1" w:line="300" w:lineRule="atLeast"/>
      </w:pPr>
      <w:r w:rsidRPr="00011FE4">
        <w:t>Assistive Technology support</w:t>
      </w:r>
    </w:p>
    <w:p w14:paraId="1D05CA62" w14:textId="77777777" w:rsidR="00262D24" w:rsidRPr="00011FE4" w:rsidRDefault="00262D24" w:rsidP="00262D24">
      <w:pPr>
        <w:numPr>
          <w:ilvl w:val="0"/>
          <w:numId w:val="26"/>
        </w:numPr>
        <w:spacing w:before="100" w:beforeAutospacing="1" w:after="100" w:afterAutospacing="1" w:line="300" w:lineRule="atLeast"/>
      </w:pPr>
      <w:r w:rsidRPr="00011FE4">
        <w:t>Loans of equipment, including digital voice recorders, if unavailable from other sources</w:t>
      </w:r>
    </w:p>
    <w:p w14:paraId="78A05761" w14:textId="77777777" w:rsidR="00262D24" w:rsidRPr="00011FE4" w:rsidRDefault="00262D24" w:rsidP="00262D24">
      <w:pPr>
        <w:numPr>
          <w:ilvl w:val="0"/>
          <w:numId w:val="26"/>
        </w:numPr>
        <w:spacing w:before="100" w:beforeAutospacing="1" w:after="100" w:afterAutospacing="1" w:line="300" w:lineRule="atLeast"/>
      </w:pPr>
      <w:r w:rsidRPr="00011FE4">
        <w:t>Library support, including extended loans and access to assistive software in the library</w:t>
      </w:r>
    </w:p>
    <w:p w14:paraId="799E4E64" w14:textId="77777777" w:rsidR="00262D24" w:rsidRPr="00011FE4" w:rsidRDefault="00262D24" w:rsidP="00262D24">
      <w:pPr>
        <w:numPr>
          <w:ilvl w:val="0"/>
          <w:numId w:val="26"/>
        </w:numPr>
        <w:spacing w:before="100" w:beforeAutospacing="1" w:after="100" w:afterAutospacing="1" w:line="300" w:lineRule="atLeast"/>
      </w:pPr>
      <w:r w:rsidRPr="00011FE4">
        <w:t>Support with examinations, such as extra time if recommended</w:t>
      </w:r>
    </w:p>
    <w:p w14:paraId="5A36748C" w14:textId="3E59E7DA" w:rsidR="00262D24" w:rsidRPr="00011FE4" w:rsidRDefault="00262D24" w:rsidP="00914314">
      <w:pPr>
        <w:numPr>
          <w:ilvl w:val="0"/>
          <w:numId w:val="26"/>
        </w:numPr>
        <w:spacing w:before="100" w:beforeAutospacing="1" w:after="100" w:afterAutospacing="1" w:line="300" w:lineRule="atLeast"/>
      </w:pPr>
      <w:r w:rsidRPr="00011FE4">
        <w:t>In-house library resources for students</w:t>
      </w:r>
    </w:p>
    <w:p w14:paraId="2B0BF324" w14:textId="3C877838" w:rsidR="00262D24" w:rsidRPr="00011FE4" w:rsidRDefault="001F40A5" w:rsidP="001F40A5">
      <w:pPr>
        <w:spacing w:before="100" w:beforeAutospacing="1" w:after="100" w:afterAutospacing="1" w:line="300" w:lineRule="atLeast"/>
        <w:ind w:left="720"/>
        <w:jc w:val="right"/>
      </w:pPr>
      <w:r w:rsidRPr="00011FE4">
        <w:t>(Durham University, 2018)</w:t>
      </w:r>
    </w:p>
    <w:p w14:paraId="60591316" w14:textId="58900E41" w:rsidR="007032EA" w:rsidRPr="00011FE4" w:rsidRDefault="00E50F5C" w:rsidP="00262D24">
      <w:pPr>
        <w:pStyle w:val="NormalWeb"/>
        <w:spacing w:before="0" w:beforeAutospacing="0" w:after="288" w:afterAutospacing="0"/>
        <w:rPr>
          <w:rFonts w:ascii="Arial" w:hAnsi="Arial" w:cs="Arial"/>
        </w:rPr>
      </w:pPr>
      <w:r w:rsidRPr="00011FE4">
        <w:rPr>
          <w:rFonts w:ascii="Arial" w:hAnsi="Arial" w:cs="Arial"/>
        </w:rPr>
        <w:t xml:space="preserve">Article 24 of the </w:t>
      </w:r>
      <w:r w:rsidR="00410A45" w:rsidRPr="00011FE4">
        <w:rPr>
          <w:rFonts w:ascii="Arial" w:hAnsi="Arial" w:cs="Arial"/>
        </w:rPr>
        <w:t xml:space="preserve">United Nations Convention on the Rights of </w:t>
      </w:r>
      <w:r w:rsidR="006748B7" w:rsidRPr="00011FE4">
        <w:rPr>
          <w:rFonts w:ascii="Arial" w:hAnsi="Arial" w:cs="Arial"/>
        </w:rPr>
        <w:t>Persons</w:t>
      </w:r>
      <w:r w:rsidR="00410A45" w:rsidRPr="00011FE4">
        <w:rPr>
          <w:rFonts w:ascii="Arial" w:hAnsi="Arial" w:cs="Arial"/>
        </w:rPr>
        <w:t xml:space="preserve"> with Disabilities</w:t>
      </w:r>
      <w:r w:rsidR="00B02FA2" w:rsidRPr="00011FE4">
        <w:rPr>
          <w:rFonts w:ascii="Arial" w:hAnsi="Arial" w:cs="Arial"/>
        </w:rPr>
        <w:t xml:space="preserve"> </w:t>
      </w:r>
      <w:r w:rsidR="003B18A6" w:rsidRPr="00011FE4">
        <w:rPr>
          <w:rFonts w:ascii="Arial" w:hAnsi="Arial" w:cs="Arial"/>
        </w:rPr>
        <w:t>(UNCRPD)</w:t>
      </w:r>
      <w:r w:rsidRPr="00011FE4">
        <w:rPr>
          <w:rFonts w:ascii="Arial" w:hAnsi="Arial" w:cs="Arial"/>
        </w:rPr>
        <w:t xml:space="preserve"> (2008)</w:t>
      </w:r>
      <w:r w:rsidR="00410A45" w:rsidRPr="00011FE4">
        <w:rPr>
          <w:rFonts w:ascii="Arial" w:hAnsi="Arial" w:cs="Arial"/>
        </w:rPr>
        <w:t xml:space="preserve"> </w:t>
      </w:r>
      <w:r w:rsidRPr="00011FE4">
        <w:rPr>
          <w:rFonts w:ascii="Arial" w:hAnsi="Arial" w:cs="Arial"/>
          <w:color w:val="000000"/>
          <w:shd w:val="clear" w:color="auto" w:fill="FFFFFF"/>
        </w:rPr>
        <w:t>recognize</w:t>
      </w:r>
      <w:r w:rsidR="00B02FA2" w:rsidRPr="00011FE4">
        <w:rPr>
          <w:rFonts w:ascii="Arial" w:hAnsi="Arial" w:cs="Arial"/>
          <w:color w:val="000000"/>
          <w:shd w:val="clear" w:color="auto" w:fill="FFFFFF"/>
        </w:rPr>
        <w:t>s</w:t>
      </w:r>
      <w:r w:rsidRPr="00011FE4">
        <w:rPr>
          <w:rFonts w:ascii="Arial" w:hAnsi="Arial" w:cs="Arial"/>
          <w:color w:val="000000"/>
          <w:shd w:val="clear" w:color="auto" w:fill="FFFFFF"/>
        </w:rPr>
        <w:t xml:space="preserve"> ‘the right of persons with disabilities to education</w:t>
      </w:r>
      <w:r w:rsidR="00D1463E" w:rsidRPr="00011FE4">
        <w:rPr>
          <w:rFonts w:ascii="Arial" w:hAnsi="Arial" w:cs="Arial"/>
          <w:color w:val="000000"/>
          <w:shd w:val="clear" w:color="auto" w:fill="FFFFFF"/>
        </w:rPr>
        <w:t>…</w:t>
      </w:r>
      <w:r w:rsidRPr="00011FE4">
        <w:rPr>
          <w:rFonts w:ascii="Arial" w:hAnsi="Arial" w:cs="Arial"/>
          <w:color w:val="000000"/>
          <w:shd w:val="clear" w:color="auto" w:fill="FFFFFF"/>
        </w:rPr>
        <w:t xml:space="preserve"> without discrimination and </w:t>
      </w:r>
      <w:proofErr w:type="gramStart"/>
      <w:r w:rsidRPr="00011FE4">
        <w:rPr>
          <w:rFonts w:ascii="Arial" w:hAnsi="Arial" w:cs="Arial"/>
          <w:color w:val="000000"/>
          <w:shd w:val="clear" w:color="auto" w:fill="FFFFFF"/>
        </w:rPr>
        <w:t>on</w:t>
      </w:r>
      <w:r w:rsidR="00F759E9" w:rsidRPr="00011FE4">
        <w:rPr>
          <w:rFonts w:ascii="Arial" w:hAnsi="Arial" w:cs="Arial"/>
          <w:color w:val="000000"/>
          <w:shd w:val="clear" w:color="auto" w:fill="FFFFFF"/>
        </w:rPr>
        <w:t xml:space="preserve"> the basis of</w:t>
      </w:r>
      <w:proofErr w:type="gramEnd"/>
      <w:r w:rsidR="00F759E9" w:rsidRPr="00011FE4">
        <w:rPr>
          <w:rFonts w:ascii="Arial" w:hAnsi="Arial" w:cs="Arial"/>
          <w:color w:val="000000"/>
          <w:shd w:val="clear" w:color="auto" w:fill="FFFFFF"/>
        </w:rPr>
        <w:t xml:space="preserve"> equal opportunity</w:t>
      </w:r>
      <w:r w:rsidR="00D1463E" w:rsidRPr="00011FE4">
        <w:rPr>
          <w:rFonts w:ascii="Arial" w:hAnsi="Arial" w:cs="Arial"/>
          <w:color w:val="000000"/>
          <w:shd w:val="clear" w:color="auto" w:fill="FFFFFF"/>
        </w:rPr>
        <w:t>’.</w:t>
      </w:r>
    </w:p>
    <w:p w14:paraId="6D92269B" w14:textId="3B423650" w:rsidR="00410A45" w:rsidRPr="00011FE4" w:rsidRDefault="007032EA" w:rsidP="00EE1D24">
      <w:pPr>
        <w:pStyle w:val="NormalWeb"/>
        <w:spacing w:before="0" w:beforeAutospacing="0" w:after="288" w:afterAutospacing="0"/>
        <w:rPr>
          <w:rFonts w:ascii="Arial" w:hAnsi="Arial" w:cs="Arial"/>
        </w:rPr>
      </w:pPr>
      <w:r w:rsidRPr="00011FE4">
        <w:rPr>
          <w:rFonts w:ascii="Arial" w:hAnsi="Arial" w:cs="Arial"/>
          <w:color w:val="000000"/>
          <w:shd w:val="clear" w:color="auto" w:fill="FFFFFF"/>
        </w:rPr>
        <w:t>Although ‘</w:t>
      </w:r>
      <w:r w:rsidRPr="00011FE4">
        <w:rPr>
          <w:rFonts w:ascii="Arial" w:hAnsi="Arial" w:cs="Arial"/>
        </w:rPr>
        <w:t>inclusive lifelong learning’</w:t>
      </w:r>
      <w:r w:rsidRPr="00011FE4">
        <w:rPr>
          <w:rFonts w:ascii="Arial" w:hAnsi="Arial" w:cs="Arial"/>
          <w:color w:val="000000"/>
          <w:shd w:val="clear" w:color="auto" w:fill="FFFFFF"/>
        </w:rPr>
        <w:t xml:space="preserve"> is r</w:t>
      </w:r>
      <w:r w:rsidRPr="00011FE4">
        <w:rPr>
          <w:rFonts w:ascii="Arial" w:hAnsi="Arial" w:cs="Arial"/>
        </w:rPr>
        <w:t xml:space="preserve">eferenced, tertiary education is the focus for many impoverished majority world countries currently lacking the infrastructure to make inclusive </w:t>
      </w:r>
      <w:r w:rsidRPr="00011FE4">
        <w:rPr>
          <w:rFonts w:ascii="Arial" w:hAnsi="Arial" w:cs="Arial"/>
        </w:rPr>
        <w:lastRenderedPageBreak/>
        <w:t>university a reality</w:t>
      </w:r>
      <w:r w:rsidR="00000D08" w:rsidRPr="00011FE4">
        <w:rPr>
          <w:rFonts w:ascii="Arial" w:hAnsi="Arial" w:cs="Arial"/>
        </w:rPr>
        <w:t>. A</w:t>
      </w:r>
      <w:r w:rsidR="006C4B9F" w:rsidRPr="00011FE4">
        <w:rPr>
          <w:rFonts w:ascii="Arial" w:hAnsi="Arial" w:cs="Arial"/>
        </w:rPr>
        <w:t>t</w:t>
      </w:r>
      <w:r w:rsidR="003B18A6" w:rsidRPr="00011FE4">
        <w:rPr>
          <w:rFonts w:ascii="Arial" w:hAnsi="Arial" w:cs="Arial"/>
        </w:rPr>
        <w:t xml:space="preserve"> the time of writing 164 countries</w:t>
      </w:r>
      <w:r w:rsidR="00F85382" w:rsidRPr="00011FE4">
        <w:rPr>
          <w:rFonts w:ascii="Arial" w:hAnsi="Arial" w:cs="Arial"/>
        </w:rPr>
        <w:t xml:space="preserve"> (</w:t>
      </w:r>
      <w:r w:rsidR="004D3267" w:rsidRPr="00011FE4">
        <w:rPr>
          <w:rFonts w:ascii="Arial" w:hAnsi="Arial" w:cs="Arial"/>
        </w:rPr>
        <w:t xml:space="preserve">including the UK but </w:t>
      </w:r>
      <w:r w:rsidR="00F85382" w:rsidRPr="00011FE4">
        <w:rPr>
          <w:rFonts w:ascii="Arial" w:hAnsi="Arial" w:cs="Arial"/>
        </w:rPr>
        <w:t>exclu</w:t>
      </w:r>
      <w:r w:rsidR="004D3267" w:rsidRPr="00011FE4">
        <w:rPr>
          <w:rFonts w:ascii="Arial" w:hAnsi="Arial" w:cs="Arial"/>
        </w:rPr>
        <w:t>ding the USA)</w:t>
      </w:r>
      <w:r w:rsidR="003B18A6" w:rsidRPr="00011FE4">
        <w:rPr>
          <w:rFonts w:ascii="Arial" w:hAnsi="Arial" w:cs="Arial"/>
        </w:rPr>
        <w:t xml:space="preserve"> had ratified the UNCRPD</w:t>
      </w:r>
      <w:r w:rsidR="00033CC8" w:rsidRPr="00011FE4">
        <w:rPr>
          <w:rFonts w:ascii="Arial" w:hAnsi="Arial" w:cs="Arial"/>
        </w:rPr>
        <w:t xml:space="preserve"> which is an international treaty rather than a piece of national legislation</w:t>
      </w:r>
      <w:r w:rsidR="003B18A6" w:rsidRPr="00011FE4">
        <w:rPr>
          <w:rFonts w:ascii="Arial" w:hAnsi="Arial" w:cs="Arial"/>
        </w:rPr>
        <w:t>.</w:t>
      </w:r>
      <w:r w:rsidR="00033CC8" w:rsidRPr="00011FE4">
        <w:rPr>
          <w:rFonts w:ascii="Arial" w:hAnsi="Arial" w:cs="Arial"/>
        </w:rPr>
        <w:t xml:space="preserve"> </w:t>
      </w:r>
      <w:r w:rsidR="002B17E7" w:rsidRPr="00011FE4">
        <w:rPr>
          <w:rFonts w:ascii="Arial" w:hAnsi="Arial" w:cs="Arial"/>
        </w:rPr>
        <w:t>Since 2013 t</w:t>
      </w:r>
      <w:r w:rsidR="006A7339" w:rsidRPr="00011FE4">
        <w:rPr>
          <w:rFonts w:ascii="Arial" w:hAnsi="Arial" w:cs="Arial"/>
        </w:rPr>
        <w:t xml:space="preserve">he </w:t>
      </w:r>
      <w:r w:rsidR="006748B7" w:rsidRPr="00011FE4">
        <w:rPr>
          <w:rFonts w:ascii="Arial" w:hAnsi="Arial" w:cs="Arial"/>
        </w:rPr>
        <w:t>UK has</w:t>
      </w:r>
      <w:r w:rsidR="002B17E7" w:rsidRPr="00011FE4">
        <w:rPr>
          <w:rFonts w:ascii="Arial" w:hAnsi="Arial" w:cs="Arial"/>
        </w:rPr>
        <w:t xml:space="preserve"> been</w:t>
      </w:r>
      <w:r w:rsidR="006A7339" w:rsidRPr="00011FE4">
        <w:rPr>
          <w:rFonts w:ascii="Arial" w:hAnsi="Arial" w:cs="Arial"/>
        </w:rPr>
        <w:t xml:space="preserve"> part of the European Union framework aimed at cooperating around operationalising </w:t>
      </w:r>
      <w:r w:rsidR="006748B7" w:rsidRPr="00011FE4">
        <w:rPr>
          <w:rFonts w:ascii="Arial" w:hAnsi="Arial" w:cs="Arial"/>
        </w:rPr>
        <w:t>the U</w:t>
      </w:r>
      <w:r w:rsidR="00AB65D5" w:rsidRPr="00011FE4">
        <w:rPr>
          <w:rFonts w:ascii="Arial" w:hAnsi="Arial" w:cs="Arial"/>
        </w:rPr>
        <w:t>N</w:t>
      </w:r>
      <w:r w:rsidR="006748B7" w:rsidRPr="00011FE4">
        <w:rPr>
          <w:rFonts w:ascii="Arial" w:hAnsi="Arial" w:cs="Arial"/>
        </w:rPr>
        <w:t>CRPD</w:t>
      </w:r>
      <w:r w:rsidR="00AA227C" w:rsidRPr="00011FE4">
        <w:rPr>
          <w:rFonts w:ascii="Arial" w:hAnsi="Arial" w:cs="Arial"/>
        </w:rPr>
        <w:t xml:space="preserve"> (European Agency for Fundamental Rights, 2020)</w:t>
      </w:r>
      <w:r w:rsidR="006A7339" w:rsidRPr="00011FE4">
        <w:rPr>
          <w:rFonts w:ascii="Arial" w:hAnsi="Arial" w:cs="Arial"/>
        </w:rPr>
        <w:t xml:space="preserve">. Post Brexit, presumably this </w:t>
      </w:r>
      <w:r w:rsidR="00000D08" w:rsidRPr="00011FE4">
        <w:rPr>
          <w:rFonts w:ascii="Arial" w:hAnsi="Arial" w:cs="Arial"/>
        </w:rPr>
        <w:t>may</w:t>
      </w:r>
      <w:r w:rsidR="006A7339" w:rsidRPr="00011FE4">
        <w:rPr>
          <w:rFonts w:ascii="Arial" w:hAnsi="Arial" w:cs="Arial"/>
        </w:rPr>
        <w:t xml:space="preserve"> no longer be the case. </w:t>
      </w:r>
    </w:p>
    <w:p w14:paraId="7DD56B43" w14:textId="165FFDD4" w:rsidR="002717A1" w:rsidRPr="00011FE4" w:rsidRDefault="007E43C9" w:rsidP="00235691">
      <w:r w:rsidRPr="00011FE4">
        <w:t xml:space="preserve">Equalities </w:t>
      </w:r>
      <w:proofErr w:type="gramStart"/>
      <w:r w:rsidRPr="00011FE4">
        <w:t>l</w:t>
      </w:r>
      <w:r w:rsidR="001E6C11" w:rsidRPr="00011FE4">
        <w:t>egislati</w:t>
      </w:r>
      <w:r w:rsidRPr="00011FE4">
        <w:t xml:space="preserve">on </w:t>
      </w:r>
      <w:r w:rsidR="001E6C11" w:rsidRPr="00011FE4">
        <w:t xml:space="preserve"> compliance</w:t>
      </w:r>
      <w:proofErr w:type="gramEnd"/>
      <w:r w:rsidR="001E6C11" w:rsidRPr="00011FE4">
        <w:t xml:space="preserve"> </w:t>
      </w:r>
      <w:r w:rsidR="006C4B9F" w:rsidRPr="00011FE4">
        <w:t>culture potentially</w:t>
      </w:r>
      <w:r w:rsidR="001E6C11" w:rsidRPr="00011FE4">
        <w:t xml:space="preserve"> disadvantages ‘students who are not members of protected classes but who non</w:t>
      </w:r>
      <w:r w:rsidR="00AB65D5" w:rsidRPr="00011FE4">
        <w:t>e</w:t>
      </w:r>
      <w:r w:rsidR="001E6C11" w:rsidRPr="00011FE4">
        <w:t xml:space="preserve"> the less need both accommodations and support’ </w:t>
      </w:r>
      <w:r w:rsidR="00AB65D5" w:rsidRPr="00011FE4">
        <w:t>(</w:t>
      </w:r>
      <w:r w:rsidR="001E6C11" w:rsidRPr="00011FE4">
        <w:t>Brown et al</w:t>
      </w:r>
      <w:r w:rsidR="001933A8" w:rsidRPr="00011FE4">
        <w:t>.</w:t>
      </w:r>
      <w:r w:rsidR="00AB65D5" w:rsidRPr="00011FE4">
        <w:t xml:space="preserve">, </w:t>
      </w:r>
      <w:r w:rsidR="001E6C11" w:rsidRPr="00011FE4">
        <w:t>2017</w:t>
      </w:r>
      <w:r w:rsidR="00AB65D5" w:rsidRPr="00011FE4">
        <w:t>,</w:t>
      </w:r>
      <w:r w:rsidR="006C4B9F" w:rsidRPr="00011FE4">
        <w:t xml:space="preserve"> p</w:t>
      </w:r>
      <w:r w:rsidR="00EE1D24" w:rsidRPr="00011FE4">
        <w:t>.</w:t>
      </w:r>
      <w:r w:rsidR="001E6C11" w:rsidRPr="00011FE4">
        <w:t>81</w:t>
      </w:r>
      <w:r w:rsidR="00AB65D5" w:rsidRPr="00011FE4">
        <w:t>)</w:t>
      </w:r>
      <w:r w:rsidR="001E6C11" w:rsidRPr="00011FE4">
        <w:t xml:space="preserve">. </w:t>
      </w:r>
      <w:proofErr w:type="spellStart"/>
      <w:r w:rsidR="00BD038C" w:rsidRPr="00011FE4">
        <w:rPr>
          <w:rFonts w:eastAsia="Arial"/>
          <w:color w:val="222222"/>
        </w:rPr>
        <w:t>Moriña</w:t>
      </w:r>
      <w:proofErr w:type="spellEnd"/>
      <w:r w:rsidR="00BD038C" w:rsidRPr="00011FE4">
        <w:t xml:space="preserve"> (2017</w:t>
      </w:r>
      <w:r w:rsidR="006C4B9F" w:rsidRPr="00011FE4">
        <w:t>) advises</w:t>
      </w:r>
      <w:r w:rsidR="00BD038C" w:rsidRPr="00011FE4">
        <w:t xml:space="preserve"> that ‘the legal right to access higher education is not enough, there must also be practical mechanisms’ (p.3). </w:t>
      </w:r>
    </w:p>
    <w:p w14:paraId="7F80DA8E" w14:textId="0E904CED" w:rsidR="002717A1" w:rsidRPr="00011FE4" w:rsidRDefault="00E4036C" w:rsidP="00235691">
      <w:pPr>
        <w:pStyle w:val="Heading3"/>
        <w:rPr>
          <w:rFonts w:cs="Arial"/>
        </w:rPr>
      </w:pPr>
      <w:bookmarkStart w:id="3" w:name="_Toc7006871"/>
      <w:r w:rsidRPr="00011FE4">
        <w:rPr>
          <w:rFonts w:cs="Arial"/>
        </w:rPr>
        <w:t xml:space="preserve">Published </w:t>
      </w:r>
      <w:r w:rsidR="002717A1" w:rsidRPr="00011FE4">
        <w:rPr>
          <w:rFonts w:cs="Arial"/>
        </w:rPr>
        <w:t>Evidence of UDL</w:t>
      </w:r>
      <w:bookmarkEnd w:id="3"/>
      <w:r w:rsidRPr="00011FE4">
        <w:rPr>
          <w:rFonts w:cs="Arial"/>
        </w:rPr>
        <w:t xml:space="preserve"> in HE</w:t>
      </w:r>
    </w:p>
    <w:p w14:paraId="0527FFDB" w14:textId="4F4282A6" w:rsidR="00D466AA" w:rsidRPr="00011FE4" w:rsidRDefault="001E6C11" w:rsidP="00235691">
      <w:r w:rsidRPr="00011FE4">
        <w:t xml:space="preserve">An edited volume by </w:t>
      </w:r>
      <w:r w:rsidR="009C3E05" w:rsidRPr="00011FE4">
        <w:t>Bracken and Novak (2019)</w:t>
      </w:r>
      <w:r w:rsidR="00B7627C" w:rsidRPr="00011FE4">
        <w:t xml:space="preserve"> </w:t>
      </w:r>
      <w:r w:rsidRPr="00011FE4">
        <w:t>includes</w:t>
      </w:r>
      <w:r w:rsidR="003A7713" w:rsidRPr="00011FE4">
        <w:t xml:space="preserve"> mainly minority world</w:t>
      </w:r>
      <w:r w:rsidR="00E525F9" w:rsidRPr="00011FE4">
        <w:t xml:space="preserve"> </w:t>
      </w:r>
      <w:r w:rsidR="009306AD" w:rsidRPr="00011FE4">
        <w:t>international contribut</w:t>
      </w:r>
      <w:r w:rsidR="003A7713" w:rsidRPr="00011FE4">
        <w:t>ors</w:t>
      </w:r>
      <w:r w:rsidR="009306AD" w:rsidRPr="00011FE4">
        <w:t xml:space="preserve"> </w:t>
      </w:r>
      <w:r w:rsidR="003A7713" w:rsidRPr="00011FE4">
        <w:t>who</w:t>
      </w:r>
      <w:r w:rsidR="009C3E05" w:rsidRPr="00011FE4">
        <w:t xml:space="preserve"> reveal simila</w:t>
      </w:r>
      <w:r w:rsidR="00DC0186" w:rsidRPr="00011FE4">
        <w:t xml:space="preserve">r </w:t>
      </w:r>
      <w:r w:rsidR="006C4B9F" w:rsidRPr="00011FE4">
        <w:t>issues.</w:t>
      </w:r>
      <w:r w:rsidR="009C3E05" w:rsidRPr="00011FE4">
        <w:t xml:space="preserve">  </w:t>
      </w:r>
      <w:r w:rsidR="00095D0E" w:rsidRPr="00011FE4">
        <w:t>I</w:t>
      </w:r>
      <w:r w:rsidR="006748B7" w:rsidRPr="00011FE4">
        <w:t>nstitutional</w:t>
      </w:r>
      <w:r w:rsidR="00B7627C" w:rsidRPr="00011FE4">
        <w:t xml:space="preserve"> variation </w:t>
      </w:r>
      <w:r w:rsidR="006748B7" w:rsidRPr="00011FE4">
        <w:t>and ‘</w:t>
      </w:r>
      <w:r w:rsidR="008705C6" w:rsidRPr="00011FE4">
        <w:t xml:space="preserve">pockets of good practice’ </w:t>
      </w:r>
      <w:r w:rsidR="00095D0E" w:rsidRPr="00011FE4">
        <w:t>(Williams et al</w:t>
      </w:r>
      <w:r w:rsidR="00F80700" w:rsidRPr="00011FE4">
        <w:t>.</w:t>
      </w:r>
      <w:r w:rsidR="00AB65D5" w:rsidRPr="00011FE4">
        <w:t>,</w:t>
      </w:r>
      <w:r w:rsidR="00095D0E" w:rsidRPr="00011FE4">
        <w:t xml:space="preserve"> 2017</w:t>
      </w:r>
      <w:r w:rsidR="00AB65D5" w:rsidRPr="00011FE4">
        <w:t>,</w:t>
      </w:r>
      <w:r w:rsidR="00095D0E" w:rsidRPr="00011FE4">
        <w:t xml:space="preserve"> p</w:t>
      </w:r>
      <w:r w:rsidR="002A24B7" w:rsidRPr="00011FE4">
        <w:t>.</w:t>
      </w:r>
      <w:r w:rsidR="00095D0E" w:rsidRPr="00011FE4">
        <w:t>18</w:t>
      </w:r>
      <w:r w:rsidR="006C4B9F" w:rsidRPr="00011FE4">
        <w:t>) is</w:t>
      </w:r>
      <w:r w:rsidR="0005239A" w:rsidRPr="00011FE4">
        <w:t xml:space="preserve"> a </w:t>
      </w:r>
      <w:r w:rsidR="006C4B9F" w:rsidRPr="00011FE4">
        <w:t>recurrent</w:t>
      </w:r>
      <w:r w:rsidR="0005239A" w:rsidRPr="00011FE4">
        <w:t xml:space="preserve"> theme</w:t>
      </w:r>
      <w:r w:rsidR="00B7627C" w:rsidRPr="00011FE4">
        <w:t>.</w:t>
      </w:r>
      <w:r w:rsidR="004E23FB" w:rsidRPr="00011FE4">
        <w:t xml:space="preserve"> </w:t>
      </w:r>
      <w:r w:rsidR="00B7627C" w:rsidRPr="00011FE4">
        <w:t xml:space="preserve"> </w:t>
      </w:r>
      <w:r w:rsidR="00DC0186" w:rsidRPr="00011FE4">
        <w:t>C</w:t>
      </w:r>
      <w:r w:rsidR="00D83063" w:rsidRPr="00011FE4">
        <w:t xml:space="preserve">ommon </w:t>
      </w:r>
      <w:r w:rsidR="006C4B9F" w:rsidRPr="00011FE4">
        <w:t>examples from</w:t>
      </w:r>
      <w:r w:rsidR="00DC0186" w:rsidRPr="00011FE4">
        <w:t xml:space="preserve"> various studies </w:t>
      </w:r>
      <w:r w:rsidR="00D83063" w:rsidRPr="00011FE4">
        <w:t>includ</w:t>
      </w:r>
      <w:r w:rsidR="00DC0186" w:rsidRPr="00011FE4">
        <w:t>e</w:t>
      </w:r>
      <w:r w:rsidR="006748B7" w:rsidRPr="00011FE4">
        <w:t>:</w:t>
      </w:r>
      <w:r w:rsidR="002717A1" w:rsidRPr="00011FE4">
        <w:t xml:space="preserve"> multiple means of present</w:t>
      </w:r>
      <w:r w:rsidR="008B0B07" w:rsidRPr="00011FE4">
        <w:t>ation,</w:t>
      </w:r>
      <w:r w:rsidR="002717A1" w:rsidRPr="00011FE4">
        <w:t xml:space="preserve"> </w:t>
      </w:r>
      <w:r w:rsidR="008B0B07" w:rsidRPr="00011FE4">
        <w:t xml:space="preserve">variety </w:t>
      </w:r>
      <w:r w:rsidR="006C4B9F" w:rsidRPr="00011FE4">
        <w:t>in assessment</w:t>
      </w:r>
      <w:r w:rsidR="002717A1" w:rsidRPr="00011FE4">
        <w:t>, lecture capture, networked inclusive technology, accessible virtual learning environments (VLEs) and provision to record lectures (</w:t>
      </w:r>
      <w:r w:rsidR="00C93282" w:rsidRPr="00011FE4">
        <w:t>Anderson et al</w:t>
      </w:r>
      <w:r w:rsidR="00F80700" w:rsidRPr="00011FE4">
        <w:t>.</w:t>
      </w:r>
      <w:r w:rsidR="00AB65D5" w:rsidRPr="00011FE4">
        <w:t>,</w:t>
      </w:r>
      <w:r w:rsidR="00C93282" w:rsidRPr="00011FE4">
        <w:t xml:space="preserve"> 2019</w:t>
      </w:r>
      <w:r w:rsidR="00AB65D5" w:rsidRPr="00011FE4">
        <w:t>;</w:t>
      </w:r>
      <w:r w:rsidR="00C93282" w:rsidRPr="00011FE4">
        <w:t xml:space="preserve"> Dean</w:t>
      </w:r>
      <w:r w:rsidR="00EF5007" w:rsidRPr="00011FE4">
        <w:t xml:space="preserve"> et al</w:t>
      </w:r>
      <w:r w:rsidR="00F80700" w:rsidRPr="00011FE4">
        <w:t>.</w:t>
      </w:r>
      <w:r w:rsidR="00AB65D5" w:rsidRPr="00011FE4">
        <w:t>,</w:t>
      </w:r>
      <w:r w:rsidR="00C93282" w:rsidRPr="00011FE4">
        <w:t xml:space="preserve"> </w:t>
      </w:r>
      <w:r w:rsidR="006C4B9F" w:rsidRPr="00011FE4">
        <w:t>2017</w:t>
      </w:r>
      <w:r w:rsidR="00AB65D5" w:rsidRPr="00011FE4">
        <w:t>;</w:t>
      </w:r>
      <w:r w:rsidR="006C4B9F" w:rsidRPr="00011FE4">
        <w:t xml:space="preserve"> Moore</w:t>
      </w:r>
      <w:r w:rsidR="00C93282" w:rsidRPr="00011FE4">
        <w:t xml:space="preserve"> et al</w:t>
      </w:r>
      <w:r w:rsidR="00F80700" w:rsidRPr="00011FE4">
        <w:t>.</w:t>
      </w:r>
      <w:r w:rsidR="00AB65D5" w:rsidRPr="00011FE4">
        <w:t>,</w:t>
      </w:r>
      <w:r w:rsidR="00C93282" w:rsidRPr="00011FE4">
        <w:t xml:space="preserve"> 201</w:t>
      </w:r>
      <w:r w:rsidR="002A24B7" w:rsidRPr="00011FE4">
        <w:t>7</w:t>
      </w:r>
      <w:r w:rsidR="00AB65D5" w:rsidRPr="00011FE4">
        <w:t>;</w:t>
      </w:r>
      <w:r w:rsidR="00C93282" w:rsidRPr="00011FE4">
        <w:t xml:space="preserve"> </w:t>
      </w:r>
      <w:r w:rsidR="002717A1" w:rsidRPr="00011FE4">
        <w:t xml:space="preserve">Powell, 2013). </w:t>
      </w:r>
      <w:r w:rsidR="004E23FB" w:rsidRPr="00011FE4">
        <w:t>Studies consider</w:t>
      </w:r>
      <w:r w:rsidR="00DC0186" w:rsidRPr="00011FE4">
        <w:t>ing</w:t>
      </w:r>
      <w:r w:rsidR="004E23FB" w:rsidRPr="00011FE4">
        <w:t xml:space="preserve"> UDL </w:t>
      </w:r>
      <w:r w:rsidR="002717A1" w:rsidRPr="00011FE4">
        <w:t xml:space="preserve">beyond </w:t>
      </w:r>
      <w:r w:rsidR="006748B7" w:rsidRPr="00011FE4">
        <w:t>disability include</w:t>
      </w:r>
      <w:r w:rsidR="002717A1" w:rsidRPr="00011FE4">
        <w:t xml:space="preserve">: </w:t>
      </w:r>
      <w:r w:rsidR="00696B66" w:rsidRPr="00011FE4">
        <w:t>Brown et al</w:t>
      </w:r>
      <w:r w:rsidR="001933A8" w:rsidRPr="00011FE4">
        <w:t>.</w:t>
      </w:r>
      <w:r w:rsidR="00696B66" w:rsidRPr="00011FE4">
        <w:t xml:space="preserve">’s </w:t>
      </w:r>
      <w:r w:rsidR="006748B7" w:rsidRPr="00011FE4">
        <w:t>(2017</w:t>
      </w:r>
      <w:r w:rsidR="00696B66" w:rsidRPr="00011FE4">
        <w:t xml:space="preserve">) exploration of institutional </w:t>
      </w:r>
      <w:r w:rsidR="006748B7" w:rsidRPr="00011FE4">
        <w:t>culture,</w:t>
      </w:r>
      <w:r w:rsidR="00696B66" w:rsidRPr="00011FE4">
        <w:t xml:space="preserve"> </w:t>
      </w:r>
      <w:r w:rsidR="002717A1" w:rsidRPr="00011FE4">
        <w:t>Reinhardt et al.’s (2018) work with refugee learners</w:t>
      </w:r>
      <w:r w:rsidR="00696B66" w:rsidRPr="00011FE4">
        <w:t>,</w:t>
      </w:r>
      <w:r w:rsidR="004E23FB" w:rsidRPr="00011FE4">
        <w:t xml:space="preserve"> </w:t>
      </w:r>
      <w:proofErr w:type="spellStart"/>
      <w:r w:rsidR="001933A8" w:rsidRPr="00011FE4">
        <w:t>Schoepp’</w:t>
      </w:r>
      <w:r w:rsidR="006C4B9F" w:rsidRPr="00011FE4">
        <w:t>s</w:t>
      </w:r>
      <w:proofErr w:type="spellEnd"/>
      <w:r w:rsidR="004E23FB" w:rsidRPr="00011FE4">
        <w:t xml:space="preserve"> </w:t>
      </w:r>
      <w:r w:rsidR="00000D08" w:rsidRPr="00011FE4">
        <w:t>(</w:t>
      </w:r>
      <w:r w:rsidR="004E23FB" w:rsidRPr="00011FE4">
        <w:t>2018</w:t>
      </w:r>
      <w:r w:rsidR="00000D08" w:rsidRPr="00011FE4">
        <w:t>)</w:t>
      </w:r>
      <w:r w:rsidR="00DC0186" w:rsidRPr="00011FE4">
        <w:t xml:space="preserve"> focus on</w:t>
      </w:r>
      <w:r w:rsidR="004E23FB" w:rsidRPr="00011FE4">
        <w:t xml:space="preserve"> second-language speakers</w:t>
      </w:r>
      <w:r w:rsidR="00D466AA" w:rsidRPr="00011FE4">
        <w:t xml:space="preserve"> </w:t>
      </w:r>
      <w:r w:rsidR="006748B7" w:rsidRPr="00011FE4">
        <w:t>and Rosman</w:t>
      </w:r>
      <w:r w:rsidR="00D466AA" w:rsidRPr="00011FE4">
        <w:t xml:space="preserve"> et al</w:t>
      </w:r>
      <w:r w:rsidR="001933A8" w:rsidRPr="00011FE4">
        <w:t>.</w:t>
      </w:r>
      <w:r w:rsidR="00D466AA" w:rsidRPr="00011FE4">
        <w:t xml:space="preserve">’s </w:t>
      </w:r>
      <w:r w:rsidR="00AB65D5" w:rsidRPr="00011FE4">
        <w:t>(</w:t>
      </w:r>
      <w:r w:rsidR="00D466AA" w:rsidRPr="00011FE4">
        <w:t>2018</w:t>
      </w:r>
      <w:r w:rsidR="00AB65D5" w:rsidRPr="00011FE4">
        <w:t>)</w:t>
      </w:r>
      <w:r w:rsidR="00D466AA" w:rsidRPr="00011FE4">
        <w:t xml:space="preserve"> work </w:t>
      </w:r>
      <w:r w:rsidR="006C4B9F" w:rsidRPr="00011FE4">
        <w:t>on information</w:t>
      </w:r>
      <w:r w:rsidR="00D466AA" w:rsidRPr="00011FE4">
        <w:t xml:space="preserve"> </w:t>
      </w:r>
      <w:r w:rsidR="006748B7" w:rsidRPr="00011FE4">
        <w:t>literacy.</w:t>
      </w:r>
      <w:r w:rsidR="00BB6F4F" w:rsidRPr="00011FE4">
        <w:t xml:space="preserve"> </w:t>
      </w:r>
    </w:p>
    <w:p w14:paraId="476D557D" w14:textId="0B3B04E1" w:rsidR="00D466AA" w:rsidRPr="00011FE4" w:rsidRDefault="001A1035" w:rsidP="00235691">
      <w:r w:rsidRPr="00011FE4">
        <w:t xml:space="preserve">Transition to </w:t>
      </w:r>
      <w:r w:rsidR="006C4B9F" w:rsidRPr="00011FE4">
        <w:t>HE from</w:t>
      </w:r>
      <w:r w:rsidR="00BB6F4F" w:rsidRPr="00011FE4">
        <w:t xml:space="preserve"> </w:t>
      </w:r>
      <w:r w:rsidR="006748B7" w:rsidRPr="00011FE4">
        <w:t>non-traditional</w:t>
      </w:r>
      <w:r w:rsidR="00BB6F4F" w:rsidRPr="00011FE4">
        <w:t xml:space="preserve"> backgrounds</w:t>
      </w:r>
      <w:r w:rsidRPr="00011FE4">
        <w:t xml:space="preserve"> has been studied by</w:t>
      </w:r>
      <w:r w:rsidR="00BB6F4F" w:rsidRPr="00011FE4">
        <w:t xml:space="preserve"> Leadley-Meade and Goodwin</w:t>
      </w:r>
      <w:r w:rsidR="00812E36" w:rsidRPr="00011FE4">
        <w:t xml:space="preserve"> (</w:t>
      </w:r>
      <w:r w:rsidR="00BB6F4F" w:rsidRPr="00011FE4">
        <w:t>2019</w:t>
      </w:r>
      <w:r w:rsidR="00812E36" w:rsidRPr="00011FE4">
        <w:t>),</w:t>
      </w:r>
      <w:r w:rsidR="00BB6F4F" w:rsidRPr="00011FE4">
        <w:t xml:space="preserve"> </w:t>
      </w:r>
      <w:proofErr w:type="spellStart"/>
      <w:r w:rsidR="00BB6F4F" w:rsidRPr="00011FE4">
        <w:t>Marginson</w:t>
      </w:r>
      <w:proofErr w:type="spellEnd"/>
      <w:r w:rsidR="00812E36" w:rsidRPr="00011FE4">
        <w:t xml:space="preserve"> (</w:t>
      </w:r>
      <w:r w:rsidR="00BB6F4F" w:rsidRPr="00011FE4">
        <w:t>2016</w:t>
      </w:r>
      <w:r w:rsidR="00812E36" w:rsidRPr="00011FE4">
        <w:t>),</w:t>
      </w:r>
      <w:r w:rsidR="00BB6F4F" w:rsidRPr="00011FE4">
        <w:t xml:space="preserve"> Sanders and Rose-Adams</w:t>
      </w:r>
      <w:r w:rsidR="00812E36" w:rsidRPr="00011FE4">
        <w:t xml:space="preserve"> (</w:t>
      </w:r>
      <w:r w:rsidR="006C4B9F" w:rsidRPr="00011FE4">
        <w:t>2014</w:t>
      </w:r>
      <w:r w:rsidR="00812E36" w:rsidRPr="00011FE4">
        <w:t>),</w:t>
      </w:r>
      <w:r w:rsidR="006C4B9F" w:rsidRPr="00011FE4">
        <w:t xml:space="preserve"> Richardson</w:t>
      </w:r>
      <w:r w:rsidR="00812E36" w:rsidRPr="00011FE4">
        <w:t xml:space="preserve"> (</w:t>
      </w:r>
      <w:r w:rsidR="006C4B9F" w:rsidRPr="00011FE4">
        <w:t>2015</w:t>
      </w:r>
      <w:r w:rsidR="00812E36" w:rsidRPr="00011FE4">
        <w:t>)</w:t>
      </w:r>
      <w:r w:rsidR="006C4B9F" w:rsidRPr="00011FE4">
        <w:t xml:space="preserve"> and</w:t>
      </w:r>
      <w:r w:rsidRPr="00011FE4">
        <w:t xml:space="preserve"> others</w:t>
      </w:r>
      <w:r w:rsidR="00BB6F4F" w:rsidRPr="00011FE4">
        <w:t xml:space="preserve">. </w:t>
      </w:r>
      <w:r w:rsidRPr="00011FE4">
        <w:t>C</w:t>
      </w:r>
      <w:r w:rsidR="00BB6F4F" w:rsidRPr="00011FE4">
        <w:t>ommon</w:t>
      </w:r>
      <w:r w:rsidRPr="00011FE4">
        <w:t xml:space="preserve"> </w:t>
      </w:r>
      <w:r w:rsidR="006C4B9F" w:rsidRPr="00011FE4">
        <w:t>recommendations include</w:t>
      </w:r>
      <w:r w:rsidRPr="00011FE4">
        <w:t xml:space="preserve"> </w:t>
      </w:r>
      <w:r w:rsidR="006748B7" w:rsidRPr="00011FE4">
        <w:t>providing students</w:t>
      </w:r>
      <w:r w:rsidR="00BB6F4F" w:rsidRPr="00011FE4">
        <w:t xml:space="preserve"> </w:t>
      </w:r>
      <w:r w:rsidRPr="00011FE4">
        <w:t xml:space="preserve">with </w:t>
      </w:r>
      <w:r w:rsidR="006748B7" w:rsidRPr="00011FE4">
        <w:t>help to</w:t>
      </w:r>
      <w:r w:rsidR="00BB6F4F" w:rsidRPr="00011FE4">
        <w:t xml:space="preserve"> </w:t>
      </w:r>
      <w:r w:rsidR="00AB65D5" w:rsidRPr="00011FE4">
        <w:t>acquire academic skills such as</w:t>
      </w:r>
      <w:r w:rsidR="00BB6F4F" w:rsidRPr="00011FE4">
        <w:t xml:space="preserve"> critical reading, utilising technology for study, literature search, referencing</w:t>
      </w:r>
      <w:r w:rsidR="00AB65D5" w:rsidRPr="00011FE4">
        <w:t>,</w:t>
      </w:r>
      <w:r w:rsidR="00BB6F4F" w:rsidRPr="00011FE4">
        <w:t xml:space="preserve"> and </w:t>
      </w:r>
      <w:r w:rsidR="002063C6" w:rsidRPr="00011FE4">
        <w:t>assignment</w:t>
      </w:r>
      <w:r w:rsidR="00BB6F4F" w:rsidRPr="00011FE4">
        <w:t xml:space="preserve"> </w:t>
      </w:r>
      <w:r w:rsidR="006748B7" w:rsidRPr="00011FE4">
        <w:t>writing.</w:t>
      </w:r>
      <w:r w:rsidR="00BB6F4F" w:rsidRPr="00011FE4">
        <w:t xml:space="preserve"> </w:t>
      </w:r>
    </w:p>
    <w:p w14:paraId="6B845827" w14:textId="060B6EE9" w:rsidR="00B624F6" w:rsidRPr="00011FE4" w:rsidRDefault="00D466AA" w:rsidP="00B624F6">
      <w:r w:rsidRPr="00011FE4">
        <w:t xml:space="preserve">O’Shea </w:t>
      </w:r>
      <w:r w:rsidR="00AB65D5" w:rsidRPr="00011FE4">
        <w:t>(2016),</w:t>
      </w:r>
      <w:r w:rsidRPr="00011FE4">
        <w:t xml:space="preserve"> Reay et al.</w:t>
      </w:r>
      <w:r w:rsidR="00AB65D5" w:rsidRPr="00011FE4">
        <w:t xml:space="preserve"> (</w:t>
      </w:r>
      <w:r w:rsidRPr="00011FE4">
        <w:t>2010</w:t>
      </w:r>
      <w:r w:rsidR="00AB65D5" w:rsidRPr="00011FE4">
        <w:t>),</w:t>
      </w:r>
      <w:r w:rsidRPr="00011FE4">
        <w:t xml:space="preserve"> Wise et al.</w:t>
      </w:r>
      <w:r w:rsidR="00AB65D5" w:rsidRPr="00011FE4">
        <w:t xml:space="preserve"> (</w:t>
      </w:r>
      <w:r w:rsidRPr="00011FE4">
        <w:t>2018</w:t>
      </w:r>
      <w:r w:rsidR="00AB65D5" w:rsidRPr="00011FE4">
        <w:t>)</w:t>
      </w:r>
      <w:r w:rsidR="00D1711A" w:rsidRPr="00011FE4">
        <w:t xml:space="preserve"> and others</w:t>
      </w:r>
      <w:r w:rsidR="00AB65D5" w:rsidRPr="00011FE4">
        <w:t xml:space="preserve"> consider</w:t>
      </w:r>
      <w:r w:rsidRPr="00011FE4">
        <w:t xml:space="preserve"> the </w:t>
      </w:r>
      <w:r w:rsidR="006748B7" w:rsidRPr="00011FE4">
        <w:t>challenges</w:t>
      </w:r>
      <w:r w:rsidRPr="00011FE4">
        <w:t xml:space="preserve"> associated with being the first person in a family to go to university. </w:t>
      </w:r>
      <w:r w:rsidR="00D1711A" w:rsidRPr="00011FE4">
        <w:t xml:space="preserve">In </w:t>
      </w:r>
      <w:proofErr w:type="spellStart"/>
      <w:r w:rsidR="006748B7" w:rsidRPr="00011FE4">
        <w:t>Bourdieu</w:t>
      </w:r>
      <w:r w:rsidR="0018687A" w:rsidRPr="00011FE4">
        <w:t>sian</w:t>
      </w:r>
      <w:proofErr w:type="spellEnd"/>
      <w:r w:rsidR="00D1711A" w:rsidRPr="00011FE4">
        <w:t xml:space="preserve"> terms</w:t>
      </w:r>
      <w:r w:rsidR="0018687A" w:rsidRPr="00011FE4">
        <w:t>,</w:t>
      </w:r>
      <w:r w:rsidR="00D1711A" w:rsidRPr="00011FE4">
        <w:t xml:space="preserve"> Social Capital frames this </w:t>
      </w:r>
      <w:r w:rsidR="006748B7" w:rsidRPr="00011FE4">
        <w:t>discussion.</w:t>
      </w:r>
      <w:r w:rsidR="00D1711A" w:rsidRPr="00011FE4">
        <w:t xml:space="preserve"> </w:t>
      </w:r>
      <w:r w:rsidRPr="00011FE4">
        <w:t>Bourdieu</w:t>
      </w:r>
      <w:r w:rsidR="00D1711A" w:rsidRPr="00011FE4">
        <w:t xml:space="preserve"> (1986) argues that family </w:t>
      </w:r>
      <w:r w:rsidR="00463318" w:rsidRPr="00011FE4">
        <w:t>and community context</w:t>
      </w:r>
      <w:r w:rsidR="00D1711A" w:rsidRPr="00011FE4">
        <w:t xml:space="preserve"> can be an advantage or otherwise, an idea critiqued by </w:t>
      </w:r>
      <w:r w:rsidR="00463318" w:rsidRPr="00011FE4">
        <w:t>B</w:t>
      </w:r>
      <w:r w:rsidR="00D1711A" w:rsidRPr="00011FE4">
        <w:t xml:space="preserve">rown </w:t>
      </w:r>
      <w:r w:rsidR="00EE1D24" w:rsidRPr="00011FE4">
        <w:t>et al.</w:t>
      </w:r>
      <w:r w:rsidR="002267ED" w:rsidRPr="00011FE4">
        <w:t xml:space="preserve"> </w:t>
      </w:r>
      <w:r w:rsidR="00463318" w:rsidRPr="00011FE4">
        <w:t>(</w:t>
      </w:r>
      <w:r w:rsidR="00D1711A" w:rsidRPr="00011FE4">
        <w:t>2017</w:t>
      </w:r>
      <w:r w:rsidR="00463318" w:rsidRPr="00011FE4">
        <w:t>)</w:t>
      </w:r>
      <w:r w:rsidR="00D1711A" w:rsidRPr="00011FE4">
        <w:t xml:space="preserve"> who prefer to question the integrity of a system which disadvantages learners without ‘</w:t>
      </w:r>
      <w:r w:rsidR="00D1711A" w:rsidRPr="00011FE4">
        <w:rPr>
          <w:i/>
        </w:rPr>
        <w:t xml:space="preserve">the right sort of background’ </w:t>
      </w:r>
      <w:r w:rsidR="0018687A" w:rsidRPr="00011FE4">
        <w:t>[</w:t>
      </w:r>
      <w:r w:rsidR="00D1711A" w:rsidRPr="00011FE4">
        <w:t>author</w:t>
      </w:r>
      <w:r w:rsidR="001933A8" w:rsidRPr="00011FE4">
        <w:t>’s</w:t>
      </w:r>
      <w:r w:rsidR="00D1711A" w:rsidRPr="00011FE4">
        <w:t xml:space="preserve"> italics</w:t>
      </w:r>
      <w:r w:rsidR="001933A8" w:rsidRPr="00011FE4">
        <w:t>]</w:t>
      </w:r>
      <w:r w:rsidR="00D1711A" w:rsidRPr="00011FE4">
        <w:t xml:space="preserve">. Drawing on the work of </w:t>
      </w:r>
      <w:r w:rsidR="006748B7" w:rsidRPr="00011FE4">
        <w:t>Foucault</w:t>
      </w:r>
      <w:r w:rsidR="00D1711A" w:rsidRPr="00011FE4">
        <w:t xml:space="preserve"> (</w:t>
      </w:r>
      <w:r w:rsidR="0018687A" w:rsidRPr="00011FE4">
        <w:t>1991),</w:t>
      </w:r>
      <w:r w:rsidR="00D1711A" w:rsidRPr="00011FE4">
        <w:t xml:space="preserve"> Brown et al</w:t>
      </w:r>
      <w:r w:rsidR="00EE1D24" w:rsidRPr="00011FE4">
        <w:t>.</w:t>
      </w:r>
      <w:r w:rsidR="00D1711A" w:rsidRPr="00011FE4">
        <w:t xml:space="preserve"> (</w:t>
      </w:r>
      <w:r w:rsidR="001933A8" w:rsidRPr="00011FE4">
        <w:t>2017</w:t>
      </w:r>
      <w:r w:rsidR="00D1711A" w:rsidRPr="00011FE4">
        <w:t>) contend that s</w:t>
      </w:r>
      <w:r w:rsidR="0018687A" w:rsidRPr="00011FE4">
        <w:t>tudents unable to fit easily in</w:t>
      </w:r>
      <w:r w:rsidR="00D1711A" w:rsidRPr="00011FE4">
        <w:t xml:space="preserve">to the existing highly regulated structures are troublesome to </w:t>
      </w:r>
      <w:r w:rsidR="006748B7" w:rsidRPr="00011FE4">
        <w:t>the ‘</w:t>
      </w:r>
      <w:r w:rsidR="00463318" w:rsidRPr="00011FE4">
        <w:t>market driven’ (p</w:t>
      </w:r>
      <w:r w:rsidR="00EE1D24" w:rsidRPr="00011FE4">
        <w:t>.</w:t>
      </w:r>
      <w:r w:rsidR="00463318" w:rsidRPr="00011FE4">
        <w:t xml:space="preserve">78) </w:t>
      </w:r>
      <w:r w:rsidR="006748B7" w:rsidRPr="00011FE4">
        <w:t>university. Brown</w:t>
      </w:r>
      <w:r w:rsidR="00463318" w:rsidRPr="00011FE4">
        <w:t xml:space="preserve"> et al</w:t>
      </w:r>
      <w:r w:rsidR="00EE1D24" w:rsidRPr="00011FE4">
        <w:t>.</w:t>
      </w:r>
      <w:r w:rsidR="001933A8" w:rsidRPr="00011FE4">
        <w:t xml:space="preserve"> (2017)</w:t>
      </w:r>
      <w:r w:rsidR="00463318" w:rsidRPr="00011FE4">
        <w:t xml:space="preserve"> reference Freire’s</w:t>
      </w:r>
      <w:r w:rsidR="0018687A" w:rsidRPr="00011FE4">
        <w:t xml:space="preserve"> </w:t>
      </w:r>
      <w:r w:rsidR="00463318" w:rsidRPr="00011FE4">
        <w:t>(1970) ‘banking concept of education</w:t>
      </w:r>
      <w:r w:rsidR="00BB3162" w:rsidRPr="00011FE4">
        <w:t>’ and contend that this means ‘</w:t>
      </w:r>
      <w:r w:rsidR="00463318" w:rsidRPr="00011FE4">
        <w:t xml:space="preserve">knowledge is determined by the dominant power structure and students are deemed successful when they can draw this information from their courses and reproduce it in the way the instructor or institution expects’ </w:t>
      </w:r>
      <w:r w:rsidR="0018687A" w:rsidRPr="00011FE4">
        <w:t>(</w:t>
      </w:r>
      <w:r w:rsidR="00463318" w:rsidRPr="00011FE4">
        <w:t>p</w:t>
      </w:r>
      <w:r w:rsidR="00EE1D24" w:rsidRPr="00011FE4">
        <w:t>.</w:t>
      </w:r>
      <w:r w:rsidR="00463318" w:rsidRPr="00011FE4">
        <w:t>79</w:t>
      </w:r>
      <w:r w:rsidR="0018687A" w:rsidRPr="00011FE4">
        <w:t>)</w:t>
      </w:r>
      <w:r w:rsidR="00463318" w:rsidRPr="00011FE4">
        <w:t>.</w:t>
      </w:r>
      <w:r w:rsidR="0018687A" w:rsidRPr="00011FE4">
        <w:t xml:space="preserve"> </w:t>
      </w:r>
      <w:r w:rsidR="00D2406B" w:rsidRPr="00011FE4">
        <w:t>Valuing and planning for diversity is quite the opposite.</w:t>
      </w:r>
      <w:r w:rsidR="008454FC" w:rsidRPr="00011FE4">
        <w:t xml:space="preserve"> </w:t>
      </w:r>
      <w:r w:rsidR="00B624F6" w:rsidRPr="00011FE4">
        <w:t xml:space="preserve"> </w:t>
      </w:r>
      <w:r w:rsidR="006C4B9F" w:rsidRPr="00011FE4">
        <w:t>Unsurprisingly</w:t>
      </w:r>
      <w:r w:rsidR="0018687A" w:rsidRPr="00011FE4">
        <w:t>,</w:t>
      </w:r>
      <w:r w:rsidR="006C4B9F" w:rsidRPr="00011FE4">
        <w:t xml:space="preserve"> Aoun</w:t>
      </w:r>
      <w:r w:rsidR="00B624F6" w:rsidRPr="00011FE4">
        <w:t xml:space="preserve"> et al</w:t>
      </w:r>
      <w:r w:rsidR="00EE1D24" w:rsidRPr="00011FE4">
        <w:t>.</w:t>
      </w:r>
      <w:r w:rsidR="00B624F6" w:rsidRPr="00011FE4">
        <w:t xml:space="preserve"> (2018) </w:t>
      </w:r>
      <w:r w:rsidR="006C4B9F" w:rsidRPr="00011FE4">
        <w:t>found that</w:t>
      </w:r>
      <w:r w:rsidR="00B624F6" w:rsidRPr="00011FE4">
        <w:t xml:space="preserve"> lecturer feedback to </w:t>
      </w:r>
      <w:r w:rsidR="00BB3162" w:rsidRPr="00011FE4">
        <w:t>students that contained unfamiliar, over-technical language</w:t>
      </w:r>
      <w:r w:rsidR="00B624F6" w:rsidRPr="00011FE4">
        <w:t xml:space="preserve"> was ineffective.  </w:t>
      </w:r>
      <w:proofErr w:type="spellStart"/>
      <w:r w:rsidR="00B624F6" w:rsidRPr="00011FE4">
        <w:t>Bordieu</w:t>
      </w:r>
      <w:r w:rsidR="00BB3162" w:rsidRPr="00011FE4">
        <w:t>si</w:t>
      </w:r>
      <w:r w:rsidR="00B624F6" w:rsidRPr="00011FE4">
        <w:t>an</w:t>
      </w:r>
      <w:proofErr w:type="spellEnd"/>
      <w:r w:rsidR="00B624F6" w:rsidRPr="00011FE4">
        <w:t xml:space="preserve"> theorists may conclude that cultural capital and academic success can go hand in hand. </w:t>
      </w:r>
      <w:proofErr w:type="spellStart"/>
      <w:r w:rsidR="00B624F6" w:rsidRPr="00011FE4">
        <w:t>Foucaultians</w:t>
      </w:r>
      <w:proofErr w:type="spellEnd"/>
      <w:r w:rsidR="00B624F6" w:rsidRPr="00011FE4">
        <w:t xml:space="preserve"> are more likely to postulate that institution</w:t>
      </w:r>
      <w:r w:rsidR="008B0B07" w:rsidRPr="00011FE4">
        <w:t>s</w:t>
      </w:r>
      <w:r w:rsidR="00B624F6" w:rsidRPr="00011FE4">
        <w:t xml:space="preserve"> could </w:t>
      </w:r>
      <w:r w:rsidR="0064633C" w:rsidRPr="00011FE4">
        <w:t xml:space="preserve">use feedback as part of a strategy to </w:t>
      </w:r>
      <w:r w:rsidR="00B624F6" w:rsidRPr="00011FE4">
        <w:t>empower students, enhance belonging and avoid ‘othering’</w:t>
      </w:r>
      <w:r w:rsidR="0064633C" w:rsidRPr="00011FE4">
        <w:t>.</w:t>
      </w:r>
    </w:p>
    <w:p w14:paraId="380C5E59" w14:textId="73A7F626" w:rsidR="00A77907" w:rsidRPr="00011FE4" w:rsidRDefault="118435A4" w:rsidP="00A77907">
      <w:r w:rsidRPr="00011FE4">
        <w:t xml:space="preserve">Students do not all start university with all their academic ducks in a row (Leadley-Meade and Goodwin, 2019). A </w:t>
      </w:r>
      <w:proofErr w:type="spellStart"/>
      <w:r w:rsidRPr="00011FE4">
        <w:t>Bourdieusian</w:t>
      </w:r>
      <w:proofErr w:type="spellEnd"/>
      <w:r w:rsidRPr="00011FE4">
        <w:t xml:space="preserve"> interpretation would evoke various forms of capital. Social justice advocates argue that universities should accommodate learner diversity by providing appropriate learning opportunities. HE operates within a neoliberal business culture. For this reason, Moore et al. (2017) suggest that a business case for UDL might carry more weight than social justice arguments, particularly with financial planners.</w:t>
      </w:r>
    </w:p>
    <w:p w14:paraId="62795189" w14:textId="3B0C465B" w:rsidR="000B2223" w:rsidRPr="00011FE4" w:rsidRDefault="00D93A4A" w:rsidP="00235691">
      <w:r w:rsidRPr="00011FE4">
        <w:lastRenderedPageBreak/>
        <w:t>Ac</w:t>
      </w:r>
      <w:r w:rsidR="00F17B7F" w:rsidRPr="00011FE4">
        <w:t>c</w:t>
      </w:r>
      <w:r w:rsidRPr="00011FE4">
        <w:t xml:space="preserve">ess to rapidly improving technology with increasingly better accessibility features as </w:t>
      </w:r>
      <w:r w:rsidR="006C4B9F" w:rsidRPr="00011FE4">
        <w:t>standard reduces</w:t>
      </w:r>
      <w:r w:rsidRPr="00011FE4">
        <w:t xml:space="preserve"> reliance on bespoke assistive technology, although a minority of disabled students will still require specialist </w:t>
      </w:r>
      <w:r w:rsidR="00A21C2D" w:rsidRPr="00011FE4">
        <w:t>resources</w:t>
      </w:r>
      <w:r w:rsidR="00000D08" w:rsidRPr="00011FE4">
        <w:t xml:space="preserve"> (</w:t>
      </w:r>
      <w:r w:rsidR="006C4B9F" w:rsidRPr="00011FE4">
        <w:t>Anderson</w:t>
      </w:r>
      <w:r w:rsidRPr="00011FE4">
        <w:t xml:space="preserve"> et al</w:t>
      </w:r>
      <w:r w:rsidR="005F575D" w:rsidRPr="00011FE4">
        <w:t>.</w:t>
      </w:r>
      <w:r w:rsidR="00A21C2D" w:rsidRPr="00011FE4">
        <w:t>,</w:t>
      </w:r>
      <w:r w:rsidRPr="00011FE4">
        <w:t xml:space="preserve"> 2019</w:t>
      </w:r>
      <w:r w:rsidR="00A21C2D" w:rsidRPr="00011FE4">
        <w:t>;</w:t>
      </w:r>
      <w:r w:rsidRPr="00011FE4">
        <w:t xml:space="preserve"> Draffan et al., 2017b</w:t>
      </w:r>
      <w:r w:rsidR="00A21C2D" w:rsidRPr="00011FE4">
        <w:t>;</w:t>
      </w:r>
      <w:r w:rsidRPr="00011FE4">
        <w:t xml:space="preserve"> Newman and Beetham, 2018). </w:t>
      </w:r>
      <w:r w:rsidR="00000D08" w:rsidRPr="00011FE4">
        <w:t>S</w:t>
      </w:r>
      <w:r w:rsidRPr="00011FE4">
        <w:t>creen readers, text</w:t>
      </w:r>
      <w:r w:rsidR="00A21C2D" w:rsidRPr="00011FE4">
        <w:t>-</w:t>
      </w:r>
      <w:r w:rsidRPr="00011FE4">
        <w:t>to</w:t>
      </w:r>
      <w:r w:rsidR="00A21C2D" w:rsidRPr="00011FE4">
        <w:t>-</w:t>
      </w:r>
      <w:r w:rsidRPr="00011FE4">
        <w:t>speech and other technologies for academic purposes are becoming commonplace</w:t>
      </w:r>
      <w:r w:rsidR="00000D08" w:rsidRPr="00011FE4">
        <w:t xml:space="preserve"> but access to mathematical notation in Braille (Abrahamson et al</w:t>
      </w:r>
      <w:r w:rsidR="00B4313B" w:rsidRPr="00011FE4">
        <w:t>.</w:t>
      </w:r>
      <w:r w:rsidR="00A21C2D" w:rsidRPr="00011FE4">
        <w:t>,</w:t>
      </w:r>
      <w:r w:rsidR="000D0DD4" w:rsidRPr="00011FE4">
        <w:t xml:space="preserve"> 2019</w:t>
      </w:r>
      <w:r w:rsidR="00000D08" w:rsidRPr="00011FE4">
        <w:t>) is rather more specific</w:t>
      </w:r>
      <w:r w:rsidRPr="00011FE4">
        <w:t xml:space="preserve">. </w:t>
      </w:r>
      <w:r w:rsidR="00000D08" w:rsidRPr="00011FE4">
        <w:t xml:space="preserve">Technology is only part of the story. </w:t>
      </w:r>
      <w:r w:rsidRPr="00011FE4">
        <w:t>Specialist one</w:t>
      </w:r>
      <w:r w:rsidR="00A21C2D" w:rsidRPr="00011FE4">
        <w:t>-</w:t>
      </w:r>
      <w:r w:rsidRPr="00011FE4">
        <w:t>to</w:t>
      </w:r>
      <w:r w:rsidR="00A21C2D" w:rsidRPr="00011FE4">
        <w:t>-</w:t>
      </w:r>
      <w:r w:rsidRPr="00011FE4">
        <w:t>one assistance from, for example, a qualified mentor with an understanding of autism</w:t>
      </w:r>
      <w:r w:rsidR="00F32F68" w:rsidRPr="00011FE4">
        <w:t>, would</w:t>
      </w:r>
      <w:r w:rsidR="002717A1" w:rsidRPr="00011FE4">
        <w:t xml:space="preserve"> </w:t>
      </w:r>
      <w:r w:rsidR="00F32F68" w:rsidRPr="00011FE4">
        <w:t xml:space="preserve">be difficult to replicate without </w:t>
      </w:r>
      <w:r w:rsidR="006C4B9F" w:rsidRPr="00011FE4">
        <w:t>individually funded</w:t>
      </w:r>
      <w:r w:rsidR="00F32F68" w:rsidRPr="00011FE4">
        <w:t xml:space="preserve"> support </w:t>
      </w:r>
      <w:r w:rsidR="002717A1" w:rsidRPr="00011FE4">
        <w:t>(</w:t>
      </w:r>
      <w:r w:rsidR="00A259FB" w:rsidRPr="00011FE4">
        <w:t>Sims et al</w:t>
      </w:r>
      <w:r w:rsidR="00A5452F" w:rsidRPr="00011FE4">
        <w:t>.</w:t>
      </w:r>
      <w:r w:rsidR="00A21C2D" w:rsidRPr="00011FE4">
        <w:t>,</w:t>
      </w:r>
      <w:r w:rsidR="00A259FB" w:rsidRPr="00011FE4">
        <w:t xml:space="preserve"> 2016</w:t>
      </w:r>
      <w:r w:rsidR="00135707" w:rsidRPr="00011FE4">
        <w:t>)</w:t>
      </w:r>
      <w:r w:rsidR="002717A1" w:rsidRPr="00011FE4">
        <w:t>.</w:t>
      </w:r>
    </w:p>
    <w:p w14:paraId="7119EFCE" w14:textId="7B3C4E47" w:rsidR="00F77EF3" w:rsidRPr="00011FE4" w:rsidRDefault="118435A4" w:rsidP="00435AD8">
      <w:r w:rsidRPr="00011FE4">
        <w:t xml:space="preserve">Making boundaries clear and alerting learners about how to seek help beyond the academic team was the focus of a small body of student-facing literature. This mainly emanated from ‘widening participation’ (WP) contexts which Bourdieu might describe as sites of limited student cultural and academic capital. A pre-entry first semester self-assessment tool which also signposted undergraduates to relevant services was devised by Leadley-Meade and Goodwin (2019). Their underpinning research revealed misunderstanding of academic expectations and how to access support in meeting them. Participants felt empowered by the process. </w:t>
      </w:r>
      <w:r w:rsidR="00D5139C" w:rsidRPr="00011FE4">
        <w:t>Martin et al. (2019)</w:t>
      </w:r>
      <w:r w:rsidRPr="00011FE4">
        <w:t xml:space="preserve"> found </w:t>
      </w:r>
      <w:r w:rsidR="00D5139C" w:rsidRPr="00011FE4">
        <w:t>signposting to PS to be inconsistent.</w:t>
      </w:r>
      <w:r w:rsidRPr="00011FE4">
        <w:t xml:space="preserve"> Postgraduate induction activities created by Rousseau and </w:t>
      </w:r>
      <w:proofErr w:type="spellStart"/>
      <w:r w:rsidRPr="00011FE4">
        <w:t>Eley</w:t>
      </w:r>
      <w:proofErr w:type="spellEnd"/>
      <w:r w:rsidRPr="00011FE4">
        <w:t xml:space="preserve"> (2010) included explaining and mapping PS and lecturer roles with students. Loughlin et al. (2010) advocate building induction around student diversity and cultural sensitivity. Parker-Jenkins (2018) highlighted unrealistic expectations of doctoral supervisors. </w:t>
      </w:r>
    </w:p>
    <w:p w14:paraId="0D431423" w14:textId="3A937376" w:rsidR="000B254C" w:rsidRPr="00011FE4" w:rsidRDefault="008146F9" w:rsidP="008146F9">
      <w:r w:rsidRPr="00011FE4">
        <w:t>External scrutiny, contextual sensitivity, strategic alignment with institutional priorities and senior buy</w:t>
      </w:r>
      <w:r w:rsidR="00A21C2D" w:rsidRPr="00011FE4">
        <w:t>-in</w:t>
      </w:r>
      <w:r w:rsidRPr="00011FE4">
        <w:t xml:space="preserve"> (including by </w:t>
      </w:r>
      <w:r w:rsidR="006C4B9F" w:rsidRPr="00011FE4">
        <w:t>governors) are</w:t>
      </w:r>
      <w:r w:rsidRPr="00011FE4">
        <w:t xml:space="preserve"> identified </w:t>
      </w:r>
      <w:r w:rsidR="007732EF" w:rsidRPr="00011FE4">
        <w:t xml:space="preserve">as important factors in cultural change </w:t>
      </w:r>
      <w:r w:rsidRPr="00011FE4">
        <w:t>by various scholars</w:t>
      </w:r>
      <w:r w:rsidR="007732EF" w:rsidRPr="00011FE4">
        <w:t>,</w:t>
      </w:r>
      <w:r w:rsidRPr="00011FE4">
        <w:t xml:space="preserve"> including Brown </w:t>
      </w:r>
      <w:r w:rsidR="00EE1D24" w:rsidRPr="00011FE4">
        <w:t>et al.</w:t>
      </w:r>
      <w:r w:rsidR="00FE34BA" w:rsidRPr="00011FE4">
        <w:t xml:space="preserve"> </w:t>
      </w:r>
      <w:r w:rsidRPr="00011FE4">
        <w:t>(2017</w:t>
      </w:r>
      <w:r w:rsidR="006C4B9F" w:rsidRPr="00011FE4">
        <w:t xml:space="preserve">), </w:t>
      </w:r>
      <w:proofErr w:type="spellStart"/>
      <w:r w:rsidR="006C4B9F" w:rsidRPr="00011FE4">
        <w:t>Guskey</w:t>
      </w:r>
      <w:proofErr w:type="spellEnd"/>
      <w:r w:rsidRPr="00011FE4">
        <w:t xml:space="preserve"> (2000), Layer (2017), Wise </w:t>
      </w:r>
      <w:r w:rsidR="002267ED" w:rsidRPr="00011FE4">
        <w:t xml:space="preserve">et al. </w:t>
      </w:r>
      <w:r w:rsidRPr="00011FE4">
        <w:t>(2018</w:t>
      </w:r>
      <w:r w:rsidR="006C4B9F" w:rsidRPr="00011FE4">
        <w:t>)</w:t>
      </w:r>
      <w:r w:rsidRPr="00011FE4">
        <w:t xml:space="preserve">. </w:t>
      </w:r>
      <w:r w:rsidR="000B254C" w:rsidRPr="00011FE4">
        <w:t>Arguably</w:t>
      </w:r>
      <w:r w:rsidR="00A21C2D" w:rsidRPr="00011FE4">
        <w:t>,</w:t>
      </w:r>
      <w:r w:rsidR="000B254C" w:rsidRPr="00011FE4">
        <w:t xml:space="preserve"> efficiently doing more for less while simultaneously appearing morally acceptable</w:t>
      </w:r>
      <w:r w:rsidR="0036690D" w:rsidRPr="00011FE4">
        <w:t>, which is good for marketing,</w:t>
      </w:r>
      <w:r w:rsidR="000B254C" w:rsidRPr="00011FE4">
        <w:t xml:space="preserve"> drives neoliberal HE </w:t>
      </w:r>
      <w:r w:rsidR="006C4B9F" w:rsidRPr="00011FE4">
        <w:t>cultures</w:t>
      </w:r>
      <w:r w:rsidR="000B254C" w:rsidRPr="00011FE4">
        <w:t xml:space="preserve">. The social justice imperative sounds more palatable than the </w:t>
      </w:r>
      <w:r w:rsidR="00A21C2D" w:rsidRPr="00011FE4">
        <w:t>cost-cutting</w:t>
      </w:r>
      <w:r w:rsidR="000B254C" w:rsidRPr="00011FE4">
        <w:t xml:space="preserve"> motive.</w:t>
      </w:r>
    </w:p>
    <w:p w14:paraId="1FFEAF34" w14:textId="06DA0BD9" w:rsidR="002717A1" w:rsidRPr="00011FE4" w:rsidRDefault="006C4B9F" w:rsidP="00235691">
      <w:r w:rsidRPr="00011FE4">
        <w:t>Diverse engagement</w:t>
      </w:r>
      <w:r w:rsidR="008146F9" w:rsidRPr="00011FE4">
        <w:t xml:space="preserve"> invites multiple perspectives (Everett</w:t>
      </w:r>
      <w:r w:rsidR="001604B3" w:rsidRPr="00011FE4">
        <w:t>,</w:t>
      </w:r>
      <w:r w:rsidR="000D0DD4" w:rsidRPr="00011FE4">
        <w:t xml:space="preserve"> </w:t>
      </w:r>
      <w:r w:rsidRPr="00011FE4">
        <w:t>2017</w:t>
      </w:r>
      <w:r w:rsidR="00A21C2D" w:rsidRPr="00011FE4">
        <w:t>;</w:t>
      </w:r>
      <w:r w:rsidRPr="00011FE4">
        <w:t xml:space="preserve"> Mitchell</w:t>
      </w:r>
      <w:r w:rsidR="001604B3" w:rsidRPr="00011FE4">
        <w:t>,</w:t>
      </w:r>
      <w:r w:rsidR="000D0DD4" w:rsidRPr="00011FE4">
        <w:t xml:space="preserve"> </w:t>
      </w:r>
      <w:r w:rsidR="008146F9" w:rsidRPr="00011FE4">
        <w:t>2014</w:t>
      </w:r>
      <w:r w:rsidRPr="00011FE4">
        <w:t>).</w:t>
      </w:r>
      <w:r w:rsidR="008146F9" w:rsidRPr="00011FE4">
        <w:t xml:space="preserve"> Equalities legislation emphasises stakeholder participation. </w:t>
      </w:r>
      <w:r w:rsidR="008419E9" w:rsidRPr="00011FE4">
        <w:t>Factoring student vo</w:t>
      </w:r>
      <w:r w:rsidR="00C870DB" w:rsidRPr="00011FE4">
        <w:t>ice</w:t>
      </w:r>
      <w:r w:rsidR="008419E9" w:rsidRPr="00011FE4">
        <w:t xml:space="preserve"> into change management is advocated </w:t>
      </w:r>
      <w:r w:rsidR="006748B7" w:rsidRPr="00011FE4">
        <w:t>by Advance</w:t>
      </w:r>
      <w:r w:rsidR="008419E9" w:rsidRPr="00011FE4">
        <w:t xml:space="preserve"> HE</w:t>
      </w:r>
      <w:r w:rsidR="007732EF" w:rsidRPr="00011FE4">
        <w:t xml:space="preserve"> (</w:t>
      </w:r>
      <w:r w:rsidR="000D0DD4" w:rsidRPr="00011FE4">
        <w:t>2019a</w:t>
      </w:r>
      <w:r w:rsidR="007732EF" w:rsidRPr="00011FE4">
        <w:t xml:space="preserve">) </w:t>
      </w:r>
      <w:r w:rsidR="008419E9" w:rsidRPr="00011FE4">
        <w:t>and others</w:t>
      </w:r>
      <w:r w:rsidR="00BE7D55" w:rsidRPr="00011FE4">
        <w:t>,</w:t>
      </w:r>
      <w:r w:rsidR="008419E9" w:rsidRPr="00011FE4">
        <w:t xml:space="preserve"> but</w:t>
      </w:r>
      <w:r w:rsidR="00A02AAE" w:rsidRPr="00011FE4">
        <w:t xml:space="preserve"> representation is complex. T</w:t>
      </w:r>
      <w:r w:rsidR="00C870DB" w:rsidRPr="00011FE4">
        <w:t>here is no such thing as</w:t>
      </w:r>
      <w:r w:rsidR="002717A1" w:rsidRPr="00011FE4">
        <w:t xml:space="preserve"> ‘the typical student’ </w:t>
      </w:r>
      <w:r w:rsidR="00A02AAE" w:rsidRPr="00011FE4">
        <w:t>or ‘the typical person with x impairment label</w:t>
      </w:r>
      <w:r w:rsidR="006748B7" w:rsidRPr="00011FE4">
        <w:t>’ (</w:t>
      </w:r>
      <w:r w:rsidR="00C870DB" w:rsidRPr="00011FE4">
        <w:t>Chown et al</w:t>
      </w:r>
      <w:r w:rsidR="005F575D" w:rsidRPr="00011FE4">
        <w:t>.</w:t>
      </w:r>
      <w:r w:rsidR="00A21C2D" w:rsidRPr="00011FE4">
        <w:t>,</w:t>
      </w:r>
      <w:r w:rsidR="00C870DB" w:rsidRPr="00011FE4">
        <w:t xml:space="preserve"> 2015</w:t>
      </w:r>
      <w:r w:rsidR="00A21C2D" w:rsidRPr="00011FE4">
        <w:t>;</w:t>
      </w:r>
      <w:r w:rsidR="00C870DB" w:rsidRPr="00011FE4">
        <w:t xml:space="preserve"> </w:t>
      </w:r>
      <w:r w:rsidR="002717A1" w:rsidRPr="00011FE4">
        <w:t>Seale, 2009)</w:t>
      </w:r>
      <w:r w:rsidR="006748B7" w:rsidRPr="00011FE4">
        <w:t>.)</w:t>
      </w:r>
      <w:r w:rsidR="00BE7D55" w:rsidRPr="00011FE4">
        <w:t xml:space="preserve">. </w:t>
      </w:r>
      <w:r w:rsidR="00161EBE" w:rsidRPr="00011FE4">
        <w:t>Findings from</w:t>
      </w:r>
      <w:r w:rsidR="00BE7D55" w:rsidRPr="00011FE4">
        <w:t xml:space="preserve"> full</w:t>
      </w:r>
      <w:r w:rsidR="007732EF" w:rsidRPr="00011FE4">
        <w:t>-</w:t>
      </w:r>
      <w:r w:rsidR="00BE7D55" w:rsidRPr="00011FE4">
        <w:t>time, fina</w:t>
      </w:r>
      <w:r w:rsidR="007732EF" w:rsidRPr="00011FE4">
        <w:t>ncially supported</w:t>
      </w:r>
      <w:r w:rsidR="00A21C2D" w:rsidRPr="00011FE4">
        <w:t xml:space="preserve"> under</w:t>
      </w:r>
      <w:r w:rsidR="00BE7D55" w:rsidRPr="00011FE4">
        <w:t>graduates may not translate, for example, to part</w:t>
      </w:r>
      <w:r w:rsidR="007732EF" w:rsidRPr="00011FE4">
        <w:t>-</w:t>
      </w:r>
      <w:r w:rsidR="00BE7D55" w:rsidRPr="00011FE4">
        <w:t xml:space="preserve">time doctoral students on low incomes. Institutional culture </w:t>
      </w:r>
      <w:r w:rsidR="006748B7" w:rsidRPr="00011FE4">
        <w:t>and belonging</w:t>
      </w:r>
      <w:r w:rsidR="00BE7D55" w:rsidRPr="00011FE4">
        <w:t xml:space="preserve"> were</w:t>
      </w:r>
      <w:r w:rsidR="000E22FA" w:rsidRPr="00011FE4">
        <w:t xml:space="preserve"> identified as</w:t>
      </w:r>
      <w:r w:rsidR="00BE7D55" w:rsidRPr="00011FE4">
        <w:t xml:space="preserve"> important </w:t>
      </w:r>
      <w:r w:rsidR="000E22FA" w:rsidRPr="00011FE4">
        <w:t>aspects</w:t>
      </w:r>
      <w:r w:rsidR="00BE7D55" w:rsidRPr="00011FE4">
        <w:t xml:space="preserve"> of </w:t>
      </w:r>
      <w:r w:rsidR="00A21C2D" w:rsidRPr="00011FE4">
        <w:t>postgraduate</w:t>
      </w:r>
      <w:r w:rsidR="00BE7D55" w:rsidRPr="00011FE4">
        <w:t xml:space="preserve"> </w:t>
      </w:r>
      <w:r w:rsidR="006748B7" w:rsidRPr="00011FE4">
        <w:t>experience by Parker</w:t>
      </w:r>
      <w:r w:rsidR="00BE7D55" w:rsidRPr="00011FE4">
        <w:t xml:space="preserve">-Jenkins (2018) </w:t>
      </w:r>
      <w:r w:rsidR="006748B7" w:rsidRPr="00011FE4">
        <w:t>and Camacho</w:t>
      </w:r>
      <w:r w:rsidR="00BE7D55" w:rsidRPr="00011FE4">
        <w:t xml:space="preserve"> et al. (2017).</w:t>
      </w:r>
      <w:r w:rsidR="002717A1" w:rsidRPr="00011FE4">
        <w:t xml:space="preserve"> </w:t>
      </w:r>
      <w:r w:rsidR="00161EBE" w:rsidRPr="00011FE4">
        <w:t xml:space="preserve">Belonging encompasses spaces </w:t>
      </w:r>
      <w:r w:rsidRPr="00011FE4">
        <w:t>beyond classrooms</w:t>
      </w:r>
      <w:r w:rsidR="00161EBE" w:rsidRPr="00011FE4">
        <w:t xml:space="preserve"> </w:t>
      </w:r>
      <w:r w:rsidR="00A21C2D" w:rsidRPr="00011FE4">
        <w:t>(</w:t>
      </w:r>
      <w:proofErr w:type="spellStart"/>
      <w:r w:rsidR="00A21C2D" w:rsidRPr="00011FE4">
        <w:t>Hanesworth</w:t>
      </w:r>
      <w:proofErr w:type="spellEnd"/>
      <w:r w:rsidR="00A21C2D" w:rsidRPr="00011FE4">
        <w:t>, 2015;</w:t>
      </w:r>
      <w:r w:rsidR="00742229" w:rsidRPr="00011FE4">
        <w:t xml:space="preserve"> </w:t>
      </w:r>
      <w:proofErr w:type="spellStart"/>
      <w:r w:rsidR="00161EBE" w:rsidRPr="00011FE4">
        <w:t>Madriaga</w:t>
      </w:r>
      <w:proofErr w:type="spellEnd"/>
      <w:r w:rsidR="00161EBE" w:rsidRPr="00011FE4">
        <w:t xml:space="preserve"> et al.</w:t>
      </w:r>
      <w:r w:rsidR="00A21C2D" w:rsidRPr="00011FE4">
        <w:t>,</w:t>
      </w:r>
      <w:r w:rsidR="00161EBE" w:rsidRPr="00011FE4">
        <w:t xml:space="preserve"> 2008).</w:t>
      </w:r>
    </w:p>
    <w:p w14:paraId="3A0643EB" w14:textId="704142DC" w:rsidR="009070BA" w:rsidRPr="00011FE4" w:rsidRDefault="005A6611" w:rsidP="005A6611">
      <w:r w:rsidRPr="00011FE4">
        <w:t xml:space="preserve">Moore </w:t>
      </w:r>
      <w:r w:rsidR="00EE1D24" w:rsidRPr="00011FE4">
        <w:t>et al.</w:t>
      </w:r>
      <w:r w:rsidR="000D0DD4" w:rsidRPr="00011FE4">
        <w:t xml:space="preserve"> </w:t>
      </w:r>
      <w:r w:rsidRPr="00011FE4">
        <w:t>(201</w:t>
      </w:r>
      <w:r w:rsidR="002A24B7" w:rsidRPr="00011FE4">
        <w:t>7</w:t>
      </w:r>
      <w:r w:rsidRPr="00011FE4">
        <w:t>) contend that strategic initiatives are often underpinned by smaller</w:t>
      </w:r>
      <w:r w:rsidR="007732EF" w:rsidRPr="00011FE4">
        <w:t>-</w:t>
      </w:r>
      <w:r w:rsidRPr="00011FE4">
        <w:t xml:space="preserve">scale responses to critical issues which can act </w:t>
      </w:r>
      <w:r w:rsidR="006C4B9F" w:rsidRPr="00011FE4">
        <w:t>as ‘Trojan</w:t>
      </w:r>
      <w:r w:rsidRPr="00011FE4">
        <w:t xml:space="preserve"> Horses’ (p</w:t>
      </w:r>
      <w:r w:rsidR="005B50EE" w:rsidRPr="00011FE4">
        <w:t>.</w:t>
      </w:r>
      <w:r w:rsidRPr="00011FE4">
        <w:t xml:space="preserve">43).  The six faculty members who contributed to their study all had </w:t>
      </w:r>
      <w:r w:rsidR="006C4B9F" w:rsidRPr="00011FE4">
        <w:t>difficulty mobilising</w:t>
      </w:r>
      <w:r w:rsidRPr="00011FE4">
        <w:t xml:space="preserve"> their </w:t>
      </w:r>
      <w:r w:rsidR="006C4B9F" w:rsidRPr="00011FE4">
        <w:t>Trojan</w:t>
      </w:r>
      <w:r w:rsidRPr="00011FE4">
        <w:t xml:space="preserve"> Horse sufficiently to break through walls dividing operational activity and institutional strategy.</w:t>
      </w:r>
    </w:p>
    <w:p w14:paraId="4708F801" w14:textId="1F0B1270" w:rsidR="005A6611" w:rsidRPr="00011FE4" w:rsidRDefault="118435A4" w:rsidP="005A6611">
      <w:r w:rsidRPr="00011FE4">
        <w:t xml:space="preserve">Despite almost ubiquitous compulsory online equalities training, Williams et al. (2017) found practical UDL-focussed professional development patchy and not necessarily embedded in broader policy. </w:t>
      </w:r>
      <w:r w:rsidRPr="00011FE4">
        <w:rPr>
          <w:rFonts w:eastAsia="Arial"/>
        </w:rPr>
        <w:t xml:space="preserve"> </w:t>
      </w:r>
      <w:r w:rsidRPr="00011FE4">
        <w:t>Over seven thousand participants joined Draffan et al.’s (2017b) Massive Open Online Course on Digital Accessibility and Inclusive Teaching and Learning Environments. Web-based learning provides useful information but limited opportunity for networking. Generating</w:t>
      </w:r>
      <w:r w:rsidRPr="00011FE4">
        <w:rPr>
          <w:rFonts w:eastAsia="Arial"/>
        </w:rPr>
        <w:t xml:space="preserve"> partnerships</w:t>
      </w:r>
      <w:r w:rsidRPr="00011FE4">
        <w:t xml:space="preserve"> underpins the UD – License to Learn Erasmus+ project (Draffan et al., 2017b) covering collaboration, institutional structures, key </w:t>
      </w:r>
      <w:proofErr w:type="gramStart"/>
      <w:r w:rsidRPr="00011FE4">
        <w:t>players</w:t>
      </w:r>
      <w:proofErr w:type="gramEnd"/>
      <w:r w:rsidRPr="00011FE4">
        <w:t xml:space="preserve"> and student involvement. NADP runs highly regarded inclusion-focussed international conferences. PS staff are well represented but lecturers and senior leaders rarely attend. Including all personnel who impact on student </w:t>
      </w:r>
      <w:r w:rsidRPr="00011FE4">
        <w:lastRenderedPageBreak/>
        <w:t xml:space="preserve">experience is complicated when some workers are contracted by external agencies. Milton et al. (2017) expressed disquiet about preparedness and supervision of DSA funded mentors employed by agencies to work with autistic students.   Evaluating long-term impacts of development activities (beyond immediate satisfaction with the chocolate biscuits) was emphasised by </w:t>
      </w:r>
      <w:proofErr w:type="spellStart"/>
      <w:r w:rsidRPr="00011FE4">
        <w:t>Kneale</w:t>
      </w:r>
      <w:proofErr w:type="spellEnd"/>
      <w:r w:rsidRPr="00011FE4">
        <w:t xml:space="preserve"> et al. (2016) who concluded that this rarely occurs.</w:t>
      </w:r>
      <w:r w:rsidRPr="00011FE4">
        <w:rPr>
          <w:rFonts w:eastAsia="Arial"/>
        </w:rPr>
        <w:t xml:space="preserve"> </w:t>
      </w:r>
      <w:r w:rsidRPr="00011FE4">
        <w:t xml:space="preserve"> </w:t>
      </w:r>
    </w:p>
    <w:p w14:paraId="15A4D2EB" w14:textId="5CBAB455" w:rsidR="005A6611" w:rsidRPr="00011FE4" w:rsidRDefault="118435A4" w:rsidP="00235691">
      <w:r w:rsidRPr="00011FE4">
        <w:t>Assessing efficacy of developments is challenging without effective tools (Draffan et al., 2017a). Despite the lack of statutory protocols, some useful resources exist, a representative sample of which is discussed in the next section.</w:t>
      </w:r>
    </w:p>
    <w:p w14:paraId="559103C8" w14:textId="77777777" w:rsidR="005A6611" w:rsidRPr="00011FE4" w:rsidRDefault="005A6611" w:rsidP="005A6611">
      <w:pPr>
        <w:pStyle w:val="Heading3"/>
        <w:rPr>
          <w:rFonts w:cs="Arial"/>
        </w:rPr>
      </w:pPr>
      <w:bookmarkStart w:id="4" w:name="_Toc7006873"/>
      <w:r w:rsidRPr="00011FE4">
        <w:rPr>
          <w:rFonts w:cs="Arial"/>
        </w:rPr>
        <w:t>Tools for Baselining</w:t>
      </w:r>
      <w:bookmarkEnd w:id="4"/>
      <w:r w:rsidRPr="00011FE4">
        <w:rPr>
          <w:rFonts w:cs="Arial"/>
        </w:rPr>
        <w:t xml:space="preserve"> and Comparison </w:t>
      </w:r>
    </w:p>
    <w:p w14:paraId="62644645" w14:textId="7960620E" w:rsidR="00E0005C" w:rsidRPr="00011FE4" w:rsidRDefault="118435A4" w:rsidP="00E0005C">
      <w:r w:rsidRPr="00011FE4">
        <w:t xml:space="preserve">Without uniform baseline documents that lay out tangible UDL standards to inform planning and facilitate evaluation and comparison, progress is difficult to assess (Draffan et al., 2017a).   </w:t>
      </w:r>
    </w:p>
    <w:p w14:paraId="379B4495" w14:textId="450E5C7D" w:rsidR="002717A1" w:rsidRPr="00011FE4" w:rsidRDefault="118435A4" w:rsidP="00235691">
      <w:r w:rsidRPr="00011FE4">
        <w:t>Tools for international comparison are a faraway dream although the UNRPD has potential. Standards with sectoral currency include: The UK Teaching Excellence Framework (TEF) (Department for Education, 2017; Wood and Su, 2017) and Access and Participation Statement (APS) (UK Office for Students, 2018), and reporting demanded by equalities legislation. Eighty-nine HEI Programme Directors contributed to Massie’s (2018) study, which concluded that pivotal staff were inadequately prepared to understand TEF in relation to student experience, APS is not detailed about post-admission strategies, and equalities reporting is often vague.  ‘Licence to Learn’ (UDLL</w:t>
      </w:r>
      <w:r w:rsidR="00024CFD" w:rsidRPr="00011FE4">
        <w:t xml:space="preserve"> Partnership, 2017</w:t>
      </w:r>
      <w:r w:rsidRPr="00011FE4">
        <w:t>) guidelines were developed by a European initiative involving stakeholders in creating an instrument to underpin ‘a sustainable and coherent policy through clear visions and strategies’</w:t>
      </w:r>
      <w:r w:rsidR="00024CFD" w:rsidRPr="00011FE4">
        <w:t xml:space="preserve"> (ibid.)</w:t>
      </w:r>
      <w:r w:rsidRPr="00011FE4">
        <w:t xml:space="preserve"> The following series of generic questions was included to enable comparison within and between universities:</w:t>
      </w:r>
    </w:p>
    <w:p w14:paraId="5AA2DEE5" w14:textId="6D9DFED6" w:rsidR="002717A1" w:rsidRPr="00011FE4" w:rsidRDefault="002717A1" w:rsidP="00235691">
      <w:pPr>
        <w:pStyle w:val="ListParagraph"/>
        <w:numPr>
          <w:ilvl w:val="0"/>
          <w:numId w:val="11"/>
        </w:numPr>
      </w:pPr>
      <w:r w:rsidRPr="00011FE4">
        <w:t>Do you have an over-arching institutional policy for inclusive teaching and learning?</w:t>
      </w:r>
    </w:p>
    <w:p w14:paraId="354DDE12" w14:textId="77777777" w:rsidR="002717A1" w:rsidRPr="00011FE4" w:rsidRDefault="002717A1" w:rsidP="00235691">
      <w:pPr>
        <w:pStyle w:val="ListParagraph"/>
        <w:numPr>
          <w:ilvl w:val="0"/>
          <w:numId w:val="11"/>
        </w:numPr>
      </w:pPr>
      <w:r w:rsidRPr="00011FE4">
        <w:t>Are you using the expert knowledge of the diverse learner?</w:t>
      </w:r>
    </w:p>
    <w:p w14:paraId="074D1B14" w14:textId="77777777" w:rsidR="002717A1" w:rsidRPr="00011FE4" w:rsidRDefault="002717A1" w:rsidP="00235691">
      <w:pPr>
        <w:pStyle w:val="ListParagraph"/>
        <w:numPr>
          <w:ilvl w:val="0"/>
          <w:numId w:val="11"/>
        </w:numPr>
      </w:pPr>
      <w:r w:rsidRPr="00011FE4">
        <w:t>Is a clear and challenging vision for UDL understood by all?</w:t>
      </w:r>
    </w:p>
    <w:p w14:paraId="34148D22" w14:textId="77777777" w:rsidR="002717A1" w:rsidRPr="00011FE4" w:rsidRDefault="002717A1" w:rsidP="00235691">
      <w:pPr>
        <w:pStyle w:val="ListParagraph"/>
        <w:numPr>
          <w:ilvl w:val="0"/>
          <w:numId w:val="11"/>
        </w:numPr>
      </w:pPr>
      <w:r w:rsidRPr="00011FE4">
        <w:t>Have sustainable strategies at all levels been implemented?</w:t>
      </w:r>
    </w:p>
    <w:p w14:paraId="1377140A" w14:textId="77777777" w:rsidR="002717A1" w:rsidRPr="00011FE4" w:rsidRDefault="002717A1" w:rsidP="00235691">
      <w:pPr>
        <w:pStyle w:val="ListParagraph"/>
        <w:numPr>
          <w:ilvl w:val="0"/>
          <w:numId w:val="11"/>
        </w:numPr>
      </w:pPr>
      <w:r w:rsidRPr="00011FE4">
        <w:t>Have you developed action plans for implementation coherent with budgets and other important plans?</w:t>
      </w:r>
    </w:p>
    <w:p w14:paraId="5A48906F" w14:textId="77777777" w:rsidR="002717A1" w:rsidRPr="00011FE4" w:rsidRDefault="002717A1" w:rsidP="00235691">
      <w:pPr>
        <w:pStyle w:val="ListParagraph"/>
        <w:numPr>
          <w:ilvl w:val="0"/>
          <w:numId w:val="11"/>
        </w:numPr>
      </w:pPr>
      <w:r w:rsidRPr="00011FE4">
        <w:t xml:space="preserve">Have you used/developed a system for evaluation and quality assurance? </w:t>
      </w:r>
    </w:p>
    <w:p w14:paraId="2CD9D322" w14:textId="62B250E6" w:rsidR="002717A1" w:rsidRPr="00011FE4" w:rsidRDefault="002717A1" w:rsidP="00235691">
      <w:pPr>
        <w:pStyle w:val="ListParagraph"/>
        <w:numPr>
          <w:ilvl w:val="0"/>
          <w:numId w:val="11"/>
        </w:numPr>
      </w:pPr>
      <w:r w:rsidRPr="00011FE4">
        <w:t>Can your policies, procedures and systems for evaluation with outcomes be internally and externally scrutinised?</w:t>
      </w:r>
      <w:r w:rsidR="005A6611" w:rsidRPr="00011FE4">
        <w:t>’</w:t>
      </w:r>
      <w:r w:rsidRPr="00011FE4">
        <w:t xml:space="preserve">  </w:t>
      </w:r>
    </w:p>
    <w:p w14:paraId="14607752" w14:textId="2DB599DA" w:rsidR="00DF60C1" w:rsidRPr="00011FE4" w:rsidRDefault="118435A4" w:rsidP="118435A4">
      <w:pPr>
        <w:ind w:left="5760"/>
      </w:pPr>
      <w:r w:rsidRPr="00011FE4">
        <w:t>(</w:t>
      </w:r>
      <w:r w:rsidRPr="00011FE4">
        <w:rPr>
          <w:rFonts w:eastAsia="Arial"/>
        </w:rPr>
        <w:t>UDLL Partnership</w:t>
      </w:r>
      <w:r w:rsidRPr="00011FE4">
        <w:t xml:space="preserve">, 2017). </w:t>
      </w:r>
    </w:p>
    <w:p w14:paraId="1264E53A" w14:textId="660AF72E" w:rsidR="00F0172E" w:rsidRPr="00011FE4" w:rsidRDefault="00E04B3A" w:rsidP="00235691">
      <w:r w:rsidRPr="00011FE4">
        <w:t xml:space="preserve"> </w:t>
      </w:r>
    </w:p>
    <w:p w14:paraId="60BA0CAE" w14:textId="10E95A3E" w:rsidR="003F4A68" w:rsidRPr="00011FE4" w:rsidRDefault="00F0172E" w:rsidP="00EE1CB0">
      <w:r w:rsidRPr="00011FE4">
        <w:t>Baseline standards for inclusi</w:t>
      </w:r>
      <w:r w:rsidR="009D3F96" w:rsidRPr="00011FE4">
        <w:t>on</w:t>
      </w:r>
      <w:r w:rsidR="00267EED" w:rsidRPr="00011FE4">
        <w:t>, open to public scrutiny</w:t>
      </w:r>
      <w:r w:rsidR="00CC128F" w:rsidRPr="00011FE4">
        <w:t>,</w:t>
      </w:r>
      <w:r w:rsidRPr="00011FE4">
        <w:t xml:space="preserve"> already exist in UK </w:t>
      </w:r>
      <w:r w:rsidR="006C4B9F" w:rsidRPr="00011FE4">
        <w:t>schools, and</w:t>
      </w:r>
      <w:r w:rsidRPr="00011FE4">
        <w:t xml:space="preserve"> </w:t>
      </w:r>
      <w:r w:rsidR="00267EED" w:rsidRPr="00011FE4">
        <w:t>may</w:t>
      </w:r>
      <w:r w:rsidRPr="00011FE4">
        <w:t xml:space="preserve"> have something to </w:t>
      </w:r>
      <w:r w:rsidR="006748B7" w:rsidRPr="00011FE4">
        <w:t>offer HE</w:t>
      </w:r>
      <w:r w:rsidRPr="00011FE4">
        <w:t xml:space="preserve">. Key documents include:  </w:t>
      </w:r>
      <w:r w:rsidR="000D0DD4" w:rsidRPr="00011FE4">
        <w:rPr>
          <w:i/>
          <w:iCs/>
        </w:rPr>
        <w:t>Teachers’ Standards: Guidance for School Leaders, School Staff and Governing Bodies</w:t>
      </w:r>
      <w:r w:rsidR="000D0DD4" w:rsidRPr="00011FE4">
        <w:rPr>
          <w:i/>
        </w:rPr>
        <w:t xml:space="preserve"> </w:t>
      </w:r>
      <w:r w:rsidRPr="00011FE4">
        <w:t xml:space="preserve">(Department for Education, 2011), </w:t>
      </w:r>
      <w:r w:rsidRPr="00011FE4">
        <w:rPr>
          <w:i/>
        </w:rPr>
        <w:t>School inspection handbook</w:t>
      </w:r>
      <w:r w:rsidRPr="00011FE4">
        <w:t xml:space="preserve"> (Ofsted, 2018), </w:t>
      </w:r>
      <w:r w:rsidRPr="00011FE4">
        <w:rPr>
          <w:i/>
        </w:rPr>
        <w:t>Special Educational Needs and Disability Code of Practice</w:t>
      </w:r>
      <w:r w:rsidR="006748B7" w:rsidRPr="00011FE4">
        <w:t xml:space="preserve"> (</w:t>
      </w:r>
      <w:r w:rsidRPr="00011FE4">
        <w:t xml:space="preserve">Department for Education, 2015) and </w:t>
      </w:r>
      <w:r w:rsidRPr="00011FE4">
        <w:rPr>
          <w:i/>
        </w:rPr>
        <w:t>Children and Families Act</w:t>
      </w:r>
      <w:r w:rsidRPr="00011FE4">
        <w:t xml:space="preserve"> (2014)</w:t>
      </w:r>
      <w:r w:rsidR="00B659E4" w:rsidRPr="00011FE4">
        <w:t>, which includes arrangements for transition</w:t>
      </w:r>
      <w:r w:rsidR="00B60193" w:rsidRPr="00011FE4">
        <w:t xml:space="preserve"> beyond school</w:t>
      </w:r>
      <w:r w:rsidRPr="00011FE4">
        <w:t xml:space="preserve">.   ‘Quality First Teaching’ and a ‘Graduated Approach’ </w:t>
      </w:r>
      <w:r w:rsidR="009D3F96" w:rsidRPr="00011FE4">
        <w:t>describe</w:t>
      </w:r>
      <w:r w:rsidRPr="00011FE4">
        <w:t xml:space="preserve"> common </w:t>
      </w:r>
      <w:r w:rsidR="006748B7" w:rsidRPr="00011FE4">
        <w:t>principles to</w:t>
      </w:r>
      <w:r w:rsidRPr="00011FE4">
        <w:t xml:space="preserve"> ensure </w:t>
      </w:r>
      <w:r w:rsidR="006748B7" w:rsidRPr="00011FE4">
        <w:t>that all</w:t>
      </w:r>
      <w:r w:rsidRPr="00011FE4">
        <w:t xml:space="preserve"> learners are factored into school culture, </w:t>
      </w:r>
      <w:proofErr w:type="gramStart"/>
      <w:r w:rsidRPr="00011FE4">
        <w:t>strategy</w:t>
      </w:r>
      <w:proofErr w:type="gramEnd"/>
      <w:r w:rsidRPr="00011FE4">
        <w:t xml:space="preserve"> and planning (NASEN, 2015).   </w:t>
      </w:r>
    </w:p>
    <w:p w14:paraId="051CA605" w14:textId="03B2F993" w:rsidR="00A93FFB" w:rsidRPr="00011FE4" w:rsidRDefault="00EE1CB0" w:rsidP="00A93FFB">
      <w:r w:rsidRPr="00011FE4">
        <w:rPr>
          <w:rFonts w:eastAsia="Arial"/>
        </w:rPr>
        <w:t xml:space="preserve"> A Quality Assurance </w:t>
      </w:r>
      <w:r w:rsidR="00962994" w:rsidRPr="00011FE4">
        <w:rPr>
          <w:rFonts w:eastAsia="Arial"/>
        </w:rPr>
        <w:t>Framework</w:t>
      </w:r>
      <w:r w:rsidR="006748B7" w:rsidRPr="00011FE4">
        <w:rPr>
          <w:rFonts w:eastAsia="Arial"/>
        </w:rPr>
        <w:t xml:space="preserve"> (</w:t>
      </w:r>
      <w:r w:rsidRPr="00011FE4">
        <w:rPr>
          <w:rFonts w:eastAsia="Arial"/>
        </w:rPr>
        <w:t>QAF)</w:t>
      </w:r>
      <w:r w:rsidR="00B60193" w:rsidRPr="00011FE4">
        <w:rPr>
          <w:rFonts w:eastAsia="Arial"/>
        </w:rPr>
        <w:t xml:space="preserve"> was recently developed</w:t>
      </w:r>
      <w:r w:rsidR="00135707" w:rsidRPr="00011FE4">
        <w:rPr>
          <w:rFonts w:eastAsia="Arial"/>
        </w:rPr>
        <w:t xml:space="preserve"> by DSA-QAG </w:t>
      </w:r>
      <w:r w:rsidR="005B50EE" w:rsidRPr="00011FE4">
        <w:rPr>
          <w:rFonts w:eastAsia="Arial"/>
        </w:rPr>
        <w:t>(</w:t>
      </w:r>
      <w:r w:rsidR="00135707" w:rsidRPr="00011FE4">
        <w:rPr>
          <w:rFonts w:eastAsia="Arial"/>
        </w:rPr>
        <w:t>2018b</w:t>
      </w:r>
      <w:r w:rsidR="005B50EE" w:rsidRPr="00011FE4">
        <w:rPr>
          <w:rFonts w:eastAsia="Arial"/>
        </w:rPr>
        <w:t>)</w:t>
      </w:r>
      <w:r w:rsidR="00135707" w:rsidRPr="00011FE4">
        <w:rPr>
          <w:rFonts w:eastAsia="Arial"/>
        </w:rPr>
        <w:t xml:space="preserve"> </w:t>
      </w:r>
      <w:r w:rsidRPr="00011FE4">
        <w:rPr>
          <w:rFonts w:eastAsia="Arial"/>
        </w:rPr>
        <w:t>which applie</w:t>
      </w:r>
      <w:r w:rsidR="00FE3AC8" w:rsidRPr="00011FE4">
        <w:rPr>
          <w:rFonts w:eastAsia="Arial"/>
        </w:rPr>
        <w:t>d</w:t>
      </w:r>
      <w:r w:rsidRPr="00011FE4">
        <w:rPr>
          <w:rFonts w:eastAsia="Arial"/>
        </w:rPr>
        <w:t xml:space="preserve"> </w:t>
      </w:r>
      <w:r w:rsidR="006748B7" w:rsidRPr="00011FE4">
        <w:rPr>
          <w:rFonts w:eastAsia="Arial"/>
        </w:rPr>
        <w:t>to staff</w:t>
      </w:r>
      <w:r w:rsidRPr="00011FE4">
        <w:rPr>
          <w:rFonts w:eastAsia="Arial"/>
        </w:rPr>
        <w:t xml:space="preserve"> contracted to suppo</w:t>
      </w:r>
      <w:r w:rsidR="00962994" w:rsidRPr="00011FE4">
        <w:rPr>
          <w:rFonts w:eastAsia="Arial"/>
        </w:rPr>
        <w:t>rt individual disabled students</w:t>
      </w:r>
      <w:r w:rsidR="00135707" w:rsidRPr="00011FE4">
        <w:rPr>
          <w:rFonts w:eastAsia="Arial"/>
        </w:rPr>
        <w:t>. DSA</w:t>
      </w:r>
      <w:r w:rsidR="005B50EE" w:rsidRPr="00011FE4">
        <w:rPr>
          <w:rFonts w:eastAsia="Arial"/>
        </w:rPr>
        <w:t>-</w:t>
      </w:r>
      <w:proofErr w:type="gramStart"/>
      <w:r w:rsidR="00135707" w:rsidRPr="00011FE4">
        <w:rPr>
          <w:rFonts w:eastAsia="Arial"/>
        </w:rPr>
        <w:t>QAG  closed</w:t>
      </w:r>
      <w:proofErr w:type="gramEnd"/>
      <w:r w:rsidR="00135707" w:rsidRPr="00011FE4">
        <w:rPr>
          <w:rFonts w:eastAsia="Arial"/>
        </w:rPr>
        <w:t xml:space="preserve"> at the end of 2019 so arrangements were in flux at the time of writing</w:t>
      </w:r>
      <w:r w:rsidR="005B50EE" w:rsidRPr="00011FE4">
        <w:rPr>
          <w:rFonts w:eastAsia="Arial"/>
        </w:rPr>
        <w:t xml:space="preserve"> (</w:t>
      </w:r>
      <w:proofErr w:type="spellStart"/>
      <w:r w:rsidR="005B50EE" w:rsidRPr="00011FE4">
        <w:rPr>
          <w:rFonts w:eastAsia="Arial"/>
        </w:rPr>
        <w:t>Patoss</w:t>
      </w:r>
      <w:proofErr w:type="spellEnd"/>
      <w:r w:rsidR="005B50EE" w:rsidRPr="00011FE4">
        <w:rPr>
          <w:rFonts w:eastAsia="Arial"/>
        </w:rPr>
        <w:t>, 2019)</w:t>
      </w:r>
      <w:r w:rsidR="00135707" w:rsidRPr="00011FE4">
        <w:t>.</w:t>
      </w:r>
      <w:r w:rsidRPr="00011FE4">
        <w:rPr>
          <w:rFonts w:eastAsia="Arial"/>
        </w:rPr>
        <w:t xml:space="preserve"> </w:t>
      </w:r>
      <w:r w:rsidR="00A93FFB" w:rsidRPr="00011FE4">
        <w:t>UK</w:t>
      </w:r>
      <w:r w:rsidR="002717A1" w:rsidRPr="00011FE4">
        <w:t xml:space="preserve"> </w:t>
      </w:r>
      <w:r w:rsidR="00962994" w:rsidRPr="00011FE4">
        <w:t>p</w:t>
      </w:r>
      <w:r w:rsidR="00A93FFB" w:rsidRPr="00011FE4">
        <w:t xml:space="preserve">rofessional bodies </w:t>
      </w:r>
      <w:r w:rsidR="00A93FFB" w:rsidRPr="00011FE4">
        <w:lastRenderedPageBreak/>
        <w:t xml:space="preserve">have collaborated on </w:t>
      </w:r>
      <w:r w:rsidR="006748B7" w:rsidRPr="00011FE4">
        <w:t>guidance</w:t>
      </w:r>
      <w:r w:rsidR="00CC128F" w:rsidRPr="00011FE4">
        <w:t xml:space="preserve"> </w:t>
      </w:r>
      <w:r w:rsidR="006C4B9F" w:rsidRPr="00011FE4">
        <w:t>about reasonable</w:t>
      </w:r>
      <w:r w:rsidR="00A93FFB" w:rsidRPr="00011FE4">
        <w:t xml:space="preserve"> adjustments </w:t>
      </w:r>
      <w:r w:rsidR="00B60193" w:rsidRPr="00011FE4">
        <w:t>on specific vocational courses</w:t>
      </w:r>
      <w:r w:rsidR="00A93FFB" w:rsidRPr="00011FE4">
        <w:t xml:space="preserve"> (Advance HE </w:t>
      </w:r>
      <w:r w:rsidR="00962994" w:rsidRPr="00011FE4">
        <w:t>[</w:t>
      </w:r>
      <w:r w:rsidR="00A93FFB" w:rsidRPr="00011FE4">
        <w:t>pre</w:t>
      </w:r>
      <w:r w:rsidR="00962994" w:rsidRPr="00011FE4">
        <w:t>viously Equality Challenge Unit]</w:t>
      </w:r>
      <w:r w:rsidR="00A93FFB" w:rsidRPr="00011FE4">
        <w:t xml:space="preserve"> 2015). </w:t>
      </w:r>
      <w:r w:rsidR="006462AC" w:rsidRPr="00011FE4">
        <w:rPr>
          <w:rFonts w:eastAsia="Arial"/>
        </w:rPr>
        <w:t xml:space="preserve">These initiatives are </w:t>
      </w:r>
      <w:r w:rsidR="00CC128F" w:rsidRPr="00011FE4">
        <w:rPr>
          <w:rFonts w:eastAsia="Arial"/>
        </w:rPr>
        <w:t xml:space="preserve">a </w:t>
      </w:r>
      <w:r w:rsidR="006462AC" w:rsidRPr="00011FE4">
        <w:rPr>
          <w:rFonts w:eastAsia="Arial"/>
        </w:rPr>
        <w:t xml:space="preserve">small part of a bigger jigsaw but potentially </w:t>
      </w:r>
      <w:r w:rsidR="00B60193" w:rsidRPr="00011FE4">
        <w:rPr>
          <w:rFonts w:eastAsia="Arial"/>
        </w:rPr>
        <w:t>facilitate specific aspects of comparison</w:t>
      </w:r>
      <w:r w:rsidR="006462AC" w:rsidRPr="00011FE4">
        <w:rPr>
          <w:rFonts w:eastAsia="Arial"/>
        </w:rPr>
        <w:t xml:space="preserve">.  </w:t>
      </w:r>
    </w:p>
    <w:p w14:paraId="51A11609" w14:textId="1204D146" w:rsidR="002717A1" w:rsidRPr="00011FE4" w:rsidRDefault="00B60193" w:rsidP="00235691">
      <w:r w:rsidRPr="00011FE4">
        <w:t>D</w:t>
      </w:r>
      <w:r w:rsidR="006748B7" w:rsidRPr="00011FE4">
        <w:t>istinguish</w:t>
      </w:r>
      <w:r w:rsidRPr="00011FE4">
        <w:t>ing</w:t>
      </w:r>
      <w:r w:rsidR="00F0172E" w:rsidRPr="00011FE4">
        <w:t xml:space="preserve"> between evaluating high-level institutional goals and specific </w:t>
      </w:r>
      <w:r w:rsidR="0021141E" w:rsidRPr="00011FE4">
        <w:t>micro</w:t>
      </w:r>
      <w:r w:rsidR="00962994" w:rsidRPr="00011FE4">
        <w:t>-</w:t>
      </w:r>
      <w:r w:rsidR="0021141E" w:rsidRPr="00011FE4">
        <w:t>level initiatives</w:t>
      </w:r>
      <w:r w:rsidRPr="00011FE4">
        <w:t xml:space="preserve"> is advocated by Bromley (2009)</w:t>
      </w:r>
      <w:r w:rsidR="00962994" w:rsidRPr="00011FE4">
        <w:t>,</w:t>
      </w:r>
      <w:r w:rsidRPr="00011FE4">
        <w:t xml:space="preserve"> who devised</w:t>
      </w:r>
      <w:r w:rsidR="00F0172E" w:rsidRPr="00011FE4">
        <w:t xml:space="preserve"> a levels system </w:t>
      </w:r>
      <w:r w:rsidR="00CC128F" w:rsidRPr="00011FE4">
        <w:t>with</w:t>
      </w:r>
      <w:r w:rsidRPr="00011FE4">
        <w:t xml:space="preserve"> question sets</w:t>
      </w:r>
      <w:r w:rsidR="00CC128F" w:rsidRPr="00011FE4">
        <w:t xml:space="preserve"> which differentiate</w:t>
      </w:r>
      <w:r w:rsidR="00F0172E" w:rsidRPr="00011FE4">
        <w:t xml:space="preserve"> between </w:t>
      </w:r>
      <w:r w:rsidRPr="00011FE4">
        <w:t xml:space="preserve">strategic and </w:t>
      </w:r>
      <w:r w:rsidR="006C4B9F" w:rsidRPr="00011FE4">
        <w:t>small-scale</w:t>
      </w:r>
      <w:r w:rsidRPr="00011FE4">
        <w:t xml:space="preserve"> project specific goals</w:t>
      </w:r>
      <w:r w:rsidR="00F0172E" w:rsidRPr="00011FE4">
        <w:t xml:space="preserve">. </w:t>
      </w:r>
    </w:p>
    <w:p w14:paraId="760B9DED" w14:textId="2153B203" w:rsidR="002717A1" w:rsidRPr="00011FE4" w:rsidRDefault="002717A1" w:rsidP="00235691">
      <w:r w:rsidRPr="00011FE4">
        <w:rPr>
          <w:rFonts w:eastAsia="Arial"/>
        </w:rPr>
        <w:t xml:space="preserve">General guidance </w:t>
      </w:r>
      <w:r w:rsidR="00DC20AB" w:rsidRPr="00011FE4">
        <w:rPr>
          <w:rFonts w:eastAsia="Arial"/>
        </w:rPr>
        <w:t>a</w:t>
      </w:r>
      <w:r w:rsidRPr="00011FE4">
        <w:rPr>
          <w:rFonts w:eastAsia="Arial"/>
        </w:rPr>
        <w:t xml:space="preserve">round evaluation </w:t>
      </w:r>
      <w:r w:rsidR="00DC20AB" w:rsidRPr="00011FE4">
        <w:rPr>
          <w:rFonts w:eastAsia="Arial"/>
        </w:rPr>
        <w:t>is</w:t>
      </w:r>
      <w:r w:rsidRPr="00011FE4">
        <w:rPr>
          <w:rFonts w:eastAsia="Arial"/>
        </w:rPr>
        <w:t xml:space="preserve"> provided within </w:t>
      </w:r>
      <w:r w:rsidR="00154F97" w:rsidRPr="00011FE4">
        <w:rPr>
          <w:rFonts w:eastAsia="Arial"/>
        </w:rPr>
        <w:t xml:space="preserve">TEF protocols and </w:t>
      </w:r>
      <w:r w:rsidRPr="00011FE4">
        <w:t xml:space="preserve">The UK Quality Code for Higher Education (Quality Assurance Agency for Higher Education, 2018).  </w:t>
      </w:r>
      <w:proofErr w:type="spellStart"/>
      <w:r w:rsidRPr="00011FE4">
        <w:t>Guskey</w:t>
      </w:r>
      <w:proofErr w:type="spellEnd"/>
      <w:r w:rsidRPr="00011FE4">
        <w:t xml:space="preserve"> (2000) </w:t>
      </w:r>
      <w:r w:rsidR="00ED2148" w:rsidRPr="00011FE4">
        <w:t>advocates defining</w:t>
      </w:r>
      <w:r w:rsidR="006748B7" w:rsidRPr="00011FE4">
        <w:t xml:space="preserve"> purpose</w:t>
      </w:r>
      <w:r w:rsidRPr="00011FE4">
        <w:t xml:space="preserve">, aims and context of any evaluation </w:t>
      </w:r>
      <w:r w:rsidR="001759C8" w:rsidRPr="00011FE4">
        <w:t>before</w:t>
      </w:r>
      <w:r w:rsidRPr="00011FE4">
        <w:t xml:space="preserve"> </w:t>
      </w:r>
      <w:r w:rsidR="006C4B9F" w:rsidRPr="00011FE4">
        <w:t>determining approach</w:t>
      </w:r>
      <w:r w:rsidRPr="00011FE4">
        <w:t xml:space="preserve"> and </w:t>
      </w:r>
      <w:r w:rsidR="0032019F" w:rsidRPr="00011FE4">
        <w:t>participat</w:t>
      </w:r>
      <w:r w:rsidR="00DC20AB" w:rsidRPr="00011FE4">
        <w:t>ion</w:t>
      </w:r>
      <w:r w:rsidR="0032019F" w:rsidRPr="00011FE4">
        <w:t xml:space="preserve">. </w:t>
      </w:r>
      <w:r w:rsidR="001759C8" w:rsidRPr="00011FE4">
        <w:t>L</w:t>
      </w:r>
      <w:r w:rsidRPr="00011FE4">
        <w:t xml:space="preserve">ongitudinal </w:t>
      </w:r>
      <w:r w:rsidR="001759C8" w:rsidRPr="00011FE4">
        <w:t>methods</w:t>
      </w:r>
      <w:r w:rsidRPr="00011FE4">
        <w:t xml:space="preserve"> </w:t>
      </w:r>
      <w:proofErr w:type="gramStart"/>
      <w:r w:rsidRPr="00011FE4">
        <w:t>in order to</w:t>
      </w:r>
      <w:proofErr w:type="gramEnd"/>
      <w:r w:rsidRPr="00011FE4">
        <w:t xml:space="preserve"> understand </w:t>
      </w:r>
      <w:r w:rsidR="0032019F" w:rsidRPr="00011FE4">
        <w:t>sustained</w:t>
      </w:r>
      <w:r w:rsidRPr="00011FE4">
        <w:t xml:space="preserve"> </w:t>
      </w:r>
      <w:r w:rsidR="006C4B9F" w:rsidRPr="00011FE4">
        <w:t>impact are</w:t>
      </w:r>
      <w:r w:rsidR="001759C8" w:rsidRPr="00011FE4">
        <w:t xml:space="preserve"> </w:t>
      </w:r>
      <w:r w:rsidRPr="00011FE4">
        <w:t xml:space="preserve">emphasised by </w:t>
      </w:r>
      <w:proofErr w:type="spellStart"/>
      <w:r w:rsidRPr="00011FE4">
        <w:t>Kneale</w:t>
      </w:r>
      <w:proofErr w:type="spellEnd"/>
      <w:r w:rsidRPr="00011FE4">
        <w:t xml:space="preserve"> et al. (2016) in </w:t>
      </w:r>
      <w:r w:rsidR="006748B7" w:rsidRPr="00011FE4">
        <w:t>their study</w:t>
      </w:r>
      <w:r w:rsidRPr="00011FE4">
        <w:t xml:space="preserve"> </w:t>
      </w:r>
      <w:r w:rsidR="0032019F" w:rsidRPr="00011FE4">
        <w:t>of</w:t>
      </w:r>
      <w:r w:rsidR="00962994" w:rsidRPr="00011FE4">
        <w:t xml:space="preserve"> effective</w:t>
      </w:r>
      <w:r w:rsidRPr="00011FE4">
        <w:t xml:space="preserve"> evaluat</w:t>
      </w:r>
      <w:r w:rsidR="0032019F" w:rsidRPr="00011FE4">
        <w:t>ion of</w:t>
      </w:r>
      <w:r w:rsidRPr="00011FE4">
        <w:t xml:space="preserve"> teaching development activities. </w:t>
      </w:r>
    </w:p>
    <w:p w14:paraId="436C783E" w14:textId="50A387CA" w:rsidR="004672A7" w:rsidRPr="00011FE4" w:rsidRDefault="002717A1" w:rsidP="004672A7">
      <w:r w:rsidRPr="00011FE4">
        <w:t xml:space="preserve">York St </w:t>
      </w:r>
      <w:r w:rsidR="006748B7" w:rsidRPr="00011FE4">
        <w:t>John’s Inclusive</w:t>
      </w:r>
      <w:r w:rsidRPr="00011FE4">
        <w:t xml:space="preserve"> Learning, Teaching and Assessment Framework (Wray, 2016) and Anglia </w:t>
      </w:r>
      <w:r w:rsidR="006748B7" w:rsidRPr="00011FE4">
        <w:t>Ruskin’s (</w:t>
      </w:r>
      <w:r w:rsidR="00B43BBF" w:rsidRPr="00011FE4">
        <w:t>2017</w:t>
      </w:r>
      <w:r w:rsidR="006748B7" w:rsidRPr="00011FE4">
        <w:t>) Inclusive</w:t>
      </w:r>
      <w:r w:rsidRPr="00011FE4">
        <w:t xml:space="preserve"> Teaching </w:t>
      </w:r>
      <w:r w:rsidR="006748B7" w:rsidRPr="00011FE4">
        <w:t>Checklist</w:t>
      </w:r>
      <w:r w:rsidR="006748B7" w:rsidRPr="00011FE4">
        <w:rPr>
          <w:vertAlign w:val="superscript"/>
        </w:rPr>
        <w:t xml:space="preserve"> </w:t>
      </w:r>
      <w:r w:rsidR="006748B7" w:rsidRPr="00011FE4">
        <w:t>provide</w:t>
      </w:r>
      <w:r w:rsidRPr="00011FE4">
        <w:t xml:space="preserve"> institutional specific benchmarks.</w:t>
      </w:r>
      <w:r w:rsidR="004672A7" w:rsidRPr="00011FE4">
        <w:t xml:space="preserve"> Wray’s (2016</w:t>
      </w:r>
      <w:r w:rsidR="006C4B9F" w:rsidRPr="00011FE4">
        <w:t>) developmental</w:t>
      </w:r>
      <w:r w:rsidR="004672A7" w:rsidRPr="00011FE4">
        <w:t xml:space="preserve"> model is based on four dimensions against which to assess progress towards UDL. It facilitates self-assessment, identification of good practice, action planning and collaborati</w:t>
      </w:r>
      <w:r w:rsidR="00962994" w:rsidRPr="00011FE4">
        <w:t>on within and beyond single HEI</w:t>
      </w:r>
      <w:r w:rsidR="004672A7" w:rsidRPr="00011FE4">
        <w:t>s. A template for inclusive practice covering the whole student journey from pre</w:t>
      </w:r>
      <w:r w:rsidR="00962994" w:rsidRPr="00011FE4">
        <w:t>-</w:t>
      </w:r>
      <w:r w:rsidR="004672A7" w:rsidRPr="00011FE4">
        <w:t>entry to post</w:t>
      </w:r>
      <w:r w:rsidR="00962994" w:rsidRPr="00011FE4">
        <w:t>-</w:t>
      </w:r>
      <w:r w:rsidR="004672A7" w:rsidRPr="00011FE4">
        <w:t>exit was developed by NADP (Martin</w:t>
      </w:r>
      <w:r w:rsidR="00962994" w:rsidRPr="00011FE4">
        <w:t>,</w:t>
      </w:r>
      <w:r w:rsidR="004672A7" w:rsidRPr="00011FE4">
        <w:t xml:space="preserve"> 2008). </w:t>
      </w:r>
      <w:r w:rsidR="006C4B9F" w:rsidRPr="00011FE4">
        <w:t>Underpinning</w:t>
      </w:r>
      <w:r w:rsidR="004672A7" w:rsidRPr="00011FE4">
        <w:t xml:space="preserve"> research focussed on the requirements of autistic students</w:t>
      </w:r>
      <w:r w:rsidR="00962994" w:rsidRPr="00011FE4">
        <w:t>,</w:t>
      </w:r>
      <w:r w:rsidR="004672A7" w:rsidRPr="00011FE4">
        <w:t xml:space="preserve"> with the understanding that good autism practice is closely aligned to UDL and benefits everyone.</w:t>
      </w:r>
    </w:p>
    <w:p w14:paraId="39E4AE00" w14:textId="326DDC41" w:rsidR="008B673D" w:rsidRPr="00011FE4" w:rsidRDefault="00BC3903" w:rsidP="00C064F6">
      <w:r w:rsidRPr="00011FE4">
        <w:t xml:space="preserve">Departmental initiatives </w:t>
      </w:r>
      <w:r w:rsidR="006748B7" w:rsidRPr="00011FE4">
        <w:t>include</w:t>
      </w:r>
      <w:r w:rsidRPr="00011FE4">
        <w:t xml:space="preserve"> </w:t>
      </w:r>
      <w:r w:rsidR="00962994" w:rsidRPr="00011FE4">
        <w:t>t</w:t>
      </w:r>
      <w:r w:rsidR="002717A1" w:rsidRPr="00011FE4">
        <w:t>he</w:t>
      </w:r>
      <w:r w:rsidRPr="00011FE4">
        <w:t xml:space="preserve"> UK</w:t>
      </w:r>
      <w:r w:rsidR="002717A1" w:rsidRPr="00011FE4">
        <w:t xml:space="preserve"> Institute of Physics</w:t>
      </w:r>
      <w:r w:rsidR="002B33C9" w:rsidRPr="00011FE4">
        <w:t>’</w:t>
      </w:r>
      <w:r w:rsidR="002717A1" w:rsidRPr="00011FE4">
        <w:t xml:space="preserve"> (</w:t>
      </w:r>
      <w:proofErr w:type="spellStart"/>
      <w:r w:rsidR="002717A1" w:rsidRPr="00011FE4">
        <w:t>IoP</w:t>
      </w:r>
      <w:proofErr w:type="spellEnd"/>
      <w:r w:rsidR="002717A1" w:rsidRPr="00011FE4">
        <w:t>) (2017) explor</w:t>
      </w:r>
      <w:r w:rsidRPr="00011FE4">
        <w:t>ation of</w:t>
      </w:r>
      <w:r w:rsidR="002717A1" w:rsidRPr="00011FE4">
        <w:t xml:space="preserve"> inclusive teaching and learning within physics departments.   </w:t>
      </w:r>
      <w:proofErr w:type="spellStart"/>
      <w:r w:rsidR="002717A1" w:rsidRPr="00011FE4">
        <w:t>IoP</w:t>
      </w:r>
      <w:proofErr w:type="spellEnd"/>
      <w:r w:rsidR="002717A1" w:rsidRPr="00011FE4">
        <w:t xml:space="preserve"> report</w:t>
      </w:r>
      <w:r w:rsidR="00210922" w:rsidRPr="00011FE4">
        <w:t>ed over</w:t>
      </w:r>
      <w:r w:rsidR="00FA4226" w:rsidRPr="00011FE4">
        <w:t>-</w:t>
      </w:r>
      <w:r w:rsidR="00210922" w:rsidRPr="00011FE4">
        <w:t xml:space="preserve">reliance </w:t>
      </w:r>
      <w:r w:rsidR="00747951" w:rsidRPr="00011FE4">
        <w:t>on</w:t>
      </w:r>
      <w:r w:rsidR="00210922" w:rsidRPr="00011FE4">
        <w:t xml:space="preserve"> individualised reasonable adjustments and l</w:t>
      </w:r>
      <w:r w:rsidR="00747951" w:rsidRPr="00011FE4">
        <w:t>imited</w:t>
      </w:r>
      <w:r w:rsidR="001759C8" w:rsidRPr="00011FE4">
        <w:t xml:space="preserve"> lecturer</w:t>
      </w:r>
      <w:r w:rsidR="00210922" w:rsidRPr="00011FE4">
        <w:t xml:space="preserve"> familiarity </w:t>
      </w:r>
      <w:r w:rsidR="001759C8" w:rsidRPr="00011FE4">
        <w:t>with</w:t>
      </w:r>
      <w:r w:rsidR="002717A1" w:rsidRPr="00011FE4">
        <w:t xml:space="preserve"> </w:t>
      </w:r>
      <w:r w:rsidR="006C4B9F" w:rsidRPr="00011FE4">
        <w:t>UDL.</w:t>
      </w:r>
      <w:r w:rsidR="00747951" w:rsidRPr="00011FE4">
        <w:t xml:space="preserve"> In </w:t>
      </w:r>
      <w:r w:rsidR="006748B7" w:rsidRPr="00011FE4">
        <w:t>response, inclusion</w:t>
      </w:r>
      <w:r w:rsidR="002717A1" w:rsidRPr="00011FE4">
        <w:t>-</w:t>
      </w:r>
      <w:r w:rsidR="006748B7" w:rsidRPr="00011FE4">
        <w:t>focussed development</w:t>
      </w:r>
      <w:r w:rsidR="002717A1" w:rsidRPr="00011FE4">
        <w:t xml:space="preserve"> </w:t>
      </w:r>
      <w:r w:rsidR="00747951" w:rsidRPr="00011FE4">
        <w:t xml:space="preserve">activities were initiated </w:t>
      </w:r>
      <w:r w:rsidR="002717A1" w:rsidRPr="00011FE4">
        <w:t xml:space="preserve">for academic and </w:t>
      </w:r>
      <w:r w:rsidR="00897993" w:rsidRPr="00011FE4">
        <w:t>PS</w:t>
      </w:r>
      <w:r w:rsidR="002717A1" w:rsidRPr="00011FE4">
        <w:t xml:space="preserve"> staff. </w:t>
      </w:r>
    </w:p>
    <w:p w14:paraId="60116808" w14:textId="673A9E8B" w:rsidR="002717A1" w:rsidRPr="00011FE4" w:rsidRDefault="118435A4" w:rsidP="00235691">
      <w:r w:rsidRPr="00011FE4">
        <w:t xml:space="preserve">Focussing specifically on Layer’s (2017) review of the DSA, Draffan et al. (2017a) proposed the following as a framework for developing UDL-informed inclusive practice across HE: </w:t>
      </w:r>
    </w:p>
    <w:p w14:paraId="16D0EC80" w14:textId="77777777" w:rsidR="002717A1" w:rsidRPr="00011FE4" w:rsidRDefault="002717A1" w:rsidP="00235691">
      <w:pPr>
        <w:pStyle w:val="ListParagraph"/>
        <w:numPr>
          <w:ilvl w:val="0"/>
          <w:numId w:val="7"/>
        </w:numPr>
      </w:pPr>
      <w:r w:rsidRPr="00011FE4">
        <w:t xml:space="preserve">Successful inclusive teaching and learning practices involve planning, design, </w:t>
      </w:r>
      <w:proofErr w:type="gramStart"/>
      <w:r w:rsidRPr="00011FE4">
        <w:t>delivery</w:t>
      </w:r>
      <w:proofErr w:type="gramEnd"/>
      <w:r w:rsidRPr="00011FE4">
        <w:t xml:space="preserve"> and evaluation of curricula outcomes as part of a UDL agenda.</w:t>
      </w:r>
    </w:p>
    <w:p w14:paraId="680DAC0F" w14:textId="09CAFDA2" w:rsidR="002717A1" w:rsidRPr="00011FE4" w:rsidRDefault="002717A1" w:rsidP="00235691">
      <w:pPr>
        <w:pStyle w:val="ListParagraph"/>
        <w:numPr>
          <w:ilvl w:val="0"/>
          <w:numId w:val="7"/>
        </w:numPr>
      </w:pPr>
      <w:r w:rsidRPr="00011FE4">
        <w:t xml:space="preserve">Sector-wide agreement about minimum expectations for inclusive teaching and learning practices that adhere to the </w:t>
      </w:r>
      <w:r w:rsidR="006D66EC" w:rsidRPr="00011FE4">
        <w:rPr>
          <w:i/>
        </w:rPr>
        <w:t>EA</w:t>
      </w:r>
      <w:r w:rsidRPr="00011FE4">
        <w:rPr>
          <w:i/>
        </w:rPr>
        <w:t xml:space="preserve"> 2010</w:t>
      </w:r>
      <w:r w:rsidRPr="00011FE4">
        <w:t xml:space="preserve"> is required. </w:t>
      </w:r>
    </w:p>
    <w:p w14:paraId="6F8EB92D" w14:textId="77777777" w:rsidR="002717A1" w:rsidRPr="00011FE4" w:rsidRDefault="002717A1" w:rsidP="00235691">
      <w:pPr>
        <w:pStyle w:val="ListParagraph"/>
        <w:numPr>
          <w:ilvl w:val="0"/>
          <w:numId w:val="7"/>
        </w:numPr>
      </w:pPr>
      <w:r w:rsidRPr="00011FE4">
        <w:t>Strategic leadership, student voice and stakeholder engagement are essential.</w:t>
      </w:r>
    </w:p>
    <w:p w14:paraId="5162EB9B" w14:textId="77777777" w:rsidR="002717A1" w:rsidRPr="00011FE4" w:rsidRDefault="002717A1" w:rsidP="00235691">
      <w:pPr>
        <w:pStyle w:val="ListParagraph"/>
        <w:numPr>
          <w:ilvl w:val="0"/>
          <w:numId w:val="7"/>
        </w:numPr>
      </w:pPr>
      <w:r w:rsidRPr="00011FE4">
        <w:t xml:space="preserve">Outcomes must be open to longitudinal public inspection.  </w:t>
      </w:r>
    </w:p>
    <w:p w14:paraId="5AF587AD" w14:textId="77777777" w:rsidR="002717A1" w:rsidRPr="00011FE4" w:rsidRDefault="002717A1" w:rsidP="00235691">
      <w:pPr>
        <w:pStyle w:val="ListParagraph"/>
        <w:numPr>
          <w:ilvl w:val="0"/>
          <w:numId w:val="7"/>
        </w:numPr>
      </w:pPr>
      <w:r w:rsidRPr="00011FE4">
        <w:t>Staff development is vital.</w:t>
      </w:r>
    </w:p>
    <w:p w14:paraId="1862E70B" w14:textId="77777777" w:rsidR="002717A1" w:rsidRPr="00011FE4" w:rsidRDefault="002717A1" w:rsidP="00235691">
      <w:pPr>
        <w:pStyle w:val="ListParagraph"/>
        <w:numPr>
          <w:ilvl w:val="0"/>
          <w:numId w:val="7"/>
        </w:numPr>
      </w:pPr>
      <w:r w:rsidRPr="00011FE4">
        <w:t>Effective implementation and training in use of technologies is required.</w:t>
      </w:r>
    </w:p>
    <w:p w14:paraId="254659C1" w14:textId="77777777" w:rsidR="002717A1" w:rsidRPr="00011FE4" w:rsidRDefault="002717A1" w:rsidP="00235691">
      <w:pPr>
        <w:pStyle w:val="ListParagraph"/>
        <w:numPr>
          <w:ilvl w:val="0"/>
          <w:numId w:val="7"/>
        </w:numPr>
      </w:pPr>
      <w:r w:rsidRPr="00011FE4">
        <w:t xml:space="preserve">Students need clear pathways to support. </w:t>
      </w:r>
    </w:p>
    <w:p w14:paraId="16EE02E7" w14:textId="5166BC29" w:rsidR="002717A1" w:rsidRPr="00011FE4" w:rsidRDefault="002717A1" w:rsidP="00235691">
      <w:pPr>
        <w:pStyle w:val="ListParagraph"/>
        <w:numPr>
          <w:ilvl w:val="0"/>
          <w:numId w:val="7"/>
        </w:numPr>
      </w:pPr>
      <w:r w:rsidRPr="00011FE4">
        <w:t>Sharing of expertise is necessary to support research into evidence of good practice.</w:t>
      </w:r>
    </w:p>
    <w:p w14:paraId="43F21DD3" w14:textId="4C6C8A8F" w:rsidR="002717A1" w:rsidRPr="00011FE4" w:rsidRDefault="002717A1" w:rsidP="00235691">
      <w:pPr>
        <w:pStyle w:val="ListParagraph"/>
        <w:numPr>
          <w:ilvl w:val="0"/>
          <w:numId w:val="7"/>
        </w:numPr>
      </w:pPr>
      <w:r w:rsidRPr="00011FE4">
        <w:t>Personalised support will be needed for some students</w:t>
      </w:r>
      <w:r w:rsidR="002B33C9" w:rsidRPr="00011FE4">
        <w:t>,</w:t>
      </w:r>
      <w:r w:rsidRPr="00011FE4">
        <w:t xml:space="preserve"> alongside being flexible, equitable and proactive in the provision of multiple means of curricula presentation and assessment modes.  </w:t>
      </w:r>
    </w:p>
    <w:p w14:paraId="283E11DB" w14:textId="2C80ABF0" w:rsidR="00524BD4" w:rsidRPr="00011FE4" w:rsidRDefault="00DF3598" w:rsidP="00235691">
      <w:r w:rsidRPr="00011FE4">
        <w:t>The literature review informed the direction of primary research which sought to understand ways in which UDL was conceptualised and enacted in a small number of American and British settings</w:t>
      </w:r>
      <w:r w:rsidR="009E2E9C" w:rsidRPr="00011FE4">
        <w:t>.</w:t>
      </w:r>
    </w:p>
    <w:p w14:paraId="5F50E802" w14:textId="77777777" w:rsidR="002B33C9" w:rsidRPr="00011FE4" w:rsidRDefault="002B33C9" w:rsidP="00235691"/>
    <w:p w14:paraId="5CB60288" w14:textId="77777777" w:rsidR="002B33C9" w:rsidRPr="00011FE4" w:rsidRDefault="000E0D90" w:rsidP="002B33C9">
      <w:pPr>
        <w:spacing w:line="240" w:lineRule="auto"/>
        <w:rPr>
          <w:b/>
        </w:rPr>
      </w:pPr>
      <w:r w:rsidRPr="00011FE4">
        <w:rPr>
          <w:b/>
        </w:rPr>
        <w:t>Primary Research</w:t>
      </w:r>
    </w:p>
    <w:p w14:paraId="6FAFDC5A" w14:textId="2D464FC0" w:rsidR="009E2E9C" w:rsidRPr="00011FE4" w:rsidRDefault="001C052A" w:rsidP="002B33C9">
      <w:pPr>
        <w:spacing w:line="240" w:lineRule="auto"/>
        <w:rPr>
          <w:b/>
        </w:rPr>
      </w:pPr>
      <w:r w:rsidRPr="00011FE4">
        <w:t>Q</w:t>
      </w:r>
      <w:r w:rsidR="00EA0100" w:rsidRPr="00011FE4">
        <w:t xml:space="preserve">ualitative </w:t>
      </w:r>
      <w:r w:rsidR="006748B7" w:rsidRPr="00011FE4">
        <w:t xml:space="preserve">research </w:t>
      </w:r>
      <w:r w:rsidR="002919A3" w:rsidRPr="00011FE4">
        <w:t xml:space="preserve">presented here    </w:t>
      </w:r>
      <w:r w:rsidR="006748B7" w:rsidRPr="00011FE4">
        <w:t>focusses</w:t>
      </w:r>
      <w:r w:rsidR="000E0D90" w:rsidRPr="00011FE4">
        <w:t xml:space="preserve"> on</w:t>
      </w:r>
      <w:r w:rsidR="00DF60C1" w:rsidRPr="00011FE4">
        <w:t xml:space="preserve"> views of</w:t>
      </w:r>
      <w:r w:rsidR="000E0D90" w:rsidRPr="00011FE4">
        <w:t xml:space="preserve"> </w:t>
      </w:r>
      <w:r w:rsidR="00DF60C1" w:rsidRPr="00011FE4">
        <w:t xml:space="preserve">staff and students from </w:t>
      </w:r>
      <w:r w:rsidR="000E0D90" w:rsidRPr="00011FE4">
        <w:t>four English and four American universities and members of the UK</w:t>
      </w:r>
      <w:r w:rsidR="002B33C9" w:rsidRPr="00011FE4">
        <w:t>-</w:t>
      </w:r>
      <w:r w:rsidR="006748B7" w:rsidRPr="00011FE4">
        <w:t>based National</w:t>
      </w:r>
      <w:r w:rsidR="000E0D90" w:rsidRPr="00011FE4">
        <w:t xml:space="preserve"> Association of Disability </w:t>
      </w:r>
      <w:r w:rsidR="000E0D90" w:rsidRPr="00011FE4">
        <w:lastRenderedPageBreak/>
        <w:t>practitioners (NADP).</w:t>
      </w:r>
      <w:r w:rsidR="008C4326" w:rsidRPr="00011FE4">
        <w:t xml:space="preserve"> The decision to expand the</w:t>
      </w:r>
      <w:r w:rsidR="002A626C" w:rsidRPr="00011FE4">
        <w:t xml:space="preserve"> original</w:t>
      </w:r>
      <w:r w:rsidR="008C4326" w:rsidRPr="00011FE4">
        <w:t xml:space="preserve"> study</w:t>
      </w:r>
      <w:r w:rsidR="001707F4" w:rsidRPr="00011FE4">
        <w:t xml:space="preserve"> beyond</w:t>
      </w:r>
      <w:r w:rsidR="002A626C" w:rsidRPr="00011FE4">
        <w:t xml:space="preserve"> English universities</w:t>
      </w:r>
      <w:r w:rsidR="001223B2" w:rsidRPr="00011FE4">
        <w:t>,</w:t>
      </w:r>
      <w:r w:rsidR="002A626C" w:rsidRPr="00011FE4">
        <w:t xml:space="preserve"> to the USA was essentially </w:t>
      </w:r>
      <w:proofErr w:type="gramStart"/>
      <w:r w:rsidR="002A626C" w:rsidRPr="00011FE4">
        <w:t>opportunistic</w:t>
      </w:r>
      <w:r w:rsidR="00385273" w:rsidRPr="00011FE4">
        <w:t xml:space="preserve"> </w:t>
      </w:r>
      <w:r w:rsidR="002B24B0" w:rsidRPr="00011FE4">
        <w:t xml:space="preserve"> and</w:t>
      </w:r>
      <w:proofErr w:type="gramEnd"/>
      <w:r w:rsidR="002B24B0" w:rsidRPr="00011FE4">
        <w:t xml:space="preserve"> pragmatic </w:t>
      </w:r>
      <w:r w:rsidR="00385273" w:rsidRPr="00011FE4">
        <w:t xml:space="preserve">as funding was available </w:t>
      </w:r>
      <w:r w:rsidR="002B24B0" w:rsidRPr="00011FE4">
        <w:t xml:space="preserve">for travel </w:t>
      </w:r>
      <w:r w:rsidR="00385273" w:rsidRPr="00011FE4">
        <w:t>to</w:t>
      </w:r>
      <w:r w:rsidR="002B24B0" w:rsidRPr="00011FE4">
        <w:t xml:space="preserve"> America for another purpose.</w:t>
      </w:r>
      <w:r w:rsidR="002919A3" w:rsidRPr="00011FE4">
        <w:t xml:space="preserve"> </w:t>
      </w:r>
      <w:r w:rsidR="00385273" w:rsidRPr="00011FE4">
        <w:t xml:space="preserve"> </w:t>
      </w:r>
      <w:r w:rsidR="008C4326" w:rsidRPr="00011FE4">
        <w:t xml:space="preserve"> </w:t>
      </w:r>
      <w:r w:rsidR="00525DE0" w:rsidRPr="00011FE4">
        <w:t xml:space="preserve"> Ethical clearances were </w:t>
      </w:r>
      <w:r w:rsidR="006748B7" w:rsidRPr="00011FE4">
        <w:t>obtained, and</w:t>
      </w:r>
      <w:r w:rsidR="00525DE0" w:rsidRPr="00011FE4">
        <w:t xml:space="preserve"> participants were assured of anonymity </w:t>
      </w:r>
      <w:r w:rsidR="006748B7" w:rsidRPr="00011FE4">
        <w:t>and right</w:t>
      </w:r>
      <w:r w:rsidR="00525DE0" w:rsidRPr="00011FE4">
        <w:t xml:space="preserve"> to withdraw.</w:t>
      </w:r>
      <w:r w:rsidR="000E0D90" w:rsidRPr="00011FE4">
        <w:t xml:space="preserve"> </w:t>
      </w:r>
      <w:r w:rsidR="00F151DD" w:rsidRPr="00011FE4">
        <w:t>C</w:t>
      </w:r>
      <w:r w:rsidR="001D7486" w:rsidRPr="00011FE4">
        <w:t>ommon t</w:t>
      </w:r>
      <w:r w:rsidR="00F151DD" w:rsidRPr="00011FE4">
        <w:t xml:space="preserve">hemes were </w:t>
      </w:r>
      <w:bookmarkStart w:id="5" w:name="_Toc7006881"/>
      <w:r w:rsidR="006C4B9F" w:rsidRPr="00011FE4">
        <w:t>explored.</w:t>
      </w:r>
      <w:r w:rsidRPr="00011FE4">
        <w:t xml:space="preserve"> Research questions</w:t>
      </w:r>
      <w:bookmarkEnd w:id="5"/>
      <w:r w:rsidRPr="00011FE4">
        <w:t xml:space="preserve"> focussed </w:t>
      </w:r>
      <w:r w:rsidR="002B33C9" w:rsidRPr="00011FE4">
        <w:t>on</w:t>
      </w:r>
      <w:r w:rsidRPr="00011FE4">
        <w:t xml:space="preserve"> staff challenges and opportunities around embedding UDL</w:t>
      </w:r>
      <w:r w:rsidR="002B33C9" w:rsidRPr="00011FE4">
        <w:t>,</w:t>
      </w:r>
      <w:r w:rsidRPr="00011FE4">
        <w:t xml:space="preserve"> and student experience.</w:t>
      </w:r>
    </w:p>
    <w:p w14:paraId="24EA909E" w14:textId="6990F59F" w:rsidR="00984319" w:rsidRPr="00011FE4" w:rsidRDefault="002D32E0" w:rsidP="00235691">
      <w:r w:rsidRPr="00011FE4">
        <w:t>Three p</w:t>
      </w:r>
      <w:r w:rsidR="000E0D90" w:rsidRPr="00011FE4">
        <w:t xml:space="preserve">articipating universities </w:t>
      </w:r>
      <w:r w:rsidR="006C4B9F" w:rsidRPr="00011FE4">
        <w:t>were in</w:t>
      </w:r>
      <w:r w:rsidR="00D419E3" w:rsidRPr="00011FE4">
        <w:t xml:space="preserve"> </w:t>
      </w:r>
      <w:r w:rsidR="006C4B9F" w:rsidRPr="00011FE4">
        <w:t>the capital</w:t>
      </w:r>
      <w:r w:rsidR="000E0D90" w:rsidRPr="00011FE4">
        <w:t xml:space="preserve"> cit</w:t>
      </w:r>
      <w:r w:rsidRPr="00011FE4">
        <w:t xml:space="preserve">ies of </w:t>
      </w:r>
      <w:r w:rsidR="00D419E3" w:rsidRPr="00011FE4">
        <w:t>America and Britain.</w:t>
      </w:r>
      <w:r w:rsidR="006748B7" w:rsidRPr="00011FE4">
        <w:t xml:space="preserve"> One</w:t>
      </w:r>
      <w:r w:rsidRPr="00011FE4">
        <w:t xml:space="preserve"> was in an English</w:t>
      </w:r>
      <w:r w:rsidR="000E0D90" w:rsidRPr="00011FE4">
        <w:t xml:space="preserve"> </w:t>
      </w:r>
      <w:r w:rsidR="006748B7" w:rsidRPr="00011FE4">
        <w:t>inner-city</w:t>
      </w:r>
      <w:r w:rsidR="000E0D90" w:rsidRPr="00011FE4">
        <w:t xml:space="preserve"> </w:t>
      </w:r>
      <w:r w:rsidRPr="00011FE4">
        <w:t>location, t</w:t>
      </w:r>
      <w:r w:rsidR="009E2E9C" w:rsidRPr="00011FE4">
        <w:t>hree</w:t>
      </w:r>
      <w:r w:rsidRPr="00011FE4">
        <w:t xml:space="preserve"> </w:t>
      </w:r>
      <w:r w:rsidR="006748B7" w:rsidRPr="00011FE4">
        <w:t>in smaller</w:t>
      </w:r>
      <w:r w:rsidRPr="00011FE4">
        <w:t xml:space="preserve"> American and English cities </w:t>
      </w:r>
      <w:r w:rsidR="000E0D90" w:rsidRPr="00011FE4">
        <w:t>and</w:t>
      </w:r>
      <w:r w:rsidRPr="00011FE4">
        <w:t xml:space="preserve"> one in a rural American setting.</w:t>
      </w:r>
      <w:r w:rsidR="000E0D90" w:rsidRPr="00011FE4">
        <w:t xml:space="preserve"> They included elite institutions with rigorous admission requirements, contexts which articulated a clear focus on the participation of learners with a wider variety of entry qualifications</w:t>
      </w:r>
      <w:r w:rsidR="002C68F9" w:rsidRPr="00011FE4">
        <w:t>,</w:t>
      </w:r>
      <w:r w:rsidR="000E0D90" w:rsidRPr="00011FE4">
        <w:t xml:space="preserve"> and those falling somewhere between. Two of the USA settings strongly identified with a </w:t>
      </w:r>
      <w:r w:rsidR="009E2E9C" w:rsidRPr="00011FE4">
        <w:t xml:space="preserve">particular </w:t>
      </w:r>
      <w:r w:rsidR="006C4B9F" w:rsidRPr="00011FE4">
        <w:t>faith</w:t>
      </w:r>
      <w:r w:rsidR="000E0D90" w:rsidRPr="00011FE4">
        <w:t xml:space="preserve">. In the UK this would be unusual. </w:t>
      </w:r>
    </w:p>
    <w:p w14:paraId="7EEE04B7" w14:textId="0BDEE4D4" w:rsidR="00CF0F5A" w:rsidRPr="00011FE4" w:rsidRDefault="000E0D90" w:rsidP="00235691">
      <w:r w:rsidRPr="00011FE4">
        <w:t xml:space="preserve">Academic and </w:t>
      </w:r>
      <w:r w:rsidR="00897993" w:rsidRPr="00011FE4">
        <w:t>PS</w:t>
      </w:r>
      <w:r w:rsidRPr="00011FE4">
        <w:t xml:space="preserve"> staff and un</w:t>
      </w:r>
      <w:r w:rsidR="002C68F9" w:rsidRPr="00011FE4">
        <w:t>dergraduate and post</w:t>
      </w:r>
      <w:r w:rsidRPr="00011FE4">
        <w:t xml:space="preserve">graduate students </w:t>
      </w:r>
      <w:r w:rsidR="008C5DE2" w:rsidRPr="00011FE4">
        <w:t>took part</w:t>
      </w:r>
      <w:r w:rsidRPr="00011FE4">
        <w:t xml:space="preserve"> via focus groups, </w:t>
      </w:r>
      <w:proofErr w:type="gramStart"/>
      <w:r w:rsidRPr="00011FE4">
        <w:t>interviews</w:t>
      </w:r>
      <w:proofErr w:type="gramEnd"/>
      <w:r w:rsidRPr="00011FE4">
        <w:t xml:space="preserve"> and questionnaires.</w:t>
      </w:r>
      <w:r w:rsidR="002D1779" w:rsidRPr="00011FE4">
        <w:t xml:space="preserve"> </w:t>
      </w:r>
      <w:r w:rsidR="00D419E3" w:rsidRPr="00011FE4">
        <w:t xml:space="preserve">Disability services staff were the main PS </w:t>
      </w:r>
      <w:r w:rsidR="006C4B9F" w:rsidRPr="00011FE4">
        <w:t>contributors,</w:t>
      </w:r>
      <w:r w:rsidR="00D419E3" w:rsidRPr="00011FE4">
        <w:t xml:space="preserve"> but librarians, technologists, academic </w:t>
      </w:r>
      <w:proofErr w:type="gramStart"/>
      <w:r w:rsidR="00D419E3" w:rsidRPr="00011FE4">
        <w:t>developers</w:t>
      </w:r>
      <w:proofErr w:type="gramEnd"/>
      <w:r w:rsidR="00D419E3" w:rsidRPr="00011FE4">
        <w:t xml:space="preserve"> and counsellors also </w:t>
      </w:r>
      <w:r w:rsidR="00AC3D6A" w:rsidRPr="00011FE4">
        <w:t>participated</w:t>
      </w:r>
      <w:r w:rsidR="00D419E3" w:rsidRPr="00011FE4">
        <w:t xml:space="preserve">. </w:t>
      </w:r>
      <w:r w:rsidR="00B43B54" w:rsidRPr="00011FE4">
        <w:t>Academics</w:t>
      </w:r>
      <w:r w:rsidR="00C84F9A" w:rsidRPr="00011FE4">
        <w:t xml:space="preserve"> included only one person in a senior leadership position</w:t>
      </w:r>
      <w:r w:rsidR="00002038" w:rsidRPr="00011FE4">
        <w:t xml:space="preserve"> and</w:t>
      </w:r>
      <w:r w:rsidR="00B43B54" w:rsidRPr="00011FE4">
        <w:t xml:space="preserve"> came mainly from programmes related to </w:t>
      </w:r>
      <w:r w:rsidR="00B37587" w:rsidRPr="00011FE4">
        <w:t>C</w:t>
      </w:r>
      <w:r w:rsidR="00D419E3" w:rsidRPr="00011FE4">
        <w:t xml:space="preserve">ritical </w:t>
      </w:r>
      <w:r w:rsidR="00B37587" w:rsidRPr="00011FE4">
        <w:t>D</w:t>
      </w:r>
      <w:r w:rsidR="00D419E3" w:rsidRPr="00011FE4">
        <w:t xml:space="preserve">isability </w:t>
      </w:r>
      <w:r w:rsidR="00B37587" w:rsidRPr="00011FE4">
        <w:t>S</w:t>
      </w:r>
      <w:r w:rsidR="00D419E3" w:rsidRPr="00011FE4">
        <w:t>tudies</w:t>
      </w:r>
      <w:r w:rsidR="00B43B54" w:rsidRPr="00011FE4">
        <w:t xml:space="preserve"> in six of the settings</w:t>
      </w:r>
      <w:r w:rsidR="00D419E3" w:rsidRPr="00011FE4">
        <w:t>, and computer science in another</w:t>
      </w:r>
      <w:r w:rsidR="00B43B54" w:rsidRPr="00011FE4">
        <w:t xml:space="preserve">. </w:t>
      </w:r>
      <w:r w:rsidR="006C4B9F" w:rsidRPr="00011FE4">
        <w:t>Involvement conformed</w:t>
      </w:r>
      <w:r w:rsidR="001D7486" w:rsidRPr="00011FE4">
        <w:t xml:space="preserve"> to the ‘Assigned but informed’ method </w:t>
      </w:r>
      <w:r w:rsidR="006D2EE2" w:rsidRPr="00011FE4">
        <w:t>(</w:t>
      </w:r>
      <w:proofErr w:type="spellStart"/>
      <w:r w:rsidR="001D7486" w:rsidRPr="00011FE4">
        <w:t>Fajerman</w:t>
      </w:r>
      <w:proofErr w:type="spellEnd"/>
      <w:r w:rsidR="001D7486" w:rsidRPr="00011FE4">
        <w:t xml:space="preserve"> &amp; </w:t>
      </w:r>
      <w:proofErr w:type="spellStart"/>
      <w:r w:rsidR="001D7486" w:rsidRPr="00011FE4">
        <w:t>Treseder</w:t>
      </w:r>
      <w:proofErr w:type="spellEnd"/>
      <w:r w:rsidR="002C68F9" w:rsidRPr="00011FE4">
        <w:t>, 2000;</w:t>
      </w:r>
      <w:r w:rsidR="001D7486" w:rsidRPr="00011FE4">
        <w:t xml:space="preserve"> </w:t>
      </w:r>
      <w:proofErr w:type="spellStart"/>
      <w:r w:rsidR="001D7486" w:rsidRPr="00011FE4">
        <w:t>Radermacher</w:t>
      </w:r>
      <w:proofErr w:type="spellEnd"/>
      <w:r w:rsidR="002C68F9" w:rsidRPr="00011FE4">
        <w:t>,</w:t>
      </w:r>
      <w:r w:rsidR="001D7486" w:rsidRPr="00011FE4">
        <w:t xml:space="preserve"> 2006</w:t>
      </w:r>
      <w:r w:rsidR="00236AB4" w:rsidRPr="00011FE4">
        <w:t>)</w:t>
      </w:r>
      <w:r w:rsidR="001D7486" w:rsidRPr="00011FE4">
        <w:t xml:space="preserve">. </w:t>
      </w:r>
    </w:p>
    <w:p w14:paraId="6D68E63D" w14:textId="7AAAC0EB" w:rsidR="00CF0F5A" w:rsidRPr="00011FE4" w:rsidRDefault="006748B7" w:rsidP="00235691">
      <w:r w:rsidRPr="00011FE4">
        <w:t>Eleven focus</w:t>
      </w:r>
      <w:r w:rsidR="000E0D90" w:rsidRPr="00011FE4">
        <w:t xml:space="preserve"> groups of between</w:t>
      </w:r>
      <w:r w:rsidR="00DF60C1" w:rsidRPr="00011FE4">
        <w:t xml:space="preserve"> two</w:t>
      </w:r>
      <w:r w:rsidR="000E0D90" w:rsidRPr="00011FE4">
        <w:t xml:space="preserve"> and twelve </w:t>
      </w:r>
      <w:r w:rsidR="00A03374" w:rsidRPr="00011FE4">
        <w:t>volunteers</w:t>
      </w:r>
      <w:r w:rsidR="000E0D90" w:rsidRPr="00011FE4">
        <w:t xml:space="preserve"> took place</w:t>
      </w:r>
      <w:r w:rsidR="0010550B" w:rsidRPr="00011FE4">
        <w:t xml:space="preserve"> as well as</w:t>
      </w:r>
      <w:r w:rsidR="005E23A6" w:rsidRPr="00011FE4">
        <w:t xml:space="preserve"> one</w:t>
      </w:r>
      <w:r w:rsidR="00E143AF" w:rsidRPr="00011FE4">
        <w:t>-</w:t>
      </w:r>
      <w:r w:rsidR="005E23A6" w:rsidRPr="00011FE4">
        <w:t>to</w:t>
      </w:r>
      <w:r w:rsidR="00E143AF" w:rsidRPr="00011FE4">
        <w:t>-</w:t>
      </w:r>
      <w:r w:rsidR="005E23A6" w:rsidRPr="00011FE4">
        <w:t xml:space="preserve">one </w:t>
      </w:r>
      <w:r w:rsidRPr="00011FE4">
        <w:t>interview</w:t>
      </w:r>
      <w:r w:rsidR="009E2E9C" w:rsidRPr="00011FE4">
        <w:t>s</w:t>
      </w:r>
      <w:r w:rsidR="00DF60C1" w:rsidRPr="00011FE4">
        <w:t xml:space="preserve"> with </w:t>
      </w:r>
      <w:r w:rsidR="00A03374" w:rsidRPr="00011FE4">
        <w:t>six</w:t>
      </w:r>
      <w:r w:rsidR="00DF60C1" w:rsidRPr="00011FE4">
        <w:t xml:space="preserve"> staff members and </w:t>
      </w:r>
      <w:r w:rsidR="00A03374" w:rsidRPr="00011FE4">
        <w:t>three</w:t>
      </w:r>
      <w:r w:rsidR="00DF60C1" w:rsidRPr="00011FE4">
        <w:t xml:space="preserve"> </w:t>
      </w:r>
      <w:r w:rsidRPr="00011FE4">
        <w:t>students</w:t>
      </w:r>
      <w:r w:rsidR="00A03374" w:rsidRPr="00011FE4">
        <w:t xml:space="preserve"> (one of whom was a British international PG studying in America</w:t>
      </w:r>
      <w:r w:rsidR="009E2E9C" w:rsidRPr="00011FE4">
        <w:t>)</w:t>
      </w:r>
      <w:r w:rsidRPr="00011FE4">
        <w:t>.</w:t>
      </w:r>
      <w:r w:rsidR="00A03374" w:rsidRPr="00011FE4">
        <w:t xml:space="preserve"> Balanced numbers between settings were not achieved and this is a limitation</w:t>
      </w:r>
      <w:r w:rsidR="002C68F9" w:rsidRPr="00011FE4">
        <w:t>,</w:t>
      </w:r>
      <w:r w:rsidR="00A03374" w:rsidRPr="00011FE4">
        <w:t xml:space="preserve"> alongside inadequate</w:t>
      </w:r>
      <w:r w:rsidR="00373A2A" w:rsidRPr="00011FE4">
        <w:t xml:space="preserve"> </w:t>
      </w:r>
      <w:r w:rsidR="00A03374" w:rsidRPr="00011FE4">
        <w:t xml:space="preserve">representation of international students.  </w:t>
      </w:r>
      <w:r w:rsidR="00F128E6" w:rsidRPr="00011FE4">
        <w:t xml:space="preserve">The </w:t>
      </w:r>
      <w:proofErr w:type="gramStart"/>
      <w:r w:rsidR="00F128E6" w:rsidRPr="00011FE4">
        <w:t xml:space="preserve">breakdown </w:t>
      </w:r>
      <w:r w:rsidR="001F67DA" w:rsidRPr="00011FE4">
        <w:t xml:space="preserve"> between</w:t>
      </w:r>
      <w:proofErr w:type="gramEnd"/>
      <w:r w:rsidR="001F67DA" w:rsidRPr="00011FE4">
        <w:t xml:space="preserve"> </w:t>
      </w:r>
      <w:r w:rsidR="008C7512" w:rsidRPr="00011FE4">
        <w:t xml:space="preserve"> </w:t>
      </w:r>
      <w:r w:rsidR="00C8093E" w:rsidRPr="00011FE4">
        <w:t>academics,</w:t>
      </w:r>
      <w:r w:rsidR="008C7512" w:rsidRPr="00011FE4">
        <w:t xml:space="preserve"> </w:t>
      </w:r>
      <w:r w:rsidR="00C8093E" w:rsidRPr="00011FE4">
        <w:t xml:space="preserve"> PS</w:t>
      </w:r>
      <w:r w:rsidR="008C7512" w:rsidRPr="00011FE4">
        <w:t xml:space="preserve"> staff,  </w:t>
      </w:r>
      <w:r w:rsidR="002C68F9" w:rsidRPr="00011FE4">
        <w:t>undergraduate</w:t>
      </w:r>
      <w:r w:rsidR="008C7512" w:rsidRPr="00011FE4">
        <w:t xml:space="preserve"> </w:t>
      </w:r>
      <w:r w:rsidR="001F67DA" w:rsidRPr="00011FE4">
        <w:t xml:space="preserve"> and </w:t>
      </w:r>
      <w:r w:rsidR="002C68F9" w:rsidRPr="00011FE4">
        <w:t xml:space="preserve"> postgraduate</w:t>
      </w:r>
      <w:r w:rsidR="008C7512" w:rsidRPr="00011FE4">
        <w:t>s</w:t>
      </w:r>
      <w:r w:rsidR="00876F3E" w:rsidRPr="00011FE4">
        <w:t xml:space="preserve"> students is illustrated in the following tables.</w:t>
      </w:r>
    </w:p>
    <w:p w14:paraId="03B7EFB6" w14:textId="71F5C883" w:rsidR="008E47B7" w:rsidRPr="00011FE4" w:rsidRDefault="008E47B7" w:rsidP="00235691">
      <w:r w:rsidRPr="00011FE4">
        <w:t>ENGLAND</w:t>
      </w:r>
    </w:p>
    <w:tbl>
      <w:tblPr>
        <w:tblStyle w:val="TableGrid"/>
        <w:tblW w:w="0" w:type="auto"/>
        <w:tblLook w:val="04A0" w:firstRow="1" w:lastRow="0" w:firstColumn="1" w:lastColumn="0" w:noHBand="0" w:noVBand="1"/>
      </w:tblPr>
      <w:tblGrid>
        <w:gridCol w:w="1792"/>
        <w:gridCol w:w="1663"/>
        <w:gridCol w:w="1880"/>
        <w:gridCol w:w="1801"/>
        <w:gridCol w:w="1529"/>
      </w:tblGrid>
      <w:tr w:rsidR="00002038" w:rsidRPr="00011FE4" w14:paraId="43FD2CCC" w14:textId="19CFEBF2" w:rsidTr="00845E96">
        <w:tc>
          <w:tcPr>
            <w:tcW w:w="1792" w:type="dxa"/>
          </w:tcPr>
          <w:p w14:paraId="41C52BE4" w14:textId="42A3BD53" w:rsidR="00002038" w:rsidRPr="00011FE4" w:rsidRDefault="00002038" w:rsidP="00235691"/>
        </w:tc>
        <w:tc>
          <w:tcPr>
            <w:tcW w:w="1663" w:type="dxa"/>
          </w:tcPr>
          <w:p w14:paraId="44319A60" w14:textId="0963E7E8" w:rsidR="00002038" w:rsidRPr="00011FE4" w:rsidRDefault="00002038" w:rsidP="00235691">
            <w:r w:rsidRPr="00011FE4">
              <w:t>PS staff</w:t>
            </w:r>
          </w:p>
        </w:tc>
        <w:tc>
          <w:tcPr>
            <w:tcW w:w="1880" w:type="dxa"/>
          </w:tcPr>
          <w:p w14:paraId="3DFC38D4" w14:textId="68C4B877" w:rsidR="00002038" w:rsidRPr="00011FE4" w:rsidRDefault="00002038" w:rsidP="00235691">
            <w:r w:rsidRPr="00011FE4">
              <w:t>Academics</w:t>
            </w:r>
          </w:p>
        </w:tc>
        <w:tc>
          <w:tcPr>
            <w:tcW w:w="1801" w:type="dxa"/>
          </w:tcPr>
          <w:p w14:paraId="101D02B2" w14:textId="5F86901C" w:rsidR="00002038" w:rsidRPr="00011FE4" w:rsidRDefault="00002038" w:rsidP="00235691">
            <w:r w:rsidRPr="00011FE4">
              <w:t>UG students</w:t>
            </w:r>
          </w:p>
        </w:tc>
        <w:tc>
          <w:tcPr>
            <w:tcW w:w="1529" w:type="dxa"/>
          </w:tcPr>
          <w:p w14:paraId="589B5C4F" w14:textId="3222E010" w:rsidR="00002038" w:rsidRPr="00011FE4" w:rsidRDefault="00002038" w:rsidP="00235691">
            <w:r w:rsidRPr="00011FE4">
              <w:t>PG students</w:t>
            </w:r>
          </w:p>
        </w:tc>
      </w:tr>
      <w:tr w:rsidR="00002038" w:rsidRPr="00011FE4" w14:paraId="70AABC38" w14:textId="45B292D1" w:rsidTr="00845E96">
        <w:tc>
          <w:tcPr>
            <w:tcW w:w="1792" w:type="dxa"/>
          </w:tcPr>
          <w:p w14:paraId="0B33A5EB" w14:textId="0843171C" w:rsidR="00002038" w:rsidRPr="00011FE4" w:rsidRDefault="00002038" w:rsidP="00713426">
            <w:r w:rsidRPr="00011FE4">
              <w:t>Face to face discussions</w:t>
            </w:r>
          </w:p>
        </w:tc>
        <w:tc>
          <w:tcPr>
            <w:tcW w:w="1663" w:type="dxa"/>
          </w:tcPr>
          <w:p w14:paraId="5770E0CA" w14:textId="1C3067EF" w:rsidR="00002038" w:rsidRPr="00011FE4" w:rsidRDefault="00002038" w:rsidP="00713426">
            <w:r w:rsidRPr="00011FE4">
              <w:t>32</w:t>
            </w:r>
          </w:p>
        </w:tc>
        <w:tc>
          <w:tcPr>
            <w:tcW w:w="1880" w:type="dxa"/>
          </w:tcPr>
          <w:p w14:paraId="206C9CF8" w14:textId="6AE85A44" w:rsidR="00002038" w:rsidRPr="00011FE4" w:rsidRDefault="00002038" w:rsidP="00713426">
            <w:r w:rsidRPr="00011FE4">
              <w:t>17</w:t>
            </w:r>
          </w:p>
        </w:tc>
        <w:tc>
          <w:tcPr>
            <w:tcW w:w="1801" w:type="dxa"/>
          </w:tcPr>
          <w:p w14:paraId="01CEAC0A" w14:textId="705C0342" w:rsidR="00002038" w:rsidRPr="00011FE4" w:rsidRDefault="00002038" w:rsidP="00713426">
            <w:r w:rsidRPr="00011FE4">
              <w:t>2</w:t>
            </w:r>
          </w:p>
        </w:tc>
        <w:tc>
          <w:tcPr>
            <w:tcW w:w="1529" w:type="dxa"/>
          </w:tcPr>
          <w:p w14:paraId="6EB73BE8" w14:textId="14F5E3A8" w:rsidR="00002038" w:rsidRPr="00011FE4" w:rsidRDefault="00002038" w:rsidP="00713426">
            <w:r w:rsidRPr="00011FE4">
              <w:t>9</w:t>
            </w:r>
          </w:p>
        </w:tc>
      </w:tr>
      <w:tr w:rsidR="00002038" w:rsidRPr="00011FE4" w14:paraId="1BFE6CC4" w14:textId="30C0190E" w:rsidTr="00845E96">
        <w:tc>
          <w:tcPr>
            <w:tcW w:w="1792" w:type="dxa"/>
          </w:tcPr>
          <w:p w14:paraId="7053A085" w14:textId="10DA4885" w:rsidR="00002038" w:rsidRPr="00011FE4" w:rsidRDefault="00002038" w:rsidP="00713426">
            <w:proofErr w:type="spellStart"/>
            <w:r w:rsidRPr="00011FE4">
              <w:t>Questinnaires</w:t>
            </w:r>
            <w:proofErr w:type="spellEnd"/>
          </w:p>
        </w:tc>
        <w:tc>
          <w:tcPr>
            <w:tcW w:w="1663" w:type="dxa"/>
          </w:tcPr>
          <w:p w14:paraId="53420B12" w14:textId="21DE0336" w:rsidR="00002038" w:rsidRPr="00011FE4" w:rsidRDefault="00002038" w:rsidP="00713426">
            <w:r w:rsidRPr="00011FE4">
              <w:t>6</w:t>
            </w:r>
          </w:p>
        </w:tc>
        <w:tc>
          <w:tcPr>
            <w:tcW w:w="1880" w:type="dxa"/>
          </w:tcPr>
          <w:p w14:paraId="27AF9C04" w14:textId="572AD945" w:rsidR="00002038" w:rsidRPr="00011FE4" w:rsidRDefault="00002038" w:rsidP="00713426">
            <w:r w:rsidRPr="00011FE4">
              <w:t>4</w:t>
            </w:r>
          </w:p>
        </w:tc>
        <w:tc>
          <w:tcPr>
            <w:tcW w:w="1801" w:type="dxa"/>
          </w:tcPr>
          <w:p w14:paraId="1700FD34" w14:textId="287D9901" w:rsidR="00002038" w:rsidRPr="00011FE4" w:rsidRDefault="00002038" w:rsidP="00713426">
            <w:r w:rsidRPr="00011FE4">
              <w:t>151</w:t>
            </w:r>
          </w:p>
        </w:tc>
        <w:tc>
          <w:tcPr>
            <w:tcW w:w="1529" w:type="dxa"/>
          </w:tcPr>
          <w:p w14:paraId="548E0BF8" w14:textId="3C90ECFA" w:rsidR="00002038" w:rsidRPr="00011FE4" w:rsidRDefault="00002038" w:rsidP="00713426">
            <w:r w:rsidRPr="00011FE4">
              <w:t>135</w:t>
            </w:r>
          </w:p>
        </w:tc>
      </w:tr>
    </w:tbl>
    <w:p w14:paraId="015B992B" w14:textId="13FB06C2" w:rsidR="000B1465" w:rsidRPr="00011FE4" w:rsidRDefault="000B1465" w:rsidP="00235691"/>
    <w:p w14:paraId="203EFF32" w14:textId="3EBEE56E" w:rsidR="000043CF" w:rsidRPr="00011FE4" w:rsidRDefault="008E47B7" w:rsidP="00235691">
      <w:r w:rsidRPr="00011FE4">
        <w:t>USA</w:t>
      </w:r>
    </w:p>
    <w:tbl>
      <w:tblPr>
        <w:tblStyle w:val="TableGrid"/>
        <w:tblW w:w="0" w:type="auto"/>
        <w:tblLook w:val="04A0" w:firstRow="1" w:lastRow="0" w:firstColumn="1" w:lastColumn="0" w:noHBand="0" w:noVBand="1"/>
      </w:tblPr>
      <w:tblGrid>
        <w:gridCol w:w="1742"/>
        <w:gridCol w:w="1743"/>
        <w:gridCol w:w="1743"/>
        <w:gridCol w:w="1743"/>
        <w:gridCol w:w="1743"/>
      </w:tblGrid>
      <w:tr w:rsidR="00002038" w:rsidRPr="00011FE4" w14:paraId="59C15870" w14:textId="77777777" w:rsidTr="00611972">
        <w:tc>
          <w:tcPr>
            <w:tcW w:w="1742" w:type="dxa"/>
          </w:tcPr>
          <w:p w14:paraId="2BBAB00B" w14:textId="21CA6ACF" w:rsidR="00002038" w:rsidRPr="00011FE4" w:rsidRDefault="00002038" w:rsidP="00DC063C"/>
        </w:tc>
        <w:tc>
          <w:tcPr>
            <w:tcW w:w="1743" w:type="dxa"/>
          </w:tcPr>
          <w:p w14:paraId="34006618" w14:textId="7F0F4512" w:rsidR="00002038" w:rsidRPr="00011FE4" w:rsidRDefault="00002038" w:rsidP="00DC063C">
            <w:r w:rsidRPr="00011FE4">
              <w:t>PS staff</w:t>
            </w:r>
          </w:p>
        </w:tc>
        <w:tc>
          <w:tcPr>
            <w:tcW w:w="1743" w:type="dxa"/>
          </w:tcPr>
          <w:p w14:paraId="0E59873B" w14:textId="07D9B44F" w:rsidR="00002038" w:rsidRPr="00011FE4" w:rsidRDefault="00002038" w:rsidP="00DC063C">
            <w:r w:rsidRPr="00011FE4">
              <w:t>Academics</w:t>
            </w:r>
          </w:p>
        </w:tc>
        <w:tc>
          <w:tcPr>
            <w:tcW w:w="1743" w:type="dxa"/>
          </w:tcPr>
          <w:p w14:paraId="1BA5941D" w14:textId="45E6FC69" w:rsidR="00002038" w:rsidRPr="00011FE4" w:rsidRDefault="00002038" w:rsidP="00DC063C">
            <w:r w:rsidRPr="00011FE4">
              <w:t>UG students</w:t>
            </w:r>
          </w:p>
        </w:tc>
        <w:tc>
          <w:tcPr>
            <w:tcW w:w="1743" w:type="dxa"/>
          </w:tcPr>
          <w:p w14:paraId="3A2FE06C" w14:textId="496E2D73" w:rsidR="00002038" w:rsidRPr="00011FE4" w:rsidRDefault="00002038" w:rsidP="00DC063C">
            <w:r w:rsidRPr="00011FE4">
              <w:t>PG students</w:t>
            </w:r>
          </w:p>
        </w:tc>
      </w:tr>
      <w:tr w:rsidR="00002038" w:rsidRPr="00011FE4" w14:paraId="6322B41C" w14:textId="77777777" w:rsidTr="00611972">
        <w:tc>
          <w:tcPr>
            <w:tcW w:w="1742" w:type="dxa"/>
          </w:tcPr>
          <w:p w14:paraId="3C604011" w14:textId="3B720CAE" w:rsidR="00002038" w:rsidRPr="00011FE4" w:rsidRDefault="00002038" w:rsidP="00DC063C">
            <w:r w:rsidRPr="00011FE4">
              <w:t>Face to face discussions</w:t>
            </w:r>
          </w:p>
        </w:tc>
        <w:tc>
          <w:tcPr>
            <w:tcW w:w="1743" w:type="dxa"/>
          </w:tcPr>
          <w:p w14:paraId="538693F5" w14:textId="39B19212" w:rsidR="00002038" w:rsidRPr="00011FE4" w:rsidRDefault="00002038" w:rsidP="00DC063C">
            <w:r w:rsidRPr="00011FE4">
              <w:t>10</w:t>
            </w:r>
          </w:p>
        </w:tc>
        <w:tc>
          <w:tcPr>
            <w:tcW w:w="1743" w:type="dxa"/>
          </w:tcPr>
          <w:p w14:paraId="6CE6F84A" w14:textId="355B5236" w:rsidR="00002038" w:rsidRPr="00011FE4" w:rsidRDefault="00002038" w:rsidP="00DC063C">
            <w:r w:rsidRPr="00011FE4">
              <w:t>12</w:t>
            </w:r>
          </w:p>
        </w:tc>
        <w:tc>
          <w:tcPr>
            <w:tcW w:w="1743" w:type="dxa"/>
          </w:tcPr>
          <w:p w14:paraId="73D02A5D" w14:textId="1300CA6E" w:rsidR="00002038" w:rsidRPr="00011FE4" w:rsidRDefault="00002038" w:rsidP="00DC063C">
            <w:r w:rsidRPr="00011FE4">
              <w:t>14</w:t>
            </w:r>
          </w:p>
        </w:tc>
        <w:tc>
          <w:tcPr>
            <w:tcW w:w="1743" w:type="dxa"/>
          </w:tcPr>
          <w:p w14:paraId="13F618D1" w14:textId="20628FF1" w:rsidR="00002038" w:rsidRPr="00011FE4" w:rsidRDefault="00002038" w:rsidP="00DC063C">
            <w:r w:rsidRPr="00011FE4">
              <w:t>4</w:t>
            </w:r>
          </w:p>
        </w:tc>
      </w:tr>
    </w:tbl>
    <w:p w14:paraId="05AB470E" w14:textId="77777777" w:rsidR="000043CF" w:rsidRPr="00011FE4" w:rsidRDefault="000043CF" w:rsidP="00235691"/>
    <w:p w14:paraId="201267CF" w14:textId="0F56EEB0" w:rsidR="000E0D90" w:rsidRPr="00011FE4" w:rsidRDefault="00ED3A3F" w:rsidP="00235691">
      <w:pPr>
        <w:rPr>
          <w:b/>
        </w:rPr>
      </w:pPr>
      <w:r w:rsidRPr="00011FE4">
        <w:t xml:space="preserve">Semi-structured interviews were used to elicit feelings, </w:t>
      </w:r>
      <w:proofErr w:type="gramStart"/>
      <w:r w:rsidRPr="00011FE4">
        <w:t>attitudes</w:t>
      </w:r>
      <w:proofErr w:type="gramEnd"/>
      <w:r w:rsidRPr="00011FE4">
        <w:t xml:space="preserve"> and perceptions (</w:t>
      </w:r>
      <w:proofErr w:type="spellStart"/>
      <w:r w:rsidRPr="00011FE4">
        <w:t>Puchta</w:t>
      </w:r>
      <w:proofErr w:type="spellEnd"/>
      <w:r w:rsidRPr="00011FE4">
        <w:t xml:space="preserve"> and Potter, 2004).  Broad headings covered specific aspects of UDL </w:t>
      </w:r>
      <w:proofErr w:type="gramStart"/>
      <w:r w:rsidRPr="00011FE4">
        <w:t>including:</w:t>
      </w:r>
      <w:proofErr w:type="gramEnd"/>
      <w:r w:rsidRPr="00011FE4">
        <w:t xml:space="preserve"> multiple means of representation, action and expression, and </w:t>
      </w:r>
      <w:r w:rsidR="006C4B9F" w:rsidRPr="00011FE4">
        <w:t>engagement. A</w:t>
      </w:r>
      <w:r w:rsidR="00DF5FC5" w:rsidRPr="00011FE4">
        <w:t xml:space="preserve"> c</w:t>
      </w:r>
      <w:r w:rsidRPr="00011FE4">
        <w:t>omparative case stud</w:t>
      </w:r>
      <w:r w:rsidR="00DF5FC5" w:rsidRPr="00011FE4">
        <w:t xml:space="preserve">y </w:t>
      </w:r>
      <w:r w:rsidR="006748B7" w:rsidRPr="00011FE4">
        <w:t>approach (</w:t>
      </w:r>
      <w:r w:rsidRPr="00011FE4">
        <w:t>Merriam, 1998; Yin, 2017)</w:t>
      </w:r>
      <w:r w:rsidR="00DF5FC5" w:rsidRPr="00011FE4">
        <w:t xml:space="preserve"> was used a</w:t>
      </w:r>
      <w:r w:rsidR="00CD23C8" w:rsidRPr="00011FE4">
        <w:t>longside</w:t>
      </w:r>
      <w:r w:rsidRPr="00011FE4">
        <w:t xml:space="preserve"> thematic analysis</w:t>
      </w:r>
      <w:r w:rsidR="006C6739" w:rsidRPr="00011FE4">
        <w:t>,</w:t>
      </w:r>
      <w:r w:rsidRPr="00011FE4">
        <w:t xml:space="preserve"> which enabled comparisons between institutions, staff in different roles and undergraduate and postgraduate students (Hsieh &amp; Shannon, 2005</w:t>
      </w:r>
      <w:r w:rsidR="006748B7" w:rsidRPr="00011FE4">
        <w:t>).</w:t>
      </w:r>
      <w:r w:rsidR="000E0D90" w:rsidRPr="00011FE4">
        <w:t xml:space="preserve"> </w:t>
      </w:r>
    </w:p>
    <w:p w14:paraId="7BE6AB8A" w14:textId="2F7299FF" w:rsidR="00E64B1B" w:rsidRPr="00011FE4" w:rsidRDefault="00E64B1B" w:rsidP="00235691">
      <w:r w:rsidRPr="00011FE4">
        <w:t xml:space="preserve"> </w:t>
      </w:r>
    </w:p>
    <w:p w14:paraId="4EF4EB33" w14:textId="65CA8459" w:rsidR="00520C87" w:rsidRPr="00011FE4" w:rsidRDefault="004F154A" w:rsidP="00B54169">
      <w:pPr>
        <w:pStyle w:val="Heading3"/>
        <w:rPr>
          <w:rFonts w:cs="Arial"/>
        </w:rPr>
      </w:pPr>
      <w:bookmarkStart w:id="6" w:name="_Toc7006885"/>
      <w:r w:rsidRPr="00011FE4">
        <w:rPr>
          <w:rFonts w:cs="Arial"/>
        </w:rPr>
        <w:lastRenderedPageBreak/>
        <w:t>Key findings</w:t>
      </w:r>
      <w:bookmarkEnd w:id="6"/>
      <w:r w:rsidRPr="00011FE4">
        <w:rPr>
          <w:rFonts w:cs="Arial"/>
        </w:rPr>
        <w:t xml:space="preserve"> and discussion</w:t>
      </w:r>
    </w:p>
    <w:p w14:paraId="26202FDB" w14:textId="2F26F32A" w:rsidR="0064466C" w:rsidRPr="00011FE4" w:rsidRDefault="004F154A" w:rsidP="0064466C">
      <w:r w:rsidRPr="00011FE4">
        <w:t>T</w:t>
      </w:r>
      <w:r w:rsidR="00ED3A3F" w:rsidRPr="00011FE4">
        <w:t>hematic analysis</w:t>
      </w:r>
      <w:r w:rsidR="00A25FA7" w:rsidRPr="00011FE4">
        <w:t xml:space="preserve"> of information arising from the primary </w:t>
      </w:r>
      <w:proofErr w:type="gramStart"/>
      <w:r w:rsidR="00A25FA7" w:rsidRPr="00011FE4">
        <w:t>research</w:t>
      </w:r>
      <w:r w:rsidR="00113A1D" w:rsidRPr="00011FE4">
        <w:t xml:space="preserve">  illuminated</w:t>
      </w:r>
      <w:proofErr w:type="gramEnd"/>
      <w:r w:rsidR="00113A1D" w:rsidRPr="00011FE4">
        <w:t xml:space="preserve"> areas of commonality and divergence and revealed useful ideas for embedding of UDL beyond participating universities</w:t>
      </w:r>
      <w:r w:rsidR="007C67A9" w:rsidRPr="00011FE4">
        <w:t xml:space="preserve"> </w:t>
      </w:r>
      <w:r w:rsidR="004B1852" w:rsidRPr="00011FE4">
        <w:t xml:space="preserve"> </w:t>
      </w:r>
      <w:r w:rsidR="006748B7" w:rsidRPr="00011FE4">
        <w:t>.</w:t>
      </w:r>
      <w:r w:rsidRPr="00011FE4">
        <w:t xml:space="preserve"> </w:t>
      </w:r>
      <w:r w:rsidR="007C7E67" w:rsidRPr="00011FE4">
        <w:t xml:space="preserve">Staff contributors identified as UDL </w:t>
      </w:r>
      <w:r w:rsidR="006C4B9F" w:rsidRPr="00011FE4">
        <w:t>enthusiasts</w:t>
      </w:r>
      <w:r w:rsidR="00305AD0" w:rsidRPr="00011FE4">
        <w:t xml:space="preserve"> speaking for themselves </w:t>
      </w:r>
      <w:proofErr w:type="gramStart"/>
      <w:r w:rsidR="00305AD0" w:rsidRPr="00011FE4">
        <w:t xml:space="preserve">and </w:t>
      </w:r>
      <w:r w:rsidR="006C4B9F" w:rsidRPr="00011FE4">
        <w:t xml:space="preserve"> not</w:t>
      </w:r>
      <w:proofErr w:type="gramEnd"/>
      <w:r w:rsidR="007C7E67" w:rsidRPr="00011FE4">
        <w:t xml:space="preserve"> claiming to represent their institutions.</w:t>
      </w:r>
      <w:r w:rsidR="00497923" w:rsidRPr="00011FE4">
        <w:t xml:space="preserve"> Much of the literature quoted </w:t>
      </w:r>
      <w:proofErr w:type="gramStart"/>
      <w:r w:rsidR="00497923" w:rsidRPr="00011FE4">
        <w:t>also  revealed</w:t>
      </w:r>
      <w:proofErr w:type="gramEnd"/>
      <w:r w:rsidR="00497923" w:rsidRPr="00011FE4">
        <w:t xml:space="preserve"> </w:t>
      </w:r>
      <w:r w:rsidR="006528B5" w:rsidRPr="00011FE4">
        <w:t>enthusiast</w:t>
      </w:r>
      <w:r w:rsidR="003E504E" w:rsidRPr="00011FE4">
        <w:t>ic</w:t>
      </w:r>
      <w:r w:rsidR="006528B5" w:rsidRPr="00011FE4">
        <w:t xml:space="preserve"> engagement with the principles and practices of UDL </w:t>
      </w:r>
      <w:r w:rsidR="00497923" w:rsidRPr="00011FE4">
        <w:t>a</w:t>
      </w:r>
      <w:r w:rsidR="003E504E" w:rsidRPr="00011FE4">
        <w:t xml:space="preserve">nd corroborated </w:t>
      </w:r>
      <w:r w:rsidR="00FE1CE3" w:rsidRPr="00011FE4">
        <w:t>commonly held views of the participants of this study.</w:t>
      </w:r>
      <w:r w:rsidR="007C7E67" w:rsidRPr="00011FE4">
        <w:t xml:space="preserve"> </w:t>
      </w:r>
      <w:r w:rsidR="006C4B9F" w:rsidRPr="00011FE4">
        <w:t>Findings cannot</w:t>
      </w:r>
      <w:r w:rsidRPr="00011FE4">
        <w:t xml:space="preserve"> be over generalised but </w:t>
      </w:r>
      <w:r w:rsidR="006C4B9F" w:rsidRPr="00011FE4">
        <w:t>may contribute</w:t>
      </w:r>
      <w:r w:rsidRPr="00011FE4">
        <w:t xml:space="preserve"> to a discussion </w:t>
      </w:r>
      <w:r w:rsidR="00EA77F9" w:rsidRPr="00011FE4">
        <w:t xml:space="preserve">which is currently </w:t>
      </w:r>
      <w:r w:rsidRPr="00011FE4">
        <w:t xml:space="preserve">characterised by patchy research evidence and limited </w:t>
      </w:r>
      <w:r w:rsidR="009E2E9C" w:rsidRPr="00011FE4">
        <w:t>processes for</w:t>
      </w:r>
      <w:r w:rsidRPr="00011FE4">
        <w:t xml:space="preserve"> comparison.  U</w:t>
      </w:r>
      <w:r w:rsidR="0064466C" w:rsidRPr="00011FE4">
        <w:t>nless otherwise stated, points highlighted in the next se</w:t>
      </w:r>
      <w:r w:rsidR="00F83410" w:rsidRPr="00011FE4">
        <w:t>ct</w:t>
      </w:r>
      <w:r w:rsidR="0064466C" w:rsidRPr="00011FE4">
        <w:t xml:space="preserve">ion were common </w:t>
      </w:r>
      <w:r w:rsidR="007533FE" w:rsidRPr="00011FE4">
        <w:t xml:space="preserve">to </w:t>
      </w:r>
      <w:r w:rsidR="00F845BA" w:rsidRPr="00011FE4">
        <w:t>England</w:t>
      </w:r>
      <w:r w:rsidR="007533FE" w:rsidRPr="00011FE4">
        <w:t xml:space="preserve"> and the USA.</w:t>
      </w:r>
    </w:p>
    <w:p w14:paraId="6E27E9BB" w14:textId="25444764" w:rsidR="008D17CD" w:rsidRPr="00011FE4" w:rsidRDefault="008D17CD" w:rsidP="008D17CD">
      <w:pPr>
        <w:rPr>
          <w:b/>
          <w:i/>
        </w:rPr>
      </w:pPr>
      <w:r w:rsidRPr="00011FE4">
        <w:rPr>
          <w:b/>
          <w:i/>
        </w:rPr>
        <w:t>Strategy</w:t>
      </w:r>
      <w:r w:rsidR="0011189B" w:rsidRPr="00011FE4">
        <w:rPr>
          <w:b/>
          <w:i/>
        </w:rPr>
        <w:t xml:space="preserve"> and Collaboration</w:t>
      </w:r>
      <w:r w:rsidR="00B54169" w:rsidRPr="00011FE4">
        <w:rPr>
          <w:b/>
          <w:i/>
        </w:rPr>
        <w:t>:</w:t>
      </w:r>
    </w:p>
    <w:p w14:paraId="6C57A16F" w14:textId="5174D7C8" w:rsidR="00CC3F6F" w:rsidRPr="00011FE4" w:rsidRDefault="00215B11" w:rsidP="00CC3F6F">
      <w:pPr>
        <w:pStyle w:val="Header"/>
        <w:numPr>
          <w:ilvl w:val="0"/>
          <w:numId w:val="27"/>
        </w:numPr>
        <w:spacing w:after="120"/>
      </w:pPr>
      <w:r w:rsidRPr="00011FE4">
        <w:t>Staff</w:t>
      </w:r>
      <w:r w:rsidR="001260DD" w:rsidRPr="00011FE4">
        <w:t xml:space="preserve"> </w:t>
      </w:r>
      <w:r w:rsidR="006C4B9F" w:rsidRPr="00011FE4">
        <w:t>advocated collaborative, stakeholder</w:t>
      </w:r>
      <w:r w:rsidR="001260DD" w:rsidRPr="00011FE4">
        <w:t xml:space="preserve"> informed</w:t>
      </w:r>
      <w:r w:rsidR="007C7E67" w:rsidRPr="00011FE4">
        <w:t xml:space="preserve">, </w:t>
      </w:r>
      <w:r w:rsidR="006C4B9F" w:rsidRPr="00011FE4">
        <w:t>longitudinal approaches</w:t>
      </w:r>
      <w:r w:rsidR="00897993" w:rsidRPr="00011FE4">
        <w:t xml:space="preserve"> to change </w:t>
      </w:r>
      <w:r w:rsidR="006C4B9F" w:rsidRPr="00011FE4">
        <w:t>management championed</w:t>
      </w:r>
      <w:r w:rsidR="00897993" w:rsidRPr="00011FE4">
        <w:t xml:space="preserve"> </w:t>
      </w:r>
      <w:r w:rsidR="006C4B9F" w:rsidRPr="00011FE4">
        <w:t>at senior</w:t>
      </w:r>
      <w:r w:rsidR="00897993" w:rsidRPr="00011FE4">
        <w:t xml:space="preserve"> level and embedded into institutional </w:t>
      </w:r>
      <w:r w:rsidR="006C4B9F" w:rsidRPr="00011FE4">
        <w:t>priorities</w:t>
      </w:r>
      <w:r w:rsidR="00897993" w:rsidRPr="00011FE4">
        <w:t>.</w:t>
      </w:r>
      <w:r w:rsidR="003F4E7A" w:rsidRPr="00011FE4">
        <w:t xml:space="preserve"> </w:t>
      </w:r>
      <w:r w:rsidR="002F2089" w:rsidRPr="00011FE4">
        <w:t>T</w:t>
      </w:r>
      <w:r w:rsidR="00897993" w:rsidRPr="00011FE4">
        <w:t>ools to operationalise, assess and benchmark</w:t>
      </w:r>
      <w:r w:rsidRPr="00011FE4">
        <w:t xml:space="preserve"> UDL</w:t>
      </w:r>
      <w:r w:rsidR="00897993" w:rsidRPr="00011FE4">
        <w:t xml:space="preserve"> </w:t>
      </w:r>
      <w:r w:rsidR="006C4B9F" w:rsidRPr="00011FE4">
        <w:t>developments were</w:t>
      </w:r>
      <w:r w:rsidR="00897993" w:rsidRPr="00011FE4">
        <w:t xml:space="preserve"> </w:t>
      </w:r>
      <w:r w:rsidR="00F9113B" w:rsidRPr="00011FE4">
        <w:t>perceived to be</w:t>
      </w:r>
      <w:r w:rsidR="00897993" w:rsidRPr="00011FE4">
        <w:t xml:space="preserve"> lacking.</w:t>
      </w:r>
      <w:r w:rsidR="0023162F" w:rsidRPr="00011FE4">
        <w:t xml:space="preserve"> </w:t>
      </w:r>
      <w:r w:rsidR="0011189B" w:rsidRPr="00011FE4">
        <w:t>Student</w:t>
      </w:r>
      <w:r w:rsidR="000D1ECC" w:rsidRPr="00011FE4">
        <w:t xml:space="preserve"> </w:t>
      </w:r>
      <w:proofErr w:type="gramStart"/>
      <w:r w:rsidR="00D30334" w:rsidRPr="00011FE4">
        <w:t xml:space="preserve">participants </w:t>
      </w:r>
      <w:r w:rsidR="0011189B" w:rsidRPr="00011FE4">
        <w:t xml:space="preserve"> </w:t>
      </w:r>
      <w:r w:rsidRPr="00011FE4">
        <w:t>were</w:t>
      </w:r>
      <w:proofErr w:type="gramEnd"/>
      <w:r w:rsidRPr="00011FE4">
        <w:t xml:space="preserve"> clear that</w:t>
      </w:r>
      <w:r w:rsidR="0011189B" w:rsidRPr="00011FE4">
        <w:t xml:space="preserve"> </w:t>
      </w:r>
      <w:r w:rsidR="00074796" w:rsidRPr="00011FE4">
        <w:t>suggested</w:t>
      </w:r>
      <w:r w:rsidR="0011189B" w:rsidRPr="00011FE4">
        <w:t xml:space="preserve"> developments would not impact </w:t>
      </w:r>
      <w:r w:rsidR="003D1C02" w:rsidRPr="00011FE4">
        <w:t xml:space="preserve">directly </w:t>
      </w:r>
      <w:r w:rsidR="0011189B" w:rsidRPr="00011FE4">
        <w:t xml:space="preserve">on their </w:t>
      </w:r>
      <w:r w:rsidR="003D1C02" w:rsidRPr="00011FE4">
        <w:t xml:space="preserve">own </w:t>
      </w:r>
      <w:r w:rsidR="0011189B" w:rsidRPr="00011FE4">
        <w:t>experience</w:t>
      </w:r>
      <w:r w:rsidR="00A038AA" w:rsidRPr="00011FE4">
        <w:t xml:space="preserve"> but were keen for their ideas to influence practice in the future</w:t>
      </w:r>
      <w:r w:rsidR="0011189B" w:rsidRPr="00011FE4">
        <w:t>.</w:t>
      </w:r>
      <w:r w:rsidR="003D1C02" w:rsidRPr="00011FE4">
        <w:t xml:space="preserve">  </w:t>
      </w:r>
      <w:r w:rsidR="0011189B" w:rsidRPr="00011FE4">
        <w:t xml:space="preserve"> </w:t>
      </w:r>
      <w:r w:rsidRPr="00011FE4">
        <w:t>O</w:t>
      </w:r>
      <w:r w:rsidR="006038CC" w:rsidRPr="00011FE4">
        <w:t xml:space="preserve">nly in </w:t>
      </w:r>
      <w:r w:rsidR="0023162F" w:rsidRPr="00011FE4">
        <w:t>the small American faith</w:t>
      </w:r>
      <w:r w:rsidR="006C6739" w:rsidRPr="00011FE4">
        <w:t>-</w:t>
      </w:r>
      <w:r w:rsidR="0023162F" w:rsidRPr="00011FE4">
        <w:t xml:space="preserve">based rural university </w:t>
      </w:r>
      <w:r w:rsidR="00B13D23" w:rsidRPr="00011FE4">
        <w:t>did</w:t>
      </w:r>
      <w:r w:rsidR="0023162F" w:rsidRPr="00011FE4">
        <w:t xml:space="preserve"> </w:t>
      </w:r>
      <w:r w:rsidR="00B37587" w:rsidRPr="00011FE4">
        <w:t>senior leaders</w:t>
      </w:r>
      <w:r w:rsidR="006C6739" w:rsidRPr="00011FE4">
        <w:t xml:space="preserve"> engage</w:t>
      </w:r>
      <w:r w:rsidR="00F9113B" w:rsidRPr="00011FE4">
        <w:t xml:space="preserve"> alongside </w:t>
      </w:r>
      <w:r w:rsidR="0011189B" w:rsidRPr="00011FE4">
        <w:t>colleagues</w:t>
      </w:r>
      <w:r w:rsidR="00F9113B" w:rsidRPr="00011FE4">
        <w:t xml:space="preserve"> and </w:t>
      </w:r>
      <w:r w:rsidR="006C4B9F" w:rsidRPr="00011FE4">
        <w:t>students, in</w:t>
      </w:r>
      <w:r w:rsidR="00B37587" w:rsidRPr="00011FE4">
        <w:t xml:space="preserve"> </w:t>
      </w:r>
      <w:r w:rsidR="006C4B9F" w:rsidRPr="00011FE4">
        <w:t>multi-disciplinary</w:t>
      </w:r>
      <w:r w:rsidR="00B37587" w:rsidRPr="00011FE4">
        <w:t xml:space="preserve"> planning for UDL.</w:t>
      </w:r>
      <w:r w:rsidR="007C7E67" w:rsidRPr="00011FE4">
        <w:t xml:space="preserve"> PS staff felt disempowered despite being </w:t>
      </w:r>
      <w:r w:rsidR="006C4B9F" w:rsidRPr="00011FE4">
        <w:t>knowledgeable</w:t>
      </w:r>
      <w:r w:rsidR="007C7E67" w:rsidRPr="00011FE4">
        <w:t>.</w:t>
      </w:r>
    </w:p>
    <w:p w14:paraId="441543F2" w14:textId="791B88DD" w:rsidR="002F2089" w:rsidRPr="00011FE4" w:rsidRDefault="00BB20A1" w:rsidP="00CC3F6F">
      <w:pPr>
        <w:pStyle w:val="Header"/>
        <w:numPr>
          <w:ilvl w:val="0"/>
          <w:numId w:val="27"/>
        </w:numPr>
        <w:spacing w:after="120"/>
      </w:pPr>
      <w:r w:rsidRPr="00011FE4">
        <w:t>Staff regarded equalities legislation</w:t>
      </w:r>
      <w:r w:rsidR="006C4B9F" w:rsidRPr="00011FE4">
        <w:t xml:space="preserve"> as</w:t>
      </w:r>
      <w:r w:rsidR="002F2089" w:rsidRPr="00011FE4">
        <w:t xml:space="preserve"> an </w:t>
      </w:r>
      <w:r w:rsidR="006C4B9F" w:rsidRPr="00011FE4">
        <w:t>important hook</w:t>
      </w:r>
      <w:r w:rsidR="00B13D23" w:rsidRPr="00011FE4">
        <w:t xml:space="preserve"> on which to hang </w:t>
      </w:r>
      <w:r w:rsidR="006C4B9F" w:rsidRPr="00011FE4">
        <w:t>UDL,</w:t>
      </w:r>
      <w:r w:rsidR="00B13D23" w:rsidRPr="00011FE4">
        <w:t xml:space="preserve"> but they also acknowledged that financial arguments might carry more </w:t>
      </w:r>
      <w:r w:rsidR="006C4B9F" w:rsidRPr="00011FE4">
        <w:t>weight</w:t>
      </w:r>
      <w:r w:rsidR="00B13D23" w:rsidRPr="00011FE4">
        <w:t xml:space="preserve"> with business planners</w:t>
      </w:r>
      <w:r w:rsidR="00B142B6" w:rsidRPr="00011FE4">
        <w:t>. D</w:t>
      </w:r>
      <w:r w:rsidR="002F2089" w:rsidRPr="00011FE4">
        <w:t xml:space="preserve">isabled students </w:t>
      </w:r>
      <w:r w:rsidR="00B142B6" w:rsidRPr="00011FE4">
        <w:t>expressed</w:t>
      </w:r>
      <w:r w:rsidR="002F2089" w:rsidRPr="00011FE4">
        <w:t xml:space="preserve"> a sense of their legislative entitlements</w:t>
      </w:r>
      <w:r w:rsidR="00CC3F6F" w:rsidRPr="00011FE4">
        <w:t>.</w:t>
      </w:r>
    </w:p>
    <w:p w14:paraId="24AF53CB" w14:textId="7EFFFCE2" w:rsidR="00E87FBC" w:rsidRPr="00011FE4" w:rsidRDefault="00B37587" w:rsidP="00CC3F6F">
      <w:pPr>
        <w:pStyle w:val="ListParagraph"/>
        <w:numPr>
          <w:ilvl w:val="0"/>
          <w:numId w:val="27"/>
        </w:numPr>
        <w:spacing w:after="120"/>
        <w:contextualSpacing w:val="0"/>
      </w:pPr>
      <w:r w:rsidRPr="00011FE4">
        <w:t>A</w:t>
      </w:r>
      <w:r w:rsidR="00E87FBC" w:rsidRPr="00011FE4">
        <w:t xml:space="preserve">cademics and </w:t>
      </w:r>
      <w:r w:rsidR="00897993" w:rsidRPr="00011FE4">
        <w:t>PS</w:t>
      </w:r>
      <w:r w:rsidR="00E87FBC" w:rsidRPr="00011FE4">
        <w:t xml:space="preserve"> staff </w:t>
      </w:r>
      <w:r w:rsidR="0010470B" w:rsidRPr="00011FE4">
        <w:t>influenced by</w:t>
      </w:r>
      <w:r w:rsidR="00E87FBC" w:rsidRPr="00011FE4">
        <w:t xml:space="preserve"> </w:t>
      </w:r>
      <w:r w:rsidRPr="00011FE4">
        <w:t>C</w:t>
      </w:r>
      <w:r w:rsidR="00F9113B" w:rsidRPr="00011FE4">
        <w:t xml:space="preserve">ritical </w:t>
      </w:r>
      <w:r w:rsidRPr="00011FE4">
        <w:t>D</w:t>
      </w:r>
      <w:r w:rsidR="00F9113B" w:rsidRPr="00011FE4">
        <w:t xml:space="preserve">isability </w:t>
      </w:r>
      <w:r w:rsidRPr="00011FE4">
        <w:t>S</w:t>
      </w:r>
      <w:r w:rsidR="00F9113B" w:rsidRPr="00011FE4">
        <w:t>tudies (CDS)</w:t>
      </w:r>
      <w:r w:rsidR="00E87FBC" w:rsidRPr="00011FE4">
        <w:t xml:space="preserve"> evidenced a meeting of minds</w:t>
      </w:r>
      <w:r w:rsidRPr="00011FE4">
        <w:t xml:space="preserve"> but rarely </w:t>
      </w:r>
      <w:r w:rsidR="007C7E67" w:rsidRPr="00011FE4">
        <w:t>researched</w:t>
      </w:r>
      <w:r w:rsidRPr="00011FE4">
        <w:t xml:space="preserve"> </w:t>
      </w:r>
      <w:r w:rsidR="002F2089" w:rsidRPr="00011FE4">
        <w:t>together, a</w:t>
      </w:r>
      <w:r w:rsidR="00F9113B" w:rsidRPr="00011FE4">
        <w:t>longside</w:t>
      </w:r>
      <w:r w:rsidR="002F2089" w:rsidRPr="00011FE4">
        <w:t xml:space="preserve"> </w:t>
      </w:r>
      <w:r w:rsidR="006C6739" w:rsidRPr="00011FE4">
        <w:t>students.</w:t>
      </w:r>
      <w:r w:rsidR="006C4B9F" w:rsidRPr="00011FE4">
        <w:t xml:space="preserve"> </w:t>
      </w:r>
      <w:r w:rsidR="006C6739" w:rsidRPr="00011FE4">
        <w:t xml:space="preserve"> </w:t>
      </w:r>
      <w:r w:rsidR="006C4B9F" w:rsidRPr="00011FE4">
        <w:t>One</w:t>
      </w:r>
      <w:r w:rsidRPr="00011FE4">
        <w:t xml:space="preserve"> CDS scholar suggested that p</w:t>
      </w:r>
      <w:r w:rsidR="00E87FBC" w:rsidRPr="00011FE4">
        <w:t xml:space="preserve">sychologists, health </w:t>
      </w:r>
      <w:r w:rsidRPr="00011FE4">
        <w:t>educators,</w:t>
      </w:r>
      <w:r w:rsidR="00E87FBC" w:rsidRPr="00011FE4">
        <w:t xml:space="preserve"> sociologists and education academics viewed disability from </w:t>
      </w:r>
      <w:r w:rsidRPr="00011FE4">
        <w:t xml:space="preserve">slightly </w:t>
      </w:r>
      <w:r w:rsidR="00E87FBC" w:rsidRPr="00011FE4">
        <w:t>different angles</w:t>
      </w:r>
      <w:r w:rsidRPr="00011FE4">
        <w:t xml:space="preserve"> but UDL represented common ground.</w:t>
      </w:r>
      <w:r w:rsidR="0064466C" w:rsidRPr="00011FE4">
        <w:t xml:space="preserve"> </w:t>
      </w:r>
      <w:r w:rsidR="006C4B9F" w:rsidRPr="00011FE4">
        <w:t>Computer science academics and technical PS staff</w:t>
      </w:r>
      <w:r w:rsidR="0064466C" w:rsidRPr="00011FE4">
        <w:t xml:space="preserve"> were particularly interested in technological </w:t>
      </w:r>
      <w:r w:rsidR="006C4B9F" w:rsidRPr="00011FE4">
        <w:t>solutions</w:t>
      </w:r>
      <w:r w:rsidR="00F9113B" w:rsidRPr="00011FE4">
        <w:t xml:space="preserve"> but rarely collaborated</w:t>
      </w:r>
      <w:r w:rsidR="0064466C" w:rsidRPr="00011FE4">
        <w:t xml:space="preserve">. </w:t>
      </w:r>
      <w:r w:rsidR="00E87FBC" w:rsidRPr="00011FE4">
        <w:t xml:space="preserve">   </w:t>
      </w:r>
    </w:p>
    <w:p w14:paraId="3EF119FF" w14:textId="3B140F43" w:rsidR="00CC3F6F" w:rsidRPr="00011FE4" w:rsidRDefault="00E87FBC" w:rsidP="00CC3F6F">
      <w:pPr>
        <w:pStyle w:val="ListParagraph"/>
        <w:numPr>
          <w:ilvl w:val="0"/>
          <w:numId w:val="27"/>
        </w:numPr>
        <w:spacing w:after="120"/>
        <w:contextualSpacing w:val="0"/>
      </w:pPr>
      <w:r w:rsidRPr="00011FE4">
        <w:t xml:space="preserve">UDL </w:t>
      </w:r>
      <w:r w:rsidR="00B37587" w:rsidRPr="00011FE4">
        <w:t>was viewed as creating a</w:t>
      </w:r>
      <w:r w:rsidR="0010470B" w:rsidRPr="00011FE4">
        <w:t xml:space="preserve"> cost</w:t>
      </w:r>
      <w:r w:rsidR="00ED403C" w:rsidRPr="00011FE4">
        <w:t>-</w:t>
      </w:r>
      <w:r w:rsidR="0010470B" w:rsidRPr="00011FE4">
        <w:t>effective widely beneficial</w:t>
      </w:r>
      <w:r w:rsidRPr="00011FE4">
        <w:t xml:space="preserve"> infrastructure </w:t>
      </w:r>
      <w:r w:rsidR="0010470B" w:rsidRPr="00011FE4">
        <w:t>which could</w:t>
      </w:r>
      <w:r w:rsidR="0011189B" w:rsidRPr="00011FE4">
        <w:t xml:space="preserve"> reduc</w:t>
      </w:r>
      <w:r w:rsidR="0010470B" w:rsidRPr="00011FE4">
        <w:t>e</w:t>
      </w:r>
      <w:r w:rsidR="007533FE" w:rsidRPr="00011FE4">
        <w:t xml:space="preserve"> r</w:t>
      </w:r>
      <w:r w:rsidR="00CA3EE4" w:rsidRPr="00011FE4">
        <w:t xml:space="preserve">eliance </w:t>
      </w:r>
      <w:r w:rsidR="006C4B9F" w:rsidRPr="00011FE4">
        <w:t>on individual</w:t>
      </w:r>
      <w:r w:rsidR="00D0053F" w:rsidRPr="00011FE4">
        <w:t xml:space="preserve"> adjustments</w:t>
      </w:r>
      <w:r w:rsidR="0010470B" w:rsidRPr="00011FE4">
        <w:t xml:space="preserve"> but</w:t>
      </w:r>
      <w:r w:rsidR="00ED403C" w:rsidRPr="00011FE4">
        <w:t xml:space="preserve"> was</w:t>
      </w:r>
      <w:r w:rsidR="00D0053F" w:rsidRPr="00011FE4">
        <w:t xml:space="preserve"> </w:t>
      </w:r>
      <w:r w:rsidR="006C4B9F" w:rsidRPr="00011FE4">
        <w:t>not a</w:t>
      </w:r>
      <w:r w:rsidR="00D0053F" w:rsidRPr="00011FE4">
        <w:t xml:space="preserve"> universal panacea</w:t>
      </w:r>
      <w:r w:rsidR="0010470B" w:rsidRPr="00011FE4">
        <w:t>. Staff acknowledged that</w:t>
      </w:r>
      <w:r w:rsidR="00D0053F" w:rsidRPr="00011FE4">
        <w:t xml:space="preserve"> </w:t>
      </w:r>
      <w:r w:rsidR="00910318" w:rsidRPr="00011FE4">
        <w:t>limited</w:t>
      </w:r>
      <w:r w:rsidR="00D0053F" w:rsidRPr="00011FE4">
        <w:t xml:space="preserve"> </w:t>
      </w:r>
      <w:r w:rsidR="0011189B" w:rsidRPr="00011FE4">
        <w:t>bespoke input</w:t>
      </w:r>
      <w:r w:rsidR="00910318" w:rsidRPr="00011FE4">
        <w:t xml:space="preserve"> would always be necessary</w:t>
      </w:r>
      <w:r w:rsidR="0011189B" w:rsidRPr="00011FE4">
        <w:t>.</w:t>
      </w:r>
    </w:p>
    <w:p w14:paraId="6766CD5A" w14:textId="29BD77BC" w:rsidR="00CC3F6F" w:rsidRPr="00011FE4" w:rsidRDefault="006C4B9F" w:rsidP="00CC3F6F">
      <w:pPr>
        <w:pStyle w:val="ListParagraph"/>
        <w:numPr>
          <w:ilvl w:val="0"/>
          <w:numId w:val="27"/>
        </w:numPr>
        <w:spacing w:after="120"/>
        <w:ind w:left="714" w:hanging="357"/>
        <w:contextualSpacing w:val="0"/>
      </w:pPr>
      <w:r w:rsidRPr="00011FE4">
        <w:t>Staff described</w:t>
      </w:r>
      <w:r w:rsidR="003F0F19" w:rsidRPr="00011FE4">
        <w:t xml:space="preserve"> pockets of inclusive </w:t>
      </w:r>
      <w:r w:rsidRPr="00011FE4">
        <w:t>practice not</w:t>
      </w:r>
      <w:r w:rsidR="003F0F19" w:rsidRPr="00011FE4">
        <w:t xml:space="preserve"> necessarily permeat</w:t>
      </w:r>
      <w:r w:rsidR="0011189B" w:rsidRPr="00011FE4">
        <w:t>ing</w:t>
      </w:r>
      <w:r w:rsidR="003F0F19" w:rsidRPr="00011FE4">
        <w:t xml:space="preserve"> </w:t>
      </w:r>
      <w:r w:rsidR="00F9113B" w:rsidRPr="00011FE4">
        <w:t>the wider</w:t>
      </w:r>
      <w:r w:rsidR="003F0F19" w:rsidRPr="00011FE4">
        <w:t xml:space="preserve"> HEI</w:t>
      </w:r>
      <w:r w:rsidR="0011189B" w:rsidRPr="00011FE4">
        <w:t>,</w:t>
      </w:r>
      <w:r w:rsidR="003F0F19" w:rsidRPr="00011FE4">
        <w:t xml:space="preserve"> and difficulty </w:t>
      </w:r>
      <w:r w:rsidR="002F2089" w:rsidRPr="00011FE4">
        <w:t>evaluating longitudinal impacts</w:t>
      </w:r>
      <w:r w:rsidR="003F0F19" w:rsidRPr="00011FE4">
        <w:t>. PS colleagues ha</w:t>
      </w:r>
      <w:r w:rsidR="00910318" w:rsidRPr="00011FE4">
        <w:t>d</w:t>
      </w:r>
      <w:r w:rsidR="003F0F19" w:rsidRPr="00011FE4">
        <w:t xml:space="preserve"> </w:t>
      </w:r>
      <w:r w:rsidR="00910318" w:rsidRPr="00011FE4">
        <w:t>more of an</w:t>
      </w:r>
      <w:r w:rsidR="003F0F19" w:rsidRPr="00011FE4">
        <w:t xml:space="preserve"> institutional overview than </w:t>
      </w:r>
      <w:r w:rsidR="0011189B" w:rsidRPr="00011FE4">
        <w:t>lecturers</w:t>
      </w:r>
      <w:r w:rsidR="007533FE" w:rsidRPr="00011FE4">
        <w:t>.</w:t>
      </w:r>
      <w:r w:rsidR="003F0F19" w:rsidRPr="00011FE4">
        <w:t xml:space="preserve"> Students felt that some </w:t>
      </w:r>
      <w:r w:rsidR="0011189B" w:rsidRPr="00011FE4">
        <w:t>academics</w:t>
      </w:r>
      <w:r w:rsidR="003F0F19" w:rsidRPr="00011FE4">
        <w:t xml:space="preserve"> understood and operationalised </w:t>
      </w:r>
      <w:r w:rsidR="0011189B" w:rsidRPr="00011FE4">
        <w:t>UDL</w:t>
      </w:r>
      <w:r w:rsidR="003F0F19" w:rsidRPr="00011FE4">
        <w:t xml:space="preserve"> better than others.</w:t>
      </w:r>
      <w:r w:rsidR="002F2089" w:rsidRPr="00011FE4">
        <w:t xml:space="preserve"> Practical staff development </w:t>
      </w:r>
      <w:r w:rsidR="0011189B" w:rsidRPr="00011FE4">
        <w:t>w</w:t>
      </w:r>
      <w:r w:rsidR="002F2089" w:rsidRPr="00011FE4">
        <w:t xml:space="preserve">as identified as </w:t>
      </w:r>
      <w:r w:rsidRPr="00011FE4">
        <w:t>a requirement</w:t>
      </w:r>
      <w:r w:rsidR="002F2089" w:rsidRPr="00011FE4">
        <w:t>.</w:t>
      </w:r>
    </w:p>
    <w:p w14:paraId="28ACDED1" w14:textId="31C83C03" w:rsidR="003F0F19" w:rsidRPr="00011FE4" w:rsidRDefault="006C4B9F" w:rsidP="00CC3F6F">
      <w:pPr>
        <w:pStyle w:val="ListParagraph"/>
        <w:numPr>
          <w:ilvl w:val="0"/>
          <w:numId w:val="27"/>
        </w:numPr>
        <w:spacing w:after="120"/>
      </w:pPr>
      <w:r w:rsidRPr="00011FE4">
        <w:t>Institutional</w:t>
      </w:r>
      <w:r w:rsidR="003F0F19" w:rsidRPr="00011FE4">
        <w:t xml:space="preserve"> </w:t>
      </w:r>
      <w:r w:rsidR="00F9113B" w:rsidRPr="00011FE4">
        <w:t>enablers include</w:t>
      </w:r>
      <w:r w:rsidR="003F0F19" w:rsidRPr="00011FE4">
        <w:t xml:space="preserve"> NADP</w:t>
      </w:r>
      <w:r w:rsidR="00F9113B" w:rsidRPr="00011FE4">
        <w:t>-UK</w:t>
      </w:r>
      <w:r w:rsidR="00F27209" w:rsidRPr="00011FE4">
        <w:t>’s</w:t>
      </w:r>
      <w:r w:rsidR="003F0F19" w:rsidRPr="00011FE4">
        <w:t xml:space="preserve"> increasingly internationalised network for developing inclusive practices</w:t>
      </w:r>
      <w:r w:rsidR="00A85265" w:rsidRPr="00011FE4">
        <w:t>.</w:t>
      </w:r>
      <w:r w:rsidR="003F0F19" w:rsidRPr="00011FE4">
        <w:t xml:space="preserve"> AHEAD fulfils a similar function in America but participation is </w:t>
      </w:r>
      <w:r w:rsidR="00E07E23" w:rsidRPr="00011FE4">
        <w:t xml:space="preserve"> </w:t>
      </w:r>
      <w:r w:rsidR="00E16B52" w:rsidRPr="00011FE4">
        <w:t xml:space="preserve"> apparently </w:t>
      </w:r>
      <w:r w:rsidR="003F0F19" w:rsidRPr="00011FE4">
        <w:t>more expensive.</w:t>
      </w:r>
      <w:r w:rsidR="00A85265" w:rsidRPr="00011FE4">
        <w:t xml:space="preserve"> F</w:t>
      </w:r>
      <w:r w:rsidR="00F9113B" w:rsidRPr="00011FE4">
        <w:t xml:space="preserve">ew academics and senior leaders </w:t>
      </w:r>
      <w:r w:rsidR="00A85265" w:rsidRPr="00011FE4">
        <w:t>participate</w:t>
      </w:r>
      <w:r w:rsidR="00C425B4" w:rsidRPr="00011FE4">
        <w:t xml:space="preserve"> in these networks</w:t>
      </w:r>
      <w:r w:rsidR="00F9113B" w:rsidRPr="00011FE4">
        <w:t>.</w:t>
      </w:r>
      <w:r w:rsidR="003F0F19" w:rsidRPr="00011FE4">
        <w:t xml:space="preserve"> </w:t>
      </w:r>
    </w:p>
    <w:p w14:paraId="4DAD48CC" w14:textId="71AFFF0D" w:rsidR="003F0F19" w:rsidRPr="00011FE4" w:rsidRDefault="003F0F19" w:rsidP="00CC3F6F">
      <w:pPr>
        <w:pStyle w:val="Header"/>
        <w:numPr>
          <w:ilvl w:val="0"/>
          <w:numId w:val="27"/>
        </w:numPr>
        <w:spacing w:after="120"/>
      </w:pPr>
      <w:r w:rsidRPr="00011FE4">
        <w:t xml:space="preserve">Staff </w:t>
      </w:r>
      <w:r w:rsidR="00A85265" w:rsidRPr="00011FE4">
        <w:t>were conflicted about the Medical Model</w:t>
      </w:r>
      <w:r w:rsidRPr="00011FE4">
        <w:t xml:space="preserve"> </w:t>
      </w:r>
      <w:r w:rsidR="00A85265" w:rsidRPr="00011FE4">
        <w:t>diagnosis</w:t>
      </w:r>
      <w:r w:rsidRPr="00011FE4">
        <w:t xml:space="preserve"> </w:t>
      </w:r>
      <w:r w:rsidR="00A85265" w:rsidRPr="00011FE4">
        <w:t xml:space="preserve">necessary </w:t>
      </w:r>
      <w:r w:rsidRPr="00011FE4">
        <w:t xml:space="preserve">to access disability services and </w:t>
      </w:r>
      <w:r w:rsidR="00A85265" w:rsidRPr="00011FE4">
        <w:t>felt others wh</w:t>
      </w:r>
      <w:r w:rsidRPr="00011FE4">
        <w:t xml:space="preserve">o could benefit from similar </w:t>
      </w:r>
      <w:r w:rsidR="006C4B9F" w:rsidRPr="00011FE4">
        <w:t>arrangements were</w:t>
      </w:r>
      <w:r w:rsidRPr="00011FE4">
        <w:t xml:space="preserve"> missing out. </w:t>
      </w:r>
      <w:r w:rsidR="007533FE" w:rsidRPr="00011FE4">
        <w:t xml:space="preserve"> Paying </w:t>
      </w:r>
      <w:r w:rsidR="00466E91" w:rsidRPr="00011FE4">
        <w:t xml:space="preserve">for </w:t>
      </w:r>
      <w:r w:rsidR="00ED403C" w:rsidRPr="00011FE4">
        <w:t>diagnostic</w:t>
      </w:r>
      <w:r w:rsidR="007533FE" w:rsidRPr="00011FE4">
        <w:t xml:space="preserve"> assessment to evidence entitlement to disability </w:t>
      </w:r>
      <w:r w:rsidR="006C4B9F" w:rsidRPr="00011FE4">
        <w:t>accommodations</w:t>
      </w:r>
      <w:r w:rsidR="007533FE" w:rsidRPr="00011FE4">
        <w:t xml:space="preserve"> was more of an issue in America than the UK.</w:t>
      </w:r>
    </w:p>
    <w:p w14:paraId="3DDFB30D" w14:textId="255412BF" w:rsidR="00472A90" w:rsidRPr="00011FE4" w:rsidRDefault="118435A4" w:rsidP="00CC3F6F">
      <w:pPr>
        <w:pStyle w:val="Header"/>
        <w:numPr>
          <w:ilvl w:val="0"/>
          <w:numId w:val="27"/>
        </w:numPr>
        <w:spacing w:after="120"/>
      </w:pPr>
      <w:r w:rsidRPr="00011FE4">
        <w:t xml:space="preserve">Finance to help non-disabled marginalised learners was problematic. Despite having no equivalent to DSA funding in the US, UK colleagues were generally more concerned about money, especially as DSA was under review at the time of writing. American PS staff said </w:t>
      </w:r>
      <w:r w:rsidRPr="00011FE4">
        <w:lastRenderedPageBreak/>
        <w:t>that funding accommodations for disabled students was not always simple. American students</w:t>
      </w:r>
      <w:r w:rsidR="00525471" w:rsidRPr="00011FE4">
        <w:t>, for example,</w:t>
      </w:r>
      <w:r w:rsidRPr="00011FE4">
        <w:t xml:space="preserve"> discussed tensions between the university and a private sorority house about funding ramped access. Despite insurance, one disabled British student studying in the United States was worried about the lack of a National Health Service and resolved never to call an ambulance because of cost. </w:t>
      </w:r>
    </w:p>
    <w:p w14:paraId="5ADC23FE" w14:textId="77777777" w:rsidR="00CC3F6F" w:rsidRPr="00011FE4" w:rsidRDefault="00CC3F6F" w:rsidP="00CC3F6F">
      <w:pPr>
        <w:pStyle w:val="Header"/>
        <w:ind w:left="720"/>
      </w:pPr>
    </w:p>
    <w:p w14:paraId="32F7EC8E" w14:textId="3B762E46" w:rsidR="00ED403C" w:rsidRPr="00011FE4" w:rsidRDefault="00ED403C" w:rsidP="006868F9">
      <w:pPr>
        <w:pStyle w:val="Header"/>
        <w:spacing w:after="120"/>
      </w:pPr>
      <w:r w:rsidRPr="00011FE4">
        <w:rPr>
          <w:b/>
          <w:i/>
        </w:rPr>
        <w:t>Practicalities and People</w:t>
      </w:r>
    </w:p>
    <w:p w14:paraId="3F2AE136" w14:textId="025706A0" w:rsidR="0064466C" w:rsidRPr="00011FE4" w:rsidRDefault="0064466C" w:rsidP="006868F9">
      <w:pPr>
        <w:pStyle w:val="Header"/>
        <w:numPr>
          <w:ilvl w:val="0"/>
          <w:numId w:val="27"/>
        </w:numPr>
        <w:spacing w:after="120"/>
        <w:ind w:left="714" w:hanging="357"/>
      </w:pPr>
      <w:r w:rsidRPr="00011FE4">
        <w:t xml:space="preserve">Except for participants from the small </w:t>
      </w:r>
      <w:r w:rsidR="006C4B9F" w:rsidRPr="00011FE4">
        <w:t>rural American</w:t>
      </w:r>
      <w:r w:rsidRPr="00011FE4">
        <w:t xml:space="preserve"> university, which </w:t>
      </w:r>
      <w:r w:rsidR="00472A90" w:rsidRPr="00011FE4">
        <w:t>particularly emphasised</w:t>
      </w:r>
      <w:r w:rsidRPr="00011FE4">
        <w:t xml:space="preserve"> community and pastoral care, academic</w:t>
      </w:r>
      <w:r w:rsidR="00472A90" w:rsidRPr="00011FE4">
        <w:t>s</w:t>
      </w:r>
      <w:r w:rsidR="00103A24" w:rsidRPr="00011FE4">
        <w:t>, especially from WP contexts,</w:t>
      </w:r>
      <w:r w:rsidRPr="00011FE4">
        <w:t xml:space="preserve"> </w:t>
      </w:r>
      <w:r w:rsidR="00694D21" w:rsidRPr="00011FE4">
        <w:t>expressed</w:t>
      </w:r>
      <w:r w:rsidRPr="00011FE4">
        <w:t xml:space="preserve"> frustration </w:t>
      </w:r>
      <w:r w:rsidR="006C4B9F" w:rsidRPr="00011FE4">
        <w:t>about student</w:t>
      </w:r>
      <w:r w:rsidRPr="00011FE4">
        <w:t xml:space="preserve"> </w:t>
      </w:r>
      <w:r w:rsidR="00103A24" w:rsidRPr="00011FE4">
        <w:t xml:space="preserve">demands </w:t>
      </w:r>
      <w:r w:rsidR="006C4B9F" w:rsidRPr="00011FE4">
        <w:t>exceeding capacity.</w:t>
      </w:r>
      <w:r w:rsidR="00694D21" w:rsidRPr="00011FE4">
        <w:t xml:space="preserve"> Learners</w:t>
      </w:r>
      <w:r w:rsidR="00103A24" w:rsidRPr="00011FE4">
        <w:t xml:space="preserve"> from WP</w:t>
      </w:r>
      <w:r w:rsidRPr="00011FE4">
        <w:t xml:space="preserve"> </w:t>
      </w:r>
      <w:r w:rsidR="006C4B9F" w:rsidRPr="00011FE4">
        <w:t>settings expected</w:t>
      </w:r>
      <w:r w:rsidRPr="00011FE4">
        <w:t xml:space="preserve"> </w:t>
      </w:r>
      <w:r w:rsidR="00103A24" w:rsidRPr="00011FE4">
        <w:t>support but were unclear how to access it.</w:t>
      </w:r>
      <w:r w:rsidR="00694D21" w:rsidRPr="00011FE4">
        <w:t xml:space="preserve"> Lecture</w:t>
      </w:r>
      <w:r w:rsidR="00466E91" w:rsidRPr="00011FE4">
        <w:t>r</w:t>
      </w:r>
      <w:r w:rsidR="00694D21" w:rsidRPr="00011FE4">
        <w:t>s</w:t>
      </w:r>
      <w:r w:rsidR="00103A24" w:rsidRPr="00011FE4">
        <w:t xml:space="preserve"> did not </w:t>
      </w:r>
      <w:r w:rsidR="00694D21" w:rsidRPr="00011FE4">
        <w:t>necessarily know</w:t>
      </w:r>
      <w:r w:rsidR="009F0082" w:rsidRPr="00011FE4">
        <w:t xml:space="preserve"> what was available</w:t>
      </w:r>
      <w:r w:rsidR="00694D21" w:rsidRPr="00011FE4">
        <w:t xml:space="preserve"> </w:t>
      </w:r>
      <w:r w:rsidR="006C4B9F" w:rsidRPr="00011FE4">
        <w:t>either.</w:t>
      </w:r>
      <w:r w:rsidRPr="00011FE4">
        <w:t xml:space="preserve">  </w:t>
      </w:r>
    </w:p>
    <w:p w14:paraId="6B0EA995" w14:textId="5F2C51BF" w:rsidR="0064466C" w:rsidRPr="00011FE4" w:rsidRDefault="118435A4" w:rsidP="006868F9">
      <w:pPr>
        <w:pStyle w:val="Header"/>
        <w:numPr>
          <w:ilvl w:val="0"/>
          <w:numId w:val="27"/>
        </w:numPr>
        <w:spacing w:after="120"/>
        <w:ind w:left="714" w:hanging="357"/>
      </w:pPr>
      <w:r w:rsidRPr="00011FE4">
        <w:t>Students and staff acknowledged that services had to respond to course structure. Part-time evening students found access to PS limited and induction imprecise about support mechanisms. American athletic scholarship students tended to have access to bespoke arrangements. Ambiguous vocational ‘fitness to practise’ policies were a concern.</w:t>
      </w:r>
    </w:p>
    <w:p w14:paraId="2034C029" w14:textId="08AF9A5C" w:rsidR="00236B5F" w:rsidRPr="00011FE4" w:rsidRDefault="006C4B9F" w:rsidP="006868F9">
      <w:pPr>
        <w:pStyle w:val="ListParagraph"/>
        <w:numPr>
          <w:ilvl w:val="0"/>
          <w:numId w:val="27"/>
        </w:numPr>
        <w:spacing w:after="120"/>
        <w:ind w:left="714" w:hanging="357"/>
        <w:contextualSpacing w:val="0"/>
      </w:pPr>
      <w:r w:rsidRPr="00011FE4">
        <w:t>Students</w:t>
      </w:r>
      <w:r w:rsidR="00D0053F" w:rsidRPr="00011FE4">
        <w:t xml:space="preserve"> from elite universities</w:t>
      </w:r>
      <w:r w:rsidR="00501791" w:rsidRPr="00011FE4">
        <w:t xml:space="preserve"> generally exhibited </w:t>
      </w:r>
      <w:r w:rsidR="00E46456" w:rsidRPr="00011FE4">
        <w:t>more academic preparedness and</w:t>
      </w:r>
      <w:r w:rsidR="002131BC" w:rsidRPr="00011FE4">
        <w:t xml:space="preserve"> learner autonomy than their WP counterparts. The</w:t>
      </w:r>
      <w:r w:rsidR="00896114" w:rsidRPr="00011FE4">
        <w:t>ir concerns</w:t>
      </w:r>
      <w:r w:rsidR="001D3634" w:rsidRPr="00011FE4">
        <w:t xml:space="preserve"> were mainly around</w:t>
      </w:r>
      <w:r w:rsidR="00896114" w:rsidRPr="00011FE4">
        <w:t xml:space="preserve"> managing workloads</w:t>
      </w:r>
      <w:r w:rsidR="00E87FBC" w:rsidRPr="00011FE4">
        <w:t xml:space="preserve"> a</w:t>
      </w:r>
      <w:r w:rsidR="00896114" w:rsidRPr="00011FE4">
        <w:t xml:space="preserve">nd they </w:t>
      </w:r>
      <w:r w:rsidR="00A76EC4" w:rsidRPr="00011FE4">
        <w:t>found interventions such as</w:t>
      </w:r>
      <w:r w:rsidR="00E87FBC" w:rsidRPr="00011FE4">
        <w:t xml:space="preserve"> prioritised reading lists</w:t>
      </w:r>
      <w:r w:rsidR="00A76EC4" w:rsidRPr="00011FE4">
        <w:t xml:space="preserve"> beneficial</w:t>
      </w:r>
      <w:r w:rsidR="00E87FBC" w:rsidRPr="00011FE4">
        <w:t xml:space="preserve">. </w:t>
      </w:r>
      <w:r w:rsidR="00D0053F" w:rsidRPr="00011FE4">
        <w:t xml:space="preserve">Those from WP contexts, and the small rural American university, expected staff to </w:t>
      </w:r>
      <w:r w:rsidR="0026544E" w:rsidRPr="00011FE4">
        <w:t xml:space="preserve">nurture their </w:t>
      </w:r>
      <w:r w:rsidR="00896114" w:rsidRPr="00011FE4">
        <w:t>scholarly</w:t>
      </w:r>
      <w:r w:rsidR="0026544E" w:rsidRPr="00011FE4">
        <w:t xml:space="preserve"> development.</w:t>
      </w:r>
      <w:r w:rsidR="00896114" w:rsidRPr="00011FE4">
        <w:t xml:space="preserve"> </w:t>
      </w:r>
      <w:r w:rsidRPr="00011FE4">
        <w:t>Orientating students</w:t>
      </w:r>
      <w:r w:rsidR="00E87FBC" w:rsidRPr="00011FE4">
        <w:t xml:space="preserve"> towards </w:t>
      </w:r>
      <w:r w:rsidR="007B0336" w:rsidRPr="00011FE4">
        <w:t>support for their academic development was identified as good practice.</w:t>
      </w:r>
      <w:r w:rsidR="00E87FBC" w:rsidRPr="00011FE4">
        <w:t xml:space="preserve"> </w:t>
      </w:r>
    </w:p>
    <w:p w14:paraId="6D82F341" w14:textId="5A7B5FFE" w:rsidR="005473D4" w:rsidRPr="00011FE4" w:rsidRDefault="007B0336" w:rsidP="006868F9">
      <w:pPr>
        <w:pStyle w:val="ListParagraph"/>
        <w:numPr>
          <w:ilvl w:val="0"/>
          <w:numId w:val="27"/>
        </w:numPr>
        <w:spacing w:after="120"/>
        <w:ind w:left="714" w:hanging="357"/>
        <w:contextualSpacing w:val="0"/>
      </w:pPr>
      <w:r w:rsidRPr="00011FE4">
        <w:t>P</w:t>
      </w:r>
      <w:r w:rsidR="0000266D" w:rsidRPr="00011FE4">
        <w:t>overty and</w:t>
      </w:r>
      <w:r w:rsidR="00E87FBC" w:rsidRPr="00011FE4">
        <w:t xml:space="preserve"> </w:t>
      </w:r>
      <w:r w:rsidR="0000266D" w:rsidRPr="00011FE4">
        <w:t xml:space="preserve">pressure </w:t>
      </w:r>
      <w:r w:rsidR="006C4B9F" w:rsidRPr="00011FE4">
        <w:t>of working</w:t>
      </w:r>
      <w:r w:rsidR="00E87FBC" w:rsidRPr="00011FE4">
        <w:t xml:space="preserve"> </w:t>
      </w:r>
      <w:r w:rsidR="002131BC" w:rsidRPr="00011FE4">
        <w:t>while studying</w:t>
      </w:r>
      <w:r w:rsidR="0000266D" w:rsidRPr="00011FE4">
        <w:t xml:space="preserve"> was more </w:t>
      </w:r>
      <w:r w:rsidR="006C4B9F" w:rsidRPr="00011FE4">
        <w:t>prevalent</w:t>
      </w:r>
      <w:r w:rsidR="0000266D" w:rsidRPr="00011FE4">
        <w:t xml:space="preserve"> in WP </w:t>
      </w:r>
      <w:r w:rsidR="005264AF" w:rsidRPr="00011FE4">
        <w:t>settings</w:t>
      </w:r>
      <w:r w:rsidR="00634A02" w:rsidRPr="00011FE4">
        <w:t>. Equalities legislation did not seem to help.</w:t>
      </w:r>
      <w:r w:rsidR="00E87FBC" w:rsidRPr="00011FE4">
        <w:t xml:space="preserve"> </w:t>
      </w:r>
      <w:r w:rsidR="00CA3EE4" w:rsidRPr="00011FE4">
        <w:t>A</w:t>
      </w:r>
      <w:r w:rsidR="002131BC" w:rsidRPr="00011FE4">
        <w:t>djustments</w:t>
      </w:r>
      <w:r w:rsidR="00E87FBC" w:rsidRPr="00011FE4">
        <w:t xml:space="preserve"> included </w:t>
      </w:r>
      <w:r w:rsidR="00784912" w:rsidRPr="00011FE4">
        <w:t xml:space="preserve">lecture recording and </w:t>
      </w:r>
      <w:r w:rsidR="00022A28" w:rsidRPr="00011FE4">
        <w:t>remote</w:t>
      </w:r>
      <w:r w:rsidR="005264AF" w:rsidRPr="00011FE4">
        <w:t xml:space="preserve"> </w:t>
      </w:r>
      <w:r w:rsidR="006C4B9F" w:rsidRPr="00011FE4">
        <w:t>VLE access,</w:t>
      </w:r>
      <w:r w:rsidR="00CC4E70" w:rsidRPr="00011FE4">
        <w:t xml:space="preserve"> but s</w:t>
      </w:r>
      <w:r w:rsidR="005264AF" w:rsidRPr="00011FE4">
        <w:t>ome</w:t>
      </w:r>
      <w:r w:rsidR="0000266D" w:rsidRPr="00011FE4">
        <w:t xml:space="preserve"> </w:t>
      </w:r>
      <w:r w:rsidR="006C4B9F" w:rsidRPr="00011FE4">
        <w:t>academics feared</w:t>
      </w:r>
      <w:r w:rsidR="00022A28" w:rsidRPr="00011FE4">
        <w:t xml:space="preserve"> negative</w:t>
      </w:r>
      <w:r w:rsidR="0000266D" w:rsidRPr="00011FE4">
        <w:t xml:space="preserve"> impact on attendance. </w:t>
      </w:r>
      <w:r w:rsidR="005473D4" w:rsidRPr="00011FE4">
        <w:t xml:space="preserve">Disabled students in </w:t>
      </w:r>
      <w:r w:rsidR="00BB20A1" w:rsidRPr="00011FE4">
        <w:t>t</w:t>
      </w:r>
      <w:r w:rsidR="005473D4" w:rsidRPr="00011FE4">
        <w:t xml:space="preserve">he </w:t>
      </w:r>
      <w:r w:rsidR="00BB20A1" w:rsidRPr="00011FE4">
        <w:t xml:space="preserve">United </w:t>
      </w:r>
      <w:r w:rsidR="005473D4" w:rsidRPr="00011FE4">
        <w:t xml:space="preserve">States </w:t>
      </w:r>
      <w:r w:rsidR="006C4B9F" w:rsidRPr="00011FE4">
        <w:t>faced disadvantage</w:t>
      </w:r>
      <w:r w:rsidR="005473D4" w:rsidRPr="00011FE4">
        <w:t xml:space="preserve"> </w:t>
      </w:r>
      <w:r w:rsidR="00472A90" w:rsidRPr="00011FE4">
        <w:t>around</w:t>
      </w:r>
      <w:r w:rsidR="005473D4" w:rsidRPr="00011FE4">
        <w:t xml:space="preserve"> having to fund medical </w:t>
      </w:r>
      <w:r w:rsidR="006C4B9F" w:rsidRPr="00011FE4">
        <w:t>evidence to</w:t>
      </w:r>
      <w:r w:rsidR="005473D4" w:rsidRPr="00011FE4">
        <w:t xml:space="preserve"> access </w:t>
      </w:r>
      <w:r w:rsidR="006C4B9F" w:rsidRPr="00011FE4">
        <w:t>accommodations</w:t>
      </w:r>
      <w:r w:rsidR="005473D4" w:rsidRPr="00011FE4">
        <w:t xml:space="preserve">.  Occasionally this happens in the UK, but the cost </w:t>
      </w:r>
      <w:r w:rsidR="006C4B9F" w:rsidRPr="00011FE4">
        <w:t>is less</w:t>
      </w:r>
      <w:r w:rsidR="005473D4" w:rsidRPr="00011FE4">
        <w:t>.</w:t>
      </w:r>
    </w:p>
    <w:p w14:paraId="38F57258" w14:textId="1A560AF5" w:rsidR="00E87FBC" w:rsidRPr="00011FE4" w:rsidRDefault="00022A28" w:rsidP="006868F9">
      <w:pPr>
        <w:pStyle w:val="Header"/>
        <w:numPr>
          <w:ilvl w:val="0"/>
          <w:numId w:val="27"/>
        </w:numPr>
        <w:spacing w:after="120"/>
        <w:ind w:left="714" w:hanging="357"/>
      </w:pPr>
      <w:r w:rsidRPr="00011FE4">
        <w:t>Evidence of increasing s</w:t>
      </w:r>
      <w:r w:rsidR="005222F7" w:rsidRPr="00011FE4">
        <w:t>tudent m</w:t>
      </w:r>
      <w:r w:rsidR="00E87FBC" w:rsidRPr="00011FE4">
        <w:t xml:space="preserve">ental health </w:t>
      </w:r>
      <w:r w:rsidRPr="00011FE4">
        <w:t xml:space="preserve">concerns was </w:t>
      </w:r>
      <w:r w:rsidR="00634A02" w:rsidRPr="00011FE4">
        <w:t xml:space="preserve">common </w:t>
      </w:r>
      <w:r w:rsidR="006C4B9F" w:rsidRPr="00011FE4">
        <w:t>to settings</w:t>
      </w:r>
      <w:r w:rsidR="008605EB" w:rsidRPr="00011FE4">
        <w:t xml:space="preserve"> other than the small rural American university</w:t>
      </w:r>
      <w:r w:rsidR="005473D4" w:rsidRPr="00011FE4">
        <w:t>.</w:t>
      </w:r>
      <w:r w:rsidR="00AA4745" w:rsidRPr="00011FE4">
        <w:t xml:space="preserve"> </w:t>
      </w:r>
      <w:r w:rsidR="008605EB" w:rsidRPr="00011FE4">
        <w:t>Contributors from elite institutions</w:t>
      </w:r>
      <w:r w:rsidR="0000266D" w:rsidRPr="00011FE4">
        <w:t xml:space="preserve"> cited</w:t>
      </w:r>
      <w:r w:rsidR="008605EB" w:rsidRPr="00011FE4">
        <w:t xml:space="preserve"> </w:t>
      </w:r>
      <w:r w:rsidR="0000266D" w:rsidRPr="00011FE4">
        <w:t>challenging</w:t>
      </w:r>
      <w:r w:rsidR="008605EB" w:rsidRPr="00011FE4">
        <w:t xml:space="preserve"> expectations</w:t>
      </w:r>
      <w:r w:rsidR="0000266D" w:rsidRPr="00011FE4">
        <w:t xml:space="preserve"> as a factor</w:t>
      </w:r>
      <w:r w:rsidR="008605EB" w:rsidRPr="00011FE4">
        <w:t xml:space="preserve"> while social disadvantage</w:t>
      </w:r>
      <w:r w:rsidR="0000266D" w:rsidRPr="00011FE4">
        <w:t xml:space="preserve"> was the </w:t>
      </w:r>
      <w:r w:rsidR="006C4B9F" w:rsidRPr="00011FE4">
        <w:t>primary</w:t>
      </w:r>
      <w:r w:rsidR="0000266D" w:rsidRPr="00011FE4">
        <w:t xml:space="preserve"> </w:t>
      </w:r>
      <w:r w:rsidR="00CC4E70" w:rsidRPr="00011FE4">
        <w:t>consideration</w:t>
      </w:r>
      <w:r w:rsidR="0000266D" w:rsidRPr="00011FE4">
        <w:t xml:space="preserve"> in WP contexts</w:t>
      </w:r>
      <w:r w:rsidR="008605EB" w:rsidRPr="00011FE4">
        <w:t>.</w:t>
      </w:r>
      <w:r w:rsidRPr="00011FE4">
        <w:t xml:space="preserve"> </w:t>
      </w:r>
      <w:r w:rsidR="00AA4745" w:rsidRPr="00011FE4">
        <w:t xml:space="preserve">One British PS practitioner </w:t>
      </w:r>
      <w:r w:rsidR="00634A02" w:rsidRPr="00011FE4">
        <w:t>was concerned about</w:t>
      </w:r>
      <w:r w:rsidR="005473D4" w:rsidRPr="00011FE4">
        <w:t xml:space="preserve"> external agencies</w:t>
      </w:r>
      <w:r w:rsidRPr="00011FE4">
        <w:t xml:space="preserve"> </w:t>
      </w:r>
      <w:r w:rsidR="006C4B9F" w:rsidRPr="00011FE4">
        <w:t>signposting towards</w:t>
      </w:r>
      <w:r w:rsidRPr="00011FE4">
        <w:t xml:space="preserve"> </w:t>
      </w:r>
      <w:r w:rsidR="006C4B9F" w:rsidRPr="00011FE4">
        <w:t>university</w:t>
      </w:r>
      <w:r w:rsidR="008C6F12" w:rsidRPr="00011FE4">
        <w:t>,</w:t>
      </w:r>
      <w:r w:rsidR="006C4B9F" w:rsidRPr="00011FE4">
        <w:t xml:space="preserve"> </w:t>
      </w:r>
      <w:r w:rsidR="008C6F12" w:rsidRPr="00011FE4">
        <w:t xml:space="preserve">for its apparent therapeutic benefits, </w:t>
      </w:r>
      <w:r w:rsidR="006C4B9F" w:rsidRPr="00011FE4">
        <w:t>because</w:t>
      </w:r>
      <w:r w:rsidRPr="00011FE4">
        <w:t xml:space="preserve"> of the </w:t>
      </w:r>
      <w:r w:rsidR="00634A02" w:rsidRPr="00011FE4">
        <w:t>lack</w:t>
      </w:r>
      <w:r w:rsidRPr="00011FE4">
        <w:t xml:space="preserve"> of </w:t>
      </w:r>
      <w:r w:rsidR="00634A02" w:rsidRPr="00011FE4">
        <w:t xml:space="preserve">less </w:t>
      </w:r>
      <w:r w:rsidR="006C4B9F" w:rsidRPr="00011FE4">
        <w:t>pressured community</w:t>
      </w:r>
      <w:r w:rsidRPr="00011FE4">
        <w:t xml:space="preserve"> </w:t>
      </w:r>
      <w:r w:rsidR="006C4B9F" w:rsidRPr="00011FE4">
        <w:t>education</w:t>
      </w:r>
      <w:r w:rsidR="009825C3" w:rsidRPr="00011FE4">
        <w:t xml:space="preserve"> provision</w:t>
      </w:r>
      <w:r w:rsidR="006C4B9F" w:rsidRPr="00011FE4">
        <w:t>.</w:t>
      </w:r>
      <w:r w:rsidR="008605EB" w:rsidRPr="00011FE4">
        <w:t xml:space="preserve"> </w:t>
      </w:r>
    </w:p>
    <w:p w14:paraId="51E1E5A1" w14:textId="31CEFB9D" w:rsidR="0064466C" w:rsidRPr="00011FE4" w:rsidRDefault="0091454E" w:rsidP="006868F9">
      <w:pPr>
        <w:pStyle w:val="ListParagraph"/>
        <w:numPr>
          <w:ilvl w:val="0"/>
          <w:numId w:val="27"/>
        </w:numPr>
        <w:spacing w:after="120"/>
        <w:ind w:left="714" w:hanging="357"/>
        <w:contextualSpacing w:val="0"/>
      </w:pPr>
      <w:r w:rsidRPr="00011FE4">
        <w:t>UG and PG</w:t>
      </w:r>
      <w:r w:rsidR="00E87FBC" w:rsidRPr="00011FE4">
        <w:t xml:space="preserve"> </w:t>
      </w:r>
      <w:r w:rsidRPr="00011FE4">
        <w:t>learners</w:t>
      </w:r>
      <w:r w:rsidR="00E87FBC" w:rsidRPr="00011FE4">
        <w:t xml:space="preserve"> </w:t>
      </w:r>
      <w:r w:rsidR="006C4B9F" w:rsidRPr="00011FE4">
        <w:t>found absence</w:t>
      </w:r>
      <w:r w:rsidRPr="00011FE4">
        <w:t xml:space="preserve"> </w:t>
      </w:r>
      <w:r w:rsidR="00361398" w:rsidRPr="00011FE4">
        <w:t xml:space="preserve">of </w:t>
      </w:r>
      <w:r w:rsidR="00E87FBC" w:rsidRPr="00011FE4">
        <w:t>clear</w:t>
      </w:r>
      <w:r w:rsidR="00022A28" w:rsidRPr="00011FE4">
        <w:t xml:space="preserve"> </w:t>
      </w:r>
      <w:r w:rsidR="006C4B9F" w:rsidRPr="00011FE4">
        <w:t>signposting to</w:t>
      </w:r>
      <w:r w:rsidRPr="00011FE4">
        <w:t xml:space="preserve"> PS services</w:t>
      </w:r>
      <w:r w:rsidR="0000266D" w:rsidRPr="00011FE4">
        <w:t xml:space="preserve"> </w:t>
      </w:r>
      <w:r w:rsidR="006C4B9F" w:rsidRPr="00011FE4">
        <w:t>frustrating.</w:t>
      </w:r>
      <w:r w:rsidR="00E87FBC" w:rsidRPr="00011FE4">
        <w:t xml:space="preserve"> UK students </w:t>
      </w:r>
      <w:r w:rsidR="006C4B9F" w:rsidRPr="00011FE4">
        <w:t>experienced DSA</w:t>
      </w:r>
      <w:r w:rsidR="00361398" w:rsidRPr="00011FE4">
        <w:t xml:space="preserve"> as</w:t>
      </w:r>
      <w:r w:rsidR="006C4B9F" w:rsidRPr="00011FE4">
        <w:t xml:space="preserve"> ‘</w:t>
      </w:r>
      <w:r w:rsidR="00E87FBC" w:rsidRPr="00011FE4">
        <w:t xml:space="preserve">over-bureaucratic’. </w:t>
      </w:r>
      <w:r w:rsidR="00AC768D" w:rsidRPr="00011FE4">
        <w:t xml:space="preserve">Students from the small </w:t>
      </w:r>
      <w:r w:rsidR="006C4B9F" w:rsidRPr="00011FE4">
        <w:t>rural American</w:t>
      </w:r>
      <w:r w:rsidR="00AC768D" w:rsidRPr="00011FE4">
        <w:t xml:space="preserve"> university </w:t>
      </w:r>
      <w:r w:rsidR="00022A28" w:rsidRPr="00011FE4">
        <w:t>described</w:t>
      </w:r>
      <w:r w:rsidR="00AC768D" w:rsidRPr="00011FE4">
        <w:t xml:space="preserve"> embarrass</w:t>
      </w:r>
      <w:r w:rsidR="00022A28" w:rsidRPr="00011FE4">
        <w:t>ment about</w:t>
      </w:r>
      <w:r w:rsidR="00AC768D" w:rsidRPr="00011FE4">
        <w:t xml:space="preserve"> access</w:t>
      </w:r>
      <w:r w:rsidRPr="00011FE4">
        <w:t>ing</w:t>
      </w:r>
      <w:r w:rsidR="00AC768D" w:rsidRPr="00011FE4">
        <w:t xml:space="preserve"> support. </w:t>
      </w:r>
      <w:r w:rsidR="00022A28" w:rsidRPr="00011FE4">
        <w:t>S</w:t>
      </w:r>
      <w:r w:rsidR="00AC768D" w:rsidRPr="00011FE4">
        <w:t>taff responded by resolving t</w:t>
      </w:r>
      <w:r w:rsidR="00022A28" w:rsidRPr="00011FE4">
        <w:t>o</w:t>
      </w:r>
      <w:r w:rsidR="00AC768D" w:rsidRPr="00011FE4">
        <w:t xml:space="preserve"> make seeking </w:t>
      </w:r>
      <w:r w:rsidR="00361398" w:rsidRPr="00011FE4">
        <w:t xml:space="preserve">help </w:t>
      </w:r>
      <w:r w:rsidR="00AC768D" w:rsidRPr="00011FE4">
        <w:t xml:space="preserve">feel more </w:t>
      </w:r>
      <w:r w:rsidR="006C4B9F" w:rsidRPr="00011FE4">
        <w:t>ordinary.</w:t>
      </w:r>
    </w:p>
    <w:p w14:paraId="47D4149F" w14:textId="40A832D4" w:rsidR="00661B8F" w:rsidRPr="00011FE4" w:rsidRDefault="006C4B9F" w:rsidP="006868F9">
      <w:pPr>
        <w:pStyle w:val="Header"/>
        <w:numPr>
          <w:ilvl w:val="0"/>
          <w:numId w:val="27"/>
        </w:numPr>
        <w:spacing w:after="120"/>
        <w:ind w:left="714" w:hanging="357"/>
      </w:pPr>
      <w:r w:rsidRPr="00011FE4">
        <w:t>International students</w:t>
      </w:r>
      <w:r w:rsidR="00661B8F" w:rsidRPr="00011FE4">
        <w:t xml:space="preserve"> studying in </w:t>
      </w:r>
      <w:r w:rsidR="00361398" w:rsidRPr="00011FE4">
        <w:t>t</w:t>
      </w:r>
      <w:r w:rsidR="00661B8F" w:rsidRPr="00011FE4">
        <w:t xml:space="preserve">he </w:t>
      </w:r>
      <w:r w:rsidR="00361398" w:rsidRPr="00011FE4">
        <w:t>USA</w:t>
      </w:r>
      <w:r w:rsidR="00661B8F" w:rsidRPr="00011FE4">
        <w:t xml:space="preserve"> did not recall disability being mentioned </w:t>
      </w:r>
      <w:r w:rsidRPr="00011FE4">
        <w:t>during induction</w:t>
      </w:r>
      <w:r w:rsidR="00661B8F" w:rsidRPr="00011FE4">
        <w:t xml:space="preserve">. UK staff felt conflicted about meeting the requirements of disabled international students and those not entitled </w:t>
      </w:r>
      <w:r w:rsidRPr="00011FE4">
        <w:t>to DSA</w:t>
      </w:r>
      <w:r w:rsidR="00661B8F" w:rsidRPr="00011FE4">
        <w:t xml:space="preserve">. </w:t>
      </w:r>
    </w:p>
    <w:p w14:paraId="68D67545" w14:textId="1C270D80" w:rsidR="0077487F" w:rsidRPr="00011FE4" w:rsidRDefault="00BF1E1B" w:rsidP="006868F9">
      <w:pPr>
        <w:pStyle w:val="Header"/>
        <w:numPr>
          <w:ilvl w:val="0"/>
          <w:numId w:val="27"/>
        </w:numPr>
        <w:spacing w:after="120"/>
        <w:ind w:left="714" w:hanging="357"/>
      </w:pPr>
      <w:r w:rsidRPr="00011FE4">
        <w:t>S</w:t>
      </w:r>
      <w:r w:rsidR="0077487F" w:rsidRPr="00011FE4">
        <w:t>tudents</w:t>
      </w:r>
      <w:r w:rsidR="00E3172A" w:rsidRPr="00011FE4">
        <w:t xml:space="preserve"> </w:t>
      </w:r>
      <w:r w:rsidR="006C4B9F" w:rsidRPr="00011FE4">
        <w:t>felt UDL</w:t>
      </w:r>
      <w:r w:rsidR="00E3172A" w:rsidRPr="00011FE4">
        <w:t xml:space="preserve"> could improve their university</w:t>
      </w:r>
      <w:r w:rsidR="005B4E4E" w:rsidRPr="00011FE4">
        <w:t xml:space="preserve"> experience</w:t>
      </w:r>
      <w:r w:rsidR="00E3172A" w:rsidRPr="00011FE4">
        <w:t xml:space="preserve"> in and beyond the classroom.</w:t>
      </w:r>
      <w:r w:rsidR="0077487F" w:rsidRPr="00011FE4">
        <w:t xml:space="preserve"> </w:t>
      </w:r>
      <w:r w:rsidR="005B4E4E" w:rsidRPr="00011FE4">
        <w:t xml:space="preserve"> </w:t>
      </w:r>
      <w:r w:rsidR="00E3172A" w:rsidRPr="00011FE4">
        <w:t>E</w:t>
      </w:r>
      <w:r w:rsidR="005B4E4E" w:rsidRPr="00011FE4">
        <w:t xml:space="preserve">xamples </w:t>
      </w:r>
      <w:proofErr w:type="gramStart"/>
      <w:r w:rsidR="005B4E4E" w:rsidRPr="00011FE4">
        <w:t>included</w:t>
      </w:r>
      <w:r w:rsidR="00755318" w:rsidRPr="00011FE4">
        <w:t>;</w:t>
      </w:r>
      <w:proofErr w:type="gramEnd"/>
      <w:r w:rsidR="005B4E4E" w:rsidRPr="00011FE4">
        <w:t xml:space="preserve"> captioning, lecture capture</w:t>
      </w:r>
      <w:r w:rsidR="00034EE6" w:rsidRPr="00011FE4">
        <w:t>,</w:t>
      </w:r>
      <w:r w:rsidR="005B4E4E" w:rsidRPr="00011FE4">
        <w:t xml:space="preserve"> notes in advance via the VLE</w:t>
      </w:r>
      <w:r w:rsidR="00034EE6" w:rsidRPr="00011FE4">
        <w:t xml:space="preserve">, joined up information about </w:t>
      </w:r>
      <w:r w:rsidR="00897993" w:rsidRPr="00011FE4">
        <w:t>PS</w:t>
      </w:r>
      <w:r w:rsidR="00034EE6" w:rsidRPr="00011FE4">
        <w:t>,</w:t>
      </w:r>
      <w:r w:rsidR="000913EE" w:rsidRPr="00011FE4">
        <w:t xml:space="preserve"> physical access and </w:t>
      </w:r>
      <w:r w:rsidR="00080734" w:rsidRPr="00011FE4">
        <w:t xml:space="preserve">quiet spaces to reduce </w:t>
      </w:r>
      <w:r w:rsidR="000913EE" w:rsidRPr="00011FE4">
        <w:t xml:space="preserve">sensory </w:t>
      </w:r>
      <w:r w:rsidR="00080734" w:rsidRPr="00011FE4">
        <w:t xml:space="preserve">overload. </w:t>
      </w:r>
      <w:r w:rsidR="00755318" w:rsidRPr="00011FE4">
        <w:t>Feelings of</w:t>
      </w:r>
      <w:r w:rsidR="00080734" w:rsidRPr="00011FE4">
        <w:t xml:space="preserve"> belonging </w:t>
      </w:r>
      <w:r w:rsidR="006748B7" w:rsidRPr="00011FE4">
        <w:t>and reliability</w:t>
      </w:r>
      <w:r w:rsidR="00080734" w:rsidRPr="00011FE4">
        <w:t xml:space="preserve"> of systems and staff were identified as </w:t>
      </w:r>
      <w:r w:rsidR="006C4B9F" w:rsidRPr="00011FE4">
        <w:t>important</w:t>
      </w:r>
      <w:r w:rsidR="000F0D0F" w:rsidRPr="00011FE4">
        <w:t xml:space="preserve"> and related in that not having to ask for ‘special treatment, enhanced feelings of </w:t>
      </w:r>
      <w:proofErr w:type="gramStart"/>
      <w:r w:rsidR="000F0D0F" w:rsidRPr="00011FE4">
        <w:t>belonging</w:t>
      </w:r>
      <w:r w:rsidR="002D5DA0" w:rsidRPr="00011FE4">
        <w:t>.</w:t>
      </w:r>
      <w:r w:rsidR="006C4B9F" w:rsidRPr="00011FE4">
        <w:t>.</w:t>
      </w:r>
      <w:proofErr w:type="gramEnd"/>
      <w:r w:rsidR="00080734" w:rsidRPr="00011FE4">
        <w:t xml:space="preserve"> </w:t>
      </w:r>
      <w:r w:rsidR="0091454E" w:rsidRPr="00011FE4">
        <w:t>Learners</w:t>
      </w:r>
      <w:r w:rsidR="00080734" w:rsidRPr="00011FE4">
        <w:t xml:space="preserve"> commented that lecturers sometimes chose to put notes onto the VLE </w:t>
      </w:r>
      <w:r w:rsidR="006C4B9F" w:rsidRPr="00011FE4">
        <w:t>after classes</w:t>
      </w:r>
      <w:r w:rsidR="000134A0" w:rsidRPr="00011FE4">
        <w:t>, rather than in advance</w:t>
      </w:r>
      <w:r w:rsidR="007425DF" w:rsidRPr="00011FE4">
        <w:t>. T</w:t>
      </w:r>
      <w:r w:rsidR="00080734" w:rsidRPr="00011FE4">
        <w:t>his felt like unequal treatment</w:t>
      </w:r>
      <w:r w:rsidR="00D76399" w:rsidRPr="00011FE4">
        <w:t>, to those who needed notes in advance</w:t>
      </w:r>
      <w:r w:rsidR="00080734" w:rsidRPr="00011FE4">
        <w:t>.</w:t>
      </w:r>
    </w:p>
    <w:p w14:paraId="1D2CDB4F" w14:textId="77777777" w:rsidR="00ED403C" w:rsidRPr="00011FE4" w:rsidRDefault="00ED403C" w:rsidP="00ED403C">
      <w:pPr>
        <w:pStyle w:val="Header"/>
        <w:ind w:left="720"/>
      </w:pPr>
    </w:p>
    <w:p w14:paraId="78966D2A" w14:textId="684E12A5" w:rsidR="00ED403C" w:rsidRPr="00011FE4" w:rsidRDefault="00ED403C" w:rsidP="006868F9">
      <w:pPr>
        <w:pStyle w:val="Header"/>
        <w:spacing w:after="120"/>
      </w:pPr>
      <w:r w:rsidRPr="00011FE4">
        <w:rPr>
          <w:b/>
          <w:i/>
        </w:rPr>
        <w:t>Technology</w:t>
      </w:r>
    </w:p>
    <w:p w14:paraId="588BEAF6" w14:textId="0BB14D69" w:rsidR="003152C0" w:rsidRPr="00011FE4" w:rsidRDefault="006C4B9F" w:rsidP="006868F9">
      <w:pPr>
        <w:pStyle w:val="Header"/>
        <w:numPr>
          <w:ilvl w:val="0"/>
          <w:numId w:val="27"/>
        </w:numPr>
        <w:spacing w:after="120"/>
      </w:pPr>
      <w:r w:rsidRPr="00011FE4">
        <w:t>Staff</w:t>
      </w:r>
      <w:r w:rsidR="00982FBB" w:rsidRPr="00011FE4">
        <w:t xml:space="preserve"> and students</w:t>
      </w:r>
      <w:r w:rsidR="00E1176B" w:rsidRPr="00011FE4">
        <w:t xml:space="preserve"> </w:t>
      </w:r>
      <w:r w:rsidR="00755318" w:rsidRPr="00011FE4">
        <w:t>felt t</w:t>
      </w:r>
      <w:r w:rsidR="00982FBB" w:rsidRPr="00011FE4">
        <w:t>hat technology was rapidly</w:t>
      </w:r>
      <w:r w:rsidR="000913EE" w:rsidRPr="00011FE4">
        <w:t xml:space="preserve"> improving</w:t>
      </w:r>
      <w:r w:rsidR="00361398" w:rsidRPr="00011FE4">
        <w:t>,</w:t>
      </w:r>
      <w:r w:rsidR="000913EE" w:rsidRPr="00011FE4">
        <w:t xml:space="preserve"> </w:t>
      </w:r>
      <w:r w:rsidR="006748B7" w:rsidRPr="00011FE4">
        <w:t>with accessibility</w:t>
      </w:r>
      <w:r w:rsidR="000913EE" w:rsidRPr="00011FE4">
        <w:t xml:space="preserve"> </w:t>
      </w:r>
      <w:r w:rsidR="00EC32AC" w:rsidRPr="00011FE4">
        <w:t xml:space="preserve">features increasingly </w:t>
      </w:r>
      <w:r w:rsidR="009D1D26" w:rsidRPr="00011FE4">
        <w:t xml:space="preserve">widely and cheaply </w:t>
      </w:r>
      <w:r w:rsidRPr="00011FE4">
        <w:t>available and</w:t>
      </w:r>
      <w:r w:rsidR="009D1D26" w:rsidRPr="00011FE4">
        <w:t xml:space="preserve"> use of smar</w:t>
      </w:r>
      <w:r w:rsidR="008E50A4" w:rsidRPr="00011FE4">
        <w:t>t</w:t>
      </w:r>
      <w:r w:rsidR="009D1D26" w:rsidRPr="00011FE4">
        <w:t xml:space="preserve"> phones</w:t>
      </w:r>
      <w:r w:rsidR="008E50A4" w:rsidRPr="00011FE4">
        <w:t xml:space="preserve"> becoming</w:t>
      </w:r>
      <w:r w:rsidR="009D1D26" w:rsidRPr="00011FE4">
        <w:t xml:space="preserve"> </w:t>
      </w:r>
      <w:r w:rsidRPr="00011FE4">
        <w:t>commonplace. Computer</w:t>
      </w:r>
      <w:r w:rsidR="00581BA1" w:rsidRPr="00011FE4">
        <w:t xml:space="preserve"> science</w:t>
      </w:r>
      <w:r w:rsidR="009D1D26" w:rsidRPr="00011FE4">
        <w:t xml:space="preserve"> lecturers</w:t>
      </w:r>
      <w:r w:rsidR="00581BA1" w:rsidRPr="00011FE4">
        <w:t xml:space="preserve"> were particularly keen but did not necessarily collaborate with assistive technologists. </w:t>
      </w:r>
      <w:r w:rsidR="00EC32AC" w:rsidRPr="00011FE4">
        <w:t xml:space="preserve"> </w:t>
      </w:r>
      <w:r w:rsidR="000913EE" w:rsidRPr="00011FE4">
        <w:t xml:space="preserve"> </w:t>
      </w:r>
      <w:r w:rsidR="007B7850" w:rsidRPr="00011FE4">
        <w:t xml:space="preserve">Staff acknowledged that </w:t>
      </w:r>
      <w:r w:rsidR="00F56111" w:rsidRPr="00011FE4">
        <w:t xml:space="preserve">although </w:t>
      </w:r>
      <w:r w:rsidR="008E50A4" w:rsidRPr="00011FE4">
        <w:t>modern</w:t>
      </w:r>
      <w:r w:rsidR="00F56111" w:rsidRPr="00011FE4">
        <w:t xml:space="preserve"> a</w:t>
      </w:r>
      <w:r w:rsidR="007B7850" w:rsidRPr="00011FE4">
        <w:t xml:space="preserve">ccessibility features </w:t>
      </w:r>
      <w:r w:rsidRPr="00011FE4">
        <w:t>reduced requirements</w:t>
      </w:r>
      <w:r w:rsidR="007B7850" w:rsidRPr="00011FE4">
        <w:t xml:space="preserve"> for bespoke </w:t>
      </w:r>
      <w:r w:rsidRPr="00011FE4">
        <w:t>solutions</w:t>
      </w:r>
      <w:r w:rsidR="00361398" w:rsidRPr="00011FE4">
        <w:t>,</w:t>
      </w:r>
      <w:r w:rsidR="007B7850" w:rsidRPr="00011FE4">
        <w:t xml:space="preserve"> there would always be some students </w:t>
      </w:r>
      <w:r w:rsidR="008E50A4" w:rsidRPr="00011FE4">
        <w:t>needing</w:t>
      </w:r>
      <w:r w:rsidR="007B7850" w:rsidRPr="00011FE4">
        <w:t xml:space="preserve"> specialist provision.</w:t>
      </w:r>
      <w:r w:rsidR="0077487F" w:rsidRPr="00011FE4">
        <w:t xml:space="preserve">  </w:t>
      </w:r>
    </w:p>
    <w:p w14:paraId="0263AABB" w14:textId="7F187BE4" w:rsidR="0077487F" w:rsidRPr="00011FE4" w:rsidRDefault="00230E87" w:rsidP="006868F9">
      <w:pPr>
        <w:pStyle w:val="Header"/>
        <w:numPr>
          <w:ilvl w:val="0"/>
          <w:numId w:val="27"/>
        </w:numPr>
        <w:spacing w:after="120"/>
      </w:pPr>
      <w:r w:rsidRPr="00011FE4">
        <w:t>Some lecturers</w:t>
      </w:r>
      <w:r w:rsidR="00F56111" w:rsidRPr="00011FE4">
        <w:t>,</w:t>
      </w:r>
      <w:r w:rsidR="00061875" w:rsidRPr="00011FE4">
        <w:t xml:space="preserve"> although </w:t>
      </w:r>
      <w:r w:rsidR="00F56111" w:rsidRPr="00011FE4">
        <w:t xml:space="preserve">philosophically </w:t>
      </w:r>
      <w:r w:rsidR="00061875" w:rsidRPr="00011FE4">
        <w:t xml:space="preserve">on board with </w:t>
      </w:r>
      <w:r w:rsidR="006C4B9F" w:rsidRPr="00011FE4">
        <w:t>technology, felt their</w:t>
      </w:r>
      <w:r w:rsidR="00061875" w:rsidRPr="00011FE4">
        <w:t xml:space="preserve"> </w:t>
      </w:r>
      <w:r w:rsidR="00F56111" w:rsidRPr="00011FE4">
        <w:t>ICT</w:t>
      </w:r>
      <w:r w:rsidR="00061875" w:rsidRPr="00011FE4">
        <w:t xml:space="preserve"> training requirements were </w:t>
      </w:r>
      <w:r w:rsidR="006C4B9F" w:rsidRPr="00011FE4">
        <w:t>unsupported.</w:t>
      </w:r>
      <w:r w:rsidR="00061875" w:rsidRPr="00011FE4">
        <w:t xml:space="preserve"> Students found</w:t>
      </w:r>
      <w:r w:rsidR="008E50A4" w:rsidRPr="00011FE4">
        <w:t xml:space="preserve"> apparently technologically ineffective</w:t>
      </w:r>
      <w:r w:rsidR="00061875" w:rsidRPr="00011FE4">
        <w:t xml:space="preserve"> lecturers somewhat irritating</w:t>
      </w:r>
      <w:r w:rsidR="00F56111" w:rsidRPr="00011FE4">
        <w:t xml:space="preserve">. </w:t>
      </w:r>
      <w:r w:rsidR="009623BF" w:rsidRPr="00011FE4">
        <w:t>Some</w:t>
      </w:r>
      <w:r w:rsidR="00462641" w:rsidRPr="00011FE4">
        <w:t xml:space="preserve"> focussed on customer entitlement. </w:t>
      </w:r>
      <w:r w:rsidR="00061875" w:rsidRPr="00011FE4">
        <w:t xml:space="preserve"> </w:t>
      </w:r>
      <w:r w:rsidR="00500D60" w:rsidRPr="00011FE4">
        <w:t xml:space="preserve"> </w:t>
      </w:r>
    </w:p>
    <w:p w14:paraId="0E6AFE53" w14:textId="724F89FB" w:rsidR="0077487F" w:rsidRPr="00011FE4" w:rsidRDefault="00361398" w:rsidP="006868F9">
      <w:pPr>
        <w:pStyle w:val="Header"/>
        <w:numPr>
          <w:ilvl w:val="0"/>
          <w:numId w:val="27"/>
        </w:numPr>
        <w:spacing w:after="120"/>
      </w:pPr>
      <w:r w:rsidRPr="00011FE4">
        <w:t>VLE</w:t>
      </w:r>
      <w:r w:rsidR="00EF5C42" w:rsidRPr="00011FE4">
        <w:t>s</w:t>
      </w:r>
      <w:r w:rsidR="006748B7" w:rsidRPr="00011FE4">
        <w:t xml:space="preserve"> were</w:t>
      </w:r>
      <w:r w:rsidR="00F22425" w:rsidRPr="00011FE4">
        <w:t xml:space="preserve"> universally</w:t>
      </w:r>
      <w:r w:rsidR="00230E87" w:rsidRPr="00011FE4">
        <w:t xml:space="preserve"> </w:t>
      </w:r>
      <w:r w:rsidR="006748B7" w:rsidRPr="00011FE4">
        <w:t>viewed as</w:t>
      </w:r>
      <w:r w:rsidR="00230E87" w:rsidRPr="00011FE4">
        <w:t xml:space="preserve"> </w:t>
      </w:r>
      <w:r w:rsidR="00F22425" w:rsidRPr="00011FE4">
        <w:t>useful</w:t>
      </w:r>
      <w:r w:rsidR="00F56111" w:rsidRPr="00011FE4">
        <w:t xml:space="preserve"> but PS staff</w:t>
      </w:r>
      <w:r w:rsidR="001D5362" w:rsidRPr="00011FE4">
        <w:t xml:space="preserve"> with an institutional overview</w:t>
      </w:r>
      <w:r w:rsidR="00F56111" w:rsidRPr="00011FE4">
        <w:t xml:space="preserve"> observed inconsistent practice.</w:t>
      </w:r>
      <w:r w:rsidR="00F22425" w:rsidRPr="00011FE4">
        <w:t xml:space="preserve"> Students emphasised reliability and commented that</w:t>
      </w:r>
      <w:r w:rsidR="00230E87" w:rsidRPr="00011FE4">
        <w:t xml:space="preserve"> not</w:t>
      </w:r>
      <w:r w:rsidR="00F87A1B" w:rsidRPr="00011FE4">
        <w:t>e</w:t>
      </w:r>
      <w:r w:rsidR="00230E87" w:rsidRPr="00011FE4">
        <w:t xml:space="preserve">s </w:t>
      </w:r>
      <w:r w:rsidR="00F22425" w:rsidRPr="00011FE4">
        <w:t>posted after lecture</w:t>
      </w:r>
      <w:r w:rsidR="00F56111" w:rsidRPr="00011FE4">
        <w:t>s</w:t>
      </w:r>
      <w:r w:rsidR="00230E87" w:rsidRPr="00011FE4">
        <w:t xml:space="preserve"> and </w:t>
      </w:r>
      <w:r w:rsidR="00F22425" w:rsidRPr="00011FE4">
        <w:t xml:space="preserve">lack of </w:t>
      </w:r>
      <w:r w:rsidR="00230E87" w:rsidRPr="00011FE4">
        <w:t>captioning</w:t>
      </w:r>
      <w:r w:rsidR="00F22425" w:rsidRPr="00011FE4">
        <w:t xml:space="preserve"> reduced accessibility.</w:t>
      </w:r>
      <w:r w:rsidR="00D76AA4" w:rsidRPr="00011FE4">
        <w:t xml:space="preserve"> </w:t>
      </w:r>
      <w:r w:rsidR="00F87A1B" w:rsidRPr="00011FE4">
        <w:t xml:space="preserve"> </w:t>
      </w:r>
    </w:p>
    <w:p w14:paraId="34546A63" w14:textId="2CE8D723" w:rsidR="0077487F" w:rsidRPr="00011FE4" w:rsidRDefault="00D76AA4" w:rsidP="006868F9">
      <w:pPr>
        <w:pStyle w:val="Header"/>
        <w:numPr>
          <w:ilvl w:val="0"/>
          <w:numId w:val="27"/>
        </w:numPr>
        <w:spacing w:after="120"/>
      </w:pPr>
      <w:r w:rsidRPr="00011FE4">
        <w:t>Students liked a</w:t>
      </w:r>
      <w:r w:rsidR="00F0101B" w:rsidRPr="00011FE4">
        <w:t>udio r</w:t>
      </w:r>
      <w:r w:rsidR="0077487F" w:rsidRPr="00011FE4">
        <w:t xml:space="preserve">ecording </w:t>
      </w:r>
      <w:r w:rsidR="006C4B9F" w:rsidRPr="00011FE4">
        <w:t>and lecture</w:t>
      </w:r>
      <w:r w:rsidR="009623BF" w:rsidRPr="00011FE4">
        <w:t xml:space="preserve"> </w:t>
      </w:r>
      <w:r w:rsidR="006C4B9F" w:rsidRPr="00011FE4">
        <w:t>capture. Some</w:t>
      </w:r>
      <w:r w:rsidR="009623BF" w:rsidRPr="00011FE4">
        <w:t xml:space="preserve"> </w:t>
      </w:r>
      <w:r w:rsidR="00EF5C42" w:rsidRPr="00011FE4">
        <w:t>resented</w:t>
      </w:r>
      <w:r w:rsidRPr="00011FE4">
        <w:t xml:space="preserve"> ask</w:t>
      </w:r>
      <w:r w:rsidR="00EF5C42" w:rsidRPr="00011FE4">
        <w:t>ing</w:t>
      </w:r>
      <w:r w:rsidRPr="00011FE4">
        <w:t xml:space="preserve"> </w:t>
      </w:r>
      <w:r w:rsidR="006C4B9F" w:rsidRPr="00011FE4">
        <w:t>permission as</w:t>
      </w:r>
      <w:r w:rsidR="00EF5C42" w:rsidRPr="00011FE4">
        <w:t xml:space="preserve"> mobile</w:t>
      </w:r>
      <w:r w:rsidRPr="00011FE4">
        <w:t xml:space="preserve"> phone technology has rendered </w:t>
      </w:r>
      <w:r w:rsidR="00EF5C42" w:rsidRPr="00011FE4">
        <w:t>the practice ordinary.</w:t>
      </w:r>
      <w:r w:rsidRPr="00011FE4">
        <w:t xml:space="preserve"> </w:t>
      </w:r>
      <w:r w:rsidR="009623BF" w:rsidRPr="00011FE4">
        <w:t>L</w:t>
      </w:r>
      <w:r w:rsidR="00EF5C42" w:rsidRPr="00011FE4">
        <w:t xml:space="preserve">ecturers </w:t>
      </w:r>
      <w:r w:rsidR="009623BF" w:rsidRPr="00011FE4">
        <w:t>discussed</w:t>
      </w:r>
      <w:r w:rsidR="00EF5C42" w:rsidRPr="00011FE4">
        <w:t xml:space="preserve"> initial reluctance around all forms of recording which subsided </w:t>
      </w:r>
      <w:r w:rsidR="001D5362" w:rsidRPr="00011FE4">
        <w:t xml:space="preserve">with </w:t>
      </w:r>
      <w:r w:rsidR="006C4B9F" w:rsidRPr="00011FE4">
        <w:t>familiarity. Lecture</w:t>
      </w:r>
      <w:r w:rsidR="00F0101B" w:rsidRPr="00011FE4">
        <w:t xml:space="preserve"> </w:t>
      </w:r>
      <w:r w:rsidR="006C4B9F" w:rsidRPr="00011FE4">
        <w:t>capture did</w:t>
      </w:r>
      <w:r w:rsidR="00F0101B" w:rsidRPr="00011FE4">
        <w:t xml:space="preserve"> not </w:t>
      </w:r>
      <w:r w:rsidR="001D5362" w:rsidRPr="00011FE4">
        <w:t xml:space="preserve">usually </w:t>
      </w:r>
      <w:r w:rsidR="00F0101B" w:rsidRPr="00011FE4">
        <w:t>extend to seminars</w:t>
      </w:r>
      <w:r w:rsidRPr="00011FE4">
        <w:t>. A</w:t>
      </w:r>
      <w:r w:rsidR="00F0101B" w:rsidRPr="00011FE4">
        <w:t xml:space="preserve">cademics </w:t>
      </w:r>
      <w:r w:rsidRPr="00011FE4">
        <w:t xml:space="preserve">and students agreed that doing so </w:t>
      </w:r>
      <w:r w:rsidR="00361398" w:rsidRPr="00011FE4">
        <w:t>might</w:t>
      </w:r>
      <w:r w:rsidRPr="00011FE4">
        <w:t xml:space="preserve"> inhibit </w:t>
      </w:r>
      <w:r w:rsidR="006C4B9F" w:rsidRPr="00011FE4">
        <w:t>discussion.</w:t>
      </w:r>
    </w:p>
    <w:p w14:paraId="62BFBCF9" w14:textId="70C17A57" w:rsidR="00B54169" w:rsidRPr="00011FE4" w:rsidRDefault="00B54169" w:rsidP="00B54169">
      <w:pPr>
        <w:pStyle w:val="Header"/>
        <w:ind w:left="284"/>
      </w:pPr>
    </w:p>
    <w:p w14:paraId="497F4C4C" w14:textId="625B4F2C" w:rsidR="00B54169" w:rsidRPr="00011FE4" w:rsidRDefault="00B54169" w:rsidP="00BF0E19">
      <w:pPr>
        <w:pStyle w:val="Header"/>
        <w:rPr>
          <w:b/>
        </w:rPr>
      </w:pPr>
      <w:r w:rsidRPr="00011FE4">
        <w:rPr>
          <w:b/>
        </w:rPr>
        <w:t>Concluding Remarks</w:t>
      </w:r>
    </w:p>
    <w:p w14:paraId="63F94378" w14:textId="6C9E2F6D" w:rsidR="00B54169" w:rsidRPr="00011FE4" w:rsidRDefault="00B54169" w:rsidP="00BF0E19">
      <w:pPr>
        <w:pStyle w:val="Header"/>
        <w:rPr>
          <w:b/>
        </w:rPr>
      </w:pPr>
    </w:p>
    <w:p w14:paraId="0B8E6AD4" w14:textId="6D85D0C1" w:rsidR="00B54169" w:rsidRPr="00011FE4" w:rsidRDefault="00B54169" w:rsidP="00BF0E19">
      <w:pPr>
        <w:pStyle w:val="Header"/>
      </w:pPr>
      <w:r w:rsidRPr="00011FE4">
        <w:t xml:space="preserve">Limitations are acknowledged and this </w:t>
      </w:r>
      <w:r w:rsidR="000C7375" w:rsidRPr="00011FE4">
        <w:t>contribution</w:t>
      </w:r>
      <w:r w:rsidRPr="00011FE4">
        <w:t xml:space="preserve"> only claims to </w:t>
      </w:r>
      <w:r w:rsidR="000F719F" w:rsidRPr="00011FE4">
        <w:t>make small</w:t>
      </w:r>
      <w:r w:rsidR="000C7375" w:rsidRPr="00011FE4">
        <w:t xml:space="preserve"> inroads in</w:t>
      </w:r>
      <w:r w:rsidRPr="00011FE4">
        <w:t xml:space="preserve">to stakeholder understanding of UDL in HE </w:t>
      </w:r>
      <w:r w:rsidR="00361398" w:rsidRPr="00011FE4">
        <w:t>from strategic</w:t>
      </w:r>
      <w:r w:rsidR="000F719F" w:rsidRPr="00011FE4">
        <w:t xml:space="preserve"> and practical angle</w:t>
      </w:r>
      <w:r w:rsidR="009E2E9C" w:rsidRPr="00011FE4">
        <w:t xml:space="preserve">s. </w:t>
      </w:r>
      <w:r w:rsidR="000C7375" w:rsidRPr="00011FE4">
        <w:t xml:space="preserve">Tentative conclusions are proposed but further research is essential. </w:t>
      </w:r>
      <w:r w:rsidR="009E0E18" w:rsidRPr="00011FE4">
        <w:t>Differences in terminology and research methodology</w:t>
      </w:r>
      <w:r w:rsidR="00361398" w:rsidRPr="00011FE4">
        <w:t>,</w:t>
      </w:r>
      <w:r w:rsidR="009E0E18" w:rsidRPr="00011FE4">
        <w:t xml:space="preserve"> and lack </w:t>
      </w:r>
      <w:r w:rsidR="000F719F" w:rsidRPr="00011FE4">
        <w:t>of national</w:t>
      </w:r>
      <w:r w:rsidR="009E0E18" w:rsidRPr="00011FE4">
        <w:t xml:space="preserve"> or international</w:t>
      </w:r>
      <w:r w:rsidRPr="00011FE4">
        <w:t xml:space="preserve"> baseline </w:t>
      </w:r>
      <w:r w:rsidR="009E0E18" w:rsidRPr="00011FE4">
        <w:t>standards</w:t>
      </w:r>
      <w:r w:rsidR="00361398" w:rsidRPr="00011FE4">
        <w:t>,</w:t>
      </w:r>
      <w:r w:rsidR="009E0E18" w:rsidRPr="00011FE4">
        <w:t xml:space="preserve"> makes comparison difficult</w:t>
      </w:r>
      <w:r w:rsidRPr="00011FE4">
        <w:t xml:space="preserve">. This study begins to compare American and </w:t>
      </w:r>
      <w:r w:rsidR="00361398" w:rsidRPr="00011FE4">
        <w:t>British</w:t>
      </w:r>
      <w:r w:rsidR="000F719F" w:rsidRPr="00011FE4">
        <w:t xml:space="preserve"> HE</w:t>
      </w:r>
      <w:r w:rsidR="008927DC" w:rsidRPr="00011FE4">
        <w:t xml:space="preserve"> (focussing mainly on England</w:t>
      </w:r>
      <w:r w:rsidR="000A470A" w:rsidRPr="00011FE4">
        <w:t>)</w:t>
      </w:r>
      <w:r w:rsidRPr="00011FE4">
        <w:t xml:space="preserve"> and has found </w:t>
      </w:r>
      <w:r w:rsidR="000C7375" w:rsidRPr="00011FE4">
        <w:t xml:space="preserve">more </w:t>
      </w:r>
      <w:r w:rsidRPr="00011FE4">
        <w:t xml:space="preserve">similarities </w:t>
      </w:r>
      <w:r w:rsidR="000C7375" w:rsidRPr="00011FE4">
        <w:t>than</w:t>
      </w:r>
      <w:r w:rsidRPr="00011FE4">
        <w:t xml:space="preserve"> differences. Contributors </w:t>
      </w:r>
      <w:r w:rsidR="00CA123A" w:rsidRPr="00011FE4">
        <w:t>were</w:t>
      </w:r>
      <w:r w:rsidR="009E0E18" w:rsidRPr="00011FE4">
        <w:t xml:space="preserve"> committed </w:t>
      </w:r>
      <w:r w:rsidR="000F719F" w:rsidRPr="00011FE4">
        <w:t>to UDL</w:t>
      </w:r>
      <w:r w:rsidR="009E0E18" w:rsidRPr="00011FE4">
        <w:t xml:space="preserve"> to </w:t>
      </w:r>
      <w:r w:rsidR="00361398" w:rsidRPr="00011FE4">
        <w:t xml:space="preserve">extend </w:t>
      </w:r>
      <w:r w:rsidRPr="00011FE4">
        <w:t xml:space="preserve">equality </w:t>
      </w:r>
      <w:r w:rsidR="00CA123A" w:rsidRPr="00011FE4">
        <w:t xml:space="preserve">of </w:t>
      </w:r>
      <w:proofErr w:type="gramStart"/>
      <w:r w:rsidR="00CA123A" w:rsidRPr="00011FE4">
        <w:t>opportunit</w:t>
      </w:r>
      <w:r w:rsidR="000C7375" w:rsidRPr="00011FE4">
        <w:t>y</w:t>
      </w:r>
      <w:r w:rsidR="000A470A" w:rsidRPr="00011FE4">
        <w:t xml:space="preserve">  and</w:t>
      </w:r>
      <w:proofErr w:type="gramEnd"/>
      <w:r w:rsidR="000A470A" w:rsidRPr="00011FE4">
        <w:t xml:space="preserve"> this view is mirrored in the supporting  literature cited.</w:t>
      </w:r>
      <w:r w:rsidR="00CA123A" w:rsidRPr="00011FE4">
        <w:t xml:space="preserve">. </w:t>
      </w:r>
      <w:r w:rsidR="00C06046" w:rsidRPr="00011FE4">
        <w:t xml:space="preserve"> O</w:t>
      </w:r>
      <w:r w:rsidR="00361398" w:rsidRPr="00011FE4">
        <w:t>ntological congruence</w:t>
      </w:r>
      <w:r w:rsidR="00C06046" w:rsidRPr="00011FE4">
        <w:t xml:space="preserve"> amongst </w:t>
      </w:r>
      <w:proofErr w:type="gramStart"/>
      <w:r w:rsidR="00C06046" w:rsidRPr="00011FE4">
        <w:t>participants</w:t>
      </w:r>
      <w:r w:rsidR="00B95F94" w:rsidRPr="00011FE4">
        <w:t xml:space="preserve"> </w:t>
      </w:r>
      <w:r w:rsidR="00361398" w:rsidRPr="00011FE4">
        <w:t xml:space="preserve"> may</w:t>
      </w:r>
      <w:proofErr w:type="gramEnd"/>
      <w:r w:rsidR="00CA123A" w:rsidRPr="00011FE4">
        <w:t xml:space="preserve"> </w:t>
      </w:r>
      <w:r w:rsidR="000F719F" w:rsidRPr="00011FE4">
        <w:t>have</w:t>
      </w:r>
      <w:r w:rsidR="00CA123A" w:rsidRPr="00011FE4">
        <w:t xml:space="preserve"> skewed the findings</w:t>
      </w:r>
      <w:r w:rsidR="004A4242" w:rsidRPr="00011FE4">
        <w:t xml:space="preserve"> of this study</w:t>
      </w:r>
      <w:r w:rsidR="000D5F8C" w:rsidRPr="00011FE4">
        <w:t>.</w:t>
      </w:r>
      <w:r w:rsidR="004A4242" w:rsidRPr="00011FE4">
        <w:t xml:space="preserve"> </w:t>
      </w:r>
      <w:r w:rsidR="009E0E18" w:rsidRPr="00011FE4">
        <w:t xml:space="preserve">In a </w:t>
      </w:r>
      <w:r w:rsidR="000F719F" w:rsidRPr="00011FE4">
        <w:t>neoliberal environment</w:t>
      </w:r>
      <w:r w:rsidR="009E0E18" w:rsidRPr="00011FE4">
        <w:t xml:space="preserve">, business planners </w:t>
      </w:r>
      <w:r w:rsidR="000F719F" w:rsidRPr="00011FE4">
        <w:t>may</w:t>
      </w:r>
      <w:r w:rsidR="009E0E18" w:rsidRPr="00011FE4">
        <w:t xml:space="preserve"> well be swayed mo</w:t>
      </w:r>
      <w:r w:rsidR="000C7375" w:rsidRPr="00011FE4">
        <w:t>st effectively</w:t>
      </w:r>
      <w:r w:rsidR="009E0E18" w:rsidRPr="00011FE4">
        <w:t xml:space="preserve"> by </w:t>
      </w:r>
      <w:r w:rsidR="000F719F" w:rsidRPr="00011FE4">
        <w:t>financial</w:t>
      </w:r>
      <w:r w:rsidR="009E0E18" w:rsidRPr="00011FE4">
        <w:t xml:space="preserve"> arguments</w:t>
      </w:r>
      <w:r w:rsidR="00CA123A" w:rsidRPr="00011FE4">
        <w:t>.</w:t>
      </w:r>
      <w:r w:rsidR="009E0E18" w:rsidRPr="00011FE4">
        <w:t xml:space="preserve"> Equalities legislation did not appear to provide a safety net for students without </w:t>
      </w:r>
      <w:r w:rsidR="009E2E9C" w:rsidRPr="00011FE4">
        <w:t xml:space="preserve">identified </w:t>
      </w:r>
      <w:r w:rsidR="00CA123A" w:rsidRPr="00011FE4">
        <w:t xml:space="preserve">protected </w:t>
      </w:r>
      <w:r w:rsidR="000F719F" w:rsidRPr="00011FE4">
        <w:t>characteristics</w:t>
      </w:r>
      <w:r w:rsidR="00361398" w:rsidRPr="00011FE4">
        <w:t>,</w:t>
      </w:r>
      <w:r w:rsidR="009E0E18" w:rsidRPr="00011FE4">
        <w:t xml:space="preserve"> despite disadvantage</w:t>
      </w:r>
      <w:r w:rsidR="000C7375" w:rsidRPr="00011FE4">
        <w:t>s</w:t>
      </w:r>
      <w:r w:rsidR="009E0E18" w:rsidRPr="00011FE4">
        <w:t xml:space="preserve"> </w:t>
      </w:r>
      <w:r w:rsidR="000F719F" w:rsidRPr="00011FE4">
        <w:t>including poverty</w:t>
      </w:r>
      <w:r w:rsidR="009E0E18" w:rsidRPr="00011FE4">
        <w:t xml:space="preserve"> or </w:t>
      </w:r>
      <w:r w:rsidR="00CA123A" w:rsidRPr="00011FE4">
        <w:t>flimsy</w:t>
      </w:r>
      <w:r w:rsidR="009E0E18" w:rsidRPr="00011FE4">
        <w:t xml:space="preserve"> academic foundations. </w:t>
      </w:r>
      <w:r w:rsidR="00CA123A" w:rsidRPr="00011FE4">
        <w:t xml:space="preserve">While some students will continue to require additional specialist </w:t>
      </w:r>
      <w:r w:rsidR="000F719F" w:rsidRPr="00011FE4">
        <w:t>support,</w:t>
      </w:r>
      <w:r w:rsidR="00CA123A" w:rsidRPr="00011FE4">
        <w:t xml:space="preserve"> the university experience of </w:t>
      </w:r>
      <w:r w:rsidR="000C7375" w:rsidRPr="00011FE4">
        <w:t>everyone</w:t>
      </w:r>
      <w:r w:rsidR="00CA123A" w:rsidRPr="00011FE4">
        <w:t xml:space="preserve"> is likely to be enhanced substantially by </w:t>
      </w:r>
      <w:r w:rsidR="000F719F" w:rsidRPr="00011FE4">
        <w:t>UDL.</w:t>
      </w:r>
      <w:r w:rsidR="00CA123A" w:rsidRPr="00011FE4">
        <w:t xml:space="preserve"> Cultural change involves effective strategic planning</w:t>
      </w:r>
      <w:r w:rsidR="000C7375" w:rsidRPr="00011FE4">
        <w:t>,</w:t>
      </w:r>
      <w:r w:rsidR="00CA123A" w:rsidRPr="00011FE4">
        <w:t xml:space="preserve"> senior buy</w:t>
      </w:r>
      <w:r w:rsidR="00361398" w:rsidRPr="00011FE4">
        <w:t>-</w:t>
      </w:r>
      <w:r w:rsidR="00CA123A" w:rsidRPr="00011FE4">
        <w:t xml:space="preserve">in, alignment with institutional objectives, stakeholder engagement, staff development and a longitudinal approach to implementation and evaluation. Quick wins are possible, including </w:t>
      </w:r>
      <w:r w:rsidR="000C7375" w:rsidRPr="00011FE4">
        <w:t xml:space="preserve">equipping staff with the knowledge they need to respond to technological advances and </w:t>
      </w:r>
      <w:r w:rsidR="000F719F" w:rsidRPr="00011FE4">
        <w:t>ensure</w:t>
      </w:r>
      <w:r w:rsidR="00CA123A" w:rsidRPr="00011FE4">
        <w:t xml:space="preserve"> students </w:t>
      </w:r>
      <w:r w:rsidR="000C7375" w:rsidRPr="00011FE4">
        <w:t xml:space="preserve">know </w:t>
      </w:r>
      <w:r w:rsidR="000F719F" w:rsidRPr="00011FE4">
        <w:t>about their</w:t>
      </w:r>
      <w:r w:rsidR="000C7375" w:rsidRPr="00011FE4">
        <w:t xml:space="preserve"> entitlement to support and how to access relevant services. The advantages of collaboration are </w:t>
      </w:r>
      <w:r w:rsidR="000F719F" w:rsidRPr="00011FE4">
        <w:t>clear,</w:t>
      </w:r>
      <w:r w:rsidR="000C7375" w:rsidRPr="00011FE4">
        <w:t xml:space="preserve"> but silo working is all too common. Belonging underscores UDL</w:t>
      </w:r>
      <w:r w:rsidR="00BF0E19" w:rsidRPr="00011FE4">
        <w:t>,</w:t>
      </w:r>
      <w:r w:rsidR="000C7375" w:rsidRPr="00011FE4">
        <w:t xml:space="preserve"> which applies to every facet of university life</w:t>
      </w:r>
      <w:r w:rsidR="00361398" w:rsidRPr="00011FE4">
        <w:t>,</w:t>
      </w:r>
      <w:r w:rsidR="000C7375" w:rsidRPr="00011FE4">
        <w:t xml:space="preserve"> not just the stuff that happens in classrooms. </w:t>
      </w:r>
      <w:r w:rsidR="009E2893" w:rsidRPr="00011FE4">
        <w:t>La</w:t>
      </w:r>
      <w:r w:rsidR="005E306E" w:rsidRPr="00011FE4">
        <w:t>ck</w:t>
      </w:r>
      <w:r w:rsidR="00B1510F" w:rsidRPr="00011FE4">
        <w:t xml:space="preserve"> </w:t>
      </w:r>
      <w:r w:rsidR="009E2893" w:rsidRPr="00011FE4">
        <w:t>of available research into the demerits of UDL arguably makes for a distorted picture</w:t>
      </w:r>
      <w:r w:rsidR="005E306E" w:rsidRPr="00011FE4">
        <w:t xml:space="preserve"> but it is difficult to make a case against UDL</w:t>
      </w:r>
      <w:r w:rsidR="009E462C" w:rsidRPr="00011FE4">
        <w:t xml:space="preserve"> without making a case against </w:t>
      </w:r>
      <w:r w:rsidR="007636A5" w:rsidRPr="00011FE4">
        <w:t xml:space="preserve">WP and </w:t>
      </w:r>
      <w:r w:rsidR="009E462C" w:rsidRPr="00011FE4">
        <w:t>equal access to higher education</w:t>
      </w:r>
      <w:r w:rsidR="009E2893" w:rsidRPr="00011FE4">
        <w:t>.</w:t>
      </w:r>
      <w:r w:rsidRPr="00011FE4">
        <w:t xml:space="preserve"> </w:t>
      </w:r>
    </w:p>
    <w:p w14:paraId="41A67905" w14:textId="2A7D86DD" w:rsidR="007B7E1D" w:rsidRPr="00011FE4" w:rsidRDefault="007B7E1D" w:rsidP="00BF0E19">
      <w:pPr>
        <w:pStyle w:val="Header"/>
      </w:pPr>
    </w:p>
    <w:p w14:paraId="2CABA228" w14:textId="6964587F" w:rsidR="007B7E1D" w:rsidRPr="00011FE4" w:rsidRDefault="007B7E1D" w:rsidP="00BF0E19">
      <w:pPr>
        <w:pStyle w:val="Header"/>
        <w:rPr>
          <w:b/>
          <w:bCs/>
        </w:rPr>
      </w:pPr>
      <w:r w:rsidRPr="00011FE4">
        <w:rPr>
          <w:b/>
          <w:bCs/>
        </w:rPr>
        <w:t>Next Steps</w:t>
      </w:r>
    </w:p>
    <w:p w14:paraId="49A3E823" w14:textId="300D650D" w:rsidR="00993A8D" w:rsidRPr="00011FE4" w:rsidRDefault="00993A8D" w:rsidP="00BF0E19">
      <w:pPr>
        <w:pStyle w:val="Header"/>
        <w:rPr>
          <w:b/>
          <w:bCs/>
        </w:rPr>
      </w:pPr>
    </w:p>
    <w:p w14:paraId="0CEA7180" w14:textId="6CC1F344" w:rsidR="00993A8D" w:rsidRPr="00011FE4" w:rsidRDefault="00993A8D" w:rsidP="00BF0E19">
      <w:pPr>
        <w:pStyle w:val="Header"/>
      </w:pPr>
      <w:r w:rsidRPr="00011FE4">
        <w:t xml:space="preserve">The findings of the primary research and the supporting literature </w:t>
      </w:r>
      <w:proofErr w:type="gramStart"/>
      <w:r w:rsidRPr="00011FE4">
        <w:t>pre date</w:t>
      </w:r>
      <w:proofErr w:type="gramEnd"/>
      <w:r w:rsidRPr="00011FE4">
        <w:t xml:space="preserve"> the global pandemic</w:t>
      </w:r>
      <w:r w:rsidR="0064210F" w:rsidRPr="00011FE4">
        <w:t>.</w:t>
      </w:r>
      <w:r w:rsidR="0020575D" w:rsidRPr="00011FE4">
        <w:t xml:space="preserve"> </w:t>
      </w:r>
      <w:r w:rsidRPr="00011FE4">
        <w:t>Covid 19</w:t>
      </w:r>
      <w:r w:rsidR="0064210F" w:rsidRPr="00011FE4">
        <w:t xml:space="preserve"> has essentially forced universities to </w:t>
      </w:r>
      <w:r w:rsidR="00DD44CA" w:rsidRPr="00011FE4">
        <w:t xml:space="preserve">move </w:t>
      </w:r>
      <w:r w:rsidR="007D46D9" w:rsidRPr="00011FE4">
        <w:t xml:space="preserve">rapidly </w:t>
      </w:r>
      <w:r w:rsidR="00DD44CA" w:rsidRPr="00011FE4">
        <w:t xml:space="preserve">to </w:t>
      </w:r>
      <w:proofErr w:type="gramStart"/>
      <w:r w:rsidR="00DD44CA" w:rsidRPr="00011FE4">
        <w:t>on line</w:t>
      </w:r>
      <w:proofErr w:type="gramEnd"/>
      <w:r w:rsidR="00DD44CA" w:rsidRPr="00011FE4">
        <w:t xml:space="preserve">, hybrid and blended delivery models. Issues such as digital poverty </w:t>
      </w:r>
      <w:r w:rsidR="008562B5" w:rsidRPr="00011FE4">
        <w:t xml:space="preserve">and digital competence </w:t>
      </w:r>
      <w:r w:rsidR="00DD44CA" w:rsidRPr="00011FE4">
        <w:t xml:space="preserve">have raised their ugly heads as it has become apparent </w:t>
      </w:r>
      <w:r w:rsidR="00E046CA" w:rsidRPr="00011FE4">
        <w:t>that some students have poor internet</w:t>
      </w:r>
      <w:r w:rsidR="00501ACA" w:rsidRPr="00011FE4">
        <w:t xml:space="preserve"> connectivity</w:t>
      </w:r>
      <w:r w:rsidR="008352B5" w:rsidRPr="00011FE4">
        <w:t>,</w:t>
      </w:r>
      <w:r w:rsidR="00A07E4D" w:rsidRPr="00011FE4">
        <w:t xml:space="preserve"> </w:t>
      </w:r>
      <w:r w:rsidR="006E015C" w:rsidRPr="00011FE4">
        <w:t>need</w:t>
      </w:r>
      <w:r w:rsidR="00A07E4D" w:rsidRPr="00011FE4">
        <w:t xml:space="preserve"> to use a mobile </w:t>
      </w:r>
      <w:r w:rsidR="00A07E4D" w:rsidRPr="00011FE4">
        <w:lastRenderedPageBreak/>
        <w:t>phone to access learning materials</w:t>
      </w:r>
      <w:r w:rsidR="00F87BEC" w:rsidRPr="00011FE4">
        <w:t xml:space="preserve"> and</w:t>
      </w:r>
      <w:r w:rsidR="00E224BC" w:rsidRPr="00011FE4">
        <w:t xml:space="preserve"> /or do not feel confident with new technologies</w:t>
      </w:r>
      <w:r w:rsidR="00A07E4D" w:rsidRPr="00011FE4">
        <w:t xml:space="preserve">. </w:t>
      </w:r>
      <w:r w:rsidR="00CC2971" w:rsidRPr="00011FE4">
        <w:t>Planning for diversity rather than being surprised is an essential principle of UDL.</w:t>
      </w:r>
      <w:r w:rsidR="00806BE7" w:rsidRPr="00011FE4">
        <w:t xml:space="preserve"> A starting </w:t>
      </w:r>
      <w:proofErr w:type="gramStart"/>
      <w:r w:rsidR="00806BE7" w:rsidRPr="00011FE4">
        <w:t xml:space="preserve">point </w:t>
      </w:r>
      <w:r w:rsidR="00763791" w:rsidRPr="00011FE4">
        <w:t xml:space="preserve"> might</w:t>
      </w:r>
      <w:proofErr w:type="gramEnd"/>
      <w:r w:rsidR="00763791" w:rsidRPr="00011FE4">
        <w:t xml:space="preserve"> be to consider the social circumstances in which students might find themselves. Someone who is trying to home school children</w:t>
      </w:r>
      <w:r w:rsidR="00AD6ABF" w:rsidRPr="00011FE4">
        <w:t xml:space="preserve">, work remotely and manage their learning is likely to be disadvantaged especially if digital poverty is part of the story. Even if a student has access to </w:t>
      </w:r>
      <w:proofErr w:type="gramStart"/>
      <w:r w:rsidR="00AD6ABF" w:rsidRPr="00011FE4">
        <w:t>technology</w:t>
      </w:r>
      <w:proofErr w:type="gramEnd"/>
      <w:r w:rsidR="00AD6ABF" w:rsidRPr="00011FE4">
        <w:t xml:space="preserve"> they may not know how to use </w:t>
      </w:r>
      <w:r w:rsidR="002D42D5" w:rsidRPr="00011FE4">
        <w:t>various new platforms which have been introduced to facilitate studying from home</w:t>
      </w:r>
      <w:r w:rsidR="00E3155B" w:rsidRPr="00011FE4">
        <w:t xml:space="preserve"> and </w:t>
      </w:r>
      <w:r w:rsidR="002D42D5" w:rsidRPr="00011FE4">
        <w:t xml:space="preserve">may not </w:t>
      </w:r>
      <w:r w:rsidR="00E3155B" w:rsidRPr="00011FE4">
        <w:t>have</w:t>
      </w:r>
      <w:r w:rsidR="002D42D5" w:rsidRPr="00011FE4">
        <w:t xml:space="preserve"> </w:t>
      </w:r>
      <w:r w:rsidR="004E4A40" w:rsidRPr="00011FE4">
        <w:t>a quiet safe space in which to study.</w:t>
      </w:r>
      <w:r w:rsidR="00C62275" w:rsidRPr="00011FE4">
        <w:t xml:space="preserve"> Staff may well be in a similar position</w:t>
      </w:r>
      <w:r w:rsidR="00301AB3" w:rsidRPr="00011FE4">
        <w:t>. Alienating practice based on the assumption that everyone will just adapt</w:t>
      </w:r>
      <w:r w:rsidR="006B0AB7" w:rsidRPr="00011FE4">
        <w:t xml:space="preserve"> are unlikely to be helpful. Universities are working hard and fast </w:t>
      </w:r>
      <w:r w:rsidR="00A2564B" w:rsidRPr="00011FE4">
        <w:t>to cope with the pandemic and stay in business</w:t>
      </w:r>
      <w:r w:rsidR="00BF6A36" w:rsidRPr="00011FE4">
        <w:t xml:space="preserve"> but evidence from this research suggests that </w:t>
      </w:r>
      <w:r w:rsidR="00070C3F" w:rsidRPr="00011FE4">
        <w:t>if initiatives designed to help students and staff to work in new ways are not visible to them</w:t>
      </w:r>
      <w:r w:rsidR="00AF12F2" w:rsidRPr="00011FE4">
        <w:t xml:space="preserve"> easily they will not be much use.</w:t>
      </w:r>
      <w:r w:rsidR="00700BBD" w:rsidRPr="00011FE4">
        <w:t xml:space="preserve"> This research advocates j</w:t>
      </w:r>
      <w:r w:rsidR="00AF12F2" w:rsidRPr="00011FE4">
        <w:t>oined up thinking</w:t>
      </w:r>
      <w:r w:rsidR="001A47A9" w:rsidRPr="00011FE4">
        <w:t xml:space="preserve">, </w:t>
      </w:r>
      <w:r w:rsidR="00AF12F2" w:rsidRPr="00011FE4">
        <w:t>cognisant of the diversity of the student body</w:t>
      </w:r>
      <w:r w:rsidR="001A47A9" w:rsidRPr="00011FE4">
        <w:t>, championed at senior level</w:t>
      </w:r>
      <w:r w:rsidR="00BA38FE" w:rsidRPr="00011FE4">
        <w:t>,</w:t>
      </w:r>
      <w:r w:rsidR="001A47A9" w:rsidRPr="00011FE4">
        <w:t xml:space="preserve"> informed by the student </w:t>
      </w:r>
      <w:proofErr w:type="gramStart"/>
      <w:r w:rsidR="001A47A9" w:rsidRPr="00011FE4">
        <w:t>voice</w:t>
      </w:r>
      <w:proofErr w:type="gramEnd"/>
      <w:r w:rsidR="00BA38FE" w:rsidRPr="00011FE4">
        <w:t xml:space="preserve"> and focussed on belonging </w:t>
      </w:r>
      <w:r w:rsidR="00304C02" w:rsidRPr="00011FE4">
        <w:t>Covid 19 has made this approach rather urgent</w:t>
      </w:r>
      <w:r w:rsidR="00BA38FE" w:rsidRPr="00011FE4">
        <w:t xml:space="preserve">. </w:t>
      </w:r>
      <w:r w:rsidR="001A47A9" w:rsidRPr="00011FE4">
        <w:t xml:space="preserve"> </w:t>
      </w:r>
      <w:r w:rsidR="005335B6" w:rsidRPr="00011FE4">
        <w:t xml:space="preserve"> Clearly any next steps </w:t>
      </w:r>
      <w:r w:rsidR="00EA6D7A" w:rsidRPr="00011FE4">
        <w:t>must be</w:t>
      </w:r>
      <w:r w:rsidR="00CE2092" w:rsidRPr="00011FE4">
        <w:t xml:space="preserve"> informed by the current unprecedented situation</w:t>
      </w:r>
      <w:r w:rsidR="001D16DE" w:rsidRPr="00011FE4">
        <w:t xml:space="preserve">. </w:t>
      </w:r>
      <w:r w:rsidR="00CE2092" w:rsidRPr="00011FE4">
        <w:t xml:space="preserve">Arguably UDL which involves </w:t>
      </w:r>
      <w:r w:rsidR="004E3035" w:rsidRPr="00011FE4">
        <w:t xml:space="preserve">collaborative </w:t>
      </w:r>
      <w:r w:rsidR="00CE2092" w:rsidRPr="00011FE4">
        <w:t>planning for all learners</w:t>
      </w:r>
      <w:r w:rsidR="00BE0BCD" w:rsidRPr="00011FE4">
        <w:t xml:space="preserve"> can help institutions to build solid foundations for widening participation beyond the virtual front door.</w:t>
      </w:r>
      <w:r w:rsidR="004E3035" w:rsidRPr="00011FE4">
        <w:t xml:space="preserve"> </w:t>
      </w:r>
    </w:p>
    <w:p w14:paraId="3DECE756" w14:textId="77777777" w:rsidR="00623DF0" w:rsidRPr="00011FE4" w:rsidRDefault="00623DF0" w:rsidP="00BF0E19">
      <w:pPr>
        <w:pStyle w:val="Header"/>
      </w:pPr>
    </w:p>
    <w:p w14:paraId="612830BD" w14:textId="77777777" w:rsidR="00803307" w:rsidRPr="00011FE4" w:rsidRDefault="00803307" w:rsidP="00BF0E19">
      <w:pPr>
        <w:pStyle w:val="Header"/>
      </w:pPr>
    </w:p>
    <w:p w14:paraId="5590E6B7" w14:textId="4473B305" w:rsidR="1362E635" w:rsidRPr="00011FE4" w:rsidRDefault="003152C0" w:rsidP="00BF0E19">
      <w:pPr>
        <w:pStyle w:val="Header"/>
        <w:rPr>
          <w:b/>
        </w:rPr>
      </w:pPr>
      <w:r w:rsidRPr="00011FE4">
        <w:rPr>
          <w:b/>
        </w:rPr>
        <w:t xml:space="preserve"> </w:t>
      </w:r>
      <w:bookmarkStart w:id="7" w:name="_Toc7006894"/>
      <w:r w:rsidR="1362E635" w:rsidRPr="00011FE4">
        <w:rPr>
          <w:b/>
        </w:rPr>
        <w:t>References</w:t>
      </w:r>
      <w:bookmarkEnd w:id="7"/>
    </w:p>
    <w:p w14:paraId="25A7AC6C" w14:textId="77777777" w:rsidR="00623DF0" w:rsidRPr="00011FE4" w:rsidRDefault="00623DF0" w:rsidP="00623DF0">
      <w:pPr>
        <w:pStyle w:val="Header"/>
        <w:ind w:left="284"/>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A2983" w:rsidRPr="00011FE4" w14:paraId="34BA66A2" w14:textId="77777777" w:rsidTr="00EA70A7">
        <w:tc>
          <w:tcPr>
            <w:tcW w:w="10466" w:type="dxa"/>
          </w:tcPr>
          <w:p w14:paraId="5D482B85" w14:textId="17F51088" w:rsidR="003A2983" w:rsidRPr="00011FE4" w:rsidRDefault="007F579D" w:rsidP="007B24F0">
            <w:pPr>
              <w:spacing w:before="240"/>
            </w:pPr>
            <w:r w:rsidRPr="00011FE4">
              <w:rPr>
                <w:color w:val="222222"/>
                <w:shd w:val="clear" w:color="auto" w:fill="FFFFFF"/>
              </w:rPr>
              <w:t>Abrahamson, D., Flood, V.J., Miele, J.A. and Siu, Y.</w:t>
            </w:r>
            <w:r w:rsidR="00894E22" w:rsidRPr="00011FE4">
              <w:rPr>
                <w:color w:val="222222"/>
                <w:shd w:val="clear" w:color="auto" w:fill="FFFFFF"/>
              </w:rPr>
              <w:t>-</w:t>
            </w:r>
            <w:r w:rsidRPr="00011FE4">
              <w:rPr>
                <w:color w:val="222222"/>
                <w:shd w:val="clear" w:color="auto" w:fill="FFFFFF"/>
              </w:rPr>
              <w:t>T.</w:t>
            </w:r>
            <w:r w:rsidR="00894E22" w:rsidRPr="00011FE4">
              <w:rPr>
                <w:color w:val="222222"/>
                <w:shd w:val="clear" w:color="auto" w:fill="FFFFFF"/>
              </w:rPr>
              <w:t xml:space="preserve"> (</w:t>
            </w:r>
            <w:r w:rsidRPr="00011FE4">
              <w:rPr>
                <w:color w:val="222222"/>
                <w:shd w:val="clear" w:color="auto" w:fill="FFFFFF"/>
              </w:rPr>
              <w:t>2019</w:t>
            </w:r>
            <w:r w:rsidR="00894E22" w:rsidRPr="00011FE4">
              <w:rPr>
                <w:color w:val="222222"/>
                <w:shd w:val="clear" w:color="auto" w:fill="FFFFFF"/>
              </w:rPr>
              <w:t>)</w:t>
            </w:r>
            <w:r w:rsidRPr="00011FE4">
              <w:rPr>
                <w:color w:val="222222"/>
                <w:shd w:val="clear" w:color="auto" w:fill="FFFFFF"/>
              </w:rPr>
              <w:t xml:space="preserve">. </w:t>
            </w:r>
            <w:proofErr w:type="spellStart"/>
            <w:r w:rsidRPr="00011FE4">
              <w:rPr>
                <w:color w:val="222222"/>
                <w:shd w:val="clear" w:color="auto" w:fill="FFFFFF"/>
              </w:rPr>
              <w:t>Enactivism</w:t>
            </w:r>
            <w:proofErr w:type="spellEnd"/>
            <w:r w:rsidRPr="00011FE4">
              <w:rPr>
                <w:color w:val="222222"/>
                <w:shd w:val="clear" w:color="auto" w:fill="FFFFFF"/>
              </w:rPr>
              <w:t xml:space="preserve"> and ethnomethodological conversation analysis as tools for expanding Universal Design for Learning: the case of visually impaired mathematics students. </w:t>
            </w:r>
            <w:r w:rsidRPr="00011FE4">
              <w:rPr>
                <w:i/>
                <w:iCs/>
                <w:color w:val="222222"/>
              </w:rPr>
              <w:t>ZDM</w:t>
            </w:r>
            <w:r w:rsidRPr="00011FE4">
              <w:rPr>
                <w:i/>
                <w:color w:val="222222"/>
                <w:shd w:val="clear" w:color="auto" w:fill="FFFFFF"/>
              </w:rPr>
              <w:t>, Mathematics Education</w:t>
            </w:r>
            <w:r w:rsidRPr="00011FE4">
              <w:rPr>
                <w:color w:val="222222"/>
                <w:shd w:val="clear" w:color="auto" w:fill="FFFFFF"/>
              </w:rPr>
              <w:t xml:space="preserve">. </w:t>
            </w:r>
            <w:r w:rsidRPr="00011FE4">
              <w:rPr>
                <w:color w:val="222222"/>
              </w:rPr>
              <w:t>51</w:t>
            </w:r>
            <w:r w:rsidRPr="00011FE4">
              <w:rPr>
                <w:color w:val="222222"/>
                <w:shd w:val="clear" w:color="auto" w:fill="FFFFFF"/>
              </w:rPr>
              <w:t>(2), pp.291-303.</w:t>
            </w:r>
          </w:p>
        </w:tc>
      </w:tr>
      <w:tr w:rsidR="003A2983" w:rsidRPr="00011FE4" w14:paraId="15432E0C" w14:textId="77777777" w:rsidTr="00EA70A7">
        <w:tc>
          <w:tcPr>
            <w:tcW w:w="10466" w:type="dxa"/>
          </w:tcPr>
          <w:p w14:paraId="6E001C1B" w14:textId="3FE51292" w:rsidR="003A2983" w:rsidRPr="00011FE4" w:rsidRDefault="003A2983" w:rsidP="003A6374">
            <w:pPr>
              <w:spacing w:before="240"/>
            </w:pPr>
            <w:r w:rsidRPr="00011FE4">
              <w:t>Advance HE (2019</w:t>
            </w:r>
            <w:r w:rsidR="00875EFA" w:rsidRPr="00011FE4">
              <w:t>a</w:t>
            </w:r>
            <w:r w:rsidR="003A6374" w:rsidRPr="00011FE4">
              <w:t xml:space="preserve">) </w:t>
            </w:r>
            <w:r w:rsidR="003A6374" w:rsidRPr="00011FE4">
              <w:rPr>
                <w:i/>
              </w:rPr>
              <w:t>Student voice</w:t>
            </w:r>
            <w:r w:rsidR="003A6374" w:rsidRPr="00011FE4">
              <w:t xml:space="preserve">. </w:t>
            </w:r>
            <w:r w:rsidRPr="00011FE4">
              <w:t xml:space="preserve">Available </w:t>
            </w:r>
            <w:r w:rsidR="003A6374" w:rsidRPr="00011FE4">
              <w:t>from</w:t>
            </w:r>
            <w:r w:rsidRPr="00011FE4">
              <w:t xml:space="preserve">:  </w:t>
            </w:r>
            <w:hyperlink r:id="rId12" w:history="1">
              <w:r w:rsidRPr="00011FE4">
                <w:rPr>
                  <w:rStyle w:val="Hyperlink"/>
                </w:rPr>
                <w:t>https://www.heacademy.ac.uk/heav/student-voice</w:t>
              </w:r>
            </w:hyperlink>
            <w:r w:rsidRPr="00011FE4">
              <w:t xml:space="preserve"> [Accessed 4 April 2019].</w:t>
            </w:r>
          </w:p>
        </w:tc>
      </w:tr>
      <w:tr w:rsidR="003A2983" w:rsidRPr="00011FE4" w14:paraId="36A37A83" w14:textId="77777777" w:rsidTr="00EA70A7">
        <w:tc>
          <w:tcPr>
            <w:tcW w:w="10466" w:type="dxa"/>
          </w:tcPr>
          <w:p w14:paraId="4D4A4E1D" w14:textId="3D9F90B3" w:rsidR="003A2983" w:rsidRPr="00011FE4" w:rsidRDefault="003A2983" w:rsidP="009E3E43">
            <w:pPr>
              <w:spacing w:before="240"/>
            </w:pPr>
            <w:r w:rsidRPr="00011FE4">
              <w:t>Advance HE (2019</w:t>
            </w:r>
            <w:r w:rsidR="00875EFA" w:rsidRPr="00011FE4">
              <w:t>b</w:t>
            </w:r>
            <w:r w:rsidRPr="00011FE4">
              <w:t xml:space="preserve">) </w:t>
            </w:r>
            <w:r w:rsidRPr="00011FE4">
              <w:rPr>
                <w:i/>
                <w:iCs/>
              </w:rPr>
              <w:t>The UK Professional Standards Framework</w:t>
            </w:r>
            <w:r w:rsidRPr="00011FE4">
              <w:t xml:space="preserve">. </w:t>
            </w:r>
            <w:r w:rsidR="00320D16" w:rsidRPr="00011FE4">
              <w:t xml:space="preserve"> </w:t>
            </w:r>
            <w:r w:rsidRPr="00011FE4">
              <w:t xml:space="preserve">Available </w:t>
            </w:r>
            <w:r w:rsidR="009E3E43" w:rsidRPr="00011FE4">
              <w:t>from</w:t>
            </w:r>
            <w:r w:rsidRPr="00011FE4">
              <w:t xml:space="preserve">: </w:t>
            </w:r>
            <w:hyperlink r:id="rId13" w:history="1">
              <w:r w:rsidRPr="00011FE4">
                <w:rPr>
                  <w:rStyle w:val="Hyperlink"/>
                  <w:rFonts w:eastAsia="Arial"/>
                </w:rPr>
                <w:t>https://www.heacademy.ac.uk/ukpsf</w:t>
              </w:r>
            </w:hyperlink>
            <w:r w:rsidRPr="00011FE4">
              <w:rPr>
                <w:rFonts w:eastAsia="Arial"/>
              </w:rPr>
              <w:t xml:space="preserve"> </w:t>
            </w:r>
            <w:r w:rsidRPr="00011FE4">
              <w:t xml:space="preserve"> [Accessed 4 April 2019].</w:t>
            </w:r>
          </w:p>
        </w:tc>
      </w:tr>
      <w:tr w:rsidR="003A2983" w:rsidRPr="00011FE4" w14:paraId="66A6FA79" w14:textId="77777777" w:rsidTr="00EA70A7">
        <w:tc>
          <w:tcPr>
            <w:tcW w:w="10466" w:type="dxa"/>
          </w:tcPr>
          <w:p w14:paraId="389FD479" w14:textId="3393FAB2" w:rsidR="003A2983" w:rsidRPr="00011FE4" w:rsidRDefault="003A2983" w:rsidP="00EA70A7">
            <w:pPr>
              <w:spacing w:before="240"/>
            </w:pPr>
            <w:bookmarkStart w:id="8" w:name="_Hlk6139338"/>
            <w:r w:rsidRPr="00011FE4">
              <w:t xml:space="preserve">Advance HE </w:t>
            </w:r>
            <w:bookmarkEnd w:id="8"/>
            <w:r w:rsidRPr="00011FE4">
              <w:t xml:space="preserve">(2015) </w:t>
            </w:r>
            <w:r w:rsidRPr="00011FE4">
              <w:rPr>
                <w:i/>
                <w:iCs/>
              </w:rPr>
              <w:t>Competence standards and reasonable adjustments</w:t>
            </w:r>
            <w:r w:rsidRPr="00011FE4">
              <w:t xml:space="preserve">. Available </w:t>
            </w:r>
            <w:r w:rsidR="00EA70A7" w:rsidRPr="00011FE4">
              <w:t>from</w:t>
            </w:r>
            <w:r w:rsidRPr="00011FE4">
              <w:t xml:space="preserve">: </w:t>
            </w:r>
            <w:hyperlink r:id="rId14">
              <w:r w:rsidRPr="00011FE4">
                <w:rPr>
                  <w:color w:val="0000FF"/>
                  <w:u w:val="single"/>
                </w:rPr>
                <w:t>http://www.ecu.ac.uk/guidance-resources/student-recruitment-retention-attainment/student-retention/inclusive-learning-teaching/competence-standards-reasonable-adjustments/</w:t>
              </w:r>
            </w:hyperlink>
            <w:r w:rsidRPr="00011FE4">
              <w:t xml:space="preserve"> [Accessed 3 April 2019].</w:t>
            </w:r>
          </w:p>
        </w:tc>
      </w:tr>
      <w:tr w:rsidR="003A2983" w:rsidRPr="00011FE4" w14:paraId="487A7D1F" w14:textId="77777777" w:rsidTr="00EA70A7">
        <w:tc>
          <w:tcPr>
            <w:tcW w:w="10466" w:type="dxa"/>
          </w:tcPr>
          <w:p w14:paraId="4A415C30" w14:textId="7C9F02C1" w:rsidR="003A2983" w:rsidRPr="00011FE4" w:rsidRDefault="003A2983" w:rsidP="009E3E43">
            <w:pPr>
              <w:spacing w:before="240"/>
            </w:pPr>
            <w:r w:rsidRPr="00011FE4">
              <w:t>AHEAD (201</w:t>
            </w:r>
            <w:r w:rsidR="00623DF0" w:rsidRPr="00011FE4">
              <w:t>7</w:t>
            </w:r>
            <w:r w:rsidRPr="00011FE4">
              <w:t xml:space="preserve">) </w:t>
            </w:r>
            <w:r w:rsidRPr="00011FE4">
              <w:rPr>
                <w:i/>
                <w:iCs/>
              </w:rPr>
              <w:t>Inclusive Teaching Strategies</w:t>
            </w:r>
            <w:r w:rsidRPr="00011FE4">
              <w:t xml:space="preserve">. Available </w:t>
            </w:r>
            <w:r w:rsidR="009E3E43" w:rsidRPr="00011FE4">
              <w:t>from</w:t>
            </w:r>
            <w:r w:rsidRPr="00011FE4">
              <w:t xml:space="preserve">: </w:t>
            </w:r>
            <w:hyperlink r:id="rId15">
              <w:r w:rsidRPr="00011FE4">
                <w:rPr>
                  <w:color w:val="0000FF"/>
                  <w:u w:val="single"/>
                </w:rPr>
                <w:t>https://www.ahead.ie/inclusiveteaching</w:t>
              </w:r>
            </w:hyperlink>
            <w:r w:rsidRPr="00011FE4">
              <w:t xml:space="preserve"> [Accessed 4 April 2019].</w:t>
            </w:r>
          </w:p>
        </w:tc>
      </w:tr>
      <w:tr w:rsidR="003A2983" w:rsidRPr="00011FE4" w14:paraId="2278E218" w14:textId="77777777" w:rsidTr="00EA70A7">
        <w:tc>
          <w:tcPr>
            <w:tcW w:w="10466" w:type="dxa"/>
          </w:tcPr>
          <w:p w14:paraId="2F0BD9A1" w14:textId="3FC60B18" w:rsidR="003A2983" w:rsidRPr="00011FE4" w:rsidRDefault="003A2983" w:rsidP="003A2983">
            <w:pPr>
              <w:spacing w:before="240"/>
              <w:rPr>
                <w:rFonts w:eastAsia="Arial"/>
                <w:color w:val="222222"/>
              </w:rPr>
            </w:pPr>
            <w:r w:rsidRPr="00011FE4">
              <w:rPr>
                <w:rFonts w:eastAsia="Arial"/>
                <w:color w:val="222222"/>
              </w:rPr>
              <w:t xml:space="preserve">Al-Azawei, A., </w:t>
            </w:r>
            <w:proofErr w:type="spellStart"/>
            <w:r w:rsidRPr="00011FE4">
              <w:rPr>
                <w:rFonts w:eastAsia="Arial"/>
                <w:color w:val="222222"/>
              </w:rPr>
              <w:t>Serenelli</w:t>
            </w:r>
            <w:proofErr w:type="spellEnd"/>
            <w:r w:rsidRPr="00011FE4">
              <w:rPr>
                <w:rFonts w:eastAsia="Arial"/>
                <w:color w:val="222222"/>
              </w:rPr>
              <w:t xml:space="preserve">, F. and Lundqvist, K. (2016) Universal Design for Learning (UDL): a content analysis of peer reviewed journals from 2012 to 2015. </w:t>
            </w:r>
            <w:r w:rsidRPr="00011FE4">
              <w:rPr>
                <w:rFonts w:eastAsia="Arial"/>
                <w:i/>
                <w:iCs/>
                <w:color w:val="222222"/>
              </w:rPr>
              <w:t>Journal of the Scholarship of Teaching and Learning</w:t>
            </w:r>
            <w:r w:rsidRPr="00011FE4">
              <w:rPr>
                <w:rFonts w:eastAsia="Arial"/>
                <w:color w:val="222222"/>
              </w:rPr>
              <w:t xml:space="preserve">, </w:t>
            </w:r>
            <w:r w:rsidRPr="00011FE4">
              <w:rPr>
                <w:rFonts w:eastAsia="Arial"/>
                <w:iCs/>
                <w:color w:val="222222"/>
              </w:rPr>
              <w:t>16</w:t>
            </w:r>
            <w:r w:rsidRPr="00011FE4">
              <w:rPr>
                <w:rFonts w:eastAsia="Arial"/>
                <w:color w:val="222222"/>
              </w:rPr>
              <w:t>(3), pp.39-56</w:t>
            </w:r>
            <w:r w:rsidR="00583DBF" w:rsidRPr="00011FE4">
              <w:rPr>
                <w:rFonts w:eastAsia="Arial"/>
                <w:color w:val="222222"/>
              </w:rPr>
              <w:t>.</w:t>
            </w:r>
          </w:p>
          <w:p w14:paraId="2BA46B0A" w14:textId="0B943C98" w:rsidR="00E848F6" w:rsidRPr="00011FE4" w:rsidRDefault="00E848F6" w:rsidP="003A2983">
            <w:pPr>
              <w:spacing w:before="240"/>
              <w:rPr>
                <w:rFonts w:eastAsia="Arial"/>
                <w:color w:val="222222"/>
              </w:rPr>
            </w:pPr>
            <w:r w:rsidRPr="00011FE4">
              <w:rPr>
                <w:rFonts w:eastAsia="Arial"/>
                <w:i/>
                <w:color w:val="222222"/>
              </w:rPr>
              <w:t>Americans with Disabilities Act of 1990 and Revised ADA Regulations Implementing Title II and Title III</w:t>
            </w:r>
            <w:r w:rsidRPr="00011FE4">
              <w:rPr>
                <w:rFonts w:eastAsia="Arial"/>
                <w:color w:val="222222"/>
              </w:rPr>
              <w:t xml:space="preserve"> (1990/2008).  Available from: </w:t>
            </w:r>
            <w:hyperlink r:id="rId16" w:history="1">
              <w:r w:rsidRPr="00011FE4">
                <w:rPr>
                  <w:rFonts w:eastAsiaTheme="minorHAnsi"/>
                  <w:color w:val="0000FF"/>
                  <w:u w:val="single"/>
                  <w:lang w:eastAsia="en-US"/>
                </w:rPr>
                <w:t>https://www.ada.gov/</w:t>
              </w:r>
            </w:hyperlink>
            <w:r w:rsidRPr="00011FE4">
              <w:rPr>
                <w:rFonts w:eastAsiaTheme="minorHAnsi"/>
                <w:lang w:eastAsia="en-US"/>
              </w:rPr>
              <w:t xml:space="preserve"> [Accessed 20 January 2020].</w:t>
            </w:r>
          </w:p>
          <w:p w14:paraId="1E1EE661" w14:textId="1D2EB22D" w:rsidR="00A5271C" w:rsidRPr="00011FE4" w:rsidRDefault="00A5271C" w:rsidP="003A2983">
            <w:pPr>
              <w:spacing w:before="240"/>
              <w:rPr>
                <w:rFonts w:eastAsia="Arial"/>
                <w:color w:val="222222"/>
              </w:rPr>
            </w:pPr>
            <w:r w:rsidRPr="00011FE4">
              <w:rPr>
                <w:shd w:val="clear" w:color="auto" w:fill="FFFFFF"/>
              </w:rPr>
              <w:t xml:space="preserve">Anderson, K.M., Davis, </w:t>
            </w:r>
            <w:proofErr w:type="gramStart"/>
            <w:r w:rsidRPr="00011FE4">
              <w:rPr>
                <w:shd w:val="clear" w:color="auto" w:fill="FFFFFF"/>
              </w:rPr>
              <w:t>D.</w:t>
            </w:r>
            <w:proofErr w:type="gramEnd"/>
            <w:r w:rsidRPr="00011FE4">
              <w:rPr>
                <w:shd w:val="clear" w:color="auto" w:fill="FFFFFF"/>
              </w:rPr>
              <w:t xml:space="preserve"> and McLaughlin, M.K.</w:t>
            </w:r>
            <w:r w:rsidR="0049617E" w:rsidRPr="00011FE4">
              <w:rPr>
                <w:shd w:val="clear" w:color="auto" w:fill="FFFFFF"/>
              </w:rPr>
              <w:t xml:space="preserve"> (</w:t>
            </w:r>
            <w:r w:rsidRPr="00011FE4">
              <w:rPr>
                <w:shd w:val="clear" w:color="auto" w:fill="FFFFFF"/>
              </w:rPr>
              <w:t>2019</w:t>
            </w:r>
            <w:r w:rsidR="0049617E" w:rsidRPr="00011FE4">
              <w:rPr>
                <w:shd w:val="clear" w:color="auto" w:fill="FFFFFF"/>
              </w:rPr>
              <w:t>)</w:t>
            </w:r>
            <w:r w:rsidRPr="00011FE4">
              <w:rPr>
                <w:shd w:val="clear" w:color="auto" w:fill="FFFFFF"/>
              </w:rPr>
              <w:t xml:space="preserve">. Implementing universal design instruction in </w:t>
            </w:r>
            <w:proofErr w:type="gramStart"/>
            <w:r w:rsidRPr="00011FE4">
              <w:rPr>
                <w:shd w:val="clear" w:color="auto" w:fill="FFFFFF"/>
              </w:rPr>
              <w:t>doctor of nursing</w:t>
            </w:r>
            <w:proofErr w:type="gramEnd"/>
            <w:r w:rsidRPr="00011FE4">
              <w:rPr>
                <w:shd w:val="clear" w:color="auto" w:fill="FFFFFF"/>
              </w:rPr>
              <w:t xml:space="preserve"> practice education. </w:t>
            </w:r>
            <w:r w:rsidRPr="00011FE4">
              <w:rPr>
                <w:i/>
                <w:iCs/>
              </w:rPr>
              <w:t xml:space="preserve">Nurse </w:t>
            </w:r>
            <w:r w:rsidR="0049617E" w:rsidRPr="00011FE4">
              <w:rPr>
                <w:i/>
                <w:iCs/>
              </w:rPr>
              <w:t>E</w:t>
            </w:r>
            <w:r w:rsidRPr="00011FE4">
              <w:rPr>
                <w:i/>
                <w:iCs/>
              </w:rPr>
              <w:t>ducator</w:t>
            </w:r>
            <w:r w:rsidRPr="00011FE4">
              <w:rPr>
                <w:shd w:val="clear" w:color="auto" w:fill="FFFFFF"/>
              </w:rPr>
              <w:t xml:space="preserve">, </w:t>
            </w:r>
            <w:r w:rsidRPr="00011FE4">
              <w:t>44</w:t>
            </w:r>
            <w:r w:rsidRPr="00011FE4">
              <w:rPr>
                <w:shd w:val="clear" w:color="auto" w:fill="FFFFFF"/>
              </w:rPr>
              <w:t>(5), pp.245-249.</w:t>
            </w:r>
          </w:p>
        </w:tc>
      </w:tr>
      <w:tr w:rsidR="003A2983" w:rsidRPr="00011FE4" w14:paraId="4BAEDF72" w14:textId="77777777" w:rsidTr="00EA70A7">
        <w:tc>
          <w:tcPr>
            <w:tcW w:w="10466" w:type="dxa"/>
          </w:tcPr>
          <w:p w14:paraId="128677CE" w14:textId="77777777" w:rsidR="003A2983" w:rsidRPr="00011FE4" w:rsidRDefault="003A2983" w:rsidP="003A2983">
            <w:pPr>
              <w:spacing w:before="240"/>
            </w:pPr>
            <w:r w:rsidRPr="00011FE4">
              <w:t xml:space="preserve">Anglia Ruskin University (2017) </w:t>
            </w:r>
            <w:r w:rsidRPr="00011FE4">
              <w:rPr>
                <w:i/>
                <w:iCs/>
              </w:rPr>
              <w:t>Inclusive Teaching Checklist</w:t>
            </w:r>
            <w:r w:rsidRPr="00011FE4">
              <w:t>. Cambridge: Anglia Ruskin University.</w:t>
            </w:r>
          </w:p>
        </w:tc>
      </w:tr>
      <w:tr w:rsidR="003A2983" w:rsidRPr="00011FE4" w14:paraId="4CE7EA3A" w14:textId="77777777" w:rsidTr="00EA70A7">
        <w:tc>
          <w:tcPr>
            <w:tcW w:w="10466" w:type="dxa"/>
          </w:tcPr>
          <w:p w14:paraId="685603F2" w14:textId="77777777" w:rsidR="003A2983" w:rsidRPr="00011FE4" w:rsidRDefault="003A2983" w:rsidP="003A2983">
            <w:pPr>
              <w:spacing w:before="240"/>
              <w:rPr>
                <w:color w:val="222222"/>
                <w:shd w:val="clear" w:color="auto" w:fill="FFFFFF"/>
              </w:rPr>
            </w:pPr>
            <w:r w:rsidRPr="00011FE4">
              <w:rPr>
                <w:color w:val="222222"/>
                <w:shd w:val="clear" w:color="auto" w:fill="FFFFFF"/>
              </w:rPr>
              <w:t xml:space="preserve">Aoun, C., </w:t>
            </w:r>
            <w:proofErr w:type="spellStart"/>
            <w:r w:rsidRPr="00011FE4">
              <w:rPr>
                <w:color w:val="222222"/>
                <w:shd w:val="clear" w:color="auto" w:fill="FFFFFF"/>
              </w:rPr>
              <w:t>Vatanasakdakul</w:t>
            </w:r>
            <w:proofErr w:type="spellEnd"/>
            <w:r w:rsidRPr="00011FE4">
              <w:rPr>
                <w:color w:val="222222"/>
                <w:shd w:val="clear" w:color="auto" w:fill="FFFFFF"/>
              </w:rPr>
              <w:t>, S. and Ang, K. (2018) Feedback for thought: examining the influence of feedback constituents on learning experience. </w:t>
            </w:r>
            <w:r w:rsidRPr="00011FE4">
              <w:rPr>
                <w:i/>
                <w:iCs/>
                <w:color w:val="222222"/>
                <w:shd w:val="clear" w:color="auto" w:fill="FFFFFF"/>
              </w:rPr>
              <w:t>Studies in Higher Education</w:t>
            </w:r>
            <w:r w:rsidRPr="00011FE4">
              <w:rPr>
                <w:color w:val="222222"/>
                <w:shd w:val="clear" w:color="auto" w:fill="FFFFFF"/>
              </w:rPr>
              <w:t>, </w:t>
            </w:r>
            <w:r w:rsidRPr="00011FE4">
              <w:rPr>
                <w:iCs/>
                <w:color w:val="222222"/>
                <w:shd w:val="clear" w:color="auto" w:fill="FFFFFF"/>
              </w:rPr>
              <w:t>43</w:t>
            </w:r>
            <w:r w:rsidRPr="00011FE4">
              <w:rPr>
                <w:color w:val="222222"/>
                <w:shd w:val="clear" w:color="auto" w:fill="FFFFFF"/>
              </w:rPr>
              <w:t>(1), pp.72-95.</w:t>
            </w:r>
          </w:p>
          <w:p w14:paraId="0EBEE871" w14:textId="4D040E06" w:rsidR="00E34901" w:rsidRPr="00011FE4" w:rsidRDefault="00E34901" w:rsidP="003A2983">
            <w:pPr>
              <w:spacing w:before="240"/>
            </w:pPr>
            <w:r w:rsidRPr="00011FE4">
              <w:rPr>
                <w:color w:val="333333"/>
                <w:spacing w:val="2"/>
                <w:shd w:val="clear" w:color="auto" w:fill="FCFCFC"/>
              </w:rPr>
              <w:lastRenderedPageBreak/>
              <w:t>Bathmaker</w:t>
            </w:r>
            <w:r w:rsidR="006E7600" w:rsidRPr="00011FE4">
              <w:rPr>
                <w:color w:val="333333"/>
                <w:spacing w:val="2"/>
                <w:shd w:val="clear" w:color="auto" w:fill="FCFCFC"/>
              </w:rPr>
              <w:t>,</w:t>
            </w:r>
            <w:r w:rsidRPr="00011FE4">
              <w:rPr>
                <w:color w:val="333333"/>
                <w:spacing w:val="2"/>
                <w:shd w:val="clear" w:color="auto" w:fill="FCFCFC"/>
              </w:rPr>
              <w:t xml:space="preserve"> A</w:t>
            </w:r>
            <w:r w:rsidR="006E7600" w:rsidRPr="00011FE4">
              <w:rPr>
                <w:color w:val="333333"/>
                <w:spacing w:val="2"/>
                <w:shd w:val="clear" w:color="auto" w:fill="FCFCFC"/>
              </w:rPr>
              <w:t>.</w:t>
            </w:r>
            <w:r w:rsidRPr="00011FE4">
              <w:rPr>
                <w:color w:val="333333"/>
                <w:spacing w:val="2"/>
                <w:shd w:val="clear" w:color="auto" w:fill="FCFCFC"/>
              </w:rPr>
              <w:t>M., Abrahams J., Waller R., Ingram N., Hoare A.</w:t>
            </w:r>
            <w:r w:rsidR="006E7600" w:rsidRPr="00011FE4">
              <w:rPr>
                <w:color w:val="333333"/>
                <w:spacing w:val="2"/>
                <w:shd w:val="clear" w:color="auto" w:fill="FCFCFC"/>
              </w:rPr>
              <w:t xml:space="preserve"> and</w:t>
            </w:r>
            <w:r w:rsidRPr="00011FE4">
              <w:rPr>
                <w:color w:val="333333"/>
                <w:spacing w:val="2"/>
                <w:shd w:val="clear" w:color="auto" w:fill="FCFCFC"/>
              </w:rPr>
              <w:t xml:space="preserve"> Bradley</w:t>
            </w:r>
            <w:r w:rsidR="006E7600" w:rsidRPr="00011FE4">
              <w:rPr>
                <w:color w:val="333333"/>
                <w:spacing w:val="2"/>
                <w:shd w:val="clear" w:color="auto" w:fill="FCFCFC"/>
              </w:rPr>
              <w:t>,</w:t>
            </w:r>
            <w:r w:rsidRPr="00011FE4">
              <w:rPr>
                <w:color w:val="333333"/>
                <w:spacing w:val="2"/>
                <w:shd w:val="clear" w:color="auto" w:fill="FCFCFC"/>
              </w:rPr>
              <w:t xml:space="preserve"> H. (2016) </w:t>
            </w:r>
            <w:r w:rsidRPr="00011FE4">
              <w:rPr>
                <w:i/>
                <w:iCs/>
                <w:color w:val="333333"/>
                <w:spacing w:val="2"/>
                <w:shd w:val="clear" w:color="auto" w:fill="FCFCFC"/>
              </w:rPr>
              <w:t>Higher Education, Social Class and Social Mobility</w:t>
            </w:r>
            <w:r w:rsidRPr="00011FE4">
              <w:rPr>
                <w:color w:val="333333"/>
                <w:spacing w:val="2"/>
                <w:shd w:val="clear" w:color="auto" w:fill="FCFCFC"/>
              </w:rPr>
              <w:t xml:space="preserve">. </w:t>
            </w:r>
            <w:r w:rsidR="006E7600" w:rsidRPr="00011FE4">
              <w:rPr>
                <w:color w:val="333333"/>
                <w:spacing w:val="2"/>
                <w:shd w:val="clear" w:color="auto" w:fill="FCFCFC"/>
              </w:rPr>
              <w:t xml:space="preserve">London: </w:t>
            </w:r>
            <w:r w:rsidRPr="00011FE4">
              <w:rPr>
                <w:color w:val="333333"/>
                <w:spacing w:val="2"/>
                <w:shd w:val="clear" w:color="auto" w:fill="FCFCFC"/>
              </w:rPr>
              <w:t>Palgrave Macmillan</w:t>
            </w:r>
            <w:r w:rsidR="006E7600" w:rsidRPr="00011FE4">
              <w:rPr>
                <w:color w:val="333333"/>
                <w:spacing w:val="2"/>
                <w:shd w:val="clear" w:color="auto" w:fill="FCFCFC"/>
              </w:rPr>
              <w:t>.</w:t>
            </w:r>
          </w:p>
        </w:tc>
      </w:tr>
      <w:tr w:rsidR="003A2983" w:rsidRPr="00011FE4" w14:paraId="54B0B44E" w14:textId="77777777" w:rsidTr="00EA70A7">
        <w:tc>
          <w:tcPr>
            <w:tcW w:w="10466" w:type="dxa"/>
          </w:tcPr>
          <w:p w14:paraId="59CD092D" w14:textId="4417A9F4" w:rsidR="003A2983" w:rsidRPr="00011FE4" w:rsidRDefault="003A2983" w:rsidP="003A2983">
            <w:pPr>
              <w:spacing w:before="240"/>
              <w:rPr>
                <w:color w:val="222222"/>
                <w:shd w:val="clear" w:color="auto" w:fill="FFFFFF"/>
              </w:rPr>
            </w:pPr>
            <w:r w:rsidRPr="00011FE4">
              <w:rPr>
                <w:color w:val="222222"/>
                <w:shd w:val="clear" w:color="auto" w:fill="FFFFFF"/>
              </w:rPr>
              <w:lastRenderedPageBreak/>
              <w:t>Beardon, L., Martin, N. and Woolsey, I. (2009) What do students with Asperger syndrome or high</w:t>
            </w:r>
            <w:r w:rsidR="006B24DB" w:rsidRPr="00011FE4">
              <w:rPr>
                <w:color w:val="222222"/>
                <w:shd w:val="clear" w:color="auto" w:fill="FFFFFF"/>
              </w:rPr>
              <w:t>-</w:t>
            </w:r>
            <w:r w:rsidRPr="00011FE4">
              <w:rPr>
                <w:color w:val="222222"/>
                <w:shd w:val="clear" w:color="auto" w:fill="FFFFFF"/>
              </w:rPr>
              <w:t>functioning autism want at college and university?</w:t>
            </w:r>
            <w:r w:rsidR="006B24DB" w:rsidRPr="00011FE4">
              <w:rPr>
                <w:color w:val="222222"/>
                <w:shd w:val="clear" w:color="auto" w:fill="FFFFFF"/>
              </w:rPr>
              <w:t xml:space="preserve"> </w:t>
            </w:r>
            <w:r w:rsidRPr="00011FE4">
              <w:rPr>
                <w:color w:val="222222"/>
                <w:shd w:val="clear" w:color="auto" w:fill="FFFFFF"/>
              </w:rPr>
              <w:t>(</w:t>
            </w:r>
            <w:r w:rsidR="00BA739E" w:rsidRPr="00011FE4">
              <w:rPr>
                <w:color w:val="222222"/>
                <w:shd w:val="clear" w:color="auto" w:fill="FFFFFF"/>
              </w:rPr>
              <w:t>In</w:t>
            </w:r>
            <w:r w:rsidRPr="00011FE4">
              <w:rPr>
                <w:color w:val="222222"/>
                <w:shd w:val="clear" w:color="auto" w:fill="FFFFFF"/>
              </w:rPr>
              <w:t xml:space="preserve"> their own words). </w:t>
            </w:r>
            <w:r w:rsidRPr="00011FE4">
              <w:rPr>
                <w:i/>
                <w:iCs/>
                <w:color w:val="222222"/>
                <w:shd w:val="clear" w:color="auto" w:fill="FFFFFF"/>
              </w:rPr>
              <w:t>Good Autism Practice (GAP)</w:t>
            </w:r>
            <w:r w:rsidRPr="00011FE4">
              <w:rPr>
                <w:color w:val="222222"/>
                <w:shd w:val="clear" w:color="auto" w:fill="FFFFFF"/>
              </w:rPr>
              <w:t>, </w:t>
            </w:r>
            <w:r w:rsidRPr="00011FE4">
              <w:rPr>
                <w:iCs/>
                <w:color w:val="222222"/>
                <w:shd w:val="clear" w:color="auto" w:fill="FFFFFF"/>
              </w:rPr>
              <w:t>10</w:t>
            </w:r>
            <w:r w:rsidRPr="00011FE4">
              <w:rPr>
                <w:color w:val="222222"/>
                <w:shd w:val="clear" w:color="auto" w:fill="FFFFFF"/>
              </w:rPr>
              <w:t>(2), pp.35-43.</w:t>
            </w:r>
          </w:p>
          <w:p w14:paraId="78118F3B" w14:textId="21909E5A" w:rsidR="00906612" w:rsidRPr="00011FE4" w:rsidRDefault="00906612" w:rsidP="003A2983">
            <w:pPr>
              <w:spacing w:before="240"/>
            </w:pPr>
            <w:r w:rsidRPr="00011FE4">
              <w:t>Bourdieu, P. (1986</w:t>
            </w:r>
            <w:r w:rsidRPr="00011FE4">
              <w:rPr>
                <w:bdr w:val="single" w:sz="4" w:space="0" w:color="auto"/>
              </w:rPr>
              <w:t>).</w:t>
            </w:r>
            <w:r w:rsidRPr="00011FE4">
              <w:t xml:space="preserve"> The Forms of Capital</w:t>
            </w:r>
            <w:r w:rsidR="008A332D" w:rsidRPr="00011FE4">
              <w:t>.</w:t>
            </w:r>
            <w:r w:rsidRPr="00011FE4">
              <w:t xml:space="preserve"> </w:t>
            </w:r>
            <w:r w:rsidR="008A332D" w:rsidRPr="00011FE4">
              <w:t>I</w:t>
            </w:r>
            <w:r w:rsidRPr="00011FE4">
              <w:t>n</w:t>
            </w:r>
            <w:r w:rsidR="008A332D" w:rsidRPr="00011FE4">
              <w:t>:</w:t>
            </w:r>
            <w:r w:rsidRPr="00011FE4">
              <w:t xml:space="preserve"> J. Richardson </w:t>
            </w:r>
            <w:r w:rsidR="008A332D" w:rsidRPr="00011FE4">
              <w:t>(E</w:t>
            </w:r>
            <w:r w:rsidRPr="00011FE4">
              <w:t>d</w:t>
            </w:r>
            <w:r w:rsidR="008A332D" w:rsidRPr="00011FE4">
              <w:t>.)</w:t>
            </w:r>
            <w:r w:rsidRPr="00011FE4">
              <w:t xml:space="preserve"> </w:t>
            </w:r>
            <w:r w:rsidRPr="00011FE4">
              <w:rPr>
                <w:i/>
                <w:iCs/>
              </w:rPr>
              <w:t>Handbook of Theory and Research for the Sociology of Education</w:t>
            </w:r>
            <w:r w:rsidRPr="00011FE4">
              <w:t>. Greenwood, NY</w:t>
            </w:r>
            <w:r w:rsidR="008A332D" w:rsidRPr="00011FE4">
              <w:t>: pp.</w:t>
            </w:r>
            <w:r w:rsidRPr="00011FE4">
              <w:t>241-258.</w:t>
            </w:r>
          </w:p>
        </w:tc>
      </w:tr>
      <w:tr w:rsidR="003A2983" w:rsidRPr="00011FE4" w14:paraId="5AE69A4E" w14:textId="77777777" w:rsidTr="00EA70A7">
        <w:tc>
          <w:tcPr>
            <w:tcW w:w="10466" w:type="dxa"/>
          </w:tcPr>
          <w:p w14:paraId="1A020781" w14:textId="176B06AB" w:rsidR="003A2983" w:rsidRPr="00011FE4" w:rsidRDefault="003A2983" w:rsidP="00DA4A35">
            <w:pPr>
              <w:spacing w:before="240"/>
            </w:pPr>
            <w:r w:rsidRPr="00011FE4">
              <w:rPr>
                <w:color w:val="222222"/>
                <w:shd w:val="clear" w:color="auto" w:fill="FFFFFF"/>
              </w:rPr>
              <w:t>Bracken, S. and Novak, K.</w:t>
            </w:r>
            <w:r w:rsidR="0049617E" w:rsidRPr="00011FE4">
              <w:rPr>
                <w:color w:val="222222"/>
                <w:shd w:val="clear" w:color="auto" w:fill="FFFFFF"/>
              </w:rPr>
              <w:t xml:space="preserve"> (</w:t>
            </w:r>
            <w:r w:rsidR="00DA4A35" w:rsidRPr="00011FE4">
              <w:rPr>
                <w:color w:val="222222"/>
                <w:shd w:val="clear" w:color="auto" w:fill="FFFFFF"/>
              </w:rPr>
              <w:t>E</w:t>
            </w:r>
            <w:r w:rsidR="0049617E" w:rsidRPr="00011FE4">
              <w:rPr>
                <w:color w:val="222222"/>
                <w:shd w:val="clear" w:color="auto" w:fill="FFFFFF"/>
              </w:rPr>
              <w:t>ds.)</w:t>
            </w:r>
            <w:r w:rsidRPr="00011FE4">
              <w:rPr>
                <w:color w:val="222222"/>
                <w:shd w:val="clear" w:color="auto" w:fill="FFFFFF"/>
              </w:rPr>
              <w:t xml:space="preserve"> (2019) </w:t>
            </w:r>
            <w:r w:rsidRPr="00011FE4">
              <w:rPr>
                <w:i/>
                <w:iCs/>
                <w:color w:val="222222"/>
                <w:shd w:val="clear" w:color="auto" w:fill="FFFFFF"/>
              </w:rPr>
              <w:t>Transforming Higher Education Through Universal Design for Learning: An International Perspective</w:t>
            </w:r>
            <w:r w:rsidRPr="00011FE4">
              <w:rPr>
                <w:color w:val="222222"/>
                <w:shd w:val="clear" w:color="auto" w:fill="FFFFFF"/>
              </w:rPr>
              <w:t xml:space="preserve">. </w:t>
            </w:r>
            <w:r w:rsidR="00F456C0" w:rsidRPr="00011FE4">
              <w:rPr>
                <w:color w:val="222222"/>
                <w:shd w:val="clear" w:color="auto" w:fill="FFFFFF"/>
              </w:rPr>
              <w:t xml:space="preserve">Abingdon: </w:t>
            </w:r>
            <w:r w:rsidRPr="00011FE4">
              <w:rPr>
                <w:color w:val="222222"/>
                <w:shd w:val="clear" w:color="auto" w:fill="FFFFFF"/>
              </w:rPr>
              <w:t>Routledge.</w:t>
            </w:r>
          </w:p>
        </w:tc>
      </w:tr>
      <w:tr w:rsidR="003A2983" w:rsidRPr="00011FE4" w14:paraId="2022EF04" w14:textId="77777777" w:rsidTr="00EA70A7">
        <w:tc>
          <w:tcPr>
            <w:tcW w:w="10466" w:type="dxa"/>
          </w:tcPr>
          <w:p w14:paraId="171BE10B" w14:textId="490E179E" w:rsidR="003A2983" w:rsidRPr="00011FE4" w:rsidRDefault="003A2983" w:rsidP="003A2983">
            <w:pPr>
              <w:spacing w:before="240"/>
            </w:pPr>
            <w:r w:rsidRPr="00011FE4">
              <w:t xml:space="preserve">Bromley, T. (2009) </w:t>
            </w:r>
            <w:r w:rsidRPr="00011FE4">
              <w:rPr>
                <w:i/>
              </w:rPr>
              <w:t>Evaluating Training and Development Programmes for Postgraduate and New Researchers</w:t>
            </w:r>
            <w:r w:rsidRPr="00011FE4">
              <w:t xml:space="preserve">. </w:t>
            </w:r>
            <w:r w:rsidR="0090475E" w:rsidRPr="00011FE4">
              <w:t xml:space="preserve">Gough, M. (Ed.) </w:t>
            </w:r>
            <w:r w:rsidRPr="00011FE4">
              <w:rPr>
                <w:i/>
              </w:rPr>
              <w:t xml:space="preserve">Issues </w:t>
            </w:r>
            <w:proofErr w:type="gramStart"/>
            <w:r w:rsidRPr="00011FE4">
              <w:rPr>
                <w:i/>
              </w:rPr>
              <w:t>In</w:t>
            </w:r>
            <w:proofErr w:type="gramEnd"/>
            <w:r w:rsidRPr="00011FE4">
              <w:rPr>
                <w:i/>
              </w:rPr>
              <w:t xml:space="preserve"> Postgraduate Education: Management, Teaching and Supervision</w:t>
            </w:r>
            <w:r w:rsidR="0090475E" w:rsidRPr="00011FE4">
              <w:rPr>
                <w:i/>
              </w:rPr>
              <w:t xml:space="preserve"> </w:t>
            </w:r>
            <w:r w:rsidR="0090475E" w:rsidRPr="00011FE4">
              <w:t>series</w:t>
            </w:r>
            <w:r w:rsidR="0090475E" w:rsidRPr="00011FE4">
              <w:rPr>
                <w:i/>
              </w:rPr>
              <w:t xml:space="preserve">, </w:t>
            </w:r>
            <w:r w:rsidR="0090475E" w:rsidRPr="00011FE4">
              <w:t>2(7).</w:t>
            </w:r>
            <w:r w:rsidRPr="00011FE4">
              <w:t xml:space="preserve"> </w:t>
            </w:r>
            <w:r w:rsidR="0090475E" w:rsidRPr="00011FE4">
              <w:t>London: SRHE</w:t>
            </w:r>
          </w:p>
          <w:p w14:paraId="5BBA9640" w14:textId="55D387B0" w:rsidR="006A3DDE" w:rsidRPr="00011FE4" w:rsidRDefault="006F341D" w:rsidP="00C8093E">
            <w:pPr>
              <w:spacing w:before="240"/>
            </w:pPr>
            <w:r w:rsidRPr="00011FE4">
              <w:t xml:space="preserve">Brown, K., David, R. and Smallman, S. (2017). Adopting the Principles of Universal Design into International and Global Studies’ Programs and Curriculum. </w:t>
            </w:r>
            <w:r w:rsidRPr="00011FE4">
              <w:rPr>
                <w:i/>
              </w:rPr>
              <w:t>Journal of International &amp; Global Studies</w:t>
            </w:r>
            <w:r w:rsidR="001933A8" w:rsidRPr="00011FE4">
              <w:t>,</w:t>
            </w:r>
            <w:r w:rsidRPr="00011FE4">
              <w:t xml:space="preserve"> </w:t>
            </w:r>
            <w:r w:rsidR="001933A8" w:rsidRPr="00011FE4">
              <w:t>9(1)</w:t>
            </w:r>
            <w:r w:rsidRPr="00011FE4">
              <w:t>, p.77-92.</w:t>
            </w:r>
          </w:p>
        </w:tc>
      </w:tr>
      <w:tr w:rsidR="003A2983" w:rsidRPr="00011FE4" w14:paraId="42A8D70B" w14:textId="77777777" w:rsidTr="00EA70A7">
        <w:tc>
          <w:tcPr>
            <w:tcW w:w="10466" w:type="dxa"/>
          </w:tcPr>
          <w:p w14:paraId="367A3910" w14:textId="77777777" w:rsidR="00151E6F" w:rsidRPr="00011FE4" w:rsidRDefault="003A2983" w:rsidP="003A2983">
            <w:pPr>
              <w:spacing w:before="240"/>
            </w:pPr>
            <w:r w:rsidRPr="00011FE4">
              <w:t>Burgstahler, S. E. (2015) Universal design in higher education. In</w:t>
            </w:r>
            <w:r w:rsidR="00EB1490" w:rsidRPr="00011FE4">
              <w:t>:</w:t>
            </w:r>
            <w:r w:rsidRPr="00011FE4">
              <w:t xml:space="preserve"> S.E. Burgstahler (Ed.) </w:t>
            </w:r>
            <w:r w:rsidRPr="00011FE4">
              <w:rPr>
                <w:i/>
                <w:iCs/>
              </w:rPr>
              <w:t>Universal design in higher education</w:t>
            </w:r>
            <w:r w:rsidR="00F231A3" w:rsidRPr="00011FE4">
              <w:rPr>
                <w:i/>
                <w:iCs/>
              </w:rPr>
              <w:t>.</w:t>
            </w:r>
            <w:r w:rsidRPr="00011FE4">
              <w:rPr>
                <w:i/>
                <w:iCs/>
              </w:rPr>
              <w:t xml:space="preserve"> </w:t>
            </w:r>
            <w:r w:rsidRPr="00011FE4">
              <w:rPr>
                <w:iCs/>
              </w:rPr>
              <w:t>2</w:t>
            </w:r>
            <w:r w:rsidRPr="00011FE4">
              <w:rPr>
                <w:iCs/>
                <w:vertAlign w:val="superscript"/>
              </w:rPr>
              <w:t>nd</w:t>
            </w:r>
            <w:r w:rsidRPr="00011FE4">
              <w:rPr>
                <w:iCs/>
              </w:rPr>
              <w:t xml:space="preserve"> ed</w:t>
            </w:r>
            <w:r w:rsidRPr="00011FE4">
              <w:t xml:space="preserve">. </w:t>
            </w:r>
            <w:r w:rsidRPr="00011FE4">
              <w:rPr>
                <w:rFonts w:eastAsia="Arial"/>
                <w:color w:val="000000" w:themeColor="text1"/>
              </w:rPr>
              <w:t xml:space="preserve">Cambridge, MA: </w:t>
            </w:r>
            <w:r w:rsidRPr="00011FE4">
              <w:t>Harvard Education Press, pp. 3</w:t>
            </w:r>
            <w:r w:rsidR="00C34204" w:rsidRPr="00011FE4">
              <w:t>-</w:t>
            </w:r>
            <w:r w:rsidRPr="00011FE4">
              <w:t xml:space="preserve">28. </w:t>
            </w:r>
          </w:p>
          <w:p w14:paraId="71E08F42" w14:textId="25E3FD54" w:rsidR="003A2983" w:rsidRPr="00011FE4" w:rsidRDefault="00151E6F" w:rsidP="003A2983">
            <w:pPr>
              <w:spacing w:before="240"/>
            </w:pPr>
            <w:r w:rsidRPr="00011FE4">
              <w:rPr>
                <w:color w:val="222222"/>
                <w:shd w:val="clear" w:color="auto" w:fill="FFFFFF"/>
              </w:rPr>
              <w:t>Camacho, B.M., Lopez-</w:t>
            </w:r>
            <w:proofErr w:type="spellStart"/>
            <w:r w:rsidRPr="00011FE4">
              <w:rPr>
                <w:color w:val="222222"/>
                <w:shd w:val="clear" w:color="auto" w:fill="FFFFFF"/>
              </w:rPr>
              <w:t>Gavira</w:t>
            </w:r>
            <w:proofErr w:type="spellEnd"/>
            <w:r w:rsidRPr="00011FE4">
              <w:rPr>
                <w:color w:val="222222"/>
                <w:shd w:val="clear" w:color="auto" w:fill="FFFFFF"/>
              </w:rPr>
              <w:t xml:space="preserve">, R. and </w:t>
            </w:r>
            <w:proofErr w:type="spellStart"/>
            <w:r w:rsidRPr="00011FE4">
              <w:rPr>
                <w:color w:val="222222"/>
                <w:shd w:val="clear" w:color="auto" w:fill="FFFFFF"/>
              </w:rPr>
              <w:t>Díez</w:t>
            </w:r>
            <w:proofErr w:type="spellEnd"/>
            <w:r w:rsidRPr="00011FE4">
              <w:rPr>
                <w:color w:val="222222"/>
                <w:shd w:val="clear" w:color="auto" w:fill="FFFFFF"/>
              </w:rPr>
              <w:t>, A.M. (2017) The ideal university classroom: Stories by students with disabilities. </w:t>
            </w:r>
            <w:r w:rsidRPr="00011FE4">
              <w:rPr>
                <w:i/>
                <w:iCs/>
                <w:color w:val="222222"/>
                <w:shd w:val="clear" w:color="auto" w:fill="FFFFFF"/>
              </w:rPr>
              <w:t>International Journal of Educational Research</w:t>
            </w:r>
            <w:r w:rsidRPr="00011FE4">
              <w:rPr>
                <w:color w:val="222222"/>
                <w:shd w:val="clear" w:color="auto" w:fill="FFFFFF"/>
              </w:rPr>
              <w:t>, 85, pp.148-156.</w:t>
            </w:r>
          </w:p>
          <w:p w14:paraId="77383727" w14:textId="1D4280D7" w:rsidR="00E03FC2" w:rsidRPr="00011FE4" w:rsidRDefault="00E03FC2" w:rsidP="00C8093E">
            <w:pPr>
              <w:spacing w:before="240"/>
            </w:pPr>
            <w:r w:rsidRPr="00011FE4">
              <w:rPr>
                <w:color w:val="222222"/>
                <w:shd w:val="clear" w:color="auto" w:fill="FFFFFF"/>
              </w:rPr>
              <w:t xml:space="preserve">Cameron, H., Coleman, B., Hervey, T., Rahman, S. and </w:t>
            </w:r>
            <w:proofErr w:type="spellStart"/>
            <w:r w:rsidRPr="00011FE4">
              <w:rPr>
                <w:color w:val="222222"/>
                <w:shd w:val="clear" w:color="auto" w:fill="FFFFFF"/>
              </w:rPr>
              <w:t>Rostant</w:t>
            </w:r>
            <w:proofErr w:type="spellEnd"/>
            <w:r w:rsidRPr="00011FE4">
              <w:rPr>
                <w:color w:val="222222"/>
                <w:shd w:val="clear" w:color="auto" w:fill="FFFFFF"/>
              </w:rPr>
              <w:t>, P.</w:t>
            </w:r>
            <w:r w:rsidR="00DA3BA1" w:rsidRPr="00011FE4">
              <w:rPr>
                <w:color w:val="222222"/>
                <w:shd w:val="clear" w:color="auto" w:fill="FFFFFF"/>
              </w:rPr>
              <w:t xml:space="preserve"> (</w:t>
            </w:r>
            <w:r w:rsidRPr="00011FE4">
              <w:rPr>
                <w:color w:val="222222"/>
                <w:shd w:val="clear" w:color="auto" w:fill="FFFFFF"/>
              </w:rPr>
              <w:t>2019</w:t>
            </w:r>
            <w:r w:rsidR="00DA3BA1" w:rsidRPr="00011FE4">
              <w:rPr>
                <w:color w:val="222222"/>
                <w:shd w:val="clear" w:color="auto" w:fill="FFFFFF"/>
              </w:rPr>
              <w:t>)</w:t>
            </w:r>
            <w:r w:rsidRPr="00011FE4">
              <w:rPr>
                <w:color w:val="222222"/>
                <w:shd w:val="clear" w:color="auto" w:fill="FFFFFF"/>
              </w:rPr>
              <w:t xml:space="preserve">. Equality Law Obligations in Higher Education: reasonable adjustments under the </w:t>
            </w:r>
            <w:r w:rsidR="00C8093E" w:rsidRPr="00011FE4">
              <w:rPr>
                <w:color w:val="222222"/>
                <w:shd w:val="clear" w:color="auto" w:fill="FFFFFF"/>
              </w:rPr>
              <w:t xml:space="preserve">Equality Act 2010 </w:t>
            </w:r>
            <w:r w:rsidRPr="00011FE4">
              <w:rPr>
                <w:color w:val="222222"/>
                <w:shd w:val="clear" w:color="auto" w:fill="FFFFFF"/>
              </w:rPr>
              <w:t xml:space="preserve">in assessment of students with unseen disabilities. </w:t>
            </w:r>
            <w:r w:rsidRPr="00011FE4">
              <w:rPr>
                <w:i/>
                <w:iCs/>
                <w:color w:val="222222"/>
              </w:rPr>
              <w:t>Legal Studies</w:t>
            </w:r>
            <w:r w:rsidRPr="00011FE4">
              <w:rPr>
                <w:color w:val="222222"/>
                <w:shd w:val="clear" w:color="auto" w:fill="FFFFFF"/>
              </w:rPr>
              <w:t xml:space="preserve">, </w:t>
            </w:r>
            <w:r w:rsidRPr="00011FE4">
              <w:rPr>
                <w:color w:val="222222"/>
              </w:rPr>
              <w:t>39</w:t>
            </w:r>
            <w:r w:rsidRPr="00011FE4">
              <w:rPr>
                <w:color w:val="222222"/>
                <w:shd w:val="clear" w:color="auto" w:fill="FFFFFF"/>
              </w:rPr>
              <w:t>(2), pp.204-229.</w:t>
            </w:r>
          </w:p>
        </w:tc>
      </w:tr>
      <w:tr w:rsidR="003A2983" w:rsidRPr="00011FE4" w14:paraId="5BA70DFB" w14:textId="77777777" w:rsidTr="00EA70A7">
        <w:tc>
          <w:tcPr>
            <w:tcW w:w="10466" w:type="dxa"/>
          </w:tcPr>
          <w:p w14:paraId="123C5C77" w14:textId="77777777" w:rsidR="00082F06" w:rsidRPr="00011FE4" w:rsidRDefault="003A2983" w:rsidP="003A2983">
            <w:pPr>
              <w:spacing w:before="240"/>
            </w:pPr>
            <w:r w:rsidRPr="00011FE4">
              <w:rPr>
                <w:i/>
                <w:iCs/>
              </w:rPr>
              <w:t>Children and Families Act 2014</w:t>
            </w:r>
            <w:r w:rsidRPr="00011FE4">
              <w:t>. London: HMSO</w:t>
            </w:r>
            <w:r w:rsidR="001E40F1" w:rsidRPr="00011FE4">
              <w:t>.</w:t>
            </w:r>
          </w:p>
          <w:p w14:paraId="3409163E" w14:textId="2409422C" w:rsidR="00151E6F" w:rsidRPr="00011FE4" w:rsidRDefault="00151E6F" w:rsidP="003A2983">
            <w:pPr>
              <w:spacing w:before="240"/>
            </w:pPr>
          </w:p>
        </w:tc>
      </w:tr>
      <w:tr w:rsidR="003A2983" w:rsidRPr="00011FE4" w14:paraId="79FFAEA1" w14:textId="77777777" w:rsidTr="00EA70A7">
        <w:tc>
          <w:tcPr>
            <w:tcW w:w="10466" w:type="dxa"/>
          </w:tcPr>
          <w:p w14:paraId="3C8C11BE" w14:textId="1A206C7F" w:rsidR="00082F06" w:rsidRPr="00011FE4" w:rsidRDefault="003A2983" w:rsidP="003A2983">
            <w:pPr>
              <w:spacing w:before="240"/>
              <w:contextualSpacing/>
            </w:pPr>
            <w:r w:rsidRPr="00011FE4">
              <w:t>Chown, N., Beardon, L., Martin, N. and Ellis, S. (2015) Examining intellectual prowess, not social difference: removing barriers from the doctor</w:t>
            </w:r>
            <w:r w:rsidR="003A6374" w:rsidRPr="00011FE4">
              <w:t>al viva for autistic candidates.</w:t>
            </w:r>
            <w:r w:rsidRPr="00011FE4">
              <w:t xml:space="preserve"> </w:t>
            </w:r>
            <w:r w:rsidRPr="00011FE4">
              <w:rPr>
                <w:i/>
                <w:iCs/>
              </w:rPr>
              <w:t>Journal of Inclusive Practice in Further and Higher Education</w:t>
            </w:r>
            <w:r w:rsidR="003A6374" w:rsidRPr="00011FE4">
              <w:rPr>
                <w:iCs/>
              </w:rPr>
              <w:t>,</w:t>
            </w:r>
            <w:r w:rsidR="003A6374" w:rsidRPr="00011FE4">
              <w:t xml:space="preserve"> 6</w:t>
            </w:r>
            <w:r w:rsidRPr="00011FE4">
              <w:t>(1)</w:t>
            </w:r>
            <w:r w:rsidR="003A6374" w:rsidRPr="00011FE4">
              <w:t>,</w:t>
            </w:r>
            <w:r w:rsidRPr="00011FE4">
              <w:t xml:space="preserve"> 22-38.</w:t>
            </w:r>
          </w:p>
          <w:p w14:paraId="68EEFECE" w14:textId="77777777" w:rsidR="00082F06" w:rsidRPr="00011FE4" w:rsidRDefault="00082F06" w:rsidP="003A2983">
            <w:pPr>
              <w:spacing w:before="240"/>
              <w:contextualSpacing/>
            </w:pPr>
          </w:p>
          <w:p w14:paraId="0A65E86E" w14:textId="55E654B2" w:rsidR="0073214F" w:rsidRPr="00011FE4" w:rsidRDefault="0073214F" w:rsidP="003A2983">
            <w:pPr>
              <w:spacing w:before="240"/>
              <w:contextualSpacing/>
              <w:rPr>
                <w:color w:val="222222"/>
                <w:shd w:val="clear" w:color="auto" w:fill="FFFFFF"/>
              </w:rPr>
            </w:pPr>
            <w:r w:rsidRPr="00011FE4">
              <w:rPr>
                <w:color w:val="222222"/>
                <w:shd w:val="clear" w:color="auto" w:fill="FFFFFF"/>
              </w:rPr>
              <w:t>Cooper, S.A., Henderson,</w:t>
            </w:r>
            <w:r w:rsidR="003C785E" w:rsidRPr="00011FE4">
              <w:rPr>
                <w:color w:val="222222"/>
                <w:shd w:val="clear" w:color="auto" w:fill="FFFFFF"/>
              </w:rPr>
              <w:t xml:space="preserve"> A., Jacobs, M. and Smiley, E. (</w:t>
            </w:r>
            <w:r w:rsidRPr="00011FE4">
              <w:rPr>
                <w:color w:val="222222"/>
                <w:shd w:val="clear" w:color="auto" w:fill="FFFFFF"/>
              </w:rPr>
              <w:t>2016</w:t>
            </w:r>
            <w:r w:rsidR="003C785E" w:rsidRPr="00011FE4">
              <w:rPr>
                <w:color w:val="222222"/>
                <w:shd w:val="clear" w:color="auto" w:fill="FFFFFF"/>
              </w:rPr>
              <w:t>)</w:t>
            </w:r>
            <w:r w:rsidRPr="00011FE4">
              <w:rPr>
                <w:color w:val="222222"/>
                <w:shd w:val="clear" w:color="auto" w:fill="FFFFFF"/>
              </w:rPr>
              <w:t xml:space="preserve">. </w:t>
            </w:r>
            <w:r w:rsidRPr="00011FE4">
              <w:rPr>
                <w:i/>
                <w:color w:val="222222"/>
                <w:shd w:val="clear" w:color="auto" w:fill="FFFFFF"/>
              </w:rPr>
              <w:t>What Are Learning Disabilities? How Common are Learning Disabilities</w:t>
            </w:r>
            <w:r w:rsidR="00773A68" w:rsidRPr="00011FE4">
              <w:rPr>
                <w:color w:val="222222"/>
                <w:shd w:val="clear" w:color="auto" w:fill="FFFFFF"/>
              </w:rPr>
              <w:t>?</w:t>
            </w:r>
            <w:r w:rsidRPr="00011FE4">
              <w:rPr>
                <w:color w:val="222222"/>
                <w:shd w:val="clear" w:color="auto" w:fill="FFFFFF"/>
              </w:rPr>
              <w:t xml:space="preserve"> </w:t>
            </w:r>
            <w:r w:rsidRPr="00011FE4">
              <w:rPr>
                <w:iCs/>
                <w:color w:val="222222"/>
              </w:rPr>
              <w:t>Scottish Learning Disabilities Observatory</w:t>
            </w:r>
            <w:r w:rsidRPr="00011FE4">
              <w:rPr>
                <w:color w:val="222222"/>
                <w:shd w:val="clear" w:color="auto" w:fill="FFFFFF"/>
              </w:rPr>
              <w:t>.</w:t>
            </w:r>
            <w:r w:rsidR="003C785E" w:rsidRPr="00011FE4">
              <w:rPr>
                <w:color w:val="222222"/>
                <w:shd w:val="clear" w:color="auto" w:fill="FFFFFF"/>
              </w:rPr>
              <w:t xml:space="preserve"> Available from:</w:t>
            </w:r>
            <w:r w:rsidR="003C785E" w:rsidRPr="00011FE4">
              <w:t xml:space="preserve"> </w:t>
            </w:r>
            <w:hyperlink r:id="rId17" w:history="1">
              <w:r w:rsidR="003C785E" w:rsidRPr="00011FE4">
                <w:rPr>
                  <w:rStyle w:val="Hyperlink"/>
                  <w:shd w:val="clear" w:color="auto" w:fill="FFFFFF"/>
                </w:rPr>
                <w:t>https://www.sldo.ac.uk/media/1610/what-are-learning-disabilities-how-common-are-learning-disabilities.pdf</w:t>
              </w:r>
            </w:hyperlink>
            <w:r w:rsidR="003C785E" w:rsidRPr="00011FE4">
              <w:rPr>
                <w:color w:val="222222"/>
                <w:shd w:val="clear" w:color="auto" w:fill="FFFFFF"/>
              </w:rPr>
              <w:t xml:space="preserve"> [Accessed 20 January 2020]</w:t>
            </w:r>
          </w:p>
          <w:p w14:paraId="004C1CDD" w14:textId="77777777" w:rsidR="00082F06" w:rsidRPr="00011FE4" w:rsidRDefault="00082F06" w:rsidP="003A2983">
            <w:pPr>
              <w:spacing w:before="240"/>
              <w:contextualSpacing/>
            </w:pPr>
          </w:p>
          <w:p w14:paraId="04657CFB" w14:textId="35C5C366" w:rsidR="118435A4" w:rsidRPr="00011FE4" w:rsidRDefault="00431728" w:rsidP="118435A4">
            <w:pPr>
              <w:spacing w:before="240"/>
              <w:contextualSpacing/>
              <w:rPr>
                <w:color w:val="222222"/>
                <w:shd w:val="clear" w:color="auto" w:fill="FFFFFF"/>
              </w:rPr>
            </w:pPr>
            <w:r w:rsidRPr="00011FE4">
              <w:rPr>
                <w:color w:val="222222"/>
                <w:shd w:val="clear" w:color="auto" w:fill="FFFFFF"/>
              </w:rPr>
              <w:t>Custer, B.D.</w:t>
            </w:r>
            <w:r w:rsidR="006E7600" w:rsidRPr="00011FE4">
              <w:rPr>
                <w:color w:val="222222"/>
                <w:shd w:val="clear" w:color="auto" w:fill="FFFFFF"/>
              </w:rPr>
              <w:t xml:space="preserve"> (</w:t>
            </w:r>
            <w:r w:rsidRPr="00011FE4">
              <w:rPr>
                <w:color w:val="222222"/>
                <w:shd w:val="clear" w:color="auto" w:fill="FFFFFF"/>
              </w:rPr>
              <w:t>2018</w:t>
            </w:r>
            <w:r w:rsidR="006E7600" w:rsidRPr="00011FE4">
              <w:rPr>
                <w:color w:val="222222"/>
                <w:shd w:val="clear" w:color="auto" w:fill="FFFFFF"/>
              </w:rPr>
              <w:t>)</w:t>
            </w:r>
            <w:r w:rsidRPr="00011FE4">
              <w:rPr>
                <w:color w:val="222222"/>
                <w:shd w:val="clear" w:color="auto" w:fill="FFFFFF"/>
              </w:rPr>
              <w:t xml:space="preserve">. Applying to university with criminal convictions: a comparative study of admissions policies in the United States and United Kingdom. </w:t>
            </w:r>
            <w:r w:rsidRPr="00011FE4">
              <w:rPr>
                <w:i/>
                <w:iCs/>
                <w:color w:val="222222"/>
              </w:rPr>
              <w:t>Journal of Higher Education Policy and Management</w:t>
            </w:r>
            <w:r w:rsidRPr="00011FE4">
              <w:rPr>
                <w:color w:val="222222"/>
                <w:shd w:val="clear" w:color="auto" w:fill="FFFFFF"/>
              </w:rPr>
              <w:t xml:space="preserve">, </w:t>
            </w:r>
            <w:r w:rsidRPr="00011FE4">
              <w:rPr>
                <w:color w:val="222222"/>
              </w:rPr>
              <w:t>40</w:t>
            </w:r>
            <w:r w:rsidR="00082F06" w:rsidRPr="00011FE4">
              <w:rPr>
                <w:color w:val="222222"/>
                <w:shd w:val="clear" w:color="auto" w:fill="FFFFFF"/>
              </w:rPr>
              <w:t>(3), pp.239-255.</w:t>
            </w:r>
          </w:p>
          <w:p w14:paraId="7EE5F877" w14:textId="77777777" w:rsidR="00082F06" w:rsidRPr="00011FE4" w:rsidRDefault="00082F06" w:rsidP="118435A4">
            <w:pPr>
              <w:spacing w:before="240"/>
              <w:contextualSpacing/>
              <w:rPr>
                <w:color w:val="222222"/>
                <w:shd w:val="clear" w:color="auto" w:fill="FFFFFF"/>
              </w:rPr>
            </w:pPr>
          </w:p>
          <w:p w14:paraId="042B3AA6" w14:textId="33B1B421" w:rsidR="00873893" w:rsidRPr="00011FE4" w:rsidRDefault="00CD7AC8" w:rsidP="118435A4">
            <w:pPr>
              <w:contextualSpacing/>
              <w:rPr>
                <w:color w:val="222222"/>
              </w:rPr>
            </w:pPr>
            <w:proofErr w:type="spellStart"/>
            <w:r w:rsidRPr="00011FE4">
              <w:t>Daddona</w:t>
            </w:r>
            <w:proofErr w:type="spellEnd"/>
            <w:r w:rsidRPr="00011FE4">
              <w:t>, M.F. and Harold, M.</w:t>
            </w:r>
            <w:r w:rsidR="00AA08F0" w:rsidRPr="00011FE4">
              <w:t xml:space="preserve"> (</w:t>
            </w:r>
            <w:r w:rsidRPr="00011FE4">
              <w:t>2018</w:t>
            </w:r>
            <w:r w:rsidR="00AA08F0" w:rsidRPr="00011FE4">
              <w:t>)</w:t>
            </w:r>
            <w:r w:rsidRPr="00011FE4">
              <w:t xml:space="preserve">. Hiring Staff in Higher Education with Disabilities: </w:t>
            </w:r>
            <w:r w:rsidR="118435A4" w:rsidRPr="00011FE4">
              <w:rPr>
                <w:rFonts w:eastAsia="Arial"/>
              </w:rPr>
              <w:t>Implications of the Americans With Disabilities Act Amendments Act of 2008</w:t>
            </w:r>
            <w:r w:rsidRPr="00011FE4">
              <w:t xml:space="preserve">. </w:t>
            </w:r>
            <w:r w:rsidRPr="00011FE4">
              <w:rPr>
                <w:i/>
                <w:iCs/>
              </w:rPr>
              <w:t>Journal of Higher Education Management</w:t>
            </w:r>
            <w:r w:rsidRPr="00011FE4">
              <w:t xml:space="preserve">, </w:t>
            </w:r>
            <w:r w:rsidR="118435A4" w:rsidRPr="00011FE4">
              <w:t xml:space="preserve">33(1), pp.48-64.  Available </w:t>
            </w:r>
            <w:r w:rsidRPr="00011FE4">
              <w:rPr>
                <w:color w:val="222222"/>
                <w:shd w:val="clear" w:color="auto" w:fill="FFFFFF"/>
              </w:rPr>
              <w:t xml:space="preserve">from:  </w:t>
            </w:r>
            <w:hyperlink r:id="rId18">
              <w:r w:rsidR="118435A4" w:rsidRPr="00011FE4">
                <w:rPr>
                  <w:rStyle w:val="Hyperlink"/>
                  <w:rFonts w:eastAsia="Arial"/>
                </w:rPr>
                <w:t>http://www.aaua.org/journals/pdfs/JHEM_2018_33-1.pdf</w:t>
              </w:r>
            </w:hyperlink>
            <w:r w:rsidRPr="00011FE4">
              <w:rPr>
                <w:color w:val="222222"/>
                <w:shd w:val="clear" w:color="auto" w:fill="FFFFFF"/>
              </w:rPr>
              <w:t xml:space="preserve"> [Accessed 20 January 2020]</w:t>
            </w:r>
          </w:p>
          <w:p w14:paraId="6775625B" w14:textId="37EF3034" w:rsidR="00873893" w:rsidRPr="00011FE4" w:rsidRDefault="00873893" w:rsidP="118435A4">
            <w:pPr>
              <w:rPr>
                <w:color w:val="222222"/>
              </w:rPr>
            </w:pPr>
          </w:p>
          <w:p w14:paraId="32D03EA2" w14:textId="77777777" w:rsidR="00873893" w:rsidRPr="00011FE4" w:rsidRDefault="00CD7AC8" w:rsidP="118435A4">
            <w:r w:rsidRPr="00011FE4">
              <w:rPr>
                <w:color w:val="222222"/>
                <w:shd w:val="clear" w:color="auto" w:fill="FFFFFF"/>
              </w:rPr>
              <w:lastRenderedPageBreak/>
              <w:t xml:space="preserve">Dean, T., Lee-Post, A. and </w:t>
            </w:r>
            <w:proofErr w:type="spellStart"/>
            <w:r w:rsidRPr="00011FE4">
              <w:rPr>
                <w:color w:val="222222"/>
                <w:shd w:val="clear" w:color="auto" w:fill="FFFFFF"/>
              </w:rPr>
              <w:t>Hapke</w:t>
            </w:r>
            <w:proofErr w:type="spellEnd"/>
            <w:r w:rsidRPr="00011FE4">
              <w:rPr>
                <w:color w:val="222222"/>
                <w:shd w:val="clear" w:color="auto" w:fill="FFFFFF"/>
              </w:rPr>
              <w:t>, H.</w:t>
            </w:r>
            <w:r w:rsidR="00EF5007" w:rsidRPr="00011FE4">
              <w:rPr>
                <w:color w:val="222222"/>
                <w:shd w:val="clear" w:color="auto" w:fill="FFFFFF"/>
              </w:rPr>
              <w:t xml:space="preserve"> (</w:t>
            </w:r>
            <w:r w:rsidRPr="00011FE4">
              <w:rPr>
                <w:color w:val="222222"/>
                <w:shd w:val="clear" w:color="auto" w:fill="FFFFFF"/>
              </w:rPr>
              <w:t>2017</w:t>
            </w:r>
            <w:r w:rsidR="00EF5007" w:rsidRPr="00011FE4">
              <w:rPr>
                <w:color w:val="222222"/>
                <w:shd w:val="clear" w:color="auto" w:fill="FFFFFF"/>
              </w:rPr>
              <w:t>)</w:t>
            </w:r>
            <w:r w:rsidRPr="00011FE4">
              <w:rPr>
                <w:color w:val="222222"/>
                <w:shd w:val="clear" w:color="auto" w:fill="FFFFFF"/>
              </w:rPr>
              <w:t xml:space="preserve">. Universal design for learning in teaching large lecture classes. </w:t>
            </w:r>
            <w:r w:rsidRPr="00011FE4">
              <w:rPr>
                <w:i/>
                <w:iCs/>
                <w:color w:val="222222"/>
              </w:rPr>
              <w:t>Journal of Marketing Education</w:t>
            </w:r>
            <w:r w:rsidRPr="00011FE4">
              <w:rPr>
                <w:color w:val="222222"/>
                <w:shd w:val="clear" w:color="auto" w:fill="FFFFFF"/>
              </w:rPr>
              <w:t xml:space="preserve">, </w:t>
            </w:r>
            <w:r w:rsidRPr="00011FE4">
              <w:rPr>
                <w:color w:val="222222"/>
              </w:rPr>
              <w:t>39</w:t>
            </w:r>
            <w:r w:rsidRPr="00011FE4">
              <w:rPr>
                <w:color w:val="222222"/>
                <w:shd w:val="clear" w:color="auto" w:fill="FFFFFF"/>
              </w:rPr>
              <w:t>(1), pp.5-16.</w:t>
            </w:r>
          </w:p>
        </w:tc>
      </w:tr>
      <w:tr w:rsidR="003A2983" w:rsidRPr="00011FE4" w14:paraId="59D5F341" w14:textId="77777777" w:rsidTr="00EA70A7">
        <w:tc>
          <w:tcPr>
            <w:tcW w:w="10466" w:type="dxa"/>
          </w:tcPr>
          <w:p w14:paraId="60DB5843" w14:textId="3B777057" w:rsidR="003A2983" w:rsidRPr="00011FE4" w:rsidRDefault="003A2983" w:rsidP="009E3E43">
            <w:pPr>
              <w:spacing w:before="240"/>
              <w:rPr>
                <w:b/>
                <w:bCs/>
              </w:rPr>
            </w:pPr>
            <w:r w:rsidRPr="00011FE4">
              <w:lastRenderedPageBreak/>
              <w:t xml:space="preserve">Department for Education (2011) </w:t>
            </w:r>
            <w:r w:rsidRPr="00011FE4">
              <w:rPr>
                <w:i/>
                <w:iCs/>
              </w:rPr>
              <w:t xml:space="preserve">Teachers’ Standards: Guidance for School Leaders, School Staff and Governing Bodies. </w:t>
            </w:r>
            <w:r w:rsidRPr="00011FE4">
              <w:t xml:space="preserve">Available </w:t>
            </w:r>
            <w:r w:rsidR="009E3E43" w:rsidRPr="00011FE4">
              <w:t>from:</w:t>
            </w:r>
            <w:r w:rsidRPr="00011FE4">
              <w:t xml:space="preserve"> </w:t>
            </w:r>
            <w:hyperlink r:id="rId19" w:history="1">
              <w:r w:rsidRPr="00011FE4">
                <w:rPr>
                  <w:color w:val="0000FF"/>
                  <w:u w:val="single"/>
                </w:rPr>
                <w:t>https://assets.publishing.service.gov.uk/government/uploads/system/uploads/attachment_data/file/665520/Teachers__Standards.pdf</w:t>
              </w:r>
            </w:hyperlink>
            <w:r w:rsidRPr="00011FE4">
              <w:t xml:space="preserve"> [Accessed 27 March 2019]</w:t>
            </w:r>
            <w:r w:rsidR="00583DBF" w:rsidRPr="00011FE4">
              <w:t>.</w:t>
            </w:r>
          </w:p>
        </w:tc>
      </w:tr>
      <w:tr w:rsidR="003A2983" w:rsidRPr="00011FE4" w14:paraId="1B55C951" w14:textId="77777777" w:rsidTr="00EA70A7">
        <w:tc>
          <w:tcPr>
            <w:tcW w:w="10466" w:type="dxa"/>
          </w:tcPr>
          <w:p w14:paraId="7FE1FA8C" w14:textId="77777777" w:rsidR="003A2983" w:rsidRPr="00011FE4" w:rsidRDefault="003A2983" w:rsidP="003A2983">
            <w:pPr>
              <w:spacing w:before="240"/>
            </w:pPr>
            <w:r w:rsidRPr="00011FE4">
              <w:t xml:space="preserve">Department for Education (2015) </w:t>
            </w:r>
            <w:r w:rsidRPr="00011FE4">
              <w:rPr>
                <w:i/>
              </w:rPr>
              <w:t>Special educational needs and disability code of practice: 0 to 25 years</w:t>
            </w:r>
            <w:r w:rsidRPr="00011FE4">
              <w:t>. London: HM Government.</w:t>
            </w:r>
          </w:p>
        </w:tc>
      </w:tr>
      <w:tr w:rsidR="003A2983" w:rsidRPr="00011FE4" w14:paraId="69C98FC6" w14:textId="77777777" w:rsidTr="00EA70A7">
        <w:tc>
          <w:tcPr>
            <w:tcW w:w="10466" w:type="dxa"/>
          </w:tcPr>
          <w:p w14:paraId="4518F707" w14:textId="716E9317" w:rsidR="003A2983" w:rsidRPr="00011FE4" w:rsidRDefault="003A2983" w:rsidP="009E3E43">
            <w:pPr>
              <w:spacing w:before="240"/>
            </w:pPr>
            <w:r w:rsidRPr="00011FE4">
              <w:t xml:space="preserve">Department for Education (2017) </w:t>
            </w:r>
            <w:r w:rsidRPr="00011FE4">
              <w:rPr>
                <w:i/>
                <w:iCs/>
              </w:rPr>
              <w:t>Teaching Excellence Framework: Collection</w:t>
            </w:r>
            <w:r w:rsidRPr="00011FE4">
              <w:t>.</w:t>
            </w:r>
            <w:r w:rsidR="004D09C5" w:rsidRPr="00011FE4">
              <w:t xml:space="preserve">  </w:t>
            </w:r>
            <w:r w:rsidRPr="00011FE4">
              <w:t xml:space="preserve">Available </w:t>
            </w:r>
            <w:r w:rsidR="009E3E43" w:rsidRPr="00011FE4">
              <w:t>from</w:t>
            </w:r>
            <w:r w:rsidRPr="00011FE4">
              <w:t xml:space="preserve">: </w:t>
            </w:r>
            <w:hyperlink r:id="rId20">
              <w:r w:rsidRPr="00011FE4">
                <w:rPr>
                  <w:color w:val="0000FF"/>
                  <w:u w:val="single"/>
                </w:rPr>
                <w:t>https://www.gov.uk/government/collections/teaching-excellence-framework</w:t>
              </w:r>
            </w:hyperlink>
            <w:r w:rsidRPr="00011FE4">
              <w:t xml:space="preserve"> [Accessed 5 October 2017].</w:t>
            </w:r>
          </w:p>
        </w:tc>
      </w:tr>
      <w:tr w:rsidR="003A2983" w:rsidRPr="00011FE4" w14:paraId="157F89BC" w14:textId="77777777" w:rsidTr="00EA70A7">
        <w:tc>
          <w:tcPr>
            <w:tcW w:w="10466" w:type="dxa"/>
          </w:tcPr>
          <w:p w14:paraId="3DA1249E" w14:textId="7D1338E2" w:rsidR="003A2983" w:rsidRPr="00011FE4" w:rsidRDefault="2A2F7C28" w:rsidP="2A2F7C28">
            <w:pPr>
              <w:spacing w:before="240"/>
              <w:rPr>
                <w:rFonts w:eastAsia="Arial"/>
                <w:color w:val="222222"/>
              </w:rPr>
            </w:pPr>
            <w:r w:rsidRPr="00011FE4">
              <w:rPr>
                <w:rFonts w:eastAsia="Arial"/>
                <w:color w:val="222222"/>
              </w:rPr>
              <w:t>Disabled Students’ Allowances Quality Assurance Group (DSA-QAG), (2018</w:t>
            </w:r>
            <w:r w:rsidR="003715BE" w:rsidRPr="00011FE4">
              <w:rPr>
                <w:rFonts w:eastAsia="Arial"/>
                <w:color w:val="222222"/>
              </w:rPr>
              <w:t>a</w:t>
            </w:r>
            <w:r w:rsidRPr="00011FE4">
              <w:rPr>
                <w:rFonts w:eastAsia="Arial"/>
                <w:color w:val="222222"/>
              </w:rPr>
              <w:t xml:space="preserve">) SFE A Guide to DSA's 2017-18 pg.3. </w:t>
            </w:r>
            <w:r w:rsidRPr="00011FE4">
              <w:t xml:space="preserve">[Online] Available </w:t>
            </w:r>
            <w:r w:rsidR="009E3E43" w:rsidRPr="00011FE4">
              <w:t>from</w:t>
            </w:r>
            <w:r w:rsidRPr="00011FE4">
              <w:t xml:space="preserve">: </w:t>
            </w:r>
            <w:hyperlink r:id="rId21">
              <w:r w:rsidRPr="00011FE4">
                <w:rPr>
                  <w:rStyle w:val="Hyperlink"/>
                </w:rPr>
                <w:t>https://dsa-qag.org.uk/students/useful-information</w:t>
              </w:r>
            </w:hyperlink>
            <w:r w:rsidRPr="00011FE4">
              <w:t xml:space="preserve"> [Accessed 3 April 2019]</w:t>
            </w:r>
            <w:r w:rsidR="00583DBF" w:rsidRPr="00011FE4">
              <w:t>.</w:t>
            </w:r>
          </w:p>
          <w:p w14:paraId="29F4C088" w14:textId="450FFB1E" w:rsidR="003A2983" w:rsidRPr="00011FE4" w:rsidRDefault="2A2F7C28" w:rsidP="2A2F7C28">
            <w:pPr>
              <w:spacing w:before="240"/>
            </w:pPr>
            <w:r w:rsidRPr="00011FE4">
              <w:rPr>
                <w:rFonts w:eastAsia="Arial"/>
                <w:color w:val="222222"/>
              </w:rPr>
              <w:t>Disabled Students’ Allowances Quality Assurance Group (DSA-QAG), (2018</w:t>
            </w:r>
            <w:r w:rsidR="003715BE" w:rsidRPr="00011FE4">
              <w:rPr>
                <w:rFonts w:eastAsia="Arial"/>
                <w:color w:val="222222"/>
              </w:rPr>
              <w:t>b</w:t>
            </w:r>
            <w:r w:rsidRPr="00011FE4">
              <w:rPr>
                <w:rFonts w:eastAsia="Arial"/>
                <w:color w:val="222222"/>
              </w:rPr>
              <w:t xml:space="preserve">) NMH Quality Assurance Framework 2018. </w:t>
            </w:r>
            <w:r w:rsidRPr="00011FE4">
              <w:t xml:space="preserve">[Online] Available </w:t>
            </w:r>
            <w:r w:rsidR="009E3E43" w:rsidRPr="00011FE4">
              <w:t>from</w:t>
            </w:r>
            <w:r w:rsidRPr="00011FE4">
              <w:t xml:space="preserve">: </w:t>
            </w:r>
            <w:hyperlink r:id="rId22">
              <w:r w:rsidRPr="00011FE4">
                <w:rPr>
                  <w:rStyle w:val="Hyperlink"/>
                  <w:rFonts w:eastAsia="Arial"/>
                </w:rPr>
                <w:t>https://dsa-qag.org.uk/practitioner/nmh-providers/nmh-framework-document</w:t>
              </w:r>
            </w:hyperlink>
            <w:r w:rsidRPr="00011FE4">
              <w:rPr>
                <w:rFonts w:eastAsia="Arial"/>
              </w:rPr>
              <w:t xml:space="preserve"> </w:t>
            </w:r>
            <w:r w:rsidRPr="00011FE4">
              <w:t xml:space="preserve"> [Accessed 5 April 2019]</w:t>
            </w:r>
            <w:r w:rsidR="00583DBF" w:rsidRPr="00011FE4">
              <w:t>.</w:t>
            </w:r>
          </w:p>
          <w:p w14:paraId="01EA5305" w14:textId="77664868" w:rsidR="00B27B76" w:rsidRPr="00011FE4" w:rsidRDefault="00B27B76" w:rsidP="2A2F7C28">
            <w:pPr>
              <w:spacing w:before="240"/>
              <w:rPr>
                <w:rFonts w:eastAsia="Arial"/>
                <w:color w:val="222222"/>
              </w:rPr>
            </w:pPr>
          </w:p>
        </w:tc>
      </w:tr>
      <w:tr w:rsidR="003A2983" w:rsidRPr="00011FE4" w14:paraId="4E19BDED" w14:textId="77777777" w:rsidTr="00EA70A7">
        <w:tc>
          <w:tcPr>
            <w:tcW w:w="10466" w:type="dxa"/>
          </w:tcPr>
          <w:p w14:paraId="46E6D8C5" w14:textId="217EE24F" w:rsidR="004719BD" w:rsidRPr="00011FE4" w:rsidRDefault="004719BD" w:rsidP="003A2983">
            <w:pPr>
              <w:spacing w:before="240"/>
              <w:contextualSpacing/>
              <w:rPr>
                <w:color w:val="222222"/>
                <w:shd w:val="clear" w:color="auto" w:fill="FFFFFF"/>
              </w:rPr>
            </w:pPr>
            <w:r w:rsidRPr="00011FE4">
              <w:rPr>
                <w:color w:val="222222"/>
                <w:shd w:val="clear" w:color="auto" w:fill="FFFFFF"/>
              </w:rPr>
              <w:t>Donnelly, M. and Evans, C.</w:t>
            </w:r>
            <w:r w:rsidR="00DA3BA1" w:rsidRPr="00011FE4">
              <w:rPr>
                <w:color w:val="222222"/>
                <w:shd w:val="clear" w:color="auto" w:fill="FFFFFF"/>
              </w:rPr>
              <w:t xml:space="preserve"> (</w:t>
            </w:r>
            <w:r w:rsidRPr="00011FE4">
              <w:rPr>
                <w:color w:val="222222"/>
                <w:shd w:val="clear" w:color="auto" w:fill="FFFFFF"/>
              </w:rPr>
              <w:t>2019</w:t>
            </w:r>
            <w:r w:rsidR="00DA3BA1" w:rsidRPr="00011FE4">
              <w:rPr>
                <w:color w:val="222222"/>
                <w:shd w:val="clear" w:color="auto" w:fill="FFFFFF"/>
              </w:rPr>
              <w:t>)</w:t>
            </w:r>
            <w:r w:rsidRPr="00011FE4">
              <w:rPr>
                <w:color w:val="222222"/>
                <w:shd w:val="clear" w:color="auto" w:fill="FFFFFF"/>
              </w:rPr>
              <w:t>. A ‘home-</w:t>
            </w:r>
            <w:proofErr w:type="spellStart"/>
            <w:r w:rsidRPr="00011FE4">
              <w:rPr>
                <w:color w:val="222222"/>
                <w:shd w:val="clear" w:color="auto" w:fill="FFFFFF"/>
              </w:rPr>
              <w:t>international’comparative</w:t>
            </w:r>
            <w:proofErr w:type="spellEnd"/>
            <w:r w:rsidRPr="00011FE4">
              <w:rPr>
                <w:color w:val="222222"/>
                <w:shd w:val="clear" w:color="auto" w:fill="FFFFFF"/>
              </w:rPr>
              <w:t xml:space="preserve"> analysis of widening participation in UK higher education. </w:t>
            </w:r>
            <w:r w:rsidRPr="00011FE4">
              <w:rPr>
                <w:i/>
                <w:iCs/>
                <w:color w:val="222222"/>
              </w:rPr>
              <w:t>Higher Education</w:t>
            </w:r>
            <w:r w:rsidRPr="00011FE4">
              <w:rPr>
                <w:color w:val="222222"/>
                <w:shd w:val="clear" w:color="auto" w:fill="FFFFFF"/>
              </w:rPr>
              <w:t xml:space="preserve">, </w:t>
            </w:r>
            <w:r w:rsidRPr="00011FE4">
              <w:rPr>
                <w:color w:val="222222"/>
              </w:rPr>
              <w:t>77</w:t>
            </w:r>
            <w:r w:rsidRPr="00011FE4">
              <w:rPr>
                <w:color w:val="222222"/>
                <w:shd w:val="clear" w:color="auto" w:fill="FFFFFF"/>
              </w:rPr>
              <w:t>(1), pp.97-114.</w:t>
            </w:r>
          </w:p>
          <w:p w14:paraId="1BBCB82F" w14:textId="77777777" w:rsidR="00B27B76" w:rsidRPr="00011FE4" w:rsidRDefault="00B27B76" w:rsidP="003A2983">
            <w:pPr>
              <w:spacing w:before="240"/>
              <w:contextualSpacing/>
            </w:pPr>
          </w:p>
          <w:p w14:paraId="2DAD6A1E" w14:textId="77777777" w:rsidR="002E6316" w:rsidRPr="00011FE4" w:rsidRDefault="002E6316" w:rsidP="003A2983">
            <w:pPr>
              <w:spacing w:before="240"/>
              <w:contextualSpacing/>
            </w:pPr>
            <w:r w:rsidRPr="00011FE4">
              <w:t xml:space="preserve">Draffan, E.A., James, A. and Martin, N. (2017a) Inclusive Teaching and Learning: What’s Next?  </w:t>
            </w:r>
            <w:r w:rsidRPr="00011FE4">
              <w:rPr>
                <w:i/>
              </w:rPr>
              <w:t>Journal of Inclusive Practice in Further and Higher Education</w:t>
            </w:r>
            <w:r w:rsidRPr="00011FE4">
              <w:t xml:space="preserve"> 9(1) pp</w:t>
            </w:r>
            <w:r w:rsidR="00DD7CCA" w:rsidRPr="00011FE4">
              <w:t>.</w:t>
            </w:r>
            <w:r w:rsidRPr="00011FE4">
              <w:t>23-34.</w:t>
            </w:r>
          </w:p>
          <w:p w14:paraId="58D3BD80" w14:textId="3B079A0B" w:rsidR="00B27B76" w:rsidRPr="00011FE4" w:rsidRDefault="00B27B76" w:rsidP="003A2983">
            <w:pPr>
              <w:spacing w:before="240"/>
              <w:contextualSpacing/>
            </w:pPr>
          </w:p>
        </w:tc>
      </w:tr>
      <w:tr w:rsidR="003A2983" w:rsidRPr="00011FE4" w14:paraId="010C82D1" w14:textId="77777777" w:rsidTr="00EA70A7">
        <w:tc>
          <w:tcPr>
            <w:tcW w:w="10466" w:type="dxa"/>
          </w:tcPr>
          <w:p w14:paraId="2298488C" w14:textId="67F2E8F2" w:rsidR="00623DF0" w:rsidRPr="00011FE4" w:rsidRDefault="003A2983" w:rsidP="003A2983">
            <w:pPr>
              <w:spacing w:before="240"/>
              <w:contextualSpacing/>
            </w:pPr>
            <w:r w:rsidRPr="00011FE4">
              <w:t>Draffan, E. A., James, A. &amp; Wald, M. (2017</w:t>
            </w:r>
            <w:r w:rsidR="002E6316" w:rsidRPr="00011FE4">
              <w:t>b</w:t>
            </w:r>
            <w:r w:rsidRPr="00011FE4">
              <w:t xml:space="preserve">) </w:t>
            </w:r>
            <w:r w:rsidRPr="00011FE4">
              <w:rPr>
                <w:i/>
                <w:iCs/>
              </w:rPr>
              <w:t>Enhancing Digital Accessibility Skills through Open Educational Platforms</w:t>
            </w:r>
            <w:r w:rsidRPr="00011FE4">
              <w:t>. T41 Conference Proceeding.</w:t>
            </w:r>
            <w:r w:rsidR="00DD7CCA" w:rsidRPr="00011FE4">
              <w:t xml:space="preserve"> The Journal of Inclusive Practice in Further and Higher Education</w:t>
            </w:r>
          </w:p>
          <w:p w14:paraId="6CDF7A81" w14:textId="77777777" w:rsidR="00B27B76" w:rsidRPr="00011FE4" w:rsidRDefault="00B27B76" w:rsidP="003A2983">
            <w:pPr>
              <w:spacing w:before="240"/>
              <w:contextualSpacing/>
            </w:pPr>
          </w:p>
          <w:p w14:paraId="63A9AA92" w14:textId="77777777" w:rsidR="00BB002C" w:rsidRPr="00011FE4" w:rsidRDefault="00A21C2D" w:rsidP="00741A80">
            <w:pPr>
              <w:contextualSpacing/>
            </w:pPr>
            <w:r w:rsidRPr="00011FE4">
              <w:t xml:space="preserve">Dunn, D. and </w:t>
            </w:r>
            <w:r w:rsidR="00BB002C" w:rsidRPr="00011FE4">
              <w:t>Andrews, E</w:t>
            </w:r>
            <w:r w:rsidR="00741A80" w:rsidRPr="00011FE4">
              <w:t>.</w:t>
            </w:r>
            <w:r w:rsidR="00BB002C" w:rsidRPr="00011FE4">
              <w:t xml:space="preserve"> (2015) </w:t>
            </w:r>
            <w:r w:rsidR="00BB002C" w:rsidRPr="00011FE4">
              <w:rPr>
                <w:iCs/>
              </w:rPr>
              <w:t>Person-first and identity-first language: Developing psychologists’ cultural competence using disability language</w:t>
            </w:r>
            <w:r w:rsidR="00BB002C" w:rsidRPr="00011FE4">
              <w:rPr>
                <w:i/>
                <w:iCs/>
              </w:rPr>
              <w:t>.</w:t>
            </w:r>
            <w:r w:rsidR="00741A80" w:rsidRPr="00011FE4">
              <w:rPr>
                <w:i/>
                <w:iCs/>
              </w:rPr>
              <w:t xml:space="preserve"> </w:t>
            </w:r>
            <w:r w:rsidR="00BB002C" w:rsidRPr="00011FE4">
              <w:rPr>
                <w:i/>
              </w:rPr>
              <w:t>American Psychologist</w:t>
            </w:r>
            <w:r w:rsidR="00BB002C" w:rsidRPr="00011FE4">
              <w:t xml:space="preserve">, 70(3), </w:t>
            </w:r>
            <w:r w:rsidR="00741A80" w:rsidRPr="00011FE4">
              <w:t>pp.</w:t>
            </w:r>
            <w:r w:rsidR="00BB002C" w:rsidRPr="00011FE4">
              <w:t>255-264</w:t>
            </w:r>
            <w:r w:rsidR="00741A80" w:rsidRPr="00011FE4">
              <w:t>.</w:t>
            </w:r>
          </w:p>
          <w:p w14:paraId="634AEC5F" w14:textId="77777777" w:rsidR="001F40A5" w:rsidRPr="00011FE4" w:rsidRDefault="001F40A5" w:rsidP="00741A80">
            <w:pPr>
              <w:contextualSpacing/>
            </w:pPr>
          </w:p>
          <w:p w14:paraId="4C98128D" w14:textId="57873538" w:rsidR="001F40A5" w:rsidRPr="00011FE4" w:rsidRDefault="001F40A5" w:rsidP="009E3E43">
            <w:pPr>
              <w:contextualSpacing/>
            </w:pPr>
            <w:r w:rsidRPr="00011FE4">
              <w:t xml:space="preserve">Durham University (2018).  </w:t>
            </w:r>
            <w:r w:rsidRPr="00011FE4">
              <w:rPr>
                <w:i/>
              </w:rPr>
              <w:t>Disability Support</w:t>
            </w:r>
            <w:r w:rsidRPr="00011FE4">
              <w:t xml:space="preserve">.  Available </w:t>
            </w:r>
            <w:r w:rsidR="009E3E43" w:rsidRPr="00011FE4">
              <w:t>from</w:t>
            </w:r>
            <w:r w:rsidRPr="00011FE4">
              <w:t xml:space="preserve">: </w:t>
            </w:r>
            <w:hyperlink r:id="rId23" w:history="1">
              <w:r w:rsidRPr="00011FE4">
                <w:rPr>
                  <w:rStyle w:val="Hyperlink"/>
                </w:rPr>
                <w:t>https://www.dur.ac.uk/disability.support/support/</w:t>
              </w:r>
            </w:hyperlink>
            <w:r w:rsidRPr="00011FE4">
              <w:t xml:space="preserve"> [Accessed 8 January 2020]</w:t>
            </w:r>
          </w:p>
        </w:tc>
      </w:tr>
      <w:tr w:rsidR="002E6316" w:rsidRPr="00011FE4" w14:paraId="11956DB9" w14:textId="77777777" w:rsidTr="00EA70A7">
        <w:tc>
          <w:tcPr>
            <w:tcW w:w="10466" w:type="dxa"/>
          </w:tcPr>
          <w:p w14:paraId="58034C5D" w14:textId="25A30429" w:rsidR="002E6316" w:rsidRPr="00011FE4" w:rsidRDefault="00623DF0" w:rsidP="003A2983">
            <w:pPr>
              <w:spacing w:before="240"/>
            </w:pPr>
            <w:r w:rsidRPr="00011FE4">
              <w:rPr>
                <w:i/>
                <w:iCs/>
              </w:rPr>
              <w:t xml:space="preserve">Equality Act </w:t>
            </w:r>
            <w:r w:rsidR="002E6316" w:rsidRPr="00011FE4">
              <w:rPr>
                <w:i/>
                <w:iCs/>
              </w:rPr>
              <w:t>2010</w:t>
            </w:r>
            <w:r w:rsidR="002E6316" w:rsidRPr="00011FE4">
              <w:t>. (Section 149)</w:t>
            </w:r>
            <w:r w:rsidR="00D913A7" w:rsidRPr="00011FE4">
              <w:t>.</w:t>
            </w:r>
            <w:r w:rsidR="002E6316" w:rsidRPr="00011FE4">
              <w:t xml:space="preserve"> London: HMSO</w:t>
            </w:r>
            <w:r w:rsidR="00583DBF" w:rsidRPr="00011FE4">
              <w:t>.</w:t>
            </w:r>
          </w:p>
        </w:tc>
      </w:tr>
      <w:tr w:rsidR="002E6316" w:rsidRPr="00011FE4" w14:paraId="69F4EFE7" w14:textId="77777777" w:rsidTr="00EA70A7">
        <w:tc>
          <w:tcPr>
            <w:tcW w:w="10466" w:type="dxa"/>
          </w:tcPr>
          <w:p w14:paraId="18F17039" w14:textId="77777777" w:rsidR="00151E6F" w:rsidRPr="00011FE4" w:rsidRDefault="00151E6F" w:rsidP="00151E6F">
            <w:pPr>
              <w:spacing w:before="240"/>
            </w:pPr>
            <w:r w:rsidRPr="00011FE4">
              <w:t xml:space="preserve">Equality and Human Rights Commission (2016) </w:t>
            </w:r>
            <w:r w:rsidRPr="00011FE4">
              <w:rPr>
                <w:i/>
                <w:iCs/>
              </w:rPr>
              <w:t>Commonly used terms in Equal Rights.</w:t>
            </w:r>
            <w:r w:rsidRPr="00011FE4">
              <w:t xml:space="preserve"> Available from: </w:t>
            </w:r>
            <w:hyperlink r:id="rId24">
              <w:r w:rsidRPr="00011FE4">
                <w:rPr>
                  <w:color w:val="0000FF"/>
                  <w:u w:val="single"/>
                </w:rPr>
                <w:t>https://www.equalityhumanrights.com/en/advice-and-guidance/commonly-used-terms-equal-rights#h1</w:t>
              </w:r>
            </w:hyperlink>
            <w:r w:rsidRPr="00011FE4">
              <w:t xml:space="preserve"> [Accessed 3 April 2019].</w:t>
            </w:r>
          </w:p>
          <w:p w14:paraId="650B65AE" w14:textId="721E6B76" w:rsidR="002E6316" w:rsidRPr="00011FE4" w:rsidRDefault="002E6316" w:rsidP="003A2983">
            <w:pPr>
              <w:spacing w:before="240"/>
            </w:pPr>
            <w:r w:rsidRPr="00011FE4">
              <w:t>Equality and Human Rights Commission (2014</w:t>
            </w:r>
            <w:r w:rsidR="00F54264" w:rsidRPr="00011FE4">
              <w:t>a</w:t>
            </w:r>
            <w:r w:rsidRPr="00011FE4">
              <w:t xml:space="preserve">) </w:t>
            </w:r>
            <w:r w:rsidR="00ED18C5" w:rsidRPr="00011FE4">
              <w:rPr>
                <w:i/>
                <w:iCs/>
              </w:rPr>
              <w:t>Equality Act</w:t>
            </w:r>
            <w:r w:rsidRPr="00011FE4">
              <w:rPr>
                <w:i/>
                <w:iCs/>
              </w:rPr>
              <w:t xml:space="preserve"> </w:t>
            </w:r>
            <w:r w:rsidR="00ED18C5" w:rsidRPr="00011FE4">
              <w:rPr>
                <w:i/>
                <w:iCs/>
              </w:rPr>
              <w:t xml:space="preserve">2010 </w:t>
            </w:r>
            <w:r w:rsidRPr="00011FE4">
              <w:rPr>
                <w:i/>
                <w:iCs/>
              </w:rPr>
              <w:t>Technical Guidance on Further and Higher Education</w:t>
            </w:r>
            <w:r w:rsidRPr="00011FE4">
              <w:t>. London: Equality and Human Rights Commission.</w:t>
            </w:r>
          </w:p>
          <w:p w14:paraId="2C9EFA4C" w14:textId="1FFDAAEE" w:rsidR="00F54264" w:rsidRPr="00011FE4" w:rsidRDefault="00F54264" w:rsidP="003A2983">
            <w:pPr>
              <w:spacing w:before="240"/>
            </w:pPr>
            <w:r w:rsidRPr="00011FE4">
              <w:t xml:space="preserve">Equality and Human Rights Commission (2014b) </w:t>
            </w:r>
            <w:r w:rsidRPr="00011FE4">
              <w:rPr>
                <w:i/>
              </w:rPr>
              <w:t>Technical Guidance on the Public Sector Equality Duty: England</w:t>
            </w:r>
            <w:r w:rsidRPr="00011FE4">
              <w:t>. London: Equality and Human Rights Commission.</w:t>
            </w:r>
          </w:p>
        </w:tc>
      </w:tr>
      <w:tr w:rsidR="002E6316" w:rsidRPr="00011FE4" w14:paraId="5FA67132" w14:textId="77777777" w:rsidTr="00EA70A7">
        <w:tc>
          <w:tcPr>
            <w:tcW w:w="10466" w:type="dxa"/>
          </w:tcPr>
          <w:p w14:paraId="74A456E4" w14:textId="33972F5A" w:rsidR="00AA227C" w:rsidRPr="00011FE4" w:rsidRDefault="00AA227C" w:rsidP="00595F56">
            <w:pPr>
              <w:pStyle w:val="NormalWeb"/>
              <w:spacing w:before="0" w:beforeAutospacing="0" w:after="288" w:afterAutospacing="0"/>
              <w:rPr>
                <w:rFonts w:ascii="Arial" w:hAnsi="Arial" w:cs="Arial"/>
              </w:rPr>
            </w:pPr>
            <w:r w:rsidRPr="00011FE4">
              <w:rPr>
                <w:rFonts w:ascii="Arial" w:hAnsi="Arial" w:cs="Arial"/>
              </w:rPr>
              <w:t>European Agency for Fundamental Rights (2020).</w:t>
            </w:r>
            <w:r w:rsidRPr="00011FE4">
              <w:t xml:space="preserve"> </w:t>
            </w:r>
            <w:r w:rsidRPr="00011FE4">
              <w:rPr>
                <w:rFonts w:ascii="Arial" w:eastAsiaTheme="minorHAnsi" w:hAnsi="Arial" w:cs="Arial"/>
                <w:lang w:eastAsia="en-US"/>
              </w:rPr>
              <w:t xml:space="preserve"> </w:t>
            </w:r>
            <w:hyperlink r:id="rId25" w:history="1">
              <w:r w:rsidRPr="00011FE4">
                <w:rPr>
                  <w:rStyle w:val="Hyperlink"/>
                  <w:rFonts w:ascii="Arial" w:hAnsi="Arial" w:cs="Arial"/>
                </w:rPr>
                <w:t>https://fra.europa.eu/en/cooperation/eu-partners/eu-crpd-framework</w:t>
              </w:r>
            </w:hyperlink>
            <w:r w:rsidRPr="00011FE4">
              <w:rPr>
                <w:rFonts w:ascii="Arial" w:hAnsi="Arial" w:cs="Arial"/>
              </w:rPr>
              <w:t xml:space="preserve"> </w:t>
            </w:r>
            <w:r w:rsidR="00595F56" w:rsidRPr="00011FE4">
              <w:rPr>
                <w:rFonts w:ascii="Arial" w:hAnsi="Arial" w:cs="Arial"/>
              </w:rPr>
              <w:t>[</w:t>
            </w:r>
            <w:r w:rsidRPr="00011FE4">
              <w:rPr>
                <w:rFonts w:ascii="Arial" w:hAnsi="Arial" w:cs="Arial"/>
              </w:rPr>
              <w:t>Accessed 12</w:t>
            </w:r>
            <w:r w:rsidR="00595F56" w:rsidRPr="00011FE4">
              <w:rPr>
                <w:rFonts w:ascii="Arial" w:hAnsi="Arial" w:cs="Arial"/>
              </w:rPr>
              <w:t xml:space="preserve"> January </w:t>
            </w:r>
            <w:r w:rsidRPr="00011FE4">
              <w:rPr>
                <w:rFonts w:ascii="Arial" w:hAnsi="Arial" w:cs="Arial"/>
              </w:rPr>
              <w:t>20</w:t>
            </w:r>
            <w:r w:rsidR="00595F56" w:rsidRPr="00011FE4">
              <w:rPr>
                <w:rFonts w:ascii="Arial" w:hAnsi="Arial" w:cs="Arial"/>
              </w:rPr>
              <w:t>20]</w:t>
            </w:r>
            <w:r w:rsidRPr="00011FE4">
              <w:rPr>
                <w:rFonts w:ascii="Arial" w:hAnsi="Arial" w:cs="Arial"/>
              </w:rPr>
              <w:t xml:space="preserve"> </w:t>
            </w:r>
          </w:p>
        </w:tc>
      </w:tr>
      <w:tr w:rsidR="002E6316" w:rsidRPr="00011FE4" w14:paraId="43FB023D" w14:textId="77777777" w:rsidTr="00EA70A7">
        <w:tc>
          <w:tcPr>
            <w:tcW w:w="10466" w:type="dxa"/>
          </w:tcPr>
          <w:p w14:paraId="0F517B7C" w14:textId="14E17D13" w:rsidR="002E6316" w:rsidRPr="00011FE4" w:rsidRDefault="002E6316" w:rsidP="00105F4B">
            <w:pPr>
              <w:spacing w:before="240"/>
              <w:rPr>
                <w:rFonts w:eastAsia="Arial"/>
                <w:i/>
                <w:iCs/>
              </w:rPr>
            </w:pPr>
            <w:r w:rsidRPr="00011FE4">
              <w:rPr>
                <w:rFonts w:eastAsia="Arial"/>
                <w:iCs/>
              </w:rPr>
              <w:lastRenderedPageBreak/>
              <w:t>Everett</w:t>
            </w:r>
            <w:r w:rsidR="00BD0FB9" w:rsidRPr="00011FE4">
              <w:rPr>
                <w:rFonts w:eastAsia="Arial"/>
                <w:iCs/>
              </w:rPr>
              <w:t>,</w:t>
            </w:r>
            <w:r w:rsidRPr="00011FE4">
              <w:rPr>
                <w:rFonts w:eastAsia="Arial"/>
                <w:iCs/>
              </w:rPr>
              <w:t xml:space="preserve"> S</w:t>
            </w:r>
            <w:r w:rsidR="00BD0FB9" w:rsidRPr="00011FE4">
              <w:rPr>
                <w:rFonts w:eastAsia="Arial"/>
                <w:iCs/>
              </w:rPr>
              <w:t>.</w:t>
            </w:r>
            <w:r w:rsidRPr="00011FE4">
              <w:rPr>
                <w:rFonts w:eastAsia="Arial"/>
                <w:iCs/>
              </w:rPr>
              <w:t xml:space="preserve"> (2017) How to make your university disability friendly. </w:t>
            </w:r>
            <w:r w:rsidR="00105F4B" w:rsidRPr="00011FE4">
              <w:rPr>
                <w:rFonts w:eastAsia="Arial"/>
                <w:i/>
                <w:iCs/>
              </w:rPr>
              <w:t>Times Higher Education</w:t>
            </w:r>
            <w:r w:rsidR="00105F4B" w:rsidRPr="00011FE4">
              <w:rPr>
                <w:rFonts w:eastAsia="Arial"/>
                <w:iCs/>
              </w:rPr>
              <w:t xml:space="preserve">, 23 November. </w:t>
            </w:r>
            <w:r w:rsidRPr="00011FE4">
              <w:rPr>
                <w:rFonts w:eastAsia="Arial"/>
                <w:iCs/>
              </w:rPr>
              <w:t xml:space="preserve">Available </w:t>
            </w:r>
            <w:r w:rsidR="00105F4B" w:rsidRPr="00011FE4">
              <w:rPr>
                <w:rFonts w:eastAsia="Arial"/>
                <w:iCs/>
              </w:rPr>
              <w:t>from</w:t>
            </w:r>
            <w:r w:rsidRPr="00011FE4">
              <w:rPr>
                <w:rFonts w:eastAsia="Arial"/>
                <w:i/>
                <w:iCs/>
              </w:rPr>
              <w:t>:</w:t>
            </w:r>
            <w:r w:rsidR="00650F32" w:rsidRPr="00011FE4">
              <w:rPr>
                <w:rFonts w:eastAsia="Arial"/>
                <w:i/>
                <w:iCs/>
              </w:rPr>
              <w:t xml:space="preserve"> </w:t>
            </w:r>
            <w:hyperlink r:id="rId26">
              <w:r w:rsidRPr="00011FE4">
                <w:rPr>
                  <w:rStyle w:val="Hyperlink"/>
                  <w:rFonts w:eastAsia="Arial"/>
                  <w:iCs/>
                </w:rPr>
                <w:t>https://www.timeshighereducation.com/news/career-advice-how-make-your-university-disability-friendly</w:t>
              </w:r>
            </w:hyperlink>
            <w:r w:rsidRPr="00011FE4">
              <w:rPr>
                <w:rFonts w:eastAsia="Arial"/>
                <w:iCs/>
              </w:rPr>
              <w:t xml:space="preserve">. </w:t>
            </w:r>
            <w:r w:rsidR="00950945" w:rsidRPr="00011FE4">
              <w:rPr>
                <w:rFonts w:eastAsia="Arial"/>
                <w:iCs/>
              </w:rPr>
              <w:t>[</w:t>
            </w:r>
            <w:r w:rsidRPr="00011FE4">
              <w:rPr>
                <w:rFonts w:eastAsia="Arial"/>
                <w:iCs/>
              </w:rPr>
              <w:t>Accessed 2</w:t>
            </w:r>
            <w:r w:rsidR="00195AEE" w:rsidRPr="00011FE4">
              <w:rPr>
                <w:rFonts w:eastAsia="Arial"/>
                <w:iCs/>
              </w:rPr>
              <w:t xml:space="preserve"> April 20</w:t>
            </w:r>
            <w:r w:rsidRPr="00011FE4">
              <w:rPr>
                <w:rFonts w:eastAsia="Arial"/>
                <w:iCs/>
              </w:rPr>
              <w:t>19</w:t>
            </w:r>
            <w:r w:rsidR="00950945" w:rsidRPr="00011FE4">
              <w:rPr>
                <w:rFonts w:eastAsia="Arial"/>
                <w:iCs/>
              </w:rPr>
              <w:t>]</w:t>
            </w:r>
            <w:r w:rsidRPr="00011FE4">
              <w:rPr>
                <w:rFonts w:eastAsia="Arial"/>
                <w:iCs/>
              </w:rPr>
              <w:t>.</w:t>
            </w:r>
          </w:p>
        </w:tc>
      </w:tr>
      <w:tr w:rsidR="002E6316" w:rsidRPr="00011FE4" w14:paraId="62EDF973" w14:textId="77777777" w:rsidTr="00EA70A7">
        <w:tc>
          <w:tcPr>
            <w:tcW w:w="10466" w:type="dxa"/>
          </w:tcPr>
          <w:p w14:paraId="0F91AEDC" w14:textId="4716AB5C" w:rsidR="002E6316" w:rsidRPr="00011FE4" w:rsidRDefault="002E6316" w:rsidP="003A2983">
            <w:pPr>
              <w:spacing w:before="240"/>
            </w:pPr>
            <w:r w:rsidRPr="00011FE4">
              <w:rPr>
                <w:lang w:val="en-US"/>
              </w:rPr>
              <w:t>Fajerman, L.</w:t>
            </w:r>
            <w:r w:rsidR="00930BC4" w:rsidRPr="00011FE4">
              <w:rPr>
                <w:lang w:val="en-US"/>
              </w:rPr>
              <w:t xml:space="preserve"> and</w:t>
            </w:r>
            <w:r w:rsidRPr="00011FE4">
              <w:rPr>
                <w:lang w:val="en-US"/>
              </w:rPr>
              <w:t xml:space="preserve"> Treseder, P. (2000) </w:t>
            </w:r>
            <w:r w:rsidRPr="00011FE4">
              <w:rPr>
                <w:i/>
                <w:iCs/>
                <w:lang w:val="en-US"/>
              </w:rPr>
              <w:t>Children are service users too: a guide to consulting children and young people</w:t>
            </w:r>
            <w:r w:rsidRPr="00011FE4">
              <w:rPr>
                <w:lang w:val="en-US"/>
              </w:rPr>
              <w:t>. London: Save The Children.</w:t>
            </w:r>
          </w:p>
        </w:tc>
      </w:tr>
      <w:tr w:rsidR="002E6316" w:rsidRPr="00011FE4" w14:paraId="11679ADE" w14:textId="77777777" w:rsidTr="00EA70A7">
        <w:tc>
          <w:tcPr>
            <w:tcW w:w="10466" w:type="dxa"/>
          </w:tcPr>
          <w:p w14:paraId="7C67A74F" w14:textId="1FFF2336" w:rsidR="002E6316" w:rsidRPr="00011FE4" w:rsidRDefault="002E6316" w:rsidP="003A2983">
            <w:pPr>
              <w:spacing w:before="240"/>
            </w:pPr>
            <w:r w:rsidRPr="00011FE4">
              <w:rPr>
                <w:color w:val="222222"/>
                <w:shd w:val="clear" w:color="auto" w:fill="FFFFFF"/>
              </w:rPr>
              <w:t xml:space="preserve">Farrar, V. and Young, R.G. (2007) </w:t>
            </w:r>
            <w:r w:rsidRPr="00011FE4">
              <w:rPr>
                <w:i/>
                <w:iCs/>
                <w:color w:val="222222"/>
                <w:shd w:val="clear" w:color="auto" w:fill="FFFFFF"/>
              </w:rPr>
              <w:t>Supervising disabled research students</w:t>
            </w:r>
            <w:r w:rsidRPr="00011FE4">
              <w:rPr>
                <w:color w:val="222222"/>
                <w:shd w:val="clear" w:color="auto" w:fill="FFFFFF"/>
              </w:rPr>
              <w:t>. </w:t>
            </w:r>
            <w:r w:rsidR="00D15341" w:rsidRPr="00011FE4">
              <w:t xml:space="preserve"> Denicolo, P. (Ed.)</w:t>
            </w:r>
            <w:r w:rsidR="00D15341" w:rsidRPr="00011FE4">
              <w:rPr>
                <w:i/>
                <w:iCs/>
                <w:color w:val="222222"/>
                <w:shd w:val="clear" w:color="auto" w:fill="FFFFFF"/>
              </w:rPr>
              <w:t xml:space="preserve"> </w:t>
            </w:r>
            <w:r w:rsidRPr="00011FE4">
              <w:rPr>
                <w:i/>
                <w:iCs/>
                <w:color w:val="222222"/>
                <w:shd w:val="clear" w:color="auto" w:fill="FFFFFF"/>
              </w:rPr>
              <w:t>Issues in Postgraduate Education: Management, Teaching and Supervision</w:t>
            </w:r>
            <w:r w:rsidR="00D15341" w:rsidRPr="00011FE4">
              <w:rPr>
                <w:i/>
                <w:iCs/>
                <w:color w:val="222222"/>
                <w:shd w:val="clear" w:color="auto" w:fill="FFFFFF"/>
              </w:rPr>
              <w:t xml:space="preserve"> </w:t>
            </w:r>
            <w:r w:rsidR="00D15341" w:rsidRPr="00011FE4">
              <w:rPr>
                <w:color w:val="222222"/>
                <w:shd w:val="clear" w:color="auto" w:fill="FFFFFF"/>
              </w:rPr>
              <w:t>series</w:t>
            </w:r>
            <w:r w:rsidRPr="00011FE4">
              <w:rPr>
                <w:color w:val="222222"/>
                <w:shd w:val="clear" w:color="auto" w:fill="FFFFFF"/>
              </w:rPr>
              <w:t>.</w:t>
            </w:r>
            <w:r w:rsidRPr="00011FE4">
              <w:t xml:space="preserve"> 2(3).</w:t>
            </w:r>
            <w:r w:rsidR="00E923F4" w:rsidRPr="00011FE4">
              <w:t xml:space="preserve"> London: SRHE</w:t>
            </w:r>
            <w:r w:rsidR="00930BC4" w:rsidRPr="00011FE4">
              <w:t>.</w:t>
            </w:r>
          </w:p>
          <w:p w14:paraId="5E878E36" w14:textId="16DDEFCF" w:rsidR="00F83709" w:rsidRPr="00011FE4" w:rsidRDefault="00B03899" w:rsidP="003A2983">
            <w:pPr>
              <w:spacing w:before="240"/>
            </w:pPr>
            <w:r w:rsidRPr="00011FE4">
              <w:t xml:space="preserve">Ferris State University (2020). </w:t>
            </w:r>
            <w:r w:rsidRPr="00011FE4">
              <w:rPr>
                <w:i/>
                <w:iCs/>
              </w:rPr>
              <w:t>Impact of ADA on Higher Education</w:t>
            </w:r>
            <w:r w:rsidRPr="00011FE4">
              <w:t xml:space="preserve">.  Available from: </w:t>
            </w:r>
            <w:hyperlink r:id="rId27" w:history="1">
              <w:r w:rsidRPr="00011FE4">
                <w:rPr>
                  <w:rStyle w:val="Hyperlink"/>
                </w:rPr>
                <w:t>h</w:t>
              </w:r>
              <w:r w:rsidRPr="00011FE4">
                <w:rPr>
                  <w:rStyle w:val="Hyperlink"/>
                  <w:bCs/>
                </w:rPr>
                <w:t>ttps://www.ferris.edu/RSS/disability/federal-guidelines/impact-of-ADA.htm</w:t>
              </w:r>
            </w:hyperlink>
            <w:r w:rsidRPr="00011FE4">
              <w:rPr>
                <w:bCs/>
              </w:rPr>
              <w:t xml:space="preserve"> [Accessed 6 January 2020]</w:t>
            </w:r>
          </w:p>
        </w:tc>
      </w:tr>
      <w:tr w:rsidR="002E6316" w:rsidRPr="00011FE4" w14:paraId="59A76A6B" w14:textId="77777777" w:rsidTr="00EA70A7">
        <w:tc>
          <w:tcPr>
            <w:tcW w:w="10466" w:type="dxa"/>
          </w:tcPr>
          <w:p w14:paraId="42BB8C64" w14:textId="2C426FC5" w:rsidR="002E6316" w:rsidRPr="00011FE4" w:rsidRDefault="002E6316" w:rsidP="2A2F7C28">
            <w:pPr>
              <w:spacing w:before="240"/>
              <w:rPr>
                <w:color w:val="222222"/>
                <w:shd w:val="clear" w:color="auto" w:fill="FFFFFF"/>
              </w:rPr>
            </w:pPr>
            <w:proofErr w:type="spellStart"/>
            <w:r w:rsidRPr="00011FE4">
              <w:rPr>
                <w:color w:val="222222"/>
                <w:shd w:val="clear" w:color="auto" w:fill="FFFFFF"/>
              </w:rPr>
              <w:t>Guskey</w:t>
            </w:r>
            <w:proofErr w:type="spellEnd"/>
            <w:r w:rsidRPr="00011FE4">
              <w:rPr>
                <w:color w:val="222222"/>
                <w:shd w:val="clear" w:color="auto" w:fill="FFFFFF"/>
              </w:rPr>
              <w:t>, T.R. (2000) </w:t>
            </w:r>
            <w:r w:rsidRPr="00011FE4">
              <w:rPr>
                <w:i/>
                <w:iCs/>
                <w:color w:val="222222"/>
                <w:shd w:val="clear" w:color="auto" w:fill="FFFFFF"/>
              </w:rPr>
              <w:t>Evaluating professional development</w:t>
            </w:r>
            <w:r w:rsidRPr="00011FE4">
              <w:rPr>
                <w:color w:val="222222"/>
                <w:shd w:val="clear" w:color="auto" w:fill="FFFFFF"/>
              </w:rPr>
              <w:t xml:space="preserve">. </w:t>
            </w:r>
            <w:r w:rsidR="00FE34BA" w:rsidRPr="00011FE4">
              <w:rPr>
                <w:color w:val="222222"/>
                <w:shd w:val="clear" w:color="auto" w:fill="FFFFFF"/>
              </w:rPr>
              <w:t>London: Sage</w:t>
            </w:r>
            <w:r w:rsidRPr="00011FE4">
              <w:rPr>
                <w:color w:val="222222"/>
                <w:shd w:val="clear" w:color="auto" w:fill="FFFFFF"/>
              </w:rPr>
              <w:t>.</w:t>
            </w:r>
          </w:p>
          <w:p w14:paraId="6F4D2701" w14:textId="02A20E52" w:rsidR="00541AC5" w:rsidRPr="00011FE4" w:rsidRDefault="00541AC5" w:rsidP="2A2F7C28">
            <w:pPr>
              <w:spacing w:before="240"/>
            </w:pPr>
            <w:r w:rsidRPr="00011FE4">
              <w:rPr>
                <w:color w:val="222222"/>
                <w:shd w:val="clear" w:color="auto" w:fill="FFFFFF"/>
              </w:rPr>
              <w:t>Hadley, W., Hsu, J., Addison, M.A. and Talbot, D.</w:t>
            </w:r>
            <w:r w:rsidR="00072029" w:rsidRPr="00011FE4">
              <w:rPr>
                <w:color w:val="222222"/>
                <w:shd w:val="clear" w:color="auto" w:fill="FFFFFF"/>
              </w:rPr>
              <w:t xml:space="preserve"> (</w:t>
            </w:r>
            <w:r w:rsidRPr="00011FE4">
              <w:rPr>
                <w:color w:val="222222"/>
                <w:shd w:val="clear" w:color="auto" w:fill="FFFFFF"/>
              </w:rPr>
              <w:t>2020</w:t>
            </w:r>
            <w:r w:rsidR="00072029" w:rsidRPr="00011FE4">
              <w:rPr>
                <w:color w:val="222222"/>
                <w:shd w:val="clear" w:color="auto" w:fill="FFFFFF"/>
              </w:rPr>
              <w:t>)</w:t>
            </w:r>
            <w:r w:rsidRPr="00011FE4">
              <w:rPr>
                <w:color w:val="222222"/>
                <w:shd w:val="clear" w:color="auto" w:fill="FFFFFF"/>
              </w:rPr>
              <w:t>. Marginality and mattering: The experiences of students with learning disabilities on the college campus. In</w:t>
            </w:r>
            <w:r w:rsidR="00F33604" w:rsidRPr="00011FE4">
              <w:rPr>
                <w:color w:val="222222"/>
                <w:shd w:val="clear" w:color="auto" w:fill="FFFFFF"/>
              </w:rPr>
              <w:t>:</w:t>
            </w:r>
            <w:r w:rsidRPr="00011FE4">
              <w:rPr>
                <w:color w:val="222222"/>
                <w:shd w:val="clear" w:color="auto" w:fill="FFFFFF"/>
              </w:rPr>
              <w:t xml:space="preserve"> </w:t>
            </w:r>
            <w:r w:rsidRPr="00011FE4">
              <w:rPr>
                <w:i/>
                <w:iCs/>
                <w:color w:val="222222"/>
              </w:rPr>
              <w:t>Accessibility and Diversity in Education: Breakthroughs in Research and Practice</w:t>
            </w:r>
            <w:r w:rsidR="00BE3770" w:rsidRPr="00011FE4">
              <w:rPr>
                <w:i/>
                <w:iCs/>
                <w:color w:val="222222"/>
              </w:rPr>
              <w:t xml:space="preserve"> (Vol. 1)</w:t>
            </w:r>
            <w:r w:rsidRPr="00011FE4">
              <w:rPr>
                <w:color w:val="222222"/>
                <w:shd w:val="clear" w:color="auto" w:fill="FFFFFF"/>
              </w:rPr>
              <w:t xml:space="preserve">. </w:t>
            </w:r>
            <w:r w:rsidR="00BE3770" w:rsidRPr="00011FE4">
              <w:rPr>
                <w:color w:val="222222"/>
                <w:shd w:val="clear" w:color="auto" w:fill="FFFFFF"/>
              </w:rPr>
              <w:t xml:space="preserve">Hershey, PA: </w:t>
            </w:r>
            <w:r w:rsidRPr="00011FE4">
              <w:rPr>
                <w:color w:val="222222"/>
                <w:shd w:val="clear" w:color="auto" w:fill="FFFFFF"/>
              </w:rPr>
              <w:t>IGI Global</w:t>
            </w:r>
            <w:r w:rsidR="00D4578D" w:rsidRPr="00011FE4">
              <w:rPr>
                <w:color w:val="222222"/>
                <w:shd w:val="clear" w:color="auto" w:fill="FFFFFF"/>
              </w:rPr>
              <w:t xml:space="preserve"> (pp. 390-403)</w:t>
            </w:r>
            <w:r w:rsidRPr="00011FE4">
              <w:rPr>
                <w:color w:val="222222"/>
                <w:shd w:val="clear" w:color="auto" w:fill="FFFFFF"/>
              </w:rPr>
              <w:t>.</w:t>
            </w:r>
          </w:p>
          <w:p w14:paraId="4EACE3AE" w14:textId="35687738" w:rsidR="002E6316" w:rsidRPr="00011FE4" w:rsidRDefault="002E6316" w:rsidP="003A2983">
            <w:pPr>
              <w:spacing w:before="240"/>
            </w:pPr>
            <w:proofErr w:type="spellStart"/>
            <w:r w:rsidRPr="00011FE4">
              <w:rPr>
                <w:rFonts w:eastAsiaTheme="minorEastAsia"/>
                <w:color w:val="222222"/>
              </w:rPr>
              <w:t>Hanesworth</w:t>
            </w:r>
            <w:proofErr w:type="spellEnd"/>
            <w:r w:rsidRPr="00011FE4">
              <w:rPr>
                <w:rFonts w:eastAsiaTheme="minorEastAsia"/>
                <w:color w:val="222222"/>
              </w:rPr>
              <w:t xml:space="preserve">, P. (2015) </w:t>
            </w:r>
            <w:r w:rsidRPr="00011FE4">
              <w:rPr>
                <w:rFonts w:eastAsiaTheme="minorEastAsia"/>
                <w:i/>
                <w:iCs/>
                <w:color w:val="222222"/>
              </w:rPr>
              <w:t>Embedding equality and diversity in the curriculum: a model for learning and teaching practitioners.</w:t>
            </w:r>
            <w:r w:rsidRPr="00011FE4">
              <w:rPr>
                <w:rFonts w:eastAsiaTheme="minorEastAsia"/>
                <w:color w:val="222222"/>
              </w:rPr>
              <w:t xml:space="preserve"> York: HE Academy.</w:t>
            </w:r>
          </w:p>
        </w:tc>
      </w:tr>
      <w:tr w:rsidR="002E6316" w:rsidRPr="00011FE4" w14:paraId="1EC5BAAE" w14:textId="77777777" w:rsidTr="00EA70A7">
        <w:tc>
          <w:tcPr>
            <w:tcW w:w="10466" w:type="dxa"/>
          </w:tcPr>
          <w:p w14:paraId="5A19796B" w14:textId="77777777" w:rsidR="00151E6F" w:rsidRPr="00011FE4" w:rsidRDefault="00151E6F" w:rsidP="003A2983">
            <w:pPr>
              <w:spacing w:before="240"/>
              <w:rPr>
                <w:shd w:val="clear" w:color="auto" w:fill="FFFFFF"/>
              </w:rPr>
            </w:pPr>
            <w:r w:rsidRPr="00011FE4">
              <w:rPr>
                <w:shd w:val="clear" w:color="auto" w:fill="FFFFFF"/>
              </w:rPr>
              <w:t>Hastwell, J., Martin, N., Baron-Cohen, S. and Harding, J. (2017) Reflections on a university based social group for students with Asperger syndrome. </w:t>
            </w:r>
            <w:r w:rsidRPr="00011FE4">
              <w:rPr>
                <w:i/>
                <w:iCs/>
                <w:shd w:val="clear" w:color="auto" w:fill="FFFFFF"/>
              </w:rPr>
              <w:t>Good Autism Practice</w:t>
            </w:r>
            <w:r w:rsidRPr="00011FE4">
              <w:rPr>
                <w:shd w:val="clear" w:color="auto" w:fill="FFFFFF"/>
              </w:rPr>
              <w:t>, </w:t>
            </w:r>
            <w:r w:rsidRPr="00011FE4">
              <w:rPr>
                <w:iCs/>
                <w:shd w:val="clear" w:color="auto" w:fill="FFFFFF"/>
              </w:rPr>
              <w:t>18</w:t>
            </w:r>
            <w:r w:rsidRPr="00011FE4">
              <w:rPr>
                <w:shd w:val="clear" w:color="auto" w:fill="FFFFFF"/>
              </w:rPr>
              <w:t>(1), pp.97-105.</w:t>
            </w:r>
          </w:p>
          <w:p w14:paraId="07A9F918" w14:textId="20E05B40" w:rsidR="002E6316" w:rsidRPr="00011FE4" w:rsidRDefault="002E6316" w:rsidP="003A2983">
            <w:pPr>
              <w:spacing w:before="240"/>
            </w:pPr>
            <w:r w:rsidRPr="00011FE4">
              <w:t>Hastwell, J., Martin, N.</w:t>
            </w:r>
            <w:r w:rsidR="00202B05" w:rsidRPr="00011FE4">
              <w:t>,</w:t>
            </w:r>
            <w:r w:rsidRPr="00011FE4">
              <w:t xml:space="preserve"> Baron-Cohen, S. and Harding, J., (2012) Giving Cambridge University students with Asperger syndrome a voice: a qualitative, interview-based study towards developing a model of best practice. </w:t>
            </w:r>
            <w:r w:rsidRPr="00011FE4">
              <w:rPr>
                <w:i/>
                <w:iCs/>
              </w:rPr>
              <w:t>G</w:t>
            </w:r>
            <w:r w:rsidR="00202B05" w:rsidRPr="00011FE4">
              <w:rPr>
                <w:i/>
                <w:iCs/>
              </w:rPr>
              <w:t xml:space="preserve">ood </w:t>
            </w:r>
            <w:r w:rsidRPr="00011FE4">
              <w:rPr>
                <w:i/>
                <w:iCs/>
              </w:rPr>
              <w:t>A</w:t>
            </w:r>
            <w:r w:rsidR="00202B05" w:rsidRPr="00011FE4">
              <w:rPr>
                <w:i/>
                <w:iCs/>
              </w:rPr>
              <w:t xml:space="preserve">utism </w:t>
            </w:r>
            <w:r w:rsidRPr="00011FE4">
              <w:rPr>
                <w:i/>
                <w:iCs/>
              </w:rPr>
              <w:t>P</w:t>
            </w:r>
            <w:r w:rsidR="00202B05" w:rsidRPr="00011FE4">
              <w:rPr>
                <w:i/>
                <w:iCs/>
              </w:rPr>
              <w:t>ractice</w:t>
            </w:r>
            <w:r w:rsidR="00BD0FB9" w:rsidRPr="00011FE4">
              <w:rPr>
                <w:iCs/>
              </w:rPr>
              <w:t>,</w:t>
            </w:r>
            <w:r w:rsidRPr="00011FE4">
              <w:rPr>
                <w:i/>
                <w:iCs/>
              </w:rPr>
              <w:t xml:space="preserve"> </w:t>
            </w:r>
            <w:r w:rsidRPr="00011FE4">
              <w:rPr>
                <w:iCs/>
              </w:rPr>
              <w:t>13(2)</w:t>
            </w:r>
            <w:r w:rsidR="00583DBF" w:rsidRPr="00011FE4">
              <w:rPr>
                <w:iCs/>
              </w:rPr>
              <w:t>, pp.</w:t>
            </w:r>
            <w:r w:rsidRPr="00011FE4">
              <w:rPr>
                <w:iCs/>
              </w:rPr>
              <w:t>56-64</w:t>
            </w:r>
            <w:r w:rsidRPr="00011FE4">
              <w:rPr>
                <w:i/>
                <w:iCs/>
              </w:rPr>
              <w:t xml:space="preserve">. </w:t>
            </w:r>
          </w:p>
        </w:tc>
      </w:tr>
      <w:tr w:rsidR="002E6316" w:rsidRPr="00011FE4" w14:paraId="0284A639" w14:textId="77777777" w:rsidTr="00EA70A7">
        <w:tc>
          <w:tcPr>
            <w:tcW w:w="10466" w:type="dxa"/>
          </w:tcPr>
          <w:p w14:paraId="1C9A299C" w14:textId="503DF450" w:rsidR="002E6316" w:rsidRPr="00011FE4" w:rsidRDefault="118435A4" w:rsidP="118435A4">
            <w:pPr>
              <w:spacing w:before="240"/>
            </w:pPr>
            <w:r w:rsidRPr="00011FE4">
              <w:t xml:space="preserve">Hockings, C. (2010) </w:t>
            </w:r>
            <w:r w:rsidRPr="00011FE4">
              <w:rPr>
                <w:i/>
                <w:iCs/>
              </w:rPr>
              <w:t>Inclusive learning and teaching in higher education: A synthesis of research.</w:t>
            </w:r>
            <w:r w:rsidRPr="00011FE4">
              <w:t xml:space="preserve"> York: Higher Education Academy.</w:t>
            </w:r>
          </w:p>
          <w:p w14:paraId="7F769024" w14:textId="3548FC96" w:rsidR="002E6316" w:rsidRPr="00011FE4" w:rsidRDefault="00113801" w:rsidP="003A2983">
            <w:pPr>
              <w:spacing w:before="240"/>
            </w:pPr>
            <w:r w:rsidRPr="00011FE4">
              <w:t>Hsieh, H.F. and Shannon, S.E.</w:t>
            </w:r>
            <w:r w:rsidR="118435A4" w:rsidRPr="00011FE4">
              <w:t xml:space="preserve"> (2005). Three approaches to qualitative content analysis. </w:t>
            </w:r>
            <w:r w:rsidR="118435A4" w:rsidRPr="00011FE4">
              <w:rPr>
                <w:i/>
                <w:iCs/>
              </w:rPr>
              <w:t>Qualitative health research</w:t>
            </w:r>
            <w:r w:rsidR="118435A4" w:rsidRPr="00011FE4">
              <w:t>, 15(9), pp.1277-1288.</w:t>
            </w:r>
          </w:p>
        </w:tc>
      </w:tr>
      <w:tr w:rsidR="002E6316" w:rsidRPr="00011FE4" w14:paraId="5D51A620" w14:textId="77777777" w:rsidTr="00EA70A7">
        <w:tc>
          <w:tcPr>
            <w:tcW w:w="10466" w:type="dxa"/>
          </w:tcPr>
          <w:p w14:paraId="35E996F9" w14:textId="0515F874" w:rsidR="002E6316" w:rsidRPr="00011FE4" w:rsidRDefault="002E6316" w:rsidP="003A2983">
            <w:pPr>
              <w:spacing w:before="240"/>
            </w:pPr>
            <w:r w:rsidRPr="00011FE4">
              <w:rPr>
                <w:rFonts w:eastAsia="Arial"/>
                <w:color w:val="222222"/>
              </w:rPr>
              <w:t xml:space="preserve">Hughes, K., Corcoran, T. and </w:t>
            </w:r>
            <w:proofErr w:type="spellStart"/>
            <w:r w:rsidRPr="00011FE4">
              <w:rPr>
                <w:rFonts w:eastAsia="Arial"/>
                <w:color w:val="222222"/>
              </w:rPr>
              <w:t>Slee</w:t>
            </w:r>
            <w:proofErr w:type="spellEnd"/>
            <w:r w:rsidRPr="00011FE4">
              <w:rPr>
                <w:rFonts w:eastAsia="Arial"/>
                <w:color w:val="222222"/>
              </w:rPr>
              <w:t xml:space="preserve">, R. (2016) Health-inclusive higher education: Listening to students with disabilities or chronic illnesses. </w:t>
            </w:r>
            <w:r w:rsidRPr="00011FE4">
              <w:rPr>
                <w:rFonts w:eastAsia="Arial"/>
                <w:i/>
                <w:iCs/>
                <w:color w:val="222222"/>
              </w:rPr>
              <w:t>Higher Education Research &amp; Development</w:t>
            </w:r>
            <w:r w:rsidRPr="00011FE4">
              <w:rPr>
                <w:rFonts w:eastAsia="Arial"/>
                <w:color w:val="222222"/>
              </w:rPr>
              <w:t xml:space="preserve">, </w:t>
            </w:r>
            <w:r w:rsidRPr="00011FE4">
              <w:rPr>
                <w:rFonts w:eastAsia="Arial"/>
                <w:i/>
                <w:iCs/>
                <w:color w:val="222222"/>
              </w:rPr>
              <w:t>35</w:t>
            </w:r>
            <w:r w:rsidRPr="00011FE4">
              <w:rPr>
                <w:rFonts w:eastAsia="Arial"/>
                <w:color w:val="222222"/>
              </w:rPr>
              <w:t>(3), pp.488-501.</w:t>
            </w:r>
          </w:p>
        </w:tc>
      </w:tr>
      <w:tr w:rsidR="002E6316" w:rsidRPr="00011FE4" w14:paraId="765E4603" w14:textId="77777777" w:rsidTr="00EA70A7">
        <w:tc>
          <w:tcPr>
            <w:tcW w:w="10466" w:type="dxa"/>
          </w:tcPr>
          <w:p w14:paraId="205EF809" w14:textId="2C81C14F" w:rsidR="002E6316" w:rsidRPr="00011FE4" w:rsidRDefault="002E6316" w:rsidP="003A2983">
            <w:pPr>
              <w:spacing w:before="240"/>
              <w:rPr>
                <w:rFonts w:eastAsia="Arial"/>
                <w:color w:val="222222"/>
              </w:rPr>
            </w:pPr>
            <w:r w:rsidRPr="00011FE4">
              <w:t xml:space="preserve">Institute of Physics (2017) </w:t>
            </w:r>
            <w:r w:rsidRPr="00011FE4">
              <w:rPr>
                <w:i/>
                <w:iCs/>
              </w:rPr>
              <w:t>Building momentum towards inclusive teaching and learning</w:t>
            </w:r>
            <w:r w:rsidRPr="00011FE4">
              <w:t>. London: Institute of Physics.</w:t>
            </w:r>
          </w:p>
        </w:tc>
      </w:tr>
      <w:tr w:rsidR="002E6316" w:rsidRPr="00011FE4" w14:paraId="2E811172" w14:textId="77777777" w:rsidTr="00EA70A7">
        <w:tc>
          <w:tcPr>
            <w:tcW w:w="10466" w:type="dxa"/>
          </w:tcPr>
          <w:p w14:paraId="19B0CBA4" w14:textId="0232923E" w:rsidR="002E6316" w:rsidRPr="00011FE4" w:rsidRDefault="002E6316" w:rsidP="00113801">
            <w:pPr>
              <w:spacing w:before="240"/>
            </w:pPr>
            <w:r w:rsidRPr="00011FE4">
              <w:rPr>
                <w:rFonts w:eastAsia="Arial"/>
                <w:color w:val="222222"/>
              </w:rPr>
              <w:t xml:space="preserve">Johnson, J. (2015) Disabled Students' Allowances: Written statement - HCWS347 House of Lords </w:t>
            </w:r>
            <w:r w:rsidRPr="00011FE4">
              <w:t xml:space="preserve">Available </w:t>
            </w:r>
            <w:r w:rsidR="00113801" w:rsidRPr="00011FE4">
              <w:t>from</w:t>
            </w:r>
            <w:r w:rsidRPr="00011FE4">
              <w:t xml:space="preserve">: </w:t>
            </w:r>
            <w:hyperlink r:id="rId28" w:history="1">
              <w:r w:rsidR="00650F32" w:rsidRPr="00011FE4">
                <w:rPr>
                  <w:rStyle w:val="Hyperlink"/>
                </w:rPr>
                <w:t>https://www.parliament.uk/business/publications/written-questions-answers-statements/written-statement/Commons/2015-12-02/HCWS347/</w:t>
              </w:r>
            </w:hyperlink>
            <w:r w:rsidRPr="00011FE4">
              <w:t xml:space="preserve"> [Accessed 3 April 2019]</w:t>
            </w:r>
          </w:p>
        </w:tc>
      </w:tr>
      <w:tr w:rsidR="002E6316" w:rsidRPr="00011FE4" w14:paraId="5EDB833F" w14:textId="77777777" w:rsidTr="00EA70A7">
        <w:tc>
          <w:tcPr>
            <w:tcW w:w="10466" w:type="dxa"/>
          </w:tcPr>
          <w:p w14:paraId="2887051A" w14:textId="0D9CB17E" w:rsidR="002E6316" w:rsidRPr="00011FE4" w:rsidRDefault="002E6316" w:rsidP="003A2983">
            <w:pPr>
              <w:spacing w:before="240"/>
              <w:rPr>
                <w:rFonts w:eastAsia="Arial"/>
                <w:color w:val="222222"/>
              </w:rPr>
            </w:pPr>
            <w:r w:rsidRPr="00011FE4">
              <w:rPr>
                <w:color w:val="222222"/>
                <w:shd w:val="clear" w:color="auto" w:fill="FFFFFF"/>
              </w:rPr>
              <w:t>Jones, D.R. (2018) A proposed systems model for socializing the graduate writer. </w:t>
            </w:r>
            <w:r w:rsidRPr="00011FE4">
              <w:rPr>
                <w:i/>
                <w:iCs/>
                <w:color w:val="222222"/>
                <w:shd w:val="clear" w:color="auto" w:fill="FFFFFF"/>
              </w:rPr>
              <w:t>Studies in Higher Education</w:t>
            </w:r>
            <w:r w:rsidRPr="00011FE4">
              <w:rPr>
                <w:color w:val="222222"/>
                <w:shd w:val="clear" w:color="auto" w:fill="FFFFFF"/>
              </w:rPr>
              <w:t>, </w:t>
            </w:r>
            <w:r w:rsidRPr="00011FE4">
              <w:rPr>
                <w:iCs/>
                <w:color w:val="222222"/>
                <w:shd w:val="clear" w:color="auto" w:fill="FFFFFF"/>
              </w:rPr>
              <w:t>43</w:t>
            </w:r>
            <w:r w:rsidRPr="00011FE4">
              <w:rPr>
                <w:color w:val="222222"/>
                <w:shd w:val="clear" w:color="auto" w:fill="FFFFFF"/>
              </w:rPr>
              <w:t>(1), pp.173</w:t>
            </w:r>
            <w:r w:rsidR="003C254F" w:rsidRPr="00011FE4">
              <w:rPr>
                <w:color w:val="222222"/>
                <w:shd w:val="clear" w:color="auto" w:fill="FFFFFF"/>
              </w:rPr>
              <w:t>-</w:t>
            </w:r>
            <w:r w:rsidRPr="00011FE4">
              <w:rPr>
                <w:color w:val="222222"/>
                <w:shd w:val="clear" w:color="auto" w:fill="FFFFFF"/>
              </w:rPr>
              <w:t>189.</w:t>
            </w:r>
          </w:p>
        </w:tc>
      </w:tr>
      <w:tr w:rsidR="002E6316" w:rsidRPr="00011FE4" w14:paraId="0959C238" w14:textId="77777777" w:rsidTr="00EA70A7">
        <w:tc>
          <w:tcPr>
            <w:tcW w:w="10466" w:type="dxa"/>
          </w:tcPr>
          <w:p w14:paraId="2646E8B2" w14:textId="2036E30B" w:rsidR="002E6316" w:rsidRPr="00011FE4" w:rsidRDefault="002E6316" w:rsidP="003A2983">
            <w:pPr>
              <w:spacing w:before="240"/>
            </w:pPr>
            <w:proofErr w:type="spellStart"/>
            <w:r w:rsidRPr="00011FE4">
              <w:lastRenderedPageBreak/>
              <w:t>Kneale</w:t>
            </w:r>
            <w:proofErr w:type="spellEnd"/>
            <w:r w:rsidRPr="00011FE4">
              <w:t xml:space="preserve">, P. Winter, J. </w:t>
            </w:r>
            <w:proofErr w:type="spellStart"/>
            <w:r w:rsidRPr="00011FE4">
              <w:t>Spowart</w:t>
            </w:r>
            <w:proofErr w:type="spellEnd"/>
            <w:r w:rsidRPr="00011FE4">
              <w:t>, L. Turner, B and Muneer, R. (201</w:t>
            </w:r>
            <w:r w:rsidR="006E1CFD" w:rsidRPr="00011FE4">
              <w:t>6</w:t>
            </w:r>
            <w:r w:rsidRPr="00011FE4">
              <w:t xml:space="preserve">) </w:t>
            </w:r>
            <w:r w:rsidRPr="00011FE4">
              <w:rPr>
                <w:i/>
                <w:iCs/>
              </w:rPr>
              <w:t>Evaluating teaching development activities in higher education: a toolkit</w:t>
            </w:r>
            <w:r w:rsidRPr="00011FE4">
              <w:t xml:space="preserve">. </w:t>
            </w:r>
            <w:r w:rsidR="00B27B76" w:rsidRPr="00011FE4">
              <w:t xml:space="preserve">York: </w:t>
            </w:r>
            <w:r w:rsidRPr="00011FE4">
              <w:t xml:space="preserve">Higher Education Academy. </w:t>
            </w:r>
          </w:p>
        </w:tc>
      </w:tr>
      <w:tr w:rsidR="002E6316" w:rsidRPr="00011FE4" w14:paraId="6CF01716" w14:textId="77777777" w:rsidTr="00EA70A7">
        <w:tc>
          <w:tcPr>
            <w:tcW w:w="10466" w:type="dxa"/>
          </w:tcPr>
          <w:p w14:paraId="537C91BE" w14:textId="5AF889AC" w:rsidR="002E6316" w:rsidRPr="00011FE4" w:rsidRDefault="002E6316" w:rsidP="00075020">
            <w:pPr>
              <w:spacing w:before="240"/>
            </w:pPr>
            <w:r w:rsidRPr="00011FE4">
              <w:rPr>
                <w:color w:val="222222"/>
                <w:shd w:val="clear" w:color="auto" w:fill="FFFFFF"/>
              </w:rPr>
              <w:t xml:space="preserve">Knight, R.A., Dipper, L. and </w:t>
            </w:r>
            <w:proofErr w:type="spellStart"/>
            <w:r w:rsidRPr="00011FE4">
              <w:rPr>
                <w:color w:val="222222"/>
                <w:shd w:val="clear" w:color="auto" w:fill="FFFFFF"/>
              </w:rPr>
              <w:t>Cruice</w:t>
            </w:r>
            <w:proofErr w:type="spellEnd"/>
            <w:r w:rsidRPr="00011FE4">
              <w:rPr>
                <w:color w:val="222222"/>
                <w:shd w:val="clear" w:color="auto" w:fill="FFFFFF"/>
              </w:rPr>
              <w:t>, M. (2018) Viva survivors</w:t>
            </w:r>
            <w:r w:rsidR="00075020" w:rsidRPr="00011FE4">
              <w:rPr>
                <w:color w:val="222222"/>
                <w:shd w:val="clear" w:color="auto" w:fill="FFFFFF"/>
              </w:rPr>
              <w:t xml:space="preserve"> – effect</w:t>
            </w:r>
            <w:r w:rsidRPr="00011FE4">
              <w:rPr>
                <w:color w:val="222222"/>
                <w:shd w:val="clear" w:color="auto" w:fill="FFFFFF"/>
              </w:rPr>
              <w:t xml:space="preserve"> of peer-mentoring on pre-viva anxiety in early-years students. </w:t>
            </w:r>
            <w:r w:rsidRPr="00011FE4">
              <w:rPr>
                <w:i/>
                <w:iCs/>
                <w:color w:val="222222"/>
                <w:shd w:val="clear" w:color="auto" w:fill="FFFFFF"/>
              </w:rPr>
              <w:t>Studies in Higher Education</w:t>
            </w:r>
            <w:r w:rsidRPr="00011FE4">
              <w:rPr>
                <w:color w:val="222222"/>
                <w:shd w:val="clear" w:color="auto" w:fill="FFFFFF"/>
              </w:rPr>
              <w:t>, 43(1), pp.190-199.</w:t>
            </w:r>
          </w:p>
        </w:tc>
      </w:tr>
      <w:tr w:rsidR="002E6316" w:rsidRPr="00011FE4" w14:paraId="4E51D480" w14:textId="77777777" w:rsidTr="00EA70A7">
        <w:tc>
          <w:tcPr>
            <w:tcW w:w="10466" w:type="dxa"/>
          </w:tcPr>
          <w:p w14:paraId="51B2AADD" w14:textId="06ED624A" w:rsidR="002E6316" w:rsidRPr="00011FE4" w:rsidRDefault="002E6316" w:rsidP="003A2983">
            <w:pPr>
              <w:spacing w:before="240"/>
            </w:pPr>
            <w:r w:rsidRPr="00011FE4">
              <w:rPr>
                <w:rFonts w:eastAsia="Arial"/>
                <w:color w:val="222222"/>
              </w:rPr>
              <w:t xml:space="preserve">LaRocco, D.J. and Wilken, D.S. (2013) Universal Design for Learning: University faculty stages of concerns and levels of use. </w:t>
            </w:r>
            <w:r w:rsidRPr="00011FE4">
              <w:rPr>
                <w:rFonts w:eastAsia="Arial"/>
                <w:i/>
                <w:iCs/>
                <w:color w:val="222222"/>
              </w:rPr>
              <w:t>Current Issues in Education</w:t>
            </w:r>
            <w:r w:rsidRPr="00011FE4">
              <w:rPr>
                <w:rFonts w:eastAsia="Arial"/>
                <w:color w:val="222222"/>
              </w:rPr>
              <w:t xml:space="preserve">, </w:t>
            </w:r>
            <w:r w:rsidRPr="00011FE4">
              <w:rPr>
                <w:rFonts w:eastAsia="Arial"/>
                <w:iCs/>
                <w:color w:val="222222"/>
              </w:rPr>
              <w:t>16</w:t>
            </w:r>
            <w:r w:rsidRPr="00011FE4">
              <w:rPr>
                <w:rFonts w:eastAsia="Arial"/>
                <w:color w:val="222222"/>
              </w:rPr>
              <w:t>(1).</w:t>
            </w:r>
          </w:p>
        </w:tc>
      </w:tr>
      <w:tr w:rsidR="002E6316" w:rsidRPr="00011FE4" w14:paraId="491AE983" w14:textId="77777777" w:rsidTr="00EA70A7">
        <w:tc>
          <w:tcPr>
            <w:tcW w:w="10466" w:type="dxa"/>
          </w:tcPr>
          <w:p w14:paraId="345201C6" w14:textId="4FA1A2BF" w:rsidR="002E6316" w:rsidRPr="00011FE4" w:rsidRDefault="002E6316" w:rsidP="003A2983">
            <w:pPr>
              <w:spacing w:before="240"/>
              <w:rPr>
                <w:rFonts w:eastAsia="Arial"/>
                <w:color w:val="222222"/>
              </w:rPr>
            </w:pPr>
            <w:r w:rsidRPr="00011FE4">
              <w:rPr>
                <w:rFonts w:eastAsia="Arial"/>
                <w:color w:val="222222"/>
              </w:rPr>
              <w:t xml:space="preserve">Lawrie, G., Marquis, E., Fuller, E., Newman, T., </w:t>
            </w:r>
            <w:proofErr w:type="spellStart"/>
            <w:r w:rsidRPr="00011FE4">
              <w:rPr>
                <w:rFonts w:eastAsia="Arial"/>
                <w:color w:val="222222"/>
              </w:rPr>
              <w:t>Qiu</w:t>
            </w:r>
            <w:proofErr w:type="spellEnd"/>
            <w:r w:rsidRPr="00011FE4">
              <w:rPr>
                <w:rFonts w:eastAsia="Arial"/>
                <w:color w:val="222222"/>
              </w:rPr>
              <w:t xml:space="preserve">, M., </w:t>
            </w:r>
            <w:proofErr w:type="spellStart"/>
            <w:r w:rsidRPr="00011FE4">
              <w:rPr>
                <w:rFonts w:eastAsia="Arial"/>
                <w:color w:val="222222"/>
              </w:rPr>
              <w:t>Nomikoudis</w:t>
            </w:r>
            <w:proofErr w:type="spellEnd"/>
            <w:r w:rsidRPr="00011FE4">
              <w:rPr>
                <w:rFonts w:eastAsia="Arial"/>
                <w:color w:val="222222"/>
              </w:rPr>
              <w:t xml:space="preserve">, M., </w:t>
            </w:r>
            <w:proofErr w:type="spellStart"/>
            <w:r w:rsidRPr="00011FE4">
              <w:rPr>
                <w:rFonts w:eastAsia="Arial"/>
                <w:color w:val="222222"/>
              </w:rPr>
              <w:t>Roelofs</w:t>
            </w:r>
            <w:proofErr w:type="spellEnd"/>
            <w:r w:rsidRPr="00011FE4">
              <w:rPr>
                <w:rFonts w:eastAsia="Arial"/>
                <w:color w:val="222222"/>
              </w:rPr>
              <w:t xml:space="preserve">, F. and van Dam, L. (2017) Moving towards inclusive learning and teaching: A synthesis of recent literature. </w:t>
            </w:r>
            <w:r w:rsidRPr="00011FE4">
              <w:rPr>
                <w:rFonts w:eastAsia="Arial"/>
                <w:i/>
                <w:iCs/>
                <w:color w:val="222222"/>
              </w:rPr>
              <w:t>Teaching &amp; Learning Inquiry</w:t>
            </w:r>
            <w:r w:rsidRPr="00011FE4">
              <w:rPr>
                <w:rFonts w:eastAsia="Arial"/>
                <w:color w:val="222222"/>
              </w:rPr>
              <w:t xml:space="preserve">, </w:t>
            </w:r>
            <w:r w:rsidRPr="00011FE4">
              <w:rPr>
                <w:rFonts w:eastAsia="Arial"/>
                <w:iCs/>
                <w:color w:val="222222"/>
              </w:rPr>
              <w:t>5</w:t>
            </w:r>
            <w:r w:rsidRPr="00011FE4">
              <w:rPr>
                <w:rFonts w:eastAsia="Arial"/>
                <w:color w:val="222222"/>
              </w:rPr>
              <w:t>(1), pp.1-13.</w:t>
            </w:r>
          </w:p>
        </w:tc>
      </w:tr>
      <w:tr w:rsidR="002E6316" w:rsidRPr="00011FE4" w14:paraId="641844B5" w14:textId="77777777" w:rsidTr="00EA70A7">
        <w:tc>
          <w:tcPr>
            <w:tcW w:w="10466" w:type="dxa"/>
          </w:tcPr>
          <w:p w14:paraId="287D259A" w14:textId="5A8BE13D" w:rsidR="002E6316" w:rsidRPr="00011FE4" w:rsidRDefault="002E6316" w:rsidP="00215EFC">
            <w:pPr>
              <w:spacing w:before="240"/>
              <w:rPr>
                <w:rFonts w:eastAsia="Arial"/>
                <w:color w:val="222222"/>
              </w:rPr>
            </w:pPr>
            <w:r w:rsidRPr="00011FE4">
              <w:t xml:space="preserve">Layer, G. (2017) Disabled Students Sector Leadership Group (DSSLG) </w:t>
            </w:r>
            <w:r w:rsidRPr="00011FE4">
              <w:rPr>
                <w:i/>
                <w:iCs/>
              </w:rPr>
              <w:t xml:space="preserve">Inclusive Teaching and Learning in Higher Education as a route to Excellence. </w:t>
            </w:r>
            <w:r w:rsidRPr="00011FE4">
              <w:t>London: Department for Education.</w:t>
            </w:r>
          </w:p>
        </w:tc>
      </w:tr>
      <w:tr w:rsidR="002E6316" w:rsidRPr="00011FE4" w14:paraId="28306BBE" w14:textId="77777777" w:rsidTr="00EA70A7">
        <w:tc>
          <w:tcPr>
            <w:tcW w:w="10466" w:type="dxa"/>
          </w:tcPr>
          <w:p w14:paraId="7D6A07CE" w14:textId="13EB6994" w:rsidR="002E6316" w:rsidRPr="00011FE4" w:rsidRDefault="002E6316" w:rsidP="4748A146">
            <w:pPr>
              <w:spacing w:before="240"/>
            </w:pPr>
            <w:r w:rsidRPr="00011FE4">
              <w:t>Leadley-Meade, Z. and Goodwin, R. (2019) Pre-entry self-assessment and mapping to relevant services as a means of developing learner autonomy in undergraduates.</w:t>
            </w:r>
            <w:r w:rsidRPr="00011FE4">
              <w:rPr>
                <w:i/>
                <w:iCs/>
              </w:rPr>
              <w:t xml:space="preserve"> Journal of Inclusive Practice in Further and Higher Education (JIPFHE</w:t>
            </w:r>
            <w:r w:rsidR="007B24F0" w:rsidRPr="00011FE4">
              <w:rPr>
                <w:i/>
                <w:iCs/>
              </w:rPr>
              <w:t xml:space="preserve"> </w:t>
            </w:r>
            <w:proofErr w:type="spellStart"/>
            <w:r w:rsidR="00836E6C" w:rsidRPr="00011FE4">
              <w:t>pg</w:t>
            </w:r>
            <w:proofErr w:type="spellEnd"/>
            <w:r w:rsidR="007B24F0" w:rsidRPr="00011FE4">
              <w:t>:</w:t>
            </w:r>
            <w:r w:rsidR="00DA3BA1" w:rsidRPr="00011FE4">
              <w:t xml:space="preserve"> </w:t>
            </w:r>
            <w:r w:rsidR="007B24F0" w:rsidRPr="00011FE4">
              <w:t>4-14</w:t>
            </w:r>
          </w:p>
          <w:p w14:paraId="0ABCC9AF" w14:textId="6B3141B2" w:rsidR="00B90340" w:rsidRPr="00011FE4" w:rsidRDefault="00B90340" w:rsidP="4748A146">
            <w:pPr>
              <w:spacing w:before="240"/>
              <w:rPr>
                <w:color w:val="222222"/>
                <w:shd w:val="clear" w:color="auto" w:fill="FFFFFF"/>
              </w:rPr>
            </w:pPr>
            <w:r w:rsidRPr="00011FE4">
              <w:rPr>
                <w:color w:val="222222"/>
                <w:shd w:val="clear" w:color="auto" w:fill="FFFFFF"/>
              </w:rPr>
              <w:t>Liu, B.C.P.</w:t>
            </w:r>
            <w:r w:rsidR="00235F22" w:rsidRPr="00011FE4">
              <w:rPr>
                <w:color w:val="222222"/>
                <w:shd w:val="clear" w:color="auto" w:fill="FFFFFF"/>
              </w:rPr>
              <w:t xml:space="preserve"> (</w:t>
            </w:r>
            <w:r w:rsidRPr="00011FE4">
              <w:rPr>
                <w:color w:val="222222"/>
                <w:shd w:val="clear" w:color="auto" w:fill="FFFFFF"/>
              </w:rPr>
              <w:t>2017</w:t>
            </w:r>
            <w:r w:rsidR="00235F22" w:rsidRPr="00011FE4">
              <w:rPr>
                <w:color w:val="222222"/>
                <w:shd w:val="clear" w:color="auto" w:fill="FFFFFF"/>
              </w:rPr>
              <w:t>)</w:t>
            </w:r>
            <w:r w:rsidRPr="00011FE4">
              <w:rPr>
                <w:color w:val="222222"/>
                <w:shd w:val="clear" w:color="auto" w:fill="FFFFFF"/>
              </w:rPr>
              <w:t xml:space="preserve">. Intersectional impact of multiple identities on social work education in the UK. </w:t>
            </w:r>
            <w:r w:rsidRPr="00011FE4">
              <w:rPr>
                <w:i/>
                <w:iCs/>
                <w:color w:val="222222"/>
              </w:rPr>
              <w:t>Journal of Social Work</w:t>
            </w:r>
            <w:r w:rsidRPr="00011FE4">
              <w:rPr>
                <w:color w:val="222222"/>
                <w:shd w:val="clear" w:color="auto" w:fill="FFFFFF"/>
              </w:rPr>
              <w:t xml:space="preserve">, </w:t>
            </w:r>
            <w:r w:rsidRPr="00011FE4">
              <w:rPr>
                <w:color w:val="222222"/>
              </w:rPr>
              <w:t>17</w:t>
            </w:r>
            <w:r w:rsidRPr="00011FE4">
              <w:rPr>
                <w:color w:val="222222"/>
                <w:shd w:val="clear" w:color="auto" w:fill="FFFFFF"/>
              </w:rPr>
              <w:t>(2), pp.226-242.</w:t>
            </w:r>
          </w:p>
          <w:p w14:paraId="1210C3B3" w14:textId="72970E7F" w:rsidR="005D4AF6" w:rsidRPr="00011FE4" w:rsidRDefault="00433AF1" w:rsidP="00DA4A35">
            <w:pPr>
              <w:spacing w:before="240"/>
            </w:pPr>
            <w:r w:rsidRPr="00011FE4">
              <w:rPr>
                <w:color w:val="222222"/>
                <w:shd w:val="clear" w:color="auto" w:fill="FFFFFF"/>
              </w:rPr>
              <w:t xml:space="preserve">Lock, J.V., Johnson, C., </w:t>
            </w:r>
            <w:proofErr w:type="spellStart"/>
            <w:r w:rsidRPr="00011FE4">
              <w:rPr>
                <w:color w:val="222222"/>
                <w:shd w:val="clear" w:color="auto" w:fill="FFFFFF"/>
              </w:rPr>
              <w:t>Altowairiki</w:t>
            </w:r>
            <w:proofErr w:type="spellEnd"/>
            <w:r w:rsidRPr="00011FE4">
              <w:rPr>
                <w:color w:val="222222"/>
                <w:shd w:val="clear" w:color="auto" w:fill="FFFFFF"/>
              </w:rPr>
              <w:t>, N., Burns, A., Hill, L. and Ostrowski, C.P.</w:t>
            </w:r>
            <w:r w:rsidR="00EF5007" w:rsidRPr="00011FE4">
              <w:rPr>
                <w:color w:val="222222"/>
                <w:shd w:val="clear" w:color="auto" w:fill="FFFFFF"/>
              </w:rPr>
              <w:t xml:space="preserve"> (</w:t>
            </w:r>
            <w:r w:rsidRPr="00011FE4">
              <w:rPr>
                <w:color w:val="222222"/>
                <w:shd w:val="clear" w:color="auto" w:fill="FFFFFF"/>
              </w:rPr>
              <w:t>2019</w:t>
            </w:r>
            <w:r w:rsidR="00EF5007" w:rsidRPr="00011FE4">
              <w:rPr>
                <w:color w:val="222222"/>
                <w:shd w:val="clear" w:color="auto" w:fill="FFFFFF"/>
              </w:rPr>
              <w:t>)</w:t>
            </w:r>
            <w:r w:rsidRPr="00011FE4">
              <w:rPr>
                <w:color w:val="222222"/>
                <w:shd w:val="clear" w:color="auto" w:fill="FFFFFF"/>
              </w:rPr>
              <w:t>. Enhancing Instructor Capacity Through the Redesign of Online Practicum Course Environments Using Universal Design for Learning. In</w:t>
            </w:r>
            <w:r w:rsidR="00EF5007" w:rsidRPr="00011FE4">
              <w:rPr>
                <w:color w:val="222222"/>
                <w:shd w:val="clear" w:color="auto" w:fill="FFFFFF"/>
              </w:rPr>
              <w:t>:</w:t>
            </w:r>
            <w:r w:rsidRPr="00011FE4">
              <w:rPr>
                <w:color w:val="222222"/>
                <w:shd w:val="clear" w:color="auto" w:fill="FFFFFF"/>
              </w:rPr>
              <w:t xml:space="preserve"> </w:t>
            </w:r>
            <w:proofErr w:type="spellStart"/>
            <w:r w:rsidR="001137C8" w:rsidRPr="00011FE4">
              <w:rPr>
                <w:color w:val="222222"/>
                <w:shd w:val="clear" w:color="auto" w:fill="FFFFFF"/>
              </w:rPr>
              <w:t>Keengwe</w:t>
            </w:r>
            <w:proofErr w:type="spellEnd"/>
            <w:r w:rsidR="001137C8" w:rsidRPr="00011FE4">
              <w:rPr>
                <w:color w:val="222222"/>
                <w:shd w:val="clear" w:color="auto" w:fill="FFFFFF"/>
              </w:rPr>
              <w:t>, J. (</w:t>
            </w:r>
            <w:r w:rsidR="00DA4A35" w:rsidRPr="00011FE4">
              <w:rPr>
                <w:color w:val="222222"/>
                <w:shd w:val="clear" w:color="auto" w:fill="FFFFFF"/>
              </w:rPr>
              <w:t>E</w:t>
            </w:r>
            <w:r w:rsidR="001137C8" w:rsidRPr="00011FE4">
              <w:rPr>
                <w:color w:val="222222"/>
                <w:shd w:val="clear" w:color="auto" w:fill="FFFFFF"/>
              </w:rPr>
              <w:t>d</w:t>
            </w:r>
            <w:r w:rsidR="00DA4A35" w:rsidRPr="00011FE4">
              <w:rPr>
                <w:color w:val="222222"/>
                <w:shd w:val="clear" w:color="auto" w:fill="FFFFFF"/>
              </w:rPr>
              <w:t>.</w:t>
            </w:r>
            <w:r w:rsidR="001137C8" w:rsidRPr="00011FE4">
              <w:rPr>
                <w:color w:val="222222"/>
                <w:shd w:val="clear" w:color="auto" w:fill="FFFFFF"/>
              </w:rPr>
              <w:t xml:space="preserve">) </w:t>
            </w:r>
            <w:r w:rsidRPr="00011FE4">
              <w:rPr>
                <w:i/>
                <w:iCs/>
                <w:color w:val="222222"/>
              </w:rPr>
              <w:t>Handbook of Research on Blended Learning Pedagogies and Professional Development in Higher Education</w:t>
            </w:r>
            <w:r w:rsidR="001137C8" w:rsidRPr="00011FE4">
              <w:rPr>
                <w:i/>
                <w:iCs/>
                <w:color w:val="222222"/>
              </w:rPr>
              <w:t>.</w:t>
            </w:r>
            <w:r w:rsidRPr="00011FE4">
              <w:rPr>
                <w:color w:val="222222"/>
                <w:shd w:val="clear" w:color="auto" w:fill="FFFFFF"/>
              </w:rPr>
              <w:t xml:space="preserve"> </w:t>
            </w:r>
            <w:r w:rsidR="001137C8" w:rsidRPr="00011FE4">
              <w:rPr>
                <w:color w:val="222222"/>
                <w:shd w:val="clear" w:color="auto" w:fill="FFFFFF"/>
              </w:rPr>
              <w:t xml:space="preserve">Hershey, PA: </w:t>
            </w:r>
            <w:r w:rsidRPr="00011FE4">
              <w:rPr>
                <w:color w:val="222222"/>
                <w:shd w:val="clear" w:color="auto" w:fill="FFFFFF"/>
              </w:rPr>
              <w:t>IGI Global</w:t>
            </w:r>
            <w:r w:rsidR="001137C8" w:rsidRPr="00011FE4">
              <w:rPr>
                <w:color w:val="222222"/>
                <w:shd w:val="clear" w:color="auto" w:fill="FFFFFF"/>
              </w:rPr>
              <w:t>, pp.1-20.</w:t>
            </w:r>
          </w:p>
        </w:tc>
      </w:tr>
      <w:tr w:rsidR="002E6316" w:rsidRPr="00011FE4" w14:paraId="596F641F" w14:textId="77777777" w:rsidTr="00EA70A7">
        <w:tc>
          <w:tcPr>
            <w:tcW w:w="10466" w:type="dxa"/>
          </w:tcPr>
          <w:p w14:paraId="78225DA4" w14:textId="1C3C1BBC" w:rsidR="002E6316" w:rsidRPr="00011FE4" w:rsidRDefault="002E6316" w:rsidP="003A2983">
            <w:pPr>
              <w:spacing w:before="240"/>
              <w:rPr>
                <w:i/>
                <w:iCs/>
              </w:rPr>
            </w:pPr>
            <w:r w:rsidRPr="00011FE4">
              <w:t>Loughlin, E.</w:t>
            </w:r>
            <w:r w:rsidR="00A913DE" w:rsidRPr="00011FE4">
              <w:t>,</w:t>
            </w:r>
            <w:r w:rsidRPr="00011FE4">
              <w:t xml:space="preserve"> Martin, E.</w:t>
            </w:r>
            <w:r w:rsidR="00A913DE" w:rsidRPr="00011FE4">
              <w:t>,</w:t>
            </w:r>
            <w:r w:rsidRPr="00011FE4">
              <w:t xml:space="preserve"> </w:t>
            </w:r>
            <w:proofErr w:type="spellStart"/>
            <w:r w:rsidRPr="00011FE4">
              <w:t>McComb</w:t>
            </w:r>
            <w:proofErr w:type="spellEnd"/>
            <w:r w:rsidRPr="00011FE4">
              <w:t>, L</w:t>
            </w:r>
            <w:r w:rsidR="00A913DE" w:rsidRPr="00011FE4">
              <w:t>.</w:t>
            </w:r>
            <w:r w:rsidRPr="00011FE4">
              <w:t xml:space="preserve"> and Taylor, S. (2010) Induction for Postgraduate Research Students. </w:t>
            </w:r>
            <w:r w:rsidRPr="00011FE4">
              <w:rPr>
                <w:i/>
              </w:rPr>
              <w:t>Issues in Postgraduate Education: Management, Teaching and Supervision</w:t>
            </w:r>
            <w:r w:rsidR="00DA2960" w:rsidRPr="00011FE4">
              <w:rPr>
                <w:i/>
              </w:rPr>
              <w:t xml:space="preserve"> </w:t>
            </w:r>
            <w:r w:rsidR="00DA2960" w:rsidRPr="00011FE4">
              <w:t>series</w:t>
            </w:r>
            <w:r w:rsidRPr="00011FE4">
              <w:rPr>
                <w:i/>
              </w:rPr>
              <w:t>.</w:t>
            </w:r>
            <w:r w:rsidRPr="00011FE4">
              <w:t xml:space="preserve"> Ed. McCulloch</w:t>
            </w:r>
            <w:r w:rsidR="00A913DE" w:rsidRPr="00011FE4">
              <w:t>, A</w:t>
            </w:r>
            <w:r w:rsidRPr="00011FE4">
              <w:t>. 2 (10).</w:t>
            </w:r>
            <w:r w:rsidR="00DA2960" w:rsidRPr="00011FE4">
              <w:t xml:space="preserve">  London: SRHE</w:t>
            </w:r>
          </w:p>
        </w:tc>
      </w:tr>
      <w:tr w:rsidR="002E6316" w:rsidRPr="00011FE4" w14:paraId="1DF37710" w14:textId="77777777" w:rsidTr="00EA70A7">
        <w:tc>
          <w:tcPr>
            <w:tcW w:w="10466" w:type="dxa"/>
          </w:tcPr>
          <w:p w14:paraId="2160E9BB" w14:textId="118B4684" w:rsidR="002E6316" w:rsidRPr="00011FE4" w:rsidRDefault="002E6316" w:rsidP="009E3E43">
            <w:pPr>
              <w:spacing w:before="240"/>
            </w:pPr>
            <w:proofErr w:type="spellStart"/>
            <w:r w:rsidRPr="00011FE4">
              <w:rPr>
                <w:color w:val="222222"/>
                <w:shd w:val="clear" w:color="auto" w:fill="FFFFFF"/>
              </w:rPr>
              <w:t>Madriaga</w:t>
            </w:r>
            <w:proofErr w:type="spellEnd"/>
            <w:r w:rsidRPr="00011FE4">
              <w:rPr>
                <w:color w:val="222222"/>
                <w:shd w:val="clear" w:color="auto" w:fill="FFFFFF"/>
              </w:rPr>
              <w:t xml:space="preserve">, M., Goodley, D., Hodge, N. and Martin, N. (2008) </w:t>
            </w:r>
            <w:r w:rsidRPr="00011FE4">
              <w:rPr>
                <w:i/>
                <w:iCs/>
                <w:color w:val="222222"/>
                <w:shd w:val="clear" w:color="auto" w:fill="FFFFFF"/>
              </w:rPr>
              <w:t>Enabling transition into higher education for students with Asperger Syndrome</w:t>
            </w:r>
            <w:r w:rsidRPr="00011FE4">
              <w:rPr>
                <w:color w:val="222222"/>
                <w:shd w:val="clear" w:color="auto" w:fill="FFFFFF"/>
              </w:rPr>
              <w:t>.</w:t>
            </w:r>
            <w:r w:rsidR="00CC3917" w:rsidRPr="00011FE4">
              <w:rPr>
                <w:color w:val="222222"/>
                <w:shd w:val="clear" w:color="auto" w:fill="FFFFFF"/>
              </w:rPr>
              <w:t xml:space="preserve"> Project report, Higher Education Academy.</w:t>
            </w:r>
            <w:r w:rsidRPr="00011FE4">
              <w:rPr>
                <w:color w:val="222222"/>
                <w:shd w:val="clear" w:color="auto" w:fill="FFFFFF"/>
              </w:rPr>
              <w:t xml:space="preserve"> Available </w:t>
            </w:r>
            <w:r w:rsidR="009E3E43" w:rsidRPr="00011FE4">
              <w:rPr>
                <w:color w:val="222222"/>
                <w:shd w:val="clear" w:color="auto" w:fill="FFFFFF"/>
              </w:rPr>
              <w:t>from:</w:t>
            </w:r>
            <w:r w:rsidRPr="00011FE4">
              <w:rPr>
                <w:color w:val="222222"/>
                <w:shd w:val="clear" w:color="auto" w:fill="FFFFFF"/>
              </w:rPr>
              <w:t xml:space="preserve"> </w:t>
            </w:r>
            <w:hyperlink r:id="rId29" w:history="1">
              <w:r w:rsidRPr="00011FE4">
                <w:rPr>
                  <w:rStyle w:val="Hyperlink"/>
                </w:rPr>
                <w:t>http://shura.shu.ac.uk/1004/1/manuel_madriaga_report.pdf</w:t>
              </w:r>
            </w:hyperlink>
            <w:r w:rsidRPr="00011FE4">
              <w:t xml:space="preserve"> [Accessed 3 April 2019].</w:t>
            </w:r>
          </w:p>
        </w:tc>
      </w:tr>
      <w:tr w:rsidR="002E6316" w:rsidRPr="00011FE4" w14:paraId="3C724858" w14:textId="77777777" w:rsidTr="00EA70A7">
        <w:tc>
          <w:tcPr>
            <w:tcW w:w="10466" w:type="dxa"/>
          </w:tcPr>
          <w:p w14:paraId="202B6945" w14:textId="2FFA17B7" w:rsidR="002E6316" w:rsidRPr="00011FE4" w:rsidRDefault="002E6316" w:rsidP="003A2983">
            <w:pPr>
              <w:spacing w:before="240"/>
              <w:rPr>
                <w:i/>
                <w:iCs/>
              </w:rPr>
            </w:pPr>
            <w:proofErr w:type="spellStart"/>
            <w:r w:rsidRPr="00011FE4">
              <w:rPr>
                <w:rFonts w:eastAsia="Arial"/>
              </w:rPr>
              <w:t>Marginson</w:t>
            </w:r>
            <w:proofErr w:type="spellEnd"/>
            <w:r w:rsidRPr="00011FE4">
              <w:rPr>
                <w:rFonts w:eastAsia="Arial"/>
                <w:color w:val="222222"/>
              </w:rPr>
              <w:t xml:space="preserve">, S. (2016) The worldwide trend to high participation higher education: Dynamics of social stratification in inclusive systems. </w:t>
            </w:r>
            <w:r w:rsidRPr="00011FE4">
              <w:rPr>
                <w:rFonts w:eastAsia="Arial"/>
                <w:i/>
                <w:iCs/>
                <w:color w:val="222222"/>
              </w:rPr>
              <w:t>Higher Education</w:t>
            </w:r>
            <w:r w:rsidRPr="00011FE4">
              <w:rPr>
                <w:rFonts w:eastAsia="Arial"/>
                <w:color w:val="222222"/>
              </w:rPr>
              <w:t xml:space="preserve">, </w:t>
            </w:r>
            <w:r w:rsidRPr="00011FE4">
              <w:rPr>
                <w:rFonts w:eastAsia="Arial"/>
                <w:i/>
                <w:iCs/>
                <w:color w:val="222222"/>
              </w:rPr>
              <w:t>72</w:t>
            </w:r>
            <w:r w:rsidRPr="00011FE4">
              <w:rPr>
                <w:rFonts w:eastAsia="Arial"/>
                <w:color w:val="222222"/>
              </w:rPr>
              <w:t>(4), pp.413-434.</w:t>
            </w:r>
          </w:p>
        </w:tc>
      </w:tr>
      <w:tr w:rsidR="002E6316" w:rsidRPr="00011FE4" w14:paraId="3B848351" w14:textId="77777777" w:rsidTr="00EA70A7">
        <w:tc>
          <w:tcPr>
            <w:tcW w:w="10466" w:type="dxa"/>
          </w:tcPr>
          <w:p w14:paraId="0BF3EA5B" w14:textId="77777777" w:rsidR="002E6316" w:rsidRPr="00011FE4" w:rsidRDefault="002E6316" w:rsidP="4748A146">
            <w:pPr>
              <w:spacing w:before="240"/>
              <w:rPr>
                <w:color w:val="222222"/>
              </w:rPr>
            </w:pPr>
            <w:r w:rsidRPr="00011FE4">
              <w:rPr>
                <w:color w:val="222222"/>
              </w:rPr>
              <w:t>Martin, N. (2008) A template for improving provision for students with Asperger syndrome in further and higher education. </w:t>
            </w:r>
            <w:r w:rsidRPr="00011FE4">
              <w:rPr>
                <w:i/>
                <w:iCs/>
                <w:color w:val="222222"/>
              </w:rPr>
              <w:t>NADP Technical briefing</w:t>
            </w:r>
            <w:r w:rsidRPr="00011FE4">
              <w:rPr>
                <w:color w:val="222222"/>
              </w:rPr>
              <w:t>, </w:t>
            </w:r>
            <w:r w:rsidRPr="00011FE4">
              <w:rPr>
                <w:i/>
                <w:iCs/>
                <w:color w:val="222222"/>
              </w:rPr>
              <w:t>5</w:t>
            </w:r>
            <w:r w:rsidRPr="00011FE4">
              <w:rPr>
                <w:color w:val="222222"/>
              </w:rPr>
              <w:t>.</w:t>
            </w:r>
          </w:p>
          <w:p w14:paraId="789343C4" w14:textId="4CDF2555" w:rsidR="005A4237" w:rsidRPr="00011FE4" w:rsidRDefault="005A4237" w:rsidP="005A4237">
            <w:pPr>
              <w:spacing w:before="240"/>
            </w:pPr>
            <w:r w:rsidRPr="00011FE4">
              <w:t xml:space="preserve">Martin, N., Wray, M., James, A., Draffan, </w:t>
            </w:r>
            <w:r w:rsidR="00263226" w:rsidRPr="00011FE4">
              <w:t>E.A.,</w:t>
            </w:r>
            <w:r w:rsidRPr="00011FE4">
              <w:t xml:space="preserve"> Krupa, J. and Turner, P. (2019). </w:t>
            </w:r>
            <w:r w:rsidRPr="00011FE4">
              <w:rPr>
                <w:i/>
                <w:iCs/>
              </w:rPr>
              <w:t>Implementing Inclusive Teaching and Learning in UK Higher Education – Utilising Universal Design for Learning (UDL) as a Route to Excellence.</w:t>
            </w:r>
            <w:r w:rsidRPr="00011FE4">
              <w:t xml:space="preserve">  Available from: </w:t>
            </w:r>
            <w:hyperlink r:id="rId30" w:history="1">
              <w:r w:rsidRPr="00011FE4">
                <w:rPr>
                  <w:rStyle w:val="Hyperlink"/>
                </w:rPr>
                <w:t>https://www.srhe.ac.uk/downloads/reports-2017/Nicola-Martin-SRHE-Research-Report.pdf</w:t>
              </w:r>
            </w:hyperlink>
            <w:r w:rsidRPr="00011FE4">
              <w:t xml:space="preserve"> [accessed 20 Jan 2020]</w:t>
            </w:r>
          </w:p>
        </w:tc>
      </w:tr>
      <w:tr w:rsidR="002E6316" w:rsidRPr="00011FE4" w14:paraId="117312D9" w14:textId="77777777" w:rsidTr="00EA70A7">
        <w:tc>
          <w:tcPr>
            <w:tcW w:w="10466" w:type="dxa"/>
          </w:tcPr>
          <w:p w14:paraId="5B316817" w14:textId="3B28691E" w:rsidR="002E6316" w:rsidRPr="00011FE4" w:rsidRDefault="002E6316" w:rsidP="00C75CC7">
            <w:pPr>
              <w:spacing w:before="240"/>
              <w:rPr>
                <w:shd w:val="clear" w:color="auto" w:fill="FFFFFF"/>
              </w:rPr>
            </w:pPr>
            <w:r w:rsidRPr="00011FE4">
              <w:t xml:space="preserve">Massie, R. (2018) The Programme Director and the Teaching Excellence Framework: How do we train the former to survive the latter? </w:t>
            </w:r>
            <w:r w:rsidRPr="00011FE4">
              <w:rPr>
                <w:i/>
              </w:rPr>
              <w:t>Higher Education Quarterly</w:t>
            </w:r>
            <w:r w:rsidR="007B50D3" w:rsidRPr="00011FE4">
              <w:rPr>
                <w:i/>
              </w:rPr>
              <w:t>,</w:t>
            </w:r>
            <w:r w:rsidRPr="00011FE4">
              <w:t xml:space="preserve"> 72(4)</w:t>
            </w:r>
            <w:r w:rsidR="007B50D3" w:rsidRPr="00011FE4">
              <w:t>,</w:t>
            </w:r>
            <w:r w:rsidRPr="00011FE4">
              <w:t xml:space="preserve"> pp</w:t>
            </w:r>
            <w:r w:rsidR="007B50D3" w:rsidRPr="00011FE4">
              <w:t>.</w:t>
            </w:r>
            <w:r w:rsidRPr="00011FE4">
              <w:t>332-344.</w:t>
            </w:r>
          </w:p>
        </w:tc>
      </w:tr>
      <w:tr w:rsidR="002E6316" w:rsidRPr="00011FE4" w14:paraId="4972E019" w14:textId="77777777" w:rsidTr="00EA70A7">
        <w:tc>
          <w:tcPr>
            <w:tcW w:w="10466" w:type="dxa"/>
          </w:tcPr>
          <w:p w14:paraId="7EBE1240" w14:textId="646D77F5" w:rsidR="002E6316" w:rsidRPr="00011FE4" w:rsidRDefault="00FA4226" w:rsidP="00C75CC7">
            <w:pPr>
              <w:spacing w:before="240"/>
            </w:pPr>
            <w:r w:rsidRPr="00011FE4">
              <w:lastRenderedPageBreak/>
              <w:t>Merriam, S.B.</w:t>
            </w:r>
            <w:r w:rsidR="002E6316" w:rsidRPr="00011FE4">
              <w:t xml:space="preserve"> (1998) </w:t>
            </w:r>
            <w:r w:rsidR="002E6316" w:rsidRPr="00011FE4">
              <w:rPr>
                <w:i/>
              </w:rPr>
              <w:t>Qualitative Research and Case Study Applications in Education</w:t>
            </w:r>
            <w:r w:rsidR="006E1CFD" w:rsidRPr="00011FE4">
              <w:rPr>
                <w:i/>
              </w:rPr>
              <w:t>:</w:t>
            </w:r>
            <w:r w:rsidR="002E6316" w:rsidRPr="00011FE4">
              <w:rPr>
                <w:i/>
              </w:rPr>
              <w:t xml:space="preserve"> Revised and Expanded from</w:t>
            </w:r>
            <w:r w:rsidR="006E1CFD" w:rsidRPr="00011FE4">
              <w:rPr>
                <w:i/>
              </w:rPr>
              <w:t xml:space="preserve"> ‘</w:t>
            </w:r>
            <w:r w:rsidR="002E6316" w:rsidRPr="00011FE4">
              <w:rPr>
                <w:i/>
              </w:rPr>
              <w:t>Case Study Research in Education</w:t>
            </w:r>
            <w:r w:rsidR="006E1CFD" w:rsidRPr="00011FE4">
              <w:rPr>
                <w:i/>
              </w:rPr>
              <w:t>’</w:t>
            </w:r>
            <w:r w:rsidR="002E6316" w:rsidRPr="00011FE4">
              <w:t xml:space="preserve">. </w:t>
            </w:r>
            <w:r w:rsidR="002C18D5" w:rsidRPr="00011FE4">
              <w:t xml:space="preserve">San Francisco, CA: </w:t>
            </w:r>
            <w:r w:rsidR="002E6316" w:rsidRPr="00011FE4">
              <w:t>Jossey-Bass Publishers.</w:t>
            </w:r>
          </w:p>
          <w:p w14:paraId="06A6D62B" w14:textId="452A9375" w:rsidR="002E6316" w:rsidRPr="00011FE4" w:rsidRDefault="002E6316" w:rsidP="00C75CC7">
            <w:pPr>
              <w:spacing w:before="240"/>
            </w:pPr>
            <w:r w:rsidRPr="00011FE4">
              <w:t>Milton, D.</w:t>
            </w:r>
            <w:r w:rsidR="00AB70AC" w:rsidRPr="00011FE4">
              <w:t>E.M.</w:t>
            </w:r>
            <w:r w:rsidRPr="00011FE4">
              <w:t>, Martin, N. and Melham, P. (2016) Beyond reasonable adjustment: autistic-friendly spaces and Universal Design</w:t>
            </w:r>
            <w:r w:rsidRPr="00011FE4">
              <w:rPr>
                <w:i/>
              </w:rPr>
              <w:t>.</w:t>
            </w:r>
            <w:r w:rsidRPr="00011FE4">
              <w:t xml:space="preserve"> In</w:t>
            </w:r>
            <w:r w:rsidR="00F33604" w:rsidRPr="00011FE4">
              <w:t>:</w:t>
            </w:r>
            <w:r w:rsidRPr="00011FE4">
              <w:t xml:space="preserve"> Milton</w:t>
            </w:r>
            <w:r w:rsidR="00F33604" w:rsidRPr="00011FE4">
              <w:t>,</w:t>
            </w:r>
            <w:r w:rsidRPr="00011FE4">
              <w:t xml:space="preserve"> </w:t>
            </w:r>
            <w:r w:rsidR="00F33604" w:rsidRPr="00011FE4">
              <w:t xml:space="preserve">D. </w:t>
            </w:r>
            <w:r w:rsidRPr="00011FE4">
              <w:t>and Martin</w:t>
            </w:r>
            <w:r w:rsidR="00F33604" w:rsidRPr="00011FE4">
              <w:t>,</w:t>
            </w:r>
            <w:r w:rsidRPr="00011FE4">
              <w:t xml:space="preserve"> </w:t>
            </w:r>
            <w:r w:rsidR="00F33604" w:rsidRPr="00011FE4">
              <w:t xml:space="preserve">N. </w:t>
            </w:r>
            <w:r w:rsidRPr="00011FE4">
              <w:t>(Eds</w:t>
            </w:r>
            <w:r w:rsidR="00F33604" w:rsidRPr="00011FE4">
              <w:t>.</w:t>
            </w:r>
            <w:r w:rsidRPr="00011FE4">
              <w:t xml:space="preserve">), </w:t>
            </w:r>
            <w:r w:rsidRPr="00011FE4">
              <w:rPr>
                <w:i/>
              </w:rPr>
              <w:t>Autism and Intellectual Disabilities in Adults</w:t>
            </w:r>
            <w:r w:rsidRPr="00011FE4">
              <w:t>, Vol. 1. Hove: Pavilion, pp. 81-86.</w:t>
            </w:r>
          </w:p>
        </w:tc>
      </w:tr>
      <w:tr w:rsidR="002E6316" w:rsidRPr="00011FE4" w14:paraId="0458C4E1" w14:textId="77777777" w:rsidTr="00EA70A7">
        <w:tc>
          <w:tcPr>
            <w:tcW w:w="10466" w:type="dxa"/>
          </w:tcPr>
          <w:p w14:paraId="7F6E7F7E" w14:textId="77777777" w:rsidR="002E6316" w:rsidRPr="00011FE4" w:rsidRDefault="002E6316" w:rsidP="00C75CC7">
            <w:pPr>
              <w:spacing w:before="240"/>
              <w:rPr>
                <w:shd w:val="clear" w:color="auto" w:fill="FFFFFF"/>
              </w:rPr>
            </w:pPr>
            <w:r w:rsidRPr="00011FE4">
              <w:rPr>
                <w:shd w:val="clear" w:color="auto" w:fill="FFFFFF"/>
              </w:rPr>
              <w:t>Milton, D.</w:t>
            </w:r>
            <w:r w:rsidR="00AB70AC" w:rsidRPr="00011FE4">
              <w:rPr>
                <w:shd w:val="clear" w:color="auto" w:fill="FFFFFF"/>
              </w:rPr>
              <w:t>E.M.</w:t>
            </w:r>
            <w:r w:rsidRPr="00011FE4">
              <w:rPr>
                <w:shd w:val="clear" w:color="auto" w:fill="FFFFFF"/>
              </w:rPr>
              <w:t xml:space="preserve">, Sims, T., Dawkins, G., Martin, N. and Mills, R. (2017) The development and evaluation </w:t>
            </w:r>
            <w:r w:rsidR="00075020" w:rsidRPr="00011FE4">
              <w:rPr>
                <w:shd w:val="clear" w:color="auto" w:fill="FFFFFF"/>
              </w:rPr>
              <w:t>of a mentor training programme</w:t>
            </w:r>
            <w:r w:rsidRPr="00011FE4">
              <w:rPr>
                <w:shd w:val="clear" w:color="auto" w:fill="FFFFFF"/>
              </w:rPr>
              <w:t xml:space="preserve"> for those working with autistic adults. </w:t>
            </w:r>
            <w:r w:rsidRPr="00011FE4">
              <w:rPr>
                <w:i/>
                <w:iCs/>
                <w:shd w:val="clear" w:color="auto" w:fill="FFFFFF"/>
              </w:rPr>
              <w:t>Good Autism Practice</w:t>
            </w:r>
            <w:r w:rsidRPr="00011FE4">
              <w:rPr>
                <w:shd w:val="clear" w:color="auto" w:fill="FFFFFF"/>
              </w:rPr>
              <w:t>, 18(1), pp.25-33.</w:t>
            </w:r>
          </w:p>
          <w:p w14:paraId="570C0CED" w14:textId="2943386B" w:rsidR="00BB653D" w:rsidRPr="00011FE4" w:rsidRDefault="00BB653D" w:rsidP="00773A68">
            <w:pPr>
              <w:spacing w:before="240"/>
            </w:pPr>
            <w:r w:rsidRPr="00011FE4">
              <w:rPr>
                <w:color w:val="222222"/>
                <w:shd w:val="clear" w:color="auto" w:fill="FFFFFF"/>
              </w:rPr>
              <w:t>Minich, J.A.</w:t>
            </w:r>
            <w:r w:rsidR="00773A68" w:rsidRPr="00011FE4">
              <w:rPr>
                <w:color w:val="222222"/>
                <w:shd w:val="clear" w:color="auto" w:fill="FFFFFF"/>
              </w:rPr>
              <w:t xml:space="preserve"> (</w:t>
            </w:r>
            <w:r w:rsidRPr="00011FE4">
              <w:rPr>
                <w:color w:val="222222"/>
                <w:shd w:val="clear" w:color="auto" w:fill="FFFFFF"/>
              </w:rPr>
              <w:t>2016</w:t>
            </w:r>
            <w:r w:rsidR="00773A68" w:rsidRPr="00011FE4">
              <w:rPr>
                <w:color w:val="222222"/>
                <w:shd w:val="clear" w:color="auto" w:fill="FFFFFF"/>
              </w:rPr>
              <w:t>)</w:t>
            </w:r>
            <w:r w:rsidRPr="00011FE4">
              <w:rPr>
                <w:color w:val="222222"/>
                <w:shd w:val="clear" w:color="auto" w:fill="FFFFFF"/>
              </w:rPr>
              <w:t xml:space="preserve"> Enabling whom? </w:t>
            </w:r>
            <w:r w:rsidR="00B37587" w:rsidRPr="00011FE4">
              <w:rPr>
                <w:color w:val="222222"/>
                <w:shd w:val="clear" w:color="auto" w:fill="FFFFFF"/>
              </w:rPr>
              <w:t>C</w:t>
            </w:r>
            <w:r w:rsidR="00773A68" w:rsidRPr="00011FE4">
              <w:rPr>
                <w:color w:val="222222"/>
                <w:shd w:val="clear" w:color="auto" w:fill="FFFFFF"/>
              </w:rPr>
              <w:t xml:space="preserve">ritical </w:t>
            </w:r>
            <w:r w:rsidR="00B37587" w:rsidRPr="00011FE4">
              <w:rPr>
                <w:color w:val="222222"/>
                <w:shd w:val="clear" w:color="auto" w:fill="FFFFFF"/>
              </w:rPr>
              <w:t>D</w:t>
            </w:r>
            <w:r w:rsidR="00773A68" w:rsidRPr="00011FE4">
              <w:rPr>
                <w:color w:val="222222"/>
                <w:shd w:val="clear" w:color="auto" w:fill="FFFFFF"/>
              </w:rPr>
              <w:t xml:space="preserve">isability </w:t>
            </w:r>
            <w:r w:rsidR="00B37587" w:rsidRPr="00011FE4">
              <w:rPr>
                <w:color w:val="222222"/>
                <w:shd w:val="clear" w:color="auto" w:fill="FFFFFF"/>
              </w:rPr>
              <w:t>S</w:t>
            </w:r>
            <w:r w:rsidR="00773A68" w:rsidRPr="00011FE4">
              <w:rPr>
                <w:color w:val="222222"/>
                <w:shd w:val="clear" w:color="auto" w:fill="FFFFFF"/>
              </w:rPr>
              <w:t>tudies</w:t>
            </w:r>
            <w:r w:rsidRPr="00011FE4">
              <w:rPr>
                <w:color w:val="222222"/>
                <w:shd w:val="clear" w:color="auto" w:fill="FFFFFF"/>
              </w:rPr>
              <w:t xml:space="preserve"> now. </w:t>
            </w:r>
            <w:r w:rsidRPr="00011FE4">
              <w:rPr>
                <w:i/>
                <w:iCs/>
                <w:color w:val="222222"/>
              </w:rPr>
              <w:t>Lateral</w:t>
            </w:r>
            <w:r w:rsidRPr="00011FE4">
              <w:rPr>
                <w:color w:val="222222"/>
                <w:shd w:val="clear" w:color="auto" w:fill="FFFFFF"/>
              </w:rPr>
              <w:t xml:space="preserve">, </w:t>
            </w:r>
            <w:r w:rsidRPr="00011FE4">
              <w:rPr>
                <w:iCs/>
                <w:color w:val="222222"/>
              </w:rPr>
              <w:t>5</w:t>
            </w:r>
            <w:r w:rsidRPr="00011FE4">
              <w:rPr>
                <w:color w:val="222222"/>
                <w:shd w:val="clear" w:color="auto" w:fill="FFFFFF"/>
              </w:rPr>
              <w:t>(1), pp.5-1</w:t>
            </w:r>
            <w:r w:rsidR="00873893" w:rsidRPr="00011FE4">
              <w:rPr>
                <w:color w:val="222222"/>
                <w:shd w:val="clear" w:color="auto" w:fill="FFFFFF"/>
              </w:rPr>
              <w:t>0</w:t>
            </w:r>
            <w:r w:rsidRPr="00011FE4">
              <w:rPr>
                <w:color w:val="222222"/>
                <w:shd w:val="clear" w:color="auto" w:fill="FFFFFF"/>
              </w:rPr>
              <w:t>.</w:t>
            </w:r>
          </w:p>
        </w:tc>
      </w:tr>
      <w:tr w:rsidR="002E6316" w:rsidRPr="00011FE4" w14:paraId="0EFD1E5A" w14:textId="77777777" w:rsidTr="00EA70A7">
        <w:tc>
          <w:tcPr>
            <w:tcW w:w="10466" w:type="dxa"/>
          </w:tcPr>
          <w:p w14:paraId="4A38D659" w14:textId="77777777" w:rsidR="002E6316" w:rsidRPr="00011FE4" w:rsidRDefault="002E6316" w:rsidP="00C75CC7">
            <w:pPr>
              <w:spacing w:before="240"/>
            </w:pPr>
            <w:r w:rsidRPr="00011FE4">
              <w:t xml:space="preserve">Mitchell, D. (2014) </w:t>
            </w:r>
            <w:r w:rsidRPr="00011FE4">
              <w:rPr>
                <w:i/>
                <w:iCs/>
              </w:rPr>
              <w:t>What really works in special and inclusive education: Using evidence-based teaching strategies</w:t>
            </w:r>
            <w:r w:rsidR="006B24DB" w:rsidRPr="00011FE4">
              <w:rPr>
                <w:iCs/>
              </w:rPr>
              <w:t>.</w:t>
            </w:r>
            <w:r w:rsidR="00BD61BF" w:rsidRPr="00011FE4">
              <w:t xml:space="preserve"> </w:t>
            </w:r>
            <w:r w:rsidRPr="00011FE4">
              <w:t xml:space="preserve"> </w:t>
            </w:r>
            <w:r w:rsidR="00BD61BF" w:rsidRPr="00011FE4">
              <w:t>2</w:t>
            </w:r>
            <w:r w:rsidR="00BD61BF" w:rsidRPr="00011FE4">
              <w:rPr>
                <w:vertAlign w:val="superscript"/>
              </w:rPr>
              <w:t>nd</w:t>
            </w:r>
            <w:r w:rsidR="00BD61BF" w:rsidRPr="00011FE4">
              <w:t xml:space="preserve"> ed. </w:t>
            </w:r>
            <w:r w:rsidR="00F456C0" w:rsidRPr="00011FE4">
              <w:t>Abingdon</w:t>
            </w:r>
            <w:r w:rsidRPr="00011FE4">
              <w:t>: Routledge.</w:t>
            </w:r>
          </w:p>
          <w:p w14:paraId="5C85AAFA" w14:textId="3C2459F6" w:rsidR="002D4E78" w:rsidRPr="00011FE4" w:rsidRDefault="002D4E78" w:rsidP="00C75CC7">
            <w:pPr>
              <w:spacing w:before="240"/>
            </w:pPr>
            <w:r w:rsidRPr="00011FE4">
              <w:rPr>
                <w:color w:val="222222"/>
                <w:shd w:val="clear" w:color="auto" w:fill="FFFFFF"/>
              </w:rPr>
              <w:t xml:space="preserve">Moore, E.J., Smith, F.G., Hollingshead, A. and Wojcik, B. </w:t>
            </w:r>
            <w:r w:rsidR="002A24B7" w:rsidRPr="00011FE4">
              <w:rPr>
                <w:color w:val="222222"/>
                <w:shd w:val="clear" w:color="auto" w:fill="FFFFFF"/>
              </w:rPr>
              <w:t>(</w:t>
            </w:r>
            <w:r w:rsidRPr="00011FE4">
              <w:rPr>
                <w:color w:val="222222"/>
                <w:shd w:val="clear" w:color="auto" w:fill="FFFFFF"/>
              </w:rPr>
              <w:t>201</w:t>
            </w:r>
            <w:r w:rsidR="002A24B7" w:rsidRPr="00011FE4">
              <w:rPr>
                <w:color w:val="222222"/>
                <w:shd w:val="clear" w:color="auto" w:fill="FFFFFF"/>
              </w:rPr>
              <w:t>7)</w:t>
            </w:r>
            <w:r w:rsidRPr="00011FE4">
              <w:rPr>
                <w:color w:val="222222"/>
                <w:shd w:val="clear" w:color="auto" w:fill="FFFFFF"/>
              </w:rPr>
              <w:t xml:space="preserve">. Voices from the field: Implementing and scaling-up Universal Design for learning in teacher preparation programs. </w:t>
            </w:r>
            <w:r w:rsidRPr="00011FE4">
              <w:rPr>
                <w:i/>
                <w:iCs/>
                <w:color w:val="222222"/>
              </w:rPr>
              <w:t>Journal of Special Education Technology</w:t>
            </w:r>
            <w:r w:rsidRPr="00011FE4">
              <w:rPr>
                <w:color w:val="222222"/>
                <w:shd w:val="clear" w:color="auto" w:fill="FFFFFF"/>
              </w:rPr>
              <w:t xml:space="preserve">, </w:t>
            </w:r>
            <w:r w:rsidRPr="00011FE4">
              <w:rPr>
                <w:color w:val="222222"/>
              </w:rPr>
              <w:t>33</w:t>
            </w:r>
            <w:r w:rsidRPr="00011FE4">
              <w:rPr>
                <w:color w:val="222222"/>
                <w:shd w:val="clear" w:color="auto" w:fill="FFFFFF"/>
              </w:rPr>
              <w:t>(1), pp.40-53.</w:t>
            </w:r>
          </w:p>
        </w:tc>
      </w:tr>
      <w:tr w:rsidR="002E6316" w:rsidRPr="00011FE4" w14:paraId="5D4E7F82" w14:textId="77777777" w:rsidTr="00EA70A7">
        <w:tc>
          <w:tcPr>
            <w:tcW w:w="10466" w:type="dxa"/>
          </w:tcPr>
          <w:p w14:paraId="1F821AE5" w14:textId="529FE204" w:rsidR="002E6316" w:rsidRPr="00011FE4" w:rsidRDefault="002E6316" w:rsidP="00C75CC7">
            <w:pPr>
              <w:spacing w:before="240"/>
            </w:pPr>
            <w:proofErr w:type="spellStart"/>
            <w:r w:rsidRPr="00011FE4">
              <w:rPr>
                <w:rFonts w:eastAsia="Arial"/>
                <w:color w:val="222222"/>
              </w:rPr>
              <w:t>Moriña</w:t>
            </w:r>
            <w:proofErr w:type="spellEnd"/>
            <w:r w:rsidRPr="00011FE4">
              <w:rPr>
                <w:rFonts w:eastAsia="Arial"/>
                <w:color w:val="222222"/>
              </w:rPr>
              <w:t xml:space="preserve">, A. (2017) Inclusive education in higher education: challenges and opportunities. </w:t>
            </w:r>
            <w:r w:rsidRPr="00011FE4">
              <w:rPr>
                <w:rFonts w:eastAsia="Arial"/>
                <w:i/>
                <w:iCs/>
                <w:color w:val="222222"/>
              </w:rPr>
              <w:t>European Journal of Special Needs Education</w:t>
            </w:r>
            <w:r w:rsidRPr="00011FE4">
              <w:rPr>
                <w:rFonts w:eastAsia="Arial"/>
                <w:color w:val="222222"/>
              </w:rPr>
              <w:t xml:space="preserve">, </w:t>
            </w:r>
            <w:r w:rsidRPr="00011FE4">
              <w:rPr>
                <w:rFonts w:eastAsia="Arial"/>
                <w:i/>
                <w:iCs/>
                <w:color w:val="222222"/>
              </w:rPr>
              <w:t>32</w:t>
            </w:r>
            <w:r w:rsidRPr="00011FE4">
              <w:rPr>
                <w:rFonts w:eastAsia="Arial"/>
                <w:color w:val="222222"/>
              </w:rPr>
              <w:t>(1), pp.3-17.</w:t>
            </w:r>
          </w:p>
        </w:tc>
      </w:tr>
      <w:tr w:rsidR="002E6316" w:rsidRPr="00011FE4" w14:paraId="3B15C73C" w14:textId="77777777" w:rsidTr="00EA70A7">
        <w:tc>
          <w:tcPr>
            <w:tcW w:w="10466" w:type="dxa"/>
          </w:tcPr>
          <w:p w14:paraId="277E8089" w14:textId="2B5F3C9A" w:rsidR="002E6316" w:rsidRPr="00011FE4" w:rsidRDefault="002E6316" w:rsidP="00024CFD">
            <w:pPr>
              <w:spacing w:before="240"/>
            </w:pPr>
            <w:r w:rsidRPr="00011FE4">
              <w:t xml:space="preserve">NASEN (2015) </w:t>
            </w:r>
            <w:r w:rsidRPr="00011FE4">
              <w:rPr>
                <w:i/>
                <w:iCs/>
              </w:rPr>
              <w:t>SEN Support and the graduated approach: Inclusive practice</w:t>
            </w:r>
            <w:r w:rsidR="00024CFD" w:rsidRPr="00011FE4">
              <w:t xml:space="preserve">. </w:t>
            </w:r>
            <w:r w:rsidRPr="00011FE4">
              <w:t xml:space="preserve">Available </w:t>
            </w:r>
            <w:r w:rsidR="00024CFD" w:rsidRPr="00011FE4">
              <w:t>from</w:t>
            </w:r>
            <w:r w:rsidRPr="00011FE4">
              <w:t xml:space="preserve">: </w:t>
            </w:r>
            <w:hyperlink r:id="rId31">
              <w:r w:rsidRPr="00011FE4">
                <w:rPr>
                  <w:color w:val="0000FF"/>
                  <w:u w:val="single"/>
                </w:rPr>
                <w:t>http://www.nasen.org.uk/resources/resources.sen-support-and-the-graduated-approach-inclusive-practice.html</w:t>
              </w:r>
            </w:hyperlink>
            <w:r w:rsidRPr="00011FE4">
              <w:t xml:space="preserve"> [Accessed 3 April 2019].</w:t>
            </w:r>
          </w:p>
        </w:tc>
      </w:tr>
      <w:tr w:rsidR="002E6316" w:rsidRPr="00011FE4" w14:paraId="202542D9" w14:textId="77777777" w:rsidTr="00EA70A7">
        <w:tc>
          <w:tcPr>
            <w:tcW w:w="10466" w:type="dxa"/>
          </w:tcPr>
          <w:p w14:paraId="4D891CDE" w14:textId="62B79911" w:rsidR="002E6316" w:rsidRPr="00011FE4" w:rsidRDefault="002E6316" w:rsidP="003B6068">
            <w:pPr>
              <w:spacing w:before="240"/>
              <w:rPr>
                <w:rFonts w:eastAsia="Arial"/>
                <w:color w:val="222222"/>
              </w:rPr>
            </w:pPr>
            <w:r w:rsidRPr="00011FE4">
              <w:t xml:space="preserve">National Center On Universal Design </w:t>
            </w:r>
            <w:proofErr w:type="gramStart"/>
            <w:r w:rsidRPr="00011FE4">
              <w:t>For</w:t>
            </w:r>
            <w:proofErr w:type="gramEnd"/>
            <w:r w:rsidRPr="00011FE4">
              <w:t xml:space="preserve"> Learning (2011) </w:t>
            </w:r>
            <w:r w:rsidRPr="00011FE4">
              <w:rPr>
                <w:i/>
                <w:iCs/>
              </w:rPr>
              <w:t>UDL Guidelines - Version 2.0: Research Evidence</w:t>
            </w:r>
            <w:r w:rsidRPr="00011FE4">
              <w:t xml:space="preserve">. Available </w:t>
            </w:r>
            <w:r w:rsidR="003B6068" w:rsidRPr="00011FE4">
              <w:t>from</w:t>
            </w:r>
            <w:r w:rsidRPr="00011FE4">
              <w:t xml:space="preserve">: </w:t>
            </w:r>
            <w:hyperlink r:id="rId32">
              <w:r w:rsidRPr="00011FE4">
                <w:rPr>
                  <w:color w:val="0000FF"/>
                  <w:u w:val="single"/>
                </w:rPr>
                <w:t>http://www.udlcenter.org/research/researchevidence</w:t>
              </w:r>
            </w:hyperlink>
            <w:r w:rsidRPr="00011FE4">
              <w:t xml:space="preserve"> [Accessed 3 April 2019].</w:t>
            </w:r>
          </w:p>
        </w:tc>
      </w:tr>
      <w:tr w:rsidR="002E6316" w:rsidRPr="00011FE4" w14:paraId="2F4F212C" w14:textId="77777777" w:rsidTr="00EA70A7">
        <w:tc>
          <w:tcPr>
            <w:tcW w:w="10466" w:type="dxa"/>
          </w:tcPr>
          <w:p w14:paraId="2CCDEB8A" w14:textId="3AC2E46F" w:rsidR="00132875" w:rsidRPr="00011FE4" w:rsidRDefault="00132875" w:rsidP="00132875">
            <w:pPr>
              <w:spacing w:before="240"/>
            </w:pPr>
            <w:r w:rsidRPr="00011FE4">
              <w:t xml:space="preserve">Newman, T. and Beetham, H. (2018) </w:t>
            </w:r>
            <w:r w:rsidRPr="00011FE4">
              <w:rPr>
                <w:i/>
              </w:rPr>
              <w:t>Student digital experience tracker 2017: The voice of 22,000 UK learners.</w:t>
            </w:r>
            <w:r w:rsidRPr="00011FE4">
              <w:t xml:space="preserve"> Jisc. Archived but available </w:t>
            </w:r>
            <w:r w:rsidR="009E3E43" w:rsidRPr="00011FE4">
              <w:t>from</w:t>
            </w:r>
            <w:r w:rsidRPr="00011FE4">
              <w:t xml:space="preserve">: </w:t>
            </w:r>
            <w:hyperlink r:id="rId33" w:history="1">
              <w:r w:rsidRPr="00011FE4">
                <w:rPr>
                  <w:rStyle w:val="Hyperlink"/>
                </w:rPr>
                <w:t>https://www.jisc.ac.uk/rd/projects/student-digital-experience-tracker</w:t>
              </w:r>
            </w:hyperlink>
            <w:r w:rsidRPr="00011FE4">
              <w:t xml:space="preserve"> [Accessed 3 April 2019].</w:t>
            </w:r>
          </w:p>
          <w:p w14:paraId="50823C46" w14:textId="3B7DADA6" w:rsidR="00EC62CD" w:rsidRPr="00011FE4" w:rsidRDefault="00EC62CD" w:rsidP="009E3E43">
            <w:pPr>
              <w:spacing w:before="240"/>
            </w:pPr>
            <w:r w:rsidRPr="00011FE4">
              <w:t xml:space="preserve">Office for Students (2018) </w:t>
            </w:r>
            <w:r w:rsidRPr="00011FE4">
              <w:rPr>
                <w:i/>
              </w:rPr>
              <w:t>Regulatory advice 7: Advice on preparing your 2019-20 access and participation statement.</w:t>
            </w:r>
            <w:r w:rsidRPr="00011FE4">
              <w:t xml:space="preserve"> Available </w:t>
            </w:r>
            <w:r w:rsidR="009E3E43" w:rsidRPr="00011FE4">
              <w:t>from</w:t>
            </w:r>
            <w:r w:rsidRPr="00011FE4">
              <w:t xml:space="preserve">: </w:t>
            </w:r>
            <w:hyperlink r:id="rId34" w:history="1">
              <w:r w:rsidRPr="00011FE4">
                <w:rPr>
                  <w:rStyle w:val="Hyperlink"/>
                </w:rPr>
                <w:t>https://www.officeforstudents.org.uk/publications/regulatory-advice-7-advice-on-preparing-your-2019-20-access-and-participation-statement/</w:t>
              </w:r>
            </w:hyperlink>
            <w:r w:rsidRPr="00011FE4">
              <w:t xml:space="preserve"> [Accessed 3 April 2019].</w:t>
            </w:r>
          </w:p>
        </w:tc>
      </w:tr>
      <w:tr w:rsidR="002E6316" w:rsidRPr="00011FE4" w14:paraId="733BA1F1" w14:textId="77777777" w:rsidTr="00EA70A7">
        <w:tc>
          <w:tcPr>
            <w:tcW w:w="10466" w:type="dxa"/>
          </w:tcPr>
          <w:p w14:paraId="5A3D0D7F" w14:textId="2AA59A2A" w:rsidR="002E6316" w:rsidRPr="00011FE4" w:rsidRDefault="002E6316" w:rsidP="00B36D85">
            <w:pPr>
              <w:spacing w:before="240"/>
              <w:rPr>
                <w:rFonts w:eastAsia="Arial"/>
                <w:color w:val="222222"/>
              </w:rPr>
            </w:pPr>
            <w:r w:rsidRPr="00011FE4">
              <w:t xml:space="preserve">Ofsted (2018) </w:t>
            </w:r>
            <w:r w:rsidRPr="00011FE4">
              <w:rPr>
                <w:i/>
              </w:rPr>
              <w:t>School inspection handbook September 2018</w:t>
            </w:r>
            <w:r w:rsidRPr="00011FE4">
              <w:t xml:space="preserve"> No. 150066</w:t>
            </w:r>
            <w:r w:rsidR="00914314" w:rsidRPr="00011FE4">
              <w:t>.</w:t>
            </w:r>
            <w:r w:rsidRPr="00011FE4">
              <w:t xml:space="preserve"> Available </w:t>
            </w:r>
            <w:r w:rsidR="00B36D85" w:rsidRPr="00011FE4">
              <w:t>from</w:t>
            </w:r>
            <w:r w:rsidRPr="00011FE4">
              <w:t xml:space="preserve">: </w:t>
            </w:r>
            <w:hyperlink r:id="rId35" w:history="1">
              <w:r w:rsidRPr="00011FE4">
                <w:rPr>
                  <w:color w:val="0000FF"/>
                  <w:u w:val="single"/>
                </w:rPr>
                <w:t>https://assets.publishing.service.gov.uk/government/uploads/system/uploads/attachment_data/file/730127/School_inspection_handbook_section_5_270718.pdf</w:t>
              </w:r>
            </w:hyperlink>
            <w:r w:rsidRPr="00011FE4">
              <w:t xml:space="preserve"> [Accessed 27 </w:t>
            </w:r>
            <w:r w:rsidR="00263226" w:rsidRPr="00011FE4">
              <w:t>March</w:t>
            </w:r>
            <w:r w:rsidRPr="00011FE4">
              <w:t xml:space="preserve"> 2019]</w:t>
            </w:r>
            <w:r w:rsidR="00696D79" w:rsidRPr="00011FE4">
              <w:t>.</w:t>
            </w:r>
          </w:p>
        </w:tc>
      </w:tr>
      <w:tr w:rsidR="002E6316" w:rsidRPr="00011FE4" w14:paraId="63264511" w14:textId="77777777" w:rsidTr="00EA70A7">
        <w:tc>
          <w:tcPr>
            <w:tcW w:w="10466" w:type="dxa"/>
          </w:tcPr>
          <w:p w14:paraId="3C29C46A" w14:textId="43EFA8B1" w:rsidR="002E6316" w:rsidRPr="00011FE4" w:rsidRDefault="002E6316" w:rsidP="00C75CC7">
            <w:pPr>
              <w:spacing w:before="240"/>
            </w:pPr>
            <w:r w:rsidRPr="00011FE4">
              <w:t xml:space="preserve">Oliver, M. (2009) </w:t>
            </w:r>
            <w:r w:rsidRPr="00011FE4">
              <w:rPr>
                <w:i/>
              </w:rPr>
              <w:t>Understanding Disability, from Theory to Practice</w:t>
            </w:r>
            <w:r w:rsidRPr="00011FE4">
              <w:t>. 2</w:t>
            </w:r>
            <w:r w:rsidRPr="00011FE4">
              <w:rPr>
                <w:vertAlign w:val="superscript"/>
              </w:rPr>
              <w:t>nd</w:t>
            </w:r>
            <w:r w:rsidRPr="00011FE4">
              <w:t xml:space="preserve"> Edition. Basingstoke</w:t>
            </w:r>
            <w:r w:rsidR="00D15341" w:rsidRPr="00011FE4">
              <w:t>:</w:t>
            </w:r>
            <w:r w:rsidRPr="00011FE4">
              <w:t xml:space="preserve"> Palgrave Macmillan.</w:t>
            </w:r>
          </w:p>
          <w:p w14:paraId="6BB5DE9C" w14:textId="120729AA" w:rsidR="002E6316" w:rsidRPr="00011FE4" w:rsidRDefault="002E6316" w:rsidP="00C75CC7">
            <w:pPr>
              <w:spacing w:before="240"/>
              <w:rPr>
                <w:rFonts w:eastAsia="Arial"/>
                <w:color w:val="222222"/>
              </w:rPr>
            </w:pPr>
            <w:r w:rsidRPr="00011FE4">
              <w:rPr>
                <w:rFonts w:eastAsia="Arial"/>
                <w:color w:val="222222"/>
              </w:rPr>
              <w:t>O’Shea, S.</w:t>
            </w:r>
            <w:r w:rsidR="005B50EE" w:rsidRPr="00011FE4">
              <w:rPr>
                <w:rFonts w:eastAsia="Arial"/>
                <w:color w:val="222222"/>
              </w:rPr>
              <w:t xml:space="preserve"> (</w:t>
            </w:r>
            <w:r w:rsidRPr="00011FE4">
              <w:rPr>
                <w:rFonts w:eastAsia="Arial"/>
                <w:color w:val="222222"/>
              </w:rPr>
              <w:t>2016</w:t>
            </w:r>
            <w:r w:rsidR="005B50EE" w:rsidRPr="00011FE4">
              <w:rPr>
                <w:rFonts w:eastAsia="Arial"/>
                <w:color w:val="222222"/>
              </w:rPr>
              <w:t>)</w:t>
            </w:r>
            <w:r w:rsidRPr="00011FE4">
              <w:rPr>
                <w:rFonts w:eastAsia="Arial"/>
                <w:color w:val="222222"/>
              </w:rPr>
              <w:t xml:space="preserve">. Avoiding the manufacture of ‘sameness’: First-in-family students, cultural capital and the higher education environment. </w:t>
            </w:r>
            <w:r w:rsidRPr="00011FE4">
              <w:rPr>
                <w:rFonts w:eastAsia="Arial"/>
                <w:i/>
                <w:iCs/>
                <w:color w:val="222222"/>
              </w:rPr>
              <w:t>Higher Education</w:t>
            </w:r>
            <w:r w:rsidRPr="00011FE4">
              <w:rPr>
                <w:rFonts w:eastAsia="Arial"/>
                <w:color w:val="222222"/>
              </w:rPr>
              <w:t xml:space="preserve">, </w:t>
            </w:r>
            <w:r w:rsidRPr="00011FE4">
              <w:rPr>
                <w:rFonts w:eastAsia="Arial"/>
                <w:iCs/>
                <w:color w:val="222222"/>
              </w:rPr>
              <w:t>72</w:t>
            </w:r>
            <w:r w:rsidRPr="00011FE4">
              <w:rPr>
                <w:rFonts w:eastAsia="Arial"/>
                <w:color w:val="222222"/>
              </w:rPr>
              <w:t>(1), pp.59-78.</w:t>
            </w:r>
          </w:p>
          <w:p w14:paraId="51C08E77" w14:textId="03FC93FC" w:rsidR="00820544" w:rsidRPr="00011FE4" w:rsidRDefault="00820544" w:rsidP="00C75CC7">
            <w:pPr>
              <w:spacing w:before="240"/>
            </w:pPr>
            <w:r w:rsidRPr="00011FE4">
              <w:rPr>
                <w:color w:val="222222"/>
                <w:shd w:val="clear" w:color="auto" w:fill="FFFFFF"/>
              </w:rPr>
              <w:t>O’Sullivan, K., Robson, J. and Winters, N.</w:t>
            </w:r>
            <w:r w:rsidR="003109B3" w:rsidRPr="00011FE4">
              <w:rPr>
                <w:color w:val="222222"/>
                <w:shd w:val="clear" w:color="auto" w:fill="FFFFFF"/>
              </w:rPr>
              <w:t xml:space="preserve"> (</w:t>
            </w:r>
            <w:r w:rsidRPr="00011FE4">
              <w:rPr>
                <w:color w:val="222222"/>
                <w:shd w:val="clear" w:color="auto" w:fill="FFFFFF"/>
              </w:rPr>
              <w:t>2019</w:t>
            </w:r>
            <w:r w:rsidR="003109B3" w:rsidRPr="00011FE4">
              <w:rPr>
                <w:color w:val="222222"/>
                <w:shd w:val="clear" w:color="auto" w:fill="FFFFFF"/>
              </w:rPr>
              <w:t>)</w:t>
            </w:r>
            <w:r w:rsidRPr="00011FE4">
              <w:rPr>
                <w:color w:val="222222"/>
                <w:shd w:val="clear" w:color="auto" w:fill="FFFFFF"/>
              </w:rPr>
              <w:t xml:space="preserve">. ‘I feel like I have a disadvantage’: how socio-economically disadvantaged students make the decision to study at a prestigious university. </w:t>
            </w:r>
            <w:r w:rsidRPr="00011FE4">
              <w:rPr>
                <w:i/>
                <w:iCs/>
                <w:color w:val="222222"/>
              </w:rPr>
              <w:t>Studies in Higher Education</w:t>
            </w:r>
            <w:r w:rsidRPr="00011FE4">
              <w:rPr>
                <w:color w:val="222222"/>
                <w:shd w:val="clear" w:color="auto" w:fill="FFFFFF"/>
              </w:rPr>
              <w:t xml:space="preserve">, </w:t>
            </w:r>
            <w:r w:rsidRPr="00011FE4">
              <w:rPr>
                <w:color w:val="222222"/>
              </w:rPr>
              <w:t>44</w:t>
            </w:r>
            <w:r w:rsidRPr="00011FE4">
              <w:rPr>
                <w:color w:val="222222"/>
                <w:shd w:val="clear" w:color="auto" w:fill="FFFFFF"/>
              </w:rPr>
              <w:t>(9), pp.1676-1690.</w:t>
            </w:r>
          </w:p>
        </w:tc>
      </w:tr>
      <w:tr w:rsidR="002E6316" w:rsidRPr="00011FE4" w14:paraId="524D1201" w14:textId="77777777" w:rsidTr="00EA70A7">
        <w:tc>
          <w:tcPr>
            <w:tcW w:w="10466" w:type="dxa"/>
          </w:tcPr>
          <w:p w14:paraId="23DB63E6" w14:textId="77FFDE3E" w:rsidR="002E6316" w:rsidRPr="00011FE4" w:rsidRDefault="002E6316" w:rsidP="00C75CC7">
            <w:pPr>
              <w:spacing w:before="240"/>
              <w:rPr>
                <w:color w:val="222222"/>
                <w:shd w:val="clear" w:color="auto" w:fill="FFFFFF"/>
              </w:rPr>
            </w:pPr>
            <w:r w:rsidRPr="00011FE4">
              <w:rPr>
                <w:color w:val="222222"/>
                <w:shd w:val="clear" w:color="auto" w:fill="FFFFFF"/>
              </w:rPr>
              <w:lastRenderedPageBreak/>
              <w:t xml:space="preserve">Parker-Jenkins, M. (2018) Mind the gap: developing the roles, </w:t>
            </w:r>
            <w:proofErr w:type="gramStart"/>
            <w:r w:rsidRPr="00011FE4">
              <w:rPr>
                <w:color w:val="222222"/>
                <w:shd w:val="clear" w:color="auto" w:fill="FFFFFF"/>
              </w:rPr>
              <w:t>expectations</w:t>
            </w:r>
            <w:proofErr w:type="gramEnd"/>
            <w:r w:rsidRPr="00011FE4">
              <w:rPr>
                <w:color w:val="222222"/>
                <w:shd w:val="clear" w:color="auto" w:fill="FFFFFF"/>
              </w:rPr>
              <w:t xml:space="preserve"> and boundaries in the doctoral supervisor–supervisee relationship. </w:t>
            </w:r>
            <w:r w:rsidRPr="00011FE4">
              <w:rPr>
                <w:i/>
                <w:iCs/>
                <w:color w:val="222222"/>
                <w:shd w:val="clear" w:color="auto" w:fill="FFFFFF"/>
              </w:rPr>
              <w:t>Studies in Higher Education</w:t>
            </w:r>
            <w:r w:rsidRPr="00011FE4">
              <w:rPr>
                <w:color w:val="222222"/>
                <w:shd w:val="clear" w:color="auto" w:fill="FFFFFF"/>
              </w:rPr>
              <w:t>, 43(1), pp.57-71.</w:t>
            </w:r>
          </w:p>
          <w:p w14:paraId="6CD9F265" w14:textId="66254D0F" w:rsidR="005B50EE" w:rsidRPr="00011FE4" w:rsidRDefault="005B50EE" w:rsidP="00DA4A35">
            <w:pPr>
              <w:spacing w:before="240"/>
              <w:rPr>
                <w:color w:val="222222"/>
                <w:shd w:val="clear" w:color="auto" w:fill="FFFFFF"/>
              </w:rPr>
            </w:pPr>
            <w:proofErr w:type="spellStart"/>
            <w:r w:rsidRPr="00011FE4">
              <w:rPr>
                <w:color w:val="222222"/>
                <w:shd w:val="clear" w:color="auto" w:fill="FFFFFF"/>
              </w:rPr>
              <w:t>Patoss</w:t>
            </w:r>
            <w:proofErr w:type="spellEnd"/>
            <w:r w:rsidRPr="00011FE4">
              <w:rPr>
                <w:color w:val="222222"/>
                <w:shd w:val="clear" w:color="auto" w:fill="FFFFFF"/>
              </w:rPr>
              <w:t xml:space="preserve"> (2019). </w:t>
            </w:r>
            <w:r w:rsidRPr="00011FE4">
              <w:rPr>
                <w:i/>
                <w:iCs/>
                <w:color w:val="222222"/>
                <w:shd w:val="clear" w:color="auto" w:fill="FFFFFF"/>
              </w:rPr>
              <w:t>News: DSA-QAG Closing</w:t>
            </w:r>
            <w:r w:rsidRPr="00011FE4">
              <w:rPr>
                <w:color w:val="222222"/>
                <w:shd w:val="clear" w:color="auto" w:fill="FFFFFF"/>
              </w:rPr>
              <w:t xml:space="preserve">.  Available from: </w:t>
            </w:r>
            <w:hyperlink r:id="rId36" w:history="1">
              <w:r w:rsidRPr="00011FE4">
                <w:rPr>
                  <w:color w:val="0000FF"/>
                  <w:u w:val="single"/>
                </w:rPr>
                <w:t>https://www.patoss-dyslexia.org/News/dsa-qag-closing</w:t>
              </w:r>
            </w:hyperlink>
            <w:r w:rsidRPr="00011FE4">
              <w:t xml:space="preserve"> [Accessed 02 March 2020)</w:t>
            </w:r>
          </w:p>
          <w:p w14:paraId="4E349536" w14:textId="041D2325" w:rsidR="003B4DAB" w:rsidRPr="00011FE4" w:rsidRDefault="003B4DAB" w:rsidP="00DA4A35">
            <w:pPr>
              <w:spacing w:before="240"/>
              <w:rPr>
                <w:color w:val="222222"/>
                <w:shd w:val="clear" w:color="auto" w:fill="FFFFFF"/>
              </w:rPr>
            </w:pPr>
            <w:r w:rsidRPr="00011FE4">
              <w:rPr>
                <w:color w:val="222222"/>
                <w:shd w:val="clear" w:color="auto" w:fill="FFFFFF"/>
              </w:rPr>
              <w:t>Perelli, L.</w:t>
            </w:r>
            <w:r w:rsidR="003109B3" w:rsidRPr="00011FE4">
              <w:rPr>
                <w:color w:val="222222"/>
                <w:shd w:val="clear" w:color="auto" w:fill="FFFFFF"/>
              </w:rPr>
              <w:t xml:space="preserve"> (</w:t>
            </w:r>
            <w:r w:rsidRPr="00011FE4">
              <w:rPr>
                <w:color w:val="222222"/>
                <w:shd w:val="clear" w:color="auto" w:fill="FFFFFF"/>
              </w:rPr>
              <w:t>2020</w:t>
            </w:r>
            <w:r w:rsidR="003109B3" w:rsidRPr="00011FE4">
              <w:rPr>
                <w:color w:val="222222"/>
                <w:shd w:val="clear" w:color="auto" w:fill="FFFFFF"/>
              </w:rPr>
              <w:t>)</w:t>
            </w:r>
            <w:r w:rsidRPr="00011FE4">
              <w:rPr>
                <w:color w:val="222222"/>
                <w:shd w:val="clear" w:color="auto" w:fill="FFFFFF"/>
              </w:rPr>
              <w:t xml:space="preserve"> Evaluating Barriers to and Opportunities for Higher Education in the Hispanic Community. In</w:t>
            </w:r>
            <w:r w:rsidR="00B650AE" w:rsidRPr="00011FE4">
              <w:rPr>
                <w:color w:val="222222"/>
                <w:shd w:val="clear" w:color="auto" w:fill="FFFFFF"/>
              </w:rPr>
              <w:t>. Niblett Johnson, S. L. (</w:t>
            </w:r>
            <w:r w:rsidR="00DA4A35" w:rsidRPr="00011FE4">
              <w:rPr>
                <w:color w:val="222222"/>
                <w:shd w:val="clear" w:color="auto" w:fill="FFFFFF"/>
              </w:rPr>
              <w:t>E</w:t>
            </w:r>
            <w:r w:rsidR="00B650AE" w:rsidRPr="00011FE4">
              <w:rPr>
                <w:color w:val="222222"/>
                <w:shd w:val="clear" w:color="auto" w:fill="FFFFFF"/>
              </w:rPr>
              <w:t>d.)</w:t>
            </w:r>
            <w:r w:rsidR="003109B3" w:rsidRPr="00011FE4">
              <w:rPr>
                <w:color w:val="222222"/>
                <w:shd w:val="clear" w:color="auto" w:fill="FFFFFF"/>
              </w:rPr>
              <w:t>:</w:t>
            </w:r>
            <w:r w:rsidRPr="00011FE4">
              <w:rPr>
                <w:color w:val="222222"/>
                <w:shd w:val="clear" w:color="auto" w:fill="FFFFFF"/>
              </w:rPr>
              <w:t xml:space="preserve"> </w:t>
            </w:r>
            <w:r w:rsidRPr="00011FE4">
              <w:rPr>
                <w:i/>
                <w:iCs/>
                <w:color w:val="222222"/>
              </w:rPr>
              <w:t>Examining Social Change and Social Responsibility in Higher Education</w:t>
            </w:r>
            <w:r w:rsidR="00741A80" w:rsidRPr="00011FE4">
              <w:rPr>
                <w:color w:val="222222"/>
                <w:shd w:val="clear" w:color="auto" w:fill="FFFFFF"/>
              </w:rPr>
              <w:t xml:space="preserve"> (pp. 107-115). Hershey, PA: I</w:t>
            </w:r>
            <w:r w:rsidRPr="00011FE4">
              <w:rPr>
                <w:color w:val="222222"/>
                <w:shd w:val="clear" w:color="auto" w:fill="FFFFFF"/>
              </w:rPr>
              <w:t>GI Global.</w:t>
            </w:r>
          </w:p>
        </w:tc>
      </w:tr>
      <w:tr w:rsidR="002E6316" w:rsidRPr="00011FE4" w14:paraId="539CF064" w14:textId="77777777" w:rsidTr="00EA70A7">
        <w:tc>
          <w:tcPr>
            <w:tcW w:w="10466" w:type="dxa"/>
          </w:tcPr>
          <w:p w14:paraId="71B8A4F3" w14:textId="3D719A6B" w:rsidR="002E6316" w:rsidRPr="00011FE4" w:rsidRDefault="002E6316" w:rsidP="00C75CC7">
            <w:pPr>
              <w:spacing w:before="240"/>
              <w:rPr>
                <w:rFonts w:eastAsia="Arial"/>
                <w:color w:val="222222"/>
              </w:rPr>
            </w:pPr>
            <w:r w:rsidRPr="00011FE4">
              <w:rPr>
                <w:rFonts w:eastAsia="Arial"/>
                <w:color w:val="222222"/>
              </w:rPr>
              <w:t xml:space="preserve">Powell, J.J. (2013) From ableism to accessibility in the universal design university. </w:t>
            </w:r>
            <w:r w:rsidRPr="00011FE4">
              <w:rPr>
                <w:rFonts w:eastAsia="Arial"/>
                <w:i/>
                <w:iCs/>
                <w:color w:val="222222"/>
              </w:rPr>
              <w:t>Review of Disability Studies: An International Journal</w:t>
            </w:r>
            <w:r w:rsidRPr="00011FE4">
              <w:rPr>
                <w:rFonts w:eastAsia="Arial"/>
                <w:color w:val="222222"/>
              </w:rPr>
              <w:t xml:space="preserve">, </w:t>
            </w:r>
            <w:r w:rsidRPr="00011FE4">
              <w:rPr>
                <w:rFonts w:eastAsia="Arial"/>
                <w:iCs/>
                <w:color w:val="222222"/>
              </w:rPr>
              <w:t>8</w:t>
            </w:r>
            <w:r w:rsidRPr="00011FE4">
              <w:rPr>
                <w:rFonts w:eastAsia="Arial"/>
                <w:color w:val="222222"/>
              </w:rPr>
              <w:t>(4), pp.33-45.</w:t>
            </w:r>
          </w:p>
        </w:tc>
      </w:tr>
      <w:tr w:rsidR="002E6316" w:rsidRPr="00011FE4" w14:paraId="2D0B46E0" w14:textId="77777777" w:rsidTr="00EA70A7">
        <w:tc>
          <w:tcPr>
            <w:tcW w:w="10466" w:type="dxa"/>
          </w:tcPr>
          <w:p w14:paraId="46BF1EBE" w14:textId="42BCA8C7" w:rsidR="002E6316" w:rsidRPr="00011FE4" w:rsidRDefault="002E6316" w:rsidP="00C75CC7">
            <w:pPr>
              <w:spacing w:before="240"/>
            </w:pPr>
            <w:r w:rsidRPr="00011FE4">
              <w:rPr>
                <w:lang w:val="en-US"/>
              </w:rPr>
              <w:t xml:space="preserve">Puchta, C. and Potter, J. (2004) </w:t>
            </w:r>
            <w:r w:rsidRPr="00011FE4">
              <w:rPr>
                <w:i/>
                <w:iCs/>
                <w:lang w:val="en-US"/>
              </w:rPr>
              <w:t>Focus group practice</w:t>
            </w:r>
            <w:r w:rsidRPr="00011FE4">
              <w:rPr>
                <w:lang w:val="en-US"/>
              </w:rPr>
              <w:t>.  London: Sage.</w:t>
            </w:r>
          </w:p>
        </w:tc>
      </w:tr>
      <w:tr w:rsidR="002E6316" w:rsidRPr="00011FE4" w14:paraId="47F1B4F2" w14:textId="77777777" w:rsidTr="00EA70A7">
        <w:tc>
          <w:tcPr>
            <w:tcW w:w="10466" w:type="dxa"/>
          </w:tcPr>
          <w:p w14:paraId="24AACFC6" w14:textId="48A1F7DF" w:rsidR="002E6316" w:rsidRPr="00011FE4" w:rsidRDefault="002E6316" w:rsidP="00E848F6">
            <w:pPr>
              <w:spacing w:before="240"/>
              <w:rPr>
                <w:rFonts w:eastAsia="Arial"/>
                <w:color w:val="222222"/>
              </w:rPr>
            </w:pPr>
            <w:bookmarkStart w:id="9" w:name="_Hlk6088006"/>
            <w:bookmarkStart w:id="10" w:name="_Hlk6146393"/>
            <w:r w:rsidRPr="00011FE4">
              <w:t>Quality Assurance Agency for Higher Education</w:t>
            </w:r>
            <w:bookmarkEnd w:id="9"/>
            <w:r w:rsidRPr="00011FE4">
              <w:t xml:space="preserve"> </w:t>
            </w:r>
            <w:bookmarkEnd w:id="10"/>
            <w:r w:rsidRPr="00011FE4">
              <w:t xml:space="preserve">(2018) </w:t>
            </w:r>
            <w:r w:rsidRPr="00011FE4">
              <w:rPr>
                <w:i/>
              </w:rPr>
              <w:t>UK Quality Code, Advice and Guidance: Enabling Student Achievement</w:t>
            </w:r>
            <w:r w:rsidR="00E848F6" w:rsidRPr="00011FE4">
              <w:t>.</w:t>
            </w:r>
            <w:r w:rsidRPr="00011FE4">
              <w:t xml:space="preserve"> Available </w:t>
            </w:r>
            <w:r w:rsidR="00AF349C" w:rsidRPr="00011FE4">
              <w:t>from</w:t>
            </w:r>
            <w:r w:rsidRPr="00011FE4">
              <w:t xml:space="preserve">: </w:t>
            </w:r>
            <w:hyperlink r:id="rId37" w:history="1">
              <w:r w:rsidRPr="00011FE4">
                <w:rPr>
                  <w:color w:val="0000FF"/>
                  <w:u w:val="single"/>
                </w:rPr>
                <w:t>https://www.qaa.ac.uk/en/quality-code/advice-and-guidance/enabling-student-achievement#</w:t>
              </w:r>
            </w:hyperlink>
            <w:r w:rsidRPr="00011FE4">
              <w:t>. [Accessed 27 March 2019]</w:t>
            </w:r>
          </w:p>
        </w:tc>
      </w:tr>
      <w:tr w:rsidR="002E6316" w:rsidRPr="00011FE4" w14:paraId="03FBF821" w14:textId="77777777" w:rsidTr="00EA70A7">
        <w:tc>
          <w:tcPr>
            <w:tcW w:w="10466" w:type="dxa"/>
          </w:tcPr>
          <w:p w14:paraId="5D3BF4BE" w14:textId="43B3C36C" w:rsidR="002E6316" w:rsidRPr="00011FE4" w:rsidRDefault="002E6316" w:rsidP="00C75CC7">
            <w:pPr>
              <w:spacing w:before="240"/>
              <w:rPr>
                <w:lang w:val="en-US"/>
              </w:rPr>
            </w:pPr>
            <w:r w:rsidRPr="00011FE4">
              <w:rPr>
                <w:lang w:val="en-US"/>
              </w:rPr>
              <w:t xml:space="preserve">Radermacher, H. (2006) </w:t>
            </w:r>
            <w:r w:rsidRPr="00011FE4">
              <w:rPr>
                <w:i/>
                <w:lang w:val="en-US"/>
              </w:rPr>
              <w:t xml:space="preserve">Participatory Action Research </w:t>
            </w:r>
            <w:proofErr w:type="gramStart"/>
            <w:r w:rsidRPr="00011FE4">
              <w:rPr>
                <w:i/>
                <w:lang w:val="en-US"/>
              </w:rPr>
              <w:t>With</w:t>
            </w:r>
            <w:proofErr w:type="gramEnd"/>
            <w:r w:rsidRPr="00011FE4">
              <w:rPr>
                <w:i/>
                <w:lang w:val="en-US"/>
              </w:rPr>
              <w:t xml:space="preserve"> People With Disabilities: Exploring Experiences Of Participation</w:t>
            </w:r>
            <w:r w:rsidR="00E848F6" w:rsidRPr="00011FE4">
              <w:rPr>
                <w:i/>
                <w:lang w:val="en-US"/>
              </w:rPr>
              <w:t xml:space="preserve">. </w:t>
            </w:r>
            <w:r w:rsidR="00E848F6" w:rsidRPr="00011FE4">
              <w:rPr>
                <w:lang w:val="en-US"/>
              </w:rPr>
              <w:t xml:space="preserve"> Doctoral Thesis,</w:t>
            </w:r>
            <w:r w:rsidRPr="00011FE4">
              <w:rPr>
                <w:lang w:val="en-US"/>
              </w:rPr>
              <w:t xml:space="preserve"> Victoria University.</w:t>
            </w:r>
          </w:p>
          <w:p w14:paraId="602904CC" w14:textId="1CEAE0F3" w:rsidR="002E6316" w:rsidRPr="00011FE4" w:rsidRDefault="002E6316" w:rsidP="00C75CC7">
            <w:pPr>
              <w:spacing w:before="240"/>
              <w:rPr>
                <w:rFonts w:eastAsia="Arial"/>
                <w:color w:val="222222"/>
              </w:rPr>
            </w:pPr>
            <w:r w:rsidRPr="00011FE4">
              <w:rPr>
                <w:rFonts w:eastAsia="Arial"/>
                <w:color w:val="222222"/>
              </w:rPr>
              <w:t>Reay, D., Crozier, G. and Clayton, J.,</w:t>
            </w:r>
            <w:r w:rsidR="00776630" w:rsidRPr="00011FE4">
              <w:rPr>
                <w:rFonts w:eastAsia="Arial"/>
                <w:color w:val="222222"/>
              </w:rPr>
              <w:t xml:space="preserve"> </w:t>
            </w:r>
            <w:r w:rsidRPr="00011FE4">
              <w:rPr>
                <w:rFonts w:eastAsia="Arial"/>
                <w:color w:val="222222"/>
              </w:rPr>
              <w:t>(2010). ‘Fitting in’</w:t>
            </w:r>
            <w:r w:rsidR="00EB5CA5" w:rsidRPr="00011FE4">
              <w:rPr>
                <w:rFonts w:eastAsia="Arial"/>
                <w:color w:val="222222"/>
              </w:rPr>
              <w:t xml:space="preserve"> </w:t>
            </w:r>
            <w:r w:rsidRPr="00011FE4">
              <w:rPr>
                <w:rFonts w:eastAsia="Arial"/>
                <w:color w:val="222222"/>
              </w:rPr>
              <w:t xml:space="preserve">or ‘standing out’: </w:t>
            </w:r>
            <w:r w:rsidR="00C010B7" w:rsidRPr="00011FE4">
              <w:rPr>
                <w:rFonts w:eastAsia="Arial"/>
                <w:color w:val="222222"/>
              </w:rPr>
              <w:t>w</w:t>
            </w:r>
            <w:r w:rsidRPr="00011FE4">
              <w:rPr>
                <w:rFonts w:eastAsia="Arial"/>
                <w:color w:val="222222"/>
              </w:rPr>
              <w:t>orking</w:t>
            </w:r>
            <w:r w:rsidRPr="00011FE4">
              <w:rPr>
                <w:rFonts w:ascii="Cambria Math" w:eastAsia="Arial" w:hAnsi="Cambria Math" w:cs="Cambria Math"/>
                <w:color w:val="222222"/>
              </w:rPr>
              <w:t>‐</w:t>
            </w:r>
            <w:r w:rsidRPr="00011FE4">
              <w:rPr>
                <w:rFonts w:eastAsia="Arial"/>
                <w:color w:val="222222"/>
              </w:rPr>
              <w:t xml:space="preserve">class students in UK higher education. </w:t>
            </w:r>
            <w:r w:rsidRPr="00011FE4">
              <w:rPr>
                <w:rFonts w:eastAsia="Arial"/>
                <w:i/>
                <w:iCs/>
                <w:color w:val="222222"/>
              </w:rPr>
              <w:t xml:space="preserve">British </w:t>
            </w:r>
            <w:r w:rsidR="00C010B7" w:rsidRPr="00011FE4">
              <w:rPr>
                <w:rFonts w:eastAsia="Arial"/>
                <w:i/>
                <w:iCs/>
                <w:color w:val="222222"/>
              </w:rPr>
              <w:t>E</w:t>
            </w:r>
            <w:r w:rsidRPr="00011FE4">
              <w:rPr>
                <w:rFonts w:eastAsia="Arial"/>
                <w:i/>
                <w:iCs/>
                <w:color w:val="222222"/>
              </w:rPr>
              <w:t xml:space="preserve">ducational </w:t>
            </w:r>
            <w:r w:rsidR="00C010B7" w:rsidRPr="00011FE4">
              <w:rPr>
                <w:rFonts w:eastAsia="Arial"/>
                <w:i/>
                <w:iCs/>
                <w:color w:val="222222"/>
              </w:rPr>
              <w:t>R</w:t>
            </w:r>
            <w:r w:rsidRPr="00011FE4">
              <w:rPr>
                <w:rFonts w:eastAsia="Arial"/>
                <w:i/>
                <w:iCs/>
                <w:color w:val="222222"/>
              </w:rPr>
              <w:t xml:space="preserve">esearch </w:t>
            </w:r>
            <w:r w:rsidR="00C010B7" w:rsidRPr="00011FE4">
              <w:rPr>
                <w:rFonts w:eastAsia="Arial"/>
                <w:i/>
                <w:iCs/>
                <w:color w:val="222222"/>
              </w:rPr>
              <w:t>J</w:t>
            </w:r>
            <w:r w:rsidRPr="00011FE4">
              <w:rPr>
                <w:rFonts w:eastAsia="Arial"/>
                <w:i/>
                <w:iCs/>
                <w:color w:val="222222"/>
              </w:rPr>
              <w:t>ournal</w:t>
            </w:r>
            <w:r w:rsidRPr="00011FE4">
              <w:rPr>
                <w:rFonts w:eastAsia="Arial"/>
                <w:color w:val="222222"/>
              </w:rPr>
              <w:t xml:space="preserve">, </w:t>
            </w:r>
            <w:r w:rsidRPr="00011FE4">
              <w:rPr>
                <w:rFonts w:eastAsia="Arial"/>
                <w:iCs/>
                <w:color w:val="222222"/>
              </w:rPr>
              <w:t>36</w:t>
            </w:r>
            <w:r w:rsidRPr="00011FE4">
              <w:rPr>
                <w:rFonts w:eastAsia="Arial"/>
                <w:color w:val="222222"/>
              </w:rPr>
              <w:t>(1), pp.107-124.</w:t>
            </w:r>
          </w:p>
          <w:p w14:paraId="20A9F5E8" w14:textId="77777777" w:rsidR="002E6316" w:rsidRPr="00011FE4" w:rsidRDefault="002E6316" w:rsidP="00C75CC7">
            <w:pPr>
              <w:spacing w:before="240"/>
              <w:rPr>
                <w:color w:val="2B2B2B"/>
              </w:rPr>
            </w:pPr>
            <w:r w:rsidRPr="00011FE4">
              <w:rPr>
                <w:color w:val="222222"/>
              </w:rPr>
              <w:t xml:space="preserve">Reinhardt, F., </w:t>
            </w:r>
            <w:proofErr w:type="spellStart"/>
            <w:r w:rsidRPr="00011FE4">
              <w:rPr>
                <w:color w:val="222222"/>
              </w:rPr>
              <w:t>Zlatkin-Troitschanskaia</w:t>
            </w:r>
            <w:proofErr w:type="spellEnd"/>
            <w:r w:rsidRPr="00011FE4">
              <w:rPr>
                <w:color w:val="222222"/>
              </w:rPr>
              <w:t xml:space="preserve">, O., </w:t>
            </w:r>
            <w:proofErr w:type="spellStart"/>
            <w:r w:rsidRPr="00011FE4">
              <w:rPr>
                <w:color w:val="222222"/>
              </w:rPr>
              <w:t>Deribo</w:t>
            </w:r>
            <w:proofErr w:type="spellEnd"/>
            <w:r w:rsidRPr="00011FE4">
              <w:rPr>
                <w:color w:val="222222"/>
              </w:rPr>
              <w:t xml:space="preserve">, T., </w:t>
            </w:r>
            <w:proofErr w:type="spellStart"/>
            <w:r w:rsidRPr="00011FE4">
              <w:rPr>
                <w:color w:val="222222"/>
              </w:rPr>
              <w:t>Happ</w:t>
            </w:r>
            <w:proofErr w:type="spellEnd"/>
            <w:r w:rsidRPr="00011FE4">
              <w:rPr>
                <w:color w:val="222222"/>
              </w:rPr>
              <w:t>, R. and Nell-Müller, S. (2018) Integrating refugees into higher education–the impact of a new online education program for policies and practices. </w:t>
            </w:r>
            <w:r w:rsidRPr="00011FE4">
              <w:rPr>
                <w:i/>
                <w:iCs/>
                <w:color w:val="222222"/>
              </w:rPr>
              <w:t>Policy Reviews in Higher Education</w:t>
            </w:r>
            <w:r w:rsidRPr="00011FE4">
              <w:rPr>
                <w:color w:val="222222"/>
              </w:rPr>
              <w:t>, </w:t>
            </w:r>
            <w:r w:rsidRPr="00011FE4">
              <w:rPr>
                <w:i/>
                <w:iCs/>
                <w:color w:val="222222"/>
              </w:rPr>
              <w:t>2</w:t>
            </w:r>
            <w:r w:rsidRPr="00011FE4">
              <w:rPr>
                <w:color w:val="222222"/>
              </w:rPr>
              <w:t>(2), pp.198-226.</w:t>
            </w:r>
          </w:p>
          <w:p w14:paraId="1EB795D6" w14:textId="7D138CAE" w:rsidR="002E6316" w:rsidRPr="00011FE4" w:rsidRDefault="002E6316" w:rsidP="00C75CC7">
            <w:pPr>
              <w:spacing w:before="240"/>
              <w:rPr>
                <w:lang w:val="en-US"/>
              </w:rPr>
            </w:pPr>
            <w:r w:rsidRPr="00011FE4">
              <w:rPr>
                <w:rFonts w:eastAsia="Arial"/>
                <w:color w:val="222222"/>
              </w:rPr>
              <w:t>Richardson, J.T.</w:t>
            </w:r>
            <w:r w:rsidR="00AB70AC" w:rsidRPr="00011FE4">
              <w:rPr>
                <w:rFonts w:eastAsia="Arial"/>
                <w:color w:val="222222"/>
              </w:rPr>
              <w:t>E.</w:t>
            </w:r>
            <w:r w:rsidRPr="00011FE4">
              <w:rPr>
                <w:rFonts w:eastAsia="Arial"/>
                <w:color w:val="222222"/>
              </w:rPr>
              <w:t xml:space="preserve">, (2015). The under-attainment of ethnic minority students in UK higher education: what we know and what we </w:t>
            </w:r>
            <w:proofErr w:type="gramStart"/>
            <w:r w:rsidRPr="00011FE4">
              <w:rPr>
                <w:rFonts w:eastAsia="Arial"/>
                <w:color w:val="222222"/>
              </w:rPr>
              <w:t>don’t</w:t>
            </w:r>
            <w:proofErr w:type="gramEnd"/>
            <w:r w:rsidRPr="00011FE4">
              <w:rPr>
                <w:rFonts w:eastAsia="Arial"/>
                <w:color w:val="222222"/>
              </w:rPr>
              <w:t xml:space="preserve"> know. </w:t>
            </w:r>
            <w:r w:rsidRPr="00011FE4">
              <w:rPr>
                <w:rFonts w:eastAsia="Arial"/>
                <w:i/>
                <w:iCs/>
                <w:color w:val="222222"/>
              </w:rPr>
              <w:t>Journal of Further and Higher Education</w:t>
            </w:r>
            <w:r w:rsidRPr="00011FE4">
              <w:rPr>
                <w:rFonts w:eastAsia="Arial"/>
                <w:color w:val="222222"/>
              </w:rPr>
              <w:t xml:space="preserve">, </w:t>
            </w:r>
            <w:r w:rsidRPr="00011FE4">
              <w:rPr>
                <w:rFonts w:eastAsia="Arial"/>
                <w:iCs/>
                <w:color w:val="222222"/>
              </w:rPr>
              <w:t>39</w:t>
            </w:r>
            <w:r w:rsidRPr="00011FE4">
              <w:rPr>
                <w:rFonts w:eastAsia="Arial"/>
                <w:color w:val="222222"/>
              </w:rPr>
              <w:t>(2), pp.278-291.</w:t>
            </w:r>
          </w:p>
        </w:tc>
      </w:tr>
      <w:tr w:rsidR="002E6316" w:rsidRPr="00011FE4" w14:paraId="3F1882B6" w14:textId="77777777" w:rsidTr="00EA70A7">
        <w:tc>
          <w:tcPr>
            <w:tcW w:w="10466" w:type="dxa"/>
          </w:tcPr>
          <w:p w14:paraId="746AC51B" w14:textId="70153EC1" w:rsidR="002E6316" w:rsidRPr="00011FE4" w:rsidRDefault="002E6316" w:rsidP="00C75CC7">
            <w:pPr>
              <w:spacing w:before="240"/>
            </w:pPr>
            <w:r w:rsidRPr="00011FE4">
              <w:rPr>
                <w:color w:val="222222"/>
                <w:shd w:val="clear" w:color="auto" w:fill="FFFFFF"/>
              </w:rPr>
              <w:t xml:space="preserve">Rosman, T., Peter, J., Mayer, A.K. and </w:t>
            </w:r>
            <w:proofErr w:type="spellStart"/>
            <w:r w:rsidRPr="00011FE4">
              <w:rPr>
                <w:color w:val="222222"/>
                <w:shd w:val="clear" w:color="auto" w:fill="FFFFFF"/>
              </w:rPr>
              <w:t>Krampen</w:t>
            </w:r>
            <w:proofErr w:type="spellEnd"/>
            <w:r w:rsidRPr="00011FE4">
              <w:rPr>
                <w:color w:val="222222"/>
                <w:shd w:val="clear" w:color="auto" w:fill="FFFFFF"/>
              </w:rPr>
              <w:t>, G. (2018) Conceptions of scientific knowledge influence learning of academic skills: epistemic beliefs and the efficacy of information literacy instruction. </w:t>
            </w:r>
            <w:r w:rsidRPr="00011FE4">
              <w:rPr>
                <w:i/>
                <w:iCs/>
                <w:color w:val="222222"/>
                <w:shd w:val="clear" w:color="auto" w:fill="FFFFFF"/>
              </w:rPr>
              <w:t>Studies in Higher Education</w:t>
            </w:r>
            <w:r w:rsidRPr="00011FE4">
              <w:rPr>
                <w:color w:val="222222"/>
                <w:shd w:val="clear" w:color="auto" w:fill="FFFFFF"/>
              </w:rPr>
              <w:t>, </w:t>
            </w:r>
            <w:r w:rsidRPr="00011FE4">
              <w:rPr>
                <w:iCs/>
                <w:color w:val="222222"/>
                <w:shd w:val="clear" w:color="auto" w:fill="FFFFFF"/>
              </w:rPr>
              <w:t>43</w:t>
            </w:r>
            <w:r w:rsidRPr="00011FE4">
              <w:rPr>
                <w:color w:val="222222"/>
                <w:shd w:val="clear" w:color="auto" w:fill="FFFFFF"/>
              </w:rPr>
              <w:t>(1), pp.96-113.</w:t>
            </w:r>
          </w:p>
        </w:tc>
      </w:tr>
      <w:tr w:rsidR="002E6316" w:rsidRPr="00011FE4" w14:paraId="0DC4DB9C" w14:textId="77777777" w:rsidTr="00EA70A7">
        <w:tc>
          <w:tcPr>
            <w:tcW w:w="10466" w:type="dxa"/>
          </w:tcPr>
          <w:p w14:paraId="224E3081" w14:textId="175627F5" w:rsidR="002E6316" w:rsidRPr="00011FE4" w:rsidRDefault="002E6316" w:rsidP="00C75CC7">
            <w:pPr>
              <w:spacing w:before="240"/>
            </w:pPr>
            <w:r w:rsidRPr="00011FE4">
              <w:rPr>
                <w:lang w:val="en-US"/>
              </w:rPr>
              <w:t xml:space="preserve">Rousseau, A. and Eley, A. (2010) </w:t>
            </w:r>
            <w:r w:rsidRPr="00011FE4">
              <w:rPr>
                <w:i/>
                <w:lang w:val="en-US"/>
              </w:rPr>
              <w:t>Capturing Best Practice in Postgraduate Supervision –</w:t>
            </w:r>
            <w:r w:rsidR="00776630" w:rsidRPr="00011FE4">
              <w:rPr>
                <w:i/>
                <w:lang w:val="en-US"/>
              </w:rPr>
              <w:t xml:space="preserve"> </w:t>
            </w:r>
            <w:r w:rsidRPr="00011FE4">
              <w:rPr>
                <w:i/>
                <w:lang w:val="en-US"/>
              </w:rPr>
              <w:t>Taking a Fresh Look</w:t>
            </w:r>
            <w:r w:rsidRPr="00011FE4">
              <w:rPr>
                <w:lang w:val="en-US"/>
              </w:rPr>
              <w:t>.</w:t>
            </w:r>
            <w:r w:rsidRPr="00011FE4">
              <w:t xml:space="preserve"> </w:t>
            </w:r>
            <w:r w:rsidR="009A6A2A" w:rsidRPr="00011FE4">
              <w:t>Denicolo, P</w:t>
            </w:r>
            <w:r w:rsidR="00DA2960" w:rsidRPr="00011FE4">
              <w:t>.</w:t>
            </w:r>
            <w:r w:rsidR="009A6A2A" w:rsidRPr="00011FE4">
              <w:rPr>
                <w:i/>
              </w:rPr>
              <w:t xml:space="preserve"> </w:t>
            </w:r>
            <w:r w:rsidR="00DA2960" w:rsidRPr="00011FE4">
              <w:t xml:space="preserve">(Ed.) </w:t>
            </w:r>
            <w:r w:rsidRPr="00011FE4">
              <w:rPr>
                <w:i/>
              </w:rPr>
              <w:t>Issues in Postgraduate Education: Management, Teaching and Supervision</w:t>
            </w:r>
            <w:r w:rsidR="00DA2960" w:rsidRPr="00011FE4">
              <w:rPr>
                <w:i/>
              </w:rPr>
              <w:t xml:space="preserve"> </w:t>
            </w:r>
            <w:r w:rsidR="00DA2960" w:rsidRPr="00011FE4">
              <w:t>series,</w:t>
            </w:r>
            <w:r w:rsidR="004046B7" w:rsidRPr="00011FE4">
              <w:t xml:space="preserve"> </w:t>
            </w:r>
            <w:r w:rsidRPr="00011FE4">
              <w:t>2(10).</w:t>
            </w:r>
          </w:p>
          <w:p w14:paraId="6B44B9E2" w14:textId="6E159791" w:rsidR="0038531C" w:rsidRPr="00011FE4" w:rsidRDefault="0038531C" w:rsidP="118435A4">
            <w:pPr>
              <w:spacing w:before="240"/>
              <w:rPr>
                <w:color w:val="222222"/>
                <w:shd w:val="clear" w:color="auto" w:fill="FFFFFF"/>
              </w:rPr>
            </w:pPr>
            <w:r w:rsidRPr="00011FE4">
              <w:rPr>
                <w:color w:val="222222"/>
                <w:shd w:val="clear" w:color="auto" w:fill="FFFFFF"/>
              </w:rPr>
              <w:t xml:space="preserve">Ruddy, S.H. (2019) Websites, Apps, Accessibility, and Extraterritoriality Under Title III of the Americans with Disabilities Act. </w:t>
            </w:r>
            <w:r w:rsidRPr="00011FE4">
              <w:rPr>
                <w:i/>
                <w:iCs/>
                <w:color w:val="222222"/>
              </w:rPr>
              <w:t>Georgetown Law Journal Online</w:t>
            </w:r>
            <w:r w:rsidRPr="00011FE4">
              <w:rPr>
                <w:color w:val="222222"/>
                <w:shd w:val="clear" w:color="auto" w:fill="FFFFFF"/>
              </w:rPr>
              <w:t xml:space="preserve">, </w:t>
            </w:r>
            <w:r w:rsidRPr="00011FE4">
              <w:rPr>
                <w:i/>
                <w:iCs/>
                <w:color w:val="222222"/>
              </w:rPr>
              <w:t>108</w:t>
            </w:r>
            <w:r w:rsidRPr="00011FE4">
              <w:rPr>
                <w:color w:val="222222"/>
                <w:shd w:val="clear" w:color="auto" w:fill="FFFFFF"/>
              </w:rPr>
              <w:t xml:space="preserve">, p.80.  Available </w:t>
            </w:r>
            <w:r w:rsidR="009E3E43" w:rsidRPr="00011FE4">
              <w:rPr>
                <w:color w:val="222222"/>
                <w:shd w:val="clear" w:color="auto" w:fill="FFFFFF"/>
              </w:rPr>
              <w:t>from</w:t>
            </w:r>
            <w:r w:rsidRPr="00011FE4">
              <w:rPr>
                <w:color w:val="222222"/>
                <w:shd w:val="clear" w:color="auto" w:fill="FFFFFF"/>
              </w:rPr>
              <w:t xml:space="preserve">: </w:t>
            </w:r>
            <w:hyperlink r:id="rId38">
              <w:r w:rsidR="118435A4" w:rsidRPr="00011FE4">
                <w:rPr>
                  <w:rStyle w:val="Hyperlink"/>
                  <w:rFonts w:eastAsia="Arial"/>
                </w:rPr>
                <w:t>https://papers.ssrn.com/sol3/papers.cfm?abstract_id=3475060</w:t>
              </w:r>
            </w:hyperlink>
            <w:r w:rsidRPr="00011FE4">
              <w:rPr>
                <w:color w:val="222222"/>
                <w:shd w:val="clear" w:color="auto" w:fill="FFFFFF"/>
              </w:rPr>
              <w:t xml:space="preserve"> [Accessed 20 January 2020]</w:t>
            </w:r>
          </w:p>
          <w:p w14:paraId="307EF3B3" w14:textId="65151934" w:rsidR="003D37D0" w:rsidRPr="00011FE4" w:rsidRDefault="003D37D0" w:rsidP="00C75CC7">
            <w:pPr>
              <w:spacing w:before="240"/>
            </w:pPr>
            <w:r w:rsidRPr="00011FE4">
              <w:rPr>
                <w:color w:val="222222"/>
                <w:shd w:val="clear" w:color="auto" w:fill="FFFFFF"/>
              </w:rPr>
              <w:t>S</w:t>
            </w:r>
            <w:bookmarkStart w:id="11" w:name="_Hlk31631137"/>
            <w:r w:rsidRPr="00011FE4">
              <w:rPr>
                <w:color w:val="222222"/>
                <w:shd w:val="clear" w:color="auto" w:fill="FFFFFF"/>
              </w:rPr>
              <w:t>á</w:t>
            </w:r>
            <w:bookmarkEnd w:id="11"/>
            <w:r w:rsidRPr="00011FE4">
              <w:rPr>
                <w:color w:val="222222"/>
                <w:shd w:val="clear" w:color="auto" w:fill="FFFFFF"/>
              </w:rPr>
              <w:t xml:space="preserve">, F., 2019. The Effect of University Fees on Applications, Attendance and Course Choice: Evidence from a Natural Experiment in the UK. </w:t>
            </w:r>
            <w:r w:rsidRPr="00011FE4">
              <w:rPr>
                <w:i/>
                <w:iCs/>
                <w:color w:val="222222"/>
              </w:rPr>
              <w:t>Economica</w:t>
            </w:r>
            <w:r w:rsidR="007E2AB3" w:rsidRPr="00011FE4">
              <w:rPr>
                <w:color w:val="222222"/>
              </w:rPr>
              <w:t>, 86(343), pp.607-634</w:t>
            </w:r>
            <w:r w:rsidRPr="00011FE4">
              <w:rPr>
                <w:color w:val="222222"/>
                <w:shd w:val="clear" w:color="auto" w:fill="FFFFFF"/>
              </w:rPr>
              <w:t>.</w:t>
            </w:r>
          </w:p>
          <w:p w14:paraId="6A4569B3" w14:textId="77777777" w:rsidR="002E6316" w:rsidRPr="00011FE4" w:rsidRDefault="002E6316" w:rsidP="00C75CC7">
            <w:pPr>
              <w:spacing w:before="240"/>
              <w:rPr>
                <w:rFonts w:eastAsia="Arial"/>
                <w:color w:val="222222"/>
              </w:rPr>
            </w:pPr>
            <w:r w:rsidRPr="00011FE4">
              <w:rPr>
                <w:rFonts w:eastAsia="Arial"/>
                <w:color w:val="222222"/>
              </w:rPr>
              <w:t xml:space="preserve">Sanders, J. and Rose-Adams, J., (2014). Black and minority ethnic student attainment: A survey of research and exploration of the importance of teacher and student expectations. </w:t>
            </w:r>
            <w:r w:rsidRPr="00011FE4">
              <w:rPr>
                <w:rFonts w:eastAsia="Arial"/>
                <w:i/>
                <w:iCs/>
                <w:color w:val="222222"/>
              </w:rPr>
              <w:t>Widening Participation and Lifelong Learning</w:t>
            </w:r>
            <w:r w:rsidRPr="00011FE4">
              <w:rPr>
                <w:rFonts w:eastAsia="Arial"/>
                <w:color w:val="222222"/>
              </w:rPr>
              <w:t xml:space="preserve">, </w:t>
            </w:r>
            <w:r w:rsidRPr="00011FE4">
              <w:rPr>
                <w:rFonts w:eastAsia="Arial"/>
                <w:iCs/>
                <w:color w:val="222222"/>
              </w:rPr>
              <w:t>16</w:t>
            </w:r>
            <w:r w:rsidRPr="00011FE4">
              <w:rPr>
                <w:rFonts w:eastAsia="Arial"/>
                <w:color w:val="222222"/>
              </w:rPr>
              <w:t>(2), pp.5-2</w:t>
            </w:r>
            <w:r w:rsidR="00696D79" w:rsidRPr="00011FE4">
              <w:rPr>
                <w:rFonts w:eastAsia="Arial"/>
                <w:color w:val="222222"/>
              </w:rPr>
              <w:t>7.</w:t>
            </w:r>
          </w:p>
          <w:p w14:paraId="2A5B5B28" w14:textId="086FAB27" w:rsidR="00253302" w:rsidRPr="00011FE4" w:rsidRDefault="003B4DAB" w:rsidP="00C75CC7">
            <w:pPr>
              <w:spacing w:before="240"/>
              <w:rPr>
                <w:rFonts w:eastAsia="Arial"/>
                <w:color w:val="222222"/>
              </w:rPr>
            </w:pPr>
            <w:r w:rsidRPr="00011FE4">
              <w:rPr>
                <w:color w:val="222222"/>
                <w:shd w:val="clear" w:color="auto" w:fill="FFFFFF"/>
              </w:rPr>
              <w:lastRenderedPageBreak/>
              <w:t>Scanlon, M., Jenkinson, H., Leahy, P., Powell, F. and Byrne, O.</w:t>
            </w:r>
            <w:r w:rsidR="003109B3" w:rsidRPr="00011FE4">
              <w:rPr>
                <w:color w:val="222222"/>
                <w:shd w:val="clear" w:color="auto" w:fill="FFFFFF"/>
              </w:rPr>
              <w:t xml:space="preserve"> (</w:t>
            </w:r>
            <w:r w:rsidRPr="00011FE4">
              <w:rPr>
                <w:color w:val="222222"/>
                <w:shd w:val="clear" w:color="auto" w:fill="FFFFFF"/>
              </w:rPr>
              <w:t>2019</w:t>
            </w:r>
            <w:r w:rsidR="003109B3" w:rsidRPr="00011FE4">
              <w:rPr>
                <w:color w:val="222222"/>
                <w:shd w:val="clear" w:color="auto" w:fill="FFFFFF"/>
              </w:rPr>
              <w:t>)</w:t>
            </w:r>
            <w:r w:rsidRPr="00011FE4">
              <w:rPr>
                <w:color w:val="222222"/>
                <w:shd w:val="clear" w:color="auto" w:fill="FFFFFF"/>
              </w:rPr>
              <w:t>. ‘How are we going to do it?’</w:t>
            </w:r>
            <w:r w:rsidR="003109B3" w:rsidRPr="00011FE4">
              <w:rPr>
                <w:color w:val="222222"/>
                <w:shd w:val="clear" w:color="auto" w:fill="FFFFFF"/>
              </w:rPr>
              <w:t xml:space="preserve"> </w:t>
            </w:r>
            <w:r w:rsidRPr="00011FE4">
              <w:rPr>
                <w:color w:val="222222"/>
                <w:shd w:val="clear" w:color="auto" w:fill="FFFFFF"/>
              </w:rPr>
              <w:t xml:space="preserve">An exploration of the barriers to access to higher education amongst young people from disadvantaged communities. </w:t>
            </w:r>
            <w:r w:rsidRPr="00011FE4">
              <w:rPr>
                <w:i/>
                <w:iCs/>
                <w:color w:val="222222"/>
              </w:rPr>
              <w:t>Irish Educational Studies</w:t>
            </w:r>
            <w:r w:rsidRPr="00011FE4">
              <w:rPr>
                <w:color w:val="222222"/>
                <w:shd w:val="clear" w:color="auto" w:fill="FFFFFF"/>
              </w:rPr>
              <w:t>,</w:t>
            </w:r>
            <w:r w:rsidR="003109B3" w:rsidRPr="00011FE4">
              <w:rPr>
                <w:color w:val="222222"/>
                <w:shd w:val="clear" w:color="auto" w:fill="FFFFFF"/>
              </w:rPr>
              <w:t xml:space="preserve"> 38(3),</w:t>
            </w:r>
            <w:r w:rsidRPr="00011FE4">
              <w:rPr>
                <w:color w:val="222222"/>
                <w:shd w:val="clear" w:color="auto" w:fill="FFFFFF"/>
              </w:rPr>
              <w:t xml:space="preserve"> pp.1-15.</w:t>
            </w:r>
          </w:p>
        </w:tc>
      </w:tr>
      <w:tr w:rsidR="002E6316" w:rsidRPr="00011FE4" w14:paraId="09E85754" w14:textId="77777777" w:rsidTr="00EA70A7">
        <w:tc>
          <w:tcPr>
            <w:tcW w:w="10466" w:type="dxa"/>
          </w:tcPr>
          <w:p w14:paraId="1147C8A0" w14:textId="72904A64" w:rsidR="002E6316" w:rsidRPr="00011FE4" w:rsidRDefault="002E6316" w:rsidP="00C75CC7">
            <w:pPr>
              <w:spacing w:before="240"/>
            </w:pPr>
            <w:r w:rsidRPr="00011FE4">
              <w:rPr>
                <w:color w:val="222222"/>
                <w:shd w:val="clear" w:color="auto" w:fill="FFFFFF"/>
              </w:rPr>
              <w:lastRenderedPageBreak/>
              <w:t>Schoepp, K. (2018) Predictive validity of the IELTS in an English as a medium of instruction environment. </w:t>
            </w:r>
            <w:r w:rsidRPr="00011FE4">
              <w:rPr>
                <w:i/>
                <w:iCs/>
                <w:color w:val="222222"/>
                <w:shd w:val="clear" w:color="auto" w:fill="FFFFFF"/>
              </w:rPr>
              <w:t>Higher Education Quarterly</w:t>
            </w:r>
            <w:r w:rsidRPr="00011FE4">
              <w:rPr>
                <w:color w:val="222222"/>
                <w:shd w:val="clear" w:color="auto" w:fill="FFFFFF"/>
              </w:rPr>
              <w:t>, </w:t>
            </w:r>
            <w:r w:rsidRPr="00011FE4">
              <w:rPr>
                <w:iCs/>
                <w:color w:val="222222"/>
                <w:shd w:val="clear" w:color="auto" w:fill="FFFFFF"/>
              </w:rPr>
              <w:t>72</w:t>
            </w:r>
            <w:r w:rsidRPr="00011FE4">
              <w:rPr>
                <w:color w:val="222222"/>
                <w:shd w:val="clear" w:color="auto" w:fill="FFFFFF"/>
              </w:rPr>
              <w:t>(4), pp.271-285</w:t>
            </w:r>
            <w:r w:rsidR="009E3E43" w:rsidRPr="00011FE4">
              <w:rPr>
                <w:color w:val="222222"/>
                <w:shd w:val="clear" w:color="auto" w:fill="FFFFFF"/>
              </w:rPr>
              <w:t>.</w:t>
            </w:r>
          </w:p>
        </w:tc>
      </w:tr>
      <w:tr w:rsidR="002E6316" w:rsidRPr="00011FE4" w14:paraId="6CABF845" w14:textId="77777777" w:rsidTr="00EA70A7">
        <w:tc>
          <w:tcPr>
            <w:tcW w:w="10466" w:type="dxa"/>
          </w:tcPr>
          <w:p w14:paraId="32F8E4A8" w14:textId="77777777" w:rsidR="002E6316" w:rsidRPr="00011FE4" w:rsidRDefault="002E6316" w:rsidP="00A5452F">
            <w:pPr>
              <w:spacing w:before="240"/>
            </w:pPr>
            <w:r w:rsidRPr="00011FE4">
              <w:t xml:space="preserve">Seale, J. (2009) Doing student voice work in higher education: an exploration of the value of participatory methods. </w:t>
            </w:r>
            <w:r w:rsidRPr="00011FE4">
              <w:rPr>
                <w:i/>
              </w:rPr>
              <w:t>British Educational Research Journal</w:t>
            </w:r>
            <w:r w:rsidRPr="00011FE4">
              <w:t>, 36(6), pp.995-1015.</w:t>
            </w:r>
          </w:p>
          <w:p w14:paraId="316AE3A5" w14:textId="11CAA36E" w:rsidR="007B24F0" w:rsidRPr="00011FE4" w:rsidRDefault="007B24F0" w:rsidP="00A5452F">
            <w:pPr>
              <w:spacing w:before="240"/>
            </w:pPr>
            <w:r w:rsidRPr="00011FE4">
              <w:t xml:space="preserve">Sheffield Hallam University: Academic Practice and Learning Innovation (APLI) Team in the Learning Enhancement and Academic Development Directorate (LEAD) (2016) </w:t>
            </w:r>
            <w:r w:rsidRPr="00011FE4">
              <w:rPr>
                <w:i/>
                <w:iCs/>
              </w:rPr>
              <w:t xml:space="preserve">The Teaching Essentials Toolkit. </w:t>
            </w:r>
            <w:proofErr w:type="gramStart"/>
            <w:r w:rsidRPr="00011FE4">
              <w:rPr>
                <w:iCs/>
              </w:rPr>
              <w:t>Sheffield</w:t>
            </w:r>
            <w:r w:rsidRPr="00011FE4">
              <w:rPr>
                <w:i/>
                <w:iCs/>
              </w:rPr>
              <w:t>:</w:t>
            </w:r>
            <w:r w:rsidRPr="00011FE4">
              <w:t>.</w:t>
            </w:r>
            <w:proofErr w:type="gramEnd"/>
          </w:p>
        </w:tc>
      </w:tr>
      <w:tr w:rsidR="002E6316" w:rsidRPr="00011FE4" w14:paraId="173631BB" w14:textId="77777777" w:rsidTr="00EA70A7">
        <w:tc>
          <w:tcPr>
            <w:tcW w:w="10466" w:type="dxa"/>
          </w:tcPr>
          <w:p w14:paraId="0476D08E" w14:textId="77777777" w:rsidR="00A5452F" w:rsidRPr="00011FE4" w:rsidRDefault="00A5452F" w:rsidP="00A5452F">
            <w:pPr>
              <w:spacing w:before="240"/>
              <w:contextualSpacing/>
            </w:pPr>
          </w:p>
          <w:p w14:paraId="722F2F4B" w14:textId="5D2B8451" w:rsidR="00274B86" w:rsidRPr="00011FE4" w:rsidRDefault="00A5452F" w:rsidP="00A5452F">
            <w:pPr>
              <w:spacing w:before="240"/>
              <w:contextualSpacing/>
            </w:pPr>
            <w:r w:rsidRPr="00011FE4">
              <w:t xml:space="preserve">Sims, T., Milton, D., Martin, N. and Dawkins, G. (2016) Developing a user informed training package for mentoring people on the autism spectrum. </w:t>
            </w:r>
            <w:r w:rsidRPr="00011FE4">
              <w:rPr>
                <w:i/>
              </w:rPr>
              <w:t>Journal of Inclusive Practice in Further and Higher Education</w:t>
            </w:r>
            <w:r w:rsidRPr="00011FE4">
              <w:rPr>
                <w:iCs/>
              </w:rPr>
              <w:t>,</w:t>
            </w:r>
            <w:r w:rsidRPr="00011FE4">
              <w:t xml:space="preserve"> 7(1), pp.49-52.</w:t>
            </w:r>
          </w:p>
        </w:tc>
      </w:tr>
      <w:tr w:rsidR="002E6316" w:rsidRPr="00011FE4" w14:paraId="453472B4" w14:textId="77777777" w:rsidTr="00EA70A7">
        <w:tc>
          <w:tcPr>
            <w:tcW w:w="10466" w:type="dxa"/>
          </w:tcPr>
          <w:p w14:paraId="676E29F3" w14:textId="77777777" w:rsidR="002E6316" w:rsidRPr="00011FE4" w:rsidRDefault="002E6316" w:rsidP="00C75CC7">
            <w:pPr>
              <w:spacing w:before="240"/>
            </w:pPr>
            <w:r w:rsidRPr="00011FE4">
              <w:t xml:space="preserve">UDLL Partnership (2017) </w:t>
            </w:r>
            <w:r w:rsidRPr="00011FE4">
              <w:rPr>
                <w:i/>
              </w:rPr>
              <w:t>Universal Design for Learning – A Best Practice Guideline.</w:t>
            </w:r>
            <w:r w:rsidRPr="00011FE4">
              <w:t xml:space="preserve"> Trondheim, Norway: Universell/NTNU.</w:t>
            </w:r>
          </w:p>
          <w:p w14:paraId="1FDC8638" w14:textId="77777777" w:rsidR="00D1463E" w:rsidRPr="00011FE4" w:rsidRDefault="00D1463E" w:rsidP="00D1463E">
            <w:pPr>
              <w:spacing w:before="240"/>
            </w:pPr>
            <w:r w:rsidRPr="00011FE4">
              <w:t xml:space="preserve">United Nations Convention on the Rights of Persons with Disabilities (2008).  </w:t>
            </w:r>
            <w:hyperlink r:id="rId39" w:history="1">
              <w:r w:rsidRPr="00011FE4">
                <w:rPr>
                  <w:rStyle w:val="Hyperlink"/>
                </w:rPr>
                <w:t>https://www.un.org/development/desa/disabilities/convention-on-the-rights-of-persons-with-disabilities/article-24-education.html</w:t>
              </w:r>
            </w:hyperlink>
            <w:r w:rsidRPr="00011FE4">
              <w:t>. [Accessed 12 January 2020]</w:t>
            </w:r>
          </w:p>
          <w:p w14:paraId="04905480" w14:textId="77777777" w:rsidR="00AA08F0" w:rsidRPr="00011FE4" w:rsidRDefault="00AA08F0" w:rsidP="00AA08F0">
            <w:pPr>
              <w:spacing w:before="240"/>
            </w:pPr>
            <w:r w:rsidRPr="00011FE4">
              <w:t xml:space="preserve">US Congress (2008) </w:t>
            </w:r>
            <w:r w:rsidRPr="00011FE4">
              <w:rPr>
                <w:i/>
                <w:iCs/>
              </w:rPr>
              <w:t>Higher Education Opportunity Act</w:t>
            </w:r>
            <w:r w:rsidRPr="00011FE4">
              <w:t xml:space="preserve">. Available from:  </w:t>
            </w:r>
            <w:hyperlink r:id="rId40" w:history="1">
              <w:r w:rsidRPr="00011FE4">
                <w:rPr>
                  <w:rStyle w:val="Hyperlink"/>
                </w:rPr>
                <w:t>https://www.congress.gov/bill/110th-congress/house-bill/4137</w:t>
              </w:r>
            </w:hyperlink>
            <w:r w:rsidRPr="00011FE4">
              <w:t xml:space="preserve"> [Accessed 12 January 2020]</w:t>
            </w:r>
          </w:p>
          <w:p w14:paraId="53F04FDB" w14:textId="5929C7D2" w:rsidR="00914E15" w:rsidRPr="00011FE4" w:rsidRDefault="00914E15" w:rsidP="005F0A35">
            <w:pPr>
              <w:spacing w:before="240"/>
            </w:pPr>
            <w:r w:rsidRPr="00011FE4">
              <w:t xml:space="preserve">US Congress (2019) </w:t>
            </w:r>
            <w:r w:rsidRPr="00011FE4">
              <w:rPr>
                <w:i/>
              </w:rPr>
              <w:t>Equality Act</w:t>
            </w:r>
            <w:r w:rsidRPr="00011FE4">
              <w:t xml:space="preserve">. Available from: </w:t>
            </w:r>
            <w:hyperlink r:id="rId41" w:history="1">
              <w:r w:rsidRPr="00011FE4">
                <w:rPr>
                  <w:rStyle w:val="Hyperlink"/>
                </w:rPr>
                <w:t xml:space="preserve">https://www.congress.gov/bill/116th-congress/house-bill/5/text </w:t>
              </w:r>
            </w:hyperlink>
            <w:r w:rsidRPr="00011FE4">
              <w:t>[Accessed 12 January 2020]</w:t>
            </w:r>
          </w:p>
        </w:tc>
      </w:tr>
      <w:tr w:rsidR="002E6316" w:rsidRPr="00011FE4" w14:paraId="7E481153" w14:textId="77777777" w:rsidTr="00EA70A7">
        <w:tc>
          <w:tcPr>
            <w:tcW w:w="10466" w:type="dxa"/>
          </w:tcPr>
          <w:p w14:paraId="08213DAF" w14:textId="7A9D6331" w:rsidR="00FB2BDB" w:rsidRPr="00011FE4" w:rsidRDefault="00957282" w:rsidP="00C75CC7">
            <w:pPr>
              <w:spacing w:before="240"/>
              <w:rPr>
                <w:color w:val="222222"/>
                <w:shd w:val="clear" w:color="auto" w:fill="FFFFFF"/>
              </w:rPr>
            </w:pPr>
            <w:r w:rsidRPr="00011FE4">
              <w:rPr>
                <w:color w:val="222222"/>
                <w:shd w:val="clear" w:color="auto" w:fill="FFFFFF"/>
              </w:rPr>
              <w:t xml:space="preserve">Webb, S., Burke, P.J., Nichols, S., Roberts, S., Stahl, G., Threadgold, S. and Wilkinson, J. </w:t>
            </w:r>
            <w:r w:rsidR="008A332D" w:rsidRPr="00011FE4">
              <w:rPr>
                <w:color w:val="222222"/>
                <w:shd w:val="clear" w:color="auto" w:fill="FFFFFF"/>
              </w:rPr>
              <w:t>(</w:t>
            </w:r>
            <w:r w:rsidRPr="00011FE4">
              <w:rPr>
                <w:color w:val="222222"/>
                <w:shd w:val="clear" w:color="auto" w:fill="FFFFFF"/>
              </w:rPr>
              <w:t>2017</w:t>
            </w:r>
            <w:r w:rsidR="008A332D" w:rsidRPr="00011FE4">
              <w:rPr>
                <w:color w:val="222222"/>
                <w:shd w:val="clear" w:color="auto" w:fill="FFFFFF"/>
              </w:rPr>
              <w:t>)</w:t>
            </w:r>
            <w:r w:rsidRPr="00011FE4">
              <w:rPr>
                <w:color w:val="222222"/>
                <w:shd w:val="clear" w:color="auto" w:fill="FFFFFF"/>
              </w:rPr>
              <w:t xml:space="preserve">. Thinking with and beyond Bourdieu in widening higher education participation. </w:t>
            </w:r>
            <w:r w:rsidRPr="00011FE4">
              <w:rPr>
                <w:i/>
                <w:iCs/>
                <w:color w:val="222222"/>
              </w:rPr>
              <w:t>Studies in Continuing Education</w:t>
            </w:r>
            <w:r w:rsidRPr="00011FE4">
              <w:rPr>
                <w:color w:val="222222"/>
                <w:shd w:val="clear" w:color="auto" w:fill="FFFFFF"/>
              </w:rPr>
              <w:t xml:space="preserve">, </w:t>
            </w:r>
            <w:r w:rsidRPr="00011FE4">
              <w:rPr>
                <w:color w:val="222222"/>
              </w:rPr>
              <w:t>39</w:t>
            </w:r>
            <w:r w:rsidRPr="00011FE4">
              <w:rPr>
                <w:color w:val="222222"/>
                <w:shd w:val="clear" w:color="auto" w:fill="FFFFFF"/>
              </w:rPr>
              <w:t>(2), pp.138-160.</w:t>
            </w:r>
          </w:p>
        </w:tc>
      </w:tr>
      <w:tr w:rsidR="002E6316" w:rsidRPr="00011FE4" w14:paraId="4614670B" w14:textId="77777777" w:rsidTr="00EA70A7">
        <w:tc>
          <w:tcPr>
            <w:tcW w:w="10466" w:type="dxa"/>
          </w:tcPr>
          <w:p w14:paraId="2DCDAA8B" w14:textId="624F712C" w:rsidR="002E6316" w:rsidRPr="00011FE4" w:rsidRDefault="002E6316" w:rsidP="00C75CC7">
            <w:pPr>
              <w:spacing w:before="240"/>
            </w:pPr>
            <w:r w:rsidRPr="00011FE4">
              <w:t xml:space="preserve">Willetts, D. (2014) </w:t>
            </w:r>
            <w:r w:rsidRPr="00011FE4">
              <w:rPr>
                <w:i/>
              </w:rPr>
              <w:t>Higher education: student support: changes to Disabled Students’ Allowances (DSA).</w:t>
            </w:r>
            <w:r w:rsidRPr="00011FE4">
              <w:t xml:space="preserve"> Written statement to </w:t>
            </w:r>
            <w:r w:rsidR="00072029" w:rsidRPr="00011FE4">
              <w:t>P</w:t>
            </w:r>
            <w:r w:rsidRPr="00011FE4">
              <w:t>arliament 7 April 2014.</w:t>
            </w:r>
            <w:r w:rsidR="005F506A" w:rsidRPr="00011FE4">
              <w:t xml:space="preserve">  Available from: </w:t>
            </w:r>
            <w:hyperlink r:id="rId42" w:history="1">
              <w:r w:rsidR="005F506A" w:rsidRPr="00011FE4">
                <w:rPr>
                  <w:rStyle w:val="Hyperlink"/>
                </w:rPr>
                <w:t>https://www.gov.uk/government/speeches/higher-education-student-support-changes-to-disabled-students-allowances-dsa</w:t>
              </w:r>
            </w:hyperlink>
            <w:r w:rsidR="005F506A" w:rsidRPr="00011FE4">
              <w:t xml:space="preserve"> [accessed 27 March 2019].</w:t>
            </w:r>
          </w:p>
        </w:tc>
      </w:tr>
      <w:tr w:rsidR="002E6316" w:rsidRPr="00011FE4" w14:paraId="06DEF3F5" w14:textId="77777777" w:rsidTr="00EA70A7">
        <w:tc>
          <w:tcPr>
            <w:tcW w:w="10466" w:type="dxa"/>
          </w:tcPr>
          <w:p w14:paraId="17C1F4F4" w14:textId="643B1C96" w:rsidR="002E6316" w:rsidRPr="00011FE4" w:rsidRDefault="002E6316" w:rsidP="009E3E43">
            <w:pPr>
              <w:spacing w:before="240"/>
            </w:pPr>
            <w:r w:rsidRPr="00011FE4">
              <w:rPr>
                <w:color w:val="222222"/>
                <w:shd w:val="clear" w:color="auto" w:fill="FFFFFF"/>
              </w:rPr>
              <w:t xml:space="preserve">Williams, M., Pollard, E., Langley, J., Houghton, A. M., and Zozimo, J. (2017) </w:t>
            </w:r>
            <w:r w:rsidRPr="00011FE4">
              <w:rPr>
                <w:i/>
                <w:color w:val="222222"/>
                <w:shd w:val="clear" w:color="auto" w:fill="FFFFFF"/>
              </w:rPr>
              <w:t>Models of support for students with disabilities: report to HEFCE</w:t>
            </w:r>
            <w:r w:rsidRPr="00011FE4">
              <w:rPr>
                <w:color w:val="222222"/>
                <w:shd w:val="clear" w:color="auto" w:fill="FFFFFF"/>
              </w:rPr>
              <w:t xml:space="preserve">. </w:t>
            </w:r>
            <w:r w:rsidRPr="00011FE4">
              <w:t xml:space="preserve">Available </w:t>
            </w:r>
            <w:r w:rsidR="009E3E43" w:rsidRPr="00011FE4">
              <w:t>from</w:t>
            </w:r>
            <w:r w:rsidRPr="00011FE4">
              <w:t xml:space="preserve">: </w:t>
            </w:r>
            <w:hyperlink r:id="rId43" w:history="1">
              <w:r w:rsidRPr="00011FE4">
                <w:rPr>
                  <w:color w:val="0000FF"/>
                  <w:u w:val="single"/>
                </w:rPr>
                <w:t>https://webarchive.nationalarchives.gov.uk/20180322111239/http://www.hefce.ac.uk/pubs/rereports/year/2017/modelsofsupport/</w:t>
              </w:r>
            </w:hyperlink>
            <w:r w:rsidRPr="00011FE4">
              <w:t xml:space="preserve"> [Accessed 27 March 2019]</w:t>
            </w:r>
            <w:r w:rsidR="005F506A" w:rsidRPr="00011FE4">
              <w:t>.</w:t>
            </w:r>
            <w:r w:rsidRPr="00011FE4">
              <w:t xml:space="preserve"> </w:t>
            </w:r>
          </w:p>
        </w:tc>
      </w:tr>
      <w:tr w:rsidR="002E6316" w:rsidRPr="00011FE4" w14:paraId="200E4D28" w14:textId="77777777" w:rsidTr="00EA70A7">
        <w:tc>
          <w:tcPr>
            <w:tcW w:w="10466" w:type="dxa"/>
          </w:tcPr>
          <w:p w14:paraId="3241C423" w14:textId="42F37E9D" w:rsidR="002E6316" w:rsidRPr="00011FE4" w:rsidRDefault="002E6316" w:rsidP="00C75CC7">
            <w:pPr>
              <w:spacing w:before="240"/>
            </w:pPr>
            <w:r w:rsidRPr="00011FE4">
              <w:rPr>
                <w:shd w:val="clear" w:color="auto" w:fill="FFFFFF"/>
              </w:rPr>
              <w:t xml:space="preserve">Wilson, L. and Martin, N. (2017) Disabled Student Support for England in 2017. How did we get here and where are we going? A brief history, commentary on current context and reflection on possible future directions. </w:t>
            </w:r>
            <w:r w:rsidRPr="00011FE4">
              <w:rPr>
                <w:i/>
              </w:rPr>
              <w:t>Journal of Inclusive Practice in Further and Higher Education</w:t>
            </w:r>
            <w:r w:rsidR="00773A68" w:rsidRPr="00011FE4">
              <w:t>,</w:t>
            </w:r>
            <w:r w:rsidRPr="00011FE4">
              <w:t xml:space="preserve"> 9(1)</w:t>
            </w:r>
            <w:r w:rsidR="00773A68" w:rsidRPr="00011FE4">
              <w:t>,</w:t>
            </w:r>
            <w:r w:rsidRPr="00011FE4">
              <w:t xml:space="preserve"> pp</w:t>
            </w:r>
            <w:r w:rsidR="004046B7" w:rsidRPr="00011FE4">
              <w:t>.</w:t>
            </w:r>
            <w:r w:rsidRPr="00011FE4">
              <w:t>6-22.</w:t>
            </w:r>
          </w:p>
        </w:tc>
      </w:tr>
      <w:tr w:rsidR="002E6316" w:rsidRPr="00011FE4" w14:paraId="6A94AB94" w14:textId="77777777" w:rsidTr="00EA70A7">
        <w:tc>
          <w:tcPr>
            <w:tcW w:w="10466" w:type="dxa"/>
          </w:tcPr>
          <w:p w14:paraId="7DB02BFE" w14:textId="6335F447" w:rsidR="002E6316" w:rsidRPr="00011FE4" w:rsidRDefault="002E6316" w:rsidP="00EB714A">
            <w:pPr>
              <w:spacing w:before="240"/>
            </w:pPr>
            <w:r w:rsidRPr="00011FE4">
              <w:rPr>
                <w:color w:val="222222"/>
                <w:shd w:val="clear" w:color="auto" w:fill="FFFFFF"/>
              </w:rPr>
              <w:t xml:space="preserve">Wise, G., Dickinson, C., Katan, T. and Gallegos, M.C. (2018) Inclusive higher education governance: managing stakeholders, strategy, </w:t>
            </w:r>
            <w:proofErr w:type="gramStart"/>
            <w:r w:rsidRPr="00011FE4">
              <w:rPr>
                <w:color w:val="222222"/>
                <w:shd w:val="clear" w:color="auto" w:fill="FFFFFF"/>
              </w:rPr>
              <w:t>structure</w:t>
            </w:r>
            <w:proofErr w:type="gramEnd"/>
            <w:r w:rsidRPr="00011FE4">
              <w:rPr>
                <w:color w:val="222222"/>
                <w:shd w:val="clear" w:color="auto" w:fill="FFFFFF"/>
              </w:rPr>
              <w:t xml:space="preserve"> and function. </w:t>
            </w:r>
            <w:r w:rsidRPr="00011FE4">
              <w:rPr>
                <w:i/>
                <w:iCs/>
                <w:color w:val="222222"/>
                <w:shd w:val="clear" w:color="auto" w:fill="FFFFFF"/>
              </w:rPr>
              <w:t>Studies in Higher Education</w:t>
            </w:r>
            <w:r w:rsidRPr="00011FE4">
              <w:rPr>
                <w:color w:val="222222"/>
                <w:shd w:val="clear" w:color="auto" w:fill="FFFFFF"/>
              </w:rPr>
              <w:t xml:space="preserve">, </w:t>
            </w:r>
            <w:r w:rsidR="002267ED" w:rsidRPr="00011FE4">
              <w:rPr>
                <w:color w:val="222222"/>
                <w:shd w:val="clear" w:color="auto" w:fill="FFFFFF"/>
              </w:rPr>
              <w:t>45 (2), pp.339-352</w:t>
            </w:r>
            <w:r w:rsidR="00EB714A" w:rsidRPr="00011FE4">
              <w:rPr>
                <w:color w:val="222222"/>
                <w:shd w:val="clear" w:color="auto" w:fill="FFFFFF"/>
              </w:rPr>
              <w:t>.</w:t>
            </w:r>
          </w:p>
        </w:tc>
      </w:tr>
      <w:tr w:rsidR="002E6316" w:rsidRPr="00011FE4" w14:paraId="31DAC338" w14:textId="77777777" w:rsidTr="00EA70A7">
        <w:tc>
          <w:tcPr>
            <w:tcW w:w="10466" w:type="dxa"/>
          </w:tcPr>
          <w:p w14:paraId="648733CA" w14:textId="32BE7757" w:rsidR="002E6316" w:rsidRPr="00011FE4" w:rsidRDefault="002E6316" w:rsidP="00C75CC7">
            <w:pPr>
              <w:spacing w:before="240"/>
            </w:pPr>
            <w:r w:rsidRPr="00011FE4">
              <w:rPr>
                <w:color w:val="222222"/>
                <w:shd w:val="clear" w:color="auto" w:fill="FFFFFF"/>
              </w:rPr>
              <w:lastRenderedPageBreak/>
              <w:t>Wood, M. and Su, F. (2017) What makes an excellent lecturer? Academics’ perspectives on the discourse of ‘teaching excellence’ in higher education. </w:t>
            </w:r>
            <w:r w:rsidRPr="00011FE4">
              <w:rPr>
                <w:i/>
                <w:iCs/>
                <w:color w:val="222222"/>
                <w:shd w:val="clear" w:color="auto" w:fill="FFFFFF"/>
              </w:rPr>
              <w:t>Teaching in higher education</w:t>
            </w:r>
            <w:r w:rsidRPr="00011FE4">
              <w:rPr>
                <w:color w:val="222222"/>
                <w:shd w:val="clear" w:color="auto" w:fill="FFFFFF"/>
              </w:rPr>
              <w:t>, 22(4), pp.451-466.</w:t>
            </w:r>
          </w:p>
        </w:tc>
      </w:tr>
      <w:tr w:rsidR="002E6316" w:rsidRPr="00011FE4" w14:paraId="3D323851" w14:textId="77777777" w:rsidTr="00EA70A7">
        <w:tc>
          <w:tcPr>
            <w:tcW w:w="10466" w:type="dxa"/>
          </w:tcPr>
          <w:p w14:paraId="0872DA8A" w14:textId="6E59AA52" w:rsidR="002E6316" w:rsidRPr="00011FE4" w:rsidRDefault="002E6316" w:rsidP="00C75CC7">
            <w:pPr>
              <w:spacing w:before="240"/>
            </w:pPr>
            <w:r w:rsidRPr="00011FE4">
              <w:t xml:space="preserve">Wray, M. (2016) </w:t>
            </w:r>
            <w:r w:rsidRPr="00011FE4">
              <w:rPr>
                <w:i/>
                <w:iCs/>
              </w:rPr>
              <w:t>Inclusive learning, teaching and assessment framework.</w:t>
            </w:r>
            <w:r w:rsidRPr="00011FE4">
              <w:t xml:space="preserve"> York: York St John University. Available </w:t>
            </w:r>
            <w:r w:rsidR="009E3E43" w:rsidRPr="00011FE4">
              <w:t>from</w:t>
            </w:r>
            <w:r w:rsidRPr="00011FE4">
              <w:t xml:space="preserve">: </w:t>
            </w:r>
            <w:hyperlink r:id="rId44">
              <w:r w:rsidRPr="00011FE4">
                <w:rPr>
                  <w:rFonts w:eastAsia="Arial"/>
                  <w:color w:val="0000FF"/>
                  <w:u w:val="single"/>
                </w:rPr>
                <w:t>https://inclusioninhe.com/projects/iltaf/</w:t>
              </w:r>
            </w:hyperlink>
            <w:r w:rsidRPr="00011FE4">
              <w:t xml:space="preserve"> [Accessed 15 March 2019].</w:t>
            </w:r>
          </w:p>
          <w:p w14:paraId="30801855" w14:textId="5D88E346" w:rsidR="002E6316" w:rsidRPr="00011FE4" w:rsidRDefault="002E6316" w:rsidP="00C75CC7">
            <w:pPr>
              <w:spacing w:before="240"/>
            </w:pPr>
            <w:r w:rsidRPr="00011FE4">
              <w:rPr>
                <w:rFonts w:eastAsia="Arial"/>
              </w:rPr>
              <w:t>Yin</w:t>
            </w:r>
            <w:r w:rsidRPr="00011FE4">
              <w:rPr>
                <w:rFonts w:eastAsia="Arial"/>
                <w:color w:val="222222"/>
              </w:rPr>
              <w:t>, R.K.</w:t>
            </w:r>
            <w:r w:rsidR="002C18D5" w:rsidRPr="00011FE4">
              <w:rPr>
                <w:rFonts w:eastAsia="Arial"/>
                <w:color w:val="222222"/>
              </w:rPr>
              <w:t xml:space="preserve"> </w:t>
            </w:r>
            <w:r w:rsidR="00BA739E" w:rsidRPr="00011FE4">
              <w:rPr>
                <w:rFonts w:eastAsia="Arial"/>
                <w:color w:val="222222"/>
              </w:rPr>
              <w:t>(2017</w:t>
            </w:r>
            <w:r w:rsidRPr="00011FE4">
              <w:rPr>
                <w:rFonts w:eastAsia="Arial"/>
                <w:color w:val="222222"/>
              </w:rPr>
              <w:t xml:space="preserve">). </w:t>
            </w:r>
            <w:r w:rsidRPr="00011FE4">
              <w:rPr>
                <w:rFonts w:eastAsia="Arial"/>
                <w:i/>
                <w:iCs/>
                <w:color w:val="222222"/>
              </w:rPr>
              <w:t>Case study research and applications: Design and methods</w:t>
            </w:r>
            <w:r w:rsidRPr="00011FE4">
              <w:rPr>
                <w:rFonts w:eastAsia="Arial"/>
                <w:color w:val="222222"/>
              </w:rPr>
              <w:t xml:space="preserve">. </w:t>
            </w:r>
            <w:r w:rsidR="002C18D5" w:rsidRPr="00011FE4">
              <w:rPr>
                <w:rFonts w:eastAsia="Arial"/>
                <w:color w:val="222222"/>
              </w:rPr>
              <w:t>6</w:t>
            </w:r>
            <w:r w:rsidR="002C18D5" w:rsidRPr="00011FE4">
              <w:rPr>
                <w:rFonts w:eastAsia="Arial"/>
                <w:color w:val="222222"/>
                <w:vertAlign w:val="superscript"/>
              </w:rPr>
              <w:t>th</w:t>
            </w:r>
            <w:r w:rsidR="002C18D5" w:rsidRPr="00011FE4">
              <w:rPr>
                <w:rFonts w:eastAsia="Arial"/>
                <w:color w:val="222222"/>
              </w:rPr>
              <w:t xml:space="preserve"> Ed. London: </w:t>
            </w:r>
            <w:r w:rsidRPr="00011FE4">
              <w:rPr>
                <w:rFonts w:eastAsia="Arial"/>
                <w:color w:val="222222"/>
              </w:rPr>
              <w:t>Sage.</w:t>
            </w:r>
          </w:p>
        </w:tc>
      </w:tr>
      <w:tr w:rsidR="002E6316" w:rsidRPr="00011FE4" w14:paraId="0D7C860A" w14:textId="77777777" w:rsidTr="00EA70A7">
        <w:tc>
          <w:tcPr>
            <w:tcW w:w="10466" w:type="dxa"/>
          </w:tcPr>
          <w:p w14:paraId="3F4E8782" w14:textId="77777777" w:rsidR="002E6316" w:rsidRPr="00011FE4" w:rsidRDefault="002E6316" w:rsidP="00C75CC7">
            <w:pPr>
              <w:spacing w:before="240"/>
            </w:pPr>
          </w:p>
          <w:p w14:paraId="4AA7412F" w14:textId="02638769" w:rsidR="00177D81" w:rsidRPr="00011FE4" w:rsidRDefault="00177D81" w:rsidP="00C75CC7">
            <w:pPr>
              <w:spacing w:before="240"/>
            </w:pPr>
          </w:p>
        </w:tc>
      </w:tr>
    </w:tbl>
    <w:p w14:paraId="42712CCF" w14:textId="6CA1E047" w:rsidR="00F71004" w:rsidRPr="00157D57" w:rsidRDefault="007E75E3" w:rsidP="00235691">
      <w:r w:rsidRPr="00011FE4">
        <w:t>References 2</w:t>
      </w:r>
      <w:r w:rsidR="008A336F" w:rsidRPr="00011FE4">
        <w:t>8</w:t>
      </w:r>
      <w:r w:rsidR="00151E6F" w:rsidRPr="00011FE4">
        <w:t>59</w:t>
      </w:r>
      <w:r w:rsidRPr="00011FE4">
        <w:t xml:space="preserve"> words</w:t>
      </w:r>
    </w:p>
    <w:sectPr w:rsidR="00F71004" w:rsidRPr="00157D57" w:rsidSect="0049617E">
      <w:head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C94D" w14:textId="77777777" w:rsidR="00A20BA0" w:rsidRDefault="00A20BA0" w:rsidP="005D18CE">
      <w:r>
        <w:separator/>
      </w:r>
    </w:p>
  </w:endnote>
  <w:endnote w:type="continuationSeparator" w:id="0">
    <w:p w14:paraId="4E415860" w14:textId="77777777" w:rsidR="00A20BA0" w:rsidRDefault="00A20BA0" w:rsidP="005D18CE">
      <w:r>
        <w:continuationSeparator/>
      </w:r>
    </w:p>
  </w:endnote>
  <w:endnote w:type="continuationNotice" w:id="1">
    <w:p w14:paraId="559A2965" w14:textId="77777777" w:rsidR="00A20BA0" w:rsidRDefault="00A20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F42A" w14:textId="77777777" w:rsidR="00A20BA0" w:rsidRDefault="00A20BA0" w:rsidP="005D18CE">
      <w:r>
        <w:separator/>
      </w:r>
    </w:p>
  </w:footnote>
  <w:footnote w:type="continuationSeparator" w:id="0">
    <w:p w14:paraId="4C8CEED8" w14:textId="77777777" w:rsidR="00A20BA0" w:rsidRDefault="00A20BA0" w:rsidP="005D18CE">
      <w:r>
        <w:continuationSeparator/>
      </w:r>
    </w:p>
  </w:footnote>
  <w:footnote w:type="continuationNotice" w:id="1">
    <w:p w14:paraId="6835E9C0" w14:textId="77777777" w:rsidR="00A20BA0" w:rsidRDefault="00A20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816546"/>
      <w:docPartObj>
        <w:docPartGallery w:val="Page Numbers (Top of Page)"/>
        <w:docPartUnique/>
      </w:docPartObj>
    </w:sdtPr>
    <w:sdtEndPr>
      <w:rPr>
        <w:noProof/>
      </w:rPr>
    </w:sdtEndPr>
    <w:sdtContent>
      <w:p w14:paraId="39DC4C02" w14:textId="3E70094A" w:rsidR="000B1465" w:rsidRDefault="000B1465">
        <w:pPr>
          <w:pStyle w:val="Header"/>
        </w:pPr>
        <w:r>
          <w:fldChar w:fldCharType="begin"/>
        </w:r>
        <w:r>
          <w:instrText xml:space="preserve"> PAGE   \* MERGEFORMAT </w:instrText>
        </w:r>
        <w:r>
          <w:fldChar w:fldCharType="separate"/>
        </w:r>
        <w:r>
          <w:rPr>
            <w:noProof/>
          </w:rPr>
          <w:t>7</w:t>
        </w:r>
        <w:r>
          <w:rPr>
            <w:noProof/>
          </w:rPr>
          <w:fldChar w:fldCharType="end"/>
        </w:r>
      </w:p>
    </w:sdtContent>
  </w:sdt>
  <w:p w14:paraId="313F8F6D" w14:textId="00AAF742" w:rsidR="000B1465" w:rsidRDefault="000B14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6F7"/>
    <w:multiLevelType w:val="hybridMultilevel"/>
    <w:tmpl w:val="06FA0808"/>
    <w:lvl w:ilvl="0" w:tplc="7032CED6">
      <w:start w:val="1"/>
      <w:numFmt w:val="decimal"/>
      <w:lvlText w:val="%1."/>
      <w:lvlJc w:val="left"/>
      <w:pPr>
        <w:ind w:left="720" w:hanging="360"/>
      </w:pPr>
    </w:lvl>
    <w:lvl w:ilvl="1" w:tplc="9426E74E">
      <w:start w:val="1"/>
      <w:numFmt w:val="lowerLetter"/>
      <w:lvlText w:val="%2."/>
      <w:lvlJc w:val="left"/>
      <w:pPr>
        <w:ind w:left="1440" w:hanging="360"/>
      </w:pPr>
    </w:lvl>
    <w:lvl w:ilvl="2" w:tplc="59F44F7C">
      <w:start w:val="1"/>
      <w:numFmt w:val="lowerRoman"/>
      <w:lvlText w:val="%3."/>
      <w:lvlJc w:val="right"/>
      <w:pPr>
        <w:ind w:left="2160" w:hanging="180"/>
      </w:pPr>
    </w:lvl>
    <w:lvl w:ilvl="3" w:tplc="9D5EACFA">
      <w:start w:val="1"/>
      <w:numFmt w:val="decimal"/>
      <w:lvlText w:val="%4."/>
      <w:lvlJc w:val="left"/>
      <w:pPr>
        <w:ind w:left="2880" w:hanging="360"/>
      </w:pPr>
    </w:lvl>
    <w:lvl w:ilvl="4" w:tplc="5DA26A70">
      <w:start w:val="1"/>
      <w:numFmt w:val="lowerLetter"/>
      <w:lvlText w:val="%5."/>
      <w:lvlJc w:val="left"/>
      <w:pPr>
        <w:ind w:left="3600" w:hanging="360"/>
      </w:pPr>
    </w:lvl>
    <w:lvl w:ilvl="5" w:tplc="EA64C184">
      <w:start w:val="1"/>
      <w:numFmt w:val="lowerRoman"/>
      <w:lvlText w:val="%6."/>
      <w:lvlJc w:val="right"/>
      <w:pPr>
        <w:ind w:left="4320" w:hanging="180"/>
      </w:pPr>
    </w:lvl>
    <w:lvl w:ilvl="6" w:tplc="574C9540">
      <w:start w:val="1"/>
      <w:numFmt w:val="decimal"/>
      <w:lvlText w:val="%7."/>
      <w:lvlJc w:val="left"/>
      <w:pPr>
        <w:ind w:left="5040" w:hanging="360"/>
      </w:pPr>
    </w:lvl>
    <w:lvl w:ilvl="7" w:tplc="64963A98">
      <w:start w:val="1"/>
      <w:numFmt w:val="lowerLetter"/>
      <w:lvlText w:val="%8."/>
      <w:lvlJc w:val="left"/>
      <w:pPr>
        <w:ind w:left="5760" w:hanging="360"/>
      </w:pPr>
    </w:lvl>
    <w:lvl w:ilvl="8" w:tplc="6A3871DC">
      <w:start w:val="1"/>
      <w:numFmt w:val="lowerRoman"/>
      <w:lvlText w:val="%9."/>
      <w:lvlJc w:val="right"/>
      <w:pPr>
        <w:ind w:left="6480" w:hanging="180"/>
      </w:pPr>
    </w:lvl>
  </w:abstractNum>
  <w:abstractNum w:abstractNumId="1" w15:restartNumberingAfterBreak="0">
    <w:nsid w:val="032B2BAE"/>
    <w:multiLevelType w:val="hybridMultilevel"/>
    <w:tmpl w:val="CC42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9E6"/>
    <w:multiLevelType w:val="hybridMultilevel"/>
    <w:tmpl w:val="E7A2C8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9774976"/>
    <w:multiLevelType w:val="multilevel"/>
    <w:tmpl w:val="157203F2"/>
    <w:lvl w:ilvl="0">
      <w:start w:val="1"/>
      <w:numFmt w:val="bullet"/>
      <w:lvlText w:val=""/>
      <w:lvlJc w:val="left"/>
      <w:pPr>
        <w:ind w:left="360" w:hanging="360"/>
      </w:pPr>
      <w:rPr>
        <w:rFonts w:ascii="Symbol" w:hAnsi="Symbol" w:hint="default"/>
      </w:rPr>
    </w:lvl>
    <w:lvl w:ilvl="1">
      <w:start w:val="1"/>
      <w:numFmt w:val="lowerRoman"/>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892202"/>
    <w:multiLevelType w:val="hybridMultilevel"/>
    <w:tmpl w:val="D37002A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BC53D4"/>
    <w:multiLevelType w:val="hybridMultilevel"/>
    <w:tmpl w:val="775EC630"/>
    <w:lvl w:ilvl="0" w:tplc="AEEADBC6">
      <w:start w:val="1"/>
      <w:numFmt w:val="decimal"/>
      <w:lvlText w:val="%1."/>
      <w:lvlJc w:val="left"/>
      <w:pPr>
        <w:ind w:left="502" w:hanging="360"/>
      </w:pPr>
    </w:lvl>
    <w:lvl w:ilvl="1" w:tplc="BB96F02C">
      <w:start w:val="1"/>
      <w:numFmt w:val="lowerLetter"/>
      <w:lvlText w:val="%2."/>
      <w:lvlJc w:val="left"/>
      <w:pPr>
        <w:ind w:left="1222" w:hanging="360"/>
      </w:pPr>
    </w:lvl>
    <w:lvl w:ilvl="2" w:tplc="5E2AF6D0">
      <w:start w:val="1"/>
      <w:numFmt w:val="lowerRoman"/>
      <w:lvlText w:val="%3."/>
      <w:lvlJc w:val="right"/>
      <w:pPr>
        <w:ind w:left="1942" w:hanging="180"/>
      </w:pPr>
    </w:lvl>
    <w:lvl w:ilvl="3" w:tplc="3F109BA6">
      <w:start w:val="1"/>
      <w:numFmt w:val="decimal"/>
      <w:lvlText w:val="%4."/>
      <w:lvlJc w:val="left"/>
      <w:pPr>
        <w:ind w:left="2662" w:hanging="360"/>
      </w:pPr>
    </w:lvl>
    <w:lvl w:ilvl="4" w:tplc="A1BA0934">
      <w:start w:val="1"/>
      <w:numFmt w:val="lowerLetter"/>
      <w:lvlText w:val="%5."/>
      <w:lvlJc w:val="left"/>
      <w:pPr>
        <w:ind w:left="3382" w:hanging="360"/>
      </w:pPr>
    </w:lvl>
    <w:lvl w:ilvl="5" w:tplc="78BE8DB8">
      <w:start w:val="1"/>
      <w:numFmt w:val="lowerRoman"/>
      <w:lvlText w:val="%6."/>
      <w:lvlJc w:val="right"/>
      <w:pPr>
        <w:ind w:left="4102" w:hanging="180"/>
      </w:pPr>
    </w:lvl>
    <w:lvl w:ilvl="6" w:tplc="41F01D1C">
      <w:start w:val="1"/>
      <w:numFmt w:val="decimal"/>
      <w:lvlText w:val="%7."/>
      <w:lvlJc w:val="left"/>
      <w:pPr>
        <w:ind w:left="4822" w:hanging="360"/>
      </w:pPr>
    </w:lvl>
    <w:lvl w:ilvl="7" w:tplc="2A962FC0">
      <w:start w:val="1"/>
      <w:numFmt w:val="lowerLetter"/>
      <w:lvlText w:val="%8."/>
      <w:lvlJc w:val="left"/>
      <w:pPr>
        <w:ind w:left="5542" w:hanging="360"/>
      </w:pPr>
    </w:lvl>
    <w:lvl w:ilvl="8" w:tplc="455A00D2">
      <w:start w:val="1"/>
      <w:numFmt w:val="lowerRoman"/>
      <w:lvlText w:val="%9."/>
      <w:lvlJc w:val="right"/>
      <w:pPr>
        <w:ind w:left="6262" w:hanging="180"/>
      </w:pPr>
    </w:lvl>
  </w:abstractNum>
  <w:abstractNum w:abstractNumId="6" w15:restartNumberingAfterBreak="0">
    <w:nsid w:val="13FB37C7"/>
    <w:multiLevelType w:val="hybridMultilevel"/>
    <w:tmpl w:val="06FA0808"/>
    <w:lvl w:ilvl="0" w:tplc="7032CED6">
      <w:start w:val="1"/>
      <w:numFmt w:val="decimal"/>
      <w:lvlText w:val="%1."/>
      <w:lvlJc w:val="left"/>
      <w:pPr>
        <w:ind w:left="720" w:hanging="360"/>
      </w:pPr>
    </w:lvl>
    <w:lvl w:ilvl="1" w:tplc="9426E74E">
      <w:start w:val="1"/>
      <w:numFmt w:val="lowerLetter"/>
      <w:lvlText w:val="%2."/>
      <w:lvlJc w:val="left"/>
      <w:pPr>
        <w:ind w:left="1440" w:hanging="360"/>
      </w:pPr>
    </w:lvl>
    <w:lvl w:ilvl="2" w:tplc="59F44F7C">
      <w:start w:val="1"/>
      <w:numFmt w:val="lowerRoman"/>
      <w:lvlText w:val="%3."/>
      <w:lvlJc w:val="right"/>
      <w:pPr>
        <w:ind w:left="2160" w:hanging="180"/>
      </w:pPr>
    </w:lvl>
    <w:lvl w:ilvl="3" w:tplc="9D5EACFA">
      <w:start w:val="1"/>
      <w:numFmt w:val="decimal"/>
      <w:lvlText w:val="%4."/>
      <w:lvlJc w:val="left"/>
      <w:pPr>
        <w:ind w:left="2880" w:hanging="360"/>
      </w:pPr>
    </w:lvl>
    <w:lvl w:ilvl="4" w:tplc="5DA26A70">
      <w:start w:val="1"/>
      <w:numFmt w:val="lowerLetter"/>
      <w:lvlText w:val="%5."/>
      <w:lvlJc w:val="left"/>
      <w:pPr>
        <w:ind w:left="3600" w:hanging="360"/>
      </w:pPr>
    </w:lvl>
    <w:lvl w:ilvl="5" w:tplc="EA64C184">
      <w:start w:val="1"/>
      <w:numFmt w:val="lowerRoman"/>
      <w:lvlText w:val="%6."/>
      <w:lvlJc w:val="right"/>
      <w:pPr>
        <w:ind w:left="4320" w:hanging="180"/>
      </w:pPr>
    </w:lvl>
    <w:lvl w:ilvl="6" w:tplc="574C9540">
      <w:start w:val="1"/>
      <w:numFmt w:val="decimal"/>
      <w:lvlText w:val="%7."/>
      <w:lvlJc w:val="left"/>
      <w:pPr>
        <w:ind w:left="5040" w:hanging="360"/>
      </w:pPr>
    </w:lvl>
    <w:lvl w:ilvl="7" w:tplc="64963A98">
      <w:start w:val="1"/>
      <w:numFmt w:val="lowerLetter"/>
      <w:lvlText w:val="%8."/>
      <w:lvlJc w:val="left"/>
      <w:pPr>
        <w:ind w:left="5760" w:hanging="360"/>
      </w:pPr>
    </w:lvl>
    <w:lvl w:ilvl="8" w:tplc="6A3871DC">
      <w:start w:val="1"/>
      <w:numFmt w:val="lowerRoman"/>
      <w:lvlText w:val="%9."/>
      <w:lvlJc w:val="right"/>
      <w:pPr>
        <w:ind w:left="6480" w:hanging="180"/>
      </w:pPr>
    </w:lvl>
  </w:abstractNum>
  <w:abstractNum w:abstractNumId="7" w15:restartNumberingAfterBreak="0">
    <w:nsid w:val="18D83B1F"/>
    <w:multiLevelType w:val="multilevel"/>
    <w:tmpl w:val="C53E7F8C"/>
    <w:lvl w:ilvl="0">
      <w:start w:val="1"/>
      <w:numFmt w:val="bullet"/>
      <w:lvlText w:val=""/>
      <w:lvlJc w:val="left"/>
      <w:pPr>
        <w:tabs>
          <w:tab w:val="num" w:pos="10440"/>
        </w:tabs>
        <w:ind w:left="10440" w:hanging="360"/>
      </w:pPr>
      <w:rPr>
        <w:rFonts w:ascii="Symbol" w:hAnsi="Symbol" w:hint="default"/>
        <w:sz w:val="20"/>
      </w:rPr>
    </w:lvl>
    <w:lvl w:ilvl="1" w:tentative="1">
      <w:start w:val="1"/>
      <w:numFmt w:val="bullet"/>
      <w:lvlText w:val="o"/>
      <w:lvlJc w:val="left"/>
      <w:pPr>
        <w:tabs>
          <w:tab w:val="num" w:pos="11160"/>
        </w:tabs>
        <w:ind w:left="11160" w:hanging="360"/>
      </w:pPr>
      <w:rPr>
        <w:rFonts w:ascii="Courier New" w:hAnsi="Courier New" w:hint="default"/>
        <w:sz w:val="20"/>
      </w:rPr>
    </w:lvl>
    <w:lvl w:ilvl="2" w:tentative="1">
      <w:start w:val="1"/>
      <w:numFmt w:val="bullet"/>
      <w:lvlText w:val=""/>
      <w:lvlJc w:val="left"/>
      <w:pPr>
        <w:tabs>
          <w:tab w:val="num" w:pos="11880"/>
        </w:tabs>
        <w:ind w:left="11880" w:hanging="360"/>
      </w:pPr>
      <w:rPr>
        <w:rFonts w:ascii="Wingdings" w:hAnsi="Wingdings" w:hint="default"/>
        <w:sz w:val="20"/>
      </w:rPr>
    </w:lvl>
    <w:lvl w:ilvl="3" w:tentative="1">
      <w:start w:val="1"/>
      <w:numFmt w:val="bullet"/>
      <w:lvlText w:val=""/>
      <w:lvlJc w:val="left"/>
      <w:pPr>
        <w:tabs>
          <w:tab w:val="num" w:pos="12600"/>
        </w:tabs>
        <w:ind w:left="12600" w:hanging="360"/>
      </w:pPr>
      <w:rPr>
        <w:rFonts w:ascii="Wingdings" w:hAnsi="Wingdings" w:hint="default"/>
        <w:sz w:val="20"/>
      </w:rPr>
    </w:lvl>
    <w:lvl w:ilvl="4" w:tentative="1">
      <w:start w:val="1"/>
      <w:numFmt w:val="bullet"/>
      <w:lvlText w:val=""/>
      <w:lvlJc w:val="left"/>
      <w:pPr>
        <w:tabs>
          <w:tab w:val="num" w:pos="13320"/>
        </w:tabs>
        <w:ind w:left="13320" w:hanging="360"/>
      </w:pPr>
      <w:rPr>
        <w:rFonts w:ascii="Wingdings" w:hAnsi="Wingdings" w:hint="default"/>
        <w:sz w:val="20"/>
      </w:rPr>
    </w:lvl>
    <w:lvl w:ilvl="5" w:tentative="1">
      <w:start w:val="1"/>
      <w:numFmt w:val="bullet"/>
      <w:lvlText w:val=""/>
      <w:lvlJc w:val="left"/>
      <w:pPr>
        <w:tabs>
          <w:tab w:val="num" w:pos="14040"/>
        </w:tabs>
        <w:ind w:left="14040" w:hanging="360"/>
      </w:pPr>
      <w:rPr>
        <w:rFonts w:ascii="Wingdings" w:hAnsi="Wingdings" w:hint="default"/>
        <w:sz w:val="20"/>
      </w:rPr>
    </w:lvl>
    <w:lvl w:ilvl="6" w:tentative="1">
      <w:start w:val="1"/>
      <w:numFmt w:val="bullet"/>
      <w:lvlText w:val=""/>
      <w:lvlJc w:val="left"/>
      <w:pPr>
        <w:tabs>
          <w:tab w:val="num" w:pos="14760"/>
        </w:tabs>
        <w:ind w:left="14760" w:hanging="360"/>
      </w:pPr>
      <w:rPr>
        <w:rFonts w:ascii="Wingdings" w:hAnsi="Wingdings" w:hint="default"/>
        <w:sz w:val="20"/>
      </w:rPr>
    </w:lvl>
    <w:lvl w:ilvl="7" w:tentative="1">
      <w:start w:val="1"/>
      <w:numFmt w:val="bullet"/>
      <w:lvlText w:val=""/>
      <w:lvlJc w:val="left"/>
      <w:pPr>
        <w:tabs>
          <w:tab w:val="num" w:pos="15480"/>
        </w:tabs>
        <w:ind w:left="15480" w:hanging="360"/>
      </w:pPr>
      <w:rPr>
        <w:rFonts w:ascii="Wingdings" w:hAnsi="Wingdings" w:hint="default"/>
        <w:sz w:val="20"/>
      </w:rPr>
    </w:lvl>
    <w:lvl w:ilvl="8" w:tentative="1">
      <w:start w:val="1"/>
      <w:numFmt w:val="bullet"/>
      <w:lvlText w:val=""/>
      <w:lvlJc w:val="left"/>
      <w:pPr>
        <w:tabs>
          <w:tab w:val="num" w:pos="16200"/>
        </w:tabs>
        <w:ind w:left="16200" w:hanging="360"/>
      </w:pPr>
      <w:rPr>
        <w:rFonts w:ascii="Wingdings" w:hAnsi="Wingdings" w:hint="default"/>
        <w:sz w:val="20"/>
      </w:rPr>
    </w:lvl>
  </w:abstractNum>
  <w:abstractNum w:abstractNumId="8" w15:restartNumberingAfterBreak="0">
    <w:nsid w:val="192C4FB3"/>
    <w:multiLevelType w:val="hybridMultilevel"/>
    <w:tmpl w:val="9F1EB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6E6694"/>
    <w:multiLevelType w:val="hybridMultilevel"/>
    <w:tmpl w:val="0F9C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581778"/>
    <w:multiLevelType w:val="hybridMultilevel"/>
    <w:tmpl w:val="61209818"/>
    <w:lvl w:ilvl="0" w:tplc="7032CED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65D2C"/>
    <w:multiLevelType w:val="hybridMultilevel"/>
    <w:tmpl w:val="3FD08EAA"/>
    <w:lvl w:ilvl="0" w:tplc="AFF61780">
      <w:start w:val="1"/>
      <w:numFmt w:val="decimal"/>
      <w:lvlText w:val="%1."/>
      <w:lvlJc w:val="left"/>
      <w:pPr>
        <w:ind w:left="502" w:hanging="360"/>
      </w:pPr>
    </w:lvl>
    <w:lvl w:ilvl="1" w:tplc="D8BE71B0">
      <w:start w:val="1"/>
      <w:numFmt w:val="lowerLetter"/>
      <w:lvlText w:val="%2."/>
      <w:lvlJc w:val="left"/>
      <w:pPr>
        <w:ind w:left="1222" w:hanging="360"/>
      </w:pPr>
    </w:lvl>
    <w:lvl w:ilvl="2" w:tplc="10F02C92">
      <w:start w:val="1"/>
      <w:numFmt w:val="lowerRoman"/>
      <w:lvlText w:val="%3."/>
      <w:lvlJc w:val="right"/>
      <w:pPr>
        <w:ind w:left="1942" w:hanging="180"/>
      </w:pPr>
    </w:lvl>
    <w:lvl w:ilvl="3" w:tplc="376E08F4">
      <w:start w:val="1"/>
      <w:numFmt w:val="decimal"/>
      <w:lvlText w:val="%4."/>
      <w:lvlJc w:val="left"/>
      <w:pPr>
        <w:ind w:left="2662" w:hanging="360"/>
      </w:pPr>
    </w:lvl>
    <w:lvl w:ilvl="4" w:tplc="D8BC44BE">
      <w:start w:val="1"/>
      <w:numFmt w:val="lowerLetter"/>
      <w:lvlText w:val="%5."/>
      <w:lvlJc w:val="left"/>
      <w:pPr>
        <w:ind w:left="3382" w:hanging="360"/>
      </w:pPr>
    </w:lvl>
    <w:lvl w:ilvl="5" w:tplc="AF82A5E6">
      <w:start w:val="1"/>
      <w:numFmt w:val="lowerRoman"/>
      <w:lvlText w:val="%6."/>
      <w:lvlJc w:val="right"/>
      <w:pPr>
        <w:ind w:left="4102" w:hanging="180"/>
      </w:pPr>
    </w:lvl>
    <w:lvl w:ilvl="6" w:tplc="E0C20BF2">
      <w:start w:val="1"/>
      <w:numFmt w:val="decimal"/>
      <w:lvlText w:val="%7."/>
      <w:lvlJc w:val="left"/>
      <w:pPr>
        <w:ind w:left="4822" w:hanging="360"/>
      </w:pPr>
    </w:lvl>
    <w:lvl w:ilvl="7" w:tplc="C4487640">
      <w:start w:val="1"/>
      <w:numFmt w:val="lowerLetter"/>
      <w:lvlText w:val="%8."/>
      <w:lvlJc w:val="left"/>
      <w:pPr>
        <w:ind w:left="5542" w:hanging="360"/>
      </w:pPr>
    </w:lvl>
    <w:lvl w:ilvl="8" w:tplc="EF949480">
      <w:start w:val="1"/>
      <w:numFmt w:val="lowerRoman"/>
      <w:lvlText w:val="%9."/>
      <w:lvlJc w:val="right"/>
      <w:pPr>
        <w:ind w:left="6262" w:hanging="180"/>
      </w:pPr>
    </w:lvl>
  </w:abstractNum>
  <w:abstractNum w:abstractNumId="12" w15:restartNumberingAfterBreak="0">
    <w:nsid w:val="32812A78"/>
    <w:multiLevelType w:val="hybridMultilevel"/>
    <w:tmpl w:val="06FA0808"/>
    <w:lvl w:ilvl="0" w:tplc="7032CED6">
      <w:start w:val="1"/>
      <w:numFmt w:val="decimal"/>
      <w:lvlText w:val="%1."/>
      <w:lvlJc w:val="left"/>
      <w:pPr>
        <w:ind w:left="720" w:hanging="360"/>
      </w:pPr>
    </w:lvl>
    <w:lvl w:ilvl="1" w:tplc="9426E74E">
      <w:start w:val="1"/>
      <w:numFmt w:val="lowerLetter"/>
      <w:lvlText w:val="%2."/>
      <w:lvlJc w:val="left"/>
      <w:pPr>
        <w:ind w:left="1440" w:hanging="360"/>
      </w:pPr>
    </w:lvl>
    <w:lvl w:ilvl="2" w:tplc="59F44F7C">
      <w:start w:val="1"/>
      <w:numFmt w:val="lowerRoman"/>
      <w:lvlText w:val="%3."/>
      <w:lvlJc w:val="right"/>
      <w:pPr>
        <w:ind w:left="2160" w:hanging="180"/>
      </w:pPr>
    </w:lvl>
    <w:lvl w:ilvl="3" w:tplc="9D5EACFA">
      <w:start w:val="1"/>
      <w:numFmt w:val="decimal"/>
      <w:lvlText w:val="%4."/>
      <w:lvlJc w:val="left"/>
      <w:pPr>
        <w:ind w:left="2880" w:hanging="360"/>
      </w:pPr>
    </w:lvl>
    <w:lvl w:ilvl="4" w:tplc="5DA26A70">
      <w:start w:val="1"/>
      <w:numFmt w:val="lowerLetter"/>
      <w:lvlText w:val="%5."/>
      <w:lvlJc w:val="left"/>
      <w:pPr>
        <w:ind w:left="3600" w:hanging="360"/>
      </w:pPr>
    </w:lvl>
    <w:lvl w:ilvl="5" w:tplc="EA64C184">
      <w:start w:val="1"/>
      <w:numFmt w:val="lowerRoman"/>
      <w:lvlText w:val="%6."/>
      <w:lvlJc w:val="right"/>
      <w:pPr>
        <w:ind w:left="4320" w:hanging="180"/>
      </w:pPr>
    </w:lvl>
    <w:lvl w:ilvl="6" w:tplc="574C9540">
      <w:start w:val="1"/>
      <w:numFmt w:val="decimal"/>
      <w:lvlText w:val="%7."/>
      <w:lvlJc w:val="left"/>
      <w:pPr>
        <w:ind w:left="5040" w:hanging="360"/>
      </w:pPr>
    </w:lvl>
    <w:lvl w:ilvl="7" w:tplc="64963A98">
      <w:start w:val="1"/>
      <w:numFmt w:val="lowerLetter"/>
      <w:lvlText w:val="%8."/>
      <w:lvlJc w:val="left"/>
      <w:pPr>
        <w:ind w:left="5760" w:hanging="360"/>
      </w:pPr>
    </w:lvl>
    <w:lvl w:ilvl="8" w:tplc="6A3871DC">
      <w:start w:val="1"/>
      <w:numFmt w:val="lowerRoman"/>
      <w:lvlText w:val="%9."/>
      <w:lvlJc w:val="right"/>
      <w:pPr>
        <w:ind w:left="6480" w:hanging="180"/>
      </w:pPr>
    </w:lvl>
  </w:abstractNum>
  <w:abstractNum w:abstractNumId="13" w15:restartNumberingAfterBreak="0">
    <w:nsid w:val="385A1879"/>
    <w:multiLevelType w:val="hybridMultilevel"/>
    <w:tmpl w:val="3AAAF1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12688"/>
    <w:multiLevelType w:val="hybridMultilevel"/>
    <w:tmpl w:val="E22EAEF4"/>
    <w:lvl w:ilvl="0" w:tplc="4B1CCEB6">
      <w:start w:val="1"/>
      <w:numFmt w:val="decimal"/>
      <w:lvlText w:val="%1."/>
      <w:lvlJc w:val="left"/>
      <w:pPr>
        <w:ind w:left="502" w:hanging="360"/>
      </w:pPr>
    </w:lvl>
    <w:lvl w:ilvl="1" w:tplc="B3624AE2">
      <w:start w:val="1"/>
      <w:numFmt w:val="lowerLetter"/>
      <w:lvlText w:val="%2."/>
      <w:lvlJc w:val="left"/>
      <w:pPr>
        <w:ind w:left="1222" w:hanging="360"/>
      </w:pPr>
    </w:lvl>
    <w:lvl w:ilvl="2" w:tplc="4606A2BA">
      <w:start w:val="1"/>
      <w:numFmt w:val="lowerRoman"/>
      <w:lvlText w:val="%3."/>
      <w:lvlJc w:val="right"/>
      <w:pPr>
        <w:ind w:left="1942" w:hanging="180"/>
      </w:pPr>
    </w:lvl>
    <w:lvl w:ilvl="3" w:tplc="41A86058">
      <w:start w:val="1"/>
      <w:numFmt w:val="decimal"/>
      <w:lvlText w:val="%4."/>
      <w:lvlJc w:val="left"/>
      <w:pPr>
        <w:ind w:left="2662" w:hanging="360"/>
      </w:pPr>
    </w:lvl>
    <w:lvl w:ilvl="4" w:tplc="9ABC9D58">
      <w:start w:val="1"/>
      <w:numFmt w:val="lowerLetter"/>
      <w:lvlText w:val="%5."/>
      <w:lvlJc w:val="left"/>
      <w:pPr>
        <w:ind w:left="3382" w:hanging="360"/>
      </w:pPr>
    </w:lvl>
    <w:lvl w:ilvl="5" w:tplc="D772C810">
      <w:start w:val="1"/>
      <w:numFmt w:val="lowerRoman"/>
      <w:lvlText w:val="%6."/>
      <w:lvlJc w:val="right"/>
      <w:pPr>
        <w:ind w:left="4102" w:hanging="180"/>
      </w:pPr>
    </w:lvl>
    <w:lvl w:ilvl="6" w:tplc="86BC46A6">
      <w:start w:val="1"/>
      <w:numFmt w:val="decimal"/>
      <w:lvlText w:val="%7."/>
      <w:lvlJc w:val="left"/>
      <w:pPr>
        <w:ind w:left="4822" w:hanging="360"/>
      </w:pPr>
    </w:lvl>
    <w:lvl w:ilvl="7" w:tplc="A7448FC8">
      <w:start w:val="1"/>
      <w:numFmt w:val="lowerLetter"/>
      <w:lvlText w:val="%8."/>
      <w:lvlJc w:val="left"/>
      <w:pPr>
        <w:ind w:left="5542" w:hanging="360"/>
      </w:pPr>
    </w:lvl>
    <w:lvl w:ilvl="8" w:tplc="52B096B4">
      <w:start w:val="1"/>
      <w:numFmt w:val="lowerRoman"/>
      <w:lvlText w:val="%9."/>
      <w:lvlJc w:val="right"/>
      <w:pPr>
        <w:ind w:left="6262" w:hanging="180"/>
      </w:pPr>
    </w:lvl>
  </w:abstractNum>
  <w:abstractNum w:abstractNumId="15" w15:restartNumberingAfterBreak="0">
    <w:nsid w:val="4B9E3614"/>
    <w:multiLevelType w:val="hybridMultilevel"/>
    <w:tmpl w:val="95F44CCA"/>
    <w:lvl w:ilvl="0" w:tplc="0809000F">
      <w:start w:val="1"/>
      <w:numFmt w:val="decimal"/>
      <w:lvlText w:val="%1."/>
      <w:lvlJc w:val="left"/>
      <w:pPr>
        <w:ind w:left="927" w:hanging="360"/>
      </w:pPr>
    </w:lvl>
    <w:lvl w:ilvl="1" w:tplc="085C162A">
      <w:start w:val="1"/>
      <w:numFmt w:val="lowerLetter"/>
      <w:lvlText w:val="%2."/>
      <w:lvlJc w:val="left"/>
      <w:pPr>
        <w:ind w:left="1647" w:hanging="360"/>
      </w:pPr>
    </w:lvl>
    <w:lvl w:ilvl="2" w:tplc="9F0285CA">
      <w:start w:val="1"/>
      <w:numFmt w:val="lowerRoman"/>
      <w:lvlText w:val="%3."/>
      <w:lvlJc w:val="right"/>
      <w:pPr>
        <w:ind w:left="2367" w:hanging="180"/>
      </w:pPr>
    </w:lvl>
    <w:lvl w:ilvl="3" w:tplc="39303500">
      <w:start w:val="1"/>
      <w:numFmt w:val="decimal"/>
      <w:lvlText w:val="%4."/>
      <w:lvlJc w:val="left"/>
      <w:pPr>
        <w:ind w:left="3087" w:hanging="360"/>
      </w:pPr>
    </w:lvl>
    <w:lvl w:ilvl="4" w:tplc="A2589A1C">
      <w:start w:val="1"/>
      <w:numFmt w:val="lowerLetter"/>
      <w:lvlText w:val="%5."/>
      <w:lvlJc w:val="left"/>
      <w:pPr>
        <w:ind w:left="3807" w:hanging="360"/>
      </w:pPr>
    </w:lvl>
    <w:lvl w:ilvl="5" w:tplc="A36615CE">
      <w:start w:val="1"/>
      <w:numFmt w:val="lowerRoman"/>
      <w:lvlText w:val="%6."/>
      <w:lvlJc w:val="right"/>
      <w:pPr>
        <w:ind w:left="4527" w:hanging="180"/>
      </w:pPr>
    </w:lvl>
    <w:lvl w:ilvl="6" w:tplc="E76A6496">
      <w:start w:val="1"/>
      <w:numFmt w:val="decimal"/>
      <w:lvlText w:val="%7."/>
      <w:lvlJc w:val="left"/>
      <w:pPr>
        <w:ind w:left="5247" w:hanging="360"/>
      </w:pPr>
    </w:lvl>
    <w:lvl w:ilvl="7" w:tplc="4DB22D5A">
      <w:start w:val="1"/>
      <w:numFmt w:val="lowerLetter"/>
      <w:lvlText w:val="%8."/>
      <w:lvlJc w:val="left"/>
      <w:pPr>
        <w:ind w:left="5967" w:hanging="360"/>
      </w:pPr>
    </w:lvl>
    <w:lvl w:ilvl="8" w:tplc="3CD88BF2">
      <w:start w:val="1"/>
      <w:numFmt w:val="lowerRoman"/>
      <w:lvlText w:val="%9."/>
      <w:lvlJc w:val="right"/>
      <w:pPr>
        <w:ind w:left="6687" w:hanging="180"/>
      </w:pPr>
    </w:lvl>
  </w:abstractNum>
  <w:abstractNum w:abstractNumId="16" w15:restartNumberingAfterBreak="0">
    <w:nsid w:val="50AE58DB"/>
    <w:multiLevelType w:val="hybridMultilevel"/>
    <w:tmpl w:val="4502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AA220D"/>
    <w:multiLevelType w:val="hybridMultilevel"/>
    <w:tmpl w:val="363E3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55A88"/>
    <w:multiLevelType w:val="hybridMultilevel"/>
    <w:tmpl w:val="DE7E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B5A55"/>
    <w:multiLevelType w:val="hybridMultilevel"/>
    <w:tmpl w:val="8BCCBB82"/>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0" w15:restartNumberingAfterBreak="0">
    <w:nsid w:val="60810A94"/>
    <w:multiLevelType w:val="multilevel"/>
    <w:tmpl w:val="E0CC9A7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1" w15:restartNumberingAfterBreak="0">
    <w:nsid w:val="63D76F80"/>
    <w:multiLevelType w:val="multilevel"/>
    <w:tmpl w:val="AD4AA16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086814"/>
    <w:multiLevelType w:val="hybridMultilevel"/>
    <w:tmpl w:val="4330F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E599C"/>
    <w:multiLevelType w:val="multilevel"/>
    <w:tmpl w:val="F02C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C03D4E"/>
    <w:multiLevelType w:val="hybridMultilevel"/>
    <w:tmpl w:val="55DE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755E3"/>
    <w:multiLevelType w:val="hybridMultilevel"/>
    <w:tmpl w:val="5178015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7D421592"/>
    <w:multiLevelType w:val="hybridMultilevel"/>
    <w:tmpl w:val="47B2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4"/>
  </w:num>
  <w:num w:numId="5">
    <w:abstractNumId w:val="13"/>
  </w:num>
  <w:num w:numId="6">
    <w:abstractNumId w:val="18"/>
  </w:num>
  <w:num w:numId="7">
    <w:abstractNumId w:val="1"/>
  </w:num>
  <w:num w:numId="8">
    <w:abstractNumId w:val="24"/>
  </w:num>
  <w:num w:numId="9">
    <w:abstractNumId w:val="17"/>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6"/>
  </w:num>
  <w:num w:numId="13">
    <w:abstractNumId w:val="2"/>
  </w:num>
  <w:num w:numId="14">
    <w:abstractNumId w:val="4"/>
  </w:num>
  <w:num w:numId="15">
    <w:abstractNumId w:val="12"/>
  </w:num>
  <w:num w:numId="16">
    <w:abstractNumId w:val="0"/>
  </w:num>
  <w:num w:numId="17">
    <w:abstractNumId w:val="10"/>
  </w:num>
  <w:num w:numId="18">
    <w:abstractNumId w:val="21"/>
  </w:num>
  <w:num w:numId="19">
    <w:abstractNumId w:val="15"/>
  </w:num>
  <w:num w:numId="20">
    <w:abstractNumId w:val="3"/>
  </w:num>
  <w:num w:numId="21">
    <w:abstractNumId w:val="23"/>
  </w:num>
  <w:num w:numId="22">
    <w:abstractNumId w:val="20"/>
  </w:num>
  <w:num w:numId="23">
    <w:abstractNumId w:val="7"/>
  </w:num>
  <w:num w:numId="24">
    <w:abstractNumId w:val="26"/>
  </w:num>
  <w:num w:numId="25">
    <w:abstractNumId w:val="9"/>
  </w:num>
  <w:num w:numId="26">
    <w:abstractNumId w:val="25"/>
  </w:num>
  <w:num w:numId="2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92"/>
    <w:rsid w:val="000006A3"/>
    <w:rsid w:val="00000D08"/>
    <w:rsid w:val="00002038"/>
    <w:rsid w:val="0000266D"/>
    <w:rsid w:val="0000295C"/>
    <w:rsid w:val="000043CF"/>
    <w:rsid w:val="00006A47"/>
    <w:rsid w:val="00011FE4"/>
    <w:rsid w:val="000134A0"/>
    <w:rsid w:val="00015BE8"/>
    <w:rsid w:val="000164A2"/>
    <w:rsid w:val="0001727D"/>
    <w:rsid w:val="00017645"/>
    <w:rsid w:val="00017BFA"/>
    <w:rsid w:val="00017C3F"/>
    <w:rsid w:val="00022104"/>
    <w:rsid w:val="00022A28"/>
    <w:rsid w:val="00022CEE"/>
    <w:rsid w:val="00023C04"/>
    <w:rsid w:val="00024CFD"/>
    <w:rsid w:val="00027C18"/>
    <w:rsid w:val="00033CC8"/>
    <w:rsid w:val="000340B2"/>
    <w:rsid w:val="00034EE6"/>
    <w:rsid w:val="000354AA"/>
    <w:rsid w:val="0003762B"/>
    <w:rsid w:val="0003775E"/>
    <w:rsid w:val="00037C13"/>
    <w:rsid w:val="00045A38"/>
    <w:rsid w:val="000513AE"/>
    <w:rsid w:val="00051D67"/>
    <w:rsid w:val="0005239A"/>
    <w:rsid w:val="00053C4F"/>
    <w:rsid w:val="00054952"/>
    <w:rsid w:val="000550F5"/>
    <w:rsid w:val="0006080F"/>
    <w:rsid w:val="00061875"/>
    <w:rsid w:val="00061A1F"/>
    <w:rsid w:val="00061BF9"/>
    <w:rsid w:val="00065463"/>
    <w:rsid w:val="00065649"/>
    <w:rsid w:val="00066393"/>
    <w:rsid w:val="00070113"/>
    <w:rsid w:val="00070C3F"/>
    <w:rsid w:val="00071D2D"/>
    <w:rsid w:val="00072029"/>
    <w:rsid w:val="000742BC"/>
    <w:rsid w:val="00074796"/>
    <w:rsid w:val="00075020"/>
    <w:rsid w:val="000756E6"/>
    <w:rsid w:val="0008040F"/>
    <w:rsid w:val="00080734"/>
    <w:rsid w:val="00080D3A"/>
    <w:rsid w:val="00082F06"/>
    <w:rsid w:val="000830B8"/>
    <w:rsid w:val="000845FB"/>
    <w:rsid w:val="0008486C"/>
    <w:rsid w:val="0008499F"/>
    <w:rsid w:val="000913EE"/>
    <w:rsid w:val="000915B5"/>
    <w:rsid w:val="00091EC0"/>
    <w:rsid w:val="00095D0E"/>
    <w:rsid w:val="00096D93"/>
    <w:rsid w:val="000978E0"/>
    <w:rsid w:val="000A045E"/>
    <w:rsid w:val="000A470A"/>
    <w:rsid w:val="000A5D2F"/>
    <w:rsid w:val="000A6D0E"/>
    <w:rsid w:val="000A78A9"/>
    <w:rsid w:val="000A7CC8"/>
    <w:rsid w:val="000B1465"/>
    <w:rsid w:val="000B18B7"/>
    <w:rsid w:val="000B2223"/>
    <w:rsid w:val="000B254C"/>
    <w:rsid w:val="000B2B47"/>
    <w:rsid w:val="000B4AA0"/>
    <w:rsid w:val="000B546F"/>
    <w:rsid w:val="000B6193"/>
    <w:rsid w:val="000C07BD"/>
    <w:rsid w:val="000C14C3"/>
    <w:rsid w:val="000C37B1"/>
    <w:rsid w:val="000C7375"/>
    <w:rsid w:val="000C7A98"/>
    <w:rsid w:val="000D0A14"/>
    <w:rsid w:val="000D0DD4"/>
    <w:rsid w:val="000D0DF4"/>
    <w:rsid w:val="000D132D"/>
    <w:rsid w:val="000D1953"/>
    <w:rsid w:val="000D1ECC"/>
    <w:rsid w:val="000D46CB"/>
    <w:rsid w:val="000D48CF"/>
    <w:rsid w:val="000D5671"/>
    <w:rsid w:val="000D5F8C"/>
    <w:rsid w:val="000D6348"/>
    <w:rsid w:val="000D727F"/>
    <w:rsid w:val="000E0D90"/>
    <w:rsid w:val="000E147A"/>
    <w:rsid w:val="000E22FA"/>
    <w:rsid w:val="000E26FB"/>
    <w:rsid w:val="000E4F59"/>
    <w:rsid w:val="000E538A"/>
    <w:rsid w:val="000E72A8"/>
    <w:rsid w:val="000E7F65"/>
    <w:rsid w:val="000F0296"/>
    <w:rsid w:val="000F0D0F"/>
    <w:rsid w:val="000F4006"/>
    <w:rsid w:val="000F53B4"/>
    <w:rsid w:val="000F5E3E"/>
    <w:rsid w:val="000F6531"/>
    <w:rsid w:val="000F719F"/>
    <w:rsid w:val="000F79FF"/>
    <w:rsid w:val="00101FC7"/>
    <w:rsid w:val="00103A24"/>
    <w:rsid w:val="0010470B"/>
    <w:rsid w:val="00104913"/>
    <w:rsid w:val="0010550B"/>
    <w:rsid w:val="00105675"/>
    <w:rsid w:val="00105F4B"/>
    <w:rsid w:val="0011041F"/>
    <w:rsid w:val="0011189B"/>
    <w:rsid w:val="001136E4"/>
    <w:rsid w:val="001137C8"/>
    <w:rsid w:val="00113801"/>
    <w:rsid w:val="0011396A"/>
    <w:rsid w:val="00113A1D"/>
    <w:rsid w:val="00113BD7"/>
    <w:rsid w:val="0011497B"/>
    <w:rsid w:val="00114D0B"/>
    <w:rsid w:val="001160F1"/>
    <w:rsid w:val="00117551"/>
    <w:rsid w:val="001223B2"/>
    <w:rsid w:val="00125DFC"/>
    <w:rsid w:val="001260DD"/>
    <w:rsid w:val="00130CA0"/>
    <w:rsid w:val="0013138B"/>
    <w:rsid w:val="001315A9"/>
    <w:rsid w:val="00131F52"/>
    <w:rsid w:val="00132875"/>
    <w:rsid w:val="001340EF"/>
    <w:rsid w:val="00135707"/>
    <w:rsid w:val="0013582B"/>
    <w:rsid w:val="001370D0"/>
    <w:rsid w:val="001413BE"/>
    <w:rsid w:val="00143B0A"/>
    <w:rsid w:val="00143E43"/>
    <w:rsid w:val="00143E98"/>
    <w:rsid w:val="0014642C"/>
    <w:rsid w:val="0014699B"/>
    <w:rsid w:val="00147D3B"/>
    <w:rsid w:val="00150188"/>
    <w:rsid w:val="001506C2"/>
    <w:rsid w:val="00150AF4"/>
    <w:rsid w:val="00150E58"/>
    <w:rsid w:val="00151B57"/>
    <w:rsid w:val="00151E6F"/>
    <w:rsid w:val="00152416"/>
    <w:rsid w:val="00154C08"/>
    <w:rsid w:val="00154F97"/>
    <w:rsid w:val="00154FB3"/>
    <w:rsid w:val="00156A6B"/>
    <w:rsid w:val="00157A02"/>
    <w:rsid w:val="00157D57"/>
    <w:rsid w:val="001604B3"/>
    <w:rsid w:val="00161EBE"/>
    <w:rsid w:val="001622AE"/>
    <w:rsid w:val="001671A3"/>
    <w:rsid w:val="001707F4"/>
    <w:rsid w:val="001713D6"/>
    <w:rsid w:val="001759C8"/>
    <w:rsid w:val="00175F30"/>
    <w:rsid w:val="0017614B"/>
    <w:rsid w:val="0017727E"/>
    <w:rsid w:val="00177D81"/>
    <w:rsid w:val="00181443"/>
    <w:rsid w:val="00186596"/>
    <w:rsid w:val="00186751"/>
    <w:rsid w:val="0018687A"/>
    <w:rsid w:val="0019002D"/>
    <w:rsid w:val="00191A83"/>
    <w:rsid w:val="00191F65"/>
    <w:rsid w:val="001933A8"/>
    <w:rsid w:val="00194179"/>
    <w:rsid w:val="00194BD0"/>
    <w:rsid w:val="00195AEE"/>
    <w:rsid w:val="00196830"/>
    <w:rsid w:val="001A1035"/>
    <w:rsid w:val="001A47A9"/>
    <w:rsid w:val="001A646A"/>
    <w:rsid w:val="001A795C"/>
    <w:rsid w:val="001A7ADA"/>
    <w:rsid w:val="001B2824"/>
    <w:rsid w:val="001B3940"/>
    <w:rsid w:val="001B4971"/>
    <w:rsid w:val="001B712A"/>
    <w:rsid w:val="001B7381"/>
    <w:rsid w:val="001B7960"/>
    <w:rsid w:val="001C0299"/>
    <w:rsid w:val="001C052A"/>
    <w:rsid w:val="001C12AA"/>
    <w:rsid w:val="001C1A72"/>
    <w:rsid w:val="001C2566"/>
    <w:rsid w:val="001C2899"/>
    <w:rsid w:val="001D0190"/>
    <w:rsid w:val="001D0C3A"/>
    <w:rsid w:val="001D16DE"/>
    <w:rsid w:val="001D1DCA"/>
    <w:rsid w:val="001D2B7A"/>
    <w:rsid w:val="001D3634"/>
    <w:rsid w:val="001D3ED4"/>
    <w:rsid w:val="001D409D"/>
    <w:rsid w:val="001D5362"/>
    <w:rsid w:val="001D5F8D"/>
    <w:rsid w:val="001D6196"/>
    <w:rsid w:val="001D6AFC"/>
    <w:rsid w:val="001D7486"/>
    <w:rsid w:val="001E04C5"/>
    <w:rsid w:val="001E1DEF"/>
    <w:rsid w:val="001E40F1"/>
    <w:rsid w:val="001E4D7D"/>
    <w:rsid w:val="001E68D8"/>
    <w:rsid w:val="001E6C11"/>
    <w:rsid w:val="001E6E92"/>
    <w:rsid w:val="001F013D"/>
    <w:rsid w:val="001F0FD5"/>
    <w:rsid w:val="001F2352"/>
    <w:rsid w:val="001F3AF8"/>
    <w:rsid w:val="001F40A5"/>
    <w:rsid w:val="001F4155"/>
    <w:rsid w:val="001F41E2"/>
    <w:rsid w:val="001F5BC9"/>
    <w:rsid w:val="001F67DA"/>
    <w:rsid w:val="001F6E98"/>
    <w:rsid w:val="001F7043"/>
    <w:rsid w:val="00200F57"/>
    <w:rsid w:val="00202A7A"/>
    <w:rsid w:val="00202B05"/>
    <w:rsid w:val="002041EA"/>
    <w:rsid w:val="0020575D"/>
    <w:rsid w:val="002063C6"/>
    <w:rsid w:val="002106F4"/>
    <w:rsid w:val="00210922"/>
    <w:rsid w:val="00210CCE"/>
    <w:rsid w:val="0021118A"/>
    <w:rsid w:val="0021141E"/>
    <w:rsid w:val="002115C0"/>
    <w:rsid w:val="0021229C"/>
    <w:rsid w:val="002125E9"/>
    <w:rsid w:val="00212F2D"/>
    <w:rsid w:val="002131BC"/>
    <w:rsid w:val="002150E9"/>
    <w:rsid w:val="00215B11"/>
    <w:rsid w:val="00215EFC"/>
    <w:rsid w:val="00216E66"/>
    <w:rsid w:val="002178E6"/>
    <w:rsid w:val="00217B3F"/>
    <w:rsid w:val="002222C0"/>
    <w:rsid w:val="00222549"/>
    <w:rsid w:val="002267ED"/>
    <w:rsid w:val="00227A18"/>
    <w:rsid w:val="00230E87"/>
    <w:rsid w:val="0023162F"/>
    <w:rsid w:val="002322F5"/>
    <w:rsid w:val="002339C1"/>
    <w:rsid w:val="00233AE8"/>
    <w:rsid w:val="00233D34"/>
    <w:rsid w:val="00235691"/>
    <w:rsid w:val="00235F22"/>
    <w:rsid w:val="00236AB4"/>
    <w:rsid w:val="00236B5F"/>
    <w:rsid w:val="00237078"/>
    <w:rsid w:val="00242B56"/>
    <w:rsid w:val="00243B0F"/>
    <w:rsid w:val="0024543D"/>
    <w:rsid w:val="002458B7"/>
    <w:rsid w:val="00251BCE"/>
    <w:rsid w:val="00253302"/>
    <w:rsid w:val="00253643"/>
    <w:rsid w:val="00253685"/>
    <w:rsid w:val="002537F4"/>
    <w:rsid w:val="00254F89"/>
    <w:rsid w:val="0025533F"/>
    <w:rsid w:val="00255F7C"/>
    <w:rsid w:val="00256153"/>
    <w:rsid w:val="0025630C"/>
    <w:rsid w:val="00257900"/>
    <w:rsid w:val="00257AEC"/>
    <w:rsid w:val="002614CE"/>
    <w:rsid w:val="00262A33"/>
    <w:rsid w:val="00262D24"/>
    <w:rsid w:val="00263226"/>
    <w:rsid w:val="00263470"/>
    <w:rsid w:val="0026544E"/>
    <w:rsid w:val="002665E2"/>
    <w:rsid w:val="00267EED"/>
    <w:rsid w:val="00270B16"/>
    <w:rsid w:val="00270B4C"/>
    <w:rsid w:val="002717A1"/>
    <w:rsid w:val="00273D24"/>
    <w:rsid w:val="00274661"/>
    <w:rsid w:val="00274B86"/>
    <w:rsid w:val="00275763"/>
    <w:rsid w:val="00282450"/>
    <w:rsid w:val="002832C3"/>
    <w:rsid w:val="00284406"/>
    <w:rsid w:val="00284AEF"/>
    <w:rsid w:val="00285C34"/>
    <w:rsid w:val="002876F4"/>
    <w:rsid w:val="00290219"/>
    <w:rsid w:val="00290715"/>
    <w:rsid w:val="002919A3"/>
    <w:rsid w:val="00291A7E"/>
    <w:rsid w:val="00291DED"/>
    <w:rsid w:val="00292A19"/>
    <w:rsid w:val="00293EB9"/>
    <w:rsid w:val="00294C6A"/>
    <w:rsid w:val="00296F30"/>
    <w:rsid w:val="002A24B7"/>
    <w:rsid w:val="002A34E6"/>
    <w:rsid w:val="002A44D6"/>
    <w:rsid w:val="002A4B23"/>
    <w:rsid w:val="002A626C"/>
    <w:rsid w:val="002A7A78"/>
    <w:rsid w:val="002B17E7"/>
    <w:rsid w:val="002B1BBF"/>
    <w:rsid w:val="002B20A7"/>
    <w:rsid w:val="002B24B0"/>
    <w:rsid w:val="002B31F8"/>
    <w:rsid w:val="002B33C9"/>
    <w:rsid w:val="002C18D5"/>
    <w:rsid w:val="002C2649"/>
    <w:rsid w:val="002C5BF6"/>
    <w:rsid w:val="002C68F9"/>
    <w:rsid w:val="002C70E0"/>
    <w:rsid w:val="002C727B"/>
    <w:rsid w:val="002C7C81"/>
    <w:rsid w:val="002D05DA"/>
    <w:rsid w:val="002D1779"/>
    <w:rsid w:val="002D1D8E"/>
    <w:rsid w:val="002D1F8B"/>
    <w:rsid w:val="002D2B00"/>
    <w:rsid w:val="002D32E0"/>
    <w:rsid w:val="002D34FC"/>
    <w:rsid w:val="002D42D5"/>
    <w:rsid w:val="002D4E78"/>
    <w:rsid w:val="002D5DA0"/>
    <w:rsid w:val="002D7B16"/>
    <w:rsid w:val="002E001E"/>
    <w:rsid w:val="002E01E9"/>
    <w:rsid w:val="002E2CC0"/>
    <w:rsid w:val="002E35BD"/>
    <w:rsid w:val="002E37FB"/>
    <w:rsid w:val="002E6269"/>
    <w:rsid w:val="002E6316"/>
    <w:rsid w:val="002E657D"/>
    <w:rsid w:val="002F0317"/>
    <w:rsid w:val="002F179A"/>
    <w:rsid w:val="002F2089"/>
    <w:rsid w:val="002F20AD"/>
    <w:rsid w:val="002F3BCD"/>
    <w:rsid w:val="002F45F1"/>
    <w:rsid w:val="002F657C"/>
    <w:rsid w:val="00301AB3"/>
    <w:rsid w:val="00304C02"/>
    <w:rsid w:val="00305903"/>
    <w:rsid w:val="00305AD0"/>
    <w:rsid w:val="003060CE"/>
    <w:rsid w:val="0030792B"/>
    <w:rsid w:val="00310646"/>
    <w:rsid w:val="00310790"/>
    <w:rsid w:val="003109B3"/>
    <w:rsid w:val="00310A44"/>
    <w:rsid w:val="0031195B"/>
    <w:rsid w:val="003152C0"/>
    <w:rsid w:val="003157ED"/>
    <w:rsid w:val="0032019F"/>
    <w:rsid w:val="00320BF6"/>
    <w:rsid w:val="00320D16"/>
    <w:rsid w:val="00321199"/>
    <w:rsid w:val="00327BF0"/>
    <w:rsid w:val="00330F58"/>
    <w:rsid w:val="0033130E"/>
    <w:rsid w:val="00331A16"/>
    <w:rsid w:val="00332526"/>
    <w:rsid w:val="0033253D"/>
    <w:rsid w:val="00332ABD"/>
    <w:rsid w:val="00334C78"/>
    <w:rsid w:val="003413CC"/>
    <w:rsid w:val="00343B5F"/>
    <w:rsid w:val="003442DF"/>
    <w:rsid w:val="00344A42"/>
    <w:rsid w:val="00344FB7"/>
    <w:rsid w:val="0034642C"/>
    <w:rsid w:val="00347F5F"/>
    <w:rsid w:val="003506DA"/>
    <w:rsid w:val="003516C0"/>
    <w:rsid w:val="00351B1F"/>
    <w:rsid w:val="00355BF4"/>
    <w:rsid w:val="00355D90"/>
    <w:rsid w:val="00357F48"/>
    <w:rsid w:val="00361398"/>
    <w:rsid w:val="003628A0"/>
    <w:rsid w:val="00363721"/>
    <w:rsid w:val="0036549C"/>
    <w:rsid w:val="0036690D"/>
    <w:rsid w:val="003671F9"/>
    <w:rsid w:val="00367412"/>
    <w:rsid w:val="0037071D"/>
    <w:rsid w:val="003715BE"/>
    <w:rsid w:val="00371909"/>
    <w:rsid w:val="0037224C"/>
    <w:rsid w:val="00372D79"/>
    <w:rsid w:val="00373102"/>
    <w:rsid w:val="00373635"/>
    <w:rsid w:val="0037380C"/>
    <w:rsid w:val="00373A2A"/>
    <w:rsid w:val="003740D3"/>
    <w:rsid w:val="0037496E"/>
    <w:rsid w:val="0037518E"/>
    <w:rsid w:val="003752CC"/>
    <w:rsid w:val="003759DE"/>
    <w:rsid w:val="00377671"/>
    <w:rsid w:val="00377795"/>
    <w:rsid w:val="00377E79"/>
    <w:rsid w:val="00383E77"/>
    <w:rsid w:val="00385273"/>
    <w:rsid w:val="0038531C"/>
    <w:rsid w:val="00385512"/>
    <w:rsid w:val="00393D34"/>
    <w:rsid w:val="0039659E"/>
    <w:rsid w:val="003A1265"/>
    <w:rsid w:val="003A18AB"/>
    <w:rsid w:val="003A2983"/>
    <w:rsid w:val="003A53EB"/>
    <w:rsid w:val="003A6374"/>
    <w:rsid w:val="003A666B"/>
    <w:rsid w:val="003A7713"/>
    <w:rsid w:val="003B0D52"/>
    <w:rsid w:val="003B170E"/>
    <w:rsid w:val="003B18A6"/>
    <w:rsid w:val="003B1BCB"/>
    <w:rsid w:val="003B21F5"/>
    <w:rsid w:val="003B465F"/>
    <w:rsid w:val="003B4DAB"/>
    <w:rsid w:val="003B6068"/>
    <w:rsid w:val="003B6B15"/>
    <w:rsid w:val="003C0013"/>
    <w:rsid w:val="003C1D8D"/>
    <w:rsid w:val="003C254F"/>
    <w:rsid w:val="003C4B75"/>
    <w:rsid w:val="003C4FAC"/>
    <w:rsid w:val="003C58F2"/>
    <w:rsid w:val="003C785E"/>
    <w:rsid w:val="003D0B0D"/>
    <w:rsid w:val="003D1C02"/>
    <w:rsid w:val="003D1F78"/>
    <w:rsid w:val="003D289F"/>
    <w:rsid w:val="003D37D0"/>
    <w:rsid w:val="003D6205"/>
    <w:rsid w:val="003D7DDE"/>
    <w:rsid w:val="003E12D3"/>
    <w:rsid w:val="003E2627"/>
    <w:rsid w:val="003E3D88"/>
    <w:rsid w:val="003E504E"/>
    <w:rsid w:val="003E7489"/>
    <w:rsid w:val="003F0F19"/>
    <w:rsid w:val="003F1103"/>
    <w:rsid w:val="003F285C"/>
    <w:rsid w:val="003F3BDD"/>
    <w:rsid w:val="003F3F1D"/>
    <w:rsid w:val="003F467E"/>
    <w:rsid w:val="003F4A68"/>
    <w:rsid w:val="003F4E7A"/>
    <w:rsid w:val="003F56BD"/>
    <w:rsid w:val="003F6112"/>
    <w:rsid w:val="003F6719"/>
    <w:rsid w:val="003F74F8"/>
    <w:rsid w:val="004023CE"/>
    <w:rsid w:val="00403815"/>
    <w:rsid w:val="00403D1F"/>
    <w:rsid w:val="004046B7"/>
    <w:rsid w:val="00406945"/>
    <w:rsid w:val="00410A45"/>
    <w:rsid w:val="00412A11"/>
    <w:rsid w:val="0041465E"/>
    <w:rsid w:val="00414AC3"/>
    <w:rsid w:val="00415A00"/>
    <w:rsid w:val="0041631A"/>
    <w:rsid w:val="00416CA5"/>
    <w:rsid w:val="00422D5B"/>
    <w:rsid w:val="00422D64"/>
    <w:rsid w:val="004231CB"/>
    <w:rsid w:val="00423B28"/>
    <w:rsid w:val="00423CED"/>
    <w:rsid w:val="00424096"/>
    <w:rsid w:val="00424FF1"/>
    <w:rsid w:val="00425599"/>
    <w:rsid w:val="00430402"/>
    <w:rsid w:val="00430BD0"/>
    <w:rsid w:val="00431654"/>
    <w:rsid w:val="00431728"/>
    <w:rsid w:val="00431BD8"/>
    <w:rsid w:val="00433AF1"/>
    <w:rsid w:val="00434BFB"/>
    <w:rsid w:val="00435AD8"/>
    <w:rsid w:val="00437909"/>
    <w:rsid w:val="00437FB4"/>
    <w:rsid w:val="00441161"/>
    <w:rsid w:val="00441C82"/>
    <w:rsid w:val="004432E8"/>
    <w:rsid w:val="004446FA"/>
    <w:rsid w:val="0044479E"/>
    <w:rsid w:val="00444956"/>
    <w:rsid w:val="004530A3"/>
    <w:rsid w:val="00455EDB"/>
    <w:rsid w:val="00457F86"/>
    <w:rsid w:val="00460306"/>
    <w:rsid w:val="004608D8"/>
    <w:rsid w:val="00462641"/>
    <w:rsid w:val="004632EA"/>
    <w:rsid w:val="00463318"/>
    <w:rsid w:val="004645BC"/>
    <w:rsid w:val="00464CFE"/>
    <w:rsid w:val="00465254"/>
    <w:rsid w:val="00465513"/>
    <w:rsid w:val="00466384"/>
    <w:rsid w:val="00466E69"/>
    <w:rsid w:val="00466E91"/>
    <w:rsid w:val="004672A7"/>
    <w:rsid w:val="00467680"/>
    <w:rsid w:val="00471217"/>
    <w:rsid w:val="004719BD"/>
    <w:rsid w:val="00472A90"/>
    <w:rsid w:val="00473844"/>
    <w:rsid w:val="00474F68"/>
    <w:rsid w:val="00476BCA"/>
    <w:rsid w:val="00476DC8"/>
    <w:rsid w:val="00476FAE"/>
    <w:rsid w:val="00480A35"/>
    <w:rsid w:val="00480CDE"/>
    <w:rsid w:val="00480D39"/>
    <w:rsid w:val="004841FF"/>
    <w:rsid w:val="00485778"/>
    <w:rsid w:val="00491BBC"/>
    <w:rsid w:val="00491DEE"/>
    <w:rsid w:val="0049352C"/>
    <w:rsid w:val="004939CB"/>
    <w:rsid w:val="00494F23"/>
    <w:rsid w:val="0049617E"/>
    <w:rsid w:val="004974C5"/>
    <w:rsid w:val="00497923"/>
    <w:rsid w:val="004A1D64"/>
    <w:rsid w:val="004A2C8F"/>
    <w:rsid w:val="004A3508"/>
    <w:rsid w:val="004A4242"/>
    <w:rsid w:val="004A555A"/>
    <w:rsid w:val="004A6BB0"/>
    <w:rsid w:val="004A7AA0"/>
    <w:rsid w:val="004B104E"/>
    <w:rsid w:val="004B1852"/>
    <w:rsid w:val="004B1B48"/>
    <w:rsid w:val="004B529C"/>
    <w:rsid w:val="004B5565"/>
    <w:rsid w:val="004B7928"/>
    <w:rsid w:val="004C15A4"/>
    <w:rsid w:val="004C23CB"/>
    <w:rsid w:val="004C2C17"/>
    <w:rsid w:val="004C3FA3"/>
    <w:rsid w:val="004C475C"/>
    <w:rsid w:val="004C5056"/>
    <w:rsid w:val="004C530A"/>
    <w:rsid w:val="004C603A"/>
    <w:rsid w:val="004C662C"/>
    <w:rsid w:val="004D09C5"/>
    <w:rsid w:val="004D1FAD"/>
    <w:rsid w:val="004D3267"/>
    <w:rsid w:val="004D3B9E"/>
    <w:rsid w:val="004D6DE6"/>
    <w:rsid w:val="004D76C3"/>
    <w:rsid w:val="004D7B2B"/>
    <w:rsid w:val="004E0E0B"/>
    <w:rsid w:val="004E115C"/>
    <w:rsid w:val="004E23FB"/>
    <w:rsid w:val="004E3035"/>
    <w:rsid w:val="004E304C"/>
    <w:rsid w:val="004E4A40"/>
    <w:rsid w:val="004F0454"/>
    <w:rsid w:val="004F154A"/>
    <w:rsid w:val="004F48AF"/>
    <w:rsid w:val="004F4A95"/>
    <w:rsid w:val="004F54B8"/>
    <w:rsid w:val="004F717A"/>
    <w:rsid w:val="004F74A6"/>
    <w:rsid w:val="004F7BEC"/>
    <w:rsid w:val="00500D60"/>
    <w:rsid w:val="00501791"/>
    <w:rsid w:val="00501ACA"/>
    <w:rsid w:val="00502D30"/>
    <w:rsid w:val="00502D3A"/>
    <w:rsid w:val="005032DE"/>
    <w:rsid w:val="005033D9"/>
    <w:rsid w:val="00503BCE"/>
    <w:rsid w:val="005053C8"/>
    <w:rsid w:val="00505978"/>
    <w:rsid w:val="00507496"/>
    <w:rsid w:val="00511333"/>
    <w:rsid w:val="005123EB"/>
    <w:rsid w:val="00512DD8"/>
    <w:rsid w:val="00515946"/>
    <w:rsid w:val="0051625E"/>
    <w:rsid w:val="005168E5"/>
    <w:rsid w:val="00516ABB"/>
    <w:rsid w:val="00516B94"/>
    <w:rsid w:val="0052071F"/>
    <w:rsid w:val="00520C87"/>
    <w:rsid w:val="0052102A"/>
    <w:rsid w:val="005222F7"/>
    <w:rsid w:val="0052269F"/>
    <w:rsid w:val="00524BD4"/>
    <w:rsid w:val="00525471"/>
    <w:rsid w:val="00525DE0"/>
    <w:rsid w:val="0052648C"/>
    <w:rsid w:val="005264AF"/>
    <w:rsid w:val="00526915"/>
    <w:rsid w:val="0052744B"/>
    <w:rsid w:val="0053140A"/>
    <w:rsid w:val="005335B6"/>
    <w:rsid w:val="00533D87"/>
    <w:rsid w:val="00534EC3"/>
    <w:rsid w:val="00536F40"/>
    <w:rsid w:val="005403D9"/>
    <w:rsid w:val="00541399"/>
    <w:rsid w:val="00541693"/>
    <w:rsid w:val="00541AC5"/>
    <w:rsid w:val="005447FC"/>
    <w:rsid w:val="00546416"/>
    <w:rsid w:val="005473D4"/>
    <w:rsid w:val="005478A2"/>
    <w:rsid w:val="00550C8B"/>
    <w:rsid w:val="005525B0"/>
    <w:rsid w:val="00553B7D"/>
    <w:rsid w:val="00554C7A"/>
    <w:rsid w:val="005567BE"/>
    <w:rsid w:val="00560623"/>
    <w:rsid w:val="00563A6F"/>
    <w:rsid w:val="00564BB0"/>
    <w:rsid w:val="00566720"/>
    <w:rsid w:val="0056795E"/>
    <w:rsid w:val="0057220D"/>
    <w:rsid w:val="0057418A"/>
    <w:rsid w:val="00574808"/>
    <w:rsid w:val="00574B5F"/>
    <w:rsid w:val="00575EBE"/>
    <w:rsid w:val="00577F3E"/>
    <w:rsid w:val="00581BA1"/>
    <w:rsid w:val="00583DBF"/>
    <w:rsid w:val="0058571C"/>
    <w:rsid w:val="005857B1"/>
    <w:rsid w:val="00587204"/>
    <w:rsid w:val="00587CF4"/>
    <w:rsid w:val="00591210"/>
    <w:rsid w:val="00594157"/>
    <w:rsid w:val="005943F4"/>
    <w:rsid w:val="00595F3C"/>
    <w:rsid w:val="00595F56"/>
    <w:rsid w:val="00596116"/>
    <w:rsid w:val="00596D74"/>
    <w:rsid w:val="00597DDA"/>
    <w:rsid w:val="00597FD8"/>
    <w:rsid w:val="005A08E7"/>
    <w:rsid w:val="005A239C"/>
    <w:rsid w:val="005A4237"/>
    <w:rsid w:val="005A6611"/>
    <w:rsid w:val="005B0292"/>
    <w:rsid w:val="005B3080"/>
    <w:rsid w:val="005B4E4E"/>
    <w:rsid w:val="005B50EE"/>
    <w:rsid w:val="005C092A"/>
    <w:rsid w:val="005C0A88"/>
    <w:rsid w:val="005C1355"/>
    <w:rsid w:val="005C22E2"/>
    <w:rsid w:val="005C3977"/>
    <w:rsid w:val="005C4C06"/>
    <w:rsid w:val="005C681E"/>
    <w:rsid w:val="005C6DE1"/>
    <w:rsid w:val="005C7376"/>
    <w:rsid w:val="005D18CE"/>
    <w:rsid w:val="005D1922"/>
    <w:rsid w:val="005D1AFE"/>
    <w:rsid w:val="005D1B67"/>
    <w:rsid w:val="005D2176"/>
    <w:rsid w:val="005D3576"/>
    <w:rsid w:val="005D4AF6"/>
    <w:rsid w:val="005D4B71"/>
    <w:rsid w:val="005D4E09"/>
    <w:rsid w:val="005D50D1"/>
    <w:rsid w:val="005D5641"/>
    <w:rsid w:val="005D7453"/>
    <w:rsid w:val="005D74AD"/>
    <w:rsid w:val="005E0783"/>
    <w:rsid w:val="005E23A6"/>
    <w:rsid w:val="005E306E"/>
    <w:rsid w:val="005E325A"/>
    <w:rsid w:val="005E41FD"/>
    <w:rsid w:val="005E446D"/>
    <w:rsid w:val="005F0A35"/>
    <w:rsid w:val="005F121D"/>
    <w:rsid w:val="005F2503"/>
    <w:rsid w:val="005F506A"/>
    <w:rsid w:val="005F575D"/>
    <w:rsid w:val="005F586E"/>
    <w:rsid w:val="005F6119"/>
    <w:rsid w:val="005F6487"/>
    <w:rsid w:val="00600CFF"/>
    <w:rsid w:val="006038CC"/>
    <w:rsid w:val="00607275"/>
    <w:rsid w:val="00607308"/>
    <w:rsid w:val="0061125C"/>
    <w:rsid w:val="00611972"/>
    <w:rsid w:val="00612096"/>
    <w:rsid w:val="006128C1"/>
    <w:rsid w:val="00616E8A"/>
    <w:rsid w:val="00623DF0"/>
    <w:rsid w:val="00623EDA"/>
    <w:rsid w:val="00625079"/>
    <w:rsid w:val="00627016"/>
    <w:rsid w:val="00627560"/>
    <w:rsid w:val="00630C96"/>
    <w:rsid w:val="00633017"/>
    <w:rsid w:val="00634A02"/>
    <w:rsid w:val="00634BE5"/>
    <w:rsid w:val="00635619"/>
    <w:rsid w:val="006360F2"/>
    <w:rsid w:val="00636955"/>
    <w:rsid w:val="006377C1"/>
    <w:rsid w:val="0064210F"/>
    <w:rsid w:val="00644461"/>
    <w:rsid w:val="0064466C"/>
    <w:rsid w:val="00645370"/>
    <w:rsid w:val="006462AC"/>
    <w:rsid w:val="0064633C"/>
    <w:rsid w:val="006500D8"/>
    <w:rsid w:val="00650F32"/>
    <w:rsid w:val="00651CDC"/>
    <w:rsid w:val="006528B5"/>
    <w:rsid w:val="00654DDE"/>
    <w:rsid w:val="00656697"/>
    <w:rsid w:val="006575FE"/>
    <w:rsid w:val="00657A31"/>
    <w:rsid w:val="00657D02"/>
    <w:rsid w:val="0066040D"/>
    <w:rsid w:val="006609A0"/>
    <w:rsid w:val="00661B8F"/>
    <w:rsid w:val="006642C6"/>
    <w:rsid w:val="006653C7"/>
    <w:rsid w:val="00665676"/>
    <w:rsid w:val="006669AD"/>
    <w:rsid w:val="00674347"/>
    <w:rsid w:val="00674398"/>
    <w:rsid w:val="006748B7"/>
    <w:rsid w:val="006757F5"/>
    <w:rsid w:val="00676A7C"/>
    <w:rsid w:val="00677FD4"/>
    <w:rsid w:val="0068011A"/>
    <w:rsid w:val="00682E6E"/>
    <w:rsid w:val="006848F2"/>
    <w:rsid w:val="0068562B"/>
    <w:rsid w:val="00685E5F"/>
    <w:rsid w:val="00685FC1"/>
    <w:rsid w:val="006868F9"/>
    <w:rsid w:val="00686A8C"/>
    <w:rsid w:val="0069254E"/>
    <w:rsid w:val="00692727"/>
    <w:rsid w:val="00694D21"/>
    <w:rsid w:val="00696528"/>
    <w:rsid w:val="0069682A"/>
    <w:rsid w:val="0069694D"/>
    <w:rsid w:val="00696B66"/>
    <w:rsid w:val="00696D79"/>
    <w:rsid w:val="006A1E6F"/>
    <w:rsid w:val="006A29FE"/>
    <w:rsid w:val="006A360E"/>
    <w:rsid w:val="006A36C9"/>
    <w:rsid w:val="006A3DDE"/>
    <w:rsid w:val="006A7339"/>
    <w:rsid w:val="006B00FD"/>
    <w:rsid w:val="006B0AB7"/>
    <w:rsid w:val="006B10C9"/>
    <w:rsid w:val="006B24DB"/>
    <w:rsid w:val="006B2659"/>
    <w:rsid w:val="006B2AB9"/>
    <w:rsid w:val="006B2FE9"/>
    <w:rsid w:val="006B3353"/>
    <w:rsid w:val="006B3CC2"/>
    <w:rsid w:val="006C0AB1"/>
    <w:rsid w:val="006C1121"/>
    <w:rsid w:val="006C492B"/>
    <w:rsid w:val="006C4B9F"/>
    <w:rsid w:val="006C594D"/>
    <w:rsid w:val="006C5CF7"/>
    <w:rsid w:val="006C6739"/>
    <w:rsid w:val="006C6742"/>
    <w:rsid w:val="006D2895"/>
    <w:rsid w:val="006D2EE2"/>
    <w:rsid w:val="006D56B8"/>
    <w:rsid w:val="006D5B31"/>
    <w:rsid w:val="006D6591"/>
    <w:rsid w:val="006D66EC"/>
    <w:rsid w:val="006D71EF"/>
    <w:rsid w:val="006D78BB"/>
    <w:rsid w:val="006E015C"/>
    <w:rsid w:val="006E05F0"/>
    <w:rsid w:val="006E10FB"/>
    <w:rsid w:val="006E1CFD"/>
    <w:rsid w:val="006E5019"/>
    <w:rsid w:val="006E5916"/>
    <w:rsid w:val="006E7600"/>
    <w:rsid w:val="006E7A16"/>
    <w:rsid w:val="006F10F1"/>
    <w:rsid w:val="006F1C04"/>
    <w:rsid w:val="006F1E3A"/>
    <w:rsid w:val="006F341D"/>
    <w:rsid w:val="006F41F7"/>
    <w:rsid w:val="006F60AD"/>
    <w:rsid w:val="006F7927"/>
    <w:rsid w:val="00700981"/>
    <w:rsid w:val="00700AA8"/>
    <w:rsid w:val="00700BBD"/>
    <w:rsid w:val="007013FE"/>
    <w:rsid w:val="007017E1"/>
    <w:rsid w:val="00702950"/>
    <w:rsid w:val="007032EA"/>
    <w:rsid w:val="00703BB1"/>
    <w:rsid w:val="00705270"/>
    <w:rsid w:val="007052CF"/>
    <w:rsid w:val="00706E9E"/>
    <w:rsid w:val="00707E93"/>
    <w:rsid w:val="007120D5"/>
    <w:rsid w:val="007132A1"/>
    <w:rsid w:val="0071334A"/>
    <w:rsid w:val="00713426"/>
    <w:rsid w:val="00714398"/>
    <w:rsid w:val="0071669A"/>
    <w:rsid w:val="0072140A"/>
    <w:rsid w:val="0073214F"/>
    <w:rsid w:val="00733089"/>
    <w:rsid w:val="007354A7"/>
    <w:rsid w:val="007378FC"/>
    <w:rsid w:val="00740CC2"/>
    <w:rsid w:val="00741522"/>
    <w:rsid w:val="00741A80"/>
    <w:rsid w:val="00741FF8"/>
    <w:rsid w:val="00742229"/>
    <w:rsid w:val="007425DF"/>
    <w:rsid w:val="0074349F"/>
    <w:rsid w:val="0074632A"/>
    <w:rsid w:val="00747951"/>
    <w:rsid w:val="00747A2B"/>
    <w:rsid w:val="00747AC6"/>
    <w:rsid w:val="00751DA7"/>
    <w:rsid w:val="007533FE"/>
    <w:rsid w:val="00753FDA"/>
    <w:rsid w:val="00753FE0"/>
    <w:rsid w:val="00755318"/>
    <w:rsid w:val="00756836"/>
    <w:rsid w:val="00756987"/>
    <w:rsid w:val="00756E21"/>
    <w:rsid w:val="0076169C"/>
    <w:rsid w:val="007633B0"/>
    <w:rsid w:val="007636A5"/>
    <w:rsid w:val="00763791"/>
    <w:rsid w:val="00764B56"/>
    <w:rsid w:val="0076609A"/>
    <w:rsid w:val="007663BE"/>
    <w:rsid w:val="00766766"/>
    <w:rsid w:val="007671A9"/>
    <w:rsid w:val="007732EF"/>
    <w:rsid w:val="00773348"/>
    <w:rsid w:val="007734B0"/>
    <w:rsid w:val="00773A68"/>
    <w:rsid w:val="0077418A"/>
    <w:rsid w:val="0077487F"/>
    <w:rsid w:val="00775260"/>
    <w:rsid w:val="00775277"/>
    <w:rsid w:val="007763A0"/>
    <w:rsid w:val="00776630"/>
    <w:rsid w:val="00782C1C"/>
    <w:rsid w:val="0078328D"/>
    <w:rsid w:val="00784912"/>
    <w:rsid w:val="007864AD"/>
    <w:rsid w:val="00786DAE"/>
    <w:rsid w:val="0078777A"/>
    <w:rsid w:val="00787E69"/>
    <w:rsid w:val="00792394"/>
    <w:rsid w:val="007931F5"/>
    <w:rsid w:val="007965FD"/>
    <w:rsid w:val="00796D07"/>
    <w:rsid w:val="0079714A"/>
    <w:rsid w:val="007A0A4C"/>
    <w:rsid w:val="007A102A"/>
    <w:rsid w:val="007A2530"/>
    <w:rsid w:val="007A4FF9"/>
    <w:rsid w:val="007A54CE"/>
    <w:rsid w:val="007A65B5"/>
    <w:rsid w:val="007B0336"/>
    <w:rsid w:val="007B0FB0"/>
    <w:rsid w:val="007B24F0"/>
    <w:rsid w:val="007B476C"/>
    <w:rsid w:val="007B50D3"/>
    <w:rsid w:val="007B6884"/>
    <w:rsid w:val="007B6B59"/>
    <w:rsid w:val="007B7850"/>
    <w:rsid w:val="007B7E1D"/>
    <w:rsid w:val="007C171F"/>
    <w:rsid w:val="007C1897"/>
    <w:rsid w:val="007C326C"/>
    <w:rsid w:val="007C3F78"/>
    <w:rsid w:val="007C67A9"/>
    <w:rsid w:val="007C6E7F"/>
    <w:rsid w:val="007C72EA"/>
    <w:rsid w:val="007C7E67"/>
    <w:rsid w:val="007D0F29"/>
    <w:rsid w:val="007D1A1C"/>
    <w:rsid w:val="007D1B59"/>
    <w:rsid w:val="007D23F0"/>
    <w:rsid w:val="007D462F"/>
    <w:rsid w:val="007D46D9"/>
    <w:rsid w:val="007D50ED"/>
    <w:rsid w:val="007D7B96"/>
    <w:rsid w:val="007E06E7"/>
    <w:rsid w:val="007E182F"/>
    <w:rsid w:val="007E2631"/>
    <w:rsid w:val="007E2AB3"/>
    <w:rsid w:val="007E43C9"/>
    <w:rsid w:val="007E4EB9"/>
    <w:rsid w:val="007E6809"/>
    <w:rsid w:val="007E6F7E"/>
    <w:rsid w:val="007E75E3"/>
    <w:rsid w:val="007F3E2E"/>
    <w:rsid w:val="007F43E4"/>
    <w:rsid w:val="007F47BF"/>
    <w:rsid w:val="007F579D"/>
    <w:rsid w:val="007F6998"/>
    <w:rsid w:val="007F73E7"/>
    <w:rsid w:val="007F7963"/>
    <w:rsid w:val="007F7E6F"/>
    <w:rsid w:val="00801D49"/>
    <w:rsid w:val="008032AD"/>
    <w:rsid w:val="00803307"/>
    <w:rsid w:val="008050E3"/>
    <w:rsid w:val="00805365"/>
    <w:rsid w:val="008069F5"/>
    <w:rsid w:val="00806BE7"/>
    <w:rsid w:val="00807963"/>
    <w:rsid w:val="00810C3F"/>
    <w:rsid w:val="008124B4"/>
    <w:rsid w:val="00812E36"/>
    <w:rsid w:val="00814676"/>
    <w:rsid w:val="008146F9"/>
    <w:rsid w:val="00814897"/>
    <w:rsid w:val="0081555A"/>
    <w:rsid w:val="00815A94"/>
    <w:rsid w:val="00820544"/>
    <w:rsid w:val="00821F57"/>
    <w:rsid w:val="008224DE"/>
    <w:rsid w:val="00825D18"/>
    <w:rsid w:val="008338A3"/>
    <w:rsid w:val="0083396D"/>
    <w:rsid w:val="00834289"/>
    <w:rsid w:val="00834F64"/>
    <w:rsid w:val="008352B5"/>
    <w:rsid w:val="00835714"/>
    <w:rsid w:val="00836E6C"/>
    <w:rsid w:val="00837365"/>
    <w:rsid w:val="0084065D"/>
    <w:rsid w:val="008419E9"/>
    <w:rsid w:val="00844B9B"/>
    <w:rsid w:val="00844C5E"/>
    <w:rsid w:val="008454FC"/>
    <w:rsid w:val="00845E96"/>
    <w:rsid w:val="00847BB7"/>
    <w:rsid w:val="008507C0"/>
    <w:rsid w:val="0085167F"/>
    <w:rsid w:val="008562B5"/>
    <w:rsid w:val="008566B8"/>
    <w:rsid w:val="00857BCF"/>
    <w:rsid w:val="008605EB"/>
    <w:rsid w:val="00862AB7"/>
    <w:rsid w:val="0086550B"/>
    <w:rsid w:val="008660CA"/>
    <w:rsid w:val="008705C6"/>
    <w:rsid w:val="00871575"/>
    <w:rsid w:val="008720C3"/>
    <w:rsid w:val="008729B1"/>
    <w:rsid w:val="00873893"/>
    <w:rsid w:val="00875EFA"/>
    <w:rsid w:val="00876C0B"/>
    <w:rsid w:val="00876F3E"/>
    <w:rsid w:val="008801FA"/>
    <w:rsid w:val="00883F7E"/>
    <w:rsid w:val="00884B68"/>
    <w:rsid w:val="00884EC2"/>
    <w:rsid w:val="00885B13"/>
    <w:rsid w:val="00887F29"/>
    <w:rsid w:val="00890DDA"/>
    <w:rsid w:val="008927DC"/>
    <w:rsid w:val="008931E7"/>
    <w:rsid w:val="008936E7"/>
    <w:rsid w:val="00894E22"/>
    <w:rsid w:val="00896114"/>
    <w:rsid w:val="00897993"/>
    <w:rsid w:val="00897CA3"/>
    <w:rsid w:val="008A332D"/>
    <w:rsid w:val="008A336F"/>
    <w:rsid w:val="008A5317"/>
    <w:rsid w:val="008A5FD3"/>
    <w:rsid w:val="008B0B07"/>
    <w:rsid w:val="008B1834"/>
    <w:rsid w:val="008B2D9A"/>
    <w:rsid w:val="008B2F62"/>
    <w:rsid w:val="008B30CD"/>
    <w:rsid w:val="008B673D"/>
    <w:rsid w:val="008B68AB"/>
    <w:rsid w:val="008B6C15"/>
    <w:rsid w:val="008B74CB"/>
    <w:rsid w:val="008C0188"/>
    <w:rsid w:val="008C07E1"/>
    <w:rsid w:val="008C0B88"/>
    <w:rsid w:val="008C1684"/>
    <w:rsid w:val="008C2461"/>
    <w:rsid w:val="008C32B5"/>
    <w:rsid w:val="008C4326"/>
    <w:rsid w:val="008C47B0"/>
    <w:rsid w:val="008C4831"/>
    <w:rsid w:val="008C544E"/>
    <w:rsid w:val="008C5891"/>
    <w:rsid w:val="008C5A41"/>
    <w:rsid w:val="008C5A4B"/>
    <w:rsid w:val="008C5DE2"/>
    <w:rsid w:val="008C6F12"/>
    <w:rsid w:val="008C7512"/>
    <w:rsid w:val="008D17CD"/>
    <w:rsid w:val="008E0BE4"/>
    <w:rsid w:val="008E1B16"/>
    <w:rsid w:val="008E21FC"/>
    <w:rsid w:val="008E3CC4"/>
    <w:rsid w:val="008E47B7"/>
    <w:rsid w:val="008E4A9B"/>
    <w:rsid w:val="008E50A4"/>
    <w:rsid w:val="008E747A"/>
    <w:rsid w:val="008E784A"/>
    <w:rsid w:val="008F07BA"/>
    <w:rsid w:val="008F216F"/>
    <w:rsid w:val="008F70AD"/>
    <w:rsid w:val="008F70C7"/>
    <w:rsid w:val="00900F6C"/>
    <w:rsid w:val="0090205D"/>
    <w:rsid w:val="00902A0D"/>
    <w:rsid w:val="0090475E"/>
    <w:rsid w:val="0090570C"/>
    <w:rsid w:val="00905C86"/>
    <w:rsid w:val="0090615D"/>
    <w:rsid w:val="00906612"/>
    <w:rsid w:val="00906826"/>
    <w:rsid w:val="009070BA"/>
    <w:rsid w:val="00907A37"/>
    <w:rsid w:val="00910159"/>
    <w:rsid w:val="00910318"/>
    <w:rsid w:val="00910EB4"/>
    <w:rsid w:val="00912DCB"/>
    <w:rsid w:val="0091338C"/>
    <w:rsid w:val="00914314"/>
    <w:rsid w:val="0091454E"/>
    <w:rsid w:val="009148B4"/>
    <w:rsid w:val="009149D6"/>
    <w:rsid w:val="00914E15"/>
    <w:rsid w:val="00922133"/>
    <w:rsid w:val="0092307C"/>
    <w:rsid w:val="0092369F"/>
    <w:rsid w:val="00923CA2"/>
    <w:rsid w:val="009306AD"/>
    <w:rsid w:val="00930BC4"/>
    <w:rsid w:val="00932882"/>
    <w:rsid w:val="00932B29"/>
    <w:rsid w:val="009344FF"/>
    <w:rsid w:val="00936A25"/>
    <w:rsid w:val="0093751D"/>
    <w:rsid w:val="00941DDF"/>
    <w:rsid w:val="00942678"/>
    <w:rsid w:val="00942A17"/>
    <w:rsid w:val="00942B0A"/>
    <w:rsid w:val="00943BAA"/>
    <w:rsid w:val="009443F5"/>
    <w:rsid w:val="00944BF1"/>
    <w:rsid w:val="00946251"/>
    <w:rsid w:val="00950945"/>
    <w:rsid w:val="00951B30"/>
    <w:rsid w:val="00953172"/>
    <w:rsid w:val="00953808"/>
    <w:rsid w:val="009546D1"/>
    <w:rsid w:val="00954A80"/>
    <w:rsid w:val="00954C0E"/>
    <w:rsid w:val="0095567A"/>
    <w:rsid w:val="00956213"/>
    <w:rsid w:val="009564CC"/>
    <w:rsid w:val="00957282"/>
    <w:rsid w:val="009619A3"/>
    <w:rsid w:val="00961CC1"/>
    <w:rsid w:val="009623BF"/>
    <w:rsid w:val="00962994"/>
    <w:rsid w:val="00964480"/>
    <w:rsid w:val="00964B07"/>
    <w:rsid w:val="00967BA7"/>
    <w:rsid w:val="0097490F"/>
    <w:rsid w:val="00975D66"/>
    <w:rsid w:val="00976158"/>
    <w:rsid w:val="009801D0"/>
    <w:rsid w:val="009825C3"/>
    <w:rsid w:val="00982DCF"/>
    <w:rsid w:val="00982FBB"/>
    <w:rsid w:val="00984319"/>
    <w:rsid w:val="00984A93"/>
    <w:rsid w:val="009904A5"/>
    <w:rsid w:val="00991CB3"/>
    <w:rsid w:val="00991F08"/>
    <w:rsid w:val="009926E3"/>
    <w:rsid w:val="00993A8D"/>
    <w:rsid w:val="009950F2"/>
    <w:rsid w:val="00997D50"/>
    <w:rsid w:val="009A2CCB"/>
    <w:rsid w:val="009A2CDF"/>
    <w:rsid w:val="009A3334"/>
    <w:rsid w:val="009A39D9"/>
    <w:rsid w:val="009A68E9"/>
    <w:rsid w:val="009A6A2A"/>
    <w:rsid w:val="009A757E"/>
    <w:rsid w:val="009A78D7"/>
    <w:rsid w:val="009B02BB"/>
    <w:rsid w:val="009B36EB"/>
    <w:rsid w:val="009B379F"/>
    <w:rsid w:val="009B4021"/>
    <w:rsid w:val="009B644B"/>
    <w:rsid w:val="009B675C"/>
    <w:rsid w:val="009B77A8"/>
    <w:rsid w:val="009B7EED"/>
    <w:rsid w:val="009C005B"/>
    <w:rsid w:val="009C10E7"/>
    <w:rsid w:val="009C26CD"/>
    <w:rsid w:val="009C275C"/>
    <w:rsid w:val="009C2B2F"/>
    <w:rsid w:val="009C3E05"/>
    <w:rsid w:val="009C4860"/>
    <w:rsid w:val="009D1D26"/>
    <w:rsid w:val="009D3C12"/>
    <w:rsid w:val="009D3F96"/>
    <w:rsid w:val="009D495D"/>
    <w:rsid w:val="009D5494"/>
    <w:rsid w:val="009D58E5"/>
    <w:rsid w:val="009D7FC7"/>
    <w:rsid w:val="009E0B93"/>
    <w:rsid w:val="009E0E18"/>
    <w:rsid w:val="009E1173"/>
    <w:rsid w:val="009E1CEB"/>
    <w:rsid w:val="009E2893"/>
    <w:rsid w:val="009E2E9C"/>
    <w:rsid w:val="009E3E43"/>
    <w:rsid w:val="009E462C"/>
    <w:rsid w:val="009E4684"/>
    <w:rsid w:val="009E63D4"/>
    <w:rsid w:val="009F0082"/>
    <w:rsid w:val="009F0A16"/>
    <w:rsid w:val="009F2BC6"/>
    <w:rsid w:val="009F4250"/>
    <w:rsid w:val="009F7724"/>
    <w:rsid w:val="00A01187"/>
    <w:rsid w:val="00A02AAE"/>
    <w:rsid w:val="00A03374"/>
    <w:rsid w:val="00A038AA"/>
    <w:rsid w:val="00A042F2"/>
    <w:rsid w:val="00A061B1"/>
    <w:rsid w:val="00A065DC"/>
    <w:rsid w:val="00A07E44"/>
    <w:rsid w:val="00A07E4D"/>
    <w:rsid w:val="00A11473"/>
    <w:rsid w:val="00A12938"/>
    <w:rsid w:val="00A12B71"/>
    <w:rsid w:val="00A14968"/>
    <w:rsid w:val="00A150C0"/>
    <w:rsid w:val="00A156C0"/>
    <w:rsid w:val="00A15DF9"/>
    <w:rsid w:val="00A209F1"/>
    <w:rsid w:val="00A20BA0"/>
    <w:rsid w:val="00A2169A"/>
    <w:rsid w:val="00A21BC5"/>
    <w:rsid w:val="00A21C2D"/>
    <w:rsid w:val="00A22B07"/>
    <w:rsid w:val="00A24FFC"/>
    <w:rsid w:val="00A2564B"/>
    <w:rsid w:val="00A259FB"/>
    <w:rsid w:val="00A25FA7"/>
    <w:rsid w:val="00A308D0"/>
    <w:rsid w:val="00A3428B"/>
    <w:rsid w:val="00A354EC"/>
    <w:rsid w:val="00A35F2F"/>
    <w:rsid w:val="00A362A0"/>
    <w:rsid w:val="00A4117E"/>
    <w:rsid w:val="00A42158"/>
    <w:rsid w:val="00A42AC5"/>
    <w:rsid w:val="00A4347B"/>
    <w:rsid w:val="00A50CB3"/>
    <w:rsid w:val="00A5271C"/>
    <w:rsid w:val="00A5452F"/>
    <w:rsid w:val="00A54CFC"/>
    <w:rsid w:val="00A54F85"/>
    <w:rsid w:val="00A5649F"/>
    <w:rsid w:val="00A634E6"/>
    <w:rsid w:val="00A670E0"/>
    <w:rsid w:val="00A70113"/>
    <w:rsid w:val="00A71AC6"/>
    <w:rsid w:val="00A7354D"/>
    <w:rsid w:val="00A74375"/>
    <w:rsid w:val="00A74C0C"/>
    <w:rsid w:val="00A76678"/>
    <w:rsid w:val="00A76991"/>
    <w:rsid w:val="00A76EC4"/>
    <w:rsid w:val="00A7708F"/>
    <w:rsid w:val="00A7713F"/>
    <w:rsid w:val="00A77907"/>
    <w:rsid w:val="00A8169F"/>
    <w:rsid w:val="00A84F0E"/>
    <w:rsid w:val="00A85265"/>
    <w:rsid w:val="00A90B78"/>
    <w:rsid w:val="00A913DE"/>
    <w:rsid w:val="00A93FFB"/>
    <w:rsid w:val="00A94A70"/>
    <w:rsid w:val="00A95D70"/>
    <w:rsid w:val="00A9686D"/>
    <w:rsid w:val="00A971F3"/>
    <w:rsid w:val="00AA0451"/>
    <w:rsid w:val="00AA0497"/>
    <w:rsid w:val="00AA0802"/>
    <w:rsid w:val="00AA08F0"/>
    <w:rsid w:val="00AA227C"/>
    <w:rsid w:val="00AA4745"/>
    <w:rsid w:val="00AA4EE7"/>
    <w:rsid w:val="00AA5C74"/>
    <w:rsid w:val="00AB11D5"/>
    <w:rsid w:val="00AB26AA"/>
    <w:rsid w:val="00AB4692"/>
    <w:rsid w:val="00AB4C8C"/>
    <w:rsid w:val="00AB55CA"/>
    <w:rsid w:val="00AB65D5"/>
    <w:rsid w:val="00AB6C99"/>
    <w:rsid w:val="00AB70AC"/>
    <w:rsid w:val="00AB77D3"/>
    <w:rsid w:val="00AC0ADF"/>
    <w:rsid w:val="00AC34A4"/>
    <w:rsid w:val="00AC3D6A"/>
    <w:rsid w:val="00AC6DE5"/>
    <w:rsid w:val="00AC768D"/>
    <w:rsid w:val="00AD03E6"/>
    <w:rsid w:val="00AD0DEE"/>
    <w:rsid w:val="00AD147F"/>
    <w:rsid w:val="00AD1A3B"/>
    <w:rsid w:val="00AD3A71"/>
    <w:rsid w:val="00AD64BE"/>
    <w:rsid w:val="00AD6ABF"/>
    <w:rsid w:val="00AE0DA7"/>
    <w:rsid w:val="00AE1621"/>
    <w:rsid w:val="00AE198F"/>
    <w:rsid w:val="00AE244E"/>
    <w:rsid w:val="00AE3705"/>
    <w:rsid w:val="00AE59EC"/>
    <w:rsid w:val="00AE601C"/>
    <w:rsid w:val="00AF12F2"/>
    <w:rsid w:val="00AF1442"/>
    <w:rsid w:val="00AF1543"/>
    <w:rsid w:val="00AF185F"/>
    <w:rsid w:val="00AF349C"/>
    <w:rsid w:val="00AF4FB4"/>
    <w:rsid w:val="00AF7B97"/>
    <w:rsid w:val="00B00FE7"/>
    <w:rsid w:val="00B02517"/>
    <w:rsid w:val="00B02FA2"/>
    <w:rsid w:val="00B03899"/>
    <w:rsid w:val="00B05308"/>
    <w:rsid w:val="00B05DB1"/>
    <w:rsid w:val="00B06701"/>
    <w:rsid w:val="00B06921"/>
    <w:rsid w:val="00B07CC3"/>
    <w:rsid w:val="00B10C1D"/>
    <w:rsid w:val="00B110B2"/>
    <w:rsid w:val="00B133A6"/>
    <w:rsid w:val="00B13D23"/>
    <w:rsid w:val="00B14279"/>
    <w:rsid w:val="00B142B6"/>
    <w:rsid w:val="00B1510F"/>
    <w:rsid w:val="00B15C5E"/>
    <w:rsid w:val="00B20DCC"/>
    <w:rsid w:val="00B243B1"/>
    <w:rsid w:val="00B26435"/>
    <w:rsid w:val="00B26501"/>
    <w:rsid w:val="00B26546"/>
    <w:rsid w:val="00B275AE"/>
    <w:rsid w:val="00B27B76"/>
    <w:rsid w:val="00B3168A"/>
    <w:rsid w:val="00B32330"/>
    <w:rsid w:val="00B344A2"/>
    <w:rsid w:val="00B34853"/>
    <w:rsid w:val="00B34929"/>
    <w:rsid w:val="00B34B33"/>
    <w:rsid w:val="00B34C80"/>
    <w:rsid w:val="00B3521E"/>
    <w:rsid w:val="00B36590"/>
    <w:rsid w:val="00B369EB"/>
    <w:rsid w:val="00B36D85"/>
    <w:rsid w:val="00B37587"/>
    <w:rsid w:val="00B40C9E"/>
    <w:rsid w:val="00B41D48"/>
    <w:rsid w:val="00B4260B"/>
    <w:rsid w:val="00B42C4B"/>
    <w:rsid w:val="00B4313B"/>
    <w:rsid w:val="00B43B54"/>
    <w:rsid w:val="00B43BBF"/>
    <w:rsid w:val="00B43C4B"/>
    <w:rsid w:val="00B43EC4"/>
    <w:rsid w:val="00B46757"/>
    <w:rsid w:val="00B511D8"/>
    <w:rsid w:val="00B51403"/>
    <w:rsid w:val="00B54169"/>
    <w:rsid w:val="00B54610"/>
    <w:rsid w:val="00B57703"/>
    <w:rsid w:val="00B60193"/>
    <w:rsid w:val="00B605BC"/>
    <w:rsid w:val="00B61392"/>
    <w:rsid w:val="00B624F6"/>
    <w:rsid w:val="00B6296F"/>
    <w:rsid w:val="00B63805"/>
    <w:rsid w:val="00B63D73"/>
    <w:rsid w:val="00B64A80"/>
    <w:rsid w:val="00B650AE"/>
    <w:rsid w:val="00B659E4"/>
    <w:rsid w:val="00B668F6"/>
    <w:rsid w:val="00B66D54"/>
    <w:rsid w:val="00B70DC3"/>
    <w:rsid w:val="00B7112E"/>
    <w:rsid w:val="00B75AA6"/>
    <w:rsid w:val="00B7627C"/>
    <w:rsid w:val="00B7634F"/>
    <w:rsid w:val="00B80157"/>
    <w:rsid w:val="00B80826"/>
    <w:rsid w:val="00B8148B"/>
    <w:rsid w:val="00B817EF"/>
    <w:rsid w:val="00B838BC"/>
    <w:rsid w:val="00B85383"/>
    <w:rsid w:val="00B8739F"/>
    <w:rsid w:val="00B90340"/>
    <w:rsid w:val="00B91023"/>
    <w:rsid w:val="00B9162E"/>
    <w:rsid w:val="00B91791"/>
    <w:rsid w:val="00B9204C"/>
    <w:rsid w:val="00B93174"/>
    <w:rsid w:val="00B95F94"/>
    <w:rsid w:val="00B9676F"/>
    <w:rsid w:val="00B9697D"/>
    <w:rsid w:val="00B96AF0"/>
    <w:rsid w:val="00BA22B4"/>
    <w:rsid w:val="00BA38FE"/>
    <w:rsid w:val="00BA3D6F"/>
    <w:rsid w:val="00BA4973"/>
    <w:rsid w:val="00BA4E38"/>
    <w:rsid w:val="00BA5231"/>
    <w:rsid w:val="00BA6650"/>
    <w:rsid w:val="00BA739E"/>
    <w:rsid w:val="00BB002C"/>
    <w:rsid w:val="00BB023A"/>
    <w:rsid w:val="00BB20A1"/>
    <w:rsid w:val="00BB22D4"/>
    <w:rsid w:val="00BB3162"/>
    <w:rsid w:val="00BB326C"/>
    <w:rsid w:val="00BB653D"/>
    <w:rsid w:val="00BB6F4F"/>
    <w:rsid w:val="00BC037A"/>
    <w:rsid w:val="00BC03B1"/>
    <w:rsid w:val="00BC1280"/>
    <w:rsid w:val="00BC232B"/>
    <w:rsid w:val="00BC2ACF"/>
    <w:rsid w:val="00BC2C92"/>
    <w:rsid w:val="00BC3903"/>
    <w:rsid w:val="00BC390D"/>
    <w:rsid w:val="00BC44D5"/>
    <w:rsid w:val="00BD038C"/>
    <w:rsid w:val="00BD0FB9"/>
    <w:rsid w:val="00BD2244"/>
    <w:rsid w:val="00BD4291"/>
    <w:rsid w:val="00BD4E3D"/>
    <w:rsid w:val="00BD513E"/>
    <w:rsid w:val="00BD5617"/>
    <w:rsid w:val="00BD61BF"/>
    <w:rsid w:val="00BD671F"/>
    <w:rsid w:val="00BD717B"/>
    <w:rsid w:val="00BD7E05"/>
    <w:rsid w:val="00BE005C"/>
    <w:rsid w:val="00BE0BCD"/>
    <w:rsid w:val="00BE177D"/>
    <w:rsid w:val="00BE3770"/>
    <w:rsid w:val="00BE4464"/>
    <w:rsid w:val="00BE45DF"/>
    <w:rsid w:val="00BE7BF7"/>
    <w:rsid w:val="00BE7D55"/>
    <w:rsid w:val="00BF06D6"/>
    <w:rsid w:val="00BF084F"/>
    <w:rsid w:val="00BF0E19"/>
    <w:rsid w:val="00BF1050"/>
    <w:rsid w:val="00BF1BCB"/>
    <w:rsid w:val="00BF1E1B"/>
    <w:rsid w:val="00BF32E6"/>
    <w:rsid w:val="00BF34C2"/>
    <w:rsid w:val="00BF3AC9"/>
    <w:rsid w:val="00BF6A36"/>
    <w:rsid w:val="00BF70DA"/>
    <w:rsid w:val="00C010B7"/>
    <w:rsid w:val="00C01AD1"/>
    <w:rsid w:val="00C01B32"/>
    <w:rsid w:val="00C01BB3"/>
    <w:rsid w:val="00C03C63"/>
    <w:rsid w:val="00C06046"/>
    <w:rsid w:val="00C064F6"/>
    <w:rsid w:val="00C0763C"/>
    <w:rsid w:val="00C113E9"/>
    <w:rsid w:val="00C14E6D"/>
    <w:rsid w:val="00C20032"/>
    <w:rsid w:val="00C23F2D"/>
    <w:rsid w:val="00C24019"/>
    <w:rsid w:val="00C2534B"/>
    <w:rsid w:val="00C26FA9"/>
    <w:rsid w:val="00C31F76"/>
    <w:rsid w:val="00C34204"/>
    <w:rsid w:val="00C36A93"/>
    <w:rsid w:val="00C36C43"/>
    <w:rsid w:val="00C37F82"/>
    <w:rsid w:val="00C425B4"/>
    <w:rsid w:val="00C4371A"/>
    <w:rsid w:val="00C457D6"/>
    <w:rsid w:val="00C46174"/>
    <w:rsid w:val="00C50082"/>
    <w:rsid w:val="00C51F4C"/>
    <w:rsid w:val="00C55BA0"/>
    <w:rsid w:val="00C56476"/>
    <w:rsid w:val="00C566B2"/>
    <w:rsid w:val="00C575DB"/>
    <w:rsid w:val="00C57C34"/>
    <w:rsid w:val="00C62275"/>
    <w:rsid w:val="00C645DE"/>
    <w:rsid w:val="00C646CA"/>
    <w:rsid w:val="00C64B9C"/>
    <w:rsid w:val="00C67816"/>
    <w:rsid w:val="00C70117"/>
    <w:rsid w:val="00C75CC7"/>
    <w:rsid w:val="00C8093E"/>
    <w:rsid w:val="00C819BD"/>
    <w:rsid w:val="00C81FC7"/>
    <w:rsid w:val="00C82400"/>
    <w:rsid w:val="00C82A01"/>
    <w:rsid w:val="00C84B0F"/>
    <w:rsid w:val="00C84F9A"/>
    <w:rsid w:val="00C870DB"/>
    <w:rsid w:val="00C93282"/>
    <w:rsid w:val="00C93A14"/>
    <w:rsid w:val="00C93EB2"/>
    <w:rsid w:val="00C9460C"/>
    <w:rsid w:val="00C968C6"/>
    <w:rsid w:val="00C971FE"/>
    <w:rsid w:val="00C97B71"/>
    <w:rsid w:val="00CA123A"/>
    <w:rsid w:val="00CA1BD3"/>
    <w:rsid w:val="00CA2427"/>
    <w:rsid w:val="00CA29A7"/>
    <w:rsid w:val="00CA32B3"/>
    <w:rsid w:val="00CA38CF"/>
    <w:rsid w:val="00CA3EE4"/>
    <w:rsid w:val="00CA4B55"/>
    <w:rsid w:val="00CA705B"/>
    <w:rsid w:val="00CB2569"/>
    <w:rsid w:val="00CC002D"/>
    <w:rsid w:val="00CC128F"/>
    <w:rsid w:val="00CC1A2A"/>
    <w:rsid w:val="00CC2971"/>
    <w:rsid w:val="00CC2F8E"/>
    <w:rsid w:val="00CC3917"/>
    <w:rsid w:val="00CC3F6F"/>
    <w:rsid w:val="00CC4409"/>
    <w:rsid w:val="00CC4E70"/>
    <w:rsid w:val="00CC516A"/>
    <w:rsid w:val="00CD0D7F"/>
    <w:rsid w:val="00CD135B"/>
    <w:rsid w:val="00CD1B16"/>
    <w:rsid w:val="00CD23C8"/>
    <w:rsid w:val="00CD7AC8"/>
    <w:rsid w:val="00CE035C"/>
    <w:rsid w:val="00CE2092"/>
    <w:rsid w:val="00CE3208"/>
    <w:rsid w:val="00CE41B8"/>
    <w:rsid w:val="00CE4F57"/>
    <w:rsid w:val="00CE63F7"/>
    <w:rsid w:val="00CE764E"/>
    <w:rsid w:val="00CF0F5A"/>
    <w:rsid w:val="00CF1122"/>
    <w:rsid w:val="00CF2DDF"/>
    <w:rsid w:val="00CF3800"/>
    <w:rsid w:val="00CF53CA"/>
    <w:rsid w:val="00CF5E5E"/>
    <w:rsid w:val="00D002EE"/>
    <w:rsid w:val="00D00536"/>
    <w:rsid w:val="00D0053F"/>
    <w:rsid w:val="00D026E1"/>
    <w:rsid w:val="00D06036"/>
    <w:rsid w:val="00D06111"/>
    <w:rsid w:val="00D066FB"/>
    <w:rsid w:val="00D1463E"/>
    <w:rsid w:val="00D14C6C"/>
    <w:rsid w:val="00D15341"/>
    <w:rsid w:val="00D16876"/>
    <w:rsid w:val="00D1711A"/>
    <w:rsid w:val="00D20CC9"/>
    <w:rsid w:val="00D2149E"/>
    <w:rsid w:val="00D22D4D"/>
    <w:rsid w:val="00D2406B"/>
    <w:rsid w:val="00D26163"/>
    <w:rsid w:val="00D27CFC"/>
    <w:rsid w:val="00D30334"/>
    <w:rsid w:val="00D30544"/>
    <w:rsid w:val="00D31922"/>
    <w:rsid w:val="00D348E6"/>
    <w:rsid w:val="00D375E4"/>
    <w:rsid w:val="00D40083"/>
    <w:rsid w:val="00D40C5D"/>
    <w:rsid w:val="00D419E3"/>
    <w:rsid w:val="00D422DC"/>
    <w:rsid w:val="00D435F6"/>
    <w:rsid w:val="00D43982"/>
    <w:rsid w:val="00D44A7F"/>
    <w:rsid w:val="00D4553B"/>
    <w:rsid w:val="00D4578D"/>
    <w:rsid w:val="00D466AA"/>
    <w:rsid w:val="00D46FF7"/>
    <w:rsid w:val="00D50919"/>
    <w:rsid w:val="00D5139C"/>
    <w:rsid w:val="00D553D7"/>
    <w:rsid w:val="00D57658"/>
    <w:rsid w:val="00D6054B"/>
    <w:rsid w:val="00D609F7"/>
    <w:rsid w:val="00D613AD"/>
    <w:rsid w:val="00D623DC"/>
    <w:rsid w:val="00D63F83"/>
    <w:rsid w:val="00D65193"/>
    <w:rsid w:val="00D71727"/>
    <w:rsid w:val="00D726C0"/>
    <w:rsid w:val="00D73A22"/>
    <w:rsid w:val="00D75769"/>
    <w:rsid w:val="00D76399"/>
    <w:rsid w:val="00D76AA4"/>
    <w:rsid w:val="00D77356"/>
    <w:rsid w:val="00D80542"/>
    <w:rsid w:val="00D82AA0"/>
    <w:rsid w:val="00D82ADF"/>
    <w:rsid w:val="00D83063"/>
    <w:rsid w:val="00D8379A"/>
    <w:rsid w:val="00D83F82"/>
    <w:rsid w:val="00D848D6"/>
    <w:rsid w:val="00D85C65"/>
    <w:rsid w:val="00D865AB"/>
    <w:rsid w:val="00D8678F"/>
    <w:rsid w:val="00D877A9"/>
    <w:rsid w:val="00D913A7"/>
    <w:rsid w:val="00D93346"/>
    <w:rsid w:val="00D93643"/>
    <w:rsid w:val="00D93A4A"/>
    <w:rsid w:val="00D93C76"/>
    <w:rsid w:val="00D94A0E"/>
    <w:rsid w:val="00D960F3"/>
    <w:rsid w:val="00D969C2"/>
    <w:rsid w:val="00DA07C7"/>
    <w:rsid w:val="00DA2378"/>
    <w:rsid w:val="00DA2960"/>
    <w:rsid w:val="00DA3BA1"/>
    <w:rsid w:val="00DA4A35"/>
    <w:rsid w:val="00DA4AAF"/>
    <w:rsid w:val="00DA57AA"/>
    <w:rsid w:val="00DB01C1"/>
    <w:rsid w:val="00DB0D77"/>
    <w:rsid w:val="00DB130D"/>
    <w:rsid w:val="00DB200A"/>
    <w:rsid w:val="00DB5864"/>
    <w:rsid w:val="00DB705C"/>
    <w:rsid w:val="00DC0186"/>
    <w:rsid w:val="00DC063C"/>
    <w:rsid w:val="00DC0A95"/>
    <w:rsid w:val="00DC154A"/>
    <w:rsid w:val="00DC20AB"/>
    <w:rsid w:val="00DC36A0"/>
    <w:rsid w:val="00DC4767"/>
    <w:rsid w:val="00DC49AD"/>
    <w:rsid w:val="00DC6293"/>
    <w:rsid w:val="00DD2AB7"/>
    <w:rsid w:val="00DD2FF6"/>
    <w:rsid w:val="00DD3E1C"/>
    <w:rsid w:val="00DD44CA"/>
    <w:rsid w:val="00DD59BC"/>
    <w:rsid w:val="00DD635F"/>
    <w:rsid w:val="00DD7CCA"/>
    <w:rsid w:val="00DE0323"/>
    <w:rsid w:val="00DE1AD9"/>
    <w:rsid w:val="00DE1B36"/>
    <w:rsid w:val="00DE1D3C"/>
    <w:rsid w:val="00DE2D80"/>
    <w:rsid w:val="00DE3643"/>
    <w:rsid w:val="00DE3F07"/>
    <w:rsid w:val="00DE48E5"/>
    <w:rsid w:val="00DE4D1D"/>
    <w:rsid w:val="00DE78E1"/>
    <w:rsid w:val="00DF3598"/>
    <w:rsid w:val="00DF55C5"/>
    <w:rsid w:val="00DF5FC5"/>
    <w:rsid w:val="00DF60C1"/>
    <w:rsid w:val="00DF63B5"/>
    <w:rsid w:val="00E0005C"/>
    <w:rsid w:val="00E0040E"/>
    <w:rsid w:val="00E03B7B"/>
    <w:rsid w:val="00E03FC2"/>
    <w:rsid w:val="00E046CA"/>
    <w:rsid w:val="00E04B3A"/>
    <w:rsid w:val="00E063FA"/>
    <w:rsid w:val="00E07B94"/>
    <w:rsid w:val="00E07E23"/>
    <w:rsid w:val="00E103E9"/>
    <w:rsid w:val="00E1176B"/>
    <w:rsid w:val="00E11E2E"/>
    <w:rsid w:val="00E12386"/>
    <w:rsid w:val="00E1367A"/>
    <w:rsid w:val="00E143AF"/>
    <w:rsid w:val="00E15439"/>
    <w:rsid w:val="00E1630B"/>
    <w:rsid w:val="00E16B52"/>
    <w:rsid w:val="00E17410"/>
    <w:rsid w:val="00E219D5"/>
    <w:rsid w:val="00E224BC"/>
    <w:rsid w:val="00E258F6"/>
    <w:rsid w:val="00E25E9E"/>
    <w:rsid w:val="00E26C03"/>
    <w:rsid w:val="00E27E60"/>
    <w:rsid w:val="00E3155B"/>
    <w:rsid w:val="00E3172A"/>
    <w:rsid w:val="00E3181A"/>
    <w:rsid w:val="00E31965"/>
    <w:rsid w:val="00E31DDB"/>
    <w:rsid w:val="00E336F2"/>
    <w:rsid w:val="00E34317"/>
    <w:rsid w:val="00E34901"/>
    <w:rsid w:val="00E4036C"/>
    <w:rsid w:val="00E43F5B"/>
    <w:rsid w:val="00E448B5"/>
    <w:rsid w:val="00E4639C"/>
    <w:rsid w:val="00E46456"/>
    <w:rsid w:val="00E46A99"/>
    <w:rsid w:val="00E5009B"/>
    <w:rsid w:val="00E50B16"/>
    <w:rsid w:val="00E50F5C"/>
    <w:rsid w:val="00E521A7"/>
    <w:rsid w:val="00E525F9"/>
    <w:rsid w:val="00E53218"/>
    <w:rsid w:val="00E53763"/>
    <w:rsid w:val="00E53F4D"/>
    <w:rsid w:val="00E54032"/>
    <w:rsid w:val="00E57545"/>
    <w:rsid w:val="00E57606"/>
    <w:rsid w:val="00E60AD0"/>
    <w:rsid w:val="00E60ADD"/>
    <w:rsid w:val="00E644C7"/>
    <w:rsid w:val="00E64734"/>
    <w:rsid w:val="00E64B1B"/>
    <w:rsid w:val="00E6672F"/>
    <w:rsid w:val="00E7036B"/>
    <w:rsid w:val="00E703E4"/>
    <w:rsid w:val="00E710CB"/>
    <w:rsid w:val="00E71475"/>
    <w:rsid w:val="00E77566"/>
    <w:rsid w:val="00E777BA"/>
    <w:rsid w:val="00E80165"/>
    <w:rsid w:val="00E81B37"/>
    <w:rsid w:val="00E844DC"/>
    <w:rsid w:val="00E848F6"/>
    <w:rsid w:val="00E861FF"/>
    <w:rsid w:val="00E87FBC"/>
    <w:rsid w:val="00E923F4"/>
    <w:rsid w:val="00E93EFC"/>
    <w:rsid w:val="00E9532F"/>
    <w:rsid w:val="00E966FF"/>
    <w:rsid w:val="00E96D11"/>
    <w:rsid w:val="00E97A9A"/>
    <w:rsid w:val="00EA0100"/>
    <w:rsid w:val="00EA17B1"/>
    <w:rsid w:val="00EA3ADC"/>
    <w:rsid w:val="00EA3EE6"/>
    <w:rsid w:val="00EA4D85"/>
    <w:rsid w:val="00EA5CDD"/>
    <w:rsid w:val="00EA67DD"/>
    <w:rsid w:val="00EA682C"/>
    <w:rsid w:val="00EA6D7A"/>
    <w:rsid w:val="00EA70A7"/>
    <w:rsid w:val="00EA77F9"/>
    <w:rsid w:val="00EA7DFD"/>
    <w:rsid w:val="00EB1119"/>
    <w:rsid w:val="00EB1490"/>
    <w:rsid w:val="00EB2720"/>
    <w:rsid w:val="00EB37FE"/>
    <w:rsid w:val="00EB4273"/>
    <w:rsid w:val="00EB46EB"/>
    <w:rsid w:val="00EB5CA5"/>
    <w:rsid w:val="00EB714A"/>
    <w:rsid w:val="00EB7745"/>
    <w:rsid w:val="00EB77BC"/>
    <w:rsid w:val="00EC32AC"/>
    <w:rsid w:val="00EC3F5E"/>
    <w:rsid w:val="00EC5E3A"/>
    <w:rsid w:val="00EC62CD"/>
    <w:rsid w:val="00EC6582"/>
    <w:rsid w:val="00EC6F00"/>
    <w:rsid w:val="00EC740D"/>
    <w:rsid w:val="00EC7570"/>
    <w:rsid w:val="00ED0D81"/>
    <w:rsid w:val="00ED0EE8"/>
    <w:rsid w:val="00ED18C5"/>
    <w:rsid w:val="00ED2148"/>
    <w:rsid w:val="00ED3A3F"/>
    <w:rsid w:val="00ED403C"/>
    <w:rsid w:val="00EE1CB0"/>
    <w:rsid w:val="00EE1D24"/>
    <w:rsid w:val="00EE4B97"/>
    <w:rsid w:val="00EE5022"/>
    <w:rsid w:val="00EF014C"/>
    <w:rsid w:val="00EF11BE"/>
    <w:rsid w:val="00EF199B"/>
    <w:rsid w:val="00EF2C5E"/>
    <w:rsid w:val="00EF5007"/>
    <w:rsid w:val="00EF5C42"/>
    <w:rsid w:val="00EF6059"/>
    <w:rsid w:val="00F0101B"/>
    <w:rsid w:val="00F0118E"/>
    <w:rsid w:val="00F0172E"/>
    <w:rsid w:val="00F01732"/>
    <w:rsid w:val="00F0235A"/>
    <w:rsid w:val="00F02FAD"/>
    <w:rsid w:val="00F034B8"/>
    <w:rsid w:val="00F0449E"/>
    <w:rsid w:val="00F0721E"/>
    <w:rsid w:val="00F07C10"/>
    <w:rsid w:val="00F11A23"/>
    <w:rsid w:val="00F128E6"/>
    <w:rsid w:val="00F13114"/>
    <w:rsid w:val="00F151DD"/>
    <w:rsid w:val="00F16861"/>
    <w:rsid w:val="00F16D18"/>
    <w:rsid w:val="00F17B7F"/>
    <w:rsid w:val="00F20B1A"/>
    <w:rsid w:val="00F2123A"/>
    <w:rsid w:val="00F21602"/>
    <w:rsid w:val="00F22425"/>
    <w:rsid w:val="00F226F1"/>
    <w:rsid w:val="00F231A3"/>
    <w:rsid w:val="00F25CA6"/>
    <w:rsid w:val="00F27209"/>
    <w:rsid w:val="00F273E5"/>
    <w:rsid w:val="00F31EE0"/>
    <w:rsid w:val="00F31FE4"/>
    <w:rsid w:val="00F32096"/>
    <w:rsid w:val="00F32F68"/>
    <w:rsid w:val="00F33589"/>
    <w:rsid w:val="00F33604"/>
    <w:rsid w:val="00F35486"/>
    <w:rsid w:val="00F4067B"/>
    <w:rsid w:val="00F428D5"/>
    <w:rsid w:val="00F43AD4"/>
    <w:rsid w:val="00F456C0"/>
    <w:rsid w:val="00F500DB"/>
    <w:rsid w:val="00F504ED"/>
    <w:rsid w:val="00F5175E"/>
    <w:rsid w:val="00F51978"/>
    <w:rsid w:val="00F52D0D"/>
    <w:rsid w:val="00F53645"/>
    <w:rsid w:val="00F54264"/>
    <w:rsid w:val="00F56111"/>
    <w:rsid w:val="00F57677"/>
    <w:rsid w:val="00F578B2"/>
    <w:rsid w:val="00F607DE"/>
    <w:rsid w:val="00F60966"/>
    <w:rsid w:val="00F61E09"/>
    <w:rsid w:val="00F635AF"/>
    <w:rsid w:val="00F64BB7"/>
    <w:rsid w:val="00F669D7"/>
    <w:rsid w:val="00F673E9"/>
    <w:rsid w:val="00F67509"/>
    <w:rsid w:val="00F67C55"/>
    <w:rsid w:val="00F71004"/>
    <w:rsid w:val="00F726D0"/>
    <w:rsid w:val="00F74D53"/>
    <w:rsid w:val="00F7557E"/>
    <w:rsid w:val="00F759E9"/>
    <w:rsid w:val="00F76858"/>
    <w:rsid w:val="00F768FE"/>
    <w:rsid w:val="00F77EF3"/>
    <w:rsid w:val="00F80700"/>
    <w:rsid w:val="00F80DB1"/>
    <w:rsid w:val="00F81D85"/>
    <w:rsid w:val="00F83410"/>
    <w:rsid w:val="00F83709"/>
    <w:rsid w:val="00F84538"/>
    <w:rsid w:val="00F845BA"/>
    <w:rsid w:val="00F85382"/>
    <w:rsid w:val="00F87A1B"/>
    <w:rsid w:val="00F87BEC"/>
    <w:rsid w:val="00F90A68"/>
    <w:rsid w:val="00F9113B"/>
    <w:rsid w:val="00F916E2"/>
    <w:rsid w:val="00F934B8"/>
    <w:rsid w:val="00F94EB7"/>
    <w:rsid w:val="00F95EF6"/>
    <w:rsid w:val="00FA1C78"/>
    <w:rsid w:val="00FA41DE"/>
    <w:rsid w:val="00FA4226"/>
    <w:rsid w:val="00FA5BE4"/>
    <w:rsid w:val="00FA7EA1"/>
    <w:rsid w:val="00FB2BDB"/>
    <w:rsid w:val="00FB4F83"/>
    <w:rsid w:val="00FB6EC6"/>
    <w:rsid w:val="00FC019E"/>
    <w:rsid w:val="00FC13AA"/>
    <w:rsid w:val="00FC37A9"/>
    <w:rsid w:val="00FC69AA"/>
    <w:rsid w:val="00FC7660"/>
    <w:rsid w:val="00FC7B43"/>
    <w:rsid w:val="00FC7C84"/>
    <w:rsid w:val="00FD19FA"/>
    <w:rsid w:val="00FD3101"/>
    <w:rsid w:val="00FD31AF"/>
    <w:rsid w:val="00FD71D5"/>
    <w:rsid w:val="00FE1CE3"/>
    <w:rsid w:val="00FE34BA"/>
    <w:rsid w:val="00FE3AC8"/>
    <w:rsid w:val="00FE3FF7"/>
    <w:rsid w:val="00FE416B"/>
    <w:rsid w:val="00FE41E9"/>
    <w:rsid w:val="00FE45ED"/>
    <w:rsid w:val="00FE4ACF"/>
    <w:rsid w:val="00FE58ED"/>
    <w:rsid w:val="00FE72B0"/>
    <w:rsid w:val="00FE78F2"/>
    <w:rsid w:val="00FF0068"/>
    <w:rsid w:val="00FF29DC"/>
    <w:rsid w:val="00FF29EE"/>
    <w:rsid w:val="00FF429D"/>
    <w:rsid w:val="00FF583B"/>
    <w:rsid w:val="01567DC9"/>
    <w:rsid w:val="05AC3C46"/>
    <w:rsid w:val="0A76C9FF"/>
    <w:rsid w:val="0AA6FDD9"/>
    <w:rsid w:val="0C8C476E"/>
    <w:rsid w:val="10661E93"/>
    <w:rsid w:val="118435A4"/>
    <w:rsid w:val="12EA05BB"/>
    <w:rsid w:val="1362E635"/>
    <w:rsid w:val="16AC07E6"/>
    <w:rsid w:val="17BC92EF"/>
    <w:rsid w:val="1A5E276D"/>
    <w:rsid w:val="1B466B3D"/>
    <w:rsid w:val="1D073B7F"/>
    <w:rsid w:val="1D13A133"/>
    <w:rsid w:val="1F1CE5C2"/>
    <w:rsid w:val="1F58BAA8"/>
    <w:rsid w:val="2098DE5F"/>
    <w:rsid w:val="24ECABE3"/>
    <w:rsid w:val="2A2F7C28"/>
    <w:rsid w:val="2A899296"/>
    <w:rsid w:val="2C8DAB36"/>
    <w:rsid w:val="2D52646D"/>
    <w:rsid w:val="2E8369E5"/>
    <w:rsid w:val="306AF61A"/>
    <w:rsid w:val="31094181"/>
    <w:rsid w:val="33416597"/>
    <w:rsid w:val="3449DE23"/>
    <w:rsid w:val="35CA6E5C"/>
    <w:rsid w:val="35FCEE35"/>
    <w:rsid w:val="37721402"/>
    <w:rsid w:val="384659A5"/>
    <w:rsid w:val="3951AEA4"/>
    <w:rsid w:val="396A6115"/>
    <w:rsid w:val="3AF0FF0C"/>
    <w:rsid w:val="3BD61AFB"/>
    <w:rsid w:val="3EB72848"/>
    <w:rsid w:val="3FED4B70"/>
    <w:rsid w:val="40475CE2"/>
    <w:rsid w:val="42D73E2F"/>
    <w:rsid w:val="436DBBB6"/>
    <w:rsid w:val="4391934F"/>
    <w:rsid w:val="444D43DF"/>
    <w:rsid w:val="45FCA6A6"/>
    <w:rsid w:val="465E4525"/>
    <w:rsid w:val="46716E55"/>
    <w:rsid w:val="46BA36AB"/>
    <w:rsid w:val="4748A146"/>
    <w:rsid w:val="493AB6CA"/>
    <w:rsid w:val="4A577BA0"/>
    <w:rsid w:val="4A6332AA"/>
    <w:rsid w:val="4C8DFBBC"/>
    <w:rsid w:val="4F105518"/>
    <w:rsid w:val="4F2A42A6"/>
    <w:rsid w:val="4FBB56B3"/>
    <w:rsid w:val="5107B6CE"/>
    <w:rsid w:val="526EA83D"/>
    <w:rsid w:val="554D3CF5"/>
    <w:rsid w:val="5CC26C5F"/>
    <w:rsid w:val="5FE086CD"/>
    <w:rsid w:val="611061E5"/>
    <w:rsid w:val="62A8DB6E"/>
    <w:rsid w:val="62EB5390"/>
    <w:rsid w:val="63AF1736"/>
    <w:rsid w:val="6465EA26"/>
    <w:rsid w:val="6598EA2A"/>
    <w:rsid w:val="677CD07F"/>
    <w:rsid w:val="6811A285"/>
    <w:rsid w:val="68248BF0"/>
    <w:rsid w:val="6985577D"/>
    <w:rsid w:val="6AA33114"/>
    <w:rsid w:val="720489B1"/>
    <w:rsid w:val="723FAF56"/>
    <w:rsid w:val="73EC7D3E"/>
    <w:rsid w:val="76929B8E"/>
    <w:rsid w:val="795DBD7D"/>
    <w:rsid w:val="7A99140E"/>
    <w:rsid w:val="7C59C765"/>
    <w:rsid w:val="7D64C65E"/>
    <w:rsid w:val="7ECE92F4"/>
    <w:rsid w:val="7ED592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0471"/>
  <w15:chartTrackingRefBased/>
  <w15:docId w15:val="{19D19478-65A2-43E0-97EB-66A7CC3F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CE"/>
    <w:rPr>
      <w:rFonts w:ascii="Arial" w:hAnsi="Arial" w:cs="Arial"/>
      <w:sz w:val="24"/>
      <w:szCs w:val="24"/>
    </w:rPr>
  </w:style>
  <w:style w:type="paragraph" w:styleId="Heading1">
    <w:name w:val="heading 1"/>
    <w:basedOn w:val="Normal"/>
    <w:next w:val="Normal"/>
    <w:link w:val="Heading1Char"/>
    <w:uiPriority w:val="9"/>
    <w:qFormat/>
    <w:rsid w:val="005D18C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447FC"/>
    <w:pPr>
      <w:keepNext/>
      <w:keepLines/>
      <w:spacing w:before="40" w:after="0" w:line="48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447FC"/>
    <w:pPr>
      <w:keepNext/>
      <w:keepLines/>
      <w:spacing w:before="40" w:after="0" w:line="360"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F33589"/>
    <w:pPr>
      <w:keepNext/>
      <w:keepLines/>
      <w:spacing w:before="40" w:after="0"/>
      <w:ind w:left="142"/>
      <w:outlineLvl w:val="3"/>
    </w:pPr>
    <w:rPr>
      <w:rFonts w:eastAsia="Times New Roman" w:cstheme="majorBidi"/>
      <w:b/>
      <w:iCs/>
    </w:rPr>
  </w:style>
  <w:style w:type="paragraph" w:styleId="Heading5">
    <w:name w:val="heading 5"/>
    <w:basedOn w:val="Normal"/>
    <w:next w:val="Normal"/>
    <w:link w:val="Heading5Char"/>
    <w:uiPriority w:val="9"/>
    <w:unhideWhenUsed/>
    <w:qFormat/>
    <w:rsid w:val="009344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92"/>
    <w:pPr>
      <w:ind w:left="720"/>
      <w:contextualSpacing/>
    </w:pPr>
  </w:style>
  <w:style w:type="paragraph" w:styleId="Header">
    <w:name w:val="header"/>
    <w:basedOn w:val="Normal"/>
    <w:link w:val="HeaderChar"/>
    <w:uiPriority w:val="99"/>
    <w:unhideWhenUsed/>
    <w:rsid w:val="005D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4AD"/>
  </w:style>
  <w:style w:type="paragraph" w:styleId="Footer">
    <w:name w:val="footer"/>
    <w:basedOn w:val="Normal"/>
    <w:link w:val="FooterChar"/>
    <w:uiPriority w:val="99"/>
    <w:unhideWhenUsed/>
    <w:rsid w:val="005D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4AD"/>
  </w:style>
  <w:style w:type="character" w:customStyle="1" w:styleId="Heading1Char">
    <w:name w:val="Heading 1 Char"/>
    <w:basedOn w:val="DefaultParagraphFont"/>
    <w:link w:val="Heading1"/>
    <w:uiPriority w:val="9"/>
    <w:rsid w:val="005D18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447FC"/>
    <w:rPr>
      <w:rFonts w:ascii="Arial" w:eastAsiaTheme="majorEastAsia" w:hAnsi="Arial" w:cstheme="majorBidi"/>
      <w:b/>
      <w:sz w:val="28"/>
      <w:szCs w:val="26"/>
    </w:rPr>
  </w:style>
  <w:style w:type="character" w:styleId="Hyperlink">
    <w:name w:val="Hyperlink"/>
    <w:uiPriority w:val="99"/>
    <w:rsid w:val="005D74AD"/>
    <w:rPr>
      <w:color w:val="0000FF"/>
      <w:u w:val="single"/>
    </w:rPr>
  </w:style>
  <w:style w:type="table" w:styleId="TableGrid">
    <w:name w:val="Table Grid"/>
    <w:basedOn w:val="TableNormal"/>
    <w:uiPriority w:val="39"/>
    <w:rsid w:val="005D74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762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3762B"/>
    <w:pPr>
      <w:outlineLvl w:val="9"/>
    </w:pPr>
    <w:rPr>
      <w:lang w:val="en-US"/>
    </w:rPr>
  </w:style>
  <w:style w:type="paragraph" w:styleId="TOC2">
    <w:name w:val="toc 2"/>
    <w:basedOn w:val="Normal"/>
    <w:next w:val="Normal"/>
    <w:autoRedefine/>
    <w:uiPriority w:val="39"/>
    <w:unhideWhenUsed/>
    <w:rsid w:val="0003762B"/>
    <w:pPr>
      <w:spacing w:after="100"/>
      <w:ind w:left="220"/>
    </w:pPr>
  </w:style>
  <w:style w:type="paragraph" w:styleId="TOC1">
    <w:name w:val="toc 1"/>
    <w:basedOn w:val="Normal"/>
    <w:next w:val="Normal"/>
    <w:autoRedefine/>
    <w:uiPriority w:val="39"/>
    <w:unhideWhenUsed/>
    <w:rsid w:val="0003762B"/>
    <w:pPr>
      <w:spacing w:after="100"/>
    </w:pPr>
  </w:style>
  <w:style w:type="paragraph" w:styleId="TOC3">
    <w:name w:val="toc 3"/>
    <w:basedOn w:val="Normal"/>
    <w:next w:val="Normal"/>
    <w:autoRedefine/>
    <w:uiPriority w:val="39"/>
    <w:unhideWhenUsed/>
    <w:rsid w:val="0003762B"/>
    <w:pPr>
      <w:spacing w:after="100"/>
      <w:ind w:left="440"/>
    </w:pPr>
  </w:style>
  <w:style w:type="table" w:customStyle="1" w:styleId="TableGrid2">
    <w:name w:val="Table Grid2"/>
    <w:basedOn w:val="TableNormal"/>
    <w:next w:val="TableGrid"/>
    <w:uiPriority w:val="39"/>
    <w:rsid w:val="00F6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47FC"/>
    <w:rPr>
      <w:rFonts w:ascii="Arial" w:eastAsiaTheme="majorEastAsia" w:hAnsi="Arial" w:cstheme="majorBidi"/>
      <w:b/>
      <w:sz w:val="24"/>
      <w:szCs w:val="24"/>
    </w:rPr>
  </w:style>
  <w:style w:type="numbering" w:customStyle="1" w:styleId="NoList1">
    <w:name w:val="No List1"/>
    <w:next w:val="NoList"/>
    <w:uiPriority w:val="99"/>
    <w:semiHidden/>
    <w:unhideWhenUsed/>
    <w:rsid w:val="00051D67"/>
  </w:style>
  <w:style w:type="character" w:styleId="CommentReference">
    <w:name w:val="annotation reference"/>
    <w:basedOn w:val="DefaultParagraphFont"/>
    <w:uiPriority w:val="99"/>
    <w:semiHidden/>
    <w:unhideWhenUsed/>
    <w:rsid w:val="006F41F7"/>
    <w:rPr>
      <w:sz w:val="16"/>
      <w:szCs w:val="16"/>
    </w:rPr>
  </w:style>
  <w:style w:type="paragraph" w:styleId="CommentText">
    <w:name w:val="annotation text"/>
    <w:basedOn w:val="Normal"/>
    <w:link w:val="CommentTextChar"/>
    <w:uiPriority w:val="99"/>
    <w:unhideWhenUsed/>
    <w:rsid w:val="006F41F7"/>
    <w:pPr>
      <w:spacing w:after="200" w:line="240" w:lineRule="auto"/>
    </w:pPr>
    <w:rPr>
      <w:sz w:val="20"/>
      <w:szCs w:val="20"/>
    </w:rPr>
  </w:style>
  <w:style w:type="character" w:customStyle="1" w:styleId="CommentTextChar">
    <w:name w:val="Comment Text Char"/>
    <w:basedOn w:val="DefaultParagraphFont"/>
    <w:link w:val="CommentText"/>
    <w:uiPriority w:val="99"/>
    <w:rsid w:val="006F41F7"/>
    <w:rPr>
      <w:sz w:val="20"/>
      <w:szCs w:val="20"/>
    </w:rPr>
  </w:style>
  <w:style w:type="paragraph" w:styleId="BalloonText">
    <w:name w:val="Balloon Text"/>
    <w:basedOn w:val="Normal"/>
    <w:link w:val="BalloonTextChar"/>
    <w:uiPriority w:val="99"/>
    <w:semiHidden/>
    <w:unhideWhenUsed/>
    <w:rsid w:val="006F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1F7"/>
    <w:rPr>
      <w:rFonts w:ascii="Segoe UI" w:hAnsi="Segoe UI" w:cs="Segoe UI"/>
      <w:sz w:val="18"/>
      <w:szCs w:val="18"/>
    </w:rPr>
  </w:style>
  <w:style w:type="character" w:customStyle="1" w:styleId="Heading4Char">
    <w:name w:val="Heading 4 Char"/>
    <w:basedOn w:val="DefaultParagraphFont"/>
    <w:link w:val="Heading4"/>
    <w:uiPriority w:val="9"/>
    <w:rsid w:val="00F33589"/>
    <w:rPr>
      <w:rFonts w:ascii="Arial" w:eastAsia="Times New Roman" w:hAnsi="Arial" w:cstheme="majorBidi"/>
      <w:b/>
      <w:iCs/>
      <w:sz w:val="24"/>
      <w:szCs w:val="24"/>
    </w:rPr>
  </w:style>
  <w:style w:type="paragraph" w:styleId="CommentSubject">
    <w:name w:val="annotation subject"/>
    <w:basedOn w:val="CommentText"/>
    <w:next w:val="CommentText"/>
    <w:link w:val="CommentSubjectChar"/>
    <w:uiPriority w:val="99"/>
    <w:semiHidden/>
    <w:unhideWhenUsed/>
    <w:rsid w:val="00355BF4"/>
    <w:pPr>
      <w:spacing w:after="160"/>
    </w:pPr>
    <w:rPr>
      <w:b/>
      <w:bCs/>
    </w:rPr>
  </w:style>
  <w:style w:type="character" w:customStyle="1" w:styleId="CommentSubjectChar">
    <w:name w:val="Comment Subject Char"/>
    <w:basedOn w:val="CommentTextChar"/>
    <w:link w:val="CommentSubject"/>
    <w:uiPriority w:val="99"/>
    <w:semiHidden/>
    <w:rsid w:val="00355BF4"/>
    <w:rPr>
      <w:b/>
      <w:bCs/>
      <w:sz w:val="20"/>
      <w:szCs w:val="20"/>
    </w:rPr>
  </w:style>
  <w:style w:type="character" w:customStyle="1" w:styleId="UnresolvedMention1">
    <w:name w:val="Unresolved Mention1"/>
    <w:basedOn w:val="DefaultParagraphFont"/>
    <w:uiPriority w:val="99"/>
    <w:semiHidden/>
    <w:unhideWhenUsed/>
    <w:rsid w:val="00355BF4"/>
    <w:rPr>
      <w:color w:val="605E5C"/>
      <w:shd w:val="clear" w:color="auto" w:fill="E1DFDD"/>
    </w:rPr>
  </w:style>
  <w:style w:type="character" w:customStyle="1" w:styleId="Heading5Char">
    <w:name w:val="Heading 5 Char"/>
    <w:basedOn w:val="DefaultParagraphFont"/>
    <w:link w:val="Heading5"/>
    <w:uiPriority w:val="9"/>
    <w:rsid w:val="009344FF"/>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93751D"/>
    <w:rPr>
      <w:color w:val="954F72" w:themeColor="followedHyperlink"/>
      <w:u w:val="single"/>
    </w:rPr>
  </w:style>
  <w:style w:type="paragraph" w:styleId="Revision">
    <w:name w:val="Revision"/>
    <w:hidden/>
    <w:uiPriority w:val="99"/>
    <w:semiHidden/>
    <w:rsid w:val="00292A19"/>
    <w:pPr>
      <w:spacing w:after="0" w:line="240" w:lineRule="auto"/>
    </w:pPr>
    <w:rPr>
      <w:rFonts w:ascii="Arial" w:hAnsi="Arial" w:cs="Arial"/>
      <w:sz w:val="24"/>
      <w:szCs w:val="24"/>
    </w:rPr>
  </w:style>
  <w:style w:type="paragraph" w:customStyle="1" w:styleId="FootnoteText1">
    <w:name w:val="Footnote Text1"/>
    <w:basedOn w:val="Normal"/>
    <w:next w:val="FootnoteText"/>
    <w:link w:val="FootnoteTextChar"/>
    <w:uiPriority w:val="99"/>
    <w:semiHidden/>
    <w:unhideWhenUsed/>
    <w:rsid w:val="001D2B7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1D2B7A"/>
    <w:rPr>
      <w:sz w:val="20"/>
      <w:szCs w:val="20"/>
    </w:rPr>
  </w:style>
  <w:style w:type="character" w:styleId="FootnoteReference">
    <w:name w:val="footnote reference"/>
    <w:basedOn w:val="DefaultParagraphFont"/>
    <w:uiPriority w:val="99"/>
    <w:semiHidden/>
    <w:unhideWhenUsed/>
    <w:rsid w:val="001D2B7A"/>
    <w:rPr>
      <w:vertAlign w:val="superscript"/>
    </w:rPr>
  </w:style>
  <w:style w:type="paragraph" w:styleId="FootnoteText">
    <w:name w:val="footnote text"/>
    <w:basedOn w:val="Normal"/>
    <w:link w:val="FootnoteTextChar1"/>
    <w:uiPriority w:val="99"/>
    <w:semiHidden/>
    <w:unhideWhenUsed/>
    <w:rsid w:val="001D2B7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D2B7A"/>
    <w:rPr>
      <w:rFonts w:ascii="Arial" w:hAnsi="Arial" w:cs="Arial"/>
      <w:sz w:val="20"/>
      <w:szCs w:val="20"/>
    </w:rPr>
  </w:style>
  <w:style w:type="character" w:customStyle="1" w:styleId="UnresolvedMention2">
    <w:name w:val="Unresolved Mention2"/>
    <w:basedOn w:val="DefaultParagraphFont"/>
    <w:uiPriority w:val="99"/>
    <w:semiHidden/>
    <w:unhideWhenUsed/>
    <w:rsid w:val="008E4A9B"/>
    <w:rPr>
      <w:color w:val="605E5C"/>
      <w:shd w:val="clear" w:color="auto" w:fill="E1DFDD"/>
    </w:rPr>
  </w:style>
  <w:style w:type="character" w:customStyle="1" w:styleId="tophash">
    <w:name w:val="tophash"/>
    <w:basedOn w:val="DefaultParagraphFont"/>
    <w:rsid w:val="00147D3B"/>
  </w:style>
  <w:style w:type="paragraph" w:styleId="NormalWeb">
    <w:name w:val="Normal (Web)"/>
    <w:basedOn w:val="Normal"/>
    <w:uiPriority w:val="99"/>
    <w:unhideWhenUsed/>
    <w:rsid w:val="00147D3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nresolvedMention3">
    <w:name w:val="Unresolved Mention3"/>
    <w:basedOn w:val="DefaultParagraphFont"/>
    <w:uiPriority w:val="99"/>
    <w:semiHidden/>
    <w:unhideWhenUsed/>
    <w:rsid w:val="00471217"/>
    <w:rPr>
      <w:color w:val="605E5C"/>
      <w:shd w:val="clear" w:color="auto" w:fill="E1DFDD"/>
    </w:rPr>
  </w:style>
  <w:style w:type="character" w:styleId="Strong">
    <w:name w:val="Strong"/>
    <w:basedOn w:val="DefaultParagraphFont"/>
    <w:uiPriority w:val="22"/>
    <w:qFormat/>
    <w:rsid w:val="009C005B"/>
    <w:rPr>
      <w:b/>
      <w:bCs/>
    </w:rPr>
  </w:style>
  <w:style w:type="character" w:styleId="Emphasis">
    <w:name w:val="Emphasis"/>
    <w:basedOn w:val="DefaultParagraphFont"/>
    <w:uiPriority w:val="20"/>
    <w:qFormat/>
    <w:rsid w:val="00991CB3"/>
    <w:rPr>
      <w:i/>
      <w:iCs/>
    </w:rPr>
  </w:style>
  <w:style w:type="character" w:customStyle="1" w:styleId="UnresolvedMention4">
    <w:name w:val="Unresolved Mention4"/>
    <w:basedOn w:val="DefaultParagraphFont"/>
    <w:uiPriority w:val="99"/>
    <w:semiHidden/>
    <w:unhideWhenUsed/>
    <w:rsid w:val="00B0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460">
      <w:bodyDiv w:val="1"/>
      <w:marLeft w:val="0"/>
      <w:marRight w:val="0"/>
      <w:marTop w:val="0"/>
      <w:marBottom w:val="0"/>
      <w:divBdr>
        <w:top w:val="none" w:sz="0" w:space="0" w:color="auto"/>
        <w:left w:val="none" w:sz="0" w:space="0" w:color="auto"/>
        <w:bottom w:val="none" w:sz="0" w:space="0" w:color="auto"/>
        <w:right w:val="none" w:sz="0" w:space="0" w:color="auto"/>
      </w:divBdr>
    </w:div>
    <w:div w:id="288054392">
      <w:bodyDiv w:val="1"/>
      <w:marLeft w:val="0"/>
      <w:marRight w:val="0"/>
      <w:marTop w:val="0"/>
      <w:marBottom w:val="0"/>
      <w:divBdr>
        <w:top w:val="none" w:sz="0" w:space="0" w:color="auto"/>
        <w:left w:val="none" w:sz="0" w:space="0" w:color="auto"/>
        <w:bottom w:val="none" w:sz="0" w:space="0" w:color="auto"/>
        <w:right w:val="none" w:sz="0" w:space="0" w:color="auto"/>
      </w:divBdr>
    </w:div>
    <w:div w:id="307708208">
      <w:bodyDiv w:val="1"/>
      <w:marLeft w:val="0"/>
      <w:marRight w:val="0"/>
      <w:marTop w:val="0"/>
      <w:marBottom w:val="0"/>
      <w:divBdr>
        <w:top w:val="none" w:sz="0" w:space="0" w:color="auto"/>
        <w:left w:val="none" w:sz="0" w:space="0" w:color="auto"/>
        <w:bottom w:val="none" w:sz="0" w:space="0" w:color="auto"/>
        <w:right w:val="none" w:sz="0" w:space="0" w:color="auto"/>
      </w:divBdr>
    </w:div>
    <w:div w:id="401410100">
      <w:bodyDiv w:val="1"/>
      <w:marLeft w:val="0"/>
      <w:marRight w:val="0"/>
      <w:marTop w:val="0"/>
      <w:marBottom w:val="0"/>
      <w:divBdr>
        <w:top w:val="none" w:sz="0" w:space="0" w:color="auto"/>
        <w:left w:val="none" w:sz="0" w:space="0" w:color="auto"/>
        <w:bottom w:val="none" w:sz="0" w:space="0" w:color="auto"/>
        <w:right w:val="none" w:sz="0" w:space="0" w:color="auto"/>
      </w:divBdr>
      <w:divsChild>
        <w:div w:id="1285499436">
          <w:marLeft w:val="0"/>
          <w:marRight w:val="0"/>
          <w:marTop w:val="0"/>
          <w:marBottom w:val="0"/>
          <w:divBdr>
            <w:top w:val="none" w:sz="0" w:space="0" w:color="auto"/>
            <w:left w:val="none" w:sz="0" w:space="0" w:color="auto"/>
            <w:bottom w:val="none" w:sz="0" w:space="0" w:color="auto"/>
            <w:right w:val="none" w:sz="0" w:space="0" w:color="auto"/>
          </w:divBdr>
        </w:div>
        <w:div w:id="1003969048">
          <w:marLeft w:val="0"/>
          <w:marRight w:val="0"/>
          <w:marTop w:val="0"/>
          <w:marBottom w:val="0"/>
          <w:divBdr>
            <w:top w:val="none" w:sz="0" w:space="0" w:color="auto"/>
            <w:left w:val="none" w:sz="0" w:space="0" w:color="auto"/>
            <w:bottom w:val="none" w:sz="0" w:space="0" w:color="auto"/>
            <w:right w:val="none" w:sz="0" w:space="0" w:color="auto"/>
          </w:divBdr>
          <w:divsChild>
            <w:div w:id="1658067267">
              <w:marLeft w:val="4665"/>
              <w:marRight w:val="0"/>
              <w:marTop w:val="0"/>
              <w:marBottom w:val="0"/>
              <w:divBdr>
                <w:top w:val="none" w:sz="0" w:space="0" w:color="auto"/>
                <w:left w:val="none" w:sz="0" w:space="0" w:color="auto"/>
                <w:bottom w:val="none" w:sz="0" w:space="0" w:color="auto"/>
                <w:right w:val="none" w:sz="0" w:space="0" w:color="auto"/>
              </w:divBdr>
              <w:divsChild>
                <w:div w:id="18592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72002">
      <w:bodyDiv w:val="1"/>
      <w:marLeft w:val="0"/>
      <w:marRight w:val="0"/>
      <w:marTop w:val="0"/>
      <w:marBottom w:val="0"/>
      <w:divBdr>
        <w:top w:val="none" w:sz="0" w:space="0" w:color="auto"/>
        <w:left w:val="none" w:sz="0" w:space="0" w:color="auto"/>
        <w:bottom w:val="none" w:sz="0" w:space="0" w:color="auto"/>
        <w:right w:val="none" w:sz="0" w:space="0" w:color="auto"/>
      </w:divBdr>
    </w:div>
    <w:div w:id="1310214012">
      <w:bodyDiv w:val="1"/>
      <w:marLeft w:val="0"/>
      <w:marRight w:val="0"/>
      <w:marTop w:val="0"/>
      <w:marBottom w:val="0"/>
      <w:divBdr>
        <w:top w:val="none" w:sz="0" w:space="0" w:color="auto"/>
        <w:left w:val="none" w:sz="0" w:space="0" w:color="auto"/>
        <w:bottom w:val="none" w:sz="0" w:space="0" w:color="auto"/>
        <w:right w:val="none" w:sz="0" w:space="0" w:color="auto"/>
      </w:divBdr>
    </w:div>
    <w:div w:id="1451316999">
      <w:bodyDiv w:val="1"/>
      <w:marLeft w:val="0"/>
      <w:marRight w:val="0"/>
      <w:marTop w:val="0"/>
      <w:marBottom w:val="0"/>
      <w:divBdr>
        <w:top w:val="none" w:sz="0" w:space="0" w:color="auto"/>
        <w:left w:val="none" w:sz="0" w:space="0" w:color="auto"/>
        <w:bottom w:val="none" w:sz="0" w:space="0" w:color="auto"/>
        <w:right w:val="none" w:sz="0" w:space="0" w:color="auto"/>
      </w:divBdr>
    </w:div>
    <w:div w:id="1758748803">
      <w:bodyDiv w:val="1"/>
      <w:marLeft w:val="0"/>
      <w:marRight w:val="0"/>
      <w:marTop w:val="0"/>
      <w:marBottom w:val="0"/>
      <w:divBdr>
        <w:top w:val="none" w:sz="0" w:space="0" w:color="auto"/>
        <w:left w:val="none" w:sz="0" w:space="0" w:color="auto"/>
        <w:bottom w:val="none" w:sz="0" w:space="0" w:color="auto"/>
        <w:right w:val="none" w:sz="0" w:space="0" w:color="auto"/>
      </w:divBdr>
      <w:divsChild>
        <w:div w:id="1201472674">
          <w:marLeft w:val="0"/>
          <w:marRight w:val="0"/>
          <w:marTop w:val="0"/>
          <w:marBottom w:val="0"/>
          <w:divBdr>
            <w:top w:val="none" w:sz="0" w:space="0" w:color="auto"/>
            <w:left w:val="none" w:sz="0" w:space="0" w:color="auto"/>
            <w:bottom w:val="none" w:sz="0" w:space="0" w:color="auto"/>
            <w:right w:val="none" w:sz="0" w:space="0" w:color="auto"/>
          </w:divBdr>
        </w:div>
        <w:div w:id="857305859">
          <w:marLeft w:val="0"/>
          <w:marRight w:val="0"/>
          <w:marTop w:val="0"/>
          <w:marBottom w:val="0"/>
          <w:divBdr>
            <w:top w:val="none" w:sz="0" w:space="0" w:color="auto"/>
            <w:left w:val="none" w:sz="0" w:space="0" w:color="auto"/>
            <w:bottom w:val="none" w:sz="0" w:space="0" w:color="auto"/>
            <w:right w:val="none" w:sz="0" w:space="0" w:color="auto"/>
          </w:divBdr>
          <w:divsChild>
            <w:div w:id="377363566">
              <w:marLeft w:val="0"/>
              <w:marRight w:val="0"/>
              <w:marTop w:val="0"/>
              <w:marBottom w:val="0"/>
              <w:divBdr>
                <w:top w:val="none" w:sz="0" w:space="0" w:color="auto"/>
                <w:left w:val="none" w:sz="0" w:space="0" w:color="auto"/>
                <w:bottom w:val="none" w:sz="0" w:space="0" w:color="auto"/>
                <w:right w:val="none" w:sz="0" w:space="0" w:color="auto"/>
              </w:divBdr>
              <w:divsChild>
                <w:div w:id="1093741677">
                  <w:marLeft w:val="0"/>
                  <w:marRight w:val="0"/>
                  <w:marTop w:val="0"/>
                  <w:marBottom w:val="0"/>
                  <w:divBdr>
                    <w:top w:val="none" w:sz="0" w:space="0" w:color="auto"/>
                    <w:left w:val="none" w:sz="0" w:space="0" w:color="auto"/>
                    <w:bottom w:val="none" w:sz="0" w:space="0" w:color="auto"/>
                    <w:right w:val="none" w:sz="0" w:space="0" w:color="auto"/>
                  </w:divBdr>
                </w:div>
                <w:div w:id="365564726">
                  <w:marLeft w:val="0"/>
                  <w:marRight w:val="0"/>
                  <w:marTop w:val="0"/>
                  <w:marBottom w:val="0"/>
                  <w:divBdr>
                    <w:top w:val="none" w:sz="0" w:space="0" w:color="auto"/>
                    <w:left w:val="none" w:sz="0" w:space="0" w:color="auto"/>
                    <w:bottom w:val="none" w:sz="0" w:space="0" w:color="auto"/>
                    <w:right w:val="none" w:sz="0" w:space="0" w:color="auto"/>
                  </w:divBdr>
                  <w:divsChild>
                    <w:div w:id="2141608366">
                      <w:marLeft w:val="0"/>
                      <w:marRight w:val="0"/>
                      <w:marTop w:val="0"/>
                      <w:marBottom w:val="0"/>
                      <w:divBdr>
                        <w:top w:val="none" w:sz="0" w:space="0" w:color="auto"/>
                        <w:left w:val="none" w:sz="0" w:space="0" w:color="auto"/>
                        <w:bottom w:val="none" w:sz="0" w:space="0" w:color="auto"/>
                        <w:right w:val="none" w:sz="0" w:space="0" w:color="auto"/>
                      </w:divBdr>
                      <w:divsChild>
                        <w:div w:id="1616516330">
                          <w:marLeft w:val="0"/>
                          <w:marRight w:val="0"/>
                          <w:marTop w:val="0"/>
                          <w:marBottom w:val="0"/>
                          <w:divBdr>
                            <w:top w:val="none" w:sz="0" w:space="0" w:color="auto"/>
                            <w:left w:val="none" w:sz="0" w:space="0" w:color="auto"/>
                            <w:bottom w:val="none" w:sz="0" w:space="0" w:color="auto"/>
                            <w:right w:val="none" w:sz="0" w:space="0" w:color="auto"/>
                          </w:divBdr>
                        </w:div>
                        <w:div w:id="1628273641">
                          <w:marLeft w:val="0"/>
                          <w:marRight w:val="0"/>
                          <w:marTop w:val="0"/>
                          <w:marBottom w:val="0"/>
                          <w:divBdr>
                            <w:top w:val="none" w:sz="0" w:space="0" w:color="auto"/>
                            <w:left w:val="none" w:sz="0" w:space="0" w:color="auto"/>
                            <w:bottom w:val="none" w:sz="0" w:space="0" w:color="auto"/>
                            <w:right w:val="none" w:sz="0" w:space="0" w:color="auto"/>
                          </w:divBdr>
                        </w:div>
                        <w:div w:id="1077895414">
                          <w:marLeft w:val="0"/>
                          <w:marRight w:val="0"/>
                          <w:marTop w:val="0"/>
                          <w:marBottom w:val="0"/>
                          <w:divBdr>
                            <w:top w:val="none" w:sz="0" w:space="0" w:color="auto"/>
                            <w:left w:val="none" w:sz="0" w:space="0" w:color="auto"/>
                            <w:bottom w:val="none" w:sz="0" w:space="0" w:color="auto"/>
                            <w:right w:val="none" w:sz="0" w:space="0" w:color="auto"/>
                          </w:divBdr>
                        </w:div>
                        <w:div w:id="1659576212">
                          <w:marLeft w:val="0"/>
                          <w:marRight w:val="0"/>
                          <w:marTop w:val="0"/>
                          <w:marBottom w:val="0"/>
                          <w:divBdr>
                            <w:top w:val="none" w:sz="0" w:space="0" w:color="auto"/>
                            <w:left w:val="none" w:sz="0" w:space="0" w:color="auto"/>
                            <w:bottom w:val="none" w:sz="0" w:space="0" w:color="auto"/>
                            <w:right w:val="none" w:sz="0" w:space="0" w:color="auto"/>
                          </w:divBdr>
                        </w:div>
                        <w:div w:id="173108177">
                          <w:marLeft w:val="0"/>
                          <w:marRight w:val="0"/>
                          <w:marTop w:val="0"/>
                          <w:marBottom w:val="0"/>
                          <w:divBdr>
                            <w:top w:val="none" w:sz="0" w:space="0" w:color="auto"/>
                            <w:left w:val="none" w:sz="0" w:space="0" w:color="auto"/>
                            <w:bottom w:val="none" w:sz="0" w:space="0" w:color="auto"/>
                            <w:right w:val="none" w:sz="0" w:space="0" w:color="auto"/>
                          </w:divBdr>
                        </w:div>
                        <w:div w:id="1558466178">
                          <w:marLeft w:val="0"/>
                          <w:marRight w:val="0"/>
                          <w:marTop w:val="0"/>
                          <w:marBottom w:val="0"/>
                          <w:divBdr>
                            <w:top w:val="none" w:sz="0" w:space="0" w:color="auto"/>
                            <w:left w:val="none" w:sz="0" w:space="0" w:color="auto"/>
                            <w:bottom w:val="none" w:sz="0" w:space="0" w:color="auto"/>
                            <w:right w:val="none" w:sz="0" w:space="0" w:color="auto"/>
                          </w:divBdr>
                          <w:divsChild>
                            <w:div w:id="1763574168">
                              <w:marLeft w:val="0"/>
                              <w:marRight w:val="0"/>
                              <w:marTop w:val="0"/>
                              <w:marBottom w:val="0"/>
                              <w:divBdr>
                                <w:top w:val="none" w:sz="0" w:space="0" w:color="auto"/>
                                <w:left w:val="none" w:sz="0" w:space="0" w:color="auto"/>
                                <w:bottom w:val="none" w:sz="0" w:space="0" w:color="auto"/>
                                <w:right w:val="none" w:sz="0" w:space="0" w:color="auto"/>
                              </w:divBdr>
                            </w:div>
                            <w:div w:id="218443661">
                              <w:marLeft w:val="0"/>
                              <w:marRight w:val="0"/>
                              <w:marTop w:val="0"/>
                              <w:marBottom w:val="0"/>
                              <w:divBdr>
                                <w:top w:val="none" w:sz="0" w:space="0" w:color="auto"/>
                                <w:left w:val="none" w:sz="0" w:space="0" w:color="auto"/>
                                <w:bottom w:val="none" w:sz="0" w:space="0" w:color="auto"/>
                                <w:right w:val="none" w:sz="0" w:space="0" w:color="auto"/>
                              </w:divBdr>
                              <w:divsChild>
                                <w:div w:id="1187331714">
                                  <w:marLeft w:val="0"/>
                                  <w:marRight w:val="0"/>
                                  <w:marTop w:val="0"/>
                                  <w:marBottom w:val="0"/>
                                  <w:divBdr>
                                    <w:top w:val="none" w:sz="0" w:space="0" w:color="auto"/>
                                    <w:left w:val="none" w:sz="0" w:space="0" w:color="auto"/>
                                    <w:bottom w:val="none" w:sz="0" w:space="0" w:color="auto"/>
                                    <w:right w:val="none" w:sz="0" w:space="0" w:color="auto"/>
                                  </w:divBdr>
                                  <w:divsChild>
                                    <w:div w:id="620652824">
                                      <w:marLeft w:val="0"/>
                                      <w:marRight w:val="0"/>
                                      <w:marTop w:val="0"/>
                                      <w:marBottom w:val="0"/>
                                      <w:divBdr>
                                        <w:top w:val="none" w:sz="0" w:space="0" w:color="auto"/>
                                        <w:left w:val="none" w:sz="0" w:space="0" w:color="auto"/>
                                        <w:bottom w:val="none" w:sz="0" w:space="0" w:color="auto"/>
                                        <w:right w:val="none" w:sz="0" w:space="0" w:color="auto"/>
                                      </w:divBdr>
                                    </w:div>
                                    <w:div w:id="1894080394">
                                      <w:marLeft w:val="0"/>
                                      <w:marRight w:val="0"/>
                                      <w:marTop w:val="0"/>
                                      <w:marBottom w:val="0"/>
                                      <w:divBdr>
                                        <w:top w:val="none" w:sz="0" w:space="0" w:color="auto"/>
                                        <w:left w:val="none" w:sz="0" w:space="0" w:color="auto"/>
                                        <w:bottom w:val="none" w:sz="0" w:space="0" w:color="auto"/>
                                        <w:right w:val="none" w:sz="0" w:space="0" w:color="auto"/>
                                      </w:divBdr>
                                    </w:div>
                                    <w:div w:id="1346710896">
                                      <w:marLeft w:val="0"/>
                                      <w:marRight w:val="0"/>
                                      <w:marTop w:val="0"/>
                                      <w:marBottom w:val="0"/>
                                      <w:divBdr>
                                        <w:top w:val="none" w:sz="0" w:space="0" w:color="auto"/>
                                        <w:left w:val="none" w:sz="0" w:space="0" w:color="auto"/>
                                        <w:bottom w:val="none" w:sz="0" w:space="0" w:color="auto"/>
                                        <w:right w:val="none" w:sz="0" w:space="0" w:color="auto"/>
                                      </w:divBdr>
                                      <w:divsChild>
                                        <w:div w:id="1055347670">
                                          <w:marLeft w:val="0"/>
                                          <w:marRight w:val="0"/>
                                          <w:marTop w:val="0"/>
                                          <w:marBottom w:val="0"/>
                                          <w:divBdr>
                                            <w:top w:val="none" w:sz="0" w:space="0" w:color="auto"/>
                                            <w:left w:val="none" w:sz="0" w:space="0" w:color="auto"/>
                                            <w:bottom w:val="none" w:sz="0" w:space="0" w:color="auto"/>
                                            <w:right w:val="none" w:sz="0" w:space="0" w:color="auto"/>
                                          </w:divBdr>
                                          <w:divsChild>
                                            <w:div w:id="1294479168">
                                              <w:marLeft w:val="0"/>
                                              <w:marRight w:val="0"/>
                                              <w:marTop w:val="0"/>
                                              <w:marBottom w:val="0"/>
                                              <w:divBdr>
                                                <w:top w:val="none" w:sz="0" w:space="0" w:color="auto"/>
                                                <w:left w:val="none" w:sz="0" w:space="0" w:color="auto"/>
                                                <w:bottom w:val="none" w:sz="0" w:space="0" w:color="auto"/>
                                                <w:right w:val="none" w:sz="0" w:space="0" w:color="auto"/>
                                              </w:divBdr>
                                            </w:div>
                                            <w:div w:id="1194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613699">
      <w:bodyDiv w:val="1"/>
      <w:marLeft w:val="0"/>
      <w:marRight w:val="0"/>
      <w:marTop w:val="0"/>
      <w:marBottom w:val="0"/>
      <w:divBdr>
        <w:top w:val="none" w:sz="0" w:space="0" w:color="auto"/>
        <w:left w:val="none" w:sz="0" w:space="0" w:color="auto"/>
        <w:bottom w:val="none" w:sz="0" w:space="0" w:color="auto"/>
        <w:right w:val="none" w:sz="0" w:space="0" w:color="auto"/>
      </w:divBdr>
    </w:div>
    <w:div w:id="1778870628">
      <w:bodyDiv w:val="1"/>
      <w:marLeft w:val="0"/>
      <w:marRight w:val="0"/>
      <w:marTop w:val="0"/>
      <w:marBottom w:val="0"/>
      <w:divBdr>
        <w:top w:val="none" w:sz="0" w:space="0" w:color="auto"/>
        <w:left w:val="none" w:sz="0" w:space="0" w:color="auto"/>
        <w:bottom w:val="none" w:sz="0" w:space="0" w:color="auto"/>
        <w:right w:val="none" w:sz="0" w:space="0" w:color="auto"/>
      </w:divBdr>
    </w:div>
    <w:div w:id="1864394701">
      <w:bodyDiv w:val="1"/>
      <w:marLeft w:val="0"/>
      <w:marRight w:val="0"/>
      <w:marTop w:val="0"/>
      <w:marBottom w:val="0"/>
      <w:divBdr>
        <w:top w:val="none" w:sz="0" w:space="0" w:color="auto"/>
        <w:left w:val="none" w:sz="0" w:space="0" w:color="auto"/>
        <w:bottom w:val="none" w:sz="0" w:space="0" w:color="auto"/>
        <w:right w:val="none" w:sz="0" w:space="0" w:color="auto"/>
      </w:divBdr>
    </w:div>
    <w:div w:id="1877085660">
      <w:bodyDiv w:val="1"/>
      <w:marLeft w:val="0"/>
      <w:marRight w:val="0"/>
      <w:marTop w:val="0"/>
      <w:marBottom w:val="0"/>
      <w:divBdr>
        <w:top w:val="none" w:sz="0" w:space="0" w:color="auto"/>
        <w:left w:val="none" w:sz="0" w:space="0" w:color="auto"/>
        <w:bottom w:val="none" w:sz="0" w:space="0" w:color="auto"/>
        <w:right w:val="none" w:sz="0" w:space="0" w:color="auto"/>
      </w:divBdr>
      <w:divsChild>
        <w:div w:id="1031341799">
          <w:marLeft w:val="0"/>
          <w:marRight w:val="0"/>
          <w:marTop w:val="0"/>
          <w:marBottom w:val="0"/>
          <w:divBdr>
            <w:top w:val="none" w:sz="0" w:space="0" w:color="auto"/>
            <w:left w:val="none" w:sz="0" w:space="0" w:color="auto"/>
            <w:bottom w:val="none" w:sz="0" w:space="0" w:color="auto"/>
            <w:right w:val="none" w:sz="0" w:space="0" w:color="auto"/>
          </w:divBdr>
        </w:div>
        <w:div w:id="1120757203">
          <w:marLeft w:val="0"/>
          <w:marRight w:val="0"/>
          <w:marTop w:val="0"/>
          <w:marBottom w:val="0"/>
          <w:divBdr>
            <w:top w:val="none" w:sz="0" w:space="0" w:color="auto"/>
            <w:left w:val="none" w:sz="0" w:space="0" w:color="auto"/>
            <w:bottom w:val="none" w:sz="0" w:space="0" w:color="auto"/>
            <w:right w:val="none" w:sz="0" w:space="0" w:color="auto"/>
          </w:divBdr>
        </w:div>
      </w:divsChild>
    </w:div>
    <w:div w:id="1877769038">
      <w:bodyDiv w:val="1"/>
      <w:marLeft w:val="0"/>
      <w:marRight w:val="0"/>
      <w:marTop w:val="0"/>
      <w:marBottom w:val="0"/>
      <w:divBdr>
        <w:top w:val="none" w:sz="0" w:space="0" w:color="auto"/>
        <w:left w:val="none" w:sz="0" w:space="0" w:color="auto"/>
        <w:bottom w:val="none" w:sz="0" w:space="0" w:color="auto"/>
        <w:right w:val="none" w:sz="0" w:space="0" w:color="auto"/>
      </w:divBdr>
      <w:divsChild>
        <w:div w:id="2102795476">
          <w:marLeft w:val="0"/>
          <w:marRight w:val="0"/>
          <w:marTop w:val="150"/>
          <w:marBottom w:val="0"/>
          <w:divBdr>
            <w:top w:val="none" w:sz="0" w:space="0" w:color="auto"/>
            <w:left w:val="none" w:sz="0" w:space="0" w:color="auto"/>
            <w:bottom w:val="none" w:sz="0" w:space="0" w:color="auto"/>
            <w:right w:val="none" w:sz="0" w:space="0" w:color="auto"/>
          </w:divBdr>
          <w:divsChild>
            <w:div w:id="1874149050">
              <w:marLeft w:val="0"/>
              <w:marRight w:val="0"/>
              <w:marTop w:val="150"/>
              <w:marBottom w:val="0"/>
              <w:divBdr>
                <w:top w:val="single" w:sz="6" w:space="8" w:color="EAEAE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cademy.ac.uk/ukpsf" TargetMode="External"/><Relationship Id="rId18" Type="http://schemas.openxmlformats.org/officeDocument/2006/relationships/hyperlink" Target="http://www.aaua.org/journals/pdfs/JHEM_2018_33-1.pdf" TargetMode="External"/><Relationship Id="rId26" Type="http://schemas.openxmlformats.org/officeDocument/2006/relationships/hyperlink" Target="https://www.timeshighereducation.com/news/career-advice-how-make-your-university-disability-friendly" TargetMode="External"/><Relationship Id="rId39" Type="http://schemas.openxmlformats.org/officeDocument/2006/relationships/hyperlink" Target="https://www.un.org/development/desa/disabilities/convention-on-the-rights-of-persons-with-disabilities/article-24-education.html%20accessed%2012-1-20" TargetMode="External"/><Relationship Id="rId3" Type="http://schemas.openxmlformats.org/officeDocument/2006/relationships/numbering" Target="numbering.xml"/><Relationship Id="rId21" Type="http://schemas.openxmlformats.org/officeDocument/2006/relationships/hyperlink" Target="https://dsa-qag.org.uk/students/useful-information" TargetMode="External"/><Relationship Id="rId34" Type="http://schemas.openxmlformats.org/officeDocument/2006/relationships/hyperlink" Target="https://www.officeforstudents.org.uk/publications/regulatory-advice-7-advice-on-preparing-your-2019-20-access-and-participation-statement/" TargetMode="External"/><Relationship Id="rId42" Type="http://schemas.openxmlformats.org/officeDocument/2006/relationships/hyperlink" Target="https://www.gov.uk/government/speeches/higher-education-student-support-changes-to-disabled-students-allowances-dsa"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academy.ac.uk/heav/student-voice" TargetMode="External"/><Relationship Id="rId17" Type="http://schemas.openxmlformats.org/officeDocument/2006/relationships/hyperlink" Target="https://www.sldo.ac.uk/media/1610/what-are-learning-disabilities-how-common-are-learning-disabilities.pdf" TargetMode="External"/><Relationship Id="rId25" Type="http://schemas.openxmlformats.org/officeDocument/2006/relationships/hyperlink" Target="https://fra.europa.eu/en/cooperation/eu-partners/eu-crpd-framework" TargetMode="External"/><Relationship Id="rId33" Type="http://schemas.openxmlformats.org/officeDocument/2006/relationships/hyperlink" Target="https://www.jisc.ac.uk/rd/projects/student-digital-experience-tracker" TargetMode="External"/><Relationship Id="rId38" Type="http://schemas.openxmlformats.org/officeDocument/2006/relationships/hyperlink" Target="https://papers.ssrn.com/sol3/papers.cfm?abstract_id=347506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a.gov/" TargetMode="External"/><Relationship Id="rId20" Type="http://schemas.openxmlformats.org/officeDocument/2006/relationships/hyperlink" Target="https://www.gov.uk/government/collections/teaching-excellence-framework" TargetMode="External"/><Relationship Id="rId29" Type="http://schemas.openxmlformats.org/officeDocument/2006/relationships/hyperlink" Target="http://shura.shu.ac.uk/1004/1/manuel_madriaga_report.pdf" TargetMode="External"/><Relationship Id="rId41" Type="http://schemas.openxmlformats.org/officeDocument/2006/relationships/hyperlink" Target="https://www.congress.gov/bill/116th-congress/house-bill/5/tex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rris.edu/RSS/disability/documentation-guidelines/index.htm" TargetMode="External"/><Relationship Id="rId24" Type="http://schemas.openxmlformats.org/officeDocument/2006/relationships/hyperlink" Target="https://www.equalityhumanrights.com/en/advice-and-guidance/commonly-used-terms-equal-rights" TargetMode="External"/><Relationship Id="rId32" Type="http://schemas.openxmlformats.org/officeDocument/2006/relationships/hyperlink" Target="http://www.udlcenter.org/research/researchevidence" TargetMode="External"/><Relationship Id="rId37" Type="http://schemas.openxmlformats.org/officeDocument/2006/relationships/hyperlink" Target="https://www.qaa.ac.uk/en/quality-code/advice-and-guidance/enabling-student-achievement" TargetMode="External"/><Relationship Id="rId40" Type="http://schemas.openxmlformats.org/officeDocument/2006/relationships/hyperlink" Target="https://www.congress.gov/bill/110th-congress/house-bill/4137"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head.ie/inclusiveteaching" TargetMode="External"/><Relationship Id="rId23" Type="http://schemas.openxmlformats.org/officeDocument/2006/relationships/hyperlink" Target="https://www.dur.ac.uk/disability.support/support/" TargetMode="External"/><Relationship Id="rId28" Type="http://schemas.openxmlformats.org/officeDocument/2006/relationships/hyperlink" Target="https://www.parliament.uk/business/publications/written-questions-answers-statements/written-statement/Commons/2015-12-02/HCWS347/" TargetMode="External"/><Relationship Id="rId36" Type="http://schemas.openxmlformats.org/officeDocument/2006/relationships/hyperlink" Target="https://www.patoss-dyslexia.org/News/dsa-qag-closing" TargetMode="External"/><Relationship Id="rId10" Type="http://schemas.openxmlformats.org/officeDocument/2006/relationships/hyperlink" Target="https://www.ferris.edu/admissions/homepage.htm" TargetMode="External"/><Relationship Id="rId19" Type="http://schemas.openxmlformats.org/officeDocument/2006/relationships/hyperlink" Target="https://assets.publishing.service.gov.uk/government/uploads/system/uploads/attachment_data/file/665520/Teachers__Standards.pdf" TargetMode="External"/><Relationship Id="rId31" Type="http://schemas.openxmlformats.org/officeDocument/2006/relationships/hyperlink" Target="http://www.nasen.org.uk/resources/resources.sen-support-and-the-graduated-approach-inclusive-practice.html" TargetMode="External"/><Relationship Id="rId44" Type="http://schemas.openxmlformats.org/officeDocument/2006/relationships/hyperlink" Target="https://inclusioninhe.com/projects/iltaf/" TargetMode="External"/><Relationship Id="rId4" Type="http://schemas.openxmlformats.org/officeDocument/2006/relationships/styles" Target="styles.xml"/><Relationship Id="rId9" Type="http://schemas.openxmlformats.org/officeDocument/2006/relationships/hyperlink" Target="https://www.ferris.edu/RSS/disability/terms-concepts.htm" TargetMode="External"/><Relationship Id="rId14" Type="http://schemas.openxmlformats.org/officeDocument/2006/relationships/hyperlink" Target="http://www.ecu.ac.uk/guidance-resources/student-recruitment-retention-attainment/student-retention/inclusive-learning-teaching/competence-standards-reasonable-adjustments/" TargetMode="External"/><Relationship Id="rId22" Type="http://schemas.openxmlformats.org/officeDocument/2006/relationships/hyperlink" Target="https://dsa-qag.org.uk/practitioner/nmh-providers/nmh-framework-document" TargetMode="External"/><Relationship Id="rId27" Type="http://schemas.openxmlformats.org/officeDocument/2006/relationships/hyperlink" Target="https://www.ferris.edu/RSS/disability/federal-guidelines/impact-of-ADA.htm" TargetMode="External"/><Relationship Id="rId30" Type="http://schemas.openxmlformats.org/officeDocument/2006/relationships/hyperlink" Target="https://www.srhe.ac.uk/downloads/reports-2017/Nicola-Martin-SRHE-Research-Report.pdf" TargetMode="External"/><Relationship Id="rId35" Type="http://schemas.openxmlformats.org/officeDocument/2006/relationships/hyperlink" Target="https://assets.publishing.service.gov.uk/government/uploads/system/uploads/attachment_data/file/730127/School_inspection_handbook_section_5_270718.pdf" TargetMode="External"/><Relationship Id="rId43" Type="http://schemas.openxmlformats.org/officeDocument/2006/relationships/hyperlink" Target="https://webarchive.nationalarchives.gov.uk/20180322111239/http:/www.hefce.ac.uk/pubs/rereports/year/2017/modelsof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She17</b:Tag>
    <b:SourceType>InternetSite</b:SourceType>
    <b:Guid>{F936A02A-6F2A-430B-84D9-B9EE2E13A864}</b:Guid>
    <b:Title>Principles of Inclusive Practice</b:Title>
    <b:YearAccessed>2017</b:YearAccessed>
    <b:MonthAccessed>October</b:MonthAccessed>
    <b:DayAccessed>5th</b:DayAccessed>
    <b:URL>https://blogs.shu.ac.uk/ip/inclusive-learning-principles/?doing_wp_cron=1498060436.0092589855194091796875</b:URL>
    <b:Author>
      <b:Author>
        <b:Corporate>Sheffield Hallam University</b:Corporate>
      </b:Author>
    </b:Author>
    <b:Year>2016</b:Year>
    <b:RefOrder>1</b:RefOrder>
  </b:Source>
  <b:Source>
    <b:Tag>AHE17</b:Tag>
    <b:SourceType>InternetSite</b:SourceType>
    <b:Guid>{C27CA439-CB49-4CD4-984A-87895BAF693E}</b:Guid>
    <b:Title>Inclusive Teaching Strategies</b:Title>
    <b:Author>
      <b:Author>
        <b:Corporate>AHEAD</b:Corporate>
      </b:Author>
    </b:Author>
    <b:YearAccessed>2017</b:YearAccessed>
    <b:MonthAccessed>October</b:MonthAccessed>
    <b:DayAccessed>5</b:DayAccessed>
    <b:URL>https://www.ahead.ie/inclusiveteaching</b:URL>
    <b:Year>2015</b:Year>
    <b:InternetSiteTitle>AHEAD - Association for Higher Education Access &amp; Disability</b:InternetSiteTitle>
    <b:RefOrder>2</b:RefOrder>
  </b:Source>
  <b:Source>
    <b:Tag>Ins17</b:Tag>
    <b:SourceType>Report</b:SourceType>
    <b:Guid>{1377A87B-4022-46A5-A55F-47EDC66E7B3F}</b:Guid>
    <b:Title>Building momentum towards inclusive teaching and learning</b:Title>
    <b:Year>2017</b:Year>
    <b:YearAccessed>2017</b:YearAccessed>
    <b:MonthAccessed>October</b:MonthAccessed>
    <b:DayAccessed>5</b:DayAccessed>
    <b:URL>http://www.iop.org/publications/iop/2017/page_69352.html</b:URL>
    <b:Publisher>Institute of Physics</b:Publisher>
    <b:City>London</b:City>
    <b:Author>
      <b:Author>
        <b:Corporate>Institute of Physics</b:Corporate>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BA5406-157C-41A8-9830-7A3EF018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23</Pages>
  <Words>11435</Words>
  <Characters>65183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learning, teaching and assessment framework</vt:lpstr>
    </vt:vector>
  </TitlesOfParts>
  <Company>York St John University</Company>
  <LinksUpToDate>false</LinksUpToDate>
  <CharactersWithSpaces>76466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teaching and assessment framework</dc:title>
  <dc:subject/>
  <dc:creator>Martin, Nicki 4</dc:creator>
  <cp:keywords/>
  <dc:description/>
  <cp:lastModifiedBy>FrouFrou Mackintosh</cp:lastModifiedBy>
  <cp:revision>3</cp:revision>
  <cp:lastPrinted>2020-03-02T11:44:00Z</cp:lastPrinted>
  <dcterms:created xsi:type="dcterms:W3CDTF">2020-10-20T08:33:00Z</dcterms:created>
  <dcterms:modified xsi:type="dcterms:W3CDTF">2020-10-20T08:34:00Z</dcterms:modified>
</cp:coreProperties>
</file>