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8B8AC" w14:textId="77777777" w:rsidR="00B55822" w:rsidRDefault="00FF732E" w:rsidP="001A2839">
      <w:pPr>
        <w:pStyle w:val="Paragrafoelenco"/>
        <w:spacing w:line="360" w:lineRule="auto"/>
        <w:ind w:left="0"/>
        <w:jc w:val="center"/>
        <w:rPr>
          <w:rFonts w:cs="Arial"/>
          <w:sz w:val="36"/>
          <w:szCs w:val="36"/>
        </w:rPr>
      </w:pPr>
      <w:r w:rsidRPr="00754736">
        <w:rPr>
          <w:rFonts w:cs="Arial"/>
          <w:sz w:val="36"/>
          <w:szCs w:val="36"/>
        </w:rPr>
        <w:t>Regula</w:t>
      </w:r>
      <w:r w:rsidR="001A2839" w:rsidRPr="00754736">
        <w:rPr>
          <w:rFonts w:cs="Arial"/>
          <w:sz w:val="36"/>
          <w:szCs w:val="36"/>
        </w:rPr>
        <w:t xml:space="preserve">r paths in financial markets: </w:t>
      </w:r>
    </w:p>
    <w:p w14:paraId="26C9A16E" w14:textId="5892E727" w:rsidR="00C43284" w:rsidRDefault="001A2839" w:rsidP="00B55822">
      <w:pPr>
        <w:pStyle w:val="Paragrafoelenco"/>
        <w:spacing w:line="360" w:lineRule="auto"/>
        <w:ind w:left="0"/>
        <w:jc w:val="center"/>
        <w:rPr>
          <w:rFonts w:cs="Arial"/>
          <w:sz w:val="36"/>
          <w:szCs w:val="36"/>
        </w:rPr>
      </w:pPr>
      <w:r w:rsidRPr="00754736">
        <w:rPr>
          <w:rFonts w:cs="Arial"/>
          <w:sz w:val="36"/>
          <w:szCs w:val="36"/>
        </w:rPr>
        <w:t xml:space="preserve">investigating the </w:t>
      </w:r>
      <w:proofErr w:type="spellStart"/>
      <w:r w:rsidR="00487769" w:rsidRPr="00754736">
        <w:rPr>
          <w:rFonts w:cs="Arial"/>
          <w:sz w:val="36"/>
          <w:szCs w:val="36"/>
        </w:rPr>
        <w:t>B</w:t>
      </w:r>
      <w:r w:rsidR="00E22ABD" w:rsidRPr="00754736">
        <w:rPr>
          <w:rFonts w:cs="Arial"/>
          <w:sz w:val="36"/>
          <w:szCs w:val="36"/>
        </w:rPr>
        <w:t>enford’s</w:t>
      </w:r>
      <w:proofErr w:type="spellEnd"/>
      <w:r w:rsidR="00E22ABD" w:rsidRPr="00754736">
        <w:rPr>
          <w:rFonts w:cs="Arial"/>
          <w:sz w:val="36"/>
          <w:szCs w:val="36"/>
        </w:rPr>
        <w:t xml:space="preserve"> Law</w:t>
      </w:r>
    </w:p>
    <w:p w14:paraId="16BABA75" w14:textId="77777777" w:rsidR="00B55822" w:rsidRPr="00754736" w:rsidRDefault="00B55822" w:rsidP="00B55822">
      <w:pPr>
        <w:pStyle w:val="Paragrafoelenco"/>
        <w:spacing w:line="360" w:lineRule="auto"/>
        <w:ind w:left="0"/>
        <w:jc w:val="center"/>
        <w:rPr>
          <w:rFonts w:cs="Arial"/>
          <w:sz w:val="36"/>
          <w:szCs w:val="36"/>
        </w:rPr>
      </w:pPr>
    </w:p>
    <w:p w14:paraId="1CE41F2A" w14:textId="2C486939" w:rsidR="000755FF" w:rsidRPr="00602E4B" w:rsidRDefault="00602E4B" w:rsidP="00B55822">
      <w:pPr>
        <w:spacing w:line="360" w:lineRule="auto"/>
        <w:jc w:val="center"/>
        <w:rPr>
          <w:rFonts w:cs="Arial"/>
          <w:sz w:val="22"/>
          <w:szCs w:val="22"/>
        </w:rPr>
      </w:pPr>
      <w:r w:rsidRPr="00602E4B">
        <w:rPr>
          <w:rFonts w:cs="Arial"/>
          <w:sz w:val="28"/>
          <w:szCs w:val="28"/>
        </w:rPr>
        <w:t>Jessica Riccioni &amp; Roy Cerqueti</w:t>
      </w:r>
      <w:r>
        <w:rPr>
          <w:rStyle w:val="Rimandonotaapidipagina"/>
          <w:rFonts w:cs="Arial"/>
          <w:sz w:val="22"/>
          <w:szCs w:val="22"/>
          <w:lang w:val="it-IT"/>
        </w:rPr>
        <w:footnoteReference w:id="1"/>
      </w:r>
    </w:p>
    <w:p w14:paraId="580C6520" w14:textId="77777777" w:rsidR="00602E4B" w:rsidRDefault="00602E4B" w:rsidP="00602E4B">
      <w:pPr>
        <w:spacing w:line="360" w:lineRule="auto"/>
        <w:jc w:val="center"/>
        <w:rPr>
          <w:rFonts w:cs="Arial"/>
          <w:sz w:val="22"/>
          <w:szCs w:val="22"/>
        </w:rPr>
      </w:pPr>
      <w:r w:rsidRPr="000755FF">
        <w:rPr>
          <w:rFonts w:cs="Arial"/>
          <w:sz w:val="22"/>
          <w:szCs w:val="22"/>
        </w:rPr>
        <w:t>University of Macerata - Department of Economics and Law</w:t>
      </w:r>
    </w:p>
    <w:p w14:paraId="60848C6F" w14:textId="6E905E8E" w:rsidR="00602E4B" w:rsidRPr="009870B0" w:rsidRDefault="00602E4B" w:rsidP="00602E4B">
      <w:pPr>
        <w:spacing w:line="360" w:lineRule="auto"/>
        <w:jc w:val="center"/>
        <w:rPr>
          <w:rFonts w:cs="Arial"/>
          <w:lang w:val="it-IT"/>
        </w:rPr>
      </w:pPr>
      <w:r w:rsidRPr="009870B0">
        <w:rPr>
          <w:rFonts w:cs="Arial"/>
          <w:sz w:val="22"/>
          <w:szCs w:val="22"/>
          <w:lang w:val="it-IT"/>
        </w:rPr>
        <w:t xml:space="preserve">Via </w:t>
      </w:r>
      <w:proofErr w:type="spellStart"/>
      <w:r w:rsidRPr="009870B0">
        <w:rPr>
          <w:rFonts w:cs="Arial"/>
          <w:sz w:val="22"/>
          <w:szCs w:val="22"/>
          <w:lang w:val="it-IT"/>
        </w:rPr>
        <w:t>Crescimbeni</w:t>
      </w:r>
      <w:proofErr w:type="spellEnd"/>
      <w:r w:rsidRPr="009870B0">
        <w:rPr>
          <w:rFonts w:cs="Arial"/>
          <w:sz w:val="22"/>
          <w:szCs w:val="22"/>
          <w:lang w:val="it-IT"/>
        </w:rPr>
        <w:t xml:space="preserve"> 20, Macerata I-62100, </w:t>
      </w:r>
      <w:proofErr w:type="spellStart"/>
      <w:r w:rsidRPr="009870B0">
        <w:rPr>
          <w:rFonts w:cs="Arial"/>
          <w:sz w:val="22"/>
          <w:szCs w:val="22"/>
          <w:lang w:val="it-IT"/>
        </w:rPr>
        <w:t>Italy</w:t>
      </w:r>
      <w:proofErr w:type="spellEnd"/>
    </w:p>
    <w:p w14:paraId="68F95E45" w14:textId="77777777" w:rsidR="00FF732E" w:rsidRPr="00602E4B" w:rsidRDefault="00FF732E" w:rsidP="00C43284">
      <w:pPr>
        <w:pStyle w:val="Paragrafoelenco"/>
        <w:spacing w:line="360" w:lineRule="auto"/>
        <w:ind w:left="0"/>
        <w:jc w:val="center"/>
        <w:rPr>
          <w:rFonts w:cs="Arial"/>
          <w:b/>
          <w:sz w:val="36"/>
          <w:szCs w:val="36"/>
          <w:lang w:val="it-IT"/>
        </w:rPr>
      </w:pPr>
    </w:p>
    <w:p w14:paraId="3426392A" w14:textId="79D9FFE8" w:rsidR="00D0247C" w:rsidRPr="000C0E2C" w:rsidRDefault="00D0247C" w:rsidP="00C43284">
      <w:pPr>
        <w:pStyle w:val="Paragrafoelenco"/>
        <w:spacing w:line="360" w:lineRule="auto"/>
        <w:ind w:left="0"/>
        <w:jc w:val="center"/>
        <w:rPr>
          <w:rFonts w:cs="Arial"/>
          <w:b/>
        </w:rPr>
      </w:pPr>
      <w:r w:rsidRPr="000C0E2C">
        <w:rPr>
          <w:rFonts w:cs="Arial"/>
          <w:b/>
        </w:rPr>
        <w:t>Abstract</w:t>
      </w:r>
    </w:p>
    <w:p w14:paraId="6A05DA0F" w14:textId="54D9F6C4" w:rsidR="001D5D48" w:rsidRPr="0064130A" w:rsidRDefault="00013894" w:rsidP="00C43284">
      <w:pPr>
        <w:spacing w:line="360" w:lineRule="auto"/>
        <w:jc w:val="both"/>
        <w:rPr>
          <w:rFonts w:cs="Arial"/>
        </w:rPr>
      </w:pPr>
      <w:r w:rsidRPr="0064130A">
        <w:rPr>
          <w:rFonts w:cs="Arial"/>
        </w:rPr>
        <w:t>This paper</w:t>
      </w:r>
      <w:r w:rsidR="001D5D48" w:rsidRPr="0064130A">
        <w:rPr>
          <w:rFonts w:cs="Arial"/>
        </w:rPr>
        <w:t xml:space="preserve"> aim</w:t>
      </w:r>
      <w:r w:rsidRPr="0064130A">
        <w:rPr>
          <w:rFonts w:cs="Arial"/>
        </w:rPr>
        <w:t>s</w:t>
      </w:r>
      <w:r w:rsidR="001D5D48" w:rsidRPr="0064130A">
        <w:rPr>
          <w:rFonts w:cs="Arial"/>
        </w:rPr>
        <w:t xml:space="preserve"> at</w:t>
      </w:r>
      <w:r w:rsidRPr="0064130A">
        <w:rPr>
          <w:rFonts w:cs="Arial"/>
        </w:rPr>
        <w:t xml:space="preserve"> </w:t>
      </w:r>
      <w:r w:rsidR="001D5D48" w:rsidRPr="0064130A">
        <w:rPr>
          <w:rFonts w:cs="Arial"/>
        </w:rPr>
        <w:t xml:space="preserve">verifying </w:t>
      </w:r>
      <w:r w:rsidRPr="0064130A">
        <w:rPr>
          <w:rFonts w:cs="Arial"/>
        </w:rPr>
        <w:t xml:space="preserve">whenever </w:t>
      </w:r>
      <w:r w:rsidR="001D5D48" w:rsidRPr="0064130A">
        <w:rPr>
          <w:rFonts w:cs="Arial"/>
        </w:rPr>
        <w:t xml:space="preserve">the </w:t>
      </w:r>
      <w:proofErr w:type="spellStart"/>
      <w:r w:rsidR="00487769" w:rsidRPr="0064130A">
        <w:rPr>
          <w:rFonts w:cs="Arial"/>
        </w:rPr>
        <w:t>Benford’s</w:t>
      </w:r>
      <w:proofErr w:type="spellEnd"/>
      <w:r w:rsidR="00487769" w:rsidRPr="0064130A">
        <w:rPr>
          <w:rFonts w:cs="Arial"/>
        </w:rPr>
        <w:t xml:space="preserve"> Law</w:t>
      </w:r>
      <w:r w:rsidR="001D5D48" w:rsidRPr="0064130A">
        <w:rPr>
          <w:rFonts w:cs="Arial"/>
        </w:rPr>
        <w:t xml:space="preserve"> is valid in the context of global stock market</w:t>
      </w:r>
      <w:r w:rsidRPr="0064130A">
        <w:rPr>
          <w:rFonts w:cs="Arial"/>
        </w:rPr>
        <w:t>s</w:t>
      </w:r>
      <w:r w:rsidR="001D5D48" w:rsidRPr="0064130A">
        <w:rPr>
          <w:rFonts w:cs="Arial"/>
        </w:rPr>
        <w:t>,</w:t>
      </w:r>
      <w:r w:rsidRPr="0064130A">
        <w:rPr>
          <w:rFonts w:cs="Arial"/>
        </w:rPr>
        <w:t xml:space="preserve"> which are here viewed as complex systems.</w:t>
      </w:r>
      <w:r w:rsidR="001D5D48" w:rsidRPr="0064130A">
        <w:rPr>
          <w:rFonts w:cs="Arial"/>
        </w:rPr>
        <w:t xml:space="preserve"> </w:t>
      </w:r>
      <w:r w:rsidRPr="0064130A">
        <w:rPr>
          <w:rFonts w:cs="Arial"/>
        </w:rPr>
        <w:t xml:space="preserve">In so doing, we pursue the scope of assessing </w:t>
      </w:r>
      <w:r w:rsidR="001D5D48" w:rsidRPr="0064130A">
        <w:rPr>
          <w:rFonts w:cs="Arial"/>
        </w:rPr>
        <w:t xml:space="preserve">the presence of data regularities and </w:t>
      </w:r>
      <w:r w:rsidRPr="0064130A">
        <w:rPr>
          <w:rFonts w:cs="Arial"/>
        </w:rPr>
        <w:t xml:space="preserve">interpret obtained </w:t>
      </w:r>
      <w:r w:rsidR="001D5D48" w:rsidRPr="0064130A">
        <w:rPr>
          <w:rFonts w:cs="Arial"/>
        </w:rPr>
        <w:t>discrepancies.</w:t>
      </w:r>
    </w:p>
    <w:p w14:paraId="2C040440" w14:textId="6B262FDA" w:rsidR="001D5D48" w:rsidRPr="0064130A" w:rsidRDefault="001D5D48" w:rsidP="00C43284">
      <w:pPr>
        <w:spacing w:line="360" w:lineRule="auto"/>
        <w:jc w:val="both"/>
        <w:rPr>
          <w:rFonts w:cs="Arial"/>
        </w:rPr>
      </w:pPr>
      <w:r w:rsidRPr="0064130A">
        <w:rPr>
          <w:rFonts w:cs="Arial"/>
        </w:rPr>
        <w:t xml:space="preserve">Specifically, we check the reliability of </w:t>
      </w:r>
      <w:proofErr w:type="spellStart"/>
      <w:r w:rsidR="00487769" w:rsidRPr="0064130A">
        <w:rPr>
          <w:rFonts w:cs="Arial"/>
        </w:rPr>
        <w:t>Benford’s</w:t>
      </w:r>
      <w:proofErr w:type="spellEnd"/>
      <w:r w:rsidR="00487769" w:rsidRPr="0064130A">
        <w:rPr>
          <w:rFonts w:cs="Arial"/>
        </w:rPr>
        <w:t xml:space="preserve"> Law</w:t>
      </w:r>
      <w:r w:rsidRPr="0064130A">
        <w:rPr>
          <w:rFonts w:cs="Arial"/>
        </w:rPr>
        <w:t xml:space="preserve"> for all </w:t>
      </w:r>
      <w:r w:rsidR="00D25BA3" w:rsidRPr="0064130A">
        <w:rPr>
          <w:rFonts w:cs="Arial"/>
        </w:rPr>
        <w:t xml:space="preserve">the </w:t>
      </w:r>
      <w:r w:rsidRPr="0064130A">
        <w:rPr>
          <w:rFonts w:cs="Arial"/>
        </w:rPr>
        <w:t xml:space="preserve">indexes listed on the stock exchanges of </w:t>
      </w:r>
      <w:r w:rsidR="00D25BA3" w:rsidRPr="0064130A">
        <w:rPr>
          <w:rFonts w:cs="Arial"/>
        </w:rPr>
        <w:t>several</w:t>
      </w:r>
      <w:r w:rsidRPr="0064130A">
        <w:rPr>
          <w:rFonts w:cs="Arial"/>
        </w:rPr>
        <w:t xml:space="preserve"> countries, with a particular reference to prices and volumes of stocks.</w:t>
      </w:r>
    </w:p>
    <w:p w14:paraId="363A0D9B" w14:textId="75AECCD3" w:rsidR="00B369BA" w:rsidRPr="0064130A" w:rsidRDefault="001D5D48" w:rsidP="00C43284">
      <w:pPr>
        <w:spacing w:line="360" w:lineRule="auto"/>
        <w:jc w:val="both"/>
        <w:rPr>
          <w:rFonts w:cs="Arial"/>
        </w:rPr>
      </w:pPr>
      <w:r w:rsidRPr="0064130A">
        <w:rPr>
          <w:rFonts w:cs="Arial"/>
        </w:rPr>
        <w:t>To pursue our scope, we adopt comparison criteria grounded on s</w:t>
      </w:r>
      <w:r w:rsidR="00B369BA" w:rsidRPr="0064130A">
        <w:rPr>
          <w:rFonts w:cs="Arial"/>
        </w:rPr>
        <w:t>tatistical theory, like the Chi-</w:t>
      </w:r>
      <w:r w:rsidRPr="0064130A">
        <w:rPr>
          <w:rFonts w:cs="Arial"/>
        </w:rPr>
        <w:t xml:space="preserve">squared </w:t>
      </w:r>
      <w:r w:rsidR="00B369BA" w:rsidRPr="0064130A">
        <w:rPr>
          <w:rFonts w:cs="Arial"/>
        </w:rPr>
        <w:t>test for both the distributions of the first and the second meaningful digits.</w:t>
      </w:r>
    </w:p>
    <w:p w14:paraId="46DF33AA" w14:textId="4160E511" w:rsidR="001D5D48" w:rsidRPr="0064130A" w:rsidRDefault="00B369BA" w:rsidP="00C43284">
      <w:pPr>
        <w:spacing w:line="360" w:lineRule="auto"/>
        <w:jc w:val="both"/>
        <w:rPr>
          <w:rFonts w:cs="Arial"/>
        </w:rPr>
      </w:pPr>
      <w:r w:rsidRPr="0064130A">
        <w:rPr>
          <w:rFonts w:cs="Arial"/>
        </w:rPr>
        <w:t xml:space="preserve">Evidence of violations </w:t>
      </w:r>
      <w:r w:rsidR="00D25BA3" w:rsidRPr="0064130A">
        <w:rPr>
          <w:rFonts w:cs="Arial"/>
        </w:rPr>
        <w:t>is</w:t>
      </w:r>
      <w:r w:rsidRPr="0064130A">
        <w:rPr>
          <w:rFonts w:cs="Arial"/>
        </w:rPr>
        <w:t xml:space="preserve"> provided and some insights taken from the historical facts and economic shocks are carried out.</w:t>
      </w:r>
    </w:p>
    <w:p w14:paraId="3AA73808" w14:textId="3BD4563E" w:rsidR="00D0247C" w:rsidRDefault="0013232C" w:rsidP="0013232C">
      <w:pPr>
        <w:pStyle w:val="Paragrafoelenco"/>
        <w:spacing w:line="360" w:lineRule="auto"/>
        <w:ind w:left="0"/>
        <w:jc w:val="both"/>
        <w:rPr>
          <w:rFonts w:cs="Arial"/>
        </w:rPr>
      </w:pPr>
      <w:r w:rsidRPr="0013232C">
        <w:rPr>
          <w:rFonts w:cs="Arial"/>
          <w:b/>
        </w:rPr>
        <w:t>Keywords:</w:t>
      </w:r>
      <w:r>
        <w:rPr>
          <w:rFonts w:cs="Arial"/>
        </w:rPr>
        <w:t xml:space="preserve"> </w:t>
      </w:r>
      <w:r w:rsidRPr="0013232C">
        <w:rPr>
          <w:rFonts w:cs="Arial"/>
        </w:rPr>
        <w:t xml:space="preserve">Data science; </w:t>
      </w:r>
      <w:proofErr w:type="spellStart"/>
      <w:r w:rsidRPr="0013232C">
        <w:rPr>
          <w:rFonts w:cs="Arial"/>
        </w:rPr>
        <w:t>Benford</w:t>
      </w:r>
      <w:proofErr w:type="spellEnd"/>
      <w:r w:rsidRPr="0013232C">
        <w:rPr>
          <w:rFonts w:cs="Arial"/>
        </w:rPr>
        <w:t xml:space="preserve"> law; </w:t>
      </w:r>
      <w:r>
        <w:rPr>
          <w:rFonts w:cs="Arial"/>
        </w:rPr>
        <w:t>Stock markets; Finance.</w:t>
      </w:r>
    </w:p>
    <w:p w14:paraId="508B3242" w14:textId="77777777" w:rsidR="00AD6FBA" w:rsidRPr="0064130A" w:rsidRDefault="00AD6FBA" w:rsidP="00C43284">
      <w:pPr>
        <w:pStyle w:val="Paragrafoelenco"/>
        <w:spacing w:line="360" w:lineRule="auto"/>
        <w:ind w:left="0"/>
        <w:jc w:val="center"/>
        <w:rPr>
          <w:rFonts w:cs="Arial"/>
        </w:rPr>
      </w:pPr>
    </w:p>
    <w:p w14:paraId="41A26AFD" w14:textId="0E0454F5" w:rsidR="00A26CCE" w:rsidRPr="0064130A" w:rsidRDefault="00D25BA3" w:rsidP="00D25BA3">
      <w:pPr>
        <w:spacing w:line="360" w:lineRule="auto"/>
        <w:jc w:val="both"/>
        <w:rPr>
          <w:rFonts w:cs="Arial"/>
          <w:b/>
        </w:rPr>
      </w:pPr>
      <w:r w:rsidRPr="0064130A">
        <w:rPr>
          <w:rFonts w:cs="Arial"/>
          <w:b/>
        </w:rPr>
        <w:t xml:space="preserve">1. </w:t>
      </w:r>
      <w:r w:rsidR="00A26CCE" w:rsidRPr="0064130A">
        <w:rPr>
          <w:rFonts w:cs="Arial"/>
          <w:b/>
        </w:rPr>
        <w:t>Introduction</w:t>
      </w:r>
    </w:p>
    <w:p w14:paraId="0EEF314C" w14:textId="77777777" w:rsidR="00A26CCE" w:rsidRPr="0064130A" w:rsidRDefault="00A26CCE" w:rsidP="00A26CCE">
      <w:pPr>
        <w:spacing w:line="360" w:lineRule="auto"/>
        <w:jc w:val="both"/>
        <w:rPr>
          <w:rFonts w:cs="Arial"/>
        </w:rPr>
      </w:pPr>
    </w:p>
    <w:p w14:paraId="573BEF4E" w14:textId="775A998E" w:rsidR="00D25BA3" w:rsidRPr="0064130A" w:rsidRDefault="00D25BA3" w:rsidP="00A26CCE">
      <w:pPr>
        <w:spacing w:line="360" w:lineRule="auto"/>
        <w:jc w:val="both"/>
        <w:rPr>
          <w:rFonts w:cs="Arial"/>
        </w:rPr>
      </w:pPr>
      <w:r w:rsidRPr="0064130A">
        <w:rPr>
          <w:rFonts w:cs="Arial"/>
        </w:rPr>
        <w:t>The evolution of prices and volumes in the international stock markets has a remarkable informative content. In fact, financial markets and their components are highly correlated with the surrounding socio-political environment and a shock of noneconomic nature might have an effect on the economic system.</w:t>
      </w:r>
      <w:r w:rsidR="00CA25C9" w:rsidRPr="0064130A">
        <w:rPr>
          <w:rFonts w:cs="Arial"/>
        </w:rPr>
        <w:t xml:space="preserve"> </w:t>
      </w:r>
    </w:p>
    <w:p w14:paraId="0942EBBB" w14:textId="37DF0A8D" w:rsidR="00A26CCE" w:rsidRPr="0064130A" w:rsidRDefault="00D25BA3" w:rsidP="00A761C4">
      <w:pPr>
        <w:spacing w:line="360" w:lineRule="auto"/>
        <w:jc w:val="both"/>
        <w:rPr>
          <w:rFonts w:cs="Arial"/>
        </w:rPr>
      </w:pPr>
      <w:r w:rsidRPr="0064130A">
        <w:rPr>
          <w:rFonts w:cs="Arial"/>
        </w:rPr>
        <w:t xml:space="preserve">This paper </w:t>
      </w:r>
      <w:r w:rsidR="00643408" w:rsidRPr="0064130A">
        <w:rPr>
          <w:rFonts w:cs="Arial"/>
        </w:rPr>
        <w:t>moves from this scientific ground</w:t>
      </w:r>
      <w:r w:rsidR="00A761C4" w:rsidRPr="0064130A">
        <w:rPr>
          <w:rFonts w:cs="Arial"/>
        </w:rPr>
        <w:t>.</w:t>
      </w:r>
      <w:r w:rsidR="00643408" w:rsidRPr="0064130A">
        <w:rPr>
          <w:rFonts w:cs="Arial"/>
        </w:rPr>
        <w:t xml:space="preserve"> W</w:t>
      </w:r>
      <w:r w:rsidR="00A761C4" w:rsidRPr="0064130A">
        <w:rPr>
          <w:rFonts w:cs="Arial"/>
        </w:rPr>
        <w:t>e aim at</w:t>
      </w:r>
      <w:r w:rsidR="00A26CCE" w:rsidRPr="0064130A">
        <w:rPr>
          <w:rFonts w:cs="Arial"/>
        </w:rPr>
        <w:t xml:space="preserve"> </w:t>
      </w:r>
      <w:proofErr w:type="spellStart"/>
      <w:r w:rsidR="00A26CCE" w:rsidRPr="0064130A">
        <w:rPr>
          <w:rFonts w:cs="Arial"/>
        </w:rPr>
        <w:t>analy</w:t>
      </w:r>
      <w:r w:rsidR="00062292" w:rsidRPr="0064130A">
        <w:rPr>
          <w:rFonts w:cs="Arial"/>
        </w:rPr>
        <w:t>z</w:t>
      </w:r>
      <w:r w:rsidR="00A761C4" w:rsidRPr="0064130A">
        <w:rPr>
          <w:rFonts w:cs="Arial"/>
        </w:rPr>
        <w:t>ing</w:t>
      </w:r>
      <w:proofErr w:type="spellEnd"/>
      <w:r w:rsidR="00A26CCE" w:rsidRPr="0064130A">
        <w:rPr>
          <w:rFonts w:cs="Arial"/>
        </w:rPr>
        <w:t xml:space="preserve"> the context of global stock market</w:t>
      </w:r>
      <w:r w:rsidR="00A761C4" w:rsidRPr="0064130A">
        <w:rPr>
          <w:rFonts w:cs="Arial"/>
        </w:rPr>
        <w:t>s</w:t>
      </w:r>
      <w:r w:rsidR="00A26CCE" w:rsidRPr="0064130A">
        <w:rPr>
          <w:rFonts w:cs="Arial"/>
        </w:rPr>
        <w:t xml:space="preserve"> with a </w:t>
      </w:r>
      <w:r w:rsidR="00A761C4" w:rsidRPr="0064130A">
        <w:rPr>
          <w:rFonts w:cs="Arial"/>
        </w:rPr>
        <w:t>specific</w:t>
      </w:r>
      <w:r w:rsidR="00A26CCE" w:rsidRPr="0064130A">
        <w:rPr>
          <w:rFonts w:cs="Arial"/>
        </w:rPr>
        <w:t xml:space="preserve"> focus on all </w:t>
      </w:r>
      <w:r w:rsidR="00A761C4" w:rsidRPr="0064130A">
        <w:rPr>
          <w:rFonts w:cs="Arial"/>
        </w:rPr>
        <w:t xml:space="preserve">the </w:t>
      </w:r>
      <w:r w:rsidR="00A26CCE" w:rsidRPr="0064130A">
        <w:rPr>
          <w:rFonts w:cs="Arial"/>
        </w:rPr>
        <w:t xml:space="preserve">indexes composing </w:t>
      </w:r>
      <w:r w:rsidR="00A761C4" w:rsidRPr="0064130A">
        <w:rPr>
          <w:rFonts w:cs="Arial"/>
        </w:rPr>
        <w:t>them</w:t>
      </w:r>
      <w:r w:rsidR="00A26CCE" w:rsidRPr="0064130A">
        <w:rPr>
          <w:rFonts w:cs="Arial"/>
        </w:rPr>
        <w:t>.</w:t>
      </w:r>
      <w:r w:rsidR="00A761C4" w:rsidRPr="0064130A">
        <w:rPr>
          <w:rFonts w:cs="Arial"/>
        </w:rPr>
        <w:t xml:space="preserve"> </w:t>
      </w:r>
      <w:r w:rsidR="00643408" w:rsidRPr="0064130A">
        <w:rPr>
          <w:rFonts w:cs="Arial"/>
        </w:rPr>
        <w:t>In particular, w</w:t>
      </w:r>
      <w:r w:rsidR="00A761C4" w:rsidRPr="0064130A">
        <w:rPr>
          <w:rFonts w:cs="Arial"/>
        </w:rPr>
        <w:t xml:space="preserve">e deal with the nature of complex system of the markets, and discuss </w:t>
      </w:r>
      <w:r w:rsidR="00643408" w:rsidRPr="0064130A">
        <w:rPr>
          <w:rFonts w:cs="Arial"/>
        </w:rPr>
        <w:t>whe</w:t>
      </w:r>
      <w:r w:rsidR="00F902F3" w:rsidRPr="0064130A">
        <w:rPr>
          <w:rFonts w:cs="Arial"/>
        </w:rPr>
        <w:t xml:space="preserve">never the available time series </w:t>
      </w:r>
      <w:r w:rsidR="00643408" w:rsidRPr="0064130A">
        <w:rPr>
          <w:rFonts w:cs="Arial"/>
        </w:rPr>
        <w:t>associated to prices and volumes of the stocks exhibit a sort of “regularity”.</w:t>
      </w:r>
    </w:p>
    <w:p w14:paraId="7553A182" w14:textId="2DE1CCF9" w:rsidR="006A5A8C" w:rsidRPr="0064130A" w:rsidRDefault="00643408" w:rsidP="000962E4">
      <w:pPr>
        <w:spacing w:line="360" w:lineRule="auto"/>
        <w:jc w:val="both"/>
        <w:rPr>
          <w:rFonts w:cs="Arial"/>
        </w:rPr>
      </w:pPr>
      <w:r w:rsidRPr="0064130A">
        <w:rPr>
          <w:rFonts w:cs="Arial"/>
        </w:rPr>
        <w:lastRenderedPageBreak/>
        <w:t>Indeed,</w:t>
      </w:r>
      <w:r w:rsidR="006A5A8C" w:rsidRPr="0064130A">
        <w:rPr>
          <w:rFonts w:cs="Arial"/>
        </w:rPr>
        <w:t xml:space="preserve"> datasets exhibit often deviations from a pure uniform law, even if they are not constructed in an “ad-hoc” manner. Think about countries</w:t>
      </w:r>
      <w:r w:rsidR="000E07ED" w:rsidRPr="0064130A">
        <w:rPr>
          <w:rFonts w:cs="Arial"/>
        </w:rPr>
        <w:t>’</w:t>
      </w:r>
      <w:r w:rsidR="006A5A8C" w:rsidRPr="0064130A">
        <w:rPr>
          <w:rFonts w:cs="Arial"/>
        </w:rPr>
        <w:t xml:space="preserve"> GDPs, with a great percentage of low levels and a few data with high values. </w:t>
      </w:r>
    </w:p>
    <w:p w14:paraId="73325FB2" w14:textId="3EA3AF0C" w:rsidR="006A5A8C" w:rsidRPr="0064130A" w:rsidRDefault="000B7EA5" w:rsidP="000962E4">
      <w:pPr>
        <w:spacing w:line="360" w:lineRule="auto"/>
        <w:jc w:val="both"/>
        <w:rPr>
          <w:rFonts w:cs="Arial"/>
        </w:rPr>
      </w:pPr>
      <w:r w:rsidRPr="0064130A">
        <w:rPr>
          <w:rFonts w:cs="Arial"/>
        </w:rPr>
        <w:t xml:space="preserve">In this respect, the so-called </w:t>
      </w:r>
      <w:proofErr w:type="spellStart"/>
      <w:r w:rsidR="00062292" w:rsidRPr="0064130A">
        <w:rPr>
          <w:rFonts w:cs="Arial"/>
        </w:rPr>
        <w:t>Benford’s</w:t>
      </w:r>
      <w:proofErr w:type="spellEnd"/>
      <w:r w:rsidR="00062292" w:rsidRPr="0064130A">
        <w:rPr>
          <w:rFonts w:cs="Arial"/>
        </w:rPr>
        <w:t xml:space="preserve"> Law</w:t>
      </w:r>
      <w:r w:rsidRPr="0064130A">
        <w:rPr>
          <w:rFonts w:cs="Arial"/>
        </w:rPr>
        <w:t xml:space="preserve"> (BL), firstly empirically observed by Newcomb (1881) and lately formalized by </w:t>
      </w:r>
      <w:proofErr w:type="spellStart"/>
      <w:r w:rsidRPr="0064130A">
        <w:rPr>
          <w:rFonts w:cs="Arial"/>
        </w:rPr>
        <w:t>Benford</w:t>
      </w:r>
      <w:proofErr w:type="spellEnd"/>
      <w:r w:rsidRPr="0064130A">
        <w:rPr>
          <w:rFonts w:cs="Arial"/>
        </w:rPr>
        <w:t xml:space="preserve"> (1938), has been proved to hold in a wide set of </w:t>
      </w:r>
      <w:r w:rsidR="006A5A8C" w:rsidRPr="0064130A">
        <w:rPr>
          <w:rFonts w:cs="Arial"/>
        </w:rPr>
        <w:t>contexts</w:t>
      </w:r>
      <w:r w:rsidRPr="0064130A">
        <w:rPr>
          <w:rFonts w:cs="Arial"/>
        </w:rPr>
        <w:t>.</w:t>
      </w:r>
    </w:p>
    <w:p w14:paraId="5F67AE0D" w14:textId="78CBD179" w:rsidR="006A5A8C" w:rsidRPr="0064130A" w:rsidRDefault="00916EFC" w:rsidP="000962E4">
      <w:pPr>
        <w:spacing w:line="360" w:lineRule="auto"/>
        <w:jc w:val="both"/>
        <w:rPr>
          <w:rFonts w:cs="Arial"/>
        </w:rPr>
      </w:pPr>
      <w:r w:rsidRPr="0064130A">
        <w:rPr>
          <w:rFonts w:cs="Arial"/>
        </w:rPr>
        <w:t xml:space="preserve">BL is an evident regularity of the distribution of the digits of a number of large datasets. It states that the frequency of the first and second digits of the values of a set of data decreases with the value of the digit, and achieves its maximum when the digit is “one”.  </w:t>
      </w:r>
    </w:p>
    <w:p w14:paraId="299AEFD9" w14:textId="2A90C7E0" w:rsidR="00086667" w:rsidRPr="0064130A" w:rsidRDefault="00086667" w:rsidP="00086667">
      <w:pPr>
        <w:spacing w:line="360" w:lineRule="auto"/>
        <w:jc w:val="both"/>
        <w:rPr>
          <w:rFonts w:cs="Arial"/>
        </w:rPr>
      </w:pPr>
      <w:r w:rsidRPr="0064130A">
        <w:rPr>
          <w:rFonts w:cs="Arial"/>
        </w:rPr>
        <w:t xml:space="preserve">More in details, </w:t>
      </w:r>
      <w:proofErr w:type="spellStart"/>
      <w:r w:rsidRPr="0064130A">
        <w:rPr>
          <w:rFonts w:cs="Arial"/>
        </w:rPr>
        <w:t>Benford</w:t>
      </w:r>
      <w:proofErr w:type="spellEnd"/>
      <w:r w:rsidRPr="0064130A">
        <w:rPr>
          <w:rFonts w:cs="Arial"/>
        </w:rPr>
        <w:t xml:space="preserve"> (1938) provided an extensive study of 20,149 data from 20 different areas, and calculated the frequency of each first digit from 1 to 9 and of each second digit from 0 to 9.</w:t>
      </w:r>
    </w:p>
    <w:p w14:paraId="0F7E60E8" w14:textId="47585E9E" w:rsidR="00086667" w:rsidRPr="0064130A" w:rsidRDefault="00086667" w:rsidP="00086667">
      <w:pPr>
        <w:spacing w:line="360" w:lineRule="auto"/>
        <w:jc w:val="both"/>
        <w:rPr>
          <w:rFonts w:cs="Helvetica"/>
        </w:rPr>
      </w:pPr>
      <w:r w:rsidRPr="0064130A">
        <w:rPr>
          <w:rFonts w:cs="Arial"/>
        </w:rPr>
        <w:t>The outcome of this effort has led to the statement of</w:t>
      </w:r>
      <w:r w:rsidRPr="0064130A">
        <w:rPr>
          <w:rFonts w:cs="Helvetica"/>
        </w:rPr>
        <w:t xml:space="preserve"> an exact rule given by a logarithmic relationship.</w:t>
      </w:r>
    </w:p>
    <w:p w14:paraId="21B7D649" w14:textId="47A2A988" w:rsidR="00086667" w:rsidRPr="0064130A" w:rsidRDefault="00086667" w:rsidP="0008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color w:val="000000" w:themeColor="text1"/>
        </w:rPr>
      </w:pPr>
      <w:r w:rsidRPr="0064130A">
        <w:rPr>
          <w:rFonts w:cs="Andalus"/>
          <w:color w:val="000000" w:themeColor="text1"/>
        </w:rPr>
        <w:t>For the first digit, BL says that:</w:t>
      </w:r>
    </w:p>
    <w:p w14:paraId="24A463CC" w14:textId="2B241FFA" w:rsidR="00086667" w:rsidRPr="0064130A" w:rsidRDefault="00086667" w:rsidP="0055348A">
      <w:pPr>
        <w:spacing w:line="360" w:lineRule="auto"/>
        <w:ind w:left="708" w:firstLine="708"/>
        <w:rPr>
          <w:rFonts w:cs="Andalus"/>
          <w:color w:val="000000" w:themeColor="text1"/>
        </w:rPr>
      </w:pPr>
      <m:oMath>
        <m:r>
          <w:rPr>
            <w:rFonts w:ascii="Cambria Math" w:hAnsi="Cambria Math" w:cs="Andalus"/>
            <w:color w:val="000000" w:themeColor="text1"/>
          </w:rPr>
          <m:t xml:space="preserve">          P </m:t>
        </m:r>
        <m:d>
          <m:dPr>
            <m:ctrlPr>
              <w:rPr>
                <w:rFonts w:ascii="Cambria Math" w:hAnsi="Cambria Math" w:cs="Andalus"/>
                <w:i/>
                <w:color w:val="000000" w:themeColor="text1"/>
              </w:rPr>
            </m:ctrlPr>
          </m:dPr>
          <m:e>
            <m:r>
              <w:rPr>
                <w:rFonts w:ascii="Cambria Math" w:hAnsi="Cambria Math" w:cs="Andalus"/>
                <w:color w:val="000000" w:themeColor="text1"/>
              </w:rPr>
              <m:t>first digit=n</m:t>
            </m:r>
          </m:e>
        </m:d>
        <m:r>
          <w:rPr>
            <w:rFonts w:ascii="Cambria Math" w:hAnsi="Cambria Math" w:cs="Andalus"/>
            <w:color w:val="000000" w:themeColor="text1"/>
          </w:rPr>
          <m:t>=</m:t>
        </m:r>
        <m:sSub>
          <m:sSubPr>
            <m:ctrlPr>
              <w:rPr>
                <w:rFonts w:ascii="Cambria Math" w:hAnsi="Cambria Math" w:cs="Andalus"/>
                <w:i/>
                <w:color w:val="000000" w:themeColor="text1"/>
              </w:rPr>
            </m:ctrlPr>
          </m:sSubPr>
          <m:e>
            <m:r>
              <m:rPr>
                <m:sty m:val="p"/>
              </m:rPr>
              <w:rPr>
                <w:rFonts w:ascii="Cambria Math" w:hAnsi="Cambria Math" w:cs="Andalus"/>
                <w:color w:val="000000" w:themeColor="text1"/>
              </w:rPr>
              <m:t>log</m:t>
            </m:r>
          </m:e>
          <m:sub>
            <m:r>
              <w:rPr>
                <w:rFonts w:ascii="Cambria Math" w:hAnsi="Cambria Math" w:cs="Andalus"/>
                <w:color w:val="000000" w:themeColor="text1"/>
              </w:rPr>
              <m:t>10</m:t>
            </m:r>
          </m:sub>
        </m:sSub>
        <m:d>
          <m:dPr>
            <m:ctrlPr>
              <w:rPr>
                <w:rFonts w:ascii="Cambria Math" w:hAnsi="Cambria Math" w:cs="Andalus"/>
                <w:i/>
                <w:color w:val="000000" w:themeColor="text1"/>
              </w:rPr>
            </m:ctrlPr>
          </m:dPr>
          <m:e>
            <m:r>
              <w:rPr>
                <w:rFonts w:ascii="Cambria Math" w:hAnsi="Cambria Math" w:cs="Andalus"/>
                <w:color w:val="000000" w:themeColor="text1"/>
              </w:rPr>
              <m:t>1+</m:t>
            </m:r>
            <m:f>
              <m:fPr>
                <m:ctrlPr>
                  <w:rPr>
                    <w:rFonts w:ascii="Cambria Math" w:hAnsi="Cambria Math" w:cs="Andalus"/>
                    <w:i/>
                    <w:color w:val="000000" w:themeColor="text1"/>
                  </w:rPr>
                </m:ctrlPr>
              </m:fPr>
              <m:num>
                <m:r>
                  <w:rPr>
                    <w:rFonts w:ascii="Cambria Math" w:hAnsi="Cambria Math" w:cs="Andalus"/>
                    <w:color w:val="000000" w:themeColor="text1"/>
                  </w:rPr>
                  <m:t>1</m:t>
                </m:r>
              </m:num>
              <m:den>
                <m:r>
                  <w:rPr>
                    <w:rFonts w:ascii="Cambria Math" w:hAnsi="Cambria Math" w:cs="Andalus"/>
                    <w:color w:val="000000" w:themeColor="text1"/>
                  </w:rPr>
                  <m:t>n</m:t>
                </m:r>
              </m:den>
            </m:f>
          </m:e>
        </m:d>
        <m:r>
          <w:rPr>
            <w:rFonts w:ascii="Cambria Math" w:hAnsi="Cambria Math" w:cs="Andalus"/>
            <w:color w:val="000000" w:themeColor="text1"/>
          </w:rPr>
          <m:t>.</m:t>
        </m:r>
      </m:oMath>
      <w:r w:rsidRPr="0064130A">
        <w:rPr>
          <w:rFonts w:cs="Andalus"/>
          <w:color w:val="000000" w:themeColor="text1"/>
        </w:rPr>
        <w:tab/>
      </w:r>
      <w:r w:rsidR="0055348A" w:rsidRPr="0064130A">
        <w:rPr>
          <w:rFonts w:cs="Andalus"/>
          <w:color w:val="000000" w:themeColor="text1"/>
        </w:rPr>
        <w:t xml:space="preserve"> </w:t>
      </w:r>
      <w:r w:rsidR="0055348A" w:rsidRPr="0064130A">
        <w:rPr>
          <w:rFonts w:cs="Andalus"/>
          <w:color w:val="000000" w:themeColor="text1"/>
        </w:rPr>
        <w:tab/>
      </w:r>
      <w:r w:rsidR="0055348A" w:rsidRPr="0064130A">
        <w:rPr>
          <w:rFonts w:cs="Andalus"/>
          <w:color w:val="000000" w:themeColor="text1"/>
        </w:rPr>
        <w:tab/>
      </w:r>
      <w:r w:rsidR="0055348A" w:rsidRPr="0064130A">
        <w:rPr>
          <w:rFonts w:cs="Andalus"/>
          <w:color w:val="000000" w:themeColor="text1"/>
        </w:rPr>
        <w:tab/>
      </w:r>
      <w:r w:rsidR="0055348A" w:rsidRPr="0064130A">
        <w:rPr>
          <w:rFonts w:cs="Andalus"/>
          <w:color w:val="000000" w:themeColor="text1"/>
        </w:rPr>
        <w:tab/>
      </w:r>
      <w:r w:rsidRPr="0064130A">
        <w:rPr>
          <w:rFonts w:cs="Andalus"/>
          <w:color w:val="000000" w:themeColor="text1"/>
        </w:rPr>
        <w:t>(1)</w:t>
      </w:r>
    </w:p>
    <w:p w14:paraId="6619AE76" w14:textId="3144ABA8" w:rsidR="00086667" w:rsidRPr="0064130A" w:rsidRDefault="00086667" w:rsidP="00086667">
      <w:pPr>
        <w:spacing w:line="360" w:lineRule="auto"/>
        <w:jc w:val="both"/>
        <w:rPr>
          <w:rFonts w:cs="Andalus"/>
          <w:color w:val="000000" w:themeColor="text1"/>
        </w:rPr>
      </w:pPr>
      <w:r w:rsidRPr="0064130A">
        <w:rPr>
          <w:rFonts w:cs="Andalus"/>
          <w:color w:val="000000" w:themeColor="text1"/>
        </w:rPr>
        <w:t xml:space="preserve">where </w:t>
      </w:r>
      <m:oMath>
        <m:r>
          <w:rPr>
            <w:rFonts w:ascii="Cambria Math" w:hAnsi="Cambria Math" w:cs="Andalus"/>
            <w:color w:val="000000" w:themeColor="text1"/>
          </w:rPr>
          <m:t>P (first digit=n)</m:t>
        </m:r>
      </m:oMath>
      <w:r w:rsidRPr="0064130A">
        <w:rPr>
          <w:rFonts w:cs="Andalus"/>
          <w:color w:val="000000" w:themeColor="text1"/>
        </w:rPr>
        <w:t xml:space="preserve"> is the probability </w:t>
      </w:r>
      <w:r w:rsidR="0055348A" w:rsidRPr="0064130A">
        <w:rPr>
          <w:rFonts w:cs="Andalus"/>
          <w:color w:val="000000" w:themeColor="text1"/>
        </w:rPr>
        <w:t>that</w:t>
      </w:r>
      <w:r w:rsidRPr="0064130A">
        <w:rPr>
          <w:rFonts w:cs="Andalus"/>
          <w:color w:val="000000" w:themeColor="text1"/>
        </w:rPr>
        <w:t xml:space="preserve"> a number </w:t>
      </w:r>
      <w:r w:rsidR="0055348A" w:rsidRPr="0064130A">
        <w:rPr>
          <w:rFonts w:cs="Andalus"/>
          <w:color w:val="000000" w:themeColor="text1"/>
        </w:rPr>
        <w:t>has</w:t>
      </w:r>
      <w:r w:rsidRPr="0064130A">
        <w:rPr>
          <w:rFonts w:cs="Andalus"/>
          <w:color w:val="000000" w:themeColor="text1"/>
        </w:rPr>
        <w:t xml:space="preserve"> the first digit </w:t>
      </w:r>
      <w:r w:rsidR="0055348A" w:rsidRPr="0064130A">
        <w:rPr>
          <w:rFonts w:cs="Andalus"/>
          <w:color w:val="000000" w:themeColor="text1"/>
        </w:rPr>
        <w:t xml:space="preserve">equals to </w:t>
      </w:r>
      <m:oMath>
        <m:r>
          <w:rPr>
            <w:rFonts w:ascii="Cambria Math" w:hAnsi="Cambria Math" w:cs="Andalus"/>
            <w:color w:val="000000" w:themeColor="text1"/>
          </w:rPr>
          <m:t>n</m:t>
        </m:r>
      </m:oMath>
      <w:r w:rsidRPr="0064130A">
        <w:rPr>
          <w:rFonts w:cs="Andalus"/>
          <w:color w:val="000000" w:themeColor="text1"/>
        </w:rPr>
        <w:t xml:space="preserve">, </w:t>
      </w:r>
      <w:r w:rsidR="0055348A" w:rsidRPr="0064130A">
        <w:rPr>
          <w:rFonts w:cs="Andalus"/>
          <w:color w:val="000000" w:themeColor="text1"/>
        </w:rPr>
        <w:t xml:space="preserve">with </w:t>
      </w:r>
      <m:oMath>
        <m:r>
          <w:rPr>
            <w:rFonts w:ascii="Cambria Math" w:hAnsi="Cambria Math" w:cs="Andalus"/>
            <w:color w:val="000000" w:themeColor="text1"/>
          </w:rPr>
          <m:t>n=1,...,9</m:t>
        </m:r>
      </m:oMath>
      <w:r w:rsidRPr="0064130A">
        <w:rPr>
          <w:rFonts w:cs="Andalus"/>
          <w:color w:val="000000" w:themeColor="text1"/>
        </w:rPr>
        <w:t>.</w:t>
      </w:r>
    </w:p>
    <w:p w14:paraId="0246E273" w14:textId="234403DD" w:rsidR="00086667" w:rsidRPr="0064130A" w:rsidRDefault="00086667" w:rsidP="0008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cs="Helvetica"/>
        </w:rPr>
      </w:pPr>
      <w:r w:rsidRPr="0064130A">
        <w:rPr>
          <w:rFonts w:cs="Helvetica"/>
        </w:rPr>
        <w:t xml:space="preserve">As for the probability of the second digit, </w:t>
      </w:r>
      <w:r w:rsidR="0055348A" w:rsidRPr="0064130A">
        <w:rPr>
          <w:rFonts w:cs="Helvetica"/>
        </w:rPr>
        <w:t>BL can be written</w:t>
      </w:r>
      <w:r w:rsidRPr="0064130A">
        <w:rPr>
          <w:rFonts w:cs="Helvetica"/>
        </w:rPr>
        <w:t xml:space="preserve"> as follows:</w:t>
      </w:r>
    </w:p>
    <w:p w14:paraId="746A19BC" w14:textId="1A8FA927" w:rsidR="00086667" w:rsidRPr="0064130A" w:rsidRDefault="00086667" w:rsidP="00086667">
      <w:pPr>
        <w:spacing w:line="360" w:lineRule="auto"/>
        <w:jc w:val="both"/>
        <w:rPr>
          <w:rFonts w:cs="Andalus"/>
          <w:color w:val="000000" w:themeColor="text1"/>
        </w:rPr>
      </w:pPr>
      <m:oMath>
        <m:r>
          <w:rPr>
            <w:rFonts w:ascii="Cambria Math" w:hAnsi="Cambria Math" w:cs="Andalus"/>
            <w:color w:val="000000" w:themeColor="text1"/>
          </w:rPr>
          <m:t xml:space="preserve">                     P</m:t>
        </m:r>
        <m:d>
          <m:dPr>
            <m:ctrlPr>
              <w:rPr>
                <w:rFonts w:ascii="Cambria Math" w:hAnsi="Cambria Math" w:cs="Andalus"/>
                <w:i/>
                <w:color w:val="000000" w:themeColor="text1"/>
              </w:rPr>
            </m:ctrlPr>
          </m:dPr>
          <m:e>
            <m:r>
              <w:rPr>
                <w:rFonts w:ascii="Cambria Math" w:hAnsi="Cambria Math" w:cs="Andalus"/>
                <w:color w:val="000000" w:themeColor="text1"/>
              </w:rPr>
              <m:t>second digit=n</m:t>
            </m:r>
          </m:e>
        </m:d>
        <m:r>
          <w:rPr>
            <w:rFonts w:ascii="Cambria Math" w:hAnsi="Cambria Math" w:cs="Andalus"/>
            <w:color w:val="000000" w:themeColor="text1"/>
          </w:rPr>
          <m:t>=</m:t>
        </m:r>
        <m:nary>
          <m:naryPr>
            <m:chr m:val="∑"/>
            <m:limLoc m:val="undOvr"/>
            <m:ctrlPr>
              <w:rPr>
                <w:rFonts w:ascii="Cambria Math" w:hAnsi="Cambria Math" w:cs="Andalus"/>
                <w:i/>
                <w:color w:val="000000" w:themeColor="text1"/>
              </w:rPr>
            </m:ctrlPr>
          </m:naryPr>
          <m:sub>
            <m:r>
              <w:rPr>
                <w:rFonts w:ascii="Cambria Math" w:hAnsi="Cambria Math" w:cs="Andalus"/>
                <w:color w:val="000000" w:themeColor="text1"/>
              </w:rPr>
              <m:t>k=1</m:t>
            </m:r>
          </m:sub>
          <m:sup>
            <m:r>
              <w:rPr>
                <w:rFonts w:ascii="Cambria Math" w:hAnsi="Cambria Math" w:cs="Andalus"/>
                <w:color w:val="000000" w:themeColor="text1"/>
              </w:rPr>
              <m:t>9</m:t>
            </m:r>
          </m:sup>
          <m:e>
            <m:sSub>
              <m:sSubPr>
                <m:ctrlPr>
                  <w:rPr>
                    <w:rFonts w:ascii="Cambria Math" w:hAnsi="Cambria Math" w:cs="Andalus"/>
                    <w:i/>
                    <w:color w:val="000000" w:themeColor="text1"/>
                  </w:rPr>
                </m:ctrlPr>
              </m:sSubPr>
              <m:e>
                <m:r>
                  <w:rPr>
                    <w:rFonts w:ascii="Cambria Math" w:hAnsi="Cambria Math" w:cs="Andalus"/>
                    <w:color w:val="000000" w:themeColor="text1"/>
                  </w:rPr>
                  <m:t>log</m:t>
                </m:r>
              </m:e>
              <m:sub>
                <m:r>
                  <w:rPr>
                    <w:rFonts w:ascii="Cambria Math" w:hAnsi="Cambria Math" w:cs="Andalus"/>
                    <w:color w:val="000000" w:themeColor="text1"/>
                  </w:rPr>
                  <m:t>10</m:t>
                </m:r>
              </m:sub>
            </m:sSub>
            <m:r>
              <w:rPr>
                <w:rFonts w:ascii="Cambria Math" w:hAnsi="Cambria Math" w:cs="Andalus"/>
                <w:color w:val="000000" w:themeColor="text1"/>
              </w:rPr>
              <m:t>(1+</m:t>
            </m:r>
            <m:f>
              <m:fPr>
                <m:ctrlPr>
                  <w:rPr>
                    <w:rFonts w:ascii="Cambria Math" w:hAnsi="Cambria Math" w:cs="Andalus"/>
                    <w:i/>
                    <w:color w:val="000000" w:themeColor="text1"/>
                  </w:rPr>
                </m:ctrlPr>
              </m:fPr>
              <m:num>
                <m:r>
                  <w:rPr>
                    <w:rFonts w:ascii="Cambria Math" w:hAnsi="Cambria Math" w:cs="Andalus"/>
                    <w:color w:val="000000" w:themeColor="text1"/>
                  </w:rPr>
                  <m:t>1</m:t>
                </m:r>
              </m:num>
              <m:den>
                <m:r>
                  <w:rPr>
                    <w:rFonts w:ascii="Cambria Math" w:hAnsi="Cambria Math" w:cs="Andalus"/>
                    <w:color w:val="000000" w:themeColor="text1"/>
                  </w:rPr>
                  <m:t>10k+n</m:t>
                </m:r>
              </m:den>
            </m:f>
            <m:r>
              <w:rPr>
                <w:rFonts w:ascii="Cambria Math" w:hAnsi="Cambria Math" w:cs="Andalus"/>
                <w:color w:val="000000" w:themeColor="text1"/>
              </w:rPr>
              <m:t>)</m:t>
            </m:r>
          </m:e>
        </m:nary>
      </m:oMath>
      <w:r w:rsidR="0055348A" w:rsidRPr="0064130A">
        <w:rPr>
          <w:rFonts w:cs="Andalus"/>
          <w:color w:val="000000" w:themeColor="text1"/>
        </w:rPr>
        <w:t>.</w:t>
      </w:r>
      <w:r w:rsidRPr="0064130A">
        <w:rPr>
          <w:rFonts w:cs="Andalus"/>
          <w:color w:val="000000" w:themeColor="text1"/>
        </w:rPr>
        <w:tab/>
      </w:r>
      <w:r w:rsidRPr="0064130A">
        <w:rPr>
          <w:rFonts w:cs="Andalus"/>
          <w:color w:val="000000" w:themeColor="text1"/>
        </w:rPr>
        <w:tab/>
      </w:r>
      <w:r w:rsidRPr="0064130A">
        <w:rPr>
          <w:rFonts w:cs="Andalus"/>
          <w:color w:val="000000" w:themeColor="text1"/>
        </w:rPr>
        <w:tab/>
      </w:r>
      <w:r w:rsidRPr="0064130A">
        <w:rPr>
          <w:rFonts w:cs="Andalus"/>
          <w:color w:val="000000" w:themeColor="text1"/>
        </w:rPr>
        <w:tab/>
        <w:t>(2)</w:t>
      </w:r>
    </w:p>
    <w:p w14:paraId="0BECC63C" w14:textId="70786E73" w:rsidR="0055348A" w:rsidRPr="0064130A" w:rsidRDefault="00086667" w:rsidP="00086667">
      <w:pPr>
        <w:spacing w:line="360" w:lineRule="auto"/>
        <w:jc w:val="both"/>
        <w:rPr>
          <w:rFonts w:cs="Andalus"/>
          <w:color w:val="000000" w:themeColor="text1"/>
        </w:rPr>
      </w:pPr>
      <w:r w:rsidRPr="0064130A">
        <w:rPr>
          <w:rFonts w:cs="Andalus"/>
          <w:color w:val="000000" w:themeColor="text1"/>
        </w:rPr>
        <w:t xml:space="preserve">where </w:t>
      </w:r>
      <m:oMath>
        <m:r>
          <w:rPr>
            <w:rFonts w:ascii="Cambria Math" w:hAnsi="Cambria Math" w:cs="Andalus"/>
            <w:color w:val="000000" w:themeColor="text1"/>
          </w:rPr>
          <m:t>n=0,1,…,9</m:t>
        </m:r>
      </m:oMath>
      <w:r w:rsidR="0055348A" w:rsidRPr="0064130A">
        <w:rPr>
          <w:rFonts w:cs="Andalus"/>
          <w:color w:val="000000" w:themeColor="text1"/>
        </w:rPr>
        <w:t>.</w:t>
      </w:r>
    </w:p>
    <w:p w14:paraId="5F935359" w14:textId="5732380C" w:rsidR="00086667" w:rsidRPr="0064130A" w:rsidRDefault="00086667" w:rsidP="00086667">
      <w:pPr>
        <w:spacing w:line="360" w:lineRule="auto"/>
        <w:jc w:val="both"/>
        <w:rPr>
          <w:rFonts w:cs="Andalus"/>
          <w:color w:val="000000" w:themeColor="text1"/>
        </w:rPr>
      </w:pPr>
      <w:r w:rsidRPr="0064130A">
        <w:rPr>
          <w:rFonts w:cs="Andalus"/>
          <w:color w:val="000000" w:themeColor="text1"/>
        </w:rPr>
        <w:t>The theoretical frequencies are shown in Table 1.</w:t>
      </w:r>
    </w:p>
    <w:p w14:paraId="1B8F7C34" w14:textId="702E446B" w:rsidR="00F16809" w:rsidRPr="0064130A" w:rsidRDefault="00F16809" w:rsidP="00086667">
      <w:pPr>
        <w:spacing w:line="360" w:lineRule="auto"/>
        <w:jc w:val="both"/>
        <w:rPr>
          <w:rFonts w:cs="Andalus"/>
          <w:color w:val="000000" w:themeColor="text1"/>
        </w:rPr>
      </w:pPr>
      <w:r w:rsidRPr="0064130A">
        <w:rPr>
          <w:rFonts w:cs="Andalus"/>
          <w:color w:val="000000" w:themeColor="text1"/>
        </w:rPr>
        <w:t>Table 1. Relative frequencies of the first and second significant digit</w:t>
      </w:r>
    </w:p>
    <w:p w14:paraId="3A03B13C" w14:textId="77777777" w:rsidR="00F16809" w:rsidRPr="0064130A" w:rsidRDefault="00F16809" w:rsidP="00086667">
      <w:pPr>
        <w:spacing w:line="360" w:lineRule="auto"/>
        <w:jc w:val="both"/>
        <w:rPr>
          <w:rFonts w:cs="Andalus"/>
          <w:color w:val="000000" w:themeColor="text1"/>
        </w:rPr>
      </w:pPr>
    </w:p>
    <w:p w14:paraId="3AB32815" w14:textId="77777777" w:rsidR="00F16809" w:rsidRPr="0064130A" w:rsidRDefault="00F16809" w:rsidP="00086667">
      <w:pPr>
        <w:spacing w:line="360" w:lineRule="auto"/>
        <w:jc w:val="both"/>
        <w:rPr>
          <w:rFonts w:cs="Andalus"/>
          <w:color w:val="000000" w:themeColor="text1"/>
        </w:rPr>
      </w:pPr>
    </w:p>
    <w:tbl>
      <w:tblPr>
        <w:tblpPr w:leftFromText="141" w:rightFromText="141" w:vertAnchor="page" w:horzAnchor="page" w:tblpX="1279" w:tblpY="9158"/>
        <w:tblW w:w="9783" w:type="dxa"/>
        <w:tblBorders>
          <w:top w:val="single" w:sz="8" w:space="0" w:color="000000"/>
          <w:bottom w:val="single" w:sz="8" w:space="0" w:color="000000"/>
          <w:insideH w:val="single" w:sz="8" w:space="0" w:color="000000"/>
        </w:tblBorders>
        <w:tblLayout w:type="fixed"/>
        <w:tblCellMar>
          <w:left w:w="0" w:type="dxa"/>
          <w:right w:w="0" w:type="dxa"/>
        </w:tblCellMar>
        <w:tblLook w:val="0420" w:firstRow="1" w:lastRow="0" w:firstColumn="0" w:lastColumn="0" w:noHBand="0" w:noVBand="1"/>
      </w:tblPr>
      <w:tblGrid>
        <w:gridCol w:w="1278"/>
        <w:gridCol w:w="851"/>
        <w:gridCol w:w="850"/>
        <w:gridCol w:w="851"/>
        <w:gridCol w:w="850"/>
        <w:gridCol w:w="851"/>
        <w:gridCol w:w="850"/>
        <w:gridCol w:w="851"/>
        <w:gridCol w:w="850"/>
        <w:gridCol w:w="851"/>
        <w:gridCol w:w="850"/>
      </w:tblGrid>
      <w:tr w:rsidR="00DA712A" w:rsidRPr="0064130A" w14:paraId="70A73F3A" w14:textId="77777777" w:rsidTr="00DA712A">
        <w:trPr>
          <w:trHeight w:val="340"/>
        </w:trPr>
        <w:tc>
          <w:tcPr>
            <w:tcW w:w="1278" w:type="dxa"/>
            <w:shd w:val="clear" w:color="auto" w:fill="auto"/>
            <w:tcMar>
              <w:top w:w="72" w:type="dxa"/>
              <w:left w:w="144" w:type="dxa"/>
              <w:bottom w:w="72" w:type="dxa"/>
              <w:right w:w="144" w:type="dxa"/>
            </w:tcMar>
          </w:tcPr>
          <w:p w14:paraId="297DFFDD" w14:textId="4E97EC93" w:rsidR="00DA712A" w:rsidRPr="00DA712A" w:rsidRDefault="00DA712A" w:rsidP="00DA712A">
            <w:pPr>
              <w:spacing w:line="360" w:lineRule="auto"/>
              <w:jc w:val="both"/>
              <w:rPr>
                <w:rFonts w:cs="Andalus"/>
                <w:color w:val="000000" w:themeColor="text1"/>
                <w:sz w:val="20"/>
                <w:szCs w:val="20"/>
                <w:lang w:val="it-IT"/>
              </w:rPr>
            </w:pPr>
            <w:r w:rsidRPr="00DA712A">
              <w:rPr>
                <w:rFonts w:cs="Andalus"/>
                <w:bCs/>
                <w:color w:val="000000" w:themeColor="text1"/>
                <w:sz w:val="20"/>
                <w:szCs w:val="20"/>
                <w:lang w:val="it-IT"/>
              </w:rPr>
              <w:t>1</w:t>
            </w:r>
            <w:r w:rsidRPr="00DA712A">
              <w:rPr>
                <w:rFonts w:cs="Andalus"/>
                <w:bCs/>
                <w:color w:val="000000" w:themeColor="text1"/>
                <w:sz w:val="20"/>
                <w:szCs w:val="20"/>
                <w:vertAlign w:val="superscript"/>
                <w:lang w:val="it-IT"/>
              </w:rPr>
              <w:t>st</w:t>
            </w:r>
            <w:r w:rsidRPr="00DA712A">
              <w:rPr>
                <w:rFonts w:cs="Andalus"/>
                <w:bCs/>
                <w:color w:val="000000" w:themeColor="text1"/>
                <w:sz w:val="20"/>
                <w:szCs w:val="20"/>
                <w:lang w:val="it-IT"/>
              </w:rPr>
              <w:t xml:space="preserve"> </w:t>
            </w:r>
            <w:proofErr w:type="spellStart"/>
            <w:r w:rsidRPr="00DA712A">
              <w:rPr>
                <w:rFonts w:cs="Andalus"/>
                <w:bCs/>
                <w:color w:val="000000" w:themeColor="text1"/>
                <w:sz w:val="20"/>
                <w:szCs w:val="20"/>
                <w:lang w:val="it-IT"/>
              </w:rPr>
              <w:t>digit</w:t>
            </w:r>
            <w:proofErr w:type="spellEnd"/>
          </w:p>
        </w:tc>
        <w:tc>
          <w:tcPr>
            <w:tcW w:w="851" w:type="dxa"/>
            <w:shd w:val="clear" w:color="auto" w:fill="auto"/>
            <w:tcMar>
              <w:top w:w="72" w:type="dxa"/>
              <w:left w:w="144" w:type="dxa"/>
              <w:bottom w:w="72" w:type="dxa"/>
              <w:right w:w="144" w:type="dxa"/>
            </w:tcMar>
          </w:tcPr>
          <w:p w14:paraId="61CD85FE" w14:textId="77777777" w:rsidR="00DA712A" w:rsidRPr="00DA712A" w:rsidRDefault="00DA712A" w:rsidP="00DA712A">
            <w:pPr>
              <w:spacing w:line="360" w:lineRule="auto"/>
              <w:jc w:val="both"/>
              <w:rPr>
                <w:rFonts w:cs="Andalus"/>
                <w:color w:val="000000" w:themeColor="text1"/>
                <w:sz w:val="20"/>
                <w:szCs w:val="20"/>
                <w:lang w:val="it-IT"/>
              </w:rPr>
            </w:pPr>
          </w:p>
        </w:tc>
        <w:tc>
          <w:tcPr>
            <w:tcW w:w="850" w:type="dxa"/>
            <w:shd w:val="clear" w:color="auto" w:fill="auto"/>
            <w:tcMar>
              <w:top w:w="72" w:type="dxa"/>
              <w:left w:w="144" w:type="dxa"/>
              <w:bottom w:w="72" w:type="dxa"/>
              <w:right w:w="144" w:type="dxa"/>
            </w:tcMar>
          </w:tcPr>
          <w:p w14:paraId="249A50C5" w14:textId="355BACC1" w:rsidR="00DA712A" w:rsidRPr="00DA712A" w:rsidRDefault="00DA712A" w:rsidP="00DA712A">
            <w:pPr>
              <w:spacing w:line="360" w:lineRule="auto"/>
              <w:jc w:val="both"/>
              <w:rPr>
                <w:rFonts w:cs="Andalus"/>
                <w:color w:val="000000" w:themeColor="text1"/>
                <w:sz w:val="20"/>
                <w:szCs w:val="20"/>
                <w:lang w:val="it-IT"/>
              </w:rPr>
            </w:pPr>
            <w:r w:rsidRPr="00DA712A">
              <w:rPr>
                <w:rFonts w:cs="Andalus"/>
                <w:bCs/>
                <w:color w:val="000000" w:themeColor="text1"/>
                <w:sz w:val="20"/>
                <w:szCs w:val="20"/>
                <w:lang w:val="it-IT"/>
              </w:rPr>
              <w:t>1</w:t>
            </w:r>
          </w:p>
        </w:tc>
        <w:tc>
          <w:tcPr>
            <w:tcW w:w="851" w:type="dxa"/>
            <w:shd w:val="clear" w:color="auto" w:fill="auto"/>
            <w:tcMar>
              <w:top w:w="72" w:type="dxa"/>
              <w:left w:w="144" w:type="dxa"/>
              <w:bottom w:w="72" w:type="dxa"/>
              <w:right w:w="144" w:type="dxa"/>
            </w:tcMar>
          </w:tcPr>
          <w:p w14:paraId="4F1953D5" w14:textId="18FF2A6D" w:rsidR="00DA712A" w:rsidRPr="00DA712A" w:rsidRDefault="00DA712A" w:rsidP="00DA712A">
            <w:pPr>
              <w:spacing w:line="360" w:lineRule="auto"/>
              <w:jc w:val="both"/>
              <w:rPr>
                <w:rFonts w:cs="Andalus"/>
                <w:color w:val="000000" w:themeColor="text1"/>
                <w:sz w:val="20"/>
                <w:szCs w:val="20"/>
                <w:lang w:val="it-IT"/>
              </w:rPr>
            </w:pPr>
            <w:r w:rsidRPr="00DA712A">
              <w:rPr>
                <w:rFonts w:cs="Andalus"/>
                <w:bCs/>
                <w:color w:val="000000" w:themeColor="text1"/>
                <w:sz w:val="20"/>
                <w:szCs w:val="20"/>
                <w:lang w:val="it-IT"/>
              </w:rPr>
              <w:t>2</w:t>
            </w:r>
          </w:p>
        </w:tc>
        <w:tc>
          <w:tcPr>
            <w:tcW w:w="850" w:type="dxa"/>
            <w:shd w:val="clear" w:color="auto" w:fill="auto"/>
            <w:tcMar>
              <w:top w:w="72" w:type="dxa"/>
              <w:left w:w="144" w:type="dxa"/>
              <w:bottom w:w="72" w:type="dxa"/>
              <w:right w:w="144" w:type="dxa"/>
            </w:tcMar>
          </w:tcPr>
          <w:p w14:paraId="19B1EA0C" w14:textId="100B67ED" w:rsidR="00DA712A" w:rsidRPr="00DA712A" w:rsidRDefault="00DA712A" w:rsidP="00DA712A">
            <w:pPr>
              <w:spacing w:line="360" w:lineRule="auto"/>
              <w:jc w:val="both"/>
              <w:rPr>
                <w:rFonts w:cs="Andalus"/>
                <w:color w:val="000000" w:themeColor="text1"/>
                <w:sz w:val="20"/>
                <w:szCs w:val="20"/>
                <w:lang w:val="it-IT"/>
              </w:rPr>
            </w:pPr>
            <w:r w:rsidRPr="00DA712A">
              <w:rPr>
                <w:rFonts w:cs="Andalus"/>
                <w:bCs/>
                <w:color w:val="000000" w:themeColor="text1"/>
                <w:sz w:val="20"/>
                <w:szCs w:val="20"/>
                <w:lang w:val="it-IT"/>
              </w:rPr>
              <w:t>3</w:t>
            </w:r>
          </w:p>
        </w:tc>
        <w:tc>
          <w:tcPr>
            <w:tcW w:w="851" w:type="dxa"/>
            <w:shd w:val="clear" w:color="auto" w:fill="auto"/>
            <w:tcMar>
              <w:top w:w="72" w:type="dxa"/>
              <w:left w:w="144" w:type="dxa"/>
              <w:bottom w:w="72" w:type="dxa"/>
              <w:right w:w="144" w:type="dxa"/>
            </w:tcMar>
          </w:tcPr>
          <w:p w14:paraId="596C95C4" w14:textId="209E97C9" w:rsidR="00DA712A" w:rsidRPr="00DA712A" w:rsidRDefault="00DA712A" w:rsidP="00DA712A">
            <w:pPr>
              <w:spacing w:line="360" w:lineRule="auto"/>
              <w:jc w:val="both"/>
              <w:rPr>
                <w:rFonts w:cs="Andalus"/>
                <w:color w:val="000000" w:themeColor="text1"/>
                <w:sz w:val="20"/>
                <w:szCs w:val="20"/>
                <w:lang w:val="it-IT"/>
              </w:rPr>
            </w:pPr>
            <w:r w:rsidRPr="00DA712A">
              <w:rPr>
                <w:rFonts w:cs="Andalus"/>
                <w:bCs/>
                <w:color w:val="000000" w:themeColor="text1"/>
                <w:sz w:val="20"/>
                <w:szCs w:val="20"/>
                <w:lang w:val="it-IT"/>
              </w:rPr>
              <w:t>4</w:t>
            </w:r>
          </w:p>
        </w:tc>
        <w:tc>
          <w:tcPr>
            <w:tcW w:w="850" w:type="dxa"/>
            <w:shd w:val="clear" w:color="auto" w:fill="auto"/>
            <w:tcMar>
              <w:top w:w="72" w:type="dxa"/>
              <w:left w:w="144" w:type="dxa"/>
              <w:bottom w:w="72" w:type="dxa"/>
              <w:right w:w="144" w:type="dxa"/>
            </w:tcMar>
          </w:tcPr>
          <w:p w14:paraId="35BA5E04" w14:textId="7F31C5B2" w:rsidR="00DA712A" w:rsidRPr="00DA712A" w:rsidRDefault="00DA712A" w:rsidP="00DA712A">
            <w:pPr>
              <w:spacing w:line="360" w:lineRule="auto"/>
              <w:jc w:val="both"/>
              <w:rPr>
                <w:rFonts w:cs="Andalus"/>
                <w:color w:val="000000" w:themeColor="text1"/>
                <w:sz w:val="20"/>
                <w:szCs w:val="20"/>
                <w:lang w:val="it-IT"/>
              </w:rPr>
            </w:pPr>
            <w:r w:rsidRPr="00DA712A">
              <w:rPr>
                <w:rFonts w:cs="Andalus"/>
                <w:bCs/>
                <w:color w:val="000000" w:themeColor="text1"/>
                <w:sz w:val="20"/>
                <w:szCs w:val="20"/>
                <w:lang w:val="it-IT"/>
              </w:rPr>
              <w:t>5</w:t>
            </w:r>
          </w:p>
        </w:tc>
        <w:tc>
          <w:tcPr>
            <w:tcW w:w="851" w:type="dxa"/>
            <w:shd w:val="clear" w:color="auto" w:fill="auto"/>
            <w:tcMar>
              <w:top w:w="72" w:type="dxa"/>
              <w:left w:w="144" w:type="dxa"/>
              <w:bottom w:w="72" w:type="dxa"/>
              <w:right w:w="144" w:type="dxa"/>
            </w:tcMar>
          </w:tcPr>
          <w:p w14:paraId="49B582D0" w14:textId="337A290A" w:rsidR="00DA712A" w:rsidRPr="00DA712A" w:rsidRDefault="00DA712A" w:rsidP="00DA712A">
            <w:pPr>
              <w:spacing w:line="360" w:lineRule="auto"/>
              <w:jc w:val="both"/>
              <w:rPr>
                <w:rFonts w:cs="Andalus"/>
                <w:color w:val="000000" w:themeColor="text1"/>
                <w:sz w:val="20"/>
                <w:szCs w:val="20"/>
                <w:lang w:val="it-IT"/>
              </w:rPr>
            </w:pPr>
            <w:r w:rsidRPr="00DA712A">
              <w:rPr>
                <w:rFonts w:cs="Andalus"/>
                <w:bCs/>
                <w:color w:val="000000" w:themeColor="text1"/>
                <w:sz w:val="20"/>
                <w:szCs w:val="20"/>
                <w:lang w:val="it-IT"/>
              </w:rPr>
              <w:t>6</w:t>
            </w:r>
          </w:p>
        </w:tc>
        <w:tc>
          <w:tcPr>
            <w:tcW w:w="850" w:type="dxa"/>
            <w:shd w:val="clear" w:color="auto" w:fill="auto"/>
            <w:tcMar>
              <w:top w:w="72" w:type="dxa"/>
              <w:left w:w="144" w:type="dxa"/>
              <w:bottom w:w="72" w:type="dxa"/>
              <w:right w:w="144" w:type="dxa"/>
            </w:tcMar>
          </w:tcPr>
          <w:p w14:paraId="53684AB7" w14:textId="70852358" w:rsidR="00DA712A" w:rsidRPr="00DA712A" w:rsidRDefault="00DA712A" w:rsidP="00DA712A">
            <w:pPr>
              <w:spacing w:line="360" w:lineRule="auto"/>
              <w:jc w:val="both"/>
              <w:rPr>
                <w:rFonts w:cs="Andalus"/>
                <w:color w:val="000000" w:themeColor="text1"/>
                <w:sz w:val="20"/>
                <w:szCs w:val="20"/>
                <w:lang w:val="it-IT"/>
              </w:rPr>
            </w:pPr>
            <w:r w:rsidRPr="00DA712A">
              <w:rPr>
                <w:rFonts w:cs="Andalus"/>
                <w:bCs/>
                <w:color w:val="000000" w:themeColor="text1"/>
                <w:sz w:val="20"/>
                <w:szCs w:val="20"/>
                <w:lang w:val="it-IT"/>
              </w:rPr>
              <w:t>7</w:t>
            </w:r>
          </w:p>
        </w:tc>
        <w:tc>
          <w:tcPr>
            <w:tcW w:w="851" w:type="dxa"/>
            <w:shd w:val="clear" w:color="auto" w:fill="auto"/>
            <w:tcMar>
              <w:top w:w="72" w:type="dxa"/>
              <w:left w:w="144" w:type="dxa"/>
              <w:bottom w:w="72" w:type="dxa"/>
              <w:right w:w="144" w:type="dxa"/>
            </w:tcMar>
          </w:tcPr>
          <w:p w14:paraId="6307308F" w14:textId="3EA9E872" w:rsidR="00DA712A" w:rsidRPr="00DA712A" w:rsidRDefault="00DA712A" w:rsidP="00DA712A">
            <w:pPr>
              <w:spacing w:line="360" w:lineRule="auto"/>
              <w:jc w:val="both"/>
              <w:rPr>
                <w:rFonts w:cs="Andalus"/>
                <w:color w:val="000000" w:themeColor="text1"/>
                <w:sz w:val="20"/>
                <w:szCs w:val="20"/>
                <w:lang w:val="it-IT"/>
              </w:rPr>
            </w:pPr>
            <w:r w:rsidRPr="00DA712A">
              <w:rPr>
                <w:rFonts w:cs="Andalus"/>
                <w:bCs/>
                <w:color w:val="000000" w:themeColor="text1"/>
                <w:sz w:val="20"/>
                <w:szCs w:val="20"/>
                <w:lang w:val="it-IT"/>
              </w:rPr>
              <w:t>8</w:t>
            </w:r>
          </w:p>
        </w:tc>
        <w:tc>
          <w:tcPr>
            <w:tcW w:w="850" w:type="dxa"/>
            <w:shd w:val="clear" w:color="auto" w:fill="auto"/>
            <w:tcMar>
              <w:top w:w="72" w:type="dxa"/>
              <w:left w:w="144" w:type="dxa"/>
              <w:bottom w:w="72" w:type="dxa"/>
              <w:right w:w="144" w:type="dxa"/>
            </w:tcMar>
          </w:tcPr>
          <w:p w14:paraId="25DED53D" w14:textId="17473276" w:rsidR="00DA712A" w:rsidRPr="00DA712A" w:rsidRDefault="00DA712A" w:rsidP="00DA712A">
            <w:pPr>
              <w:spacing w:line="360" w:lineRule="auto"/>
              <w:jc w:val="both"/>
              <w:rPr>
                <w:rFonts w:cs="Andalus"/>
                <w:color w:val="000000" w:themeColor="text1"/>
                <w:sz w:val="20"/>
                <w:szCs w:val="20"/>
                <w:lang w:val="it-IT"/>
              </w:rPr>
            </w:pPr>
            <w:r w:rsidRPr="00DA712A">
              <w:rPr>
                <w:rFonts w:cs="Andalus"/>
                <w:bCs/>
                <w:color w:val="000000" w:themeColor="text1"/>
                <w:sz w:val="20"/>
                <w:szCs w:val="20"/>
                <w:lang w:val="it-IT"/>
              </w:rPr>
              <w:t>9</w:t>
            </w:r>
          </w:p>
        </w:tc>
      </w:tr>
      <w:tr w:rsidR="00DA712A" w:rsidRPr="0064130A" w14:paraId="1F7DAB91" w14:textId="77777777" w:rsidTr="00F16809">
        <w:trPr>
          <w:trHeight w:val="375"/>
        </w:trPr>
        <w:tc>
          <w:tcPr>
            <w:tcW w:w="1278" w:type="dxa"/>
            <w:shd w:val="clear" w:color="auto" w:fill="FFFFFF"/>
            <w:tcMar>
              <w:top w:w="72" w:type="dxa"/>
              <w:left w:w="144" w:type="dxa"/>
              <w:bottom w:w="72" w:type="dxa"/>
              <w:right w:w="144" w:type="dxa"/>
            </w:tcMar>
            <w:hideMark/>
          </w:tcPr>
          <w:p w14:paraId="5B318B81" w14:textId="77777777" w:rsidR="00DA712A" w:rsidRPr="00DA712A" w:rsidRDefault="00DA712A" w:rsidP="00DA712A">
            <w:pPr>
              <w:spacing w:line="360" w:lineRule="auto"/>
              <w:jc w:val="both"/>
              <w:rPr>
                <w:rFonts w:cs="Andalus"/>
                <w:color w:val="000000" w:themeColor="text1"/>
                <w:sz w:val="20"/>
                <w:szCs w:val="20"/>
                <w:lang w:val="it-IT"/>
              </w:rPr>
            </w:pPr>
            <w:proofErr w:type="spellStart"/>
            <w:r w:rsidRPr="00DA712A">
              <w:rPr>
                <w:rFonts w:cs="Andalus"/>
                <w:color w:val="000000" w:themeColor="text1"/>
                <w:sz w:val="20"/>
                <w:szCs w:val="20"/>
                <w:lang w:val="it-IT"/>
              </w:rPr>
              <w:lastRenderedPageBreak/>
              <w:t>Frequency</w:t>
            </w:r>
            <w:proofErr w:type="spellEnd"/>
          </w:p>
        </w:tc>
        <w:tc>
          <w:tcPr>
            <w:tcW w:w="851" w:type="dxa"/>
            <w:shd w:val="clear" w:color="auto" w:fill="FFFFFF"/>
            <w:tcMar>
              <w:top w:w="72" w:type="dxa"/>
              <w:left w:w="144" w:type="dxa"/>
              <w:bottom w:w="72" w:type="dxa"/>
              <w:right w:w="144" w:type="dxa"/>
            </w:tcMar>
            <w:hideMark/>
          </w:tcPr>
          <w:p w14:paraId="16C1C263" w14:textId="77777777" w:rsidR="00DA712A" w:rsidRPr="00DA712A" w:rsidRDefault="00DA712A" w:rsidP="00DA712A">
            <w:pPr>
              <w:spacing w:line="360" w:lineRule="auto"/>
              <w:jc w:val="both"/>
              <w:rPr>
                <w:rFonts w:cs="Andalus"/>
                <w:color w:val="000000" w:themeColor="text1"/>
                <w:sz w:val="20"/>
                <w:szCs w:val="20"/>
                <w:lang w:val="it-IT"/>
              </w:rPr>
            </w:pPr>
          </w:p>
        </w:tc>
        <w:tc>
          <w:tcPr>
            <w:tcW w:w="850" w:type="dxa"/>
            <w:shd w:val="clear" w:color="auto" w:fill="FFFFFF"/>
            <w:tcMar>
              <w:top w:w="72" w:type="dxa"/>
              <w:left w:w="144" w:type="dxa"/>
              <w:bottom w:w="72" w:type="dxa"/>
              <w:right w:w="144" w:type="dxa"/>
            </w:tcMar>
            <w:hideMark/>
          </w:tcPr>
          <w:p w14:paraId="224B005F"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0.301</w:t>
            </w:r>
          </w:p>
        </w:tc>
        <w:tc>
          <w:tcPr>
            <w:tcW w:w="851" w:type="dxa"/>
            <w:shd w:val="clear" w:color="auto" w:fill="FFFFFF"/>
            <w:tcMar>
              <w:top w:w="72" w:type="dxa"/>
              <w:left w:w="144" w:type="dxa"/>
              <w:bottom w:w="72" w:type="dxa"/>
              <w:right w:w="144" w:type="dxa"/>
            </w:tcMar>
            <w:hideMark/>
          </w:tcPr>
          <w:p w14:paraId="3259FD07"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0.176</w:t>
            </w:r>
          </w:p>
        </w:tc>
        <w:tc>
          <w:tcPr>
            <w:tcW w:w="850" w:type="dxa"/>
            <w:shd w:val="clear" w:color="auto" w:fill="FFFFFF"/>
            <w:tcMar>
              <w:top w:w="72" w:type="dxa"/>
              <w:left w:w="144" w:type="dxa"/>
              <w:bottom w:w="72" w:type="dxa"/>
              <w:right w:w="144" w:type="dxa"/>
            </w:tcMar>
            <w:hideMark/>
          </w:tcPr>
          <w:p w14:paraId="414CB814"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0.125</w:t>
            </w:r>
          </w:p>
        </w:tc>
        <w:tc>
          <w:tcPr>
            <w:tcW w:w="851" w:type="dxa"/>
            <w:shd w:val="clear" w:color="auto" w:fill="FFFFFF"/>
            <w:tcMar>
              <w:top w:w="72" w:type="dxa"/>
              <w:left w:w="144" w:type="dxa"/>
              <w:bottom w:w="72" w:type="dxa"/>
              <w:right w:w="144" w:type="dxa"/>
            </w:tcMar>
            <w:hideMark/>
          </w:tcPr>
          <w:p w14:paraId="373EBC7F"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0.097</w:t>
            </w:r>
          </w:p>
        </w:tc>
        <w:tc>
          <w:tcPr>
            <w:tcW w:w="850" w:type="dxa"/>
            <w:shd w:val="clear" w:color="auto" w:fill="FFFFFF"/>
            <w:tcMar>
              <w:top w:w="72" w:type="dxa"/>
              <w:left w:w="144" w:type="dxa"/>
              <w:bottom w:w="72" w:type="dxa"/>
              <w:right w:w="144" w:type="dxa"/>
            </w:tcMar>
            <w:hideMark/>
          </w:tcPr>
          <w:p w14:paraId="7CD216D2"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0.079</w:t>
            </w:r>
          </w:p>
        </w:tc>
        <w:tc>
          <w:tcPr>
            <w:tcW w:w="851" w:type="dxa"/>
            <w:shd w:val="clear" w:color="auto" w:fill="FFFFFF"/>
            <w:tcMar>
              <w:top w:w="72" w:type="dxa"/>
              <w:left w:w="144" w:type="dxa"/>
              <w:bottom w:w="72" w:type="dxa"/>
              <w:right w:w="144" w:type="dxa"/>
            </w:tcMar>
            <w:hideMark/>
          </w:tcPr>
          <w:p w14:paraId="22C26975"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0.067</w:t>
            </w:r>
          </w:p>
        </w:tc>
        <w:tc>
          <w:tcPr>
            <w:tcW w:w="850" w:type="dxa"/>
            <w:shd w:val="clear" w:color="auto" w:fill="FFFFFF"/>
            <w:tcMar>
              <w:top w:w="72" w:type="dxa"/>
              <w:left w:w="144" w:type="dxa"/>
              <w:bottom w:w="72" w:type="dxa"/>
              <w:right w:w="144" w:type="dxa"/>
            </w:tcMar>
            <w:hideMark/>
          </w:tcPr>
          <w:p w14:paraId="17546807"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0.058</w:t>
            </w:r>
          </w:p>
        </w:tc>
        <w:tc>
          <w:tcPr>
            <w:tcW w:w="851" w:type="dxa"/>
            <w:shd w:val="clear" w:color="auto" w:fill="FFFFFF"/>
            <w:tcMar>
              <w:top w:w="72" w:type="dxa"/>
              <w:left w:w="144" w:type="dxa"/>
              <w:bottom w:w="72" w:type="dxa"/>
              <w:right w:w="144" w:type="dxa"/>
            </w:tcMar>
            <w:hideMark/>
          </w:tcPr>
          <w:p w14:paraId="1C2782B4"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0.051</w:t>
            </w:r>
          </w:p>
        </w:tc>
        <w:tc>
          <w:tcPr>
            <w:tcW w:w="850" w:type="dxa"/>
            <w:shd w:val="clear" w:color="auto" w:fill="FFFFFF"/>
            <w:tcMar>
              <w:top w:w="72" w:type="dxa"/>
              <w:left w:w="144" w:type="dxa"/>
              <w:bottom w:w="72" w:type="dxa"/>
              <w:right w:w="144" w:type="dxa"/>
            </w:tcMar>
            <w:hideMark/>
          </w:tcPr>
          <w:p w14:paraId="32CDE2AC"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0.044</w:t>
            </w:r>
          </w:p>
        </w:tc>
      </w:tr>
      <w:tr w:rsidR="00DA712A" w:rsidRPr="0064130A" w14:paraId="56DF721A" w14:textId="77777777" w:rsidTr="00F16809">
        <w:trPr>
          <w:trHeight w:val="269"/>
        </w:trPr>
        <w:tc>
          <w:tcPr>
            <w:tcW w:w="1278" w:type="dxa"/>
            <w:shd w:val="clear" w:color="auto" w:fill="FFFFFF"/>
            <w:tcMar>
              <w:top w:w="72" w:type="dxa"/>
              <w:left w:w="144" w:type="dxa"/>
              <w:bottom w:w="72" w:type="dxa"/>
              <w:right w:w="144" w:type="dxa"/>
            </w:tcMar>
            <w:hideMark/>
          </w:tcPr>
          <w:p w14:paraId="332B8D4D"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bCs/>
                <w:color w:val="000000" w:themeColor="text1"/>
                <w:sz w:val="20"/>
                <w:szCs w:val="20"/>
                <w:lang w:val="it-IT"/>
              </w:rPr>
              <w:t>2</w:t>
            </w:r>
            <w:r w:rsidRPr="00DA712A">
              <w:rPr>
                <w:rFonts w:cs="Andalus"/>
                <w:bCs/>
                <w:color w:val="000000" w:themeColor="text1"/>
                <w:sz w:val="20"/>
                <w:szCs w:val="20"/>
                <w:vertAlign w:val="superscript"/>
                <w:lang w:val="it-IT"/>
              </w:rPr>
              <w:t>nd</w:t>
            </w:r>
            <w:r w:rsidRPr="00DA712A">
              <w:rPr>
                <w:rFonts w:cs="Andalus"/>
                <w:bCs/>
                <w:color w:val="000000" w:themeColor="text1"/>
                <w:sz w:val="20"/>
                <w:szCs w:val="20"/>
                <w:lang w:val="it-IT"/>
              </w:rPr>
              <w:t xml:space="preserve"> </w:t>
            </w:r>
            <w:proofErr w:type="spellStart"/>
            <w:r w:rsidRPr="00DA712A">
              <w:rPr>
                <w:rFonts w:cs="Andalus"/>
                <w:bCs/>
                <w:color w:val="000000" w:themeColor="text1"/>
                <w:sz w:val="20"/>
                <w:szCs w:val="20"/>
                <w:lang w:val="it-IT"/>
              </w:rPr>
              <w:t>digit</w:t>
            </w:r>
            <w:proofErr w:type="spellEnd"/>
          </w:p>
        </w:tc>
        <w:tc>
          <w:tcPr>
            <w:tcW w:w="851" w:type="dxa"/>
            <w:shd w:val="clear" w:color="auto" w:fill="FFFFFF"/>
            <w:tcMar>
              <w:top w:w="72" w:type="dxa"/>
              <w:left w:w="144" w:type="dxa"/>
              <w:bottom w:w="72" w:type="dxa"/>
              <w:right w:w="144" w:type="dxa"/>
            </w:tcMar>
            <w:hideMark/>
          </w:tcPr>
          <w:p w14:paraId="28D8A295"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w:t>
            </w:r>
          </w:p>
        </w:tc>
        <w:tc>
          <w:tcPr>
            <w:tcW w:w="850" w:type="dxa"/>
            <w:shd w:val="clear" w:color="auto" w:fill="FFFFFF"/>
            <w:tcMar>
              <w:top w:w="72" w:type="dxa"/>
              <w:left w:w="144" w:type="dxa"/>
              <w:bottom w:w="72" w:type="dxa"/>
              <w:right w:w="144" w:type="dxa"/>
            </w:tcMar>
            <w:hideMark/>
          </w:tcPr>
          <w:p w14:paraId="19E1FF47"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1</w:t>
            </w:r>
          </w:p>
        </w:tc>
        <w:tc>
          <w:tcPr>
            <w:tcW w:w="851" w:type="dxa"/>
            <w:shd w:val="clear" w:color="auto" w:fill="FFFFFF"/>
            <w:tcMar>
              <w:top w:w="72" w:type="dxa"/>
              <w:left w:w="144" w:type="dxa"/>
              <w:bottom w:w="72" w:type="dxa"/>
              <w:right w:w="144" w:type="dxa"/>
            </w:tcMar>
            <w:hideMark/>
          </w:tcPr>
          <w:p w14:paraId="0E0B15C5"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2</w:t>
            </w:r>
          </w:p>
        </w:tc>
        <w:tc>
          <w:tcPr>
            <w:tcW w:w="850" w:type="dxa"/>
            <w:shd w:val="clear" w:color="auto" w:fill="FFFFFF"/>
            <w:tcMar>
              <w:top w:w="72" w:type="dxa"/>
              <w:left w:w="144" w:type="dxa"/>
              <w:bottom w:w="72" w:type="dxa"/>
              <w:right w:w="144" w:type="dxa"/>
            </w:tcMar>
            <w:hideMark/>
          </w:tcPr>
          <w:p w14:paraId="5A4EEB46"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3</w:t>
            </w:r>
          </w:p>
        </w:tc>
        <w:tc>
          <w:tcPr>
            <w:tcW w:w="851" w:type="dxa"/>
            <w:shd w:val="clear" w:color="auto" w:fill="FFFFFF"/>
            <w:tcMar>
              <w:top w:w="72" w:type="dxa"/>
              <w:left w:w="144" w:type="dxa"/>
              <w:bottom w:w="72" w:type="dxa"/>
              <w:right w:w="144" w:type="dxa"/>
            </w:tcMar>
            <w:hideMark/>
          </w:tcPr>
          <w:p w14:paraId="20A4CBED"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4</w:t>
            </w:r>
          </w:p>
        </w:tc>
        <w:tc>
          <w:tcPr>
            <w:tcW w:w="850" w:type="dxa"/>
            <w:shd w:val="clear" w:color="auto" w:fill="FFFFFF"/>
            <w:tcMar>
              <w:top w:w="72" w:type="dxa"/>
              <w:left w:w="144" w:type="dxa"/>
              <w:bottom w:w="72" w:type="dxa"/>
              <w:right w:w="144" w:type="dxa"/>
            </w:tcMar>
            <w:hideMark/>
          </w:tcPr>
          <w:p w14:paraId="6D30015C"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5</w:t>
            </w:r>
          </w:p>
        </w:tc>
        <w:tc>
          <w:tcPr>
            <w:tcW w:w="851" w:type="dxa"/>
            <w:shd w:val="clear" w:color="auto" w:fill="FFFFFF"/>
            <w:tcMar>
              <w:top w:w="72" w:type="dxa"/>
              <w:left w:w="144" w:type="dxa"/>
              <w:bottom w:w="72" w:type="dxa"/>
              <w:right w:w="144" w:type="dxa"/>
            </w:tcMar>
            <w:hideMark/>
          </w:tcPr>
          <w:p w14:paraId="65B12473"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6</w:t>
            </w:r>
          </w:p>
        </w:tc>
        <w:tc>
          <w:tcPr>
            <w:tcW w:w="850" w:type="dxa"/>
            <w:shd w:val="clear" w:color="auto" w:fill="FFFFFF"/>
            <w:tcMar>
              <w:top w:w="72" w:type="dxa"/>
              <w:left w:w="144" w:type="dxa"/>
              <w:bottom w:w="72" w:type="dxa"/>
              <w:right w:w="144" w:type="dxa"/>
            </w:tcMar>
            <w:hideMark/>
          </w:tcPr>
          <w:p w14:paraId="57D03DB2"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7</w:t>
            </w:r>
          </w:p>
        </w:tc>
        <w:tc>
          <w:tcPr>
            <w:tcW w:w="851" w:type="dxa"/>
            <w:shd w:val="clear" w:color="auto" w:fill="FFFFFF"/>
            <w:tcMar>
              <w:top w:w="72" w:type="dxa"/>
              <w:left w:w="144" w:type="dxa"/>
              <w:bottom w:w="72" w:type="dxa"/>
              <w:right w:w="144" w:type="dxa"/>
            </w:tcMar>
            <w:hideMark/>
          </w:tcPr>
          <w:p w14:paraId="6ADBC169"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8</w:t>
            </w:r>
          </w:p>
        </w:tc>
        <w:tc>
          <w:tcPr>
            <w:tcW w:w="850" w:type="dxa"/>
            <w:shd w:val="clear" w:color="auto" w:fill="FFFFFF"/>
            <w:tcMar>
              <w:top w:w="72" w:type="dxa"/>
              <w:left w:w="144" w:type="dxa"/>
              <w:bottom w:w="72" w:type="dxa"/>
              <w:right w:w="144" w:type="dxa"/>
            </w:tcMar>
            <w:hideMark/>
          </w:tcPr>
          <w:p w14:paraId="0B97BAA1"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9</w:t>
            </w:r>
          </w:p>
        </w:tc>
      </w:tr>
      <w:tr w:rsidR="00DA712A" w:rsidRPr="0064130A" w14:paraId="71A4C1C2" w14:textId="77777777" w:rsidTr="00F16809">
        <w:trPr>
          <w:trHeight w:val="256"/>
        </w:trPr>
        <w:tc>
          <w:tcPr>
            <w:tcW w:w="1278" w:type="dxa"/>
            <w:shd w:val="clear" w:color="auto" w:fill="FFFFFF"/>
            <w:tcMar>
              <w:top w:w="72" w:type="dxa"/>
              <w:left w:w="144" w:type="dxa"/>
              <w:bottom w:w="72" w:type="dxa"/>
              <w:right w:w="144" w:type="dxa"/>
            </w:tcMar>
            <w:hideMark/>
          </w:tcPr>
          <w:p w14:paraId="55293173" w14:textId="77777777" w:rsidR="00DA712A" w:rsidRPr="00DA712A" w:rsidRDefault="00DA712A" w:rsidP="00DA712A">
            <w:pPr>
              <w:spacing w:line="360" w:lineRule="auto"/>
              <w:jc w:val="both"/>
              <w:rPr>
                <w:rFonts w:cs="Andalus"/>
                <w:color w:val="000000" w:themeColor="text1"/>
                <w:sz w:val="20"/>
                <w:szCs w:val="20"/>
                <w:lang w:val="it-IT"/>
              </w:rPr>
            </w:pPr>
            <w:proofErr w:type="spellStart"/>
            <w:r w:rsidRPr="00DA712A">
              <w:rPr>
                <w:rFonts w:cs="Andalus"/>
                <w:color w:val="000000" w:themeColor="text1"/>
                <w:sz w:val="20"/>
                <w:szCs w:val="20"/>
                <w:lang w:val="it-IT"/>
              </w:rPr>
              <w:t>Frequency</w:t>
            </w:r>
            <w:proofErr w:type="spellEnd"/>
          </w:p>
        </w:tc>
        <w:tc>
          <w:tcPr>
            <w:tcW w:w="851" w:type="dxa"/>
            <w:shd w:val="clear" w:color="auto" w:fill="FFFFFF"/>
            <w:tcMar>
              <w:top w:w="72" w:type="dxa"/>
              <w:left w:w="144" w:type="dxa"/>
              <w:bottom w:w="72" w:type="dxa"/>
              <w:right w:w="144" w:type="dxa"/>
            </w:tcMar>
            <w:hideMark/>
          </w:tcPr>
          <w:p w14:paraId="285AF919"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0.119</w:t>
            </w:r>
          </w:p>
        </w:tc>
        <w:tc>
          <w:tcPr>
            <w:tcW w:w="850" w:type="dxa"/>
            <w:shd w:val="clear" w:color="auto" w:fill="FFFFFF"/>
            <w:tcMar>
              <w:top w:w="72" w:type="dxa"/>
              <w:left w:w="144" w:type="dxa"/>
              <w:bottom w:w="72" w:type="dxa"/>
              <w:right w:w="144" w:type="dxa"/>
            </w:tcMar>
            <w:hideMark/>
          </w:tcPr>
          <w:p w14:paraId="4512F246"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0.114</w:t>
            </w:r>
          </w:p>
        </w:tc>
        <w:tc>
          <w:tcPr>
            <w:tcW w:w="851" w:type="dxa"/>
            <w:shd w:val="clear" w:color="auto" w:fill="FFFFFF"/>
            <w:tcMar>
              <w:top w:w="72" w:type="dxa"/>
              <w:left w:w="144" w:type="dxa"/>
              <w:bottom w:w="72" w:type="dxa"/>
              <w:right w:w="144" w:type="dxa"/>
            </w:tcMar>
            <w:hideMark/>
          </w:tcPr>
          <w:p w14:paraId="02E53822"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0.109</w:t>
            </w:r>
          </w:p>
        </w:tc>
        <w:tc>
          <w:tcPr>
            <w:tcW w:w="850" w:type="dxa"/>
            <w:shd w:val="clear" w:color="auto" w:fill="FFFFFF"/>
            <w:tcMar>
              <w:top w:w="72" w:type="dxa"/>
              <w:left w:w="144" w:type="dxa"/>
              <w:bottom w:w="72" w:type="dxa"/>
              <w:right w:w="144" w:type="dxa"/>
            </w:tcMar>
            <w:hideMark/>
          </w:tcPr>
          <w:p w14:paraId="2EA71584"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0.104</w:t>
            </w:r>
          </w:p>
        </w:tc>
        <w:tc>
          <w:tcPr>
            <w:tcW w:w="851" w:type="dxa"/>
            <w:shd w:val="clear" w:color="auto" w:fill="FFFFFF"/>
            <w:tcMar>
              <w:top w:w="72" w:type="dxa"/>
              <w:left w:w="144" w:type="dxa"/>
              <w:bottom w:w="72" w:type="dxa"/>
              <w:right w:w="144" w:type="dxa"/>
            </w:tcMar>
            <w:hideMark/>
          </w:tcPr>
          <w:p w14:paraId="5AF14664"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0.100</w:t>
            </w:r>
          </w:p>
        </w:tc>
        <w:tc>
          <w:tcPr>
            <w:tcW w:w="850" w:type="dxa"/>
            <w:shd w:val="clear" w:color="auto" w:fill="FFFFFF"/>
            <w:tcMar>
              <w:top w:w="72" w:type="dxa"/>
              <w:left w:w="144" w:type="dxa"/>
              <w:bottom w:w="72" w:type="dxa"/>
              <w:right w:w="144" w:type="dxa"/>
            </w:tcMar>
            <w:hideMark/>
          </w:tcPr>
          <w:p w14:paraId="75264836"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0.097</w:t>
            </w:r>
          </w:p>
        </w:tc>
        <w:tc>
          <w:tcPr>
            <w:tcW w:w="851" w:type="dxa"/>
            <w:shd w:val="clear" w:color="auto" w:fill="FFFFFF"/>
            <w:tcMar>
              <w:top w:w="72" w:type="dxa"/>
              <w:left w:w="144" w:type="dxa"/>
              <w:bottom w:w="72" w:type="dxa"/>
              <w:right w:w="144" w:type="dxa"/>
            </w:tcMar>
            <w:hideMark/>
          </w:tcPr>
          <w:p w14:paraId="58AD304F"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0.093</w:t>
            </w:r>
          </w:p>
        </w:tc>
        <w:tc>
          <w:tcPr>
            <w:tcW w:w="850" w:type="dxa"/>
            <w:shd w:val="clear" w:color="auto" w:fill="FFFFFF"/>
            <w:tcMar>
              <w:top w:w="72" w:type="dxa"/>
              <w:left w:w="144" w:type="dxa"/>
              <w:bottom w:w="72" w:type="dxa"/>
              <w:right w:w="144" w:type="dxa"/>
            </w:tcMar>
            <w:hideMark/>
          </w:tcPr>
          <w:p w14:paraId="072327BC"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0.090</w:t>
            </w:r>
          </w:p>
        </w:tc>
        <w:tc>
          <w:tcPr>
            <w:tcW w:w="851" w:type="dxa"/>
            <w:shd w:val="clear" w:color="auto" w:fill="FFFFFF"/>
            <w:tcMar>
              <w:top w:w="72" w:type="dxa"/>
              <w:left w:w="144" w:type="dxa"/>
              <w:bottom w:w="72" w:type="dxa"/>
              <w:right w:w="144" w:type="dxa"/>
            </w:tcMar>
            <w:hideMark/>
          </w:tcPr>
          <w:p w14:paraId="6AB81363"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0.088</w:t>
            </w:r>
          </w:p>
        </w:tc>
        <w:tc>
          <w:tcPr>
            <w:tcW w:w="850" w:type="dxa"/>
            <w:shd w:val="clear" w:color="auto" w:fill="FFFFFF"/>
            <w:tcMar>
              <w:top w:w="72" w:type="dxa"/>
              <w:left w:w="144" w:type="dxa"/>
              <w:bottom w:w="72" w:type="dxa"/>
              <w:right w:w="144" w:type="dxa"/>
            </w:tcMar>
            <w:hideMark/>
          </w:tcPr>
          <w:p w14:paraId="32CCB0BB" w14:textId="77777777" w:rsidR="00DA712A" w:rsidRPr="00DA712A" w:rsidRDefault="00DA712A" w:rsidP="00DA712A">
            <w:pPr>
              <w:spacing w:line="360" w:lineRule="auto"/>
              <w:jc w:val="both"/>
              <w:rPr>
                <w:rFonts w:cs="Andalus"/>
                <w:color w:val="000000" w:themeColor="text1"/>
                <w:sz w:val="20"/>
                <w:szCs w:val="20"/>
                <w:lang w:val="it-IT"/>
              </w:rPr>
            </w:pPr>
            <w:r w:rsidRPr="00DA712A">
              <w:rPr>
                <w:rFonts w:cs="Andalus"/>
                <w:color w:val="000000" w:themeColor="text1"/>
                <w:sz w:val="20"/>
                <w:szCs w:val="20"/>
                <w:lang w:val="it-IT"/>
              </w:rPr>
              <w:t>0.085</w:t>
            </w:r>
          </w:p>
        </w:tc>
      </w:tr>
    </w:tbl>
    <w:p w14:paraId="50CFB697" w14:textId="49E625CE" w:rsidR="00086667" w:rsidRPr="0064130A" w:rsidRDefault="00383D5E" w:rsidP="00086667">
      <w:pPr>
        <w:spacing w:line="360" w:lineRule="auto"/>
        <w:jc w:val="both"/>
        <w:rPr>
          <w:rFonts w:cs="Arial"/>
        </w:rPr>
      </w:pPr>
      <w:r w:rsidRPr="0064130A">
        <w:rPr>
          <w:rFonts w:cs="Arial"/>
        </w:rPr>
        <w:t xml:space="preserve">Generalizations of formulas (1) and (2) have been also provided, </w:t>
      </w:r>
      <w:r w:rsidR="00273129" w:rsidRPr="0064130A">
        <w:rPr>
          <w:rFonts w:cs="Arial"/>
        </w:rPr>
        <w:t>leading to</w:t>
      </w:r>
      <w:r w:rsidR="00086667" w:rsidRPr="0064130A">
        <w:rPr>
          <w:rFonts w:cs="Arial"/>
        </w:rPr>
        <w:t xml:space="preserve"> the distributions of the digits subsequent to the second</w:t>
      </w:r>
      <w:r w:rsidR="00273129" w:rsidRPr="0064130A">
        <w:rPr>
          <w:rFonts w:cs="Arial"/>
        </w:rPr>
        <w:t xml:space="preserve"> and</w:t>
      </w:r>
      <w:r w:rsidR="00086667" w:rsidRPr="0064130A">
        <w:rPr>
          <w:rFonts w:cs="Arial"/>
        </w:rPr>
        <w:t xml:space="preserve"> obtaining frequencies more equally distributed. From the fifth digit the distribution no longer follows the </w:t>
      </w:r>
      <w:r w:rsidR="00487769" w:rsidRPr="0064130A">
        <w:rPr>
          <w:rFonts w:cs="Arial"/>
        </w:rPr>
        <w:t>BL</w:t>
      </w:r>
      <w:r w:rsidR="00086667" w:rsidRPr="0064130A">
        <w:rPr>
          <w:rFonts w:cs="Arial"/>
        </w:rPr>
        <w:t xml:space="preserve"> but becomes a uniform distribution.</w:t>
      </w:r>
    </w:p>
    <w:p w14:paraId="7A5A1818" w14:textId="41901874" w:rsidR="000E07ED" w:rsidRPr="0064130A" w:rsidRDefault="00086667" w:rsidP="000E07ED">
      <w:pPr>
        <w:spacing w:line="360" w:lineRule="auto"/>
        <w:jc w:val="both"/>
        <w:rPr>
          <w:rFonts w:cs="Arial"/>
        </w:rPr>
      </w:pPr>
      <w:r w:rsidRPr="0064130A">
        <w:rPr>
          <w:rFonts w:cs="Arial"/>
        </w:rPr>
        <w:t xml:space="preserve">Not all dataset are eligible to </w:t>
      </w:r>
      <w:r w:rsidR="0039796C" w:rsidRPr="0064130A">
        <w:rPr>
          <w:rFonts w:cs="Arial"/>
        </w:rPr>
        <w:t>be controlled for agreement</w:t>
      </w:r>
      <w:r w:rsidRPr="0064130A">
        <w:rPr>
          <w:rFonts w:cs="Arial"/>
        </w:rPr>
        <w:t xml:space="preserve"> with the </w:t>
      </w:r>
      <w:r w:rsidR="00487769" w:rsidRPr="0064130A">
        <w:rPr>
          <w:rFonts w:cs="Arial"/>
        </w:rPr>
        <w:t>BL</w:t>
      </w:r>
      <w:r w:rsidR="00D10F34" w:rsidRPr="0064130A">
        <w:rPr>
          <w:rFonts w:cs="Arial"/>
        </w:rPr>
        <w:t xml:space="preserve">. In particular, data </w:t>
      </w:r>
      <w:r w:rsidR="00273129" w:rsidRPr="0064130A">
        <w:rPr>
          <w:rFonts w:cs="Arial"/>
        </w:rPr>
        <w:t>must</w:t>
      </w:r>
      <w:r w:rsidRPr="0064130A">
        <w:rPr>
          <w:rFonts w:cs="Arial"/>
        </w:rPr>
        <w:t xml:space="preserve"> be not chosen under an </w:t>
      </w:r>
      <w:r w:rsidR="00273129" w:rsidRPr="0064130A">
        <w:rPr>
          <w:rFonts w:cs="Arial"/>
        </w:rPr>
        <w:t>“</w:t>
      </w:r>
      <w:r w:rsidRPr="0064130A">
        <w:rPr>
          <w:rFonts w:cs="Arial"/>
        </w:rPr>
        <w:t>ad hoc</w:t>
      </w:r>
      <w:r w:rsidR="00273129" w:rsidRPr="0064130A">
        <w:rPr>
          <w:rFonts w:cs="Arial"/>
        </w:rPr>
        <w:t>”</w:t>
      </w:r>
      <w:r w:rsidRPr="0064130A">
        <w:rPr>
          <w:rFonts w:cs="Arial"/>
        </w:rPr>
        <w:t xml:space="preserve"> criterion</w:t>
      </w:r>
      <w:r w:rsidR="00D10F34" w:rsidRPr="0064130A">
        <w:rPr>
          <w:rFonts w:cs="Arial"/>
        </w:rPr>
        <w:t xml:space="preserve"> and the</w:t>
      </w:r>
      <w:r w:rsidRPr="0064130A">
        <w:rPr>
          <w:rFonts w:cs="Arial"/>
        </w:rPr>
        <w:t xml:space="preserve"> </w:t>
      </w:r>
      <w:r w:rsidR="002D5EEB" w:rsidRPr="0064130A">
        <w:rPr>
          <w:rFonts w:cs="Arial"/>
        </w:rPr>
        <w:t>cardinality of the dataset must</w:t>
      </w:r>
      <w:r w:rsidR="00D10F34" w:rsidRPr="0064130A">
        <w:rPr>
          <w:rFonts w:cs="Arial"/>
        </w:rPr>
        <w:t xml:space="preserve"> be large. Such requirements are fulfilled in our specific context.</w:t>
      </w:r>
    </w:p>
    <w:p w14:paraId="41C77397" w14:textId="424E201C" w:rsidR="00534DC7" w:rsidRPr="0064130A" w:rsidRDefault="000E07ED" w:rsidP="00534DC7">
      <w:pPr>
        <w:spacing w:line="360" w:lineRule="auto"/>
        <w:jc w:val="both"/>
        <w:rPr>
          <w:rFonts w:cs="Arial"/>
        </w:rPr>
      </w:pPr>
      <w:r w:rsidRPr="0064130A">
        <w:rPr>
          <w:rFonts w:cs="Arial"/>
        </w:rPr>
        <w:t xml:space="preserve">We check the validity of the BL </w:t>
      </w:r>
      <w:r w:rsidR="006F559B" w:rsidRPr="0064130A">
        <w:rPr>
          <w:rFonts w:cs="Arial"/>
        </w:rPr>
        <w:t xml:space="preserve">for extensive daily series of prices and volumes of </w:t>
      </w:r>
      <w:r w:rsidR="009B6712" w:rsidRPr="0064130A">
        <w:rPr>
          <w:rFonts w:cs="Arial"/>
        </w:rPr>
        <w:t xml:space="preserve">4166 stocks, listed in the main international financial markets. Several </w:t>
      </w:r>
      <w:proofErr w:type="spellStart"/>
      <w:r w:rsidR="009B6712" w:rsidRPr="0064130A">
        <w:rPr>
          <w:rFonts w:cs="Arial"/>
        </w:rPr>
        <w:t>clu</w:t>
      </w:r>
      <w:r w:rsidR="00E22ABD" w:rsidRPr="0064130A">
        <w:rPr>
          <w:rFonts w:cs="Arial"/>
        </w:rPr>
        <w:t>sterings</w:t>
      </w:r>
      <w:proofErr w:type="spellEnd"/>
      <w:r w:rsidR="00534DC7" w:rsidRPr="0064130A">
        <w:rPr>
          <w:rFonts w:cs="Arial"/>
        </w:rPr>
        <w:t xml:space="preserve"> of such series are</w:t>
      </w:r>
      <w:r w:rsidR="009B6712" w:rsidRPr="0064130A">
        <w:rPr>
          <w:rFonts w:cs="Arial"/>
        </w:rPr>
        <w:t xml:space="preserve"> performed at the level of the related geographic areas (Italy, Europe, USA, Asia and Pacific area and a</w:t>
      </w:r>
      <w:r w:rsidR="00062292" w:rsidRPr="0064130A">
        <w:rPr>
          <w:rFonts w:cs="Arial"/>
        </w:rPr>
        <w:t xml:space="preserve"> generic “other relevan</w:t>
      </w:r>
      <w:r w:rsidR="00E22ABD" w:rsidRPr="0064130A">
        <w:rPr>
          <w:rFonts w:cs="Arial"/>
        </w:rPr>
        <w:t>t</w:t>
      </w:r>
      <w:r w:rsidR="00062292" w:rsidRPr="0064130A">
        <w:rPr>
          <w:rFonts w:cs="Arial"/>
        </w:rPr>
        <w:t xml:space="preserve"> markets</w:t>
      </w:r>
      <w:r w:rsidR="009B6712" w:rsidRPr="0064130A">
        <w:rPr>
          <w:rFonts w:cs="Arial"/>
        </w:rPr>
        <w:t>”</w:t>
      </w:r>
      <w:r w:rsidR="00062292" w:rsidRPr="0064130A">
        <w:rPr>
          <w:rFonts w:cs="Arial"/>
        </w:rPr>
        <w:t>)</w:t>
      </w:r>
      <w:r w:rsidR="009B6712" w:rsidRPr="0064130A">
        <w:rPr>
          <w:rFonts w:cs="Arial"/>
        </w:rPr>
        <w:t xml:space="preserve"> and of the individual stock markets.</w:t>
      </w:r>
      <w:r w:rsidR="00736BC7">
        <w:rPr>
          <w:rFonts w:cs="Arial"/>
        </w:rPr>
        <w:t xml:space="preserve"> </w:t>
      </w:r>
      <w:r w:rsidR="00534DC7" w:rsidRPr="0064130A">
        <w:rPr>
          <w:rFonts w:cs="Arial"/>
        </w:rPr>
        <w:t xml:space="preserve"> </w:t>
      </w:r>
    </w:p>
    <w:p w14:paraId="6E64D2CC" w14:textId="76F40118" w:rsidR="00534DC7" w:rsidRPr="0064130A" w:rsidRDefault="00534DC7" w:rsidP="00534DC7">
      <w:pPr>
        <w:spacing w:line="360" w:lineRule="auto"/>
        <w:jc w:val="both"/>
        <w:rPr>
          <w:rFonts w:cs="Arial"/>
        </w:rPr>
      </w:pPr>
      <w:r w:rsidRPr="0064130A">
        <w:rPr>
          <w:rFonts w:cs="Arial"/>
        </w:rPr>
        <w:t>The beginning of the reference period varies with the stock, on the basis of the free availability of the data on the yahoo.com/finance website. The ending date is for all November 14</w:t>
      </w:r>
      <w:r w:rsidRPr="0064130A">
        <w:rPr>
          <w:rFonts w:cs="Arial"/>
          <w:vertAlign w:val="superscript"/>
        </w:rPr>
        <w:t>th</w:t>
      </w:r>
      <w:r w:rsidRPr="0064130A">
        <w:rPr>
          <w:rFonts w:cs="Arial"/>
        </w:rPr>
        <w:t>, 2014.</w:t>
      </w:r>
    </w:p>
    <w:p w14:paraId="26D6082E" w14:textId="1BAA46A4" w:rsidR="009B6712" w:rsidRPr="0064130A" w:rsidRDefault="00534DC7" w:rsidP="00534DC7">
      <w:pPr>
        <w:spacing w:line="360" w:lineRule="auto"/>
        <w:jc w:val="both"/>
        <w:rPr>
          <w:rFonts w:cs="Arial"/>
        </w:rPr>
      </w:pPr>
      <w:r w:rsidRPr="0064130A">
        <w:rPr>
          <w:rFonts w:cs="Arial"/>
        </w:rPr>
        <w:t>Both first and second digits distributions are explored.</w:t>
      </w:r>
    </w:p>
    <w:p w14:paraId="54F00958" w14:textId="70C523CB" w:rsidR="00534DC7" w:rsidRPr="0064130A" w:rsidRDefault="00534DC7" w:rsidP="00534DC7">
      <w:pPr>
        <w:spacing w:line="360" w:lineRule="auto"/>
        <w:jc w:val="both"/>
        <w:rPr>
          <w:rFonts w:cs="Arial"/>
        </w:rPr>
      </w:pPr>
      <w:r w:rsidRPr="0064130A">
        <w:rPr>
          <w:rFonts w:cs="Arial"/>
        </w:rPr>
        <w:t xml:space="preserve">The analysis is performed by the application of a Chi-squared procedure, to check whenever the empirical data </w:t>
      </w:r>
      <w:r w:rsidR="007B40A3" w:rsidRPr="0064130A">
        <w:rPr>
          <w:rFonts w:cs="Arial"/>
        </w:rPr>
        <w:t>obeys with the theoretical frequencies of BL.</w:t>
      </w:r>
    </w:p>
    <w:p w14:paraId="1E667B61" w14:textId="2706D4D5" w:rsidR="006F559B" w:rsidRPr="0064130A" w:rsidRDefault="00380532" w:rsidP="006F559B">
      <w:pPr>
        <w:spacing w:line="360" w:lineRule="auto"/>
        <w:jc w:val="both"/>
        <w:rPr>
          <w:rFonts w:cs="Arial"/>
        </w:rPr>
      </w:pPr>
      <w:r w:rsidRPr="0064130A">
        <w:rPr>
          <w:rFonts w:cs="Arial"/>
        </w:rPr>
        <w:t>The analysis reveals the presence of d</w:t>
      </w:r>
      <w:r w:rsidR="006F559B" w:rsidRPr="0064130A">
        <w:rPr>
          <w:rFonts w:cs="Arial"/>
        </w:rPr>
        <w:t xml:space="preserve">eviations of the data </w:t>
      </w:r>
      <w:r w:rsidR="007B40A3" w:rsidRPr="0064130A">
        <w:rPr>
          <w:rFonts w:cs="Arial"/>
        </w:rPr>
        <w:t>digits</w:t>
      </w:r>
      <w:r w:rsidR="006F559B" w:rsidRPr="0064130A">
        <w:rPr>
          <w:rFonts w:cs="Arial"/>
        </w:rPr>
        <w:t xml:space="preserve"> from the statements of the BL</w:t>
      </w:r>
      <w:r w:rsidR="007B40A3" w:rsidRPr="0064130A">
        <w:rPr>
          <w:rFonts w:cs="Arial"/>
        </w:rPr>
        <w:t>.</w:t>
      </w:r>
      <w:r w:rsidRPr="0064130A">
        <w:rPr>
          <w:rFonts w:cs="Arial"/>
        </w:rPr>
        <w:t xml:space="preserve"> In accord to the literature (see the next Section), they</w:t>
      </w:r>
      <w:r w:rsidR="006F559B" w:rsidRPr="0064130A">
        <w:rPr>
          <w:rFonts w:cs="Arial"/>
        </w:rPr>
        <w:t xml:space="preserve"> might be caused by shocks</w:t>
      </w:r>
      <w:r w:rsidRPr="0064130A">
        <w:rPr>
          <w:rFonts w:cs="Arial"/>
        </w:rPr>
        <w:t xml:space="preserve"> of different nature which are able to</w:t>
      </w:r>
      <w:r w:rsidR="006F559B" w:rsidRPr="0064130A">
        <w:rPr>
          <w:rFonts w:cs="Arial"/>
        </w:rPr>
        <w:t xml:space="preserve"> </w:t>
      </w:r>
      <w:r w:rsidRPr="0064130A">
        <w:rPr>
          <w:rFonts w:cs="Arial"/>
        </w:rPr>
        <w:t xml:space="preserve">influence the dynamics of </w:t>
      </w:r>
      <w:r w:rsidR="006F559B" w:rsidRPr="0064130A">
        <w:rPr>
          <w:rFonts w:cs="Arial"/>
        </w:rPr>
        <w:t>the international stock markets</w:t>
      </w:r>
      <w:r w:rsidRPr="0064130A">
        <w:rPr>
          <w:rFonts w:cs="Arial"/>
        </w:rPr>
        <w:t xml:space="preserve"> components</w:t>
      </w:r>
      <w:r w:rsidR="006F559B" w:rsidRPr="0064130A">
        <w:rPr>
          <w:rFonts w:cs="Arial"/>
        </w:rPr>
        <w:t>.</w:t>
      </w:r>
      <w:r w:rsidRPr="0064130A">
        <w:rPr>
          <w:rFonts w:cs="Arial"/>
        </w:rPr>
        <w:t xml:space="preserve"> A discussion of such deviations and also of the regularities is provided, along with a related socio-economic-political contextualization.</w:t>
      </w:r>
    </w:p>
    <w:p w14:paraId="6FBEBB0A" w14:textId="5267FA25" w:rsidR="006F559B" w:rsidRPr="0064130A" w:rsidRDefault="00380532" w:rsidP="005119D6">
      <w:pPr>
        <w:spacing w:line="360" w:lineRule="auto"/>
        <w:jc w:val="both"/>
        <w:rPr>
          <w:rFonts w:cs="Arial"/>
        </w:rPr>
      </w:pPr>
      <w:r w:rsidRPr="0064130A">
        <w:rPr>
          <w:rFonts w:cs="Arial"/>
        </w:rPr>
        <w:t>The rest of the paper is organized as follows: next Section contains a critical review of the main contribution</w:t>
      </w:r>
      <w:r w:rsidR="00426B3B">
        <w:rPr>
          <w:rFonts w:cs="Arial"/>
        </w:rPr>
        <w:t>s</w:t>
      </w:r>
      <w:r w:rsidRPr="0064130A">
        <w:rPr>
          <w:rFonts w:cs="Arial"/>
        </w:rPr>
        <w:t xml:space="preserve"> of the literature. Section 3 </w:t>
      </w:r>
      <w:r w:rsidR="00426B3B">
        <w:rPr>
          <w:rFonts w:cs="Arial"/>
        </w:rPr>
        <w:t>is devoted to</w:t>
      </w:r>
      <w:r w:rsidRPr="0064130A">
        <w:rPr>
          <w:rFonts w:cs="Arial"/>
        </w:rPr>
        <w:t xml:space="preserve"> a detailed description of the data used and of the methodological instruments employed to perform the analysis. Section 4 outlines and comments the obtained results, and proposes a reading of the deviations from the statements of the BL </w:t>
      </w:r>
      <w:r w:rsidR="005119D6" w:rsidRPr="0064130A">
        <w:rPr>
          <w:rFonts w:cs="Arial"/>
        </w:rPr>
        <w:t>through the occurred events. Last Section offers some conclusive remarks and gives some suggestions for future research lines.</w:t>
      </w:r>
    </w:p>
    <w:p w14:paraId="01EC6044" w14:textId="58E9AEE6" w:rsidR="000F3A19" w:rsidRPr="0064130A" w:rsidRDefault="000F3A19" w:rsidP="00EF6D2E">
      <w:pPr>
        <w:spacing w:line="360" w:lineRule="auto"/>
        <w:jc w:val="both"/>
        <w:rPr>
          <w:rFonts w:cs="Arial"/>
        </w:rPr>
      </w:pPr>
    </w:p>
    <w:p w14:paraId="72BF115B" w14:textId="77777777" w:rsidR="009953D8" w:rsidRPr="0064130A" w:rsidRDefault="009953D8" w:rsidP="00EF6D2E">
      <w:pPr>
        <w:pStyle w:val="Paragrafoelenco"/>
        <w:spacing w:line="360" w:lineRule="auto"/>
        <w:ind w:left="0"/>
        <w:jc w:val="both"/>
        <w:rPr>
          <w:rFonts w:cs="Arial"/>
        </w:rPr>
      </w:pPr>
    </w:p>
    <w:p w14:paraId="03400019" w14:textId="1DCF8C68" w:rsidR="001A2839" w:rsidRPr="0064130A" w:rsidRDefault="00816B4B" w:rsidP="00EF6D2E">
      <w:pPr>
        <w:pStyle w:val="Paragrafoelenco"/>
        <w:spacing w:line="360" w:lineRule="auto"/>
        <w:ind w:left="0"/>
        <w:jc w:val="both"/>
        <w:rPr>
          <w:rFonts w:cs="Arial"/>
          <w:b/>
        </w:rPr>
      </w:pPr>
      <w:r w:rsidRPr="0064130A">
        <w:rPr>
          <w:rFonts w:cs="Arial"/>
          <w:b/>
        </w:rPr>
        <w:lastRenderedPageBreak/>
        <w:t>2. Relevant l</w:t>
      </w:r>
      <w:r w:rsidR="001A2839" w:rsidRPr="0064130A">
        <w:rPr>
          <w:rFonts w:cs="Arial"/>
          <w:b/>
        </w:rPr>
        <w:t>iterature</w:t>
      </w:r>
    </w:p>
    <w:p w14:paraId="3E4A3BA9" w14:textId="77777777" w:rsidR="00816B4B" w:rsidRPr="0064130A" w:rsidRDefault="00816B4B" w:rsidP="00EF6D2E">
      <w:pPr>
        <w:pStyle w:val="Paragrafoelenco"/>
        <w:spacing w:line="360" w:lineRule="auto"/>
        <w:ind w:left="0"/>
        <w:jc w:val="both"/>
        <w:rPr>
          <w:rFonts w:cs="Arial"/>
        </w:rPr>
      </w:pPr>
    </w:p>
    <w:p w14:paraId="49507BD9" w14:textId="77777777" w:rsidR="00A26CCE" w:rsidRPr="0064130A" w:rsidRDefault="00A26CCE" w:rsidP="00EF6D2E">
      <w:pPr>
        <w:spacing w:line="360" w:lineRule="auto"/>
        <w:jc w:val="both"/>
        <w:rPr>
          <w:rFonts w:cs="Arial"/>
        </w:rPr>
      </w:pPr>
      <w:r w:rsidRPr="0064130A">
        <w:rPr>
          <w:rFonts w:cs="Arial"/>
        </w:rPr>
        <w:t>Here are briefly described the cases in which this law has been applied with success over the years.</w:t>
      </w:r>
    </w:p>
    <w:p w14:paraId="217D19C3" w14:textId="333E7C58" w:rsidR="00726ACE" w:rsidRPr="0064130A" w:rsidRDefault="00726ACE" w:rsidP="00726ACE">
      <w:pPr>
        <w:spacing w:line="360" w:lineRule="auto"/>
        <w:jc w:val="both"/>
        <w:rPr>
          <w:rFonts w:cs="Arial"/>
        </w:rPr>
      </w:pPr>
      <w:r w:rsidRPr="0064130A">
        <w:rPr>
          <w:rFonts w:cs="Arial"/>
        </w:rPr>
        <w:t>In the context of social science, Cho and Gaines (2007) took care of fraud in funding for charity campaigns. See also Mir (2012, 2014) and Ausloos et al (2012, 2015)</w:t>
      </w:r>
      <w:r w:rsidR="0044183D" w:rsidRPr="0064130A">
        <w:rPr>
          <w:rFonts w:cs="Arial"/>
        </w:rPr>
        <w:t>, who</w:t>
      </w:r>
      <w:r w:rsidRPr="0064130A">
        <w:rPr>
          <w:rFonts w:cs="Arial"/>
        </w:rPr>
        <w:t xml:space="preserve"> tested the consistency of social data and assessed  the presence of some sort of manipulation.</w:t>
      </w:r>
    </w:p>
    <w:p w14:paraId="23B169CA" w14:textId="79F44EA8" w:rsidR="00726ACE" w:rsidRPr="0064130A" w:rsidRDefault="0044183D" w:rsidP="00726ACE">
      <w:pPr>
        <w:spacing w:line="360" w:lineRule="auto"/>
        <w:jc w:val="both"/>
        <w:rPr>
          <w:rFonts w:cs="Arial"/>
        </w:rPr>
      </w:pPr>
      <w:r w:rsidRPr="0064130A">
        <w:rPr>
          <w:rFonts w:cs="Arial"/>
        </w:rPr>
        <w:t>I</w:t>
      </w:r>
      <w:r w:rsidR="00726ACE" w:rsidRPr="0064130A">
        <w:rPr>
          <w:rFonts w:cs="Arial"/>
        </w:rPr>
        <w:t>n the political environment Mebane (2011) used the law for verify the trustworthiness of the election results.</w:t>
      </w:r>
      <w:r w:rsidRPr="0064130A">
        <w:rPr>
          <w:rFonts w:cs="Arial"/>
        </w:rPr>
        <w:t xml:space="preserve"> </w:t>
      </w:r>
      <w:r w:rsidR="00726ACE" w:rsidRPr="0064130A">
        <w:rPr>
          <w:rFonts w:cs="Arial"/>
        </w:rPr>
        <w:t xml:space="preserve">In this respect, the law was also used by the Iranian minister </w:t>
      </w:r>
      <w:proofErr w:type="spellStart"/>
      <w:r w:rsidR="00726ACE" w:rsidRPr="0064130A">
        <w:rPr>
          <w:rFonts w:cs="Arial"/>
        </w:rPr>
        <w:t>Boudewijn</w:t>
      </w:r>
      <w:proofErr w:type="spellEnd"/>
      <w:r w:rsidR="00726ACE" w:rsidRPr="0064130A">
        <w:rPr>
          <w:rFonts w:cs="Arial"/>
        </w:rPr>
        <w:t xml:space="preserve"> F.</w:t>
      </w:r>
      <w:r w:rsidR="00426B3B">
        <w:rPr>
          <w:rFonts w:cs="Arial"/>
        </w:rPr>
        <w:t xml:space="preserve"> </w:t>
      </w:r>
      <w:r w:rsidR="00726ACE" w:rsidRPr="0064130A">
        <w:rPr>
          <w:rFonts w:cs="Arial"/>
        </w:rPr>
        <w:t xml:space="preserve">Roukema to ensure the accuracy of the electoral results in the presidential election of 2009, as a consequence of the complaint about electoral fraud made by </w:t>
      </w:r>
      <w:proofErr w:type="spellStart"/>
      <w:r w:rsidR="00726ACE" w:rsidRPr="0064130A">
        <w:rPr>
          <w:rFonts w:cs="Arial"/>
        </w:rPr>
        <w:t>Moussavi</w:t>
      </w:r>
      <w:proofErr w:type="spellEnd"/>
      <w:r w:rsidR="00726ACE" w:rsidRPr="0064130A">
        <w:rPr>
          <w:rFonts w:cs="Arial"/>
        </w:rPr>
        <w:t xml:space="preserve"> (opposition leader) against the election of President Ahmadinejad. City after city, the minister analysed the relative frequencies of the first significant digit of the number of votes and compared the frequencies obtained with the theoretical frequencies of </w:t>
      </w:r>
      <w:r w:rsidR="00487769" w:rsidRPr="0064130A">
        <w:rPr>
          <w:rFonts w:cs="Arial"/>
        </w:rPr>
        <w:t>BL</w:t>
      </w:r>
      <w:r w:rsidR="00726ACE" w:rsidRPr="0064130A">
        <w:rPr>
          <w:rFonts w:cs="Arial"/>
        </w:rPr>
        <w:t xml:space="preserve">. As a result Roukema remarked that while all the frequencies of the other digits were very similar to those theoretical, the number 7 appeared too many times, hence supporting the truthfulness of the charges of </w:t>
      </w:r>
      <w:proofErr w:type="spellStart"/>
      <w:r w:rsidR="00726ACE" w:rsidRPr="0064130A">
        <w:rPr>
          <w:rFonts w:cs="Arial"/>
        </w:rPr>
        <w:t>Moussavi</w:t>
      </w:r>
      <w:proofErr w:type="spellEnd"/>
      <w:r w:rsidR="00726ACE" w:rsidRPr="0064130A">
        <w:rPr>
          <w:rFonts w:cs="Arial"/>
        </w:rPr>
        <w:t>. Decided to settle the matter, the minister remarked that the anomaly concerned three out of the six larger areas of Iran. In these areas the winner Ahmadinejad had won a share of the vote much higher than in other areas.</w:t>
      </w:r>
    </w:p>
    <w:p w14:paraId="5CBC8675" w14:textId="45E8D702" w:rsidR="005A6638" w:rsidRPr="009870B0" w:rsidRDefault="00726ACE" w:rsidP="00EF6D2E">
      <w:pPr>
        <w:spacing w:line="360" w:lineRule="auto"/>
        <w:jc w:val="both"/>
        <w:rPr>
          <w:rFonts w:ascii="Times" w:eastAsia="Times New Roman" w:hAnsi="Times" w:cs="Times New Roman"/>
        </w:rPr>
      </w:pPr>
      <w:r w:rsidRPr="0064130A">
        <w:rPr>
          <w:rFonts w:cs="Arial"/>
        </w:rPr>
        <w:t xml:space="preserve">Also Varian (1972) suggested the possibility of using </w:t>
      </w:r>
      <w:r w:rsidR="00487769" w:rsidRPr="0064130A">
        <w:rPr>
          <w:rFonts w:cs="Arial"/>
        </w:rPr>
        <w:t>BL</w:t>
      </w:r>
      <w:r w:rsidRPr="0064130A">
        <w:rPr>
          <w:rFonts w:cs="Arial"/>
        </w:rPr>
        <w:t xml:space="preserve"> to identify any falsification in the collection of data used to support political decisions.</w:t>
      </w:r>
      <w:r w:rsidR="0044183D" w:rsidRPr="0064130A">
        <w:rPr>
          <w:rFonts w:cs="Arial"/>
        </w:rPr>
        <w:t xml:space="preserve"> The author</w:t>
      </w:r>
      <w:r w:rsidR="00A26CCE" w:rsidRPr="0064130A">
        <w:rPr>
          <w:rFonts w:cs="Arial"/>
        </w:rPr>
        <w:t xml:space="preserve"> proposed to compare the relative frequency of the first digit of the numbers used to the support political decisions with the theoretical frequencies of </w:t>
      </w:r>
      <w:r w:rsidR="00487769" w:rsidRPr="0064130A">
        <w:rPr>
          <w:rFonts w:cs="Arial"/>
        </w:rPr>
        <w:t>BL</w:t>
      </w:r>
      <w:r w:rsidR="00A26CCE" w:rsidRPr="0064130A">
        <w:rPr>
          <w:rFonts w:cs="Arial"/>
        </w:rPr>
        <w:t>, so as to highlight any abnormal results.</w:t>
      </w:r>
      <w:r w:rsidR="005A6638" w:rsidRPr="0064130A">
        <w:rPr>
          <w:rFonts w:cs="Arial"/>
        </w:rPr>
        <w:t xml:space="preserve"> He applied the law in a set of land planning for 777 tracts in San Francisco Bay. The law was respected.</w:t>
      </w:r>
    </w:p>
    <w:p w14:paraId="29432B8A" w14:textId="153EB32E" w:rsidR="00A26CCE" w:rsidRPr="0064130A" w:rsidRDefault="00991E8F" w:rsidP="00EF6D2E">
      <w:pPr>
        <w:spacing w:line="360" w:lineRule="auto"/>
        <w:jc w:val="both"/>
        <w:rPr>
          <w:rFonts w:cs="Arial"/>
        </w:rPr>
      </w:pPr>
      <w:proofErr w:type="spellStart"/>
      <w:r w:rsidRPr="0064130A">
        <w:rPr>
          <w:rFonts w:cs="Arial"/>
        </w:rPr>
        <w:t>Nigrini</w:t>
      </w:r>
      <w:proofErr w:type="spellEnd"/>
      <w:r w:rsidRPr="0064130A">
        <w:rPr>
          <w:rFonts w:cs="Arial"/>
        </w:rPr>
        <w:t xml:space="preserve"> (</w:t>
      </w:r>
      <w:r w:rsidR="00A26CCE" w:rsidRPr="0064130A">
        <w:rPr>
          <w:rFonts w:cs="Arial"/>
        </w:rPr>
        <w:t>1996</w:t>
      </w:r>
      <w:r w:rsidR="000A75AC" w:rsidRPr="0064130A">
        <w:rPr>
          <w:rFonts w:cs="Arial"/>
        </w:rPr>
        <w:t xml:space="preserve">, 1999, </w:t>
      </w:r>
      <w:r w:rsidRPr="0064130A">
        <w:rPr>
          <w:rFonts w:cs="Arial"/>
        </w:rPr>
        <w:t>2012</w:t>
      </w:r>
      <w:r w:rsidR="00A26CCE" w:rsidRPr="0064130A">
        <w:rPr>
          <w:rFonts w:cs="Arial"/>
        </w:rPr>
        <w:t xml:space="preserve">) was able to show the benefits of the possible application of </w:t>
      </w:r>
      <w:r w:rsidR="00487769" w:rsidRPr="0064130A">
        <w:rPr>
          <w:rFonts w:cs="Arial"/>
        </w:rPr>
        <w:t>BL</w:t>
      </w:r>
      <w:r w:rsidR="00A26CCE" w:rsidRPr="0064130A">
        <w:rPr>
          <w:rFonts w:cs="Arial"/>
        </w:rPr>
        <w:t xml:space="preserve"> </w:t>
      </w:r>
      <w:r w:rsidR="003B131F" w:rsidRPr="0064130A">
        <w:rPr>
          <w:rFonts w:cs="Arial"/>
        </w:rPr>
        <w:t>to detect the falsification and the frauds in accounting and activity auditing</w:t>
      </w:r>
      <w:r w:rsidR="00A26CCE" w:rsidRPr="0064130A">
        <w:rPr>
          <w:rFonts w:cs="Arial"/>
        </w:rPr>
        <w:t xml:space="preserve"> (which of course may not be intentional, such as arithmetic errors and, more generally, errors in calculation or misapplication of the applicable accounting standards; or it could be outright intentional frauds, such as the alteration of records or documents, the lack of enforcement of accounting standards, the omission of some results or finally recording </w:t>
      </w:r>
      <w:proofErr w:type="spellStart"/>
      <w:r w:rsidR="00A26CCE" w:rsidRPr="0064130A">
        <w:rPr>
          <w:rFonts w:cs="Arial"/>
        </w:rPr>
        <w:t>non existent</w:t>
      </w:r>
      <w:proofErr w:type="spellEnd"/>
      <w:r w:rsidR="00A26CCE" w:rsidRPr="0064130A">
        <w:rPr>
          <w:rFonts w:cs="Arial"/>
        </w:rPr>
        <w:t xml:space="preserve"> transactions).</w:t>
      </w:r>
      <w:r w:rsidR="0044183D" w:rsidRPr="0064130A">
        <w:rPr>
          <w:rFonts w:cs="Arial"/>
        </w:rPr>
        <w:t xml:space="preserve"> </w:t>
      </w:r>
      <w:r w:rsidR="003B131F" w:rsidRPr="0064130A">
        <w:rPr>
          <w:rFonts w:cs="Arial"/>
        </w:rPr>
        <w:t>This</w:t>
      </w:r>
      <w:r w:rsidR="00A26CCE" w:rsidRPr="0064130A">
        <w:rPr>
          <w:rFonts w:cs="Arial"/>
        </w:rPr>
        <w:t xml:space="preserve"> system is now used in the majority of American States to support the identification of tax fraud.</w:t>
      </w:r>
    </w:p>
    <w:p w14:paraId="7C852513" w14:textId="4F7A475A" w:rsidR="00A26CCE" w:rsidRPr="0064130A" w:rsidRDefault="00A26CCE" w:rsidP="00EF6D2E">
      <w:pPr>
        <w:spacing w:line="360" w:lineRule="auto"/>
        <w:jc w:val="both"/>
        <w:rPr>
          <w:rFonts w:cs="Arial"/>
        </w:rPr>
      </w:pPr>
      <w:r w:rsidRPr="0064130A">
        <w:rPr>
          <w:rFonts w:cs="Arial"/>
        </w:rPr>
        <w:t xml:space="preserve">In the economic field </w:t>
      </w:r>
      <w:r w:rsidR="00487769" w:rsidRPr="0064130A">
        <w:rPr>
          <w:rFonts w:cs="Arial"/>
        </w:rPr>
        <w:t>BL</w:t>
      </w:r>
      <w:r w:rsidRPr="0064130A">
        <w:rPr>
          <w:rFonts w:cs="Arial"/>
        </w:rPr>
        <w:t xml:space="preserve"> can also be applied to</w:t>
      </w:r>
      <w:r w:rsidR="00354D99" w:rsidRPr="0064130A">
        <w:rPr>
          <w:rFonts w:cs="Arial"/>
        </w:rPr>
        <w:t xml:space="preserve"> check the efficiency of financial </w:t>
      </w:r>
      <w:r w:rsidRPr="0064130A">
        <w:rPr>
          <w:rFonts w:cs="Arial"/>
        </w:rPr>
        <w:t>indexes</w:t>
      </w:r>
      <w:r w:rsidR="00354D99" w:rsidRPr="0064130A">
        <w:rPr>
          <w:rFonts w:cs="Arial"/>
        </w:rPr>
        <w:t>, and in general financial quantities</w:t>
      </w:r>
      <w:r w:rsidRPr="0064130A">
        <w:rPr>
          <w:rFonts w:cs="Arial"/>
        </w:rPr>
        <w:t xml:space="preserve">. </w:t>
      </w:r>
      <w:r w:rsidR="00354D99" w:rsidRPr="0064130A">
        <w:rPr>
          <w:rFonts w:cs="Arial"/>
        </w:rPr>
        <w:t>Ley (</w:t>
      </w:r>
      <w:r w:rsidRPr="0064130A">
        <w:rPr>
          <w:rFonts w:cs="Arial"/>
        </w:rPr>
        <w:t>1996</w:t>
      </w:r>
      <w:r w:rsidR="00354D99" w:rsidRPr="0064130A">
        <w:rPr>
          <w:rFonts w:cs="Arial"/>
        </w:rPr>
        <w:t>)</w:t>
      </w:r>
      <w:r w:rsidRPr="0064130A">
        <w:rPr>
          <w:rFonts w:cs="Arial"/>
        </w:rPr>
        <w:t xml:space="preserve"> calculated if the distribution of the relative </w:t>
      </w:r>
      <w:r w:rsidRPr="0064130A">
        <w:rPr>
          <w:rFonts w:cs="Arial"/>
        </w:rPr>
        <w:lastRenderedPageBreak/>
        <w:t>frequencies of the first significant digit of daily returns of two American stock indexes (</w:t>
      </w:r>
      <w:proofErr w:type="spellStart"/>
      <w:r w:rsidRPr="0064130A">
        <w:rPr>
          <w:rFonts w:cs="Arial"/>
        </w:rPr>
        <w:t>ie</w:t>
      </w:r>
      <w:proofErr w:type="spellEnd"/>
      <w:r w:rsidRPr="0064130A">
        <w:rPr>
          <w:rFonts w:cs="Arial"/>
        </w:rPr>
        <w:t xml:space="preserve"> the S &amp; P for the period from 1926 to 1993 and the Dow Jones for the period from 1900 to 1993), using the </w:t>
      </w:r>
      <w:r w:rsidR="00487769" w:rsidRPr="0064130A">
        <w:rPr>
          <w:rFonts w:cs="Arial"/>
        </w:rPr>
        <w:t>BL</w:t>
      </w:r>
      <w:r w:rsidRPr="0064130A">
        <w:rPr>
          <w:rFonts w:cs="Arial"/>
        </w:rPr>
        <w:t>: the result obtained that both stock indexes respected this law</w:t>
      </w:r>
      <w:r w:rsidR="00354D99" w:rsidRPr="0064130A">
        <w:rPr>
          <w:rFonts w:cs="Arial"/>
        </w:rPr>
        <w:t xml:space="preserve"> and it was a demonstration of the current index efficiency.</w:t>
      </w:r>
    </w:p>
    <w:p w14:paraId="715934BA" w14:textId="6DF9E778" w:rsidR="001657C0" w:rsidRPr="0064130A" w:rsidRDefault="005A6638" w:rsidP="00C475B0">
      <w:pPr>
        <w:spacing w:line="360" w:lineRule="auto"/>
        <w:jc w:val="both"/>
        <w:rPr>
          <w:rFonts w:cs="Arial"/>
        </w:rPr>
      </w:pPr>
      <w:proofErr w:type="spellStart"/>
      <w:r w:rsidRPr="0064130A">
        <w:rPr>
          <w:rFonts w:cs="Arial"/>
        </w:rPr>
        <w:t>Realdon</w:t>
      </w:r>
      <w:proofErr w:type="spellEnd"/>
      <w:r w:rsidRPr="0064130A">
        <w:rPr>
          <w:rFonts w:cs="Arial"/>
        </w:rPr>
        <w:t xml:space="preserve"> (2008)</w:t>
      </w:r>
      <w:r w:rsidR="009B1AFA" w:rsidRPr="0064130A">
        <w:rPr>
          <w:rFonts w:cs="Arial"/>
        </w:rPr>
        <w:t xml:space="preserve"> and Ausloos et al. (2016)</w:t>
      </w:r>
      <w:r w:rsidRPr="0064130A">
        <w:rPr>
          <w:rFonts w:cs="Arial"/>
        </w:rPr>
        <w:t xml:space="preserve"> </w:t>
      </w:r>
      <w:r w:rsidR="009B1AFA" w:rsidRPr="0064130A">
        <w:rPr>
          <w:rFonts w:cs="Arial"/>
        </w:rPr>
        <w:t>dealt with the assessment of the validity of the</w:t>
      </w:r>
      <w:r w:rsidRPr="0064130A">
        <w:rPr>
          <w:rFonts w:cs="Arial"/>
        </w:rPr>
        <w:t xml:space="preserve"> </w:t>
      </w:r>
      <w:r w:rsidR="00487769" w:rsidRPr="0064130A">
        <w:rPr>
          <w:rFonts w:cs="Arial"/>
        </w:rPr>
        <w:t>BL</w:t>
      </w:r>
      <w:r w:rsidRPr="0064130A">
        <w:rPr>
          <w:rFonts w:cs="Arial"/>
        </w:rPr>
        <w:t xml:space="preserve"> on </w:t>
      </w:r>
      <w:r w:rsidR="009B1AFA" w:rsidRPr="0064130A">
        <w:rPr>
          <w:rFonts w:cs="Arial"/>
        </w:rPr>
        <w:t>the sovereign credit default swap</w:t>
      </w:r>
      <w:r w:rsidRPr="0064130A">
        <w:rPr>
          <w:rFonts w:cs="Arial"/>
        </w:rPr>
        <w:t xml:space="preserve"> markets.</w:t>
      </w:r>
      <w:r w:rsidR="001657C0" w:rsidRPr="0064130A">
        <w:rPr>
          <w:rFonts w:cs="Arial"/>
        </w:rPr>
        <w:t xml:space="preserve"> </w:t>
      </w:r>
      <w:r w:rsidRPr="0064130A">
        <w:rPr>
          <w:rFonts w:cs="Arial"/>
        </w:rPr>
        <w:t xml:space="preserve">Carrera (2015) analysed exchange rates </w:t>
      </w:r>
      <w:r w:rsidR="00E163BB" w:rsidRPr="0064130A">
        <w:rPr>
          <w:rFonts w:cs="Arial"/>
        </w:rPr>
        <w:t>to check whether there exist</w:t>
      </w:r>
      <w:r w:rsidR="001657C0" w:rsidRPr="0064130A">
        <w:rPr>
          <w:rFonts w:cs="Arial"/>
        </w:rPr>
        <w:t>s</w:t>
      </w:r>
      <w:r w:rsidR="00E163BB" w:rsidRPr="0064130A">
        <w:rPr>
          <w:rFonts w:cs="Arial"/>
        </w:rPr>
        <w:t xml:space="preserve"> the possibility of manipulation for policy management.</w:t>
      </w:r>
      <w:r w:rsidR="001657C0" w:rsidRPr="0064130A">
        <w:rPr>
          <w:rFonts w:cs="Arial"/>
        </w:rPr>
        <w:t xml:space="preserve"> </w:t>
      </w:r>
      <w:r w:rsidR="00233EF2" w:rsidRPr="0064130A">
        <w:rPr>
          <w:rFonts w:cs="Arial"/>
        </w:rPr>
        <w:t xml:space="preserve">In support of macroeconomic data, Nye and </w:t>
      </w:r>
      <w:proofErr w:type="spellStart"/>
      <w:r w:rsidR="00233EF2" w:rsidRPr="0064130A">
        <w:rPr>
          <w:rFonts w:cs="Arial"/>
        </w:rPr>
        <w:t>Moul</w:t>
      </w:r>
      <w:proofErr w:type="spellEnd"/>
      <w:r w:rsidR="00233EF2" w:rsidRPr="0064130A">
        <w:rPr>
          <w:rFonts w:cs="Arial"/>
        </w:rPr>
        <w:t xml:space="preserve"> (2007) studied the GDP data of the Penn World Tables. </w:t>
      </w:r>
      <w:proofErr w:type="spellStart"/>
      <w:r w:rsidR="00233EF2" w:rsidRPr="0064130A">
        <w:rPr>
          <w:rFonts w:cs="Arial"/>
        </w:rPr>
        <w:t>Günnel</w:t>
      </w:r>
      <w:proofErr w:type="spellEnd"/>
      <w:r w:rsidR="00233EF2" w:rsidRPr="0064130A">
        <w:rPr>
          <w:rFonts w:cs="Arial"/>
        </w:rPr>
        <w:t xml:space="preserve"> and </w:t>
      </w:r>
      <w:proofErr w:type="spellStart"/>
      <w:r w:rsidR="00233EF2" w:rsidRPr="0064130A">
        <w:rPr>
          <w:rFonts w:cs="Arial"/>
        </w:rPr>
        <w:t>Tödter</w:t>
      </w:r>
      <w:proofErr w:type="spellEnd"/>
      <w:r w:rsidR="00233EF2" w:rsidRPr="0064130A">
        <w:rPr>
          <w:rFonts w:cs="Arial"/>
        </w:rPr>
        <w:t xml:space="preserve"> (2009) applied the </w:t>
      </w:r>
      <w:r w:rsidR="00487769" w:rsidRPr="0064130A">
        <w:rPr>
          <w:rFonts w:cs="Arial"/>
        </w:rPr>
        <w:t>BL</w:t>
      </w:r>
      <w:r w:rsidR="00233EF2" w:rsidRPr="0064130A">
        <w:rPr>
          <w:rFonts w:cs="Arial"/>
        </w:rPr>
        <w:t xml:space="preserve"> on the forecast of GDP growth and inflation of German consumer prices. Ranch (2011) examined the abnormal data of national and financial accounts of the EU countri</w:t>
      </w:r>
      <w:r w:rsidR="002A3D27" w:rsidRPr="0064130A">
        <w:rPr>
          <w:rFonts w:cs="Arial"/>
        </w:rPr>
        <w:t xml:space="preserve">es from 1999 to 2009. </w:t>
      </w:r>
      <w:proofErr w:type="spellStart"/>
      <w:r w:rsidR="002A3D27" w:rsidRPr="0064130A">
        <w:rPr>
          <w:rFonts w:cs="Arial"/>
        </w:rPr>
        <w:t>Holz</w:t>
      </w:r>
      <w:proofErr w:type="spellEnd"/>
      <w:r w:rsidR="002A3D27" w:rsidRPr="0064130A">
        <w:rPr>
          <w:rFonts w:cs="Arial"/>
        </w:rPr>
        <w:t xml:space="preserve"> (2014</w:t>
      </w:r>
      <w:r w:rsidR="00233EF2" w:rsidRPr="0064130A">
        <w:rPr>
          <w:rFonts w:cs="Arial"/>
        </w:rPr>
        <w:t xml:space="preserve">) evaluated the quality of the Chinese GDP advancing suspicions on the statistics published by the National Bureau of Statistics of China. Michalski and Stoltz (2013) examined the balance of payments data for 103 countries </w:t>
      </w:r>
      <w:r w:rsidR="002A3D27" w:rsidRPr="0064130A">
        <w:rPr>
          <w:rFonts w:cs="Arial"/>
        </w:rPr>
        <w:t>between 1989 and 2007. Mir (2016</w:t>
      </w:r>
      <w:r w:rsidR="00233EF2" w:rsidRPr="0064130A">
        <w:rPr>
          <w:rFonts w:cs="Arial"/>
        </w:rPr>
        <w:t xml:space="preserve">) studied the illicit financial outflows from developing countries. </w:t>
      </w:r>
      <w:r w:rsidR="000755FF">
        <w:rPr>
          <w:rFonts w:cs="Arial"/>
        </w:rPr>
        <w:t xml:space="preserve">Finally, </w:t>
      </w:r>
      <w:r w:rsidR="00233EF2" w:rsidRPr="0064130A">
        <w:rPr>
          <w:rFonts w:cs="Arial"/>
        </w:rPr>
        <w:t>Mir</w:t>
      </w:r>
      <w:r w:rsidR="00341551">
        <w:rPr>
          <w:rFonts w:cs="Arial"/>
        </w:rPr>
        <w:t xml:space="preserve"> et al.</w:t>
      </w:r>
      <w:r w:rsidR="000755FF">
        <w:rPr>
          <w:rFonts w:cs="Arial"/>
        </w:rPr>
        <w:t xml:space="preserve"> </w:t>
      </w:r>
      <w:r w:rsidR="00233EF2" w:rsidRPr="0064130A">
        <w:rPr>
          <w:rFonts w:cs="Arial"/>
        </w:rPr>
        <w:t>(2014</w:t>
      </w:r>
      <w:r w:rsidR="00341551">
        <w:rPr>
          <w:rFonts w:cs="Arial"/>
        </w:rPr>
        <w:t>) and Ausloos et al.</w:t>
      </w:r>
      <w:r w:rsidR="000755FF">
        <w:rPr>
          <w:rFonts w:cs="Arial"/>
        </w:rPr>
        <w:t xml:space="preserve"> </w:t>
      </w:r>
      <w:r w:rsidR="00341551">
        <w:rPr>
          <w:rFonts w:cs="Arial"/>
        </w:rPr>
        <w:t>(</w:t>
      </w:r>
      <w:r w:rsidR="000755FF">
        <w:rPr>
          <w:rFonts w:cs="Arial"/>
        </w:rPr>
        <w:t>2017</w:t>
      </w:r>
      <w:r w:rsidR="00233EF2" w:rsidRPr="0064130A">
        <w:rPr>
          <w:rFonts w:cs="Arial"/>
        </w:rPr>
        <w:t>)</w:t>
      </w:r>
      <w:r w:rsidR="001657C0" w:rsidRPr="0064130A">
        <w:rPr>
          <w:rFonts w:cs="Arial"/>
        </w:rPr>
        <w:t xml:space="preserve"> </w:t>
      </w:r>
      <w:r w:rsidR="00233EF2" w:rsidRPr="0064130A">
        <w:rPr>
          <w:rFonts w:cs="Arial"/>
        </w:rPr>
        <w:t xml:space="preserve">have instead applied the </w:t>
      </w:r>
      <w:r w:rsidR="00E22ABD" w:rsidRPr="0064130A">
        <w:rPr>
          <w:rFonts w:cs="Arial"/>
        </w:rPr>
        <w:t>BL</w:t>
      </w:r>
      <w:r w:rsidR="00233EF2" w:rsidRPr="0064130A">
        <w:rPr>
          <w:rFonts w:cs="Arial"/>
        </w:rPr>
        <w:t xml:space="preserve"> </w:t>
      </w:r>
      <w:r w:rsidR="001657C0" w:rsidRPr="0064130A">
        <w:rPr>
          <w:rFonts w:cs="Arial"/>
        </w:rPr>
        <w:t xml:space="preserve">to </w:t>
      </w:r>
      <w:r w:rsidR="00233EF2" w:rsidRPr="0064130A">
        <w:rPr>
          <w:rFonts w:cs="Arial"/>
        </w:rPr>
        <w:t>the aggregate of income taxes of municipalities and Italian regions for t</w:t>
      </w:r>
      <w:r w:rsidR="0070376A" w:rsidRPr="0064130A">
        <w:rPr>
          <w:rFonts w:cs="Arial"/>
        </w:rPr>
        <w:t>he p</w:t>
      </w:r>
      <w:r w:rsidR="000755FF">
        <w:rPr>
          <w:rFonts w:cs="Arial"/>
        </w:rPr>
        <w:t>eriod between 2007 and 2011.</w:t>
      </w:r>
    </w:p>
    <w:p w14:paraId="0C21082A" w14:textId="3CAFDD0D" w:rsidR="00A26CCE" w:rsidRDefault="0044183D" w:rsidP="00C475B0">
      <w:pPr>
        <w:spacing w:line="360" w:lineRule="auto"/>
        <w:jc w:val="both"/>
        <w:rPr>
          <w:rFonts w:cs="Arial"/>
        </w:rPr>
      </w:pPr>
      <w:r w:rsidRPr="0064130A">
        <w:rPr>
          <w:rFonts w:cs="Arial"/>
        </w:rPr>
        <w:t>In</w:t>
      </w:r>
      <w:r w:rsidR="00A26CCE" w:rsidRPr="0064130A">
        <w:rPr>
          <w:rFonts w:cs="Arial"/>
        </w:rPr>
        <w:t xml:space="preserve"> this wo</w:t>
      </w:r>
      <w:r w:rsidR="00816B4B" w:rsidRPr="0064130A">
        <w:rPr>
          <w:rFonts w:cs="Arial"/>
        </w:rPr>
        <w:t>rk we have tried to interpret</w:t>
      </w:r>
      <w:r w:rsidR="00A26CCE" w:rsidRPr="0064130A">
        <w:rPr>
          <w:rFonts w:cs="Arial"/>
        </w:rPr>
        <w:t xml:space="preserve"> the efficacy and functionality of financial markets worldwide. </w:t>
      </w:r>
      <w:r w:rsidR="00816B4B" w:rsidRPr="0064130A">
        <w:rPr>
          <w:rFonts w:cs="Arial"/>
        </w:rPr>
        <w:t xml:space="preserve"> We checked </w:t>
      </w:r>
      <w:r w:rsidR="00A26CCE" w:rsidRPr="0064130A">
        <w:rPr>
          <w:rFonts w:cs="Arial"/>
        </w:rPr>
        <w:t xml:space="preserve">the reliability of </w:t>
      </w:r>
      <w:r w:rsidR="00487769" w:rsidRPr="0064130A">
        <w:rPr>
          <w:rFonts w:cs="Arial"/>
        </w:rPr>
        <w:t>BL</w:t>
      </w:r>
      <w:r w:rsidR="00A26CCE" w:rsidRPr="0064130A">
        <w:rPr>
          <w:rFonts w:cs="Arial"/>
        </w:rPr>
        <w:t xml:space="preserve"> for all stock indexes listed on the stock exchanges of the various </w:t>
      </w:r>
      <w:r w:rsidR="00816B4B" w:rsidRPr="0064130A">
        <w:rPr>
          <w:rFonts w:cs="Arial"/>
        </w:rPr>
        <w:t>countries</w:t>
      </w:r>
      <w:r w:rsidR="00A26CCE" w:rsidRPr="0064130A">
        <w:rPr>
          <w:rFonts w:cs="Arial"/>
        </w:rPr>
        <w:t xml:space="preserve"> but not to apply it on daily returns but on prices and average volumes of stocks comprising indexes.</w:t>
      </w:r>
      <w:r w:rsidR="00341551">
        <w:rPr>
          <w:rFonts w:cs="Arial"/>
        </w:rPr>
        <w:t xml:space="preserve"> </w:t>
      </w:r>
    </w:p>
    <w:p w14:paraId="5D565C40" w14:textId="77777777" w:rsidR="00BF28A5" w:rsidRPr="00BF28A5" w:rsidRDefault="00341551" w:rsidP="00BF28A5">
      <w:pPr>
        <w:spacing w:line="360" w:lineRule="auto"/>
        <w:jc w:val="both"/>
        <w:rPr>
          <w:rFonts w:cs="Arial"/>
        </w:rPr>
      </w:pPr>
      <w:r>
        <w:rPr>
          <w:rFonts w:cs="Arial"/>
        </w:rPr>
        <w:t>We are in the line traced by other scholars dealing with the assessment of BL in</w:t>
      </w:r>
      <w:r w:rsidR="00BF28A5">
        <w:rPr>
          <w:rFonts w:cs="Arial"/>
        </w:rPr>
        <w:t xml:space="preserve"> financial markets (see e.g. De </w:t>
      </w:r>
      <w:proofErr w:type="spellStart"/>
      <w:r w:rsidR="00BF28A5">
        <w:rPr>
          <w:rFonts w:cs="Arial"/>
        </w:rPr>
        <w:t>Ceuster</w:t>
      </w:r>
      <w:proofErr w:type="spellEnd"/>
      <w:r w:rsidR="00BF28A5">
        <w:rPr>
          <w:rFonts w:cs="Arial"/>
        </w:rPr>
        <w:t xml:space="preserve"> et al., 1998; </w:t>
      </w:r>
      <w:proofErr w:type="spellStart"/>
      <w:r w:rsidR="00BF28A5">
        <w:rPr>
          <w:rFonts w:cs="Arial"/>
        </w:rPr>
        <w:t>Corazza</w:t>
      </w:r>
      <w:proofErr w:type="spellEnd"/>
      <w:r w:rsidR="00BF28A5">
        <w:rPr>
          <w:rFonts w:cs="Arial"/>
        </w:rPr>
        <w:t xml:space="preserve"> et al., 2010 and </w:t>
      </w:r>
      <w:proofErr w:type="spellStart"/>
      <w:r w:rsidR="00BF28A5" w:rsidRPr="00BF28A5">
        <w:rPr>
          <w:rFonts w:cs="Arial"/>
        </w:rPr>
        <w:t>Karavardar</w:t>
      </w:r>
      <w:proofErr w:type="spellEnd"/>
      <w:r w:rsidR="00BF28A5" w:rsidRPr="00BF28A5">
        <w:rPr>
          <w:rFonts w:cs="Arial"/>
        </w:rPr>
        <w:t>, 2014). However, this is the first paper dealing with a so global context, with all the international stock markets and both the key stock variables (volumes and prices).</w:t>
      </w:r>
    </w:p>
    <w:p w14:paraId="2515FAE6" w14:textId="4200FEAC" w:rsidR="00A26CCE" w:rsidRPr="0064130A" w:rsidRDefault="00341551" w:rsidP="00C475B0">
      <w:pPr>
        <w:spacing w:line="360" w:lineRule="auto"/>
        <w:jc w:val="both"/>
        <w:rPr>
          <w:rFonts w:cs="Arial"/>
        </w:rPr>
      </w:pPr>
      <w:r>
        <w:rPr>
          <w:rFonts w:cs="Arial"/>
        </w:rPr>
        <w:t xml:space="preserve"> </w:t>
      </w:r>
      <w:r w:rsidR="00A26CCE" w:rsidRPr="0064130A">
        <w:rPr>
          <w:rFonts w:cs="Arial"/>
        </w:rPr>
        <w:t xml:space="preserve">It will be interesting to see how this application of </w:t>
      </w:r>
      <w:r w:rsidR="00487769" w:rsidRPr="0064130A">
        <w:rPr>
          <w:rFonts w:cs="Arial"/>
        </w:rPr>
        <w:t>BL</w:t>
      </w:r>
      <w:r w:rsidR="00A26CCE" w:rsidRPr="0064130A">
        <w:rPr>
          <w:rFonts w:cs="Arial"/>
        </w:rPr>
        <w:t xml:space="preserve"> </w:t>
      </w:r>
      <w:r w:rsidR="00816B4B" w:rsidRPr="0064130A">
        <w:rPr>
          <w:rFonts w:cs="Arial"/>
        </w:rPr>
        <w:t>analyse</w:t>
      </w:r>
      <w:r w:rsidR="00A26CCE" w:rsidRPr="0064130A">
        <w:rPr>
          <w:rFonts w:cs="Arial"/>
        </w:rPr>
        <w:t>s and comments consistent results; in fact, the cases in which the Law will be verified are various</w:t>
      </w:r>
      <w:r w:rsidR="0044183D" w:rsidRPr="0064130A">
        <w:rPr>
          <w:rFonts w:cs="Arial"/>
        </w:rPr>
        <w:t>, a</w:t>
      </w:r>
      <w:r w:rsidR="00A26CCE" w:rsidRPr="0064130A">
        <w:rPr>
          <w:rFonts w:cs="Arial"/>
        </w:rPr>
        <w:t xml:space="preserve">nd </w:t>
      </w:r>
      <w:r w:rsidR="0044183D" w:rsidRPr="0064130A">
        <w:rPr>
          <w:rFonts w:cs="Arial"/>
        </w:rPr>
        <w:t xml:space="preserve">we provide a brief discussion on </w:t>
      </w:r>
      <w:r w:rsidR="00480BA3" w:rsidRPr="0064130A">
        <w:rPr>
          <w:rFonts w:cs="Arial"/>
        </w:rPr>
        <w:t>the technical and historical reasons leading to the failure of</w:t>
      </w:r>
      <w:r w:rsidR="00A26CCE" w:rsidRPr="0064130A">
        <w:rPr>
          <w:rFonts w:cs="Arial"/>
        </w:rPr>
        <w:t xml:space="preserve"> this law.</w:t>
      </w:r>
    </w:p>
    <w:p w14:paraId="4E8251BD" w14:textId="77777777" w:rsidR="00816B4B" w:rsidRPr="0064130A" w:rsidRDefault="00816B4B" w:rsidP="00C47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cs="Arial"/>
        </w:rPr>
      </w:pPr>
    </w:p>
    <w:p w14:paraId="248060FC" w14:textId="5F42FE2E" w:rsidR="00A26CCE" w:rsidRPr="0064130A" w:rsidRDefault="00A26CCE" w:rsidP="00EF6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cs="Helvetica"/>
          <w:b/>
        </w:rPr>
      </w:pPr>
      <w:r w:rsidRPr="0064130A">
        <w:rPr>
          <w:rFonts w:cs="Helvetica"/>
          <w:b/>
        </w:rPr>
        <w:t xml:space="preserve">3. </w:t>
      </w:r>
      <w:r w:rsidR="00816B4B" w:rsidRPr="0064130A">
        <w:rPr>
          <w:rFonts w:cs="Helvetica"/>
          <w:b/>
        </w:rPr>
        <w:t xml:space="preserve">Data analysis and </w:t>
      </w:r>
      <w:r w:rsidR="009D522E" w:rsidRPr="0064130A">
        <w:rPr>
          <w:rFonts w:cs="Helvetica"/>
          <w:b/>
        </w:rPr>
        <w:t>methodology</w:t>
      </w:r>
    </w:p>
    <w:p w14:paraId="6C157597" w14:textId="402BA12F" w:rsidR="00A26CCE" w:rsidRPr="0064130A" w:rsidRDefault="00816B4B" w:rsidP="00EF6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cs="Helvetica"/>
          <w:b/>
        </w:rPr>
      </w:pPr>
      <w:r w:rsidRPr="0064130A">
        <w:rPr>
          <w:rFonts w:cs="Helvetica"/>
          <w:b/>
        </w:rPr>
        <w:t>3.1 Data</w:t>
      </w:r>
    </w:p>
    <w:p w14:paraId="218B8903" w14:textId="1E907DBF" w:rsidR="00B40B96" w:rsidRPr="0064130A" w:rsidRDefault="00A26CCE" w:rsidP="00736BC7">
      <w:pPr>
        <w:spacing w:line="360" w:lineRule="auto"/>
        <w:jc w:val="both"/>
        <w:rPr>
          <w:rFonts w:cs="Arial"/>
        </w:rPr>
      </w:pPr>
      <w:r w:rsidRPr="0064130A">
        <w:rPr>
          <w:rFonts w:cs="Arial"/>
        </w:rPr>
        <w:lastRenderedPageBreak/>
        <w:t xml:space="preserve">All processed data </w:t>
      </w:r>
      <w:r w:rsidR="00480BA3" w:rsidRPr="0064130A">
        <w:rPr>
          <w:rFonts w:cs="Arial"/>
        </w:rPr>
        <w:t xml:space="preserve">are freely available on the web (see e.g. </w:t>
      </w:r>
      <w:hyperlink r:id="rId9" w:history="1">
        <w:r w:rsidR="00736BC7" w:rsidRPr="00B80F3E">
          <w:rPr>
            <w:rStyle w:val="Collegamentoipertestuale"/>
            <w:rFonts w:cs="Arial"/>
          </w:rPr>
          <w:t>https://finance.yahoo.com</w:t>
        </w:r>
      </w:hyperlink>
      <w:r w:rsidR="00480BA3" w:rsidRPr="0064130A">
        <w:rPr>
          <w:rFonts w:cs="Arial"/>
        </w:rPr>
        <w:t>)</w:t>
      </w:r>
      <w:r w:rsidR="00B40B96" w:rsidRPr="0064130A">
        <w:rPr>
          <w:rFonts w:cs="Arial"/>
        </w:rPr>
        <w:t>.</w:t>
      </w:r>
      <w:r w:rsidR="00736BC7">
        <w:rPr>
          <w:rFonts w:cs="Arial"/>
        </w:rPr>
        <w:t xml:space="preserve"> The dataset is of scientific reliability, as also witnessed by authoritative financial studies who had referred to such a dataset for collecting empirical data (see e.g. </w:t>
      </w:r>
      <w:proofErr w:type="spellStart"/>
      <w:r w:rsidR="00736BC7" w:rsidRPr="00736BC7">
        <w:rPr>
          <w:rFonts w:cs="Arial"/>
        </w:rPr>
        <w:t>Antweiler</w:t>
      </w:r>
      <w:proofErr w:type="spellEnd"/>
      <w:r w:rsidR="00736BC7" w:rsidRPr="00736BC7">
        <w:rPr>
          <w:rFonts w:cs="Arial"/>
        </w:rPr>
        <w:t xml:space="preserve"> and Frank, 2004; </w:t>
      </w:r>
      <w:proofErr w:type="spellStart"/>
      <w:r w:rsidR="00736BC7" w:rsidRPr="00736BC7">
        <w:rPr>
          <w:rFonts w:cs="Arial"/>
        </w:rPr>
        <w:t>Juergens</w:t>
      </w:r>
      <w:proofErr w:type="spellEnd"/>
      <w:r w:rsidR="00736BC7" w:rsidRPr="00736BC7">
        <w:rPr>
          <w:rFonts w:cs="Arial"/>
        </w:rPr>
        <w:t xml:space="preserve"> and</w:t>
      </w:r>
      <w:r w:rsidR="00736BC7">
        <w:rPr>
          <w:rFonts w:cs="Arial"/>
        </w:rPr>
        <w:t xml:space="preserve"> </w:t>
      </w:r>
      <w:r w:rsidR="00736BC7" w:rsidRPr="00736BC7">
        <w:rPr>
          <w:rFonts w:cs="Arial"/>
        </w:rPr>
        <w:t>Lindsey, 2009</w:t>
      </w:r>
      <w:r w:rsidR="00736BC7">
        <w:rPr>
          <w:rFonts w:cs="Arial"/>
        </w:rPr>
        <w:t xml:space="preserve">). </w:t>
      </w:r>
    </w:p>
    <w:p w14:paraId="78534955" w14:textId="62E1EF55" w:rsidR="00A26CCE" w:rsidRPr="0064130A" w:rsidRDefault="00480BA3" w:rsidP="00FA0300">
      <w:pPr>
        <w:spacing w:line="360" w:lineRule="auto"/>
        <w:jc w:val="both"/>
        <w:rPr>
          <w:rFonts w:cs="Arial"/>
        </w:rPr>
      </w:pPr>
      <w:r w:rsidRPr="0064130A">
        <w:rPr>
          <w:rFonts w:cs="Arial"/>
        </w:rPr>
        <w:t>We</w:t>
      </w:r>
      <w:r w:rsidR="00A26CCE" w:rsidRPr="0064130A">
        <w:rPr>
          <w:rFonts w:cs="Arial"/>
        </w:rPr>
        <w:t xml:space="preserve"> </w:t>
      </w:r>
      <w:r w:rsidR="00B40B96" w:rsidRPr="0064130A">
        <w:rPr>
          <w:rFonts w:cs="Arial"/>
        </w:rPr>
        <w:t>use all</w:t>
      </w:r>
      <w:r w:rsidRPr="0064130A">
        <w:rPr>
          <w:rFonts w:cs="Arial"/>
        </w:rPr>
        <w:t xml:space="preserve"> the</w:t>
      </w:r>
      <w:r w:rsidR="00B40B96" w:rsidRPr="0064130A">
        <w:rPr>
          <w:rFonts w:cs="Arial"/>
        </w:rPr>
        <w:t xml:space="preserve"> indexes listed on the stock exchanges of the various countries whose time series are available, with a particular reference to daily adjusted closing price and volume of stocks</w:t>
      </w:r>
      <w:r w:rsidR="00AF5DEC" w:rsidRPr="0064130A">
        <w:rPr>
          <w:rFonts w:cs="Arial"/>
        </w:rPr>
        <w:t xml:space="preserve"> that compose the financial indexes.</w:t>
      </w:r>
    </w:p>
    <w:p w14:paraId="13213446" w14:textId="13F107AB" w:rsidR="00A26CCE" w:rsidRPr="0064130A" w:rsidRDefault="00480BA3" w:rsidP="001D0620">
      <w:pPr>
        <w:spacing w:line="360" w:lineRule="auto"/>
        <w:jc w:val="both"/>
        <w:rPr>
          <w:rFonts w:cs="Arial"/>
        </w:rPr>
      </w:pPr>
      <w:r w:rsidRPr="0064130A">
        <w:rPr>
          <w:rFonts w:cs="Arial"/>
        </w:rPr>
        <w:t>T</w:t>
      </w:r>
      <w:r w:rsidR="00AF5DEC" w:rsidRPr="0064130A">
        <w:rPr>
          <w:rFonts w:cs="Arial"/>
        </w:rPr>
        <w:t>he</w:t>
      </w:r>
      <w:r w:rsidR="00A26CCE" w:rsidRPr="0064130A">
        <w:rPr>
          <w:rFonts w:cs="Arial"/>
        </w:rPr>
        <w:t xml:space="preserve"> period </w:t>
      </w:r>
      <w:r w:rsidRPr="0064130A">
        <w:rPr>
          <w:rFonts w:cs="Arial"/>
        </w:rPr>
        <w:t xml:space="preserve">under investigation is the available one, and depends on the individual stocks. </w:t>
      </w:r>
      <w:r w:rsidR="001D0620" w:rsidRPr="0064130A">
        <w:rPr>
          <w:rFonts w:cs="Arial"/>
        </w:rPr>
        <w:t>Indeed,</w:t>
      </w:r>
      <w:r w:rsidR="00A26CCE" w:rsidRPr="0064130A">
        <w:rPr>
          <w:rFonts w:cs="Arial"/>
        </w:rPr>
        <w:t xml:space="preserve"> after a careful analysis, </w:t>
      </w:r>
      <w:r w:rsidR="001D0620" w:rsidRPr="0064130A">
        <w:rPr>
          <w:rFonts w:cs="Arial"/>
        </w:rPr>
        <w:t>we have noticed that</w:t>
      </w:r>
      <w:r w:rsidR="00A26CCE" w:rsidRPr="0064130A">
        <w:rPr>
          <w:rFonts w:cs="Arial"/>
        </w:rPr>
        <w:t xml:space="preserve"> listing</w:t>
      </w:r>
      <w:r w:rsidR="001D0620" w:rsidRPr="0064130A">
        <w:rPr>
          <w:rFonts w:cs="Arial"/>
        </w:rPr>
        <w:t xml:space="preserve"> days of an asset in a </w:t>
      </w:r>
      <w:r w:rsidR="00A26CCE" w:rsidRPr="0064130A">
        <w:rPr>
          <w:rFonts w:cs="Arial"/>
        </w:rPr>
        <w:t>Stock Exchange</w:t>
      </w:r>
      <w:r w:rsidR="001D0620" w:rsidRPr="0064130A">
        <w:rPr>
          <w:rFonts w:cs="Arial"/>
        </w:rPr>
        <w:t xml:space="preserve"> are different. </w:t>
      </w:r>
      <w:r w:rsidR="00352529" w:rsidRPr="0064130A">
        <w:rPr>
          <w:rFonts w:cs="Arial"/>
        </w:rPr>
        <w:t xml:space="preserve">Thus, the starting points of the time series vary. Some stocks have data available from 1962 </w:t>
      </w:r>
      <w:r w:rsidR="00A23277" w:rsidRPr="0064130A">
        <w:rPr>
          <w:rFonts w:cs="Arial"/>
        </w:rPr>
        <w:t xml:space="preserve">(e.g. The Walt Disney Company, The Coca-Cola Company, both listed in the 65 Composite US Index) while other ones have only recent data, from 2014 (e.g. </w:t>
      </w:r>
      <w:proofErr w:type="spellStart"/>
      <w:r w:rsidR="00A23277" w:rsidRPr="0064130A">
        <w:rPr>
          <w:rFonts w:cs="Arial"/>
        </w:rPr>
        <w:t>Cerved</w:t>
      </w:r>
      <w:proofErr w:type="spellEnd"/>
      <w:r w:rsidR="00A23277" w:rsidRPr="0064130A">
        <w:rPr>
          <w:rFonts w:cs="Arial"/>
        </w:rPr>
        <w:t xml:space="preserve"> Information Solutions SPA, listed in the FTSE Italia MIDCAP and </w:t>
      </w:r>
      <w:proofErr w:type="spellStart"/>
      <w:r w:rsidR="00A23277" w:rsidRPr="0064130A">
        <w:rPr>
          <w:rFonts w:cs="Arial"/>
        </w:rPr>
        <w:t>Emas</w:t>
      </w:r>
      <w:proofErr w:type="spellEnd"/>
      <w:r w:rsidR="00A23277" w:rsidRPr="0064130A">
        <w:rPr>
          <w:rFonts w:cs="Arial"/>
        </w:rPr>
        <w:t xml:space="preserve"> Offshore </w:t>
      </w:r>
      <w:proofErr w:type="spellStart"/>
      <w:r w:rsidR="00A23277" w:rsidRPr="0064130A">
        <w:rPr>
          <w:rFonts w:cs="Arial"/>
        </w:rPr>
        <w:t>Regs</w:t>
      </w:r>
      <w:proofErr w:type="spellEnd"/>
      <w:r w:rsidR="00A23277" w:rsidRPr="0064130A">
        <w:rPr>
          <w:rFonts w:cs="Arial"/>
        </w:rPr>
        <w:t>, listed in the OSE All Share of the Norwegian Stock Exchange).</w:t>
      </w:r>
      <w:r w:rsidR="00352529" w:rsidRPr="0064130A">
        <w:rPr>
          <w:rFonts w:cs="Arial"/>
        </w:rPr>
        <w:t xml:space="preserve"> </w:t>
      </w:r>
      <w:r w:rsidR="001D0620" w:rsidRPr="0064130A">
        <w:rPr>
          <w:rFonts w:cs="Arial"/>
        </w:rPr>
        <w:t xml:space="preserve">The period under investigation ends </w:t>
      </w:r>
      <w:r w:rsidR="00A23277" w:rsidRPr="0064130A">
        <w:rPr>
          <w:rFonts w:cs="Arial"/>
        </w:rPr>
        <w:t xml:space="preserve">for all the stocks </w:t>
      </w:r>
      <w:r w:rsidR="001D0620" w:rsidRPr="0064130A">
        <w:rPr>
          <w:rFonts w:cs="Arial"/>
        </w:rPr>
        <w:t xml:space="preserve">in </w:t>
      </w:r>
      <w:r w:rsidR="00F47DA8" w:rsidRPr="0064130A">
        <w:rPr>
          <w:rFonts w:cs="Arial"/>
        </w:rPr>
        <w:t>November</w:t>
      </w:r>
      <w:r w:rsidR="001D0620" w:rsidRPr="0064130A">
        <w:rPr>
          <w:rFonts w:cs="Arial"/>
        </w:rPr>
        <w:t xml:space="preserve"> 14</w:t>
      </w:r>
      <w:r w:rsidR="001D0620" w:rsidRPr="0064130A">
        <w:rPr>
          <w:rFonts w:cs="Arial"/>
          <w:vertAlign w:val="superscript"/>
        </w:rPr>
        <w:t>th</w:t>
      </w:r>
      <w:r w:rsidR="001D0620" w:rsidRPr="0064130A">
        <w:rPr>
          <w:rFonts w:cs="Arial"/>
        </w:rPr>
        <w:t>,</w:t>
      </w:r>
      <w:r w:rsidR="00F47DA8" w:rsidRPr="0064130A">
        <w:rPr>
          <w:rFonts w:cs="Arial"/>
        </w:rPr>
        <w:t xml:space="preserve"> 2014</w:t>
      </w:r>
      <w:r w:rsidR="00A26CCE" w:rsidRPr="0064130A">
        <w:rPr>
          <w:rFonts w:cs="Arial"/>
        </w:rPr>
        <w:t>.</w:t>
      </w:r>
    </w:p>
    <w:p w14:paraId="3848D8EB" w14:textId="2CA59C88" w:rsidR="00A26CCE" w:rsidRPr="0064130A" w:rsidRDefault="00A26CCE" w:rsidP="00FA0300">
      <w:pPr>
        <w:spacing w:line="360" w:lineRule="auto"/>
        <w:jc w:val="both"/>
        <w:rPr>
          <w:rFonts w:cs="Arial"/>
        </w:rPr>
      </w:pPr>
      <w:r w:rsidRPr="0064130A">
        <w:rPr>
          <w:rFonts w:cs="Arial"/>
        </w:rPr>
        <w:t xml:space="preserve">The </w:t>
      </w:r>
      <w:r w:rsidR="004959C4" w:rsidRPr="0064130A">
        <w:rPr>
          <w:rFonts w:cs="Arial"/>
        </w:rPr>
        <w:t>outcome of the data collection procedure is</w:t>
      </w:r>
      <w:r w:rsidRPr="0064130A">
        <w:rPr>
          <w:rFonts w:cs="Arial"/>
        </w:rPr>
        <w:t xml:space="preserve"> thousands of tim</w:t>
      </w:r>
      <w:r w:rsidR="00F47DA8" w:rsidRPr="0064130A">
        <w:rPr>
          <w:rFonts w:cs="Arial"/>
        </w:rPr>
        <w:t xml:space="preserve">e series </w:t>
      </w:r>
      <w:r w:rsidR="004959C4" w:rsidRPr="0064130A">
        <w:rPr>
          <w:rFonts w:cs="Arial"/>
        </w:rPr>
        <w:t>which</w:t>
      </w:r>
      <w:r w:rsidR="00F47DA8" w:rsidRPr="0064130A">
        <w:rPr>
          <w:rFonts w:cs="Arial"/>
        </w:rPr>
        <w:t xml:space="preserve"> </w:t>
      </w:r>
      <w:r w:rsidRPr="0064130A">
        <w:rPr>
          <w:rFonts w:cs="Arial"/>
        </w:rPr>
        <w:t xml:space="preserve">reflect the </w:t>
      </w:r>
      <w:r w:rsidR="004959C4" w:rsidRPr="0064130A">
        <w:rPr>
          <w:rFonts w:cs="Arial"/>
        </w:rPr>
        <w:t xml:space="preserve">recent overall </w:t>
      </w:r>
      <w:r w:rsidRPr="0064130A">
        <w:rPr>
          <w:rFonts w:cs="Arial"/>
        </w:rPr>
        <w:t>activity of the stock markets.</w:t>
      </w:r>
    </w:p>
    <w:p w14:paraId="6E1F7B9A" w14:textId="114E10DF" w:rsidR="00F47DA8" w:rsidRPr="0064130A" w:rsidRDefault="009645E4" w:rsidP="00FA0300">
      <w:pPr>
        <w:spacing w:line="360" w:lineRule="auto"/>
        <w:jc w:val="both"/>
        <w:rPr>
          <w:rFonts w:cs="Arial"/>
        </w:rPr>
      </w:pPr>
      <w:r w:rsidRPr="0064130A">
        <w:rPr>
          <w:rFonts w:cs="Arial"/>
        </w:rPr>
        <w:t>The database have been divided into five macro areas: the Italy, the Europe</w:t>
      </w:r>
      <w:r w:rsidR="00BA3256" w:rsidRPr="0064130A">
        <w:rPr>
          <w:rFonts w:cs="Arial"/>
        </w:rPr>
        <w:t xml:space="preserve">, the </w:t>
      </w:r>
      <w:proofErr w:type="spellStart"/>
      <w:r w:rsidR="00BA3256" w:rsidRPr="0064130A">
        <w:rPr>
          <w:rFonts w:cs="Arial"/>
        </w:rPr>
        <w:t>Usa</w:t>
      </w:r>
      <w:proofErr w:type="spellEnd"/>
      <w:r w:rsidRPr="0064130A">
        <w:rPr>
          <w:rFonts w:cs="Arial"/>
        </w:rPr>
        <w:t>, the Asia and the Pacific Area and finally the area called “Other relevant markets” composed by indexes not included in the previous group</w:t>
      </w:r>
      <w:r w:rsidR="00EA59E7" w:rsidRPr="0064130A">
        <w:rPr>
          <w:rFonts w:cs="Arial"/>
        </w:rPr>
        <w:t>s</w:t>
      </w:r>
      <w:r w:rsidRPr="0064130A">
        <w:rPr>
          <w:rFonts w:cs="Arial"/>
        </w:rPr>
        <w:t xml:space="preserve"> but still relevant.</w:t>
      </w:r>
    </w:p>
    <w:p w14:paraId="48B57CB1" w14:textId="45054046" w:rsidR="00F47DA8" w:rsidRPr="0064130A" w:rsidRDefault="00C713CB" w:rsidP="00FA0300">
      <w:pPr>
        <w:spacing w:line="360" w:lineRule="auto"/>
        <w:jc w:val="both"/>
        <w:rPr>
          <w:rFonts w:cs="Arial"/>
        </w:rPr>
      </w:pPr>
      <w:r>
        <w:rPr>
          <w:rFonts w:cs="Arial"/>
        </w:rPr>
        <w:t xml:space="preserve">For meeting the requirement of the </w:t>
      </w:r>
      <w:proofErr w:type="spellStart"/>
      <w:r>
        <w:rPr>
          <w:rFonts w:cs="Arial"/>
        </w:rPr>
        <w:t>Benford</w:t>
      </w:r>
      <w:proofErr w:type="spellEnd"/>
      <w:r>
        <w:rPr>
          <w:rFonts w:cs="Arial"/>
        </w:rPr>
        <w:t xml:space="preserve"> Law –which represents the object of our analysis-</w:t>
      </w:r>
      <w:r w:rsidR="00EA59E7" w:rsidRPr="0064130A">
        <w:rPr>
          <w:rFonts w:cs="Arial"/>
        </w:rPr>
        <w:t xml:space="preserve"> we have restricted the analysis to</w:t>
      </w:r>
      <w:r w:rsidR="005719E7" w:rsidRPr="0064130A">
        <w:rPr>
          <w:rFonts w:cs="Arial"/>
        </w:rPr>
        <w:t xml:space="preserve"> </w:t>
      </w:r>
      <w:r w:rsidR="00F47DA8" w:rsidRPr="0064130A">
        <w:rPr>
          <w:rFonts w:cs="Arial"/>
        </w:rPr>
        <w:t xml:space="preserve">the </w:t>
      </w:r>
      <w:r w:rsidR="00EA59E7" w:rsidRPr="0064130A">
        <w:rPr>
          <w:rFonts w:cs="Arial"/>
        </w:rPr>
        <w:t xml:space="preserve">individual </w:t>
      </w:r>
      <w:r w:rsidR="00F47DA8" w:rsidRPr="0064130A">
        <w:rPr>
          <w:rFonts w:cs="Arial"/>
        </w:rPr>
        <w:t xml:space="preserve">indexes with more than 100 components. </w:t>
      </w:r>
      <w:r w:rsidR="00EA59E7" w:rsidRPr="0064130A">
        <w:rPr>
          <w:rFonts w:cs="Arial"/>
        </w:rPr>
        <w:t xml:space="preserve">A further assessment of the validity of the </w:t>
      </w:r>
      <w:r w:rsidR="00487769" w:rsidRPr="0064130A">
        <w:rPr>
          <w:rFonts w:cs="Arial"/>
        </w:rPr>
        <w:t>BL</w:t>
      </w:r>
      <w:r w:rsidR="00EA59E7" w:rsidRPr="0064130A">
        <w:rPr>
          <w:rFonts w:cs="Arial"/>
        </w:rPr>
        <w:t xml:space="preserve"> has been implemented also on the overall sample collecting</w:t>
      </w:r>
      <w:r w:rsidR="00F47DA8" w:rsidRPr="0064130A">
        <w:rPr>
          <w:rFonts w:cs="Arial"/>
        </w:rPr>
        <w:t xml:space="preserve"> all the indexes</w:t>
      </w:r>
      <w:r w:rsidR="00EA59E7" w:rsidRPr="0064130A">
        <w:rPr>
          <w:rFonts w:cs="Arial"/>
        </w:rPr>
        <w:t xml:space="preserve">, in order to </w:t>
      </w:r>
      <w:r w:rsidR="00F47DA8" w:rsidRPr="0064130A">
        <w:rPr>
          <w:rFonts w:cs="Arial"/>
        </w:rPr>
        <w:t>give an interpretation of the global equity markets.</w:t>
      </w:r>
      <w:r w:rsidR="000968FF" w:rsidRPr="0064130A">
        <w:rPr>
          <w:rFonts w:cs="Arial"/>
        </w:rPr>
        <w:t xml:space="preserve"> </w:t>
      </w:r>
      <w:r w:rsidR="00950D11" w:rsidRPr="0064130A">
        <w:rPr>
          <w:rFonts w:cs="Arial"/>
        </w:rPr>
        <w:t>Data of a</w:t>
      </w:r>
      <w:r w:rsidR="000968FF" w:rsidRPr="0064130A">
        <w:rPr>
          <w:rFonts w:cs="Arial"/>
        </w:rPr>
        <w:t xml:space="preserve"> few components</w:t>
      </w:r>
      <w:r w:rsidR="00950D11" w:rsidRPr="0064130A">
        <w:rPr>
          <w:rFonts w:cs="Arial"/>
        </w:rPr>
        <w:t xml:space="preserve"> are not available, and they are not included in the analysis.</w:t>
      </w:r>
      <w:r w:rsidR="000968FF" w:rsidRPr="0064130A">
        <w:rPr>
          <w:rFonts w:cs="Arial"/>
        </w:rPr>
        <w:t xml:space="preserve"> </w:t>
      </w:r>
      <w:r w:rsidR="005719E7" w:rsidRPr="0064130A">
        <w:rPr>
          <w:rFonts w:cs="Arial"/>
        </w:rPr>
        <w:t xml:space="preserve"> </w:t>
      </w:r>
    </w:p>
    <w:p w14:paraId="31CB8512" w14:textId="4096B18B" w:rsidR="00F47DA8" w:rsidRDefault="005719E7" w:rsidP="00FA0300">
      <w:pPr>
        <w:spacing w:line="360" w:lineRule="auto"/>
        <w:jc w:val="both"/>
        <w:rPr>
          <w:rFonts w:cs="Arial"/>
        </w:rPr>
      </w:pPr>
      <w:r w:rsidRPr="0064130A">
        <w:rPr>
          <w:rFonts w:cs="Arial"/>
        </w:rPr>
        <w:t>The macro areas with relative stocks available have been grouped as follows: Italy</w:t>
      </w:r>
      <w:r w:rsidR="00F47DA8" w:rsidRPr="0064130A">
        <w:rPr>
          <w:rFonts w:cs="Arial"/>
          <w:b/>
        </w:rPr>
        <w:t xml:space="preserve"> </w:t>
      </w:r>
      <w:r w:rsidRPr="0064130A">
        <w:rPr>
          <w:rFonts w:cs="Arial"/>
        </w:rPr>
        <w:t>(476 stocks available), Europe (451 stocks available</w:t>
      </w:r>
      <w:r w:rsidR="00254B05" w:rsidRPr="0064130A">
        <w:rPr>
          <w:rFonts w:cs="Arial"/>
        </w:rPr>
        <w:t>)</w:t>
      </w:r>
      <w:r w:rsidRPr="0064130A">
        <w:rPr>
          <w:rFonts w:cs="Arial"/>
        </w:rPr>
        <w:t xml:space="preserve">, </w:t>
      </w:r>
      <w:proofErr w:type="spellStart"/>
      <w:r w:rsidR="00BA3256" w:rsidRPr="0064130A">
        <w:rPr>
          <w:rFonts w:cs="Arial"/>
        </w:rPr>
        <w:t>Usa</w:t>
      </w:r>
      <w:proofErr w:type="spellEnd"/>
      <w:r w:rsidR="00254B05" w:rsidRPr="0064130A">
        <w:rPr>
          <w:rFonts w:cs="Arial"/>
        </w:rPr>
        <w:t xml:space="preserve"> (2759 stocks available); Asia and Pacific area (364 stocks available)</w:t>
      </w:r>
      <w:r w:rsidR="00FA0300" w:rsidRPr="0064130A">
        <w:rPr>
          <w:rFonts w:cs="Arial"/>
        </w:rPr>
        <w:t>, other relevant markets (116 stocks available).</w:t>
      </w:r>
    </w:p>
    <w:p w14:paraId="1653ACBB" w14:textId="72BBE125" w:rsidR="002D3312" w:rsidRPr="0064130A" w:rsidRDefault="002D3312" w:rsidP="00FA0300">
      <w:pPr>
        <w:spacing w:line="360" w:lineRule="auto"/>
        <w:jc w:val="both"/>
        <w:rPr>
          <w:rFonts w:cs="Arial"/>
        </w:rPr>
      </w:pPr>
      <w:r>
        <w:rPr>
          <w:rFonts w:cs="Arial"/>
        </w:rPr>
        <w:t xml:space="preserve">We now enter the details on the considered dataset. </w:t>
      </w:r>
    </w:p>
    <w:p w14:paraId="3ABE756B" w14:textId="4C9C2529" w:rsidR="00F47DA8" w:rsidRPr="0064130A" w:rsidRDefault="005719E7" w:rsidP="00FA0300">
      <w:pPr>
        <w:spacing w:line="360" w:lineRule="auto"/>
        <w:jc w:val="both"/>
        <w:rPr>
          <w:rFonts w:cs="Arial"/>
        </w:rPr>
      </w:pPr>
      <w:r w:rsidRPr="0064130A">
        <w:rPr>
          <w:rFonts w:cs="Arial"/>
        </w:rPr>
        <w:t>For Italy</w:t>
      </w:r>
      <w:r w:rsidR="002D3312">
        <w:rPr>
          <w:rFonts w:cs="Arial"/>
        </w:rPr>
        <w:t>, we have a number of relative indices. Specifically, we have</w:t>
      </w:r>
      <w:r w:rsidRPr="0064130A">
        <w:rPr>
          <w:rFonts w:cs="Arial"/>
        </w:rPr>
        <w:t xml:space="preserve"> </w:t>
      </w:r>
      <w:r w:rsidR="00F47DA8" w:rsidRPr="0064130A">
        <w:rPr>
          <w:rFonts w:cs="Helvetica"/>
        </w:rPr>
        <w:t>FTSE ITALIA MICRO CAP (3 components);</w:t>
      </w:r>
      <w:r w:rsidRPr="0064130A">
        <w:rPr>
          <w:rFonts w:cs="Arial"/>
        </w:rPr>
        <w:t xml:space="preserve"> </w:t>
      </w:r>
      <w:r w:rsidR="00F47DA8" w:rsidRPr="0064130A">
        <w:rPr>
          <w:rFonts w:cs="Helvetica"/>
        </w:rPr>
        <w:t>FTSE ITALIA SMALL CAP (126 components);</w:t>
      </w:r>
      <w:r w:rsidRPr="0064130A">
        <w:rPr>
          <w:rFonts w:cs="Arial"/>
        </w:rPr>
        <w:t xml:space="preserve"> </w:t>
      </w:r>
      <w:r w:rsidR="00F47DA8" w:rsidRPr="0064130A">
        <w:rPr>
          <w:rFonts w:cs="Helvetica"/>
        </w:rPr>
        <w:t>FTSE ITALIA MID CAP (60 components including 2 not available);</w:t>
      </w:r>
      <w:r w:rsidRPr="0064130A">
        <w:rPr>
          <w:rFonts w:cs="Arial"/>
        </w:rPr>
        <w:t xml:space="preserve"> </w:t>
      </w:r>
      <w:r w:rsidR="00F47DA8" w:rsidRPr="0064130A">
        <w:rPr>
          <w:rFonts w:cs="Helvetica"/>
        </w:rPr>
        <w:t>FTSE ITALIA STAR (69 components);</w:t>
      </w:r>
      <w:r w:rsidRPr="0064130A">
        <w:rPr>
          <w:rFonts w:cs="Arial"/>
        </w:rPr>
        <w:t xml:space="preserve"> </w:t>
      </w:r>
      <w:r w:rsidR="00F47DA8" w:rsidRPr="0064130A">
        <w:rPr>
          <w:rFonts w:cs="Helvetica"/>
        </w:rPr>
        <w:t>FTSE MIB (40 components including 1 not available</w:t>
      </w:r>
      <w:r w:rsidRPr="0064130A">
        <w:rPr>
          <w:rFonts w:cs="Helvetica"/>
        </w:rPr>
        <w:t xml:space="preserve">); </w:t>
      </w:r>
      <w:r w:rsidR="00F47DA8" w:rsidRPr="0064130A">
        <w:rPr>
          <w:rFonts w:cs="Helvetica"/>
        </w:rPr>
        <w:t>FTSE ITALIA ALL SHARE (183 components including 2 not available).</w:t>
      </w:r>
    </w:p>
    <w:p w14:paraId="105AA69D" w14:textId="4052BC67" w:rsidR="00FA0300" w:rsidRDefault="005719E7" w:rsidP="00FA0300">
      <w:pPr>
        <w:widowControl w:val="0"/>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rPr>
      </w:pPr>
      <w:r w:rsidRPr="0064130A">
        <w:rPr>
          <w:rFonts w:cs="Helvetica"/>
        </w:rPr>
        <w:lastRenderedPageBreak/>
        <w:t>For Europe</w:t>
      </w:r>
      <w:r w:rsidR="002D3312">
        <w:rPr>
          <w:rFonts w:cs="Helvetica"/>
        </w:rPr>
        <w:t>, the considered indices</w:t>
      </w:r>
      <w:r w:rsidRPr="0064130A">
        <w:rPr>
          <w:rFonts w:cs="Helvetica"/>
        </w:rPr>
        <w:t xml:space="preserve"> are </w:t>
      </w:r>
      <w:r w:rsidR="00EF6D2E" w:rsidRPr="0064130A">
        <w:rPr>
          <w:rFonts w:cs="Helvetica"/>
        </w:rPr>
        <w:t>BEL-20 (20 components, but only 3 available);</w:t>
      </w:r>
      <w:r w:rsidR="004A4D72">
        <w:rPr>
          <w:rFonts w:cs="Helvetica"/>
        </w:rPr>
        <w:t xml:space="preserve"> </w:t>
      </w:r>
      <w:r w:rsidR="00EF6D2E" w:rsidRPr="0064130A">
        <w:rPr>
          <w:rFonts w:cs="Helvetica"/>
        </w:rPr>
        <w:t>OMX COPENHAGEN (2 components); CAC 4O (40 components including 1 not available); DAX (30 components); OSE ALL SHARE (163 components including 6 not available</w:t>
      </w:r>
      <w:r w:rsidR="002D3312">
        <w:rPr>
          <w:rFonts w:cs="Helvetica"/>
        </w:rPr>
        <w:t>)</w:t>
      </w:r>
      <w:r w:rsidR="004A4D72">
        <w:rPr>
          <w:rFonts w:cs="Helvetica"/>
        </w:rPr>
        <w:t>;</w:t>
      </w:r>
      <w:r w:rsidR="00254B05" w:rsidRPr="0064130A">
        <w:rPr>
          <w:rFonts w:cs="Helvetica"/>
        </w:rPr>
        <w:t xml:space="preserve"> </w:t>
      </w:r>
      <w:r w:rsidR="00F47DA8" w:rsidRPr="0064130A">
        <w:rPr>
          <w:rFonts w:cs="Helvetica"/>
        </w:rPr>
        <w:t>STOCKHOLM GENERAL (23 components including 1 not available);</w:t>
      </w:r>
      <w:r w:rsidR="00254B05" w:rsidRPr="0064130A">
        <w:rPr>
          <w:rFonts w:cs="Helvetica"/>
        </w:rPr>
        <w:t xml:space="preserve"> </w:t>
      </w:r>
      <w:r w:rsidR="00F47DA8" w:rsidRPr="0064130A">
        <w:rPr>
          <w:rFonts w:cs="Helvetica"/>
        </w:rPr>
        <w:t>SWISS MARKET (20 components including 6 not available);</w:t>
      </w:r>
      <w:r w:rsidR="00254B05" w:rsidRPr="0064130A">
        <w:rPr>
          <w:rFonts w:cs="Helvetica"/>
        </w:rPr>
        <w:t xml:space="preserve"> </w:t>
      </w:r>
      <w:r w:rsidR="00F47DA8" w:rsidRPr="0064130A">
        <w:rPr>
          <w:rFonts w:cs="Helvetica"/>
        </w:rPr>
        <w:t>FTSE 100 (94 components including 1 not available);</w:t>
      </w:r>
      <w:r w:rsidR="00254B05" w:rsidRPr="0064130A">
        <w:rPr>
          <w:rFonts w:cs="Helvetica"/>
        </w:rPr>
        <w:t xml:space="preserve"> </w:t>
      </w:r>
      <w:r w:rsidR="00F47DA8" w:rsidRPr="0064130A">
        <w:rPr>
          <w:rFonts w:cs="Helvetica"/>
        </w:rPr>
        <w:t xml:space="preserve">EUROSTOXX 50 (49 </w:t>
      </w:r>
      <w:r w:rsidR="00FA0300" w:rsidRPr="0064130A">
        <w:rPr>
          <w:rFonts w:cs="Helvetica"/>
        </w:rPr>
        <w:t xml:space="preserve">components including 6 not available); </w:t>
      </w:r>
      <w:r w:rsidR="004A4D72">
        <w:rPr>
          <w:rFonts w:cs="Helvetica"/>
        </w:rPr>
        <w:t>TECDAX (30 components).</w:t>
      </w:r>
      <w:r w:rsidR="00FA0300" w:rsidRPr="0064130A">
        <w:rPr>
          <w:rFonts w:cs="Helvetica"/>
        </w:rPr>
        <w:t xml:space="preserve"> </w:t>
      </w:r>
      <w:r w:rsidR="004A4D72" w:rsidRPr="0064130A">
        <w:rPr>
          <w:rFonts w:cs="Helvetica"/>
        </w:rPr>
        <w:t xml:space="preserve">For </w:t>
      </w:r>
      <w:r w:rsidR="004A4D72">
        <w:rPr>
          <w:rFonts w:cs="Helvetica"/>
        </w:rPr>
        <w:t>what concerns the OSE ALL SHARE, an</w:t>
      </w:r>
      <w:r w:rsidR="004A4D72" w:rsidRPr="0064130A">
        <w:rPr>
          <w:rFonts w:cs="Helvetica"/>
        </w:rPr>
        <w:t xml:space="preserve"> additional explanation</w:t>
      </w:r>
      <w:r w:rsidR="004A4D72">
        <w:rPr>
          <w:rFonts w:cs="Helvetica"/>
        </w:rPr>
        <w:t xml:space="preserve"> is needed</w:t>
      </w:r>
      <w:r w:rsidR="004A4D72" w:rsidRPr="0064130A">
        <w:rPr>
          <w:rFonts w:cs="Helvetica"/>
        </w:rPr>
        <w:t xml:space="preserve">. </w:t>
      </w:r>
      <w:r w:rsidR="004A4D72">
        <w:rPr>
          <w:rFonts w:cs="Helvetica"/>
        </w:rPr>
        <w:t>Indeed, t</w:t>
      </w:r>
      <w:r w:rsidR="004A4D72" w:rsidRPr="0064130A">
        <w:rPr>
          <w:rFonts w:cs="Helvetica"/>
        </w:rPr>
        <w:t xml:space="preserve">here are two </w:t>
      </w:r>
      <w:r w:rsidR="004A4D72">
        <w:rPr>
          <w:rFonts w:cs="Helvetica"/>
        </w:rPr>
        <w:t>components of such an index</w:t>
      </w:r>
      <w:r w:rsidR="004A4D72" w:rsidRPr="0064130A">
        <w:rPr>
          <w:rFonts w:cs="Helvetica"/>
        </w:rPr>
        <w:t xml:space="preserve"> which have never been traded, so their average volume is zero. </w:t>
      </w:r>
      <w:r w:rsidR="004A4D72">
        <w:rPr>
          <w:rFonts w:cs="Helvetica"/>
        </w:rPr>
        <w:t xml:space="preserve">Such stocks are then removed in the analysis of the </w:t>
      </w:r>
      <w:r w:rsidR="004A4D72" w:rsidRPr="0064130A">
        <w:rPr>
          <w:rFonts w:cs="Helvetica"/>
        </w:rPr>
        <w:t>first significant digit of the volume</w:t>
      </w:r>
      <w:r w:rsidR="004A4D72">
        <w:rPr>
          <w:rFonts w:cs="Helvetica"/>
        </w:rPr>
        <w:t>, where the total amount of considered stocks is then 155 instead of</w:t>
      </w:r>
      <w:r w:rsidR="004A4D72" w:rsidRPr="0064130A">
        <w:rPr>
          <w:rFonts w:cs="Helvetica"/>
        </w:rPr>
        <w:t xml:space="preserve"> 157</w:t>
      </w:r>
      <w:r w:rsidR="004A4D72">
        <w:rPr>
          <w:rFonts w:cs="Helvetica"/>
        </w:rPr>
        <w:t>.</w:t>
      </w:r>
    </w:p>
    <w:p w14:paraId="26710B2F" w14:textId="0E72B3C5" w:rsidR="00FA0300" w:rsidRPr="0064130A" w:rsidRDefault="00BA3256" w:rsidP="00FA0300">
      <w:pPr>
        <w:widowControl w:val="0"/>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rPr>
      </w:pPr>
      <w:r w:rsidRPr="0064130A">
        <w:rPr>
          <w:rFonts w:cs="Helvetica"/>
        </w:rPr>
        <w:t xml:space="preserve">For </w:t>
      </w:r>
      <w:proofErr w:type="spellStart"/>
      <w:r w:rsidRPr="0064130A">
        <w:rPr>
          <w:rFonts w:cs="Helvetica"/>
        </w:rPr>
        <w:t>Usa</w:t>
      </w:r>
      <w:proofErr w:type="spellEnd"/>
      <w:r w:rsidR="002D3312">
        <w:rPr>
          <w:rFonts w:cs="Helvetica"/>
        </w:rPr>
        <w:t>,</w:t>
      </w:r>
      <w:r w:rsidR="00FA0300" w:rsidRPr="0064130A">
        <w:rPr>
          <w:rFonts w:cs="Helvetica"/>
        </w:rPr>
        <w:t xml:space="preserve"> the</w:t>
      </w:r>
      <w:r w:rsidR="002D3312">
        <w:rPr>
          <w:rFonts w:cs="Helvetica"/>
        </w:rPr>
        <w:t xml:space="preserve"> considered</w:t>
      </w:r>
      <w:r w:rsidR="00FA0300" w:rsidRPr="0064130A">
        <w:rPr>
          <w:rFonts w:cs="Helvetica"/>
        </w:rPr>
        <w:t xml:space="preserve"> indexes are DOW JONES COMPOSITE AVARAGE (65 components); DOW JONES INDUSTRIAL AVARAGE (30 components); DOW JONES TRANSPORT</w:t>
      </w:r>
      <w:r w:rsidR="004A4D72">
        <w:rPr>
          <w:rFonts w:cs="Helvetica"/>
        </w:rPr>
        <w:t xml:space="preserve">ATION AVARAGE (20 components); </w:t>
      </w:r>
      <w:r w:rsidR="00FA0300" w:rsidRPr="0064130A">
        <w:rPr>
          <w:rFonts w:cs="Helvetica"/>
        </w:rPr>
        <w:t xml:space="preserve">DOW JONES UTILITY AVARAGE (15 components); NASDAQ COMPOSITE (2558 components including 36 not available); NASDAQ 100 (107 components). </w:t>
      </w:r>
    </w:p>
    <w:p w14:paraId="456CD1F7" w14:textId="211410D8" w:rsidR="00FA0300" w:rsidRPr="0064130A" w:rsidRDefault="00FA0300" w:rsidP="00FA0300">
      <w:pPr>
        <w:widowControl w:val="0"/>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rPr>
      </w:pPr>
      <w:r w:rsidRPr="0064130A">
        <w:rPr>
          <w:rFonts w:cs="Helvetica"/>
        </w:rPr>
        <w:t xml:space="preserve">For Asia and Pacific area </w:t>
      </w:r>
      <w:r w:rsidR="002D3312">
        <w:rPr>
          <w:rFonts w:cs="Helvetica"/>
        </w:rPr>
        <w:t>we have the following indices:</w:t>
      </w:r>
      <w:r w:rsidR="004A4D72">
        <w:rPr>
          <w:rFonts w:cs="Helvetica"/>
        </w:rPr>
        <w:t xml:space="preserve"> </w:t>
      </w:r>
      <w:r w:rsidRPr="0064130A">
        <w:rPr>
          <w:rFonts w:cs="Helvetica"/>
        </w:rPr>
        <w:t xml:space="preserve">JAKARTA COMPOSITE (299 components including 63 not </w:t>
      </w:r>
      <w:r w:rsidR="00F47DA8" w:rsidRPr="0064130A">
        <w:rPr>
          <w:rFonts w:cs="Helvetica"/>
        </w:rPr>
        <w:t>available);</w:t>
      </w:r>
      <w:r w:rsidRPr="0064130A">
        <w:rPr>
          <w:rFonts w:cs="Helvetica"/>
        </w:rPr>
        <w:t xml:space="preserve"> </w:t>
      </w:r>
      <w:r w:rsidR="00F47DA8" w:rsidRPr="0064130A">
        <w:rPr>
          <w:rFonts w:cs="Helvetica"/>
        </w:rPr>
        <w:t>NXZ 50 GROSS INDEX (50 components including 1 not available);</w:t>
      </w:r>
      <w:r w:rsidRPr="0064130A">
        <w:rPr>
          <w:rFonts w:cs="Helvetica"/>
        </w:rPr>
        <w:t xml:space="preserve"> </w:t>
      </w:r>
      <w:r w:rsidR="00F47DA8" w:rsidRPr="0064130A">
        <w:rPr>
          <w:rFonts w:cs="Helvetica"/>
        </w:rPr>
        <w:t>STRAITS TIMES INDEX (30 components including 1 not available);</w:t>
      </w:r>
      <w:r w:rsidRPr="0064130A">
        <w:rPr>
          <w:rFonts w:cs="Helvetica"/>
        </w:rPr>
        <w:t xml:space="preserve"> </w:t>
      </w:r>
      <w:r w:rsidR="00F47DA8" w:rsidRPr="0064130A">
        <w:rPr>
          <w:rFonts w:cs="Helvetica"/>
        </w:rPr>
        <w:t>HANG SENG INDEX (50 components).</w:t>
      </w:r>
      <w:r w:rsidRPr="0064130A">
        <w:rPr>
          <w:rFonts w:cs="Helvetica"/>
        </w:rPr>
        <w:t xml:space="preserve"> </w:t>
      </w:r>
    </w:p>
    <w:p w14:paraId="4758DBD7" w14:textId="386FE396" w:rsidR="00F47DA8" w:rsidRPr="0064130A" w:rsidRDefault="002D3312" w:rsidP="00FA0300">
      <w:pPr>
        <w:widowControl w:val="0"/>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rPr>
      </w:pPr>
      <w:r>
        <w:rPr>
          <w:rFonts w:cs="Helvetica"/>
        </w:rPr>
        <w:t>Lastly, we have also included in the analysis an</w:t>
      </w:r>
      <w:r w:rsidR="00FA0300" w:rsidRPr="0064130A">
        <w:rPr>
          <w:rFonts w:cs="Helvetica"/>
        </w:rPr>
        <w:t xml:space="preserve"> area called “other relevant markets”</w:t>
      </w:r>
      <w:r>
        <w:rPr>
          <w:rFonts w:cs="Helvetica"/>
        </w:rPr>
        <w:t>, on the basis of the association of the indices to countries not belonging to the classes defined above.  In particular, we have</w:t>
      </w:r>
      <w:r w:rsidR="00FA0300" w:rsidRPr="0064130A">
        <w:rPr>
          <w:rFonts w:cs="Helvetica"/>
        </w:rPr>
        <w:t xml:space="preserve"> </w:t>
      </w:r>
      <w:r w:rsidR="00F47DA8" w:rsidRPr="0064130A">
        <w:rPr>
          <w:rFonts w:cs="Helvetica"/>
        </w:rPr>
        <w:t>MERVAL BUENOSAIRES (13 components);</w:t>
      </w:r>
      <w:r w:rsidR="00FA0300" w:rsidRPr="0064130A">
        <w:rPr>
          <w:rFonts w:cs="Helvetica"/>
        </w:rPr>
        <w:t xml:space="preserve"> </w:t>
      </w:r>
      <w:r w:rsidR="00F47DA8" w:rsidRPr="0064130A">
        <w:rPr>
          <w:rFonts w:cs="Helvetica"/>
        </w:rPr>
        <w:t>BOVESPA (70 components including 1 not available);</w:t>
      </w:r>
      <w:r w:rsidR="00FA0300" w:rsidRPr="0064130A">
        <w:rPr>
          <w:rFonts w:cs="Helvetica"/>
        </w:rPr>
        <w:t xml:space="preserve"> </w:t>
      </w:r>
      <w:r w:rsidR="00F47DA8" w:rsidRPr="0064130A">
        <w:rPr>
          <w:rFonts w:cs="Helvetica"/>
        </w:rPr>
        <w:t>IPC (35 components including 1 not available).</w:t>
      </w:r>
    </w:p>
    <w:p w14:paraId="1D7E3C6B" w14:textId="0E3A26FA" w:rsidR="00FA0300" w:rsidRPr="0064130A" w:rsidRDefault="00FA0300" w:rsidP="00FA0300">
      <w:pPr>
        <w:widowControl w:val="0"/>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rPr>
      </w:pPr>
      <w:r w:rsidRPr="0064130A">
        <w:rPr>
          <w:rFonts w:cs="Helvetica"/>
        </w:rPr>
        <w:t>Overall, the</w:t>
      </w:r>
      <w:r w:rsidR="00950D11" w:rsidRPr="0064130A">
        <w:rPr>
          <w:rFonts w:cs="Helvetica"/>
        </w:rPr>
        <w:t xml:space="preserve"> studied</w:t>
      </w:r>
      <w:r w:rsidR="005B3AB5">
        <w:rPr>
          <w:rFonts w:cs="Helvetica"/>
        </w:rPr>
        <w:t xml:space="preserve"> stocks are 4166, so that the considered time series (prices and volumes) are 8332.</w:t>
      </w:r>
    </w:p>
    <w:p w14:paraId="52D0BCA3" w14:textId="77777777" w:rsidR="00234275" w:rsidRPr="0064130A" w:rsidRDefault="00234275" w:rsidP="00FA0300">
      <w:pPr>
        <w:spacing w:line="360" w:lineRule="auto"/>
        <w:jc w:val="both"/>
        <w:rPr>
          <w:rFonts w:cs="Arial"/>
        </w:rPr>
      </w:pPr>
    </w:p>
    <w:p w14:paraId="5A67DB1D" w14:textId="088EF655" w:rsidR="00234275" w:rsidRPr="0064130A" w:rsidRDefault="00234275" w:rsidP="0023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cs="Helvetica"/>
          <w:b/>
        </w:rPr>
      </w:pPr>
      <w:r w:rsidRPr="0064130A">
        <w:rPr>
          <w:rFonts w:cs="Helvetica"/>
          <w:b/>
        </w:rPr>
        <w:t>3.2 Methodology</w:t>
      </w:r>
    </w:p>
    <w:p w14:paraId="7137597C" w14:textId="19926B53" w:rsidR="00A26CCE" w:rsidRPr="0064130A" w:rsidRDefault="003F68B6" w:rsidP="00FA0300">
      <w:pPr>
        <w:spacing w:line="360" w:lineRule="auto"/>
        <w:jc w:val="both"/>
        <w:rPr>
          <w:rFonts w:cs="Arial"/>
        </w:rPr>
      </w:pPr>
      <w:r w:rsidRPr="0064130A">
        <w:rPr>
          <w:rFonts w:cs="Arial"/>
        </w:rPr>
        <w:t>The analysis of all the components of each</w:t>
      </w:r>
      <w:r w:rsidR="00A26CCE" w:rsidRPr="0064130A">
        <w:rPr>
          <w:rFonts w:cs="Arial"/>
        </w:rPr>
        <w:t xml:space="preserve"> index </w:t>
      </w:r>
      <w:r w:rsidRPr="0064130A">
        <w:rPr>
          <w:rFonts w:cs="Arial"/>
        </w:rPr>
        <w:t>has been</w:t>
      </w:r>
      <w:r w:rsidR="00A26CCE" w:rsidRPr="0064130A">
        <w:rPr>
          <w:rFonts w:cs="Arial"/>
        </w:rPr>
        <w:t xml:space="preserve"> made</w:t>
      </w:r>
      <w:r w:rsidR="004450D2">
        <w:rPr>
          <w:rFonts w:cs="Arial"/>
        </w:rPr>
        <w:t>. The possible not compliance with BL has been contextualized in the socio-economic environment,</w:t>
      </w:r>
      <w:r w:rsidR="00A26CCE" w:rsidRPr="0064130A">
        <w:rPr>
          <w:rFonts w:cs="Arial"/>
        </w:rPr>
        <w:t xml:space="preserve"> to </w:t>
      </w:r>
      <w:r w:rsidR="00890A25" w:rsidRPr="0064130A">
        <w:rPr>
          <w:rFonts w:cs="Arial"/>
        </w:rPr>
        <w:t>gain insights on</w:t>
      </w:r>
      <w:r w:rsidR="004450D2">
        <w:rPr>
          <w:rFonts w:cs="Arial"/>
        </w:rPr>
        <w:t xml:space="preserve"> the roots of violation on the basis of</w:t>
      </w:r>
      <w:r w:rsidR="00890A25" w:rsidRPr="0064130A">
        <w:rPr>
          <w:rFonts w:cs="Arial"/>
        </w:rPr>
        <w:t xml:space="preserve"> </w:t>
      </w:r>
      <w:r w:rsidR="00A26CCE" w:rsidRPr="0064130A">
        <w:rPr>
          <w:rFonts w:cs="Arial"/>
        </w:rPr>
        <w:t xml:space="preserve">the </w:t>
      </w:r>
      <w:r w:rsidR="00890A25" w:rsidRPr="0064130A">
        <w:rPr>
          <w:rFonts w:cs="Arial"/>
        </w:rPr>
        <w:t>main events occurred in the considered period.</w:t>
      </w:r>
    </w:p>
    <w:p w14:paraId="6A6A0B77" w14:textId="212C1477" w:rsidR="00A26CCE" w:rsidRPr="0064130A" w:rsidRDefault="00890A25" w:rsidP="00FA0300">
      <w:pPr>
        <w:spacing w:line="360" w:lineRule="auto"/>
        <w:contextualSpacing/>
        <w:jc w:val="both"/>
        <w:rPr>
          <w:rFonts w:cs="Helvetica"/>
        </w:rPr>
      </w:pPr>
      <w:r w:rsidRPr="0064130A">
        <w:rPr>
          <w:rFonts w:cs="Helvetica"/>
        </w:rPr>
        <w:t>First of all, we have computed</w:t>
      </w:r>
      <w:r w:rsidR="00234275" w:rsidRPr="0064130A">
        <w:rPr>
          <w:rFonts w:cs="Helvetica"/>
        </w:rPr>
        <w:t xml:space="preserve"> the mean values</w:t>
      </w:r>
      <w:r w:rsidRPr="0064130A">
        <w:rPr>
          <w:rFonts w:cs="Helvetica"/>
        </w:rPr>
        <w:t xml:space="preserve"> over time</w:t>
      </w:r>
      <w:r w:rsidR="00234275" w:rsidRPr="0064130A">
        <w:rPr>
          <w:rFonts w:cs="Helvetica"/>
        </w:rPr>
        <w:t xml:space="preserve"> of prices and volumes</w:t>
      </w:r>
      <w:r w:rsidRPr="0064130A">
        <w:rPr>
          <w:rFonts w:cs="Helvetica"/>
        </w:rPr>
        <w:t xml:space="preserve"> for all the stocks</w:t>
      </w:r>
      <w:r w:rsidR="00A26CCE" w:rsidRPr="0064130A">
        <w:rPr>
          <w:rFonts w:cs="Helvetica"/>
        </w:rPr>
        <w:t>.</w:t>
      </w:r>
      <w:r w:rsidRPr="0064130A">
        <w:rPr>
          <w:rFonts w:cs="Helvetica"/>
        </w:rPr>
        <w:t xml:space="preserve"> </w:t>
      </w:r>
      <w:r w:rsidR="00487769" w:rsidRPr="0064130A">
        <w:rPr>
          <w:rFonts w:cs="Helvetica"/>
        </w:rPr>
        <w:t>BL</w:t>
      </w:r>
      <w:r w:rsidRPr="0064130A">
        <w:rPr>
          <w:rFonts w:cs="Helvetica"/>
        </w:rPr>
        <w:t xml:space="preserve"> </w:t>
      </w:r>
      <w:r w:rsidR="00A26CCE" w:rsidRPr="0064130A">
        <w:rPr>
          <w:rFonts w:cs="Helvetica"/>
        </w:rPr>
        <w:t xml:space="preserve">has been </w:t>
      </w:r>
      <w:r w:rsidRPr="0064130A">
        <w:rPr>
          <w:rFonts w:cs="Helvetica"/>
        </w:rPr>
        <w:t>verified</w:t>
      </w:r>
      <w:r w:rsidR="00A26CCE" w:rsidRPr="0064130A">
        <w:rPr>
          <w:rFonts w:cs="Helvetica"/>
        </w:rPr>
        <w:t xml:space="preserve"> both on the distribution of the first </w:t>
      </w:r>
      <w:r w:rsidR="009F1E96" w:rsidRPr="0064130A">
        <w:rPr>
          <w:rFonts w:cs="Helvetica"/>
        </w:rPr>
        <w:t xml:space="preserve">and </w:t>
      </w:r>
      <w:r w:rsidR="00A26CCE" w:rsidRPr="0064130A">
        <w:rPr>
          <w:rFonts w:cs="Helvetica"/>
        </w:rPr>
        <w:t xml:space="preserve">of the second </w:t>
      </w:r>
      <w:r w:rsidR="006E575D" w:rsidRPr="0064130A">
        <w:rPr>
          <w:rFonts w:cs="Helvetica"/>
          <w:i/>
        </w:rPr>
        <w:t>significant</w:t>
      </w:r>
      <w:r w:rsidR="009F1E96" w:rsidRPr="0064130A">
        <w:rPr>
          <w:rFonts w:cs="Helvetica"/>
        </w:rPr>
        <w:t xml:space="preserve"> </w:t>
      </w:r>
      <w:r w:rsidR="00A26CCE" w:rsidRPr="0064130A">
        <w:rPr>
          <w:rFonts w:cs="Helvetica"/>
        </w:rPr>
        <w:t>digit</w:t>
      </w:r>
      <w:r w:rsidRPr="0064130A">
        <w:rPr>
          <w:rFonts w:cs="Helvetica"/>
        </w:rPr>
        <w:t>s</w:t>
      </w:r>
      <w:r w:rsidR="009F1E96" w:rsidRPr="0064130A">
        <w:rPr>
          <w:rFonts w:cs="Helvetica"/>
        </w:rPr>
        <w:t xml:space="preserve"> over the samples of</w:t>
      </w:r>
      <w:r w:rsidR="001B522F" w:rsidRPr="0064130A">
        <w:rPr>
          <w:rFonts w:cs="Helvetica"/>
        </w:rPr>
        <w:t xml:space="preserve"> mean price</w:t>
      </w:r>
      <w:r w:rsidR="009F1E96" w:rsidRPr="0064130A">
        <w:rPr>
          <w:rFonts w:cs="Helvetica"/>
        </w:rPr>
        <w:t>s</w:t>
      </w:r>
      <w:r w:rsidR="001B522F" w:rsidRPr="0064130A">
        <w:rPr>
          <w:rFonts w:cs="Helvetica"/>
        </w:rPr>
        <w:t xml:space="preserve"> and mean</w:t>
      </w:r>
      <w:r w:rsidR="00A26CCE" w:rsidRPr="0064130A">
        <w:rPr>
          <w:rFonts w:cs="Helvetica"/>
        </w:rPr>
        <w:t xml:space="preserve"> volume</w:t>
      </w:r>
      <w:r w:rsidR="009F1E96" w:rsidRPr="0064130A">
        <w:rPr>
          <w:rFonts w:cs="Helvetica"/>
        </w:rPr>
        <w:t>s</w:t>
      </w:r>
      <w:r w:rsidR="00A26CCE" w:rsidRPr="0064130A">
        <w:rPr>
          <w:rFonts w:cs="Helvetica"/>
        </w:rPr>
        <w:t>.</w:t>
      </w:r>
    </w:p>
    <w:p w14:paraId="7E5E294A" w14:textId="5079751C" w:rsidR="00A26CCE" w:rsidRPr="0064130A" w:rsidRDefault="004450D2" w:rsidP="00FA0300">
      <w:pPr>
        <w:spacing w:line="360" w:lineRule="auto"/>
        <w:contextualSpacing/>
        <w:jc w:val="both"/>
        <w:rPr>
          <w:rFonts w:cs="Helvetica"/>
        </w:rPr>
      </w:pPr>
      <w:r>
        <w:rPr>
          <w:rFonts w:cs="Helvetica"/>
        </w:rPr>
        <w:lastRenderedPageBreak/>
        <w:t>To</w:t>
      </w:r>
      <w:r w:rsidR="009F1E96" w:rsidRPr="0064130A">
        <w:rPr>
          <w:rFonts w:cs="Helvetica"/>
        </w:rPr>
        <w:t xml:space="preserve"> clarify the term</w:t>
      </w:r>
      <w:r w:rsidR="006E575D" w:rsidRPr="0064130A">
        <w:rPr>
          <w:rFonts w:cs="Helvetica"/>
        </w:rPr>
        <w:t xml:space="preserve"> </w:t>
      </w:r>
      <w:r w:rsidR="006E575D" w:rsidRPr="0064130A">
        <w:rPr>
          <w:rFonts w:cs="Helvetica"/>
          <w:i/>
        </w:rPr>
        <w:t>significant</w:t>
      </w:r>
      <w:r>
        <w:rPr>
          <w:rFonts w:cs="Helvetica"/>
        </w:rPr>
        <w:t>, a brief example is provided:</w:t>
      </w:r>
      <w:r w:rsidR="001B522F" w:rsidRPr="0064130A">
        <w:rPr>
          <w:rFonts w:cs="Helvetica"/>
        </w:rPr>
        <w:t xml:space="preserve"> t</w:t>
      </w:r>
      <w:r w:rsidR="00A26CCE" w:rsidRPr="0064130A">
        <w:rPr>
          <w:rFonts w:cs="Helvetica"/>
        </w:rPr>
        <w:t>he first digit of 4.1562 is 4 and the second digit is 1; the first digit of 315 is 3 and the second digit is 1; the first</w:t>
      </w:r>
      <w:r w:rsidR="006E575D" w:rsidRPr="0064130A">
        <w:rPr>
          <w:rFonts w:cs="Helvetica"/>
        </w:rPr>
        <w:t xml:space="preserve"> significant</w:t>
      </w:r>
      <w:r w:rsidR="00A26CCE" w:rsidRPr="0064130A">
        <w:rPr>
          <w:rFonts w:cs="Helvetica"/>
        </w:rPr>
        <w:t xml:space="preserve"> digit of 0.0154 is 1 and the second digit is 5.</w:t>
      </w:r>
    </w:p>
    <w:p w14:paraId="57B9CB16" w14:textId="33751302" w:rsidR="00A26CCE" w:rsidRPr="0064130A" w:rsidRDefault="006E575D" w:rsidP="00FA0300">
      <w:pPr>
        <w:spacing w:line="360" w:lineRule="auto"/>
        <w:contextualSpacing/>
        <w:jc w:val="both"/>
        <w:rPr>
          <w:rFonts w:cs="Arial"/>
        </w:rPr>
      </w:pPr>
      <w:r w:rsidRPr="0064130A">
        <w:rPr>
          <w:rFonts w:cs="Helvetica"/>
        </w:rPr>
        <w:t xml:space="preserve">The empirical frequencies of the digits have been compared with the theoretical distribution given by the </w:t>
      </w:r>
      <w:r w:rsidR="00487769" w:rsidRPr="0064130A">
        <w:rPr>
          <w:rFonts w:cs="Helvetica"/>
        </w:rPr>
        <w:t>BL</w:t>
      </w:r>
      <w:r w:rsidR="00A26CCE" w:rsidRPr="0064130A">
        <w:rPr>
          <w:rFonts w:cs="Helvetica"/>
        </w:rPr>
        <w:t>.</w:t>
      </w:r>
      <w:r w:rsidRPr="0064130A">
        <w:rPr>
          <w:rFonts w:cs="Helvetica"/>
        </w:rPr>
        <w:t xml:space="preserve"> </w:t>
      </w:r>
      <w:r w:rsidR="001B522F" w:rsidRPr="0064130A">
        <w:rPr>
          <w:rFonts w:cs="Helvetica"/>
        </w:rPr>
        <w:t>To pursue our scope</w:t>
      </w:r>
      <w:r w:rsidRPr="0064130A">
        <w:rPr>
          <w:rFonts w:cs="Helvetica"/>
        </w:rPr>
        <w:t>,</w:t>
      </w:r>
      <w:r w:rsidR="001B522F" w:rsidRPr="0064130A">
        <w:rPr>
          <w:rFonts w:cs="Helvetica"/>
        </w:rPr>
        <w:t xml:space="preserve"> we</w:t>
      </w:r>
      <w:r w:rsidRPr="0064130A">
        <w:rPr>
          <w:rFonts w:cs="Helvetica"/>
        </w:rPr>
        <w:t xml:space="preserve"> have</w:t>
      </w:r>
      <w:r w:rsidR="001B522F" w:rsidRPr="0064130A">
        <w:rPr>
          <w:rFonts w:cs="Helvetica"/>
        </w:rPr>
        <w:t xml:space="preserve"> adopt</w:t>
      </w:r>
      <w:r w:rsidRPr="0064130A">
        <w:rPr>
          <w:rFonts w:cs="Helvetica"/>
        </w:rPr>
        <w:t>ed</w:t>
      </w:r>
      <w:r w:rsidR="001B522F" w:rsidRPr="0064130A">
        <w:rPr>
          <w:rFonts w:cs="Helvetica"/>
        </w:rPr>
        <w:t xml:space="preserve"> </w:t>
      </w:r>
      <w:r w:rsidRPr="0064130A">
        <w:rPr>
          <w:rFonts w:cs="Helvetica"/>
        </w:rPr>
        <w:t xml:space="preserve">a </w:t>
      </w:r>
      <w:r w:rsidR="001B522F" w:rsidRPr="0064130A">
        <w:rPr>
          <w:rFonts w:cs="Helvetica"/>
        </w:rPr>
        <w:t>comparison criteri</w:t>
      </w:r>
      <w:r w:rsidRPr="0064130A">
        <w:rPr>
          <w:rFonts w:cs="Helvetica"/>
        </w:rPr>
        <w:t>on</w:t>
      </w:r>
      <w:r w:rsidR="001B522F" w:rsidRPr="0064130A">
        <w:rPr>
          <w:rFonts w:cs="Helvetica"/>
        </w:rPr>
        <w:t xml:space="preserve"> gro</w:t>
      </w:r>
      <w:r w:rsidRPr="0064130A">
        <w:rPr>
          <w:rFonts w:cs="Helvetica"/>
        </w:rPr>
        <w:t xml:space="preserve">unded on statistical theory </w:t>
      </w:r>
      <w:r w:rsidR="00A26CCE" w:rsidRPr="0064130A">
        <w:rPr>
          <w:rFonts w:cs="Arial"/>
        </w:rPr>
        <w:t xml:space="preserve">which is </w:t>
      </w:r>
      <w:r w:rsidR="004A4D72">
        <w:rPr>
          <w:rFonts w:cs="Arial"/>
        </w:rPr>
        <w:t xml:space="preserve">one of </w:t>
      </w:r>
      <w:r w:rsidR="00A26CCE" w:rsidRPr="0064130A">
        <w:rPr>
          <w:rFonts w:cs="Arial"/>
        </w:rPr>
        <w:t xml:space="preserve">the most used in the literature </w:t>
      </w:r>
      <w:r w:rsidR="004A4D72">
        <w:rPr>
          <w:rFonts w:cs="Arial"/>
        </w:rPr>
        <w:t>for testing</w:t>
      </w:r>
      <w:r w:rsidR="00A26CCE" w:rsidRPr="0064130A">
        <w:rPr>
          <w:rFonts w:cs="Arial"/>
        </w:rPr>
        <w:t xml:space="preserve"> the </w:t>
      </w:r>
      <w:r w:rsidR="00487769" w:rsidRPr="0064130A">
        <w:rPr>
          <w:rFonts w:cs="Arial"/>
        </w:rPr>
        <w:t>BL</w:t>
      </w:r>
      <w:r w:rsidRPr="0064130A">
        <w:rPr>
          <w:rFonts w:cs="Arial"/>
        </w:rPr>
        <w:t xml:space="preserve">: </w:t>
      </w:r>
      <w:r w:rsidRPr="0064130A">
        <w:rPr>
          <w:rFonts w:cs="Helvetica"/>
        </w:rPr>
        <w:t xml:space="preserve">the </w:t>
      </w:r>
      <w:r w:rsidRPr="0064130A">
        <w:rPr>
          <w:rFonts w:cs="Arial"/>
        </w:rPr>
        <w:t xml:space="preserve">Pearson’s </w:t>
      </w:r>
      <m:oMath>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oMath>
      <w:r w:rsidRPr="0064130A">
        <w:rPr>
          <w:rFonts w:cs="Arial"/>
        </w:rPr>
        <w:t xml:space="preserve"> test. Such a test </w:t>
      </w:r>
      <w:r w:rsidR="00A26CCE" w:rsidRPr="0064130A">
        <w:rPr>
          <w:rFonts w:cs="Arial"/>
        </w:rPr>
        <w:t xml:space="preserve">is </w:t>
      </w:r>
      <w:r w:rsidRPr="0064130A">
        <w:rPr>
          <w:rFonts w:cs="Arial"/>
        </w:rPr>
        <w:t>of</w:t>
      </w:r>
      <w:r w:rsidR="00A26CCE" w:rsidRPr="0064130A">
        <w:rPr>
          <w:rFonts w:cs="Arial"/>
        </w:rPr>
        <w:t xml:space="preserve"> parametric </w:t>
      </w:r>
      <w:r w:rsidRPr="0064130A">
        <w:rPr>
          <w:rFonts w:cs="Arial"/>
        </w:rPr>
        <w:t>type and serves for checking</w:t>
      </w:r>
      <w:r w:rsidR="00A26CCE" w:rsidRPr="0064130A">
        <w:rPr>
          <w:rFonts w:cs="Arial"/>
        </w:rPr>
        <w:t xml:space="preserve"> if the </w:t>
      </w:r>
      <w:r w:rsidR="00EB15E5" w:rsidRPr="0064130A">
        <w:rPr>
          <w:rFonts w:cs="Arial"/>
        </w:rPr>
        <w:t>empirical frequencies are</w:t>
      </w:r>
      <w:r w:rsidRPr="0064130A">
        <w:rPr>
          <w:rFonts w:cs="Arial"/>
        </w:rPr>
        <w:t xml:space="preserve"> statistically</w:t>
      </w:r>
      <w:r w:rsidR="00EB15E5" w:rsidRPr="0064130A">
        <w:rPr>
          <w:rFonts w:cs="Arial"/>
        </w:rPr>
        <w:t xml:space="preserve"> </w:t>
      </w:r>
      <w:r w:rsidR="00A26CCE" w:rsidRPr="0064130A">
        <w:rPr>
          <w:rFonts w:cs="Arial"/>
        </w:rPr>
        <w:t xml:space="preserve">different from </w:t>
      </w:r>
      <w:r w:rsidR="00EB15E5" w:rsidRPr="0064130A">
        <w:rPr>
          <w:rFonts w:cs="Arial"/>
        </w:rPr>
        <w:t>theoretical frequencies</w:t>
      </w:r>
      <w:r w:rsidR="00A26CCE" w:rsidRPr="0064130A">
        <w:rPr>
          <w:rFonts w:cs="Arial"/>
        </w:rPr>
        <w:t xml:space="preserve"> of </w:t>
      </w:r>
      <w:r w:rsidRPr="0064130A">
        <w:rPr>
          <w:rFonts w:cs="Arial"/>
        </w:rPr>
        <w:t xml:space="preserve">the </w:t>
      </w:r>
      <w:r w:rsidR="00487769" w:rsidRPr="0064130A">
        <w:rPr>
          <w:rFonts w:cs="Arial"/>
        </w:rPr>
        <w:t>BL</w:t>
      </w:r>
      <w:r w:rsidR="00A26CCE" w:rsidRPr="0064130A">
        <w:rPr>
          <w:rFonts w:cs="Arial"/>
        </w:rPr>
        <w:t>.</w:t>
      </w:r>
    </w:p>
    <w:p w14:paraId="0DB0E67C" w14:textId="5CED5610" w:rsidR="00A26CCE" w:rsidRPr="0064130A" w:rsidRDefault="006E575D" w:rsidP="00FA0300">
      <w:pPr>
        <w:spacing w:line="360" w:lineRule="auto"/>
        <w:jc w:val="both"/>
        <w:rPr>
          <w:rFonts w:cs="Arial"/>
        </w:rPr>
      </w:pPr>
      <w:r w:rsidRPr="0064130A">
        <w:rPr>
          <w:rFonts w:cs="Arial"/>
        </w:rPr>
        <w:t>In our framework, this test can be written as</w:t>
      </w:r>
    </w:p>
    <w:p w14:paraId="5686CE34" w14:textId="77777777" w:rsidR="00A26CCE" w:rsidRPr="0064130A" w:rsidRDefault="00A26CCE" w:rsidP="00FA0300">
      <w:pPr>
        <w:spacing w:line="360" w:lineRule="auto"/>
        <w:jc w:val="both"/>
        <w:rPr>
          <w:rFonts w:cs="Arial"/>
        </w:rPr>
      </w:pPr>
    </w:p>
    <w:p w14:paraId="0CA192B6" w14:textId="7FBA4A83" w:rsidR="00A26CCE" w:rsidRPr="0064130A" w:rsidRDefault="001B522F" w:rsidP="00FA0300">
      <w:pPr>
        <w:spacing w:line="360" w:lineRule="auto"/>
        <w:ind w:left="720"/>
        <w:contextualSpacing/>
        <w:jc w:val="both"/>
        <w:rPr>
          <w:rFonts w:cs="Andalus"/>
        </w:rPr>
      </w:pPr>
      <m:oMath>
        <m:r>
          <w:rPr>
            <w:rFonts w:ascii="Cambria Math" w:hAnsi="Cambria Math" w:cs="Andalus"/>
          </w:rPr>
          <m:t xml:space="preserve">                                       </m:t>
        </m:r>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r>
          <w:rPr>
            <w:rFonts w:ascii="Cambria Math" w:hAnsi="Cambria Math" w:cs="Andalus"/>
          </w:rPr>
          <m:t>(n-1)=</m:t>
        </m:r>
        <m:nary>
          <m:naryPr>
            <m:chr m:val="∑"/>
            <m:limLoc m:val="undOvr"/>
            <m:ctrlPr>
              <w:rPr>
                <w:rFonts w:ascii="Cambria Math" w:hAnsi="Cambria Math" w:cs="Andalus"/>
                <w:i/>
              </w:rPr>
            </m:ctrlPr>
          </m:naryPr>
          <m:sub>
            <m:r>
              <w:rPr>
                <w:rFonts w:ascii="Cambria Math" w:hAnsi="Cambria Math" w:cs="Andalus"/>
              </w:rPr>
              <m:t>i=1</m:t>
            </m:r>
          </m:sub>
          <m:sup>
            <m:r>
              <w:rPr>
                <w:rFonts w:ascii="Cambria Math" w:hAnsi="Cambria Math" w:cs="Andalus"/>
              </w:rPr>
              <m:t>n</m:t>
            </m:r>
          </m:sup>
          <m:e>
            <m:f>
              <m:fPr>
                <m:ctrlPr>
                  <w:rPr>
                    <w:rFonts w:ascii="Cambria Math" w:hAnsi="Cambria Math" w:cs="Andalus"/>
                    <w:i/>
                  </w:rPr>
                </m:ctrlPr>
              </m:fPr>
              <m:num>
                <m:sSup>
                  <m:sSupPr>
                    <m:ctrlPr>
                      <w:rPr>
                        <w:rFonts w:ascii="Cambria Math" w:hAnsi="Cambria Math" w:cs="Andalus"/>
                        <w:i/>
                      </w:rPr>
                    </m:ctrlPr>
                  </m:sSupPr>
                  <m:e>
                    <m:r>
                      <w:rPr>
                        <w:rFonts w:ascii="Cambria Math" w:hAnsi="Cambria Math" w:cs="Andalus"/>
                      </w:rPr>
                      <m:t>(</m:t>
                    </m:r>
                    <m:sSub>
                      <m:sSubPr>
                        <m:ctrlPr>
                          <w:rPr>
                            <w:rFonts w:ascii="Cambria Math" w:hAnsi="Cambria Math" w:cs="Andalus"/>
                            <w:i/>
                          </w:rPr>
                        </m:ctrlPr>
                      </m:sSubPr>
                      <m:e>
                        <m:r>
                          <w:rPr>
                            <w:rFonts w:ascii="Cambria Math" w:hAnsi="Cambria Math" w:cs="Andalus"/>
                          </w:rPr>
                          <m:t>O</m:t>
                        </m:r>
                      </m:e>
                      <m:sub>
                        <m:r>
                          <w:rPr>
                            <w:rFonts w:ascii="Cambria Math" w:hAnsi="Cambria Math" w:cs="Andalus"/>
                          </w:rPr>
                          <m:t>i</m:t>
                        </m:r>
                      </m:sub>
                    </m:sSub>
                    <m:r>
                      <w:rPr>
                        <w:rFonts w:ascii="Cambria Math" w:hAnsi="Cambria Math" w:cs="Andalus"/>
                      </w:rPr>
                      <m:t>-</m:t>
                    </m:r>
                    <m:sSub>
                      <m:sSubPr>
                        <m:ctrlPr>
                          <w:rPr>
                            <w:rFonts w:ascii="Cambria Math" w:hAnsi="Cambria Math" w:cs="Andalus"/>
                            <w:i/>
                          </w:rPr>
                        </m:ctrlPr>
                      </m:sSubPr>
                      <m:e>
                        <m:r>
                          <w:rPr>
                            <w:rFonts w:ascii="Cambria Math" w:hAnsi="Cambria Math" w:cs="Andalus"/>
                          </w:rPr>
                          <m:t>E</m:t>
                        </m:r>
                      </m:e>
                      <m:sub>
                        <m:r>
                          <w:rPr>
                            <w:rFonts w:ascii="Cambria Math" w:hAnsi="Cambria Math" w:cs="Andalus"/>
                          </w:rPr>
                          <m:t>i</m:t>
                        </m:r>
                      </m:sub>
                    </m:sSub>
                    <m:r>
                      <w:rPr>
                        <w:rFonts w:ascii="Cambria Math" w:hAnsi="Cambria Math" w:cs="Andalus"/>
                      </w:rPr>
                      <m:t>)</m:t>
                    </m:r>
                  </m:e>
                  <m:sup>
                    <m:r>
                      <w:rPr>
                        <w:rFonts w:ascii="Cambria Math" w:hAnsi="Cambria Math" w:cs="Andalus"/>
                      </w:rPr>
                      <m:t>2</m:t>
                    </m:r>
                  </m:sup>
                </m:sSup>
              </m:num>
              <m:den>
                <m:sSub>
                  <m:sSubPr>
                    <m:ctrlPr>
                      <w:rPr>
                        <w:rFonts w:ascii="Cambria Math" w:hAnsi="Cambria Math" w:cs="Andalus"/>
                        <w:i/>
                      </w:rPr>
                    </m:ctrlPr>
                  </m:sSubPr>
                  <m:e>
                    <m:r>
                      <w:rPr>
                        <w:rFonts w:ascii="Cambria Math" w:hAnsi="Cambria Math" w:cs="Andalus"/>
                      </w:rPr>
                      <m:t>E</m:t>
                    </m:r>
                  </m:e>
                  <m:sub>
                    <m:r>
                      <w:rPr>
                        <w:rFonts w:ascii="Cambria Math" w:hAnsi="Cambria Math" w:cs="Andalus"/>
                      </w:rPr>
                      <m:t>i</m:t>
                    </m:r>
                  </m:sub>
                </m:sSub>
              </m:den>
            </m:f>
          </m:e>
        </m:nary>
      </m:oMath>
      <w:r w:rsidRPr="0064130A">
        <w:rPr>
          <w:rFonts w:cs="Andalus"/>
        </w:rPr>
        <w:t xml:space="preserve"> </w:t>
      </w:r>
      <w:r w:rsidRPr="0064130A">
        <w:rPr>
          <w:rFonts w:cs="Andalus"/>
        </w:rPr>
        <w:tab/>
      </w:r>
      <w:r w:rsidRPr="0064130A">
        <w:rPr>
          <w:rFonts w:cs="Andalus"/>
        </w:rPr>
        <w:tab/>
      </w:r>
      <w:r w:rsidRPr="0064130A">
        <w:rPr>
          <w:rFonts w:cs="Andalus"/>
        </w:rPr>
        <w:tab/>
      </w:r>
      <w:r w:rsidRPr="0064130A">
        <w:rPr>
          <w:rFonts w:cs="Andalus"/>
        </w:rPr>
        <w:tab/>
      </w:r>
      <w:r w:rsidRPr="0064130A">
        <w:rPr>
          <w:rFonts w:cs="Andalus"/>
        </w:rPr>
        <w:tab/>
        <w:t xml:space="preserve">(3) </w:t>
      </w:r>
    </w:p>
    <w:p w14:paraId="2D860039" w14:textId="77777777" w:rsidR="00A26CCE" w:rsidRPr="0064130A" w:rsidRDefault="00A26CCE" w:rsidP="00FA0300">
      <w:pPr>
        <w:spacing w:line="360" w:lineRule="auto"/>
        <w:jc w:val="both"/>
        <w:rPr>
          <w:rFonts w:cs="Arial"/>
        </w:rPr>
      </w:pPr>
    </w:p>
    <w:p w14:paraId="08C355B7" w14:textId="77777777" w:rsidR="00A26CCE" w:rsidRPr="0064130A" w:rsidRDefault="00A26CCE" w:rsidP="00FA0300">
      <w:pPr>
        <w:spacing w:line="360" w:lineRule="auto"/>
        <w:jc w:val="both"/>
        <w:rPr>
          <w:rFonts w:cs="Arial"/>
        </w:rPr>
      </w:pPr>
      <w:r w:rsidRPr="0064130A">
        <w:rPr>
          <w:rFonts w:cs="Arial"/>
        </w:rPr>
        <w:t>where:</w:t>
      </w:r>
    </w:p>
    <w:p w14:paraId="48BBFA23" w14:textId="59D1121F" w:rsidR="00A26CCE" w:rsidRPr="0064130A" w:rsidRDefault="004450D2" w:rsidP="00FA0300">
      <w:pPr>
        <w:widowControl w:val="0"/>
        <w:numPr>
          <w:ilvl w:val="0"/>
          <w:numId w:val="3"/>
        </w:numPr>
        <w:tabs>
          <w:tab w:val="left" w:pos="1068"/>
          <w:tab w:val="left" w:pos="1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1428"/>
        <w:jc w:val="both"/>
        <w:rPr>
          <w:rFonts w:cs="Helvetica"/>
        </w:rPr>
      </w:pPr>
      <m:oMath>
        <m:sSub>
          <m:sSubPr>
            <m:ctrlPr>
              <w:rPr>
                <w:rFonts w:ascii="Cambria Math" w:hAnsi="Cambria Math" w:cs="Arial"/>
                <w:i/>
              </w:rPr>
            </m:ctrlPr>
          </m:sSubPr>
          <m:e>
            <m:r>
              <w:rPr>
                <w:rFonts w:ascii="Cambria Math" w:hAnsi="Cambria Math" w:cs="Arial"/>
              </w:rPr>
              <m:t>O</m:t>
            </m:r>
          </m:e>
          <m:sub>
            <m:r>
              <w:rPr>
                <w:rFonts w:ascii="Cambria Math" w:hAnsi="Cambria Math" w:cs="Arial"/>
              </w:rPr>
              <m:t>i</m:t>
            </m:r>
          </m:sub>
        </m:sSub>
      </m:oMath>
      <w:r w:rsidR="008379C8" w:rsidRPr="0064130A">
        <w:rPr>
          <w:rFonts w:cs="Arial"/>
        </w:rPr>
        <w:t xml:space="preserve"> </w:t>
      </w:r>
      <w:r w:rsidR="00A26CCE" w:rsidRPr="0064130A">
        <w:rPr>
          <w:rFonts w:cs="Arial"/>
        </w:rPr>
        <w:t>is the frequency actually detected</w:t>
      </w:r>
      <w:r w:rsidR="008379C8" w:rsidRPr="0064130A">
        <w:rPr>
          <w:rFonts w:cs="Arial"/>
        </w:rPr>
        <w:t xml:space="preserve"> for character </w:t>
      </w:r>
      <m:oMath>
        <m:r>
          <w:rPr>
            <w:rFonts w:ascii="Cambria Math" w:hAnsi="Cambria Math" w:cs="Arial"/>
          </w:rPr>
          <m:t>i</m:t>
        </m:r>
      </m:oMath>
      <w:r w:rsidR="00A26CCE" w:rsidRPr="0064130A">
        <w:rPr>
          <w:rFonts w:cs="Arial"/>
        </w:rPr>
        <w:t>;</w:t>
      </w:r>
    </w:p>
    <w:p w14:paraId="6E77F471" w14:textId="6BF2C3E8" w:rsidR="00A26CCE" w:rsidRPr="0064130A" w:rsidRDefault="004450D2" w:rsidP="00FA0300">
      <w:pPr>
        <w:widowControl w:val="0"/>
        <w:numPr>
          <w:ilvl w:val="0"/>
          <w:numId w:val="3"/>
        </w:numPr>
        <w:tabs>
          <w:tab w:val="left" w:pos="1068"/>
          <w:tab w:val="left" w:pos="1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1428"/>
        <w:jc w:val="both"/>
        <w:rPr>
          <w:rFonts w:cs="Arial"/>
        </w:rPr>
      </w:pPr>
      <m:oMath>
        <m:sSub>
          <m:sSubPr>
            <m:ctrlPr>
              <w:rPr>
                <w:rFonts w:ascii="Cambria Math" w:hAnsi="Cambria Math" w:cs="Arial"/>
                <w:i/>
              </w:rPr>
            </m:ctrlPr>
          </m:sSubPr>
          <m:e>
            <m:r>
              <w:rPr>
                <w:rFonts w:ascii="Cambria Math" w:hAnsi="Cambria Math" w:cs="Arial"/>
              </w:rPr>
              <m:t>E</m:t>
            </m:r>
          </m:e>
          <m:sub>
            <m:r>
              <w:rPr>
                <w:rFonts w:ascii="Cambria Math" w:hAnsi="Cambria Math" w:cs="Arial"/>
              </w:rPr>
              <m:t>i</m:t>
            </m:r>
          </m:sub>
        </m:sSub>
      </m:oMath>
      <w:r w:rsidR="00A26CCE" w:rsidRPr="0064130A">
        <w:rPr>
          <w:rFonts w:cs="Helvetica"/>
        </w:rPr>
        <w:t xml:space="preserve"> is </w:t>
      </w:r>
      <w:r w:rsidR="00A26CCE" w:rsidRPr="0064130A">
        <w:rPr>
          <w:rFonts w:cs="Arial"/>
        </w:rPr>
        <w:t xml:space="preserve">the </w:t>
      </w:r>
      <w:r w:rsidR="008379C8" w:rsidRPr="0064130A">
        <w:rPr>
          <w:rFonts w:cs="Arial"/>
        </w:rPr>
        <w:t>theoretical</w:t>
      </w:r>
      <w:r w:rsidR="00A26CCE" w:rsidRPr="0064130A">
        <w:rPr>
          <w:rFonts w:cs="Arial"/>
        </w:rPr>
        <w:t xml:space="preserve"> frequency of</w:t>
      </w:r>
      <w:r w:rsidR="008379C8" w:rsidRPr="0064130A">
        <w:rPr>
          <w:rFonts w:cs="Arial"/>
        </w:rPr>
        <w:t xml:space="preserve"> character </w:t>
      </w:r>
      <m:oMath>
        <m:r>
          <w:rPr>
            <w:rFonts w:ascii="Cambria Math" w:hAnsi="Cambria Math" w:cs="Arial"/>
          </w:rPr>
          <m:t>i</m:t>
        </m:r>
      </m:oMath>
      <w:r w:rsidR="008379C8" w:rsidRPr="0064130A">
        <w:rPr>
          <w:rFonts w:cs="Arial"/>
        </w:rPr>
        <w:t>, according to the</w:t>
      </w:r>
      <w:r w:rsidR="00A26CCE" w:rsidRPr="0064130A">
        <w:rPr>
          <w:rFonts w:cs="Arial"/>
        </w:rPr>
        <w:t xml:space="preserve"> </w:t>
      </w:r>
      <w:r w:rsidR="00487769" w:rsidRPr="0064130A">
        <w:rPr>
          <w:rFonts w:cs="Arial"/>
        </w:rPr>
        <w:t>BL</w:t>
      </w:r>
      <w:r w:rsidR="00A26CCE" w:rsidRPr="0064130A">
        <w:rPr>
          <w:rFonts w:cs="Arial"/>
        </w:rPr>
        <w:t>.</w:t>
      </w:r>
    </w:p>
    <w:p w14:paraId="0AE98A31" w14:textId="77777777" w:rsidR="00A26CCE" w:rsidRPr="0064130A" w:rsidRDefault="00A26CCE" w:rsidP="00FA0300">
      <w:pPr>
        <w:spacing w:line="360" w:lineRule="auto"/>
        <w:jc w:val="both"/>
        <w:rPr>
          <w:rFonts w:cs="Arial"/>
        </w:rPr>
      </w:pPr>
    </w:p>
    <w:p w14:paraId="0204B45C" w14:textId="574913B9" w:rsidR="00A26CCE" w:rsidRPr="0064130A" w:rsidRDefault="00623C6C" w:rsidP="00FA0300">
      <w:pPr>
        <w:spacing w:line="360" w:lineRule="auto"/>
        <w:jc w:val="both"/>
        <w:rPr>
          <w:rFonts w:cs="Arial"/>
        </w:rPr>
      </w:pPr>
      <w:r w:rsidRPr="0064130A">
        <w:rPr>
          <w:rFonts w:cs="Arial"/>
        </w:rPr>
        <w:t>Table 2</w:t>
      </w:r>
      <w:r w:rsidR="00A26CCE" w:rsidRPr="0064130A">
        <w:rPr>
          <w:rFonts w:cs="Arial"/>
        </w:rPr>
        <w:t xml:space="preserve"> </w:t>
      </w:r>
      <w:r w:rsidRPr="0064130A">
        <w:rPr>
          <w:rFonts w:cs="Arial"/>
        </w:rPr>
        <w:t>contains</w:t>
      </w:r>
      <w:r w:rsidR="00A26CCE" w:rsidRPr="0064130A">
        <w:rPr>
          <w:rFonts w:cs="Arial"/>
        </w:rPr>
        <w:t xml:space="preserve"> the </w:t>
      </w:r>
      <w:r w:rsidRPr="0064130A">
        <w:rPr>
          <w:rFonts w:cs="Arial"/>
        </w:rPr>
        <w:t>p-</w:t>
      </w:r>
      <w:r w:rsidR="00A26CCE" w:rsidRPr="0064130A">
        <w:rPr>
          <w:rFonts w:cs="Arial"/>
        </w:rPr>
        <w:t xml:space="preserve">values corresponding to </w:t>
      </w:r>
      <w:r w:rsidRPr="0064130A">
        <w:rPr>
          <w:rFonts w:cs="Arial"/>
        </w:rPr>
        <w:t>various</w:t>
      </w:r>
      <w:r w:rsidR="00A26CCE" w:rsidRPr="0064130A">
        <w:rPr>
          <w:rFonts w:cs="Arial"/>
        </w:rPr>
        <w:t xml:space="preserve"> </w:t>
      </w:r>
      <w:r w:rsidRPr="0064130A">
        <w:rPr>
          <w:rFonts w:cs="Arial"/>
        </w:rPr>
        <w:t>significance levels</w:t>
      </w:r>
      <w:r w:rsidR="00A26CCE" w:rsidRPr="0064130A">
        <w:rPr>
          <w:rFonts w:cs="Arial"/>
        </w:rPr>
        <w:t xml:space="preserve"> for </w:t>
      </w:r>
      <w:r w:rsidRPr="0064130A">
        <w:rPr>
          <w:rFonts w:cs="Arial"/>
        </w:rPr>
        <w:t>8 and 9</w:t>
      </w:r>
      <w:r w:rsidR="00A26CCE" w:rsidRPr="0064130A">
        <w:rPr>
          <w:rFonts w:cs="Arial"/>
        </w:rPr>
        <w:t xml:space="preserve"> degrees of freedom</w:t>
      </w:r>
      <w:r w:rsidR="004450D2">
        <w:rPr>
          <w:rFonts w:cs="Arial"/>
        </w:rPr>
        <w:t>. Indeed,</w:t>
      </w:r>
      <w:r w:rsidR="00EB15E5" w:rsidRPr="0064130A">
        <w:rPr>
          <w:rFonts w:cs="Arial"/>
        </w:rPr>
        <w:t xml:space="preserve"> </w:t>
      </w:r>
      <w:r w:rsidR="00A26CCE" w:rsidRPr="0064130A">
        <w:rPr>
          <w:rFonts w:cs="Arial"/>
        </w:rPr>
        <w:t>8 degrees of freedom</w:t>
      </w:r>
      <w:r w:rsidR="004450D2">
        <w:rPr>
          <w:rFonts w:cs="Arial"/>
        </w:rPr>
        <w:t xml:space="preserve"> are needed</w:t>
      </w:r>
      <w:r w:rsidR="00A26CCE" w:rsidRPr="0064130A">
        <w:rPr>
          <w:rFonts w:cs="Arial"/>
        </w:rPr>
        <w:t xml:space="preserve"> for verifying the conformity of the first</w:t>
      </w:r>
      <w:r w:rsidR="00EB15E5" w:rsidRPr="0064130A">
        <w:rPr>
          <w:rFonts w:cs="Arial"/>
        </w:rPr>
        <w:t xml:space="preserve"> meaningful</w:t>
      </w:r>
      <w:r w:rsidR="00A26CCE" w:rsidRPr="0064130A">
        <w:rPr>
          <w:rFonts w:cs="Arial"/>
        </w:rPr>
        <w:t xml:space="preserve"> digit (n = 9 and n-1 = 8)</w:t>
      </w:r>
      <w:r w:rsidR="004450D2">
        <w:rPr>
          <w:rFonts w:cs="Arial"/>
        </w:rPr>
        <w:t>, so that</w:t>
      </w:r>
      <w:r w:rsidRPr="0064130A">
        <w:rPr>
          <w:rFonts w:cs="Arial"/>
        </w:rPr>
        <w:t xml:space="preserve"> </w:t>
      </w:r>
      <m:oMath>
        <m:r>
          <w:rPr>
            <w:rFonts w:ascii="Cambria Math" w:hAnsi="Cambria Math" w:cs="Arial"/>
          </w:rPr>
          <m:t>i=1,…, 9</m:t>
        </m:r>
      </m:oMath>
      <w:r w:rsidR="004450D2">
        <w:rPr>
          <w:rFonts w:cs="Arial"/>
        </w:rPr>
        <w:t>. Differently,</w:t>
      </w:r>
      <w:r w:rsidR="00EB15E5" w:rsidRPr="0064130A">
        <w:rPr>
          <w:rFonts w:cs="Arial"/>
        </w:rPr>
        <w:t xml:space="preserve"> </w:t>
      </w:r>
      <w:r w:rsidR="00A26CCE" w:rsidRPr="0064130A">
        <w:rPr>
          <w:rFonts w:cs="Arial"/>
        </w:rPr>
        <w:t xml:space="preserve">9 degrees of freedom </w:t>
      </w:r>
      <w:r w:rsidR="004450D2">
        <w:rPr>
          <w:rFonts w:cs="Arial"/>
        </w:rPr>
        <w:t xml:space="preserve">are the ones employed </w:t>
      </w:r>
      <w:r w:rsidR="00A26CCE" w:rsidRPr="0064130A">
        <w:rPr>
          <w:rFonts w:cs="Arial"/>
        </w:rPr>
        <w:t>for verifying the conformity of the second</w:t>
      </w:r>
      <w:r w:rsidR="00EB15E5" w:rsidRPr="0064130A">
        <w:rPr>
          <w:rFonts w:cs="Arial"/>
        </w:rPr>
        <w:t xml:space="preserve"> meaningful</w:t>
      </w:r>
      <w:r w:rsidR="00A26CCE" w:rsidRPr="0064130A">
        <w:rPr>
          <w:rFonts w:cs="Arial"/>
        </w:rPr>
        <w:t xml:space="preserve"> digit (n = 10 and n-1 = 9)</w:t>
      </w:r>
      <w:r w:rsidRPr="0064130A">
        <w:rPr>
          <w:rFonts w:cs="Arial"/>
        </w:rPr>
        <w:t xml:space="preserve">; in this case </w:t>
      </w:r>
      <m:oMath>
        <m:r>
          <w:rPr>
            <w:rFonts w:ascii="Cambria Math" w:hAnsi="Cambria Math" w:cs="Arial"/>
          </w:rPr>
          <m:t>i=0,1,…, 9</m:t>
        </m:r>
      </m:oMath>
      <w:r w:rsidRPr="0064130A">
        <w:rPr>
          <w:rFonts w:cs="Arial"/>
        </w:rPr>
        <w:t>;</w:t>
      </w:r>
      <w:r w:rsidR="00A26CCE" w:rsidRPr="0064130A">
        <w:rPr>
          <w:rFonts w:cs="Arial"/>
        </w:rPr>
        <w:t>.</w:t>
      </w:r>
    </w:p>
    <w:p w14:paraId="1788C72C" w14:textId="77777777" w:rsidR="00EB15E5" w:rsidRPr="0064130A" w:rsidRDefault="00EB15E5" w:rsidP="00FA0300">
      <w:pPr>
        <w:spacing w:line="360" w:lineRule="auto"/>
        <w:jc w:val="both"/>
        <w:rPr>
          <w:rFonts w:cs="Arial"/>
        </w:rPr>
      </w:pPr>
    </w:p>
    <w:p w14:paraId="58E65647" w14:textId="178FB398" w:rsidR="00EB15E5" w:rsidRPr="0064130A" w:rsidRDefault="00EB15E5" w:rsidP="00EB15E5">
      <w:pPr>
        <w:spacing w:line="360" w:lineRule="auto"/>
        <w:jc w:val="both"/>
        <w:rPr>
          <w:rFonts w:cs="Andalus"/>
          <w:color w:val="000000" w:themeColor="text1"/>
        </w:rPr>
      </w:pPr>
      <w:r w:rsidRPr="0064130A">
        <w:rPr>
          <w:rFonts w:cs="Andalus"/>
          <w:color w:val="000000" w:themeColor="text1"/>
        </w:rPr>
        <w:t xml:space="preserve">Table 2. Distribution of </w:t>
      </w:r>
      <m:oMath>
        <m:r>
          <m:rPr>
            <m:sty m:val="p"/>
          </m:rPr>
          <w:rPr>
            <w:rFonts w:ascii="Cambria Math" w:hAnsi="Cambria Math" w:cs="Andalus"/>
            <w:color w:val="000000" w:themeColor="text1"/>
          </w:rPr>
          <m:t xml:space="preserve">the </m:t>
        </m:r>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oMath>
      <w:r w:rsidR="00623C6C" w:rsidRPr="0064130A">
        <w:rPr>
          <w:rFonts w:cs="Andalus"/>
        </w:rPr>
        <w:t xml:space="preserve"> p-values</w:t>
      </w:r>
      <w:r w:rsidRPr="0064130A">
        <w:rPr>
          <w:rFonts w:cs="Andalus"/>
          <w:color w:val="000000" w:themeColor="text1"/>
        </w:rPr>
        <w:t xml:space="preserve"> for 8 and 9 degrees of freedom</w:t>
      </w:r>
      <w:r w:rsidR="00623C6C" w:rsidRPr="0064130A">
        <w:rPr>
          <w:rFonts w:cs="Andalus"/>
          <w:color w:val="000000" w:themeColor="text1"/>
        </w:rPr>
        <w:t>, according to the significance levels</w:t>
      </w:r>
      <w:r w:rsidRPr="0064130A">
        <w:rPr>
          <w:rFonts w:cs="Andalus"/>
          <w:color w:val="000000" w:themeColor="text1"/>
        </w:rPr>
        <w:t>.</w:t>
      </w:r>
      <w:r w:rsidR="00623C6C" w:rsidRPr="0064130A">
        <w:rPr>
          <w:rFonts w:cs="Andalus"/>
          <w:color w:val="000000" w:themeColor="text1"/>
        </w:rPr>
        <w:t xml:space="preserve"> </w:t>
      </w:r>
    </w:p>
    <w:tbl>
      <w:tblPr>
        <w:tblW w:w="7560" w:type="dxa"/>
        <w:tblInd w:w="55" w:type="dxa"/>
        <w:tblCellMar>
          <w:left w:w="70" w:type="dxa"/>
          <w:right w:w="70" w:type="dxa"/>
        </w:tblCellMar>
        <w:tblLook w:val="04A0" w:firstRow="1" w:lastRow="0" w:firstColumn="1" w:lastColumn="0" w:noHBand="0" w:noVBand="1"/>
      </w:tblPr>
      <w:tblGrid>
        <w:gridCol w:w="1880"/>
        <w:gridCol w:w="520"/>
        <w:gridCol w:w="520"/>
        <w:gridCol w:w="520"/>
        <w:gridCol w:w="520"/>
        <w:gridCol w:w="580"/>
        <w:gridCol w:w="580"/>
        <w:gridCol w:w="580"/>
        <w:gridCol w:w="640"/>
        <w:gridCol w:w="580"/>
        <w:gridCol w:w="640"/>
      </w:tblGrid>
      <w:tr w:rsidR="00423AB8" w:rsidRPr="00423AB8" w14:paraId="646428A5" w14:textId="77777777" w:rsidTr="00423AB8">
        <w:trPr>
          <w:trHeight w:val="40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7D03" w14:textId="05905C1D" w:rsidR="00423AB8" w:rsidRPr="009870B0" w:rsidRDefault="00423AB8" w:rsidP="0003797A">
            <w:pPr>
              <w:jc w:val="center"/>
              <w:rPr>
                <w:rFonts w:ascii="Calibri" w:eastAsia="Times New Roman" w:hAnsi="Calibri" w:cs="Times New Roman"/>
                <w:b/>
                <w:bCs/>
                <w:color w:val="000000"/>
                <w:sz w:val="22"/>
                <w:szCs w:val="22"/>
              </w:rPr>
            </w:pPr>
          </w:p>
        </w:tc>
        <w:tc>
          <w:tcPr>
            <w:tcW w:w="5680" w:type="dxa"/>
            <w:gridSpan w:val="10"/>
            <w:tcBorders>
              <w:top w:val="single" w:sz="4" w:space="0" w:color="auto"/>
              <w:left w:val="nil"/>
              <w:bottom w:val="single" w:sz="4" w:space="0" w:color="auto"/>
              <w:right w:val="single" w:sz="4" w:space="0" w:color="auto"/>
            </w:tcBorders>
            <w:shd w:val="clear" w:color="auto" w:fill="auto"/>
            <w:vAlign w:val="center"/>
            <w:hideMark/>
          </w:tcPr>
          <w:p w14:paraId="736AD46C"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rPr>
              <w:t>Significance levels</w:t>
            </w:r>
          </w:p>
        </w:tc>
      </w:tr>
      <w:tr w:rsidR="00423AB8" w:rsidRPr="00423AB8" w14:paraId="294ADA94" w14:textId="77777777" w:rsidTr="00423AB8">
        <w:trPr>
          <w:trHeight w:val="42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7178340E" w14:textId="0E2A73D1" w:rsidR="00423AB8" w:rsidRPr="00423AB8" w:rsidRDefault="00423AB8" w:rsidP="0003797A">
            <w:pPr>
              <w:jc w:val="center"/>
              <w:rPr>
                <w:rFonts w:ascii="Andalus" w:eastAsia="Times New Roman" w:hAnsi="Andalus" w:cs="Andalus"/>
                <w:b/>
                <w:bCs/>
                <w:color w:val="000000"/>
                <w:sz w:val="22"/>
                <w:szCs w:val="22"/>
                <w:lang w:val="it-IT"/>
              </w:rPr>
            </w:pPr>
          </w:p>
        </w:tc>
        <w:tc>
          <w:tcPr>
            <w:tcW w:w="520" w:type="dxa"/>
            <w:tcBorders>
              <w:top w:val="nil"/>
              <w:left w:val="nil"/>
              <w:bottom w:val="single" w:sz="4" w:space="0" w:color="auto"/>
              <w:right w:val="single" w:sz="4" w:space="0" w:color="auto"/>
            </w:tcBorders>
            <w:shd w:val="clear" w:color="auto" w:fill="auto"/>
            <w:vAlign w:val="center"/>
            <w:hideMark/>
          </w:tcPr>
          <w:p w14:paraId="2B71EF6E"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lang w:val="it-IT"/>
              </w:rPr>
              <w:t>1,00</w:t>
            </w:r>
          </w:p>
        </w:tc>
        <w:tc>
          <w:tcPr>
            <w:tcW w:w="520" w:type="dxa"/>
            <w:tcBorders>
              <w:top w:val="nil"/>
              <w:left w:val="nil"/>
              <w:bottom w:val="single" w:sz="4" w:space="0" w:color="auto"/>
              <w:right w:val="single" w:sz="4" w:space="0" w:color="auto"/>
            </w:tcBorders>
            <w:shd w:val="clear" w:color="auto" w:fill="auto"/>
            <w:vAlign w:val="center"/>
            <w:hideMark/>
          </w:tcPr>
          <w:p w14:paraId="4CFB09A1"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lang w:val="it-IT"/>
              </w:rPr>
              <w:t>0,99</w:t>
            </w:r>
          </w:p>
        </w:tc>
        <w:tc>
          <w:tcPr>
            <w:tcW w:w="520" w:type="dxa"/>
            <w:tcBorders>
              <w:top w:val="nil"/>
              <w:left w:val="nil"/>
              <w:bottom w:val="single" w:sz="4" w:space="0" w:color="auto"/>
              <w:right w:val="single" w:sz="4" w:space="0" w:color="auto"/>
            </w:tcBorders>
            <w:shd w:val="clear" w:color="auto" w:fill="auto"/>
            <w:vAlign w:val="center"/>
            <w:hideMark/>
          </w:tcPr>
          <w:p w14:paraId="55AD47F1"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lang w:val="it-IT"/>
              </w:rPr>
              <w:t>0,95</w:t>
            </w:r>
          </w:p>
        </w:tc>
        <w:tc>
          <w:tcPr>
            <w:tcW w:w="520" w:type="dxa"/>
            <w:tcBorders>
              <w:top w:val="nil"/>
              <w:left w:val="nil"/>
              <w:bottom w:val="single" w:sz="4" w:space="0" w:color="auto"/>
              <w:right w:val="single" w:sz="4" w:space="0" w:color="auto"/>
            </w:tcBorders>
            <w:shd w:val="clear" w:color="auto" w:fill="auto"/>
            <w:vAlign w:val="center"/>
            <w:hideMark/>
          </w:tcPr>
          <w:p w14:paraId="73ADDC50"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lang w:val="it-IT"/>
              </w:rPr>
              <w:t>0,90</w:t>
            </w:r>
          </w:p>
        </w:tc>
        <w:tc>
          <w:tcPr>
            <w:tcW w:w="580" w:type="dxa"/>
            <w:tcBorders>
              <w:top w:val="nil"/>
              <w:left w:val="nil"/>
              <w:bottom w:val="single" w:sz="4" w:space="0" w:color="auto"/>
              <w:right w:val="single" w:sz="4" w:space="0" w:color="auto"/>
            </w:tcBorders>
            <w:shd w:val="clear" w:color="auto" w:fill="auto"/>
            <w:vAlign w:val="center"/>
            <w:hideMark/>
          </w:tcPr>
          <w:p w14:paraId="6FE9DB40"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lang w:val="it-IT"/>
              </w:rPr>
              <w:t>0,25</w:t>
            </w:r>
          </w:p>
        </w:tc>
        <w:tc>
          <w:tcPr>
            <w:tcW w:w="580" w:type="dxa"/>
            <w:tcBorders>
              <w:top w:val="nil"/>
              <w:left w:val="nil"/>
              <w:bottom w:val="single" w:sz="4" w:space="0" w:color="auto"/>
              <w:right w:val="single" w:sz="4" w:space="0" w:color="auto"/>
            </w:tcBorders>
            <w:shd w:val="clear" w:color="auto" w:fill="auto"/>
            <w:vAlign w:val="center"/>
            <w:hideMark/>
          </w:tcPr>
          <w:p w14:paraId="798D1F8E"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lang w:val="it-IT"/>
              </w:rPr>
              <w:t>0,10</w:t>
            </w:r>
          </w:p>
        </w:tc>
        <w:tc>
          <w:tcPr>
            <w:tcW w:w="580" w:type="dxa"/>
            <w:tcBorders>
              <w:top w:val="nil"/>
              <w:left w:val="nil"/>
              <w:bottom w:val="single" w:sz="4" w:space="0" w:color="auto"/>
              <w:right w:val="single" w:sz="4" w:space="0" w:color="auto"/>
            </w:tcBorders>
            <w:shd w:val="clear" w:color="auto" w:fill="auto"/>
            <w:vAlign w:val="center"/>
            <w:hideMark/>
          </w:tcPr>
          <w:p w14:paraId="36008DC9"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lang w:val="it-IT"/>
              </w:rPr>
              <w:t>0,05</w:t>
            </w:r>
          </w:p>
        </w:tc>
        <w:tc>
          <w:tcPr>
            <w:tcW w:w="640" w:type="dxa"/>
            <w:tcBorders>
              <w:top w:val="nil"/>
              <w:left w:val="nil"/>
              <w:bottom w:val="single" w:sz="4" w:space="0" w:color="auto"/>
              <w:right w:val="single" w:sz="4" w:space="0" w:color="auto"/>
            </w:tcBorders>
            <w:shd w:val="clear" w:color="auto" w:fill="auto"/>
            <w:vAlign w:val="center"/>
            <w:hideMark/>
          </w:tcPr>
          <w:p w14:paraId="4E4C33F5"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lang w:val="it-IT"/>
              </w:rPr>
              <w:t>0,025</w:t>
            </w:r>
          </w:p>
        </w:tc>
        <w:tc>
          <w:tcPr>
            <w:tcW w:w="580" w:type="dxa"/>
            <w:tcBorders>
              <w:top w:val="nil"/>
              <w:left w:val="nil"/>
              <w:bottom w:val="single" w:sz="4" w:space="0" w:color="auto"/>
              <w:right w:val="single" w:sz="4" w:space="0" w:color="auto"/>
            </w:tcBorders>
            <w:shd w:val="clear" w:color="auto" w:fill="auto"/>
            <w:vAlign w:val="center"/>
            <w:hideMark/>
          </w:tcPr>
          <w:p w14:paraId="5C7212F9"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lang w:val="it-IT"/>
              </w:rPr>
              <w:t>0,01</w:t>
            </w:r>
          </w:p>
        </w:tc>
        <w:tc>
          <w:tcPr>
            <w:tcW w:w="640" w:type="dxa"/>
            <w:tcBorders>
              <w:top w:val="nil"/>
              <w:left w:val="nil"/>
              <w:bottom w:val="single" w:sz="4" w:space="0" w:color="auto"/>
              <w:right w:val="single" w:sz="4" w:space="0" w:color="auto"/>
            </w:tcBorders>
            <w:shd w:val="clear" w:color="auto" w:fill="auto"/>
            <w:vAlign w:val="center"/>
            <w:hideMark/>
          </w:tcPr>
          <w:p w14:paraId="1F4EB38D"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lang w:val="it-IT"/>
              </w:rPr>
              <w:t>0,005</w:t>
            </w:r>
          </w:p>
        </w:tc>
      </w:tr>
      <w:tr w:rsidR="00423AB8" w:rsidRPr="00423AB8" w14:paraId="6757AB0D" w14:textId="77777777" w:rsidTr="00423AB8">
        <w:trPr>
          <w:trHeight w:val="405"/>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37B015A4" w14:textId="77777777" w:rsidR="00423AB8" w:rsidRPr="00423AB8" w:rsidRDefault="00423AB8" w:rsidP="0003797A">
            <w:pPr>
              <w:jc w:val="center"/>
              <w:rPr>
                <w:rFonts w:ascii="Andalus" w:eastAsia="Times New Roman" w:hAnsi="Andalus" w:cs="Andalus"/>
                <w:b/>
                <w:bCs/>
                <w:color w:val="000000"/>
                <w:sz w:val="18"/>
                <w:szCs w:val="18"/>
                <w:lang w:val="it-IT"/>
              </w:rPr>
            </w:pPr>
            <w:r w:rsidRPr="00423AB8">
              <w:rPr>
                <w:rFonts w:ascii="Andalus" w:eastAsia="Times New Roman" w:hAnsi="Andalus" w:cs="Andalus"/>
                <w:b/>
                <w:bCs/>
                <w:color w:val="000000"/>
                <w:sz w:val="18"/>
                <w:szCs w:val="18"/>
              </w:rPr>
              <w:t>Degrees of freedom</w:t>
            </w:r>
          </w:p>
        </w:tc>
        <w:tc>
          <w:tcPr>
            <w:tcW w:w="5680" w:type="dxa"/>
            <w:gridSpan w:val="10"/>
            <w:tcBorders>
              <w:top w:val="single" w:sz="4" w:space="0" w:color="auto"/>
              <w:left w:val="nil"/>
              <w:bottom w:val="single" w:sz="4" w:space="0" w:color="auto"/>
              <w:right w:val="single" w:sz="4" w:space="0" w:color="auto"/>
            </w:tcBorders>
            <w:shd w:val="clear" w:color="auto" w:fill="auto"/>
            <w:vAlign w:val="center"/>
            <w:hideMark/>
          </w:tcPr>
          <w:p w14:paraId="793AFF0E" w14:textId="77777777" w:rsidR="00423AB8" w:rsidRPr="00423AB8" w:rsidRDefault="00423AB8" w:rsidP="0003797A">
            <w:pPr>
              <w:jc w:val="center"/>
              <w:rPr>
                <w:rFonts w:ascii="Andalus" w:eastAsia="Times New Roman" w:hAnsi="Andalus" w:cs="Andalus"/>
                <w:b/>
                <w:bCs/>
                <w:color w:val="000000"/>
                <w:sz w:val="20"/>
                <w:szCs w:val="20"/>
                <w:lang w:val="it-IT"/>
              </w:rPr>
            </w:pPr>
            <w:r w:rsidRPr="00423AB8">
              <w:rPr>
                <w:rFonts w:ascii="Andalus" w:eastAsia="Times New Roman" w:hAnsi="Andalus" w:cs="Andalus"/>
                <w:b/>
                <w:bCs/>
                <w:color w:val="000000"/>
                <w:sz w:val="20"/>
                <w:szCs w:val="20"/>
                <w:lang w:val="it-IT"/>
              </w:rPr>
              <w:t>p-</w:t>
            </w:r>
            <w:proofErr w:type="spellStart"/>
            <w:r w:rsidRPr="00423AB8">
              <w:rPr>
                <w:rFonts w:ascii="Andalus" w:eastAsia="Times New Roman" w:hAnsi="Andalus" w:cs="Andalus"/>
                <w:b/>
                <w:bCs/>
                <w:color w:val="000000"/>
                <w:sz w:val="20"/>
                <w:szCs w:val="20"/>
                <w:lang w:val="it-IT"/>
              </w:rPr>
              <w:t>values</w:t>
            </w:r>
            <w:proofErr w:type="spellEnd"/>
          </w:p>
        </w:tc>
      </w:tr>
      <w:tr w:rsidR="00423AB8" w:rsidRPr="00423AB8" w14:paraId="65C1A9DD" w14:textId="77777777" w:rsidTr="00423AB8">
        <w:trPr>
          <w:trHeight w:val="45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294A1260" w14:textId="77777777" w:rsidR="00423AB8" w:rsidRPr="00423AB8" w:rsidRDefault="00423AB8" w:rsidP="0003797A">
            <w:pPr>
              <w:jc w:val="center"/>
              <w:rPr>
                <w:rFonts w:ascii="Andalus" w:eastAsia="Times New Roman" w:hAnsi="Andalus" w:cs="Andalus"/>
                <w:b/>
                <w:bCs/>
                <w:color w:val="000000"/>
                <w:lang w:val="it-IT"/>
              </w:rPr>
            </w:pPr>
            <w:r w:rsidRPr="00423AB8">
              <w:rPr>
                <w:rFonts w:ascii="Andalus" w:eastAsia="Times New Roman" w:hAnsi="Andalus" w:cs="Andalus"/>
                <w:b/>
                <w:bCs/>
                <w:color w:val="000000"/>
              </w:rPr>
              <w:t>8</w:t>
            </w:r>
          </w:p>
        </w:tc>
        <w:tc>
          <w:tcPr>
            <w:tcW w:w="520" w:type="dxa"/>
            <w:tcBorders>
              <w:top w:val="nil"/>
              <w:left w:val="nil"/>
              <w:bottom w:val="single" w:sz="4" w:space="0" w:color="auto"/>
              <w:right w:val="single" w:sz="4" w:space="0" w:color="auto"/>
            </w:tcBorders>
            <w:shd w:val="clear" w:color="auto" w:fill="auto"/>
            <w:vAlign w:val="center"/>
            <w:hideMark/>
          </w:tcPr>
          <w:p w14:paraId="19AFC1FF"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1,34</w:t>
            </w:r>
          </w:p>
        </w:tc>
        <w:tc>
          <w:tcPr>
            <w:tcW w:w="520" w:type="dxa"/>
            <w:tcBorders>
              <w:top w:val="nil"/>
              <w:left w:val="nil"/>
              <w:bottom w:val="single" w:sz="4" w:space="0" w:color="auto"/>
              <w:right w:val="single" w:sz="4" w:space="0" w:color="auto"/>
            </w:tcBorders>
            <w:shd w:val="clear" w:color="auto" w:fill="auto"/>
            <w:vAlign w:val="center"/>
            <w:hideMark/>
          </w:tcPr>
          <w:p w14:paraId="06B2144E"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1,65</w:t>
            </w:r>
          </w:p>
        </w:tc>
        <w:tc>
          <w:tcPr>
            <w:tcW w:w="520" w:type="dxa"/>
            <w:tcBorders>
              <w:top w:val="nil"/>
              <w:left w:val="nil"/>
              <w:bottom w:val="single" w:sz="4" w:space="0" w:color="auto"/>
              <w:right w:val="single" w:sz="4" w:space="0" w:color="auto"/>
            </w:tcBorders>
            <w:shd w:val="clear" w:color="auto" w:fill="auto"/>
            <w:vAlign w:val="center"/>
            <w:hideMark/>
          </w:tcPr>
          <w:p w14:paraId="78C19E71"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2,73</w:t>
            </w:r>
          </w:p>
        </w:tc>
        <w:tc>
          <w:tcPr>
            <w:tcW w:w="520" w:type="dxa"/>
            <w:tcBorders>
              <w:top w:val="nil"/>
              <w:left w:val="nil"/>
              <w:bottom w:val="single" w:sz="4" w:space="0" w:color="auto"/>
              <w:right w:val="single" w:sz="4" w:space="0" w:color="auto"/>
            </w:tcBorders>
            <w:shd w:val="clear" w:color="auto" w:fill="auto"/>
            <w:vAlign w:val="center"/>
            <w:hideMark/>
          </w:tcPr>
          <w:p w14:paraId="36E85867"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3,49</w:t>
            </w:r>
          </w:p>
        </w:tc>
        <w:tc>
          <w:tcPr>
            <w:tcW w:w="580" w:type="dxa"/>
            <w:tcBorders>
              <w:top w:val="nil"/>
              <w:left w:val="nil"/>
              <w:bottom w:val="single" w:sz="4" w:space="0" w:color="auto"/>
              <w:right w:val="single" w:sz="4" w:space="0" w:color="auto"/>
            </w:tcBorders>
            <w:shd w:val="clear" w:color="auto" w:fill="auto"/>
            <w:vAlign w:val="center"/>
            <w:hideMark/>
          </w:tcPr>
          <w:p w14:paraId="0A942AEF"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10,2</w:t>
            </w:r>
          </w:p>
        </w:tc>
        <w:tc>
          <w:tcPr>
            <w:tcW w:w="580" w:type="dxa"/>
            <w:tcBorders>
              <w:top w:val="nil"/>
              <w:left w:val="nil"/>
              <w:bottom w:val="single" w:sz="4" w:space="0" w:color="auto"/>
              <w:right w:val="single" w:sz="4" w:space="0" w:color="auto"/>
            </w:tcBorders>
            <w:shd w:val="clear" w:color="auto" w:fill="auto"/>
            <w:vAlign w:val="center"/>
            <w:hideMark/>
          </w:tcPr>
          <w:p w14:paraId="713FB92F"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13,4</w:t>
            </w:r>
          </w:p>
        </w:tc>
        <w:tc>
          <w:tcPr>
            <w:tcW w:w="580" w:type="dxa"/>
            <w:tcBorders>
              <w:top w:val="nil"/>
              <w:left w:val="nil"/>
              <w:bottom w:val="single" w:sz="4" w:space="0" w:color="auto"/>
              <w:right w:val="single" w:sz="4" w:space="0" w:color="auto"/>
            </w:tcBorders>
            <w:shd w:val="clear" w:color="auto" w:fill="auto"/>
            <w:vAlign w:val="center"/>
            <w:hideMark/>
          </w:tcPr>
          <w:p w14:paraId="34B04047"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15,5</w:t>
            </w:r>
          </w:p>
        </w:tc>
        <w:tc>
          <w:tcPr>
            <w:tcW w:w="640" w:type="dxa"/>
            <w:tcBorders>
              <w:top w:val="nil"/>
              <w:left w:val="nil"/>
              <w:bottom w:val="single" w:sz="4" w:space="0" w:color="auto"/>
              <w:right w:val="single" w:sz="4" w:space="0" w:color="auto"/>
            </w:tcBorders>
            <w:shd w:val="clear" w:color="auto" w:fill="auto"/>
            <w:vAlign w:val="center"/>
            <w:hideMark/>
          </w:tcPr>
          <w:p w14:paraId="689EB58A"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17,54</w:t>
            </w:r>
          </w:p>
        </w:tc>
        <w:tc>
          <w:tcPr>
            <w:tcW w:w="580" w:type="dxa"/>
            <w:tcBorders>
              <w:top w:val="nil"/>
              <w:left w:val="nil"/>
              <w:bottom w:val="single" w:sz="4" w:space="0" w:color="auto"/>
              <w:right w:val="single" w:sz="4" w:space="0" w:color="auto"/>
            </w:tcBorders>
            <w:shd w:val="clear" w:color="auto" w:fill="auto"/>
            <w:vAlign w:val="center"/>
            <w:hideMark/>
          </w:tcPr>
          <w:p w14:paraId="2BA74F7E"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20,1</w:t>
            </w:r>
          </w:p>
        </w:tc>
        <w:tc>
          <w:tcPr>
            <w:tcW w:w="640" w:type="dxa"/>
            <w:tcBorders>
              <w:top w:val="nil"/>
              <w:left w:val="nil"/>
              <w:bottom w:val="single" w:sz="4" w:space="0" w:color="auto"/>
              <w:right w:val="single" w:sz="4" w:space="0" w:color="auto"/>
            </w:tcBorders>
            <w:shd w:val="clear" w:color="auto" w:fill="auto"/>
            <w:vAlign w:val="center"/>
            <w:hideMark/>
          </w:tcPr>
          <w:p w14:paraId="4CA15EE1"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21,96</w:t>
            </w:r>
          </w:p>
        </w:tc>
      </w:tr>
      <w:tr w:rsidR="00423AB8" w:rsidRPr="00423AB8" w14:paraId="49D91FA0" w14:textId="77777777" w:rsidTr="00423AB8">
        <w:trPr>
          <w:trHeight w:val="45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19E721A" w14:textId="77777777" w:rsidR="00423AB8" w:rsidRPr="00423AB8" w:rsidRDefault="00423AB8" w:rsidP="0003797A">
            <w:pPr>
              <w:jc w:val="center"/>
              <w:rPr>
                <w:rFonts w:ascii="Andalus" w:eastAsia="Times New Roman" w:hAnsi="Andalus" w:cs="Andalus"/>
                <w:b/>
                <w:bCs/>
                <w:color w:val="000000"/>
                <w:lang w:val="it-IT"/>
              </w:rPr>
            </w:pPr>
            <w:r w:rsidRPr="00423AB8">
              <w:rPr>
                <w:rFonts w:ascii="Andalus" w:eastAsia="Times New Roman" w:hAnsi="Andalus" w:cs="Andalus"/>
                <w:b/>
                <w:bCs/>
                <w:color w:val="000000"/>
              </w:rPr>
              <w:t>9</w:t>
            </w:r>
          </w:p>
        </w:tc>
        <w:tc>
          <w:tcPr>
            <w:tcW w:w="520" w:type="dxa"/>
            <w:tcBorders>
              <w:top w:val="nil"/>
              <w:left w:val="nil"/>
              <w:bottom w:val="single" w:sz="4" w:space="0" w:color="auto"/>
              <w:right w:val="single" w:sz="4" w:space="0" w:color="auto"/>
            </w:tcBorders>
            <w:shd w:val="clear" w:color="auto" w:fill="auto"/>
            <w:vAlign w:val="center"/>
            <w:hideMark/>
          </w:tcPr>
          <w:p w14:paraId="468C4216"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1,74</w:t>
            </w:r>
          </w:p>
        </w:tc>
        <w:tc>
          <w:tcPr>
            <w:tcW w:w="520" w:type="dxa"/>
            <w:tcBorders>
              <w:top w:val="nil"/>
              <w:left w:val="nil"/>
              <w:bottom w:val="single" w:sz="4" w:space="0" w:color="auto"/>
              <w:right w:val="single" w:sz="4" w:space="0" w:color="auto"/>
            </w:tcBorders>
            <w:shd w:val="clear" w:color="auto" w:fill="auto"/>
            <w:vAlign w:val="center"/>
            <w:hideMark/>
          </w:tcPr>
          <w:p w14:paraId="0DD01C63"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2,09</w:t>
            </w:r>
          </w:p>
        </w:tc>
        <w:tc>
          <w:tcPr>
            <w:tcW w:w="520" w:type="dxa"/>
            <w:tcBorders>
              <w:top w:val="nil"/>
              <w:left w:val="nil"/>
              <w:bottom w:val="single" w:sz="4" w:space="0" w:color="auto"/>
              <w:right w:val="single" w:sz="4" w:space="0" w:color="auto"/>
            </w:tcBorders>
            <w:shd w:val="clear" w:color="auto" w:fill="auto"/>
            <w:vAlign w:val="center"/>
            <w:hideMark/>
          </w:tcPr>
          <w:p w14:paraId="03DDC601"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3,33</w:t>
            </w:r>
          </w:p>
        </w:tc>
        <w:tc>
          <w:tcPr>
            <w:tcW w:w="520" w:type="dxa"/>
            <w:tcBorders>
              <w:top w:val="nil"/>
              <w:left w:val="nil"/>
              <w:bottom w:val="single" w:sz="4" w:space="0" w:color="auto"/>
              <w:right w:val="single" w:sz="4" w:space="0" w:color="auto"/>
            </w:tcBorders>
            <w:shd w:val="clear" w:color="auto" w:fill="auto"/>
            <w:vAlign w:val="center"/>
            <w:hideMark/>
          </w:tcPr>
          <w:p w14:paraId="6E01C524"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4,17</w:t>
            </w:r>
          </w:p>
        </w:tc>
        <w:tc>
          <w:tcPr>
            <w:tcW w:w="580" w:type="dxa"/>
            <w:tcBorders>
              <w:top w:val="nil"/>
              <w:left w:val="nil"/>
              <w:bottom w:val="single" w:sz="4" w:space="0" w:color="auto"/>
              <w:right w:val="single" w:sz="4" w:space="0" w:color="auto"/>
            </w:tcBorders>
            <w:shd w:val="clear" w:color="auto" w:fill="auto"/>
            <w:vAlign w:val="center"/>
            <w:hideMark/>
          </w:tcPr>
          <w:p w14:paraId="54F4D96F"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11,4</w:t>
            </w:r>
          </w:p>
        </w:tc>
        <w:tc>
          <w:tcPr>
            <w:tcW w:w="580" w:type="dxa"/>
            <w:tcBorders>
              <w:top w:val="nil"/>
              <w:left w:val="nil"/>
              <w:bottom w:val="single" w:sz="4" w:space="0" w:color="auto"/>
              <w:right w:val="single" w:sz="4" w:space="0" w:color="auto"/>
            </w:tcBorders>
            <w:shd w:val="clear" w:color="auto" w:fill="auto"/>
            <w:vAlign w:val="center"/>
            <w:hideMark/>
          </w:tcPr>
          <w:p w14:paraId="50464BC5"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14,7</w:t>
            </w:r>
          </w:p>
        </w:tc>
        <w:tc>
          <w:tcPr>
            <w:tcW w:w="580" w:type="dxa"/>
            <w:tcBorders>
              <w:top w:val="nil"/>
              <w:left w:val="nil"/>
              <w:bottom w:val="single" w:sz="4" w:space="0" w:color="auto"/>
              <w:right w:val="single" w:sz="4" w:space="0" w:color="auto"/>
            </w:tcBorders>
            <w:shd w:val="clear" w:color="auto" w:fill="auto"/>
            <w:vAlign w:val="center"/>
            <w:hideMark/>
          </w:tcPr>
          <w:p w14:paraId="33D5933E"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16,9</w:t>
            </w:r>
          </w:p>
        </w:tc>
        <w:tc>
          <w:tcPr>
            <w:tcW w:w="640" w:type="dxa"/>
            <w:tcBorders>
              <w:top w:val="nil"/>
              <w:left w:val="nil"/>
              <w:bottom w:val="single" w:sz="4" w:space="0" w:color="auto"/>
              <w:right w:val="single" w:sz="4" w:space="0" w:color="auto"/>
            </w:tcBorders>
            <w:shd w:val="clear" w:color="auto" w:fill="auto"/>
            <w:vAlign w:val="center"/>
            <w:hideMark/>
          </w:tcPr>
          <w:p w14:paraId="237E80BA"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19,02</w:t>
            </w:r>
          </w:p>
        </w:tc>
        <w:tc>
          <w:tcPr>
            <w:tcW w:w="580" w:type="dxa"/>
            <w:tcBorders>
              <w:top w:val="nil"/>
              <w:left w:val="nil"/>
              <w:bottom w:val="single" w:sz="4" w:space="0" w:color="auto"/>
              <w:right w:val="single" w:sz="4" w:space="0" w:color="auto"/>
            </w:tcBorders>
            <w:shd w:val="clear" w:color="auto" w:fill="auto"/>
            <w:vAlign w:val="center"/>
            <w:hideMark/>
          </w:tcPr>
          <w:p w14:paraId="471D12D2"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21,7</w:t>
            </w:r>
          </w:p>
        </w:tc>
        <w:tc>
          <w:tcPr>
            <w:tcW w:w="640" w:type="dxa"/>
            <w:tcBorders>
              <w:top w:val="nil"/>
              <w:left w:val="nil"/>
              <w:bottom w:val="single" w:sz="4" w:space="0" w:color="auto"/>
              <w:right w:val="single" w:sz="4" w:space="0" w:color="auto"/>
            </w:tcBorders>
            <w:shd w:val="clear" w:color="auto" w:fill="auto"/>
            <w:vAlign w:val="center"/>
            <w:hideMark/>
          </w:tcPr>
          <w:p w14:paraId="4167E56B" w14:textId="77777777" w:rsidR="00423AB8" w:rsidRPr="00423AB8" w:rsidRDefault="00423AB8" w:rsidP="0003797A">
            <w:pPr>
              <w:jc w:val="center"/>
              <w:rPr>
                <w:rFonts w:ascii="Andalus" w:eastAsia="Times New Roman" w:hAnsi="Andalus" w:cs="Andalus"/>
                <w:color w:val="000000"/>
                <w:sz w:val="20"/>
                <w:szCs w:val="20"/>
                <w:lang w:val="it-IT"/>
              </w:rPr>
            </w:pPr>
            <w:r w:rsidRPr="00423AB8">
              <w:rPr>
                <w:rFonts w:ascii="Andalus" w:eastAsia="Times New Roman" w:hAnsi="Andalus" w:cs="Andalus"/>
                <w:color w:val="000000"/>
                <w:sz w:val="20"/>
                <w:szCs w:val="20"/>
              </w:rPr>
              <w:t>23,59</w:t>
            </w:r>
          </w:p>
        </w:tc>
      </w:tr>
    </w:tbl>
    <w:p w14:paraId="7FDAC1D3" w14:textId="40174CB3" w:rsidR="00EB15E5" w:rsidRPr="00EB15E5" w:rsidRDefault="00EB15E5" w:rsidP="00FA0300">
      <w:pPr>
        <w:spacing w:line="360" w:lineRule="auto"/>
        <w:jc w:val="both"/>
        <w:rPr>
          <w:rFonts w:cs="Andalus"/>
          <w:color w:val="000000" w:themeColor="text1"/>
        </w:rPr>
      </w:pPr>
    </w:p>
    <w:p w14:paraId="7AE55D98" w14:textId="77777777" w:rsidR="00A26CCE" w:rsidRDefault="00A26CCE"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bCs/>
        </w:rPr>
      </w:pPr>
    </w:p>
    <w:p w14:paraId="4C44869B" w14:textId="4611AB60" w:rsidR="00A26CCE" w:rsidRPr="0064130A" w:rsidRDefault="00EB15E5"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bCs/>
        </w:rPr>
      </w:pPr>
      <w:r w:rsidRPr="0064130A">
        <w:rPr>
          <w:rFonts w:cs="Helvetica"/>
          <w:b/>
          <w:bCs/>
        </w:rPr>
        <w:t>4. Results</w:t>
      </w:r>
    </w:p>
    <w:p w14:paraId="7BECC1D8" w14:textId="77777777" w:rsidR="00A26CCE" w:rsidRPr="0064130A" w:rsidRDefault="00A26CCE"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bCs/>
        </w:rPr>
      </w:pPr>
    </w:p>
    <w:p w14:paraId="1C16269C" w14:textId="1F3A8531" w:rsidR="00553839" w:rsidRPr="0064130A" w:rsidRDefault="00553839"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sidRPr="0064130A">
        <w:rPr>
          <w:rFonts w:cs="Helvetica"/>
          <w:bCs/>
        </w:rPr>
        <w:t>This section contains the analysis and the discussion of the</w:t>
      </w:r>
      <w:r w:rsidR="00A26CCE" w:rsidRPr="0064130A">
        <w:rPr>
          <w:rFonts w:cs="Helvetica"/>
          <w:bCs/>
        </w:rPr>
        <w:t xml:space="preserve"> results obtained from the </w:t>
      </w:r>
      <w:r w:rsidR="00A26CCE" w:rsidRPr="0064130A">
        <w:rPr>
          <w:rFonts w:cs="Helvetica"/>
          <w:bCs/>
        </w:rPr>
        <w:lastRenderedPageBreak/>
        <w:t>empirical experiment</w:t>
      </w:r>
      <w:r w:rsidR="00E7226C" w:rsidRPr="0064130A">
        <w:rPr>
          <w:rFonts w:cs="Helvetica"/>
          <w:bCs/>
        </w:rPr>
        <w:t xml:space="preserve">. </w:t>
      </w:r>
      <w:r w:rsidRPr="0064130A">
        <w:rPr>
          <w:rFonts w:cs="Helvetica"/>
          <w:bCs/>
        </w:rPr>
        <w:t xml:space="preserve">In particular, we aim at interpreting </w:t>
      </w:r>
      <w:r w:rsidR="00A26CCE" w:rsidRPr="0064130A">
        <w:rPr>
          <w:rFonts w:cs="Helvetica"/>
          <w:bCs/>
        </w:rPr>
        <w:t xml:space="preserve">the financial markets through the </w:t>
      </w:r>
      <w:r w:rsidRPr="0064130A">
        <w:rPr>
          <w:rFonts w:cs="Helvetica"/>
          <w:bCs/>
        </w:rPr>
        <w:t>assessment of the validity of the</w:t>
      </w:r>
      <w:r w:rsidR="00A26CCE" w:rsidRPr="0064130A">
        <w:rPr>
          <w:rFonts w:cs="Helvetica"/>
          <w:bCs/>
        </w:rPr>
        <w:t xml:space="preserve"> </w:t>
      </w:r>
      <w:r w:rsidR="004450D2">
        <w:rPr>
          <w:rFonts w:cs="Helvetica"/>
          <w:bCs/>
        </w:rPr>
        <w:t>BL, mainly when such a law is violated.</w:t>
      </w:r>
      <w:r w:rsidR="00A26CCE" w:rsidRPr="0064130A">
        <w:rPr>
          <w:rFonts w:cs="Helvetica"/>
          <w:bCs/>
        </w:rPr>
        <w:t xml:space="preserve"> </w:t>
      </w:r>
    </w:p>
    <w:p w14:paraId="44D57DFE" w14:textId="615B27FC" w:rsidR="00A26CCE" w:rsidRPr="0064130A" w:rsidRDefault="00553839"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sidRPr="0064130A">
        <w:rPr>
          <w:rFonts w:cs="Helvetica"/>
          <w:bCs/>
        </w:rPr>
        <w:t xml:space="preserve">The study has been performed at different levels. </w:t>
      </w:r>
      <w:r w:rsidR="00A26CCE" w:rsidRPr="0064130A">
        <w:rPr>
          <w:rFonts w:cs="Helvetica"/>
          <w:bCs/>
        </w:rPr>
        <w:t>First</w:t>
      </w:r>
      <w:r w:rsidRPr="0064130A">
        <w:rPr>
          <w:rFonts w:cs="Helvetica"/>
          <w:bCs/>
        </w:rPr>
        <w:t>,</w:t>
      </w:r>
      <w:r w:rsidR="00A26CCE" w:rsidRPr="0064130A">
        <w:rPr>
          <w:rFonts w:cs="Helvetica"/>
          <w:bCs/>
        </w:rPr>
        <w:t xml:space="preserve"> we have </w:t>
      </w:r>
      <w:r w:rsidRPr="0064130A">
        <w:rPr>
          <w:rFonts w:cs="Helvetica"/>
          <w:bCs/>
        </w:rPr>
        <w:t>dealt with</w:t>
      </w:r>
      <w:r w:rsidR="00A26CCE" w:rsidRPr="0064130A">
        <w:rPr>
          <w:rFonts w:cs="Helvetica"/>
          <w:bCs/>
        </w:rPr>
        <w:t xml:space="preserve"> the indexes with </w:t>
      </w:r>
      <w:r w:rsidRPr="0064130A">
        <w:rPr>
          <w:rFonts w:cs="Helvetica"/>
          <w:bCs/>
        </w:rPr>
        <w:t>more than 100 components, in order to have consistency in the respect of the cardinality of the dataset</w:t>
      </w:r>
      <w:r w:rsidR="00A26CCE" w:rsidRPr="0064130A">
        <w:rPr>
          <w:rFonts w:cs="Helvetica"/>
          <w:bCs/>
        </w:rPr>
        <w:t>.</w:t>
      </w:r>
      <w:r w:rsidR="004450D2">
        <w:rPr>
          <w:rFonts w:cs="Helvetica"/>
          <w:bCs/>
        </w:rPr>
        <w:t xml:space="preserve"> In this respect, we recall that a large dataset is a requirement for checking the validity of the BL.</w:t>
      </w:r>
      <w:r w:rsidR="00A26CCE" w:rsidRPr="0064130A">
        <w:rPr>
          <w:rFonts w:cs="Helvetica"/>
          <w:bCs/>
        </w:rPr>
        <w:t xml:space="preserve"> </w:t>
      </w:r>
      <w:r w:rsidRPr="0064130A">
        <w:rPr>
          <w:rFonts w:cs="Helvetica"/>
          <w:bCs/>
        </w:rPr>
        <w:t xml:space="preserve">Second, </w:t>
      </w:r>
      <w:r w:rsidR="00A26CCE" w:rsidRPr="0064130A">
        <w:rPr>
          <w:rFonts w:cs="Helvetica"/>
          <w:bCs/>
        </w:rPr>
        <w:t xml:space="preserve">we have </w:t>
      </w:r>
      <w:r w:rsidRPr="0064130A">
        <w:rPr>
          <w:rFonts w:cs="Helvetica"/>
          <w:bCs/>
        </w:rPr>
        <w:t>carried out the</w:t>
      </w:r>
      <w:r w:rsidR="00A26CCE" w:rsidRPr="0064130A">
        <w:rPr>
          <w:rFonts w:cs="Helvetica"/>
          <w:bCs/>
        </w:rPr>
        <w:t xml:space="preserve"> analysis o</w:t>
      </w:r>
      <w:r w:rsidRPr="0064130A">
        <w:rPr>
          <w:rFonts w:cs="Helvetica"/>
          <w:bCs/>
        </w:rPr>
        <w:t>f the</w:t>
      </w:r>
      <w:r w:rsidR="00A26CCE" w:rsidRPr="0064130A">
        <w:rPr>
          <w:rFonts w:cs="Helvetica"/>
          <w:bCs/>
        </w:rPr>
        <w:t xml:space="preserve"> indexes </w:t>
      </w:r>
      <w:r w:rsidRPr="0064130A">
        <w:rPr>
          <w:rFonts w:cs="Helvetica"/>
          <w:bCs/>
        </w:rPr>
        <w:t>aggregated in terms of geographical area</w:t>
      </w:r>
      <w:r w:rsidR="004450D2">
        <w:rPr>
          <w:rFonts w:cs="Helvetica"/>
          <w:bCs/>
        </w:rPr>
        <w:t>s</w:t>
      </w:r>
      <w:r w:rsidRPr="0064130A">
        <w:rPr>
          <w:rFonts w:cs="Helvetica"/>
          <w:bCs/>
        </w:rPr>
        <w:t xml:space="preserve"> of the relative markets. Third, </w:t>
      </w:r>
      <w:r w:rsidR="00A26CCE" w:rsidRPr="0064130A">
        <w:rPr>
          <w:rFonts w:cs="Helvetica"/>
          <w:bCs/>
        </w:rPr>
        <w:t>we have analysed all the indexes together to have a general picture of the world situation.</w:t>
      </w:r>
    </w:p>
    <w:p w14:paraId="4D4F634C" w14:textId="633512DA" w:rsidR="00A26CCE" w:rsidRPr="0064130A" w:rsidRDefault="00A26CCE"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sidRPr="0064130A">
        <w:rPr>
          <w:rFonts w:cs="Helvetica"/>
          <w:bCs/>
        </w:rPr>
        <w:t>In the table</w:t>
      </w:r>
      <w:r w:rsidR="00467BE7" w:rsidRPr="0064130A">
        <w:rPr>
          <w:rFonts w:cs="Helvetica"/>
          <w:bCs/>
        </w:rPr>
        <w:t>s</w:t>
      </w:r>
      <w:r w:rsidRPr="0064130A">
        <w:rPr>
          <w:rFonts w:cs="Helvetica"/>
          <w:bCs/>
        </w:rPr>
        <w:t xml:space="preserve"> below</w:t>
      </w:r>
      <w:r w:rsidR="00467BE7" w:rsidRPr="0064130A">
        <w:rPr>
          <w:rFonts w:cs="Helvetica"/>
          <w:bCs/>
        </w:rPr>
        <w:t xml:space="preserve"> (</w:t>
      </w:r>
      <w:r w:rsidR="00553839" w:rsidRPr="0064130A">
        <w:rPr>
          <w:rFonts w:cs="Helvetica"/>
          <w:bCs/>
        </w:rPr>
        <w:t>T</w:t>
      </w:r>
      <w:r w:rsidR="00467BE7" w:rsidRPr="0064130A">
        <w:rPr>
          <w:rFonts w:cs="Helvetica"/>
          <w:bCs/>
        </w:rPr>
        <w:t>able</w:t>
      </w:r>
      <w:r w:rsidR="00553839" w:rsidRPr="0064130A">
        <w:rPr>
          <w:rFonts w:cs="Helvetica"/>
          <w:bCs/>
        </w:rPr>
        <w:t>s</w:t>
      </w:r>
      <w:r w:rsidR="00467BE7" w:rsidRPr="0064130A">
        <w:rPr>
          <w:rFonts w:cs="Helvetica"/>
          <w:bCs/>
        </w:rPr>
        <w:t xml:space="preserve"> 3 and 4)</w:t>
      </w:r>
      <w:r w:rsidRPr="0064130A">
        <w:rPr>
          <w:rFonts w:cs="Helvetica"/>
          <w:bCs/>
        </w:rPr>
        <w:t xml:space="preserve"> </w:t>
      </w:r>
      <w:r w:rsidR="00EC09AB" w:rsidRPr="0064130A">
        <w:rPr>
          <w:rFonts w:cs="Helvetica"/>
          <w:bCs/>
        </w:rPr>
        <w:t xml:space="preserve">one can find </w:t>
      </w:r>
      <w:r w:rsidRPr="0064130A">
        <w:rPr>
          <w:rFonts w:cs="Helvetica"/>
          <w:bCs/>
        </w:rPr>
        <w:t xml:space="preserve">the results of </w:t>
      </w:r>
      <w:r w:rsidR="00EC09AB" w:rsidRPr="0064130A">
        <w:rPr>
          <w:rFonts w:cs="Helvetica"/>
          <w:bCs/>
        </w:rPr>
        <w:t xml:space="preserve">the </w:t>
      </w:r>
      <m:oMath>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oMath>
      <w:r w:rsidRPr="0064130A">
        <w:rPr>
          <w:rFonts w:cs="Helvetica"/>
          <w:bCs/>
        </w:rPr>
        <w:t xml:space="preserve"> </w:t>
      </w:r>
      <w:r w:rsidR="00CD32EF" w:rsidRPr="0064130A">
        <w:rPr>
          <w:rFonts w:cs="Helvetica"/>
          <w:bCs/>
        </w:rPr>
        <w:t xml:space="preserve">test for </w:t>
      </w:r>
      <w:r w:rsidR="00EC09AB" w:rsidRPr="0064130A">
        <w:rPr>
          <w:rFonts w:cs="Helvetica"/>
          <w:bCs/>
        </w:rPr>
        <w:t xml:space="preserve">the </w:t>
      </w:r>
      <w:r w:rsidR="00CD32EF" w:rsidRPr="0064130A">
        <w:rPr>
          <w:rFonts w:cs="Helvetica"/>
          <w:bCs/>
        </w:rPr>
        <w:t xml:space="preserve">indexes </w:t>
      </w:r>
      <w:r w:rsidR="00EC09AB" w:rsidRPr="0064130A">
        <w:rPr>
          <w:rFonts w:cs="Helvetica"/>
          <w:bCs/>
        </w:rPr>
        <w:t xml:space="preserve">with more than 100 components and </w:t>
      </w:r>
      <w:r w:rsidR="00467BE7" w:rsidRPr="0064130A">
        <w:rPr>
          <w:rFonts w:cs="Helvetica"/>
          <w:bCs/>
        </w:rPr>
        <w:t>for</w:t>
      </w:r>
      <w:r w:rsidR="00EC09AB" w:rsidRPr="0064130A">
        <w:rPr>
          <w:rFonts w:cs="Helvetica"/>
          <w:bCs/>
        </w:rPr>
        <w:t xml:space="preserve"> the</w:t>
      </w:r>
      <w:r w:rsidR="00467BE7" w:rsidRPr="0064130A">
        <w:rPr>
          <w:rFonts w:cs="Helvetica"/>
          <w:bCs/>
        </w:rPr>
        <w:t xml:space="preserve"> geographic areas.</w:t>
      </w:r>
    </w:p>
    <w:p w14:paraId="57D768BF" w14:textId="77777777" w:rsidR="00467BE7" w:rsidRPr="0064130A" w:rsidRDefault="00467BE7"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p>
    <w:tbl>
      <w:tblPr>
        <w:tblStyle w:val="Grigliatabella"/>
        <w:tblpPr w:leftFromText="141" w:rightFromText="141" w:vertAnchor="text" w:horzAnchor="page" w:tblpXSpec="center" w:tblpY="722"/>
        <w:tblW w:w="9884" w:type="dxa"/>
        <w:tblBorders>
          <w:left w:val="none" w:sz="0" w:space="0" w:color="auto"/>
          <w:right w:val="none" w:sz="0" w:space="0" w:color="auto"/>
          <w:insideV w:val="none" w:sz="0" w:space="0" w:color="auto"/>
        </w:tblBorders>
        <w:tblLook w:val="04A0" w:firstRow="1" w:lastRow="0" w:firstColumn="1" w:lastColumn="0" w:noHBand="0" w:noVBand="1"/>
      </w:tblPr>
      <w:tblGrid>
        <w:gridCol w:w="2797"/>
        <w:gridCol w:w="1816"/>
        <w:gridCol w:w="1728"/>
        <w:gridCol w:w="1842"/>
        <w:gridCol w:w="1701"/>
      </w:tblGrid>
      <w:tr w:rsidR="00A26CCE" w:rsidRPr="00252DF3" w14:paraId="52F927A4" w14:textId="77777777" w:rsidTr="000167B0">
        <w:tc>
          <w:tcPr>
            <w:tcW w:w="2797" w:type="dxa"/>
          </w:tcPr>
          <w:p w14:paraId="79A13545"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p>
        </w:tc>
        <w:tc>
          <w:tcPr>
            <w:tcW w:w="1816" w:type="dxa"/>
          </w:tcPr>
          <w:p w14:paraId="38859007" w14:textId="1AF866A1" w:rsidR="00A26CCE" w:rsidRPr="00252DF3" w:rsidRDefault="00A26CCE" w:rsidP="000E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Andalus"/>
                <w:sz w:val="18"/>
                <w:szCs w:val="18"/>
              </w:rPr>
              <w:t>1</w:t>
            </w:r>
            <w:r w:rsidRPr="00252DF3">
              <w:rPr>
                <w:rFonts w:cs="Andalus"/>
                <w:sz w:val="18"/>
                <w:szCs w:val="18"/>
                <w:vertAlign w:val="superscript"/>
              </w:rPr>
              <w:t xml:space="preserve">st </w:t>
            </w:r>
            <w:r w:rsidR="000E3671" w:rsidRPr="00252DF3">
              <w:rPr>
                <w:rFonts w:cs="Andalus"/>
                <w:sz w:val="18"/>
                <w:szCs w:val="18"/>
              </w:rPr>
              <w:t>digit volume</w:t>
            </w:r>
          </w:p>
        </w:tc>
        <w:tc>
          <w:tcPr>
            <w:tcW w:w="1728" w:type="dxa"/>
          </w:tcPr>
          <w:p w14:paraId="76F32F09" w14:textId="1BE6B3A0" w:rsidR="00A26CCE" w:rsidRPr="00252DF3" w:rsidRDefault="00A26CCE" w:rsidP="000E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Andalus"/>
                <w:sz w:val="18"/>
              </w:rPr>
              <w:t>1</w:t>
            </w:r>
            <w:r w:rsidRPr="00252DF3">
              <w:rPr>
                <w:rFonts w:cs="Andalus"/>
                <w:sz w:val="18"/>
                <w:vertAlign w:val="superscript"/>
              </w:rPr>
              <w:t xml:space="preserve">st </w:t>
            </w:r>
            <w:r w:rsidR="000E3671" w:rsidRPr="00252DF3">
              <w:rPr>
                <w:rFonts w:cs="Andalus"/>
                <w:sz w:val="18"/>
              </w:rPr>
              <w:t>digit price</w:t>
            </w:r>
          </w:p>
        </w:tc>
        <w:tc>
          <w:tcPr>
            <w:tcW w:w="1842" w:type="dxa"/>
          </w:tcPr>
          <w:p w14:paraId="6A606BF2" w14:textId="32DB2DAF" w:rsidR="00A26CCE" w:rsidRPr="00252DF3" w:rsidRDefault="00A26CCE" w:rsidP="000E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Andalus"/>
                <w:sz w:val="18"/>
              </w:rPr>
              <w:t>2</w:t>
            </w:r>
            <w:r w:rsidRPr="00252DF3">
              <w:rPr>
                <w:rFonts w:cs="Andalus"/>
                <w:sz w:val="18"/>
                <w:vertAlign w:val="superscript"/>
              </w:rPr>
              <w:t>nd</w:t>
            </w:r>
            <w:r w:rsidRPr="00252DF3">
              <w:rPr>
                <w:rFonts w:cs="Andalus"/>
                <w:sz w:val="18"/>
              </w:rPr>
              <w:t xml:space="preserve"> </w:t>
            </w:r>
            <w:r w:rsidR="000E3671" w:rsidRPr="00252DF3">
              <w:rPr>
                <w:rFonts w:cs="Andalus"/>
                <w:sz w:val="18"/>
              </w:rPr>
              <w:t>digit volume</w:t>
            </w:r>
          </w:p>
        </w:tc>
        <w:tc>
          <w:tcPr>
            <w:tcW w:w="1701" w:type="dxa"/>
          </w:tcPr>
          <w:p w14:paraId="101A108A" w14:textId="15397E26" w:rsidR="00A26CCE" w:rsidRPr="00252DF3" w:rsidRDefault="00A26CCE" w:rsidP="000E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Andalus"/>
                <w:sz w:val="18"/>
              </w:rPr>
              <w:t>2</w:t>
            </w:r>
            <w:r w:rsidRPr="00252DF3">
              <w:rPr>
                <w:rFonts w:cs="Andalus"/>
                <w:sz w:val="18"/>
                <w:vertAlign w:val="superscript"/>
              </w:rPr>
              <w:t>nd</w:t>
            </w:r>
            <w:r w:rsidRPr="00252DF3">
              <w:rPr>
                <w:rFonts w:cs="Andalus"/>
                <w:sz w:val="18"/>
              </w:rPr>
              <w:t xml:space="preserve"> </w:t>
            </w:r>
            <w:r w:rsidR="000E3671" w:rsidRPr="00252DF3">
              <w:rPr>
                <w:rFonts w:cs="Andalus"/>
                <w:sz w:val="18"/>
              </w:rPr>
              <w:t>digit price</w:t>
            </w:r>
          </w:p>
        </w:tc>
      </w:tr>
      <w:tr w:rsidR="00A26CCE" w:rsidRPr="00252DF3" w14:paraId="62BBCBEF" w14:textId="77777777" w:rsidTr="000167B0">
        <w:tc>
          <w:tcPr>
            <w:tcW w:w="2797" w:type="dxa"/>
          </w:tcPr>
          <w:p w14:paraId="3B72B08B"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sz w:val="24"/>
                <w:szCs w:val="24"/>
              </w:rPr>
            </w:pPr>
            <w:r w:rsidRPr="00252DF3">
              <w:rPr>
                <w:rFonts w:cs="Andalus"/>
                <w:sz w:val="24"/>
                <w:szCs w:val="24"/>
              </w:rPr>
              <w:t>FTSE ITALIA SMALL CAP</w:t>
            </w:r>
          </w:p>
        </w:tc>
        <w:tc>
          <w:tcPr>
            <w:tcW w:w="1816" w:type="dxa"/>
          </w:tcPr>
          <w:p w14:paraId="39EBA8E7" w14:textId="357FF293" w:rsidR="00A26CCE" w:rsidRPr="00252DF3" w:rsidRDefault="006A2B88"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8,89418683</w:t>
            </w:r>
          </w:p>
        </w:tc>
        <w:tc>
          <w:tcPr>
            <w:tcW w:w="1728" w:type="dxa"/>
          </w:tcPr>
          <w:p w14:paraId="20BB68AE"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12,2156522</w:t>
            </w:r>
          </w:p>
        </w:tc>
        <w:tc>
          <w:tcPr>
            <w:tcW w:w="1842" w:type="dxa"/>
          </w:tcPr>
          <w:p w14:paraId="50ABAEFB"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6,72392148</w:t>
            </w:r>
          </w:p>
        </w:tc>
        <w:tc>
          <w:tcPr>
            <w:tcW w:w="1701" w:type="dxa"/>
          </w:tcPr>
          <w:p w14:paraId="6564AFDE"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10,7901592</w:t>
            </w:r>
          </w:p>
        </w:tc>
      </w:tr>
      <w:tr w:rsidR="00A26CCE" w:rsidRPr="00252DF3" w14:paraId="59EAE3FA" w14:textId="77777777" w:rsidTr="000167B0">
        <w:tc>
          <w:tcPr>
            <w:tcW w:w="2797" w:type="dxa"/>
          </w:tcPr>
          <w:p w14:paraId="598B8C6E"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sz w:val="24"/>
                <w:szCs w:val="24"/>
              </w:rPr>
            </w:pPr>
            <w:r w:rsidRPr="00252DF3">
              <w:rPr>
                <w:rFonts w:cs="Andalus"/>
                <w:sz w:val="24"/>
                <w:szCs w:val="24"/>
              </w:rPr>
              <w:t>FTSE ITALIA ALL SHARE</w:t>
            </w:r>
          </w:p>
        </w:tc>
        <w:tc>
          <w:tcPr>
            <w:tcW w:w="1816" w:type="dxa"/>
          </w:tcPr>
          <w:p w14:paraId="5997346C"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17,7539262</w:t>
            </w:r>
          </w:p>
        </w:tc>
        <w:tc>
          <w:tcPr>
            <w:tcW w:w="1728" w:type="dxa"/>
          </w:tcPr>
          <w:p w14:paraId="18C2F29F"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4,28808661</w:t>
            </w:r>
          </w:p>
        </w:tc>
        <w:tc>
          <w:tcPr>
            <w:tcW w:w="1842" w:type="dxa"/>
          </w:tcPr>
          <w:p w14:paraId="09E27A02"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4,95303644</w:t>
            </w:r>
          </w:p>
        </w:tc>
        <w:tc>
          <w:tcPr>
            <w:tcW w:w="1701" w:type="dxa"/>
          </w:tcPr>
          <w:p w14:paraId="506F53B3"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7,41873505</w:t>
            </w:r>
          </w:p>
        </w:tc>
      </w:tr>
      <w:tr w:rsidR="00A26CCE" w:rsidRPr="00252DF3" w14:paraId="18A97A23" w14:textId="77777777" w:rsidTr="000167B0">
        <w:tc>
          <w:tcPr>
            <w:tcW w:w="2797" w:type="dxa"/>
          </w:tcPr>
          <w:p w14:paraId="2338C184"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sz w:val="24"/>
                <w:szCs w:val="24"/>
              </w:rPr>
            </w:pPr>
            <w:r w:rsidRPr="00252DF3">
              <w:rPr>
                <w:rFonts w:cs="Andalus"/>
                <w:sz w:val="24"/>
                <w:szCs w:val="24"/>
              </w:rPr>
              <w:t>OSE ALL SHARE</w:t>
            </w:r>
          </w:p>
        </w:tc>
        <w:tc>
          <w:tcPr>
            <w:tcW w:w="1816" w:type="dxa"/>
          </w:tcPr>
          <w:p w14:paraId="5364BAAC"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9,46096051</w:t>
            </w:r>
          </w:p>
        </w:tc>
        <w:tc>
          <w:tcPr>
            <w:tcW w:w="1728" w:type="dxa"/>
          </w:tcPr>
          <w:p w14:paraId="5A5A2A88"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9,25376369</w:t>
            </w:r>
          </w:p>
        </w:tc>
        <w:tc>
          <w:tcPr>
            <w:tcW w:w="1842" w:type="dxa"/>
          </w:tcPr>
          <w:p w14:paraId="501E7946"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2,44966909</w:t>
            </w:r>
          </w:p>
        </w:tc>
        <w:tc>
          <w:tcPr>
            <w:tcW w:w="1701" w:type="dxa"/>
          </w:tcPr>
          <w:p w14:paraId="3C1F526A"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8,02013759</w:t>
            </w:r>
          </w:p>
        </w:tc>
      </w:tr>
      <w:tr w:rsidR="00A26CCE" w:rsidRPr="00252DF3" w14:paraId="2B901DC3" w14:textId="77777777" w:rsidTr="000167B0">
        <w:tc>
          <w:tcPr>
            <w:tcW w:w="2797" w:type="dxa"/>
          </w:tcPr>
          <w:p w14:paraId="38BF4B16"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sz w:val="24"/>
                <w:szCs w:val="24"/>
              </w:rPr>
            </w:pPr>
            <w:r w:rsidRPr="00252DF3">
              <w:rPr>
                <w:rFonts w:cs="Andalus"/>
                <w:sz w:val="24"/>
                <w:szCs w:val="24"/>
              </w:rPr>
              <w:t>NASDAQ COMPOSITE</w:t>
            </w:r>
          </w:p>
        </w:tc>
        <w:tc>
          <w:tcPr>
            <w:tcW w:w="1816" w:type="dxa"/>
            <w:vAlign w:val="center"/>
          </w:tcPr>
          <w:p w14:paraId="1DB05194"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14,50280609</w:t>
            </w:r>
          </w:p>
        </w:tc>
        <w:tc>
          <w:tcPr>
            <w:tcW w:w="1728" w:type="dxa"/>
          </w:tcPr>
          <w:p w14:paraId="1036524A"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93,43717036</w:t>
            </w:r>
          </w:p>
        </w:tc>
        <w:tc>
          <w:tcPr>
            <w:tcW w:w="1842" w:type="dxa"/>
          </w:tcPr>
          <w:p w14:paraId="0EFFAB37"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7,430743972</w:t>
            </w:r>
          </w:p>
        </w:tc>
        <w:tc>
          <w:tcPr>
            <w:tcW w:w="1701" w:type="dxa"/>
            <w:vAlign w:val="center"/>
          </w:tcPr>
          <w:p w14:paraId="015817A7"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12,38956914</w:t>
            </w:r>
          </w:p>
        </w:tc>
      </w:tr>
      <w:tr w:rsidR="00A26CCE" w:rsidRPr="00252DF3" w14:paraId="54F64997" w14:textId="77777777" w:rsidTr="000167B0">
        <w:tc>
          <w:tcPr>
            <w:tcW w:w="2797" w:type="dxa"/>
          </w:tcPr>
          <w:p w14:paraId="52D28F3E"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sz w:val="24"/>
                <w:szCs w:val="24"/>
              </w:rPr>
            </w:pPr>
            <w:r w:rsidRPr="00252DF3">
              <w:rPr>
                <w:rFonts w:cs="Andalus"/>
                <w:sz w:val="24"/>
                <w:szCs w:val="24"/>
              </w:rPr>
              <w:t>NASDAQ 100</w:t>
            </w:r>
          </w:p>
        </w:tc>
        <w:tc>
          <w:tcPr>
            <w:tcW w:w="1816" w:type="dxa"/>
            <w:vAlign w:val="center"/>
          </w:tcPr>
          <w:p w14:paraId="72CE14D9"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8,02891215</w:t>
            </w:r>
          </w:p>
        </w:tc>
        <w:tc>
          <w:tcPr>
            <w:tcW w:w="1728" w:type="dxa"/>
          </w:tcPr>
          <w:p w14:paraId="6702D0C0"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19,109046</w:t>
            </w:r>
          </w:p>
        </w:tc>
        <w:tc>
          <w:tcPr>
            <w:tcW w:w="1842" w:type="dxa"/>
          </w:tcPr>
          <w:p w14:paraId="720F42C5"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4,78071238</w:t>
            </w:r>
          </w:p>
        </w:tc>
        <w:tc>
          <w:tcPr>
            <w:tcW w:w="1701" w:type="dxa"/>
          </w:tcPr>
          <w:p w14:paraId="4E81646B"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13,0184766</w:t>
            </w:r>
          </w:p>
        </w:tc>
      </w:tr>
      <w:tr w:rsidR="00A26CCE" w:rsidRPr="00252DF3" w14:paraId="214D66F2" w14:textId="77777777" w:rsidTr="00467BE7">
        <w:trPr>
          <w:trHeight w:val="228"/>
        </w:trPr>
        <w:tc>
          <w:tcPr>
            <w:tcW w:w="2797" w:type="dxa"/>
          </w:tcPr>
          <w:p w14:paraId="07721534"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sz w:val="24"/>
                <w:szCs w:val="24"/>
              </w:rPr>
            </w:pPr>
            <w:r w:rsidRPr="00252DF3">
              <w:rPr>
                <w:rFonts w:cs="Andalus"/>
                <w:sz w:val="24"/>
                <w:szCs w:val="24"/>
              </w:rPr>
              <w:t>JAKARTA COMPOSITE</w:t>
            </w:r>
          </w:p>
        </w:tc>
        <w:tc>
          <w:tcPr>
            <w:tcW w:w="1816" w:type="dxa"/>
            <w:vAlign w:val="center"/>
          </w:tcPr>
          <w:p w14:paraId="3EA41C38"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rPr>
            </w:pPr>
            <w:r w:rsidRPr="00252DF3">
              <w:rPr>
                <w:rFonts w:cs="Calibri"/>
              </w:rPr>
              <w:t>8,788330727</w:t>
            </w:r>
          </w:p>
        </w:tc>
        <w:tc>
          <w:tcPr>
            <w:tcW w:w="1728" w:type="dxa"/>
          </w:tcPr>
          <w:p w14:paraId="38DB7041"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rPr>
            </w:pPr>
            <w:r w:rsidRPr="00252DF3">
              <w:rPr>
                <w:rFonts w:cs="Calibri"/>
              </w:rPr>
              <w:t>15,27951537</w:t>
            </w:r>
          </w:p>
        </w:tc>
        <w:tc>
          <w:tcPr>
            <w:tcW w:w="1842" w:type="dxa"/>
          </w:tcPr>
          <w:p w14:paraId="556E3445"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rPr>
            </w:pPr>
            <w:r w:rsidRPr="00252DF3">
              <w:rPr>
                <w:rFonts w:cs="Calibri"/>
              </w:rPr>
              <w:t>5,742951162</w:t>
            </w:r>
          </w:p>
        </w:tc>
        <w:tc>
          <w:tcPr>
            <w:tcW w:w="1701" w:type="dxa"/>
          </w:tcPr>
          <w:p w14:paraId="7FD81FEB" w14:textId="77777777" w:rsidR="00A26CCE" w:rsidRPr="00252DF3" w:rsidRDefault="00A26CCE"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rPr>
            </w:pPr>
            <w:r w:rsidRPr="00252DF3">
              <w:rPr>
                <w:rFonts w:cs="Calibri"/>
              </w:rPr>
              <w:t>12,88689165</w:t>
            </w:r>
          </w:p>
        </w:tc>
      </w:tr>
    </w:tbl>
    <w:p w14:paraId="31730D09" w14:textId="7E915A11" w:rsidR="00A26CCE" w:rsidRPr="00252DF3" w:rsidRDefault="005C79DE"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sidRPr="00252DF3">
        <w:rPr>
          <w:rFonts w:cs="Helvetica"/>
          <w:bCs/>
        </w:rPr>
        <w:t xml:space="preserve">Table 3. </w:t>
      </w:r>
      <w:r w:rsidR="00EC09AB">
        <w:rPr>
          <w:rFonts w:cs="Arial"/>
        </w:rPr>
        <w:t xml:space="preserve"> </w:t>
      </w:r>
      <m:oMath>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oMath>
      <w:r w:rsidRPr="00252DF3">
        <w:rPr>
          <w:rFonts w:cs="Helvetica"/>
          <w:bCs/>
        </w:rPr>
        <w:t xml:space="preserve"> test performed for individual indexes with more than 100 components.</w:t>
      </w:r>
    </w:p>
    <w:p w14:paraId="7DC8CD3C" w14:textId="77777777" w:rsidR="00A26CCE" w:rsidRDefault="00A26CCE"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p>
    <w:p w14:paraId="7D3749C0" w14:textId="77777777" w:rsidR="00A71599" w:rsidRDefault="00A71599"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p>
    <w:p w14:paraId="4D15415C" w14:textId="77777777" w:rsidR="00A71599" w:rsidRDefault="00A71599"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p>
    <w:p w14:paraId="437954F1" w14:textId="77777777" w:rsidR="00A71599" w:rsidRDefault="00A71599"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p>
    <w:p w14:paraId="20BC7852" w14:textId="77777777" w:rsidR="00A71599" w:rsidRDefault="00A71599"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p>
    <w:p w14:paraId="0B3F4CE0" w14:textId="77777777" w:rsidR="00A71599" w:rsidRPr="00252DF3" w:rsidRDefault="00A71599"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p>
    <w:tbl>
      <w:tblPr>
        <w:tblStyle w:val="Grigliatabella"/>
        <w:tblpPr w:leftFromText="141" w:rightFromText="141" w:vertAnchor="text" w:horzAnchor="page" w:tblpXSpec="center" w:tblpY="722"/>
        <w:tblW w:w="9884" w:type="dxa"/>
        <w:tblBorders>
          <w:left w:val="none" w:sz="0" w:space="0" w:color="auto"/>
          <w:right w:val="none" w:sz="0" w:space="0" w:color="auto"/>
          <w:insideV w:val="none" w:sz="0" w:space="0" w:color="auto"/>
        </w:tblBorders>
        <w:tblLook w:val="04A0" w:firstRow="1" w:lastRow="0" w:firstColumn="1" w:lastColumn="0" w:noHBand="0" w:noVBand="1"/>
      </w:tblPr>
      <w:tblGrid>
        <w:gridCol w:w="2797"/>
        <w:gridCol w:w="1816"/>
        <w:gridCol w:w="1728"/>
        <w:gridCol w:w="1842"/>
        <w:gridCol w:w="1701"/>
      </w:tblGrid>
      <w:tr w:rsidR="000167B0" w:rsidRPr="00252DF3" w14:paraId="1F227521" w14:textId="77777777" w:rsidTr="000167B0">
        <w:tc>
          <w:tcPr>
            <w:tcW w:w="2797" w:type="dxa"/>
          </w:tcPr>
          <w:p w14:paraId="0F6D9829" w14:textId="77777777" w:rsidR="000167B0" w:rsidRPr="00252DF3" w:rsidRDefault="000167B0"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p>
        </w:tc>
        <w:tc>
          <w:tcPr>
            <w:tcW w:w="1816" w:type="dxa"/>
          </w:tcPr>
          <w:p w14:paraId="7A7323D9" w14:textId="77777777" w:rsidR="000167B0" w:rsidRPr="00252DF3" w:rsidRDefault="000167B0"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Andalus"/>
                <w:sz w:val="18"/>
                <w:szCs w:val="18"/>
              </w:rPr>
              <w:t>1</w:t>
            </w:r>
            <w:r w:rsidRPr="00252DF3">
              <w:rPr>
                <w:rFonts w:cs="Andalus"/>
                <w:sz w:val="18"/>
                <w:szCs w:val="18"/>
                <w:vertAlign w:val="superscript"/>
              </w:rPr>
              <w:t xml:space="preserve">st </w:t>
            </w:r>
            <w:r w:rsidRPr="00252DF3">
              <w:rPr>
                <w:rFonts w:cs="Andalus"/>
                <w:sz w:val="18"/>
                <w:szCs w:val="18"/>
              </w:rPr>
              <w:t>DIGIT VOLUME</w:t>
            </w:r>
          </w:p>
        </w:tc>
        <w:tc>
          <w:tcPr>
            <w:tcW w:w="1728" w:type="dxa"/>
          </w:tcPr>
          <w:p w14:paraId="2E333C8F" w14:textId="77777777" w:rsidR="000167B0" w:rsidRPr="00252DF3" w:rsidRDefault="000167B0"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Andalus"/>
                <w:sz w:val="18"/>
              </w:rPr>
              <w:t>1</w:t>
            </w:r>
            <w:r w:rsidRPr="00252DF3">
              <w:rPr>
                <w:rFonts w:cs="Andalus"/>
                <w:sz w:val="18"/>
                <w:vertAlign w:val="superscript"/>
              </w:rPr>
              <w:t xml:space="preserve">st </w:t>
            </w:r>
            <w:r w:rsidRPr="00252DF3">
              <w:rPr>
                <w:rFonts w:cs="Andalus"/>
                <w:sz w:val="18"/>
              </w:rPr>
              <w:t>DIGIT PRICE</w:t>
            </w:r>
          </w:p>
        </w:tc>
        <w:tc>
          <w:tcPr>
            <w:tcW w:w="1842" w:type="dxa"/>
          </w:tcPr>
          <w:p w14:paraId="7EA7162F" w14:textId="77777777" w:rsidR="000167B0" w:rsidRPr="00252DF3" w:rsidRDefault="000167B0"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Andalus"/>
                <w:sz w:val="18"/>
              </w:rPr>
              <w:t>2</w:t>
            </w:r>
            <w:r w:rsidRPr="00252DF3">
              <w:rPr>
                <w:rFonts w:cs="Andalus"/>
                <w:sz w:val="18"/>
                <w:vertAlign w:val="superscript"/>
              </w:rPr>
              <w:t>nd</w:t>
            </w:r>
            <w:r w:rsidRPr="00252DF3">
              <w:rPr>
                <w:rFonts w:cs="Andalus"/>
                <w:sz w:val="18"/>
              </w:rPr>
              <w:t xml:space="preserve"> DIGIT VOLUME</w:t>
            </w:r>
          </w:p>
        </w:tc>
        <w:tc>
          <w:tcPr>
            <w:tcW w:w="1701" w:type="dxa"/>
          </w:tcPr>
          <w:p w14:paraId="6B0AF9EA" w14:textId="77777777" w:rsidR="000167B0" w:rsidRPr="00252DF3" w:rsidRDefault="000167B0" w:rsidP="00016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Andalus"/>
                <w:sz w:val="18"/>
              </w:rPr>
              <w:t>2</w:t>
            </w:r>
            <w:r w:rsidRPr="00252DF3">
              <w:rPr>
                <w:rFonts w:cs="Andalus"/>
                <w:sz w:val="18"/>
                <w:vertAlign w:val="superscript"/>
              </w:rPr>
              <w:t>nd</w:t>
            </w:r>
            <w:r w:rsidRPr="00252DF3">
              <w:rPr>
                <w:rFonts w:cs="Andalus"/>
                <w:sz w:val="18"/>
              </w:rPr>
              <w:t xml:space="preserve"> DIGIT PRICE</w:t>
            </w:r>
          </w:p>
        </w:tc>
      </w:tr>
      <w:tr w:rsidR="00467BE7" w:rsidRPr="00252DF3" w14:paraId="2F372349" w14:textId="77777777" w:rsidTr="00474451">
        <w:tc>
          <w:tcPr>
            <w:tcW w:w="2797" w:type="dxa"/>
          </w:tcPr>
          <w:p w14:paraId="07F434DB" w14:textId="0298ADEB" w:rsidR="00467BE7" w:rsidRPr="00252DF3" w:rsidRDefault="000E3671"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sz w:val="24"/>
                <w:szCs w:val="24"/>
              </w:rPr>
            </w:pPr>
            <w:r w:rsidRPr="00252DF3">
              <w:rPr>
                <w:rFonts w:cs="Andalus"/>
                <w:sz w:val="24"/>
                <w:szCs w:val="24"/>
              </w:rPr>
              <w:t>Italy</w:t>
            </w:r>
          </w:p>
        </w:tc>
        <w:tc>
          <w:tcPr>
            <w:tcW w:w="1816" w:type="dxa"/>
            <w:vAlign w:val="center"/>
          </w:tcPr>
          <w:p w14:paraId="3E9C5C12" w14:textId="3ED2F924"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34,89306957</w:t>
            </w:r>
          </w:p>
        </w:tc>
        <w:tc>
          <w:tcPr>
            <w:tcW w:w="1728" w:type="dxa"/>
            <w:vAlign w:val="center"/>
          </w:tcPr>
          <w:p w14:paraId="0F850651" w14:textId="02DB0BE9"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5,768783508</w:t>
            </w:r>
          </w:p>
        </w:tc>
        <w:tc>
          <w:tcPr>
            <w:tcW w:w="1842" w:type="dxa"/>
            <w:vAlign w:val="center"/>
          </w:tcPr>
          <w:p w14:paraId="7D501ADA" w14:textId="34575DAF"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11,94656804</w:t>
            </w:r>
          </w:p>
        </w:tc>
        <w:tc>
          <w:tcPr>
            <w:tcW w:w="1701" w:type="dxa"/>
            <w:vAlign w:val="center"/>
          </w:tcPr>
          <w:p w14:paraId="05231DB4" w14:textId="3C53EEDE"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14,57381575</w:t>
            </w:r>
          </w:p>
        </w:tc>
      </w:tr>
      <w:tr w:rsidR="00467BE7" w:rsidRPr="00252DF3" w14:paraId="4F83E348" w14:textId="77777777" w:rsidTr="00474451">
        <w:tc>
          <w:tcPr>
            <w:tcW w:w="2797" w:type="dxa"/>
          </w:tcPr>
          <w:p w14:paraId="71517764" w14:textId="6F6570EC" w:rsidR="00467BE7" w:rsidRPr="00252DF3" w:rsidRDefault="000E3671"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sz w:val="24"/>
                <w:szCs w:val="24"/>
              </w:rPr>
            </w:pPr>
            <w:r w:rsidRPr="00252DF3">
              <w:rPr>
                <w:rFonts w:cs="Andalus"/>
                <w:sz w:val="24"/>
                <w:szCs w:val="24"/>
              </w:rPr>
              <w:t>Europe</w:t>
            </w:r>
            <w:r w:rsidR="00467BE7" w:rsidRPr="00252DF3">
              <w:rPr>
                <w:rFonts w:cs="Andalus"/>
                <w:sz w:val="24"/>
                <w:szCs w:val="24"/>
              </w:rPr>
              <w:t xml:space="preserve"> 1*</w:t>
            </w:r>
          </w:p>
        </w:tc>
        <w:tc>
          <w:tcPr>
            <w:tcW w:w="1816" w:type="dxa"/>
            <w:vAlign w:val="center"/>
          </w:tcPr>
          <w:p w14:paraId="5D5E294B" w14:textId="3AF6DCC7"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10,26652222</w:t>
            </w:r>
          </w:p>
        </w:tc>
        <w:tc>
          <w:tcPr>
            <w:tcW w:w="1728" w:type="dxa"/>
            <w:vAlign w:val="center"/>
          </w:tcPr>
          <w:p w14:paraId="006306BB" w14:textId="7D22DB7F"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8,021512551</w:t>
            </w:r>
          </w:p>
        </w:tc>
        <w:tc>
          <w:tcPr>
            <w:tcW w:w="1842" w:type="dxa"/>
            <w:vAlign w:val="center"/>
          </w:tcPr>
          <w:p w14:paraId="7205D74C" w14:textId="18D70C52"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8,698752939</w:t>
            </w:r>
          </w:p>
        </w:tc>
        <w:tc>
          <w:tcPr>
            <w:tcW w:w="1701" w:type="dxa"/>
            <w:vAlign w:val="center"/>
          </w:tcPr>
          <w:p w14:paraId="6521749F" w14:textId="658C47E9"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5,995530794</w:t>
            </w:r>
          </w:p>
        </w:tc>
      </w:tr>
      <w:tr w:rsidR="00467BE7" w:rsidRPr="00252DF3" w14:paraId="1E22C4BD" w14:textId="77777777" w:rsidTr="00474451">
        <w:tc>
          <w:tcPr>
            <w:tcW w:w="2797" w:type="dxa"/>
          </w:tcPr>
          <w:p w14:paraId="11B33419" w14:textId="13054C06" w:rsidR="00467BE7" w:rsidRPr="00252DF3" w:rsidRDefault="000E3671"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sz w:val="24"/>
                <w:szCs w:val="24"/>
              </w:rPr>
            </w:pPr>
            <w:r w:rsidRPr="00252DF3">
              <w:rPr>
                <w:rFonts w:cs="Andalus"/>
                <w:sz w:val="24"/>
                <w:szCs w:val="24"/>
              </w:rPr>
              <w:t>Europe</w:t>
            </w:r>
            <w:r w:rsidR="00467BE7" w:rsidRPr="00252DF3">
              <w:rPr>
                <w:rFonts w:cs="Andalus"/>
                <w:sz w:val="24"/>
                <w:szCs w:val="24"/>
              </w:rPr>
              <w:t xml:space="preserve"> 2*</w:t>
            </w:r>
          </w:p>
        </w:tc>
        <w:tc>
          <w:tcPr>
            <w:tcW w:w="1816" w:type="dxa"/>
            <w:vAlign w:val="center"/>
          </w:tcPr>
          <w:p w14:paraId="22E26EFD" w14:textId="5EE210F6"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31,01624831</w:t>
            </w:r>
          </w:p>
        </w:tc>
        <w:tc>
          <w:tcPr>
            <w:tcW w:w="1728" w:type="dxa"/>
            <w:vAlign w:val="center"/>
          </w:tcPr>
          <w:p w14:paraId="63C89375" w14:textId="35D00912"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9,923093492</w:t>
            </w:r>
          </w:p>
        </w:tc>
        <w:tc>
          <w:tcPr>
            <w:tcW w:w="1842" w:type="dxa"/>
            <w:vAlign w:val="center"/>
          </w:tcPr>
          <w:p w14:paraId="20CDEE82" w14:textId="48EA916C"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10,66715576</w:t>
            </w:r>
          </w:p>
        </w:tc>
        <w:tc>
          <w:tcPr>
            <w:tcW w:w="1701" w:type="dxa"/>
            <w:vAlign w:val="center"/>
          </w:tcPr>
          <w:p w14:paraId="1743C67F" w14:textId="62DF8968"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11,86938179</w:t>
            </w:r>
          </w:p>
        </w:tc>
      </w:tr>
      <w:tr w:rsidR="00467BE7" w:rsidRPr="00252DF3" w14:paraId="0CEDE07F" w14:textId="77777777" w:rsidTr="00474451">
        <w:tc>
          <w:tcPr>
            <w:tcW w:w="2797" w:type="dxa"/>
          </w:tcPr>
          <w:p w14:paraId="36E24EE4" w14:textId="3C0FF10F" w:rsidR="00467BE7" w:rsidRPr="00252DF3" w:rsidRDefault="000E3671"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sz w:val="24"/>
                <w:szCs w:val="24"/>
              </w:rPr>
            </w:pPr>
            <w:proofErr w:type="spellStart"/>
            <w:r w:rsidRPr="00252DF3">
              <w:rPr>
                <w:rFonts w:cs="Andalus"/>
                <w:sz w:val="24"/>
                <w:szCs w:val="24"/>
              </w:rPr>
              <w:t>Usa</w:t>
            </w:r>
            <w:proofErr w:type="spellEnd"/>
          </w:p>
        </w:tc>
        <w:tc>
          <w:tcPr>
            <w:tcW w:w="1816" w:type="dxa"/>
            <w:vAlign w:val="center"/>
          </w:tcPr>
          <w:p w14:paraId="22F95E91" w14:textId="21680E33"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11,8702497</w:t>
            </w:r>
          </w:p>
        </w:tc>
        <w:tc>
          <w:tcPr>
            <w:tcW w:w="1728" w:type="dxa"/>
            <w:vAlign w:val="center"/>
          </w:tcPr>
          <w:p w14:paraId="53AD9D11" w14:textId="76A0C17D"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113,3609736</w:t>
            </w:r>
          </w:p>
        </w:tc>
        <w:tc>
          <w:tcPr>
            <w:tcW w:w="1842" w:type="dxa"/>
            <w:vAlign w:val="center"/>
          </w:tcPr>
          <w:p w14:paraId="466F7E73" w14:textId="7AA68D6F"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5,650480794</w:t>
            </w:r>
          </w:p>
        </w:tc>
        <w:tc>
          <w:tcPr>
            <w:tcW w:w="1701" w:type="dxa"/>
            <w:vAlign w:val="center"/>
          </w:tcPr>
          <w:p w14:paraId="3E52E37C" w14:textId="5155B5C9"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17,58469152</w:t>
            </w:r>
          </w:p>
        </w:tc>
      </w:tr>
      <w:tr w:rsidR="00467BE7" w:rsidRPr="00252DF3" w14:paraId="6EEFE071" w14:textId="77777777" w:rsidTr="00474451">
        <w:tc>
          <w:tcPr>
            <w:tcW w:w="2797" w:type="dxa"/>
          </w:tcPr>
          <w:p w14:paraId="1CCA1073" w14:textId="6685328B" w:rsidR="00467BE7" w:rsidRPr="00252DF3" w:rsidRDefault="000E3671"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sz w:val="24"/>
                <w:szCs w:val="24"/>
              </w:rPr>
            </w:pPr>
            <w:r w:rsidRPr="00252DF3">
              <w:rPr>
                <w:rFonts w:cs="Andalus"/>
                <w:sz w:val="24"/>
                <w:szCs w:val="24"/>
              </w:rPr>
              <w:t>Asia-Pacific area</w:t>
            </w:r>
          </w:p>
        </w:tc>
        <w:tc>
          <w:tcPr>
            <w:tcW w:w="1816" w:type="dxa"/>
            <w:vAlign w:val="center"/>
          </w:tcPr>
          <w:p w14:paraId="0EE5DAFB" w14:textId="09659088"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9,450189145</w:t>
            </w:r>
          </w:p>
        </w:tc>
        <w:tc>
          <w:tcPr>
            <w:tcW w:w="1728" w:type="dxa"/>
            <w:vAlign w:val="center"/>
          </w:tcPr>
          <w:p w14:paraId="230E8270" w14:textId="2A980B04"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13,44280063</w:t>
            </w:r>
          </w:p>
        </w:tc>
        <w:tc>
          <w:tcPr>
            <w:tcW w:w="1842" w:type="dxa"/>
            <w:vAlign w:val="center"/>
          </w:tcPr>
          <w:p w14:paraId="7EAEBF73" w14:textId="549238A9"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8,902870173</w:t>
            </w:r>
          </w:p>
        </w:tc>
        <w:tc>
          <w:tcPr>
            <w:tcW w:w="1701" w:type="dxa"/>
            <w:vAlign w:val="center"/>
          </w:tcPr>
          <w:p w14:paraId="10F3AAE5" w14:textId="437AAF78"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ndalus"/>
              </w:rPr>
            </w:pPr>
            <w:r w:rsidRPr="00252DF3">
              <w:rPr>
                <w:rFonts w:cs="Calibri"/>
              </w:rPr>
              <w:t>7,029834036</w:t>
            </w:r>
          </w:p>
        </w:tc>
      </w:tr>
      <w:tr w:rsidR="00467BE7" w:rsidRPr="00252DF3" w14:paraId="3EA342D1" w14:textId="77777777" w:rsidTr="00474451">
        <w:trPr>
          <w:trHeight w:val="97"/>
        </w:trPr>
        <w:tc>
          <w:tcPr>
            <w:tcW w:w="2797" w:type="dxa"/>
          </w:tcPr>
          <w:p w14:paraId="0382334F" w14:textId="1B62AD7E" w:rsidR="00467BE7" w:rsidRPr="00252DF3" w:rsidRDefault="000E3671"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sz w:val="24"/>
                <w:szCs w:val="24"/>
              </w:rPr>
            </w:pPr>
            <w:r w:rsidRPr="00252DF3">
              <w:rPr>
                <w:rFonts w:cs="Andalus"/>
                <w:sz w:val="24"/>
                <w:szCs w:val="24"/>
              </w:rPr>
              <w:t>Other relevant markets</w:t>
            </w:r>
          </w:p>
        </w:tc>
        <w:tc>
          <w:tcPr>
            <w:tcW w:w="1816" w:type="dxa"/>
            <w:vAlign w:val="center"/>
          </w:tcPr>
          <w:p w14:paraId="34F712AD" w14:textId="0EE10FC5"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rPr>
            </w:pPr>
            <w:r w:rsidRPr="00252DF3">
              <w:rPr>
                <w:rFonts w:cs="Calibri"/>
              </w:rPr>
              <w:t>9,964310315</w:t>
            </w:r>
          </w:p>
        </w:tc>
        <w:tc>
          <w:tcPr>
            <w:tcW w:w="1728" w:type="dxa"/>
            <w:vAlign w:val="center"/>
          </w:tcPr>
          <w:p w14:paraId="05943A70" w14:textId="46D3A5F6"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rPr>
            </w:pPr>
            <w:r w:rsidRPr="00252DF3">
              <w:rPr>
                <w:rFonts w:cs="Calibri"/>
              </w:rPr>
              <w:t>4,448626433</w:t>
            </w:r>
          </w:p>
        </w:tc>
        <w:tc>
          <w:tcPr>
            <w:tcW w:w="1842" w:type="dxa"/>
            <w:vAlign w:val="center"/>
          </w:tcPr>
          <w:p w14:paraId="22928805" w14:textId="5301654F"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rPr>
            </w:pPr>
            <w:r w:rsidRPr="00252DF3">
              <w:rPr>
                <w:rFonts w:cs="Calibri"/>
              </w:rPr>
              <w:t>8,110803132</w:t>
            </w:r>
          </w:p>
        </w:tc>
        <w:tc>
          <w:tcPr>
            <w:tcW w:w="1701" w:type="dxa"/>
            <w:vAlign w:val="center"/>
          </w:tcPr>
          <w:p w14:paraId="6A78FD88" w14:textId="2B530346"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rPr>
            </w:pPr>
            <w:r w:rsidRPr="00252DF3">
              <w:rPr>
                <w:rFonts w:cs="Calibri"/>
              </w:rPr>
              <w:t>8,217477778</w:t>
            </w:r>
          </w:p>
        </w:tc>
      </w:tr>
      <w:tr w:rsidR="00467BE7" w:rsidRPr="00252DF3" w14:paraId="6BC7B29A" w14:textId="77777777" w:rsidTr="00474451">
        <w:tc>
          <w:tcPr>
            <w:tcW w:w="2797" w:type="dxa"/>
          </w:tcPr>
          <w:p w14:paraId="120F1758" w14:textId="5A6BF593" w:rsidR="00467BE7" w:rsidRPr="00252DF3" w:rsidRDefault="000E3671"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sz w:val="24"/>
                <w:szCs w:val="24"/>
              </w:rPr>
            </w:pPr>
            <w:r w:rsidRPr="00252DF3">
              <w:rPr>
                <w:rFonts w:cs="Andalus"/>
                <w:sz w:val="24"/>
                <w:szCs w:val="24"/>
              </w:rPr>
              <w:t>World</w:t>
            </w:r>
            <w:r w:rsidR="00467BE7" w:rsidRPr="00252DF3">
              <w:rPr>
                <w:rFonts w:cs="Andalus"/>
                <w:sz w:val="24"/>
                <w:szCs w:val="24"/>
              </w:rPr>
              <w:t xml:space="preserve"> 1*</w:t>
            </w:r>
          </w:p>
        </w:tc>
        <w:tc>
          <w:tcPr>
            <w:tcW w:w="1816" w:type="dxa"/>
            <w:vAlign w:val="center"/>
          </w:tcPr>
          <w:p w14:paraId="67FF4B68" w14:textId="2AB155B2"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Calibri"/>
              </w:rPr>
            </w:pPr>
            <w:r w:rsidRPr="00252DF3">
              <w:rPr>
                <w:rFonts w:cs="Calibri"/>
              </w:rPr>
              <w:t>5,624102229</w:t>
            </w:r>
          </w:p>
        </w:tc>
        <w:tc>
          <w:tcPr>
            <w:tcW w:w="1728" w:type="dxa"/>
            <w:vAlign w:val="center"/>
          </w:tcPr>
          <w:p w14:paraId="47FCB6B6" w14:textId="70314928"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Calibri"/>
              </w:rPr>
            </w:pPr>
            <w:r w:rsidRPr="00252DF3">
              <w:rPr>
                <w:rFonts w:cs="Calibri"/>
              </w:rPr>
              <w:t>104,9908995</w:t>
            </w:r>
          </w:p>
        </w:tc>
        <w:tc>
          <w:tcPr>
            <w:tcW w:w="1842" w:type="dxa"/>
            <w:vAlign w:val="center"/>
          </w:tcPr>
          <w:p w14:paraId="44FA4D77" w14:textId="2DD065EA"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Calibri"/>
              </w:rPr>
            </w:pPr>
            <w:r w:rsidRPr="00252DF3">
              <w:rPr>
                <w:rFonts w:cs="Calibri"/>
              </w:rPr>
              <w:t>3,999015609</w:t>
            </w:r>
          </w:p>
        </w:tc>
        <w:tc>
          <w:tcPr>
            <w:tcW w:w="1701" w:type="dxa"/>
            <w:vAlign w:val="center"/>
          </w:tcPr>
          <w:p w14:paraId="517AB6E8" w14:textId="2EE28884"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Calibri"/>
              </w:rPr>
            </w:pPr>
            <w:r w:rsidRPr="00252DF3">
              <w:rPr>
                <w:rFonts w:cs="Calibri"/>
              </w:rPr>
              <w:t>11,28583735</w:t>
            </w:r>
          </w:p>
        </w:tc>
      </w:tr>
      <w:tr w:rsidR="00467BE7" w:rsidRPr="00252DF3" w14:paraId="629E1B06" w14:textId="77777777" w:rsidTr="00474451">
        <w:tc>
          <w:tcPr>
            <w:tcW w:w="2797" w:type="dxa"/>
          </w:tcPr>
          <w:p w14:paraId="671BB35B" w14:textId="227E6E2E" w:rsidR="00467BE7" w:rsidRPr="00252DF3" w:rsidRDefault="000E3671"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ndalus"/>
                <w:sz w:val="24"/>
                <w:szCs w:val="24"/>
              </w:rPr>
            </w:pPr>
            <w:r w:rsidRPr="00252DF3">
              <w:rPr>
                <w:rFonts w:cs="Andalus"/>
                <w:sz w:val="24"/>
                <w:szCs w:val="24"/>
              </w:rPr>
              <w:t>World</w:t>
            </w:r>
            <w:r w:rsidR="00467BE7" w:rsidRPr="00252DF3">
              <w:rPr>
                <w:rFonts w:cs="Andalus"/>
                <w:sz w:val="24"/>
                <w:szCs w:val="24"/>
              </w:rPr>
              <w:t xml:space="preserve"> 2*</w:t>
            </w:r>
          </w:p>
        </w:tc>
        <w:tc>
          <w:tcPr>
            <w:tcW w:w="1816" w:type="dxa"/>
            <w:vAlign w:val="center"/>
          </w:tcPr>
          <w:p w14:paraId="2CBC9C2D" w14:textId="439C06DF"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Calibri"/>
              </w:rPr>
            </w:pPr>
            <w:r w:rsidRPr="00252DF3">
              <w:rPr>
                <w:rFonts w:cs="Calibri"/>
              </w:rPr>
              <w:t>10,14766471</w:t>
            </w:r>
          </w:p>
        </w:tc>
        <w:tc>
          <w:tcPr>
            <w:tcW w:w="1728" w:type="dxa"/>
            <w:vAlign w:val="center"/>
          </w:tcPr>
          <w:p w14:paraId="5AC03653" w14:textId="53C06776"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Calibri"/>
              </w:rPr>
            </w:pPr>
            <w:r w:rsidRPr="00252DF3">
              <w:rPr>
                <w:rFonts w:cs="Calibri"/>
              </w:rPr>
              <w:t>94,67223226</w:t>
            </w:r>
          </w:p>
        </w:tc>
        <w:tc>
          <w:tcPr>
            <w:tcW w:w="1842" w:type="dxa"/>
            <w:vAlign w:val="center"/>
          </w:tcPr>
          <w:p w14:paraId="1AF0EF0A" w14:textId="174DFA87"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Calibri"/>
              </w:rPr>
            </w:pPr>
            <w:r w:rsidRPr="00252DF3">
              <w:rPr>
                <w:rFonts w:cs="Calibri"/>
              </w:rPr>
              <w:t>7,169797966</w:t>
            </w:r>
          </w:p>
        </w:tc>
        <w:tc>
          <w:tcPr>
            <w:tcW w:w="1701" w:type="dxa"/>
            <w:vAlign w:val="center"/>
          </w:tcPr>
          <w:p w14:paraId="280F00CA" w14:textId="2590CCA9" w:rsidR="00467BE7" w:rsidRPr="00252DF3" w:rsidRDefault="00467BE7" w:rsidP="004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Calibri"/>
              </w:rPr>
            </w:pPr>
            <w:r w:rsidRPr="00252DF3">
              <w:rPr>
                <w:rFonts w:cs="Calibri"/>
              </w:rPr>
              <w:t>10,12147404</w:t>
            </w:r>
          </w:p>
        </w:tc>
      </w:tr>
    </w:tbl>
    <w:p w14:paraId="147C3792" w14:textId="77777777" w:rsidR="00EC09AB" w:rsidRDefault="00EC09AB" w:rsidP="00EC0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cs="Helvetica"/>
          <w:bCs/>
        </w:rPr>
      </w:pPr>
    </w:p>
    <w:p w14:paraId="6217CEF0" w14:textId="3806769E" w:rsidR="000E3671" w:rsidRPr="00EC09AB" w:rsidRDefault="00EC09AB" w:rsidP="00EC0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cs="Helvetica"/>
          <w:bCs/>
        </w:rPr>
      </w:pPr>
      <w:r w:rsidRPr="00252DF3">
        <w:rPr>
          <w:rFonts w:cs="Helvetica"/>
          <w:bCs/>
        </w:rPr>
        <w:t xml:space="preserve">Table 4. </w:t>
      </w:r>
      <w:r>
        <w:rPr>
          <w:rFonts w:cs="Arial"/>
        </w:rPr>
        <w:t xml:space="preserve"> </w:t>
      </w:r>
      <m:oMath>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oMath>
      <w:r>
        <w:rPr>
          <w:rFonts w:cs="Arial"/>
        </w:rPr>
        <w:t xml:space="preserve"> </w:t>
      </w:r>
      <w:r w:rsidRPr="00252DF3">
        <w:rPr>
          <w:rFonts w:cs="Helvetica"/>
          <w:bCs/>
        </w:rPr>
        <w:t>test performed for indexes divided by geographic areas.</w:t>
      </w:r>
      <w:r>
        <w:rPr>
          <w:rFonts w:cs="Helvetica"/>
          <w:bCs/>
        </w:rPr>
        <w:t xml:space="preserve"> </w:t>
      </w:r>
      <w:r w:rsidR="000E3671" w:rsidRPr="00EC09AB">
        <w:rPr>
          <w:rFonts w:cs="Helvetica"/>
          <w:bCs/>
        </w:rPr>
        <w:t xml:space="preserve">Europe 1* and World 1* </w:t>
      </w:r>
      <w:r w:rsidRPr="00EC09AB">
        <w:rPr>
          <w:rFonts w:cs="Helvetica"/>
          <w:bCs/>
        </w:rPr>
        <w:lastRenderedPageBreak/>
        <w:t xml:space="preserve">denote the cases in which </w:t>
      </w:r>
      <w:r w:rsidR="000E3671" w:rsidRPr="00EC09AB">
        <w:rPr>
          <w:rFonts w:cs="Helvetica"/>
          <w:bCs/>
        </w:rPr>
        <w:t>Italy</w:t>
      </w:r>
      <w:r w:rsidRPr="00EC09AB">
        <w:rPr>
          <w:rFonts w:cs="Helvetica"/>
          <w:bCs/>
        </w:rPr>
        <w:t xml:space="preserve"> is considered</w:t>
      </w:r>
      <w:r w:rsidR="000E3671" w:rsidRPr="00EC09AB">
        <w:rPr>
          <w:rFonts w:cs="Helvetica"/>
          <w:bCs/>
        </w:rPr>
        <w:t xml:space="preserve"> only by </w:t>
      </w:r>
      <w:r w:rsidRPr="00EC09AB">
        <w:rPr>
          <w:rFonts w:cs="Helvetica"/>
          <w:bCs/>
        </w:rPr>
        <w:t xml:space="preserve">the </w:t>
      </w:r>
      <w:r w:rsidR="000E3671" w:rsidRPr="00EC09AB">
        <w:rPr>
          <w:rFonts w:cs="Helvetica"/>
          <w:bCs/>
        </w:rPr>
        <w:t xml:space="preserve">FTSE MIB, </w:t>
      </w:r>
      <w:r w:rsidRPr="00EC09AB">
        <w:rPr>
          <w:rFonts w:cs="Helvetica"/>
          <w:bCs/>
        </w:rPr>
        <w:t xml:space="preserve">while </w:t>
      </w:r>
      <w:r w:rsidR="000E3671" w:rsidRPr="00EC09AB">
        <w:rPr>
          <w:rFonts w:cs="Helvetica"/>
          <w:bCs/>
        </w:rPr>
        <w:t xml:space="preserve">Europe 2* and World 2* </w:t>
      </w:r>
      <w:r w:rsidRPr="00EC09AB">
        <w:rPr>
          <w:rFonts w:cs="Helvetica"/>
          <w:bCs/>
        </w:rPr>
        <w:t xml:space="preserve">are associated to </w:t>
      </w:r>
      <w:r w:rsidR="000E3671" w:rsidRPr="00EC09AB">
        <w:rPr>
          <w:rFonts w:cs="Helvetica"/>
          <w:bCs/>
        </w:rPr>
        <w:t>Italy</w:t>
      </w:r>
      <w:r w:rsidRPr="00EC09AB">
        <w:rPr>
          <w:rFonts w:cs="Helvetica"/>
          <w:bCs/>
        </w:rPr>
        <w:t xml:space="preserve"> considered</w:t>
      </w:r>
      <w:r w:rsidR="000E3671" w:rsidRPr="00EC09AB">
        <w:rPr>
          <w:rFonts w:cs="Helvetica"/>
          <w:bCs/>
        </w:rPr>
        <w:t xml:space="preserve"> by all indexes.</w:t>
      </w:r>
    </w:p>
    <w:p w14:paraId="78C75DF0" w14:textId="77777777" w:rsidR="000E3671" w:rsidRPr="00252DF3" w:rsidRDefault="000E3671" w:rsidP="000E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sz w:val="20"/>
          <w:szCs w:val="20"/>
        </w:rPr>
      </w:pPr>
    </w:p>
    <w:p w14:paraId="34AD9E07" w14:textId="5A0B2027" w:rsidR="00252DF3" w:rsidRDefault="00894668" w:rsidP="000E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Pr>
          <w:rFonts w:cs="Helvetica"/>
          <w:bCs/>
        </w:rPr>
        <w:t>B</w:t>
      </w:r>
      <w:r w:rsidR="00252DF3">
        <w:rPr>
          <w:rFonts w:cs="Helvetica"/>
          <w:bCs/>
        </w:rPr>
        <w:t xml:space="preserve">oth </w:t>
      </w:r>
      <w:r>
        <w:rPr>
          <w:rFonts w:cs="Helvetica"/>
          <w:bCs/>
        </w:rPr>
        <w:t>first and</w:t>
      </w:r>
      <w:r w:rsidR="00252DF3">
        <w:rPr>
          <w:rFonts w:cs="Helvetica"/>
          <w:bCs/>
        </w:rPr>
        <w:t xml:space="preserve"> second significant digit</w:t>
      </w:r>
      <w:r>
        <w:rPr>
          <w:rFonts w:cs="Helvetica"/>
          <w:bCs/>
        </w:rPr>
        <w:t>s are considered for prices and volumes</w:t>
      </w:r>
      <w:r w:rsidR="00252DF3">
        <w:rPr>
          <w:rFonts w:cs="Helvetica"/>
          <w:bCs/>
        </w:rPr>
        <w:t>.</w:t>
      </w:r>
    </w:p>
    <w:p w14:paraId="0B7ECCEA" w14:textId="0E5E03DB" w:rsidR="000167B0" w:rsidRPr="00252DF3" w:rsidRDefault="00CB1E31" w:rsidP="00894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cs="Helvetica"/>
          <w:bCs/>
        </w:rPr>
      </w:pPr>
      <w:r w:rsidRPr="00252DF3">
        <w:rPr>
          <w:rFonts w:cs="Helvetica"/>
          <w:bCs/>
        </w:rPr>
        <w:t xml:space="preserve">There are some cases in which the </w:t>
      </w:r>
      <m:oMath>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oMath>
      <w:r w:rsidR="00894668">
        <w:rPr>
          <w:rFonts w:cs="Arial"/>
        </w:rPr>
        <w:t xml:space="preserve"> </w:t>
      </w:r>
      <w:r w:rsidR="00894668" w:rsidRPr="00252DF3">
        <w:rPr>
          <w:rFonts w:cs="Helvetica"/>
          <w:bCs/>
        </w:rPr>
        <w:t xml:space="preserve">test </w:t>
      </w:r>
      <w:r w:rsidR="00894668">
        <w:rPr>
          <w:rFonts w:cs="Helvetica"/>
          <w:bCs/>
        </w:rPr>
        <w:t>fails, and</w:t>
      </w:r>
      <w:r w:rsidR="00474451" w:rsidRPr="00252DF3">
        <w:rPr>
          <w:rFonts w:cs="Helvetica"/>
          <w:bCs/>
        </w:rPr>
        <w:t xml:space="preserve"> </w:t>
      </w:r>
      <w:r w:rsidRPr="00252DF3">
        <w:rPr>
          <w:rFonts w:cs="Helvetica"/>
          <w:bCs/>
        </w:rPr>
        <w:t xml:space="preserve">the null hypothesis </w:t>
      </w:r>
      <w:r w:rsidR="00894668">
        <w:rPr>
          <w:rFonts w:cs="Helvetica"/>
          <w:bCs/>
        </w:rPr>
        <w:t xml:space="preserve">of accordance with the </w:t>
      </w:r>
      <w:r w:rsidR="00487769">
        <w:rPr>
          <w:rFonts w:cs="Helvetica"/>
          <w:bCs/>
        </w:rPr>
        <w:t>BL</w:t>
      </w:r>
      <w:r w:rsidRPr="00252DF3">
        <w:rPr>
          <w:rFonts w:cs="Helvetica"/>
          <w:bCs/>
        </w:rPr>
        <w:t xml:space="preserve"> is not verified. </w:t>
      </w:r>
      <w:r w:rsidR="00894668">
        <w:rPr>
          <w:rFonts w:cs="Helvetica"/>
          <w:bCs/>
        </w:rPr>
        <w:t>In the set of</w:t>
      </w:r>
      <w:r w:rsidR="000E3671" w:rsidRPr="00252DF3">
        <w:rPr>
          <w:rFonts w:cs="Helvetica"/>
          <w:bCs/>
        </w:rPr>
        <w:t xml:space="preserve"> </w:t>
      </w:r>
      <w:proofErr w:type="spellStart"/>
      <w:r w:rsidR="000E3671" w:rsidRPr="00252DF3">
        <w:rPr>
          <w:rFonts w:cs="Helvetica"/>
          <w:bCs/>
        </w:rPr>
        <w:t>non conformity</w:t>
      </w:r>
      <w:proofErr w:type="spellEnd"/>
      <w:r w:rsidR="000E3671" w:rsidRPr="00252DF3">
        <w:rPr>
          <w:rFonts w:cs="Helvetica"/>
          <w:bCs/>
        </w:rPr>
        <w:t xml:space="preserve"> </w:t>
      </w:r>
      <w:r w:rsidR="00894668">
        <w:rPr>
          <w:rFonts w:cs="Helvetica"/>
          <w:bCs/>
        </w:rPr>
        <w:t>cases, we mention</w:t>
      </w:r>
      <w:r w:rsidR="000E3671" w:rsidRPr="00252DF3">
        <w:rPr>
          <w:rFonts w:cs="Helvetica"/>
          <w:bCs/>
        </w:rPr>
        <w:t xml:space="preserve"> </w:t>
      </w:r>
      <w:r w:rsidR="004450D2">
        <w:rPr>
          <w:rFonts w:cs="Helvetica"/>
          <w:bCs/>
        </w:rPr>
        <w:t>the</w:t>
      </w:r>
      <w:r w:rsidR="000E3671" w:rsidRPr="00252DF3">
        <w:rPr>
          <w:rFonts w:cs="Helvetica"/>
          <w:bCs/>
        </w:rPr>
        <w:t xml:space="preserve"> </w:t>
      </w:r>
      <w:r w:rsidR="000167B0" w:rsidRPr="00252DF3">
        <w:rPr>
          <w:rFonts w:cs="Helvetica"/>
          <w:bCs/>
        </w:rPr>
        <w:t>1</w:t>
      </w:r>
      <w:r w:rsidR="000167B0" w:rsidRPr="00252DF3">
        <w:rPr>
          <w:rFonts w:cs="Helvetica"/>
          <w:bCs/>
          <w:vertAlign w:val="superscript"/>
        </w:rPr>
        <w:t xml:space="preserve">st </w:t>
      </w:r>
      <w:r w:rsidR="000E3671" w:rsidRPr="00252DF3">
        <w:rPr>
          <w:rFonts w:cs="Helvetica"/>
          <w:bCs/>
        </w:rPr>
        <w:t xml:space="preserve">digit </w:t>
      </w:r>
      <w:r w:rsidR="00252DF3" w:rsidRPr="00252DF3">
        <w:rPr>
          <w:rFonts w:cs="Helvetica"/>
          <w:bCs/>
        </w:rPr>
        <w:t xml:space="preserve">of </w:t>
      </w:r>
      <w:r w:rsidR="000E3671" w:rsidRPr="00252DF3">
        <w:rPr>
          <w:rFonts w:cs="Helvetica"/>
          <w:bCs/>
        </w:rPr>
        <w:t xml:space="preserve">volume of </w:t>
      </w:r>
      <w:r w:rsidR="000167B0" w:rsidRPr="00252DF3">
        <w:rPr>
          <w:rFonts w:cs="Helvetica"/>
          <w:bCs/>
        </w:rPr>
        <w:t xml:space="preserve">FTSE ITALIA ALL SHARE, </w:t>
      </w:r>
      <w:r w:rsidR="00BA3256">
        <w:rPr>
          <w:rFonts w:cs="Helvetica"/>
          <w:bCs/>
        </w:rPr>
        <w:t xml:space="preserve">Europe 2* </w:t>
      </w:r>
      <w:r w:rsidR="000E3671" w:rsidRPr="00252DF3">
        <w:rPr>
          <w:rFonts w:cs="Helvetica"/>
          <w:bCs/>
        </w:rPr>
        <w:t>and</w:t>
      </w:r>
      <w:r w:rsidR="00BA3256">
        <w:rPr>
          <w:rFonts w:cs="Helvetica"/>
          <w:bCs/>
        </w:rPr>
        <w:t xml:space="preserve"> Italy</w:t>
      </w:r>
      <w:r w:rsidR="004450D2">
        <w:rPr>
          <w:rFonts w:cs="Helvetica"/>
          <w:bCs/>
        </w:rPr>
        <w:t>; the</w:t>
      </w:r>
      <w:r w:rsidR="000E3671" w:rsidRPr="00252DF3">
        <w:rPr>
          <w:rFonts w:cs="Helvetica"/>
          <w:bCs/>
        </w:rPr>
        <w:t xml:space="preserve"> </w:t>
      </w:r>
      <w:r w:rsidR="000167B0" w:rsidRPr="00252DF3">
        <w:rPr>
          <w:rFonts w:cs="Helvetica"/>
          <w:bCs/>
        </w:rPr>
        <w:t>1</w:t>
      </w:r>
      <w:r w:rsidR="000167B0" w:rsidRPr="00252DF3">
        <w:rPr>
          <w:rFonts w:cs="Helvetica"/>
          <w:bCs/>
          <w:vertAlign w:val="superscript"/>
        </w:rPr>
        <w:t>st</w:t>
      </w:r>
      <w:r w:rsidR="000E3671" w:rsidRPr="00252DF3">
        <w:rPr>
          <w:rFonts w:cs="Helvetica"/>
          <w:bCs/>
        </w:rPr>
        <w:t xml:space="preserve"> digit </w:t>
      </w:r>
      <w:r w:rsidR="00252DF3" w:rsidRPr="00252DF3">
        <w:rPr>
          <w:rFonts w:cs="Helvetica"/>
          <w:bCs/>
        </w:rPr>
        <w:t xml:space="preserve">of </w:t>
      </w:r>
      <w:r w:rsidR="000E3671" w:rsidRPr="00252DF3">
        <w:rPr>
          <w:rFonts w:cs="Helvetica"/>
          <w:bCs/>
        </w:rPr>
        <w:t xml:space="preserve">adjusted closing price of </w:t>
      </w:r>
      <w:r w:rsidR="000167B0" w:rsidRPr="00252DF3">
        <w:rPr>
          <w:rFonts w:cs="Helvetica"/>
          <w:bCs/>
        </w:rPr>
        <w:t>NASDAQ COMPOSITE, NASD</w:t>
      </w:r>
      <w:r w:rsidR="00BA3256">
        <w:rPr>
          <w:rFonts w:cs="Helvetica"/>
          <w:bCs/>
        </w:rPr>
        <w:t xml:space="preserve">AQ 100, </w:t>
      </w:r>
      <w:proofErr w:type="spellStart"/>
      <w:r w:rsidR="00BA3256">
        <w:rPr>
          <w:rFonts w:cs="Helvetica"/>
          <w:bCs/>
        </w:rPr>
        <w:t>Usa</w:t>
      </w:r>
      <w:proofErr w:type="spellEnd"/>
      <w:r w:rsidR="004E1FD0">
        <w:rPr>
          <w:rFonts w:cs="Helvetica"/>
          <w:bCs/>
        </w:rPr>
        <w:t>, Asia-Pacific area, World 1* and World 2*</w:t>
      </w:r>
      <w:r w:rsidR="000E3671" w:rsidRPr="00252DF3">
        <w:rPr>
          <w:rFonts w:cs="Helvetica"/>
          <w:bCs/>
        </w:rPr>
        <w:t xml:space="preserve">; </w:t>
      </w:r>
      <w:r w:rsidR="004450D2">
        <w:rPr>
          <w:rFonts w:cs="Helvetica"/>
          <w:bCs/>
        </w:rPr>
        <w:t>the</w:t>
      </w:r>
      <w:r w:rsidR="00252DF3" w:rsidRPr="00252DF3">
        <w:rPr>
          <w:rFonts w:cs="Helvetica"/>
          <w:bCs/>
        </w:rPr>
        <w:t xml:space="preserve"> </w:t>
      </w:r>
      <w:r w:rsidR="000167B0" w:rsidRPr="00252DF3">
        <w:rPr>
          <w:rFonts w:cs="Helvetica"/>
          <w:bCs/>
        </w:rPr>
        <w:t>2</w:t>
      </w:r>
      <w:r w:rsidR="000167B0" w:rsidRPr="00252DF3">
        <w:rPr>
          <w:rFonts w:cs="Helvetica"/>
          <w:bCs/>
          <w:vertAlign w:val="superscript"/>
        </w:rPr>
        <w:t>nd</w:t>
      </w:r>
      <w:r w:rsidR="000167B0" w:rsidRPr="00252DF3">
        <w:rPr>
          <w:rFonts w:cs="Helvetica"/>
          <w:bCs/>
        </w:rPr>
        <w:t xml:space="preserve"> digit </w:t>
      </w:r>
      <w:r w:rsidR="00252DF3" w:rsidRPr="00252DF3">
        <w:rPr>
          <w:rFonts w:cs="Helvetica"/>
          <w:bCs/>
        </w:rPr>
        <w:t>of</w:t>
      </w:r>
      <w:r w:rsidR="004E1FD0">
        <w:rPr>
          <w:rFonts w:cs="Helvetica"/>
          <w:bCs/>
        </w:rPr>
        <w:t xml:space="preserve"> adjusted closing price of Italy</w:t>
      </w:r>
      <w:r w:rsidR="00252DF3" w:rsidRPr="00252DF3">
        <w:rPr>
          <w:rFonts w:cs="Helvetica"/>
          <w:bCs/>
        </w:rPr>
        <w:t xml:space="preserve"> and </w:t>
      </w:r>
      <w:proofErr w:type="spellStart"/>
      <w:r w:rsidR="004E1FD0">
        <w:rPr>
          <w:rFonts w:cs="Helvetica"/>
          <w:bCs/>
        </w:rPr>
        <w:t>Usa</w:t>
      </w:r>
      <w:proofErr w:type="spellEnd"/>
      <w:r w:rsidR="00252DF3" w:rsidRPr="00252DF3">
        <w:rPr>
          <w:rFonts w:cs="Helvetica"/>
          <w:bCs/>
        </w:rPr>
        <w:t>.</w:t>
      </w:r>
    </w:p>
    <w:p w14:paraId="4FE5A3FB" w14:textId="2B6DBF26" w:rsidR="00252DF3" w:rsidRDefault="004450D2" w:rsidP="0025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Pr>
          <w:rFonts w:cs="Helvetica"/>
          <w:bCs/>
        </w:rPr>
        <w:t>Differently,</w:t>
      </w:r>
      <w:r w:rsidR="00252DF3" w:rsidRPr="00252DF3">
        <w:rPr>
          <w:rFonts w:cs="Helvetica"/>
          <w:bCs/>
        </w:rPr>
        <w:t xml:space="preserve"> there are some cases in which the critical values</w:t>
      </w:r>
      <w:r w:rsidR="00252DF3">
        <w:rPr>
          <w:rFonts w:cs="Helvetica"/>
          <w:bCs/>
        </w:rPr>
        <w:t xml:space="preserve"> </w:t>
      </w:r>
      <w:r w:rsidR="00894668">
        <w:rPr>
          <w:rFonts w:cs="Helvetica"/>
          <w:bCs/>
        </w:rPr>
        <w:t xml:space="preserve">of the </w:t>
      </w:r>
      <m:oMath>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oMath>
      <w:r w:rsidR="00894668">
        <w:rPr>
          <w:rFonts w:cs="Helvetica"/>
        </w:rPr>
        <w:t xml:space="preserve"> test </w:t>
      </w:r>
      <w:r w:rsidR="00252DF3">
        <w:rPr>
          <w:rFonts w:cs="Helvetica"/>
          <w:bCs/>
        </w:rPr>
        <w:t>are below confidence level</w:t>
      </w:r>
      <w:r w:rsidR="00894668">
        <w:rPr>
          <w:rFonts w:cs="Helvetica"/>
          <w:bCs/>
        </w:rPr>
        <w:t>s</w:t>
      </w:r>
      <w:r w:rsidR="00252DF3">
        <w:rPr>
          <w:rFonts w:cs="Helvetica"/>
          <w:bCs/>
        </w:rPr>
        <w:t xml:space="preserve"> of at least 50% up to 95%. In these cases we </w:t>
      </w:r>
      <w:r w:rsidR="00894668">
        <w:rPr>
          <w:rFonts w:cs="Helvetica"/>
          <w:bCs/>
        </w:rPr>
        <w:t xml:space="preserve">argue that </w:t>
      </w:r>
      <w:r w:rsidR="00252DF3">
        <w:rPr>
          <w:rFonts w:cs="Helvetica"/>
          <w:bCs/>
        </w:rPr>
        <w:t xml:space="preserve">the null hypothesis </w:t>
      </w:r>
      <w:r w:rsidR="00894668">
        <w:rPr>
          <w:rFonts w:cs="Helvetica"/>
          <w:bCs/>
        </w:rPr>
        <w:t xml:space="preserve">is accepted and </w:t>
      </w:r>
      <w:r w:rsidR="00252DF3">
        <w:rPr>
          <w:rFonts w:cs="Helvetica"/>
          <w:bCs/>
        </w:rPr>
        <w:t>conclude that data fi</w:t>
      </w:r>
      <w:r w:rsidR="00894668">
        <w:rPr>
          <w:rFonts w:cs="Helvetica"/>
          <w:bCs/>
        </w:rPr>
        <w:t>t with</w:t>
      </w:r>
      <w:r w:rsidR="00252DF3">
        <w:rPr>
          <w:rFonts w:cs="Helvetica"/>
          <w:bCs/>
        </w:rPr>
        <w:t xml:space="preserve"> </w:t>
      </w:r>
      <w:r w:rsidR="00487769">
        <w:rPr>
          <w:rFonts w:cs="Helvetica"/>
          <w:bCs/>
        </w:rPr>
        <w:t>BL</w:t>
      </w:r>
      <w:r w:rsidR="00252DF3">
        <w:rPr>
          <w:rFonts w:cs="Helvetica"/>
          <w:bCs/>
        </w:rPr>
        <w:t>.</w:t>
      </w:r>
    </w:p>
    <w:p w14:paraId="1D92CC76" w14:textId="14641102" w:rsidR="000167B0" w:rsidRPr="00252DF3" w:rsidRDefault="00252DF3"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Pr>
          <w:rFonts w:cs="Helvetica"/>
          <w:bCs/>
        </w:rPr>
        <w:t>Among the cases of conformity</w:t>
      </w:r>
      <w:r w:rsidR="00894668">
        <w:rPr>
          <w:rFonts w:cs="Helvetica"/>
          <w:bCs/>
        </w:rPr>
        <w:t>, we point attention to</w:t>
      </w:r>
      <w:r w:rsidR="004A4D72">
        <w:rPr>
          <w:rFonts w:cs="Helvetica"/>
          <w:bCs/>
        </w:rPr>
        <w:t xml:space="preserve"> the </w:t>
      </w:r>
      <w:r w:rsidR="000167B0" w:rsidRPr="00252DF3">
        <w:rPr>
          <w:rFonts w:cs="Helvetica"/>
          <w:bCs/>
        </w:rPr>
        <w:t>1</w:t>
      </w:r>
      <w:r w:rsidR="000167B0" w:rsidRPr="00252DF3">
        <w:rPr>
          <w:rFonts w:cs="Helvetica"/>
          <w:bCs/>
          <w:vertAlign w:val="superscript"/>
        </w:rPr>
        <w:t>st</w:t>
      </w:r>
      <w:r w:rsidR="000167B0" w:rsidRPr="00252DF3">
        <w:rPr>
          <w:rFonts w:cs="Helvetica"/>
          <w:bCs/>
        </w:rPr>
        <w:t xml:space="preserve"> digit </w:t>
      </w:r>
      <w:r>
        <w:rPr>
          <w:rFonts w:cs="Helvetica"/>
          <w:bCs/>
        </w:rPr>
        <w:t xml:space="preserve">of volume of </w:t>
      </w:r>
      <w:r w:rsidR="004E1FD0">
        <w:rPr>
          <w:rFonts w:cs="Helvetica"/>
          <w:bCs/>
        </w:rPr>
        <w:t>WORLD 1*</w:t>
      </w:r>
      <w:r>
        <w:rPr>
          <w:rFonts w:cs="Helvetica"/>
          <w:bCs/>
        </w:rPr>
        <w:t xml:space="preserve">; </w:t>
      </w:r>
      <w:r w:rsidR="004A4D72">
        <w:rPr>
          <w:rFonts w:cs="Helvetica"/>
          <w:bCs/>
        </w:rPr>
        <w:t>the</w:t>
      </w:r>
      <w:r>
        <w:rPr>
          <w:rFonts w:cs="Helvetica"/>
          <w:bCs/>
        </w:rPr>
        <w:t xml:space="preserve"> </w:t>
      </w:r>
      <w:r w:rsidR="000167B0" w:rsidRPr="00252DF3">
        <w:rPr>
          <w:rFonts w:cs="Helvetica"/>
          <w:bCs/>
        </w:rPr>
        <w:t>1</w:t>
      </w:r>
      <w:r w:rsidR="000167B0" w:rsidRPr="00252DF3">
        <w:rPr>
          <w:rFonts w:cs="Helvetica"/>
          <w:bCs/>
          <w:vertAlign w:val="superscript"/>
        </w:rPr>
        <w:t>st</w:t>
      </w:r>
      <w:r w:rsidR="000167B0" w:rsidRPr="00252DF3">
        <w:rPr>
          <w:rFonts w:cs="Helvetica"/>
          <w:bCs/>
        </w:rPr>
        <w:t xml:space="preserve"> digit </w:t>
      </w:r>
      <w:r>
        <w:rPr>
          <w:rFonts w:cs="Helvetica"/>
          <w:bCs/>
        </w:rPr>
        <w:t>of adjusted closing price</w:t>
      </w:r>
      <w:r w:rsidR="004E1FD0">
        <w:rPr>
          <w:rFonts w:cs="Helvetica"/>
          <w:bCs/>
        </w:rPr>
        <w:t xml:space="preserve"> of FTSE ITALIA ALL SHARE, Italy</w:t>
      </w:r>
      <w:r>
        <w:rPr>
          <w:rFonts w:cs="Helvetica"/>
          <w:bCs/>
        </w:rPr>
        <w:t xml:space="preserve"> and </w:t>
      </w:r>
      <w:r w:rsidR="004E1FD0">
        <w:rPr>
          <w:rFonts w:cs="Helvetica"/>
          <w:bCs/>
        </w:rPr>
        <w:t>Other relevant markets</w:t>
      </w:r>
      <w:r>
        <w:rPr>
          <w:rFonts w:cs="Helvetica"/>
          <w:bCs/>
        </w:rPr>
        <w:t xml:space="preserve">; </w:t>
      </w:r>
      <w:r w:rsidR="004A4D72">
        <w:rPr>
          <w:rFonts w:cs="Helvetica"/>
          <w:bCs/>
        </w:rPr>
        <w:t>the</w:t>
      </w:r>
      <w:r>
        <w:rPr>
          <w:rFonts w:cs="Helvetica"/>
          <w:bCs/>
        </w:rPr>
        <w:t xml:space="preserve"> </w:t>
      </w:r>
      <w:r w:rsidR="000167B0" w:rsidRPr="00252DF3">
        <w:rPr>
          <w:rFonts w:cs="Helvetica"/>
          <w:bCs/>
        </w:rPr>
        <w:t>2</w:t>
      </w:r>
      <w:r w:rsidR="000167B0" w:rsidRPr="00252DF3">
        <w:rPr>
          <w:rFonts w:cs="Helvetica"/>
          <w:bCs/>
          <w:vertAlign w:val="superscript"/>
        </w:rPr>
        <w:t>nd</w:t>
      </w:r>
      <w:r w:rsidR="000167B0" w:rsidRPr="00252DF3">
        <w:rPr>
          <w:rFonts w:cs="Helvetica"/>
          <w:bCs/>
        </w:rPr>
        <w:t xml:space="preserve"> digit </w:t>
      </w:r>
      <w:r>
        <w:rPr>
          <w:rFonts w:cs="Helvetica"/>
          <w:bCs/>
        </w:rPr>
        <w:t xml:space="preserve">of volume of </w:t>
      </w:r>
      <w:r w:rsidR="000167B0" w:rsidRPr="00252DF3">
        <w:rPr>
          <w:rFonts w:cs="Helvetica"/>
          <w:bCs/>
        </w:rPr>
        <w:t>FTSE ITALIA SMALL CAP, FTSE ITALIA ALL SHARE, OSE ALL SHARE, NASD</w:t>
      </w:r>
      <w:r w:rsidR="004E1FD0">
        <w:rPr>
          <w:rFonts w:cs="Helvetica"/>
          <w:bCs/>
        </w:rPr>
        <w:t xml:space="preserve">AQ 100, JAKARTA COMPOSITE, </w:t>
      </w:r>
      <w:proofErr w:type="spellStart"/>
      <w:r w:rsidR="004E1FD0">
        <w:rPr>
          <w:rFonts w:cs="Helvetica"/>
          <w:bCs/>
        </w:rPr>
        <w:t>Usa</w:t>
      </w:r>
      <w:proofErr w:type="spellEnd"/>
      <w:r w:rsidR="004E1FD0">
        <w:rPr>
          <w:rFonts w:cs="Helvetica"/>
          <w:bCs/>
        </w:rPr>
        <w:t>, World 1* and World 2*</w:t>
      </w:r>
      <w:r>
        <w:rPr>
          <w:rFonts w:cs="Helvetica"/>
          <w:bCs/>
        </w:rPr>
        <w:t xml:space="preserve">; </w:t>
      </w:r>
      <w:r w:rsidR="004A4D72">
        <w:rPr>
          <w:rFonts w:cs="Helvetica"/>
          <w:bCs/>
        </w:rPr>
        <w:t xml:space="preserve">the </w:t>
      </w:r>
      <w:r w:rsidR="000167B0" w:rsidRPr="00252DF3">
        <w:rPr>
          <w:rFonts w:cs="Helvetica"/>
          <w:bCs/>
        </w:rPr>
        <w:t>2</w:t>
      </w:r>
      <w:r w:rsidR="000167B0" w:rsidRPr="00252DF3">
        <w:rPr>
          <w:rFonts w:cs="Helvetica"/>
          <w:bCs/>
          <w:vertAlign w:val="superscript"/>
        </w:rPr>
        <w:t>nd</w:t>
      </w:r>
      <w:r w:rsidR="000167B0" w:rsidRPr="00252DF3">
        <w:rPr>
          <w:rFonts w:cs="Helvetica"/>
          <w:bCs/>
        </w:rPr>
        <w:t xml:space="preserve"> digit </w:t>
      </w:r>
      <w:r>
        <w:rPr>
          <w:rFonts w:cs="Helvetica"/>
          <w:bCs/>
        </w:rPr>
        <w:t xml:space="preserve">of adjusted closing price of </w:t>
      </w:r>
      <w:r w:rsidR="000167B0" w:rsidRPr="00252DF3">
        <w:rPr>
          <w:rFonts w:cs="Helvetica"/>
          <w:bCs/>
        </w:rPr>
        <w:t>FTSE ITALIA ALL SHARE, OSE ALL SHAR</w:t>
      </w:r>
      <w:r w:rsidR="004E1FD0">
        <w:rPr>
          <w:rFonts w:cs="Helvetica"/>
          <w:bCs/>
        </w:rPr>
        <w:t>E, Europe 1* a</w:t>
      </w:r>
      <w:r>
        <w:rPr>
          <w:rFonts w:cs="Helvetica"/>
          <w:bCs/>
        </w:rPr>
        <w:t xml:space="preserve">nd </w:t>
      </w:r>
      <w:r w:rsidR="004E1FD0">
        <w:rPr>
          <w:rFonts w:cs="Helvetica"/>
          <w:bCs/>
        </w:rPr>
        <w:t>Asia-Pacific area</w:t>
      </w:r>
      <w:r w:rsidR="000167B0" w:rsidRPr="00252DF3">
        <w:rPr>
          <w:rFonts w:cs="Helvetica"/>
          <w:bCs/>
        </w:rPr>
        <w:t>.</w:t>
      </w:r>
    </w:p>
    <w:p w14:paraId="1B766B3D" w14:textId="74DC2056" w:rsidR="00A26CCE" w:rsidRDefault="003D32F1"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Pr>
          <w:rFonts w:cs="Helvetica"/>
          <w:bCs/>
        </w:rPr>
        <w:t>It is worth to discuss the obtained findings.</w:t>
      </w:r>
    </w:p>
    <w:p w14:paraId="51F6C66E" w14:textId="53439042" w:rsidR="00A26CCE" w:rsidRPr="00C4686D" w:rsidRDefault="003D32F1"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Pr>
          <w:rFonts w:cs="Helvetica"/>
          <w:bCs/>
        </w:rPr>
        <w:t>For what concerns</w:t>
      </w:r>
      <w:r w:rsidR="00FF058E">
        <w:rPr>
          <w:rFonts w:cs="Helvetica"/>
          <w:bCs/>
        </w:rPr>
        <w:t xml:space="preserve"> FTSE ITALIA ALL SHARE, </w:t>
      </w:r>
      <w:r>
        <w:rPr>
          <w:rFonts w:cs="Helvetica"/>
          <w:bCs/>
        </w:rPr>
        <w:t>which</w:t>
      </w:r>
      <w:r w:rsidR="00FF058E">
        <w:rPr>
          <w:rFonts w:cs="Helvetica"/>
          <w:bCs/>
        </w:rPr>
        <w:t xml:space="preserve"> contains all the stocks listed in the Italian Stock Exchange </w:t>
      </w:r>
      <w:proofErr w:type="spellStart"/>
      <w:r w:rsidR="00FF058E">
        <w:rPr>
          <w:rFonts w:cs="Helvetica"/>
          <w:bCs/>
        </w:rPr>
        <w:t>Borsa</w:t>
      </w:r>
      <w:proofErr w:type="spellEnd"/>
      <w:r w:rsidR="00FF058E">
        <w:rPr>
          <w:rFonts w:cs="Helvetica"/>
          <w:bCs/>
        </w:rPr>
        <w:t xml:space="preserve"> </w:t>
      </w:r>
      <w:proofErr w:type="spellStart"/>
      <w:r w:rsidR="00FF058E">
        <w:rPr>
          <w:rFonts w:cs="Helvetica"/>
          <w:bCs/>
        </w:rPr>
        <w:t>Italiana</w:t>
      </w:r>
      <w:proofErr w:type="spellEnd"/>
      <w:r w:rsidR="00FF058E">
        <w:rPr>
          <w:rFonts w:cs="Helvetica"/>
          <w:bCs/>
        </w:rPr>
        <w:t>, the distribution of the first digit of the price</w:t>
      </w:r>
      <w:r>
        <w:rPr>
          <w:rFonts w:cs="Helvetica"/>
          <w:bCs/>
        </w:rPr>
        <w:t>s</w:t>
      </w:r>
      <w:r w:rsidR="00FF058E">
        <w:rPr>
          <w:rFonts w:cs="Helvetica"/>
          <w:bCs/>
        </w:rPr>
        <w:t xml:space="preserve"> </w:t>
      </w:r>
      <w:r w:rsidR="0041618B">
        <w:rPr>
          <w:rFonts w:cs="Helvetica"/>
          <w:bCs/>
        </w:rPr>
        <w:t>is</w:t>
      </w:r>
      <w:r w:rsidR="00FF058E">
        <w:rPr>
          <w:rFonts w:cs="Helvetica"/>
          <w:bCs/>
        </w:rPr>
        <w:t xml:space="preserve"> very similar to the theoretical distribution provided by </w:t>
      </w:r>
      <w:proofErr w:type="spellStart"/>
      <w:r w:rsidR="00FF058E">
        <w:rPr>
          <w:rFonts w:cs="Helvetica"/>
          <w:bCs/>
        </w:rPr>
        <w:t>Benford</w:t>
      </w:r>
      <w:proofErr w:type="spellEnd"/>
      <w:r w:rsidR="00FF058E">
        <w:rPr>
          <w:rFonts w:cs="Helvetica"/>
          <w:bCs/>
        </w:rPr>
        <w:t>. In fact</w:t>
      </w:r>
      <w:r>
        <w:rPr>
          <w:rFonts w:cs="Helvetica"/>
          <w:bCs/>
        </w:rPr>
        <w:t>,</w:t>
      </w:r>
      <w:r w:rsidR="00FF058E">
        <w:rPr>
          <w:rFonts w:cs="Helvetica"/>
          <w:bCs/>
        </w:rPr>
        <w:t xml:space="preserve"> the </w:t>
      </w:r>
      <m:oMath>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oMath>
      <w:r w:rsidR="00FF058E" w:rsidRPr="00252DF3">
        <w:rPr>
          <w:rFonts w:cs="Helvetica"/>
          <w:bCs/>
        </w:rPr>
        <w:t xml:space="preserve"> test</w:t>
      </w:r>
      <w:r w:rsidR="00FF058E">
        <w:rPr>
          <w:rFonts w:cs="Helvetica"/>
          <w:bCs/>
        </w:rPr>
        <w:t xml:space="preserve"> gives</w:t>
      </w:r>
      <w:r>
        <w:rPr>
          <w:rFonts w:cs="Helvetica"/>
          <w:bCs/>
        </w:rPr>
        <w:t xml:space="preserve"> the</w:t>
      </w:r>
      <w:r w:rsidR="00FF058E">
        <w:rPr>
          <w:rFonts w:cs="Helvetica"/>
          <w:bCs/>
        </w:rPr>
        <w:t xml:space="preserve"> very low</w:t>
      </w:r>
      <w:r w:rsidR="00503D91">
        <w:rPr>
          <w:rFonts w:cs="Helvetica"/>
          <w:bCs/>
        </w:rPr>
        <w:t xml:space="preserve"> critical value</w:t>
      </w:r>
      <w:r>
        <w:rPr>
          <w:rFonts w:cs="Helvetica"/>
          <w:bCs/>
        </w:rPr>
        <w:t xml:space="preserve"> of</w:t>
      </w:r>
      <w:r w:rsidR="00503D91">
        <w:rPr>
          <w:rFonts w:cs="Helvetica"/>
          <w:bCs/>
        </w:rPr>
        <w:t xml:space="preserve"> 4.28</w:t>
      </w:r>
      <w:r w:rsidR="0041618B">
        <w:rPr>
          <w:rFonts w:cs="Helvetica"/>
          <w:bCs/>
        </w:rPr>
        <w:t>8</w:t>
      </w:r>
      <w:r>
        <w:rPr>
          <w:rFonts w:cs="Helvetica"/>
          <w:bCs/>
        </w:rPr>
        <w:t>, and</w:t>
      </w:r>
      <w:r w:rsidR="0041618B">
        <w:rPr>
          <w:rFonts w:cs="Helvetica"/>
          <w:bCs/>
        </w:rPr>
        <w:t xml:space="preserve"> </w:t>
      </w:r>
      <w:r>
        <w:rPr>
          <w:rFonts w:cs="Helvetica"/>
          <w:bCs/>
        </w:rPr>
        <w:t>t</w:t>
      </w:r>
      <w:r w:rsidR="00503D91">
        <w:rPr>
          <w:rFonts w:cs="Helvetica"/>
          <w:bCs/>
        </w:rPr>
        <w:t>he validity of</w:t>
      </w:r>
      <w:r>
        <w:rPr>
          <w:rFonts w:cs="Helvetica"/>
          <w:bCs/>
        </w:rPr>
        <w:t xml:space="preserve"> the</w:t>
      </w:r>
      <w:r w:rsidR="00503D91">
        <w:rPr>
          <w:rFonts w:cs="Helvetica"/>
          <w:bCs/>
        </w:rPr>
        <w:t xml:space="preserve"> </w:t>
      </w:r>
      <w:r w:rsidR="00487769">
        <w:rPr>
          <w:rFonts w:cs="Helvetica"/>
          <w:bCs/>
        </w:rPr>
        <w:t>BL</w:t>
      </w:r>
      <w:r w:rsidR="0041618B">
        <w:rPr>
          <w:rFonts w:cs="Helvetica"/>
          <w:bCs/>
        </w:rPr>
        <w:t xml:space="preserve"> is </w:t>
      </w:r>
      <w:r>
        <w:rPr>
          <w:rFonts w:cs="Helvetica"/>
          <w:bCs/>
        </w:rPr>
        <w:t>obtained</w:t>
      </w:r>
      <w:r w:rsidR="0041618B">
        <w:rPr>
          <w:rFonts w:cs="Helvetica"/>
          <w:bCs/>
        </w:rPr>
        <w:t xml:space="preserve"> for</w:t>
      </w:r>
      <w:r>
        <w:rPr>
          <w:rFonts w:cs="Helvetica"/>
          <w:bCs/>
        </w:rPr>
        <w:t xml:space="preserve"> a</w:t>
      </w:r>
      <w:r w:rsidR="0041618B">
        <w:rPr>
          <w:rFonts w:cs="Helvetica"/>
          <w:bCs/>
        </w:rPr>
        <w:t xml:space="preserve"> confidence level slightly l</w:t>
      </w:r>
      <w:r>
        <w:rPr>
          <w:rFonts w:cs="Helvetica"/>
          <w:bCs/>
        </w:rPr>
        <w:t>ower</w:t>
      </w:r>
      <w:r w:rsidR="0041618B">
        <w:rPr>
          <w:rFonts w:cs="Helvetica"/>
          <w:bCs/>
        </w:rPr>
        <w:t xml:space="preserve"> than 80%.</w:t>
      </w:r>
    </w:p>
    <w:p w14:paraId="032754D0" w14:textId="4C4F746E" w:rsidR="0041618B" w:rsidRDefault="003D32F1" w:rsidP="00FA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Pr>
          <w:rFonts w:cs="Helvetica"/>
          <w:bCs/>
        </w:rPr>
        <w:t>Such a conformity is confirmed also by a pure visual inspection of the interpolating curves of the distributions (see Fig. 1).</w:t>
      </w:r>
    </w:p>
    <w:p w14:paraId="259044CD" w14:textId="77777777" w:rsidR="0041618B" w:rsidRPr="0041618B" w:rsidRDefault="0041618B" w:rsidP="0041618B">
      <w:pPr>
        <w:rPr>
          <w:rFonts w:cs="Helvetica"/>
        </w:rPr>
      </w:pPr>
    </w:p>
    <w:p w14:paraId="2C604744" w14:textId="77777777" w:rsidR="0041618B" w:rsidRPr="0041618B" w:rsidRDefault="0041618B" w:rsidP="0041618B">
      <w:pPr>
        <w:rPr>
          <w:rFonts w:cs="Helvetica"/>
        </w:rPr>
      </w:pPr>
    </w:p>
    <w:p w14:paraId="638DCF76" w14:textId="438E0271" w:rsidR="00A26CCE" w:rsidRPr="004458FB" w:rsidRDefault="0041618B" w:rsidP="0041618B">
      <w:pPr>
        <w:rPr>
          <w:rFonts w:cs="Arial"/>
          <w:sz w:val="20"/>
          <w:szCs w:val="20"/>
        </w:rPr>
      </w:pPr>
      <w:r w:rsidRPr="0041618B">
        <w:rPr>
          <w:rFonts w:cs="Helvetica"/>
          <w:noProof/>
          <w:lang w:val="it-IT"/>
        </w:rPr>
        <w:lastRenderedPageBreak/>
        <w:drawing>
          <wp:inline distT="0" distB="0" distL="0" distR="0" wp14:anchorId="7784FACC" wp14:editId="62F2FE45">
            <wp:extent cx="6116320" cy="3866515"/>
            <wp:effectExtent l="0" t="0" r="30480" b="1968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26CCE">
        <w:rPr>
          <w:rFonts w:cs="Arial"/>
          <w:sz w:val="20"/>
          <w:szCs w:val="20"/>
        </w:rPr>
        <w:t>Fig. 1: The c</w:t>
      </w:r>
      <w:r w:rsidR="00A26CCE" w:rsidRPr="00542564">
        <w:rPr>
          <w:rFonts w:cs="Arial"/>
          <w:sz w:val="20"/>
          <w:szCs w:val="20"/>
        </w:rPr>
        <w:t>omparison between t</w:t>
      </w:r>
      <w:r w:rsidR="00A26CCE">
        <w:rPr>
          <w:rFonts w:cs="Arial"/>
          <w:sz w:val="20"/>
          <w:szCs w:val="20"/>
        </w:rPr>
        <w:t>he real distributions of the 1</w:t>
      </w:r>
      <w:r w:rsidR="00A26CCE" w:rsidRPr="00CD1736">
        <w:rPr>
          <w:rFonts w:cs="Arial"/>
          <w:sz w:val="20"/>
          <w:szCs w:val="20"/>
          <w:vertAlign w:val="superscript"/>
        </w:rPr>
        <w:t>st</w:t>
      </w:r>
      <w:r w:rsidR="00A26CCE" w:rsidRPr="00542564">
        <w:rPr>
          <w:rFonts w:cs="Arial"/>
          <w:sz w:val="20"/>
          <w:szCs w:val="20"/>
        </w:rPr>
        <w:t xml:space="preserve"> digit </w:t>
      </w:r>
      <w:r>
        <w:rPr>
          <w:rFonts w:cs="Arial"/>
          <w:sz w:val="20"/>
          <w:szCs w:val="20"/>
        </w:rPr>
        <w:t>of</w:t>
      </w:r>
      <w:r w:rsidR="00A26CCE" w:rsidRPr="00542564">
        <w:rPr>
          <w:rFonts w:cs="Arial"/>
          <w:sz w:val="20"/>
          <w:szCs w:val="20"/>
        </w:rPr>
        <w:t xml:space="preserve"> adjusted </w:t>
      </w:r>
      <w:r w:rsidR="00A26CCE">
        <w:rPr>
          <w:rFonts w:cs="Arial"/>
          <w:sz w:val="20"/>
          <w:szCs w:val="20"/>
        </w:rPr>
        <w:t xml:space="preserve">price </w:t>
      </w:r>
      <w:r w:rsidR="00A26CCE" w:rsidRPr="00542564">
        <w:rPr>
          <w:rFonts w:cs="Arial"/>
          <w:sz w:val="20"/>
          <w:szCs w:val="20"/>
        </w:rPr>
        <w:t>and the frequency distributio</w:t>
      </w:r>
      <w:r w:rsidR="00A26CCE">
        <w:rPr>
          <w:rFonts w:cs="Arial"/>
          <w:sz w:val="20"/>
          <w:szCs w:val="20"/>
        </w:rPr>
        <w:t xml:space="preserve">n of </w:t>
      </w:r>
      <w:proofErr w:type="spellStart"/>
      <w:r w:rsidR="00A26CCE">
        <w:rPr>
          <w:rFonts w:cs="Arial"/>
          <w:sz w:val="20"/>
          <w:szCs w:val="20"/>
        </w:rPr>
        <w:t>Benford</w:t>
      </w:r>
      <w:proofErr w:type="spellEnd"/>
      <w:r w:rsidR="00A26CCE">
        <w:rPr>
          <w:rFonts w:cs="Arial"/>
          <w:sz w:val="20"/>
          <w:szCs w:val="20"/>
        </w:rPr>
        <w:t xml:space="preserve"> for the FTSE ITALIA </w:t>
      </w:r>
      <w:r>
        <w:rPr>
          <w:rFonts w:cs="Arial"/>
          <w:sz w:val="20"/>
          <w:szCs w:val="20"/>
        </w:rPr>
        <w:t>ALL SHARE</w:t>
      </w:r>
      <w:r w:rsidR="00A26CCE" w:rsidRPr="00542564">
        <w:rPr>
          <w:rFonts w:cs="Arial"/>
          <w:sz w:val="20"/>
          <w:szCs w:val="20"/>
        </w:rPr>
        <w:t>.</w:t>
      </w:r>
    </w:p>
    <w:p w14:paraId="525CD927" w14:textId="77777777" w:rsidR="00A26CCE" w:rsidRDefault="00A26CCE" w:rsidP="00A26CCE">
      <w:pPr>
        <w:spacing w:line="360" w:lineRule="auto"/>
        <w:jc w:val="both"/>
        <w:rPr>
          <w:rFonts w:cs="Andalus"/>
          <w:b/>
          <w:sz w:val="28"/>
          <w:szCs w:val="28"/>
        </w:rPr>
      </w:pPr>
    </w:p>
    <w:p w14:paraId="1AFD2B65" w14:textId="29E811C6" w:rsidR="0041618B" w:rsidRDefault="0041618B" w:rsidP="00A26CCE">
      <w:pPr>
        <w:spacing w:line="360" w:lineRule="auto"/>
        <w:jc w:val="both"/>
        <w:rPr>
          <w:rFonts w:cs="Andalus"/>
        </w:rPr>
      </w:pPr>
      <w:r>
        <w:rPr>
          <w:rFonts w:cs="Andalus"/>
        </w:rPr>
        <w:t xml:space="preserve">Also for the analysis of the World </w:t>
      </w:r>
      <w:r w:rsidR="003D32F1">
        <w:rPr>
          <w:rFonts w:cs="Andalus"/>
        </w:rPr>
        <w:t>joining</w:t>
      </w:r>
      <w:r>
        <w:rPr>
          <w:rFonts w:cs="Andalus"/>
        </w:rPr>
        <w:t xml:space="preserve"> all the indexes together (considering Italy only </w:t>
      </w:r>
      <w:r w:rsidR="003D32F1">
        <w:rPr>
          <w:rFonts w:cs="Andalus"/>
        </w:rPr>
        <w:t>through</w:t>
      </w:r>
      <w:r>
        <w:rPr>
          <w:rFonts w:cs="Andalus"/>
        </w:rPr>
        <w:t xml:space="preserve"> the FTSE MIB)</w:t>
      </w:r>
      <w:r w:rsidR="003D32F1">
        <w:rPr>
          <w:rFonts w:cs="Andalus"/>
        </w:rPr>
        <w:t>,</w:t>
      </w:r>
      <w:r>
        <w:rPr>
          <w:rFonts w:cs="Andalus"/>
        </w:rPr>
        <w:t xml:space="preserve"> </w:t>
      </w:r>
      <w:r w:rsidR="003D32F1">
        <w:rPr>
          <w:rFonts w:cs="Andalus"/>
        </w:rPr>
        <w:t xml:space="preserve">a confidence level of 90% is obtained for </w:t>
      </w:r>
      <w:r>
        <w:rPr>
          <w:rFonts w:cs="Andalus"/>
        </w:rPr>
        <w:t>the first digit of the volume.</w:t>
      </w:r>
    </w:p>
    <w:p w14:paraId="182CF92C" w14:textId="46FEAAD4" w:rsidR="0041618B" w:rsidRPr="0041618B" w:rsidRDefault="0041618B" w:rsidP="00A26CCE">
      <w:pPr>
        <w:spacing w:line="360" w:lineRule="auto"/>
        <w:jc w:val="both"/>
        <w:rPr>
          <w:rFonts w:cs="Andalus"/>
        </w:rPr>
      </w:pPr>
      <w:r>
        <w:rPr>
          <w:rFonts w:cs="Andalus"/>
        </w:rPr>
        <w:t>From a visual examination of this chart, it can be note an excellent compliance between the two distributions</w:t>
      </w:r>
      <w:r w:rsidR="003D32F1">
        <w:rPr>
          <w:rFonts w:cs="Andalus"/>
        </w:rPr>
        <w:t xml:space="preserve"> (see Fig. 2)</w:t>
      </w:r>
      <w:r>
        <w:rPr>
          <w:rFonts w:cs="Andalus"/>
        </w:rPr>
        <w:t>.</w:t>
      </w:r>
    </w:p>
    <w:p w14:paraId="0C474FCE" w14:textId="77777777" w:rsidR="00A26CCE" w:rsidRDefault="00A26CCE" w:rsidP="00A26CCE">
      <w:pPr>
        <w:tabs>
          <w:tab w:val="left" w:pos="1440"/>
        </w:tabs>
        <w:spacing w:line="360" w:lineRule="auto"/>
        <w:rPr>
          <w:rFonts w:cs="Arial"/>
        </w:rPr>
      </w:pPr>
    </w:p>
    <w:p w14:paraId="26CD5AE5" w14:textId="0CD92986" w:rsidR="00A26CCE" w:rsidRDefault="004458FB" w:rsidP="00A26CCE">
      <w:pPr>
        <w:tabs>
          <w:tab w:val="left" w:pos="1440"/>
        </w:tabs>
        <w:spacing w:line="360" w:lineRule="auto"/>
        <w:rPr>
          <w:rFonts w:cs="Arial"/>
        </w:rPr>
      </w:pPr>
      <w:r w:rsidRPr="004458FB">
        <w:rPr>
          <w:rFonts w:cs="Arial"/>
          <w:noProof/>
          <w:lang w:val="it-IT"/>
        </w:rPr>
        <w:lastRenderedPageBreak/>
        <w:drawing>
          <wp:inline distT="0" distB="0" distL="0" distR="0" wp14:anchorId="021AAC43" wp14:editId="1A105C77">
            <wp:extent cx="6116320" cy="4259098"/>
            <wp:effectExtent l="0" t="0" r="30480" b="33655"/>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495EB1" w14:textId="7BFB4DC1" w:rsidR="004458FB" w:rsidRDefault="004458FB" w:rsidP="004458FB">
      <w:pPr>
        <w:spacing w:line="360" w:lineRule="auto"/>
        <w:rPr>
          <w:rFonts w:cs="Andalus"/>
          <w:sz w:val="20"/>
        </w:rPr>
      </w:pPr>
      <w:r>
        <w:rPr>
          <w:rFonts w:cs="Andalus"/>
          <w:sz w:val="20"/>
        </w:rPr>
        <w:t>Fig. 2</w:t>
      </w:r>
      <w:r w:rsidRPr="00CE6207">
        <w:rPr>
          <w:rFonts w:cs="Andalus"/>
          <w:sz w:val="20"/>
        </w:rPr>
        <w:t xml:space="preserve">: </w:t>
      </w:r>
      <w:r>
        <w:rPr>
          <w:rFonts w:cs="Arial"/>
          <w:sz w:val="20"/>
          <w:szCs w:val="20"/>
        </w:rPr>
        <w:t>The c</w:t>
      </w:r>
      <w:r w:rsidRPr="00542564">
        <w:rPr>
          <w:rFonts w:cs="Arial"/>
          <w:sz w:val="20"/>
          <w:szCs w:val="20"/>
        </w:rPr>
        <w:t>omparison between the real distributions of the 1</w:t>
      </w:r>
      <w:r w:rsidRPr="007B7C2F">
        <w:rPr>
          <w:rFonts w:cs="Arial"/>
          <w:sz w:val="20"/>
          <w:szCs w:val="20"/>
          <w:vertAlign w:val="superscript"/>
        </w:rPr>
        <w:t>st</w:t>
      </w:r>
      <w:r w:rsidRPr="00542564">
        <w:rPr>
          <w:rFonts w:cs="Arial"/>
          <w:sz w:val="20"/>
          <w:szCs w:val="20"/>
        </w:rPr>
        <w:t xml:space="preserve"> digit </w:t>
      </w:r>
      <w:r>
        <w:rPr>
          <w:rFonts w:cs="Arial"/>
          <w:sz w:val="20"/>
          <w:szCs w:val="20"/>
        </w:rPr>
        <w:t xml:space="preserve">of volume </w:t>
      </w:r>
      <w:r w:rsidRPr="00542564">
        <w:rPr>
          <w:rFonts w:cs="Arial"/>
          <w:sz w:val="20"/>
          <w:szCs w:val="20"/>
        </w:rPr>
        <w:t>and the frequency distributio</w:t>
      </w:r>
      <w:r>
        <w:rPr>
          <w:rFonts w:cs="Arial"/>
          <w:sz w:val="20"/>
          <w:szCs w:val="20"/>
        </w:rPr>
        <w:t xml:space="preserve">n of </w:t>
      </w:r>
      <w:proofErr w:type="spellStart"/>
      <w:r>
        <w:rPr>
          <w:rFonts w:cs="Arial"/>
          <w:sz w:val="20"/>
          <w:szCs w:val="20"/>
        </w:rPr>
        <w:t>Benford</w:t>
      </w:r>
      <w:proofErr w:type="spellEnd"/>
      <w:r>
        <w:rPr>
          <w:rFonts w:cs="Arial"/>
          <w:sz w:val="20"/>
          <w:szCs w:val="20"/>
        </w:rPr>
        <w:t xml:space="preserve"> fo</w:t>
      </w:r>
      <w:r>
        <w:rPr>
          <w:rFonts w:cs="Andalus"/>
          <w:sz w:val="20"/>
        </w:rPr>
        <w:t>r World including FTSE MIB.</w:t>
      </w:r>
    </w:p>
    <w:p w14:paraId="38F16183" w14:textId="77777777" w:rsidR="00A26CCE" w:rsidRDefault="00A26CCE" w:rsidP="00A26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cs="Helvetica"/>
          <w:b/>
          <w:bCs/>
          <w:sz w:val="28"/>
          <w:szCs w:val="28"/>
        </w:rPr>
      </w:pPr>
    </w:p>
    <w:p w14:paraId="749038B5" w14:textId="32B966AE" w:rsidR="004458FB" w:rsidRDefault="004458FB" w:rsidP="004458FB">
      <w:pPr>
        <w:spacing w:line="360" w:lineRule="auto"/>
        <w:jc w:val="both"/>
        <w:rPr>
          <w:rFonts w:cs="Helvetica"/>
          <w:bCs/>
        </w:rPr>
      </w:pPr>
      <w:r>
        <w:rPr>
          <w:rFonts w:cs="Helvetica"/>
          <w:bCs/>
        </w:rPr>
        <w:t xml:space="preserve">Now we focus our attention </w:t>
      </w:r>
      <w:r w:rsidR="00FE71B5">
        <w:rPr>
          <w:rFonts w:cs="Helvetica"/>
          <w:bCs/>
        </w:rPr>
        <w:t>to</w:t>
      </w:r>
      <w:r>
        <w:rPr>
          <w:rFonts w:cs="Helvetica"/>
          <w:bCs/>
        </w:rPr>
        <w:t xml:space="preserve"> the particular case of the OSE ALL SHARE. This index inc</w:t>
      </w:r>
      <w:r w:rsidR="00FE71B5">
        <w:rPr>
          <w:rFonts w:cs="Helvetica"/>
          <w:bCs/>
        </w:rPr>
        <w:t>ludes all the stocks with high</w:t>
      </w:r>
      <w:r>
        <w:rPr>
          <w:rFonts w:cs="Helvetica"/>
          <w:bCs/>
        </w:rPr>
        <w:t xml:space="preserve"> capitalization listed in the Norwegian Stock Exchange. </w:t>
      </w:r>
    </w:p>
    <w:p w14:paraId="7153F00E" w14:textId="1CB84D90" w:rsidR="004458FB" w:rsidRPr="004458FB" w:rsidRDefault="004458FB" w:rsidP="004458FB">
      <w:pPr>
        <w:spacing w:line="360" w:lineRule="auto"/>
        <w:jc w:val="both"/>
        <w:rPr>
          <w:rFonts w:cs="Helvetica"/>
          <w:bCs/>
        </w:rPr>
      </w:pPr>
      <w:r w:rsidRPr="004458FB">
        <w:rPr>
          <w:rFonts w:cs="Helvetica"/>
          <w:bCs/>
        </w:rPr>
        <w:t xml:space="preserve">By the calculation of </w:t>
      </w:r>
      <w:r w:rsidR="00FE71B5">
        <w:rPr>
          <w:rFonts w:cs="Helvetica"/>
          <w:bCs/>
        </w:rPr>
        <w:t xml:space="preserve">the </w:t>
      </w:r>
      <m:oMath>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oMath>
      <w:r w:rsidR="00FE71B5">
        <w:rPr>
          <w:rFonts w:cs="Helvetica"/>
        </w:rPr>
        <w:t xml:space="preserve"> test </w:t>
      </w:r>
      <w:r w:rsidRPr="004458FB">
        <w:rPr>
          <w:rFonts w:cs="Helvetica"/>
          <w:bCs/>
        </w:rPr>
        <w:t xml:space="preserve">for the </w:t>
      </w:r>
      <w:r w:rsidR="00600E3F">
        <w:rPr>
          <w:rFonts w:cs="Helvetica"/>
          <w:bCs/>
        </w:rPr>
        <w:t>second</w:t>
      </w:r>
      <w:r w:rsidR="0052288D">
        <w:rPr>
          <w:rFonts w:cs="Helvetica"/>
          <w:bCs/>
        </w:rPr>
        <w:t xml:space="preserve"> </w:t>
      </w:r>
      <w:r w:rsidRPr="004458FB">
        <w:rPr>
          <w:rFonts w:cs="Helvetica"/>
          <w:bCs/>
        </w:rPr>
        <w:t>meaningful digit</w:t>
      </w:r>
      <w:r w:rsidR="00600E3F">
        <w:rPr>
          <w:rFonts w:cs="Helvetica"/>
          <w:bCs/>
        </w:rPr>
        <w:t xml:space="preserve"> of the volume</w:t>
      </w:r>
      <w:r w:rsidR="00FE71B5">
        <w:rPr>
          <w:rFonts w:cs="Helvetica"/>
          <w:bCs/>
        </w:rPr>
        <w:t xml:space="preserve"> </w:t>
      </w:r>
      <w:r w:rsidRPr="004458FB">
        <w:rPr>
          <w:rFonts w:cs="Helvetica"/>
          <w:bCs/>
        </w:rPr>
        <w:t xml:space="preserve">the </w:t>
      </w:r>
      <w:r w:rsidR="00FE71B5">
        <w:rPr>
          <w:rFonts w:cs="Helvetica"/>
          <w:bCs/>
        </w:rPr>
        <w:t xml:space="preserve">obtained </w:t>
      </w:r>
      <w:r w:rsidRPr="004458FB">
        <w:rPr>
          <w:rFonts w:cs="Helvetica"/>
          <w:bCs/>
        </w:rPr>
        <w:t>confidence level is 95%</w:t>
      </w:r>
      <w:r>
        <w:rPr>
          <w:rFonts w:cs="Helvetica"/>
          <w:bCs/>
        </w:rPr>
        <w:t xml:space="preserve"> (</w:t>
      </w:r>
      <w:r w:rsidR="00FE71B5">
        <w:rPr>
          <w:rFonts w:cs="Helvetica"/>
          <w:bCs/>
        </w:rPr>
        <w:t xml:space="preserve">the </w:t>
      </w:r>
      <w:r>
        <w:rPr>
          <w:rFonts w:cs="Helvetica"/>
          <w:bCs/>
        </w:rPr>
        <w:t xml:space="preserve">critical value </w:t>
      </w:r>
      <w:r w:rsidR="00FE71B5">
        <w:rPr>
          <w:rFonts w:cs="Helvetica"/>
          <w:bCs/>
        </w:rPr>
        <w:t>is</w:t>
      </w:r>
      <w:r>
        <w:rPr>
          <w:rFonts w:cs="Helvetica"/>
          <w:bCs/>
        </w:rPr>
        <w:t xml:space="preserve"> 2.45)</w:t>
      </w:r>
      <w:r w:rsidRPr="004458FB">
        <w:rPr>
          <w:rFonts w:cs="Helvetica"/>
          <w:bCs/>
        </w:rPr>
        <w:t>. This represents an extraordinary result.</w:t>
      </w:r>
    </w:p>
    <w:p w14:paraId="2DA40D30" w14:textId="14872ECD" w:rsidR="004458FB" w:rsidRPr="004458FB" w:rsidRDefault="00FE71B5" w:rsidP="004458FB">
      <w:pPr>
        <w:spacing w:line="360" w:lineRule="auto"/>
        <w:jc w:val="both"/>
        <w:rPr>
          <w:rFonts w:cs="Helvetica"/>
          <w:bCs/>
        </w:rPr>
      </w:pPr>
      <w:r>
        <w:rPr>
          <w:rFonts w:cs="Helvetica"/>
          <w:bCs/>
        </w:rPr>
        <w:t xml:space="preserve">In some situations, there is an excellent compliance of the </w:t>
      </w:r>
      <w:r w:rsidR="00487769">
        <w:rPr>
          <w:rFonts w:cs="Helvetica"/>
          <w:bCs/>
        </w:rPr>
        <w:t>BL</w:t>
      </w:r>
      <w:r>
        <w:rPr>
          <w:rFonts w:cs="Helvetica"/>
          <w:bCs/>
        </w:rPr>
        <w:t xml:space="preserve"> with the empirical distribution of the digits even if the visual appeal of the concordance of the corresponding plots is questionable. Such a</w:t>
      </w:r>
      <w:r w:rsidR="004458FB" w:rsidRPr="004458FB">
        <w:rPr>
          <w:rFonts w:cs="Helvetica"/>
          <w:bCs/>
        </w:rPr>
        <w:t xml:space="preserve"> discrepancy </w:t>
      </w:r>
      <w:r>
        <w:rPr>
          <w:rFonts w:cs="Helvetica"/>
          <w:bCs/>
        </w:rPr>
        <w:t>depends on the cardinality</w:t>
      </w:r>
      <w:r w:rsidR="004458FB" w:rsidRPr="004458FB">
        <w:rPr>
          <w:rFonts w:cs="Helvetica"/>
          <w:bCs/>
        </w:rPr>
        <w:t xml:space="preserve"> of</w:t>
      </w:r>
      <w:r>
        <w:rPr>
          <w:rFonts w:cs="Helvetica"/>
          <w:bCs/>
        </w:rPr>
        <w:t xml:space="preserve"> the</w:t>
      </w:r>
      <w:r w:rsidR="004458FB" w:rsidRPr="004458FB">
        <w:rPr>
          <w:rFonts w:cs="Helvetica"/>
          <w:bCs/>
        </w:rPr>
        <w:t xml:space="preserve"> considered data</w:t>
      </w:r>
      <w:r>
        <w:rPr>
          <w:rFonts w:cs="Helvetica"/>
          <w:bCs/>
        </w:rPr>
        <w:t>set</w:t>
      </w:r>
      <w:r w:rsidR="0052288D">
        <w:rPr>
          <w:rFonts w:cs="Helvetica"/>
          <w:bCs/>
        </w:rPr>
        <w:t>,</w:t>
      </w:r>
      <w:r w:rsidR="0052288D" w:rsidRPr="0052288D">
        <w:rPr>
          <w:rFonts w:cs="Helvetica"/>
          <w:bCs/>
        </w:rPr>
        <w:t xml:space="preserve"> </w:t>
      </w:r>
      <w:r w:rsidR="0052288D">
        <w:rPr>
          <w:rFonts w:cs="Helvetica"/>
          <w:bCs/>
        </w:rPr>
        <w:t xml:space="preserve">since a small deviation might be graphically relevant in presence </w:t>
      </w:r>
      <w:r w:rsidR="0052288D" w:rsidRPr="00831D37">
        <w:rPr>
          <w:rFonts w:cs="Helvetica"/>
          <w:bCs/>
        </w:rPr>
        <w:t xml:space="preserve">of a </w:t>
      </w:r>
      <w:r w:rsidR="00831D37" w:rsidRPr="00831D37">
        <w:rPr>
          <w:rFonts w:cs="Helvetica"/>
          <w:bCs/>
        </w:rPr>
        <w:t>small</w:t>
      </w:r>
      <w:r w:rsidR="0052288D">
        <w:rPr>
          <w:rFonts w:cs="Helvetica"/>
          <w:bCs/>
        </w:rPr>
        <w:t xml:space="preserve"> </w:t>
      </w:r>
      <w:r w:rsidR="0052288D" w:rsidRPr="004458FB">
        <w:rPr>
          <w:rFonts w:cs="Helvetica"/>
          <w:bCs/>
        </w:rPr>
        <w:t>number of data</w:t>
      </w:r>
      <w:r w:rsidR="0052288D">
        <w:rPr>
          <w:rFonts w:cs="Helvetica"/>
          <w:bCs/>
        </w:rPr>
        <w:t xml:space="preserve">. This said, we point out that </w:t>
      </w:r>
      <w:r w:rsidR="0052288D" w:rsidRPr="004458FB">
        <w:rPr>
          <w:rFonts w:cs="Helvetica"/>
          <w:bCs/>
        </w:rPr>
        <w:t>the</w:t>
      </w:r>
      <w:r w:rsidR="0052288D">
        <w:rPr>
          <w:rFonts w:cs="Helvetica"/>
          <w:bCs/>
        </w:rPr>
        <w:t xml:space="preserve"> scientifically consistent</w:t>
      </w:r>
      <w:r w:rsidR="0052288D" w:rsidRPr="004458FB">
        <w:rPr>
          <w:rFonts w:cs="Helvetica"/>
          <w:bCs/>
        </w:rPr>
        <w:t xml:space="preserve"> method </w:t>
      </w:r>
      <w:r w:rsidR="0052288D">
        <w:rPr>
          <w:rFonts w:cs="Helvetica"/>
          <w:bCs/>
        </w:rPr>
        <w:t xml:space="preserve">for assessing the validity of the </w:t>
      </w:r>
      <w:r w:rsidR="00487769">
        <w:rPr>
          <w:rFonts w:cs="Helvetica"/>
          <w:bCs/>
        </w:rPr>
        <w:t>BL</w:t>
      </w:r>
      <w:r w:rsidR="0052288D">
        <w:rPr>
          <w:rFonts w:cs="Helvetica"/>
          <w:bCs/>
        </w:rPr>
        <w:t xml:space="preserve"> is</w:t>
      </w:r>
      <w:r w:rsidR="0052288D" w:rsidRPr="004458FB">
        <w:rPr>
          <w:rFonts w:cs="Helvetica"/>
          <w:bCs/>
        </w:rPr>
        <w:t xml:space="preserve"> the </w:t>
      </w:r>
      <w:r w:rsidR="0052288D">
        <w:rPr>
          <w:rFonts w:cs="Helvetica"/>
          <w:bCs/>
        </w:rPr>
        <w:t xml:space="preserve">statistical </w:t>
      </w:r>
      <m:oMath>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oMath>
      <w:r w:rsidR="0052288D" w:rsidRPr="004458FB">
        <w:rPr>
          <w:rFonts w:cs="Helvetica"/>
          <w:bCs/>
        </w:rPr>
        <w:t xml:space="preserve"> test</w:t>
      </w:r>
      <w:r w:rsidR="0052288D">
        <w:rPr>
          <w:rFonts w:cs="Helvetica"/>
          <w:bCs/>
        </w:rPr>
        <w:t xml:space="preserve">. (see Fig. 3) </w:t>
      </w:r>
    </w:p>
    <w:p w14:paraId="099AAC87" w14:textId="1A9B59DB" w:rsidR="004458FB" w:rsidRPr="004458FB" w:rsidRDefault="0052288D" w:rsidP="004458FB">
      <w:pPr>
        <w:spacing w:line="360" w:lineRule="auto"/>
        <w:jc w:val="both"/>
        <w:rPr>
          <w:rFonts w:cs="Helvetica"/>
          <w:bCs/>
        </w:rPr>
      </w:pPr>
      <w:r>
        <w:rPr>
          <w:rFonts w:cs="Helvetica"/>
          <w:bCs/>
        </w:rPr>
        <w:t>In this respect, notice that t</w:t>
      </w:r>
      <w:r w:rsidR="004458FB" w:rsidRPr="004458FB">
        <w:rPr>
          <w:rFonts w:cs="Helvetica"/>
          <w:bCs/>
        </w:rPr>
        <w:t>he OSE A</w:t>
      </w:r>
      <w:r w:rsidR="00FE71B5">
        <w:rPr>
          <w:rFonts w:cs="Helvetica"/>
          <w:bCs/>
        </w:rPr>
        <w:t>LL SHARE</w:t>
      </w:r>
      <w:r w:rsidR="004458FB" w:rsidRPr="004458FB">
        <w:rPr>
          <w:rFonts w:cs="Helvetica"/>
          <w:bCs/>
        </w:rPr>
        <w:t xml:space="preserve"> </w:t>
      </w:r>
      <w:r w:rsidR="00FE71B5">
        <w:rPr>
          <w:rFonts w:cs="Helvetica"/>
          <w:bCs/>
        </w:rPr>
        <w:t>includes only</w:t>
      </w:r>
      <w:r w:rsidR="004458FB" w:rsidRPr="004458FB">
        <w:rPr>
          <w:rFonts w:cs="Helvetica"/>
          <w:bCs/>
        </w:rPr>
        <w:t xml:space="preserve"> 157 stocks</w:t>
      </w:r>
      <w:r w:rsidR="004B1775">
        <w:rPr>
          <w:rFonts w:cs="Helvetica"/>
          <w:bCs/>
        </w:rPr>
        <w:t>, while in the analysis of</w:t>
      </w:r>
      <w:r w:rsidR="00FE71B5">
        <w:rPr>
          <w:rFonts w:cs="Helvetica"/>
          <w:bCs/>
        </w:rPr>
        <w:t xml:space="preserve"> the overall</w:t>
      </w:r>
      <w:r w:rsidR="004B1775">
        <w:rPr>
          <w:rFonts w:cs="Helvetica"/>
          <w:bCs/>
        </w:rPr>
        <w:t xml:space="preserve"> World the </w:t>
      </w:r>
      <w:r w:rsidR="00FE71B5">
        <w:rPr>
          <w:rFonts w:cs="Helvetica"/>
          <w:bCs/>
        </w:rPr>
        <w:t xml:space="preserve">included </w:t>
      </w:r>
      <w:r w:rsidR="004B1775">
        <w:rPr>
          <w:rFonts w:cs="Helvetica"/>
          <w:bCs/>
        </w:rPr>
        <w:t>stocks are 3727.</w:t>
      </w:r>
    </w:p>
    <w:p w14:paraId="4439A05E" w14:textId="17D17760" w:rsidR="00A26CCE" w:rsidRPr="004458FB" w:rsidRDefault="00A26CCE" w:rsidP="00A26CCE">
      <w:pPr>
        <w:spacing w:line="360" w:lineRule="auto"/>
        <w:jc w:val="both"/>
        <w:rPr>
          <w:rFonts w:cs="Helvetica"/>
          <w:bCs/>
        </w:rPr>
      </w:pPr>
    </w:p>
    <w:p w14:paraId="71CA1AA0" w14:textId="77777777" w:rsidR="00A26CCE" w:rsidRDefault="00A26CCE" w:rsidP="00A26CCE">
      <w:pPr>
        <w:spacing w:line="360" w:lineRule="auto"/>
        <w:jc w:val="both"/>
        <w:rPr>
          <w:rFonts w:cs="Arial"/>
        </w:rPr>
      </w:pPr>
    </w:p>
    <w:p w14:paraId="716C5C37" w14:textId="69CBCE55" w:rsidR="00A26CCE" w:rsidRPr="00800487" w:rsidRDefault="004458FB" w:rsidP="00A26CCE">
      <w:pPr>
        <w:spacing w:line="360" w:lineRule="auto"/>
        <w:jc w:val="both"/>
        <w:rPr>
          <w:rFonts w:cs="Arial"/>
        </w:rPr>
      </w:pPr>
      <w:r w:rsidRPr="004458FB">
        <w:rPr>
          <w:rFonts w:cs="Arial"/>
          <w:noProof/>
          <w:lang w:val="it-IT"/>
        </w:rPr>
        <w:lastRenderedPageBreak/>
        <w:drawing>
          <wp:inline distT="0" distB="0" distL="0" distR="0" wp14:anchorId="4AB77842" wp14:editId="55E044B3">
            <wp:extent cx="6116320" cy="4338220"/>
            <wp:effectExtent l="0" t="0" r="30480" b="31115"/>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1A9FFE" w14:textId="653C0E3D" w:rsidR="00A26CCE" w:rsidRDefault="00A26CCE" w:rsidP="00A26CCE">
      <w:pPr>
        <w:spacing w:line="360" w:lineRule="auto"/>
        <w:jc w:val="both"/>
        <w:rPr>
          <w:rFonts w:cs="Andalus"/>
          <w:sz w:val="20"/>
        </w:rPr>
      </w:pPr>
      <w:r>
        <w:rPr>
          <w:rFonts w:cs="Andalus"/>
          <w:sz w:val="20"/>
        </w:rPr>
        <w:t>Fig.</w:t>
      </w:r>
      <w:r w:rsidR="004458FB">
        <w:rPr>
          <w:rFonts w:cs="Andalus"/>
          <w:sz w:val="20"/>
        </w:rPr>
        <w:t xml:space="preserve"> 3</w:t>
      </w:r>
      <w:r w:rsidRPr="00CE6207">
        <w:rPr>
          <w:rFonts w:cs="Andalus"/>
          <w:sz w:val="20"/>
        </w:rPr>
        <w:t xml:space="preserve">: </w:t>
      </w:r>
      <w:r>
        <w:rPr>
          <w:rFonts w:cs="Arial"/>
          <w:sz w:val="20"/>
          <w:szCs w:val="20"/>
        </w:rPr>
        <w:t>The c</w:t>
      </w:r>
      <w:r w:rsidRPr="00542564">
        <w:rPr>
          <w:rFonts w:cs="Arial"/>
          <w:sz w:val="20"/>
          <w:szCs w:val="20"/>
        </w:rPr>
        <w:t>omparison between t</w:t>
      </w:r>
      <w:r>
        <w:rPr>
          <w:rFonts w:cs="Arial"/>
          <w:sz w:val="20"/>
          <w:szCs w:val="20"/>
        </w:rPr>
        <w:t xml:space="preserve">he real distributions of the </w:t>
      </w:r>
      <w:r w:rsidR="001A27E3">
        <w:rPr>
          <w:rFonts w:cs="Arial"/>
          <w:sz w:val="20"/>
          <w:szCs w:val="20"/>
        </w:rPr>
        <w:t>2</w:t>
      </w:r>
      <w:r w:rsidR="001A27E3">
        <w:rPr>
          <w:rFonts w:cs="Arial"/>
          <w:sz w:val="20"/>
          <w:szCs w:val="20"/>
          <w:vertAlign w:val="superscript"/>
        </w:rPr>
        <w:t>nd</w:t>
      </w:r>
      <w:r w:rsidRPr="00542564">
        <w:rPr>
          <w:rFonts w:cs="Arial"/>
          <w:sz w:val="20"/>
          <w:szCs w:val="20"/>
        </w:rPr>
        <w:t xml:space="preserve"> digit </w:t>
      </w:r>
      <w:r>
        <w:rPr>
          <w:rFonts w:cs="Arial"/>
          <w:sz w:val="20"/>
          <w:szCs w:val="20"/>
        </w:rPr>
        <w:t xml:space="preserve">of </w:t>
      </w:r>
      <w:r w:rsidR="004458FB">
        <w:rPr>
          <w:rFonts w:cs="Arial"/>
          <w:sz w:val="20"/>
          <w:szCs w:val="20"/>
        </w:rPr>
        <w:t xml:space="preserve">volume </w:t>
      </w:r>
      <w:r w:rsidRPr="00542564">
        <w:rPr>
          <w:rFonts w:cs="Arial"/>
          <w:sz w:val="20"/>
          <w:szCs w:val="20"/>
        </w:rPr>
        <w:t>and the frequency distributio</w:t>
      </w:r>
      <w:r>
        <w:rPr>
          <w:rFonts w:cs="Arial"/>
          <w:sz w:val="20"/>
          <w:szCs w:val="20"/>
        </w:rPr>
        <w:t xml:space="preserve">n of </w:t>
      </w:r>
      <w:proofErr w:type="spellStart"/>
      <w:r>
        <w:rPr>
          <w:rFonts w:cs="Arial"/>
          <w:sz w:val="20"/>
          <w:szCs w:val="20"/>
        </w:rPr>
        <w:t>Benford</w:t>
      </w:r>
      <w:proofErr w:type="spellEnd"/>
      <w:r>
        <w:rPr>
          <w:rFonts w:cs="Arial"/>
          <w:sz w:val="20"/>
          <w:szCs w:val="20"/>
        </w:rPr>
        <w:t xml:space="preserve"> for the</w:t>
      </w:r>
      <w:r>
        <w:rPr>
          <w:rFonts w:cs="Andalus"/>
          <w:sz w:val="20"/>
        </w:rPr>
        <w:t xml:space="preserve"> </w:t>
      </w:r>
      <w:r w:rsidRPr="00CE6207">
        <w:rPr>
          <w:rFonts w:cs="Andalus"/>
          <w:sz w:val="20"/>
        </w:rPr>
        <w:t>OSE ALL SHARE.</w:t>
      </w:r>
    </w:p>
    <w:p w14:paraId="4978B069" w14:textId="77777777" w:rsidR="00A26CCE" w:rsidRDefault="00A26CCE" w:rsidP="00A26CCE">
      <w:pPr>
        <w:spacing w:line="360" w:lineRule="auto"/>
        <w:jc w:val="both"/>
        <w:rPr>
          <w:rFonts w:cs="Andalus"/>
          <w:sz w:val="20"/>
        </w:rPr>
      </w:pPr>
    </w:p>
    <w:p w14:paraId="75A4E081" w14:textId="2D904F33" w:rsidR="00BD3ED0" w:rsidRPr="0052288D" w:rsidRDefault="0052288D" w:rsidP="00BD3ED0">
      <w:pPr>
        <w:spacing w:line="360" w:lineRule="auto"/>
        <w:jc w:val="both"/>
        <w:rPr>
          <w:rFonts w:cs="Andalus"/>
        </w:rPr>
      </w:pPr>
      <w:r>
        <w:rPr>
          <w:rFonts w:cs="Helvetica"/>
          <w:bCs/>
        </w:rPr>
        <w:t>W</w:t>
      </w:r>
      <w:r w:rsidR="004B1775">
        <w:rPr>
          <w:rFonts w:cs="Helvetica"/>
          <w:bCs/>
        </w:rPr>
        <w:t>e</w:t>
      </w:r>
      <w:r>
        <w:rPr>
          <w:rFonts w:cs="Andalus"/>
        </w:rPr>
        <w:t xml:space="preserve"> </w:t>
      </w:r>
      <w:r w:rsidR="004B1775" w:rsidRPr="00750743">
        <w:rPr>
          <w:rFonts w:cs="Andalus"/>
        </w:rPr>
        <w:t xml:space="preserve">now </w:t>
      </w:r>
      <w:r>
        <w:rPr>
          <w:rFonts w:cs="Andalus"/>
        </w:rPr>
        <w:t>discuss some</w:t>
      </w:r>
      <w:r w:rsidR="004A4D72">
        <w:rPr>
          <w:rFonts w:cs="Helvetica"/>
          <w:bCs/>
        </w:rPr>
        <w:t xml:space="preserve"> cases of not</w:t>
      </w:r>
      <w:r w:rsidR="004B1775">
        <w:rPr>
          <w:rFonts w:cs="Helvetica"/>
          <w:bCs/>
        </w:rPr>
        <w:t xml:space="preserve"> </w:t>
      </w:r>
      <w:r w:rsidR="00BD3ED0" w:rsidRPr="00BD3ED0">
        <w:rPr>
          <w:rFonts w:cs="Helvetica"/>
          <w:bCs/>
        </w:rPr>
        <w:t>conformity</w:t>
      </w:r>
      <w:r>
        <w:rPr>
          <w:rFonts w:cs="Helvetica"/>
          <w:bCs/>
        </w:rPr>
        <w:t xml:space="preserve">, where </w:t>
      </w:r>
      <w:r w:rsidR="00487769">
        <w:rPr>
          <w:rFonts w:cs="Helvetica"/>
          <w:bCs/>
        </w:rPr>
        <w:t>BL</w:t>
      </w:r>
      <w:r w:rsidR="004B1775">
        <w:rPr>
          <w:rFonts w:cs="Helvetica"/>
          <w:bCs/>
        </w:rPr>
        <w:t xml:space="preserve"> fail</w:t>
      </w:r>
      <w:r>
        <w:rPr>
          <w:rFonts w:cs="Helvetica"/>
          <w:bCs/>
        </w:rPr>
        <w:t>s</w:t>
      </w:r>
      <w:r w:rsidR="00BD3ED0" w:rsidRPr="00BD3ED0">
        <w:rPr>
          <w:rFonts w:cs="Helvetica"/>
          <w:bCs/>
        </w:rPr>
        <w:t>.</w:t>
      </w:r>
    </w:p>
    <w:p w14:paraId="51459871" w14:textId="77777777" w:rsidR="00BD3ED0" w:rsidRPr="00BD3ED0" w:rsidRDefault="00BD3ED0" w:rsidP="00BD3ED0">
      <w:pPr>
        <w:spacing w:line="360" w:lineRule="auto"/>
        <w:jc w:val="both"/>
        <w:rPr>
          <w:rFonts w:cs="Helvetica"/>
          <w:bCs/>
        </w:rPr>
      </w:pPr>
      <w:r w:rsidRPr="00BD3ED0">
        <w:rPr>
          <w:rFonts w:cs="Helvetica"/>
          <w:bCs/>
        </w:rPr>
        <w:t>The first case concerns Italy.</w:t>
      </w:r>
    </w:p>
    <w:p w14:paraId="75F61052" w14:textId="0DE5DA0C" w:rsidR="00BD3ED0" w:rsidRPr="00BD3ED0" w:rsidRDefault="00BD3ED0" w:rsidP="00BD3ED0">
      <w:pPr>
        <w:spacing w:line="360" w:lineRule="auto"/>
        <w:jc w:val="both"/>
        <w:rPr>
          <w:rFonts w:cs="Helvetica"/>
          <w:bCs/>
        </w:rPr>
      </w:pPr>
      <w:r w:rsidRPr="00BD3ED0">
        <w:rPr>
          <w:rFonts w:cs="Helvetica"/>
          <w:bCs/>
        </w:rPr>
        <w:t>For the first digit of the volume</w:t>
      </w:r>
      <w:r w:rsidR="0052288D">
        <w:rPr>
          <w:rFonts w:cs="Helvetica"/>
          <w:bCs/>
        </w:rPr>
        <w:t xml:space="preserve">, </w:t>
      </w:r>
      <w:r w:rsidR="00487769">
        <w:rPr>
          <w:rFonts w:cs="Helvetica"/>
          <w:bCs/>
        </w:rPr>
        <w:t>BL</w:t>
      </w:r>
      <w:r w:rsidR="0052288D">
        <w:rPr>
          <w:rFonts w:cs="Helvetica"/>
          <w:bCs/>
        </w:rPr>
        <w:t xml:space="preserve"> is violated (see Fig. 4)</w:t>
      </w:r>
      <w:r w:rsidR="00B319AD">
        <w:rPr>
          <w:rFonts w:cs="Helvetica"/>
          <w:bCs/>
        </w:rPr>
        <w:t>.</w:t>
      </w:r>
    </w:p>
    <w:p w14:paraId="36147D85" w14:textId="344BB86C" w:rsidR="00A26CCE" w:rsidRDefault="00A26CCE" w:rsidP="00A26CCE">
      <w:pPr>
        <w:spacing w:line="360" w:lineRule="auto"/>
        <w:jc w:val="both"/>
        <w:rPr>
          <w:rFonts w:cs="Andalus"/>
          <w:sz w:val="20"/>
        </w:rPr>
      </w:pPr>
    </w:p>
    <w:p w14:paraId="1AA7AF11" w14:textId="52BD25E4" w:rsidR="004B1775" w:rsidRPr="00800487" w:rsidRDefault="004B1775" w:rsidP="00A26CCE">
      <w:pPr>
        <w:spacing w:line="360" w:lineRule="auto"/>
        <w:jc w:val="both"/>
        <w:rPr>
          <w:rFonts w:cs="Andalus"/>
          <w:sz w:val="20"/>
        </w:rPr>
      </w:pPr>
      <w:r w:rsidRPr="004B1775">
        <w:rPr>
          <w:rFonts w:cs="Andalus"/>
          <w:noProof/>
          <w:sz w:val="20"/>
          <w:lang w:val="it-IT"/>
        </w:rPr>
        <w:lastRenderedPageBreak/>
        <w:drawing>
          <wp:inline distT="0" distB="0" distL="0" distR="0" wp14:anchorId="3D636AF4" wp14:editId="30F6F890">
            <wp:extent cx="6116320" cy="4498304"/>
            <wp:effectExtent l="0" t="0" r="30480" b="23495"/>
            <wp:docPr id="17" name="Gra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2014D5" w14:textId="226FBF04" w:rsidR="00A26CCE" w:rsidRPr="00CE6207" w:rsidRDefault="004B1775" w:rsidP="00A26CCE">
      <w:pPr>
        <w:spacing w:line="360" w:lineRule="auto"/>
        <w:jc w:val="both"/>
        <w:rPr>
          <w:rFonts w:cs="Andalus"/>
          <w:sz w:val="20"/>
        </w:rPr>
      </w:pPr>
      <w:r>
        <w:rPr>
          <w:rFonts w:cs="Andalus"/>
          <w:sz w:val="20"/>
        </w:rPr>
        <w:t>Fig. 4</w:t>
      </w:r>
      <w:r w:rsidR="00A26CCE" w:rsidRPr="00CE6207">
        <w:rPr>
          <w:rFonts w:cs="Andalus"/>
          <w:sz w:val="20"/>
        </w:rPr>
        <w:t xml:space="preserve">: </w:t>
      </w:r>
      <w:r w:rsidR="0052288D">
        <w:rPr>
          <w:rFonts w:cs="Arial"/>
          <w:sz w:val="20"/>
          <w:szCs w:val="20"/>
        </w:rPr>
        <w:t xml:space="preserve">Graphical </w:t>
      </w:r>
      <w:r w:rsidR="00A26CCE">
        <w:rPr>
          <w:rFonts w:cs="Arial"/>
          <w:sz w:val="20"/>
          <w:szCs w:val="20"/>
        </w:rPr>
        <w:t>c</w:t>
      </w:r>
      <w:r w:rsidR="00A26CCE" w:rsidRPr="00542564">
        <w:rPr>
          <w:rFonts w:cs="Arial"/>
          <w:sz w:val="20"/>
          <w:szCs w:val="20"/>
        </w:rPr>
        <w:t>omparison between</w:t>
      </w:r>
      <w:r w:rsidR="00A26CCE">
        <w:rPr>
          <w:rFonts w:cs="Arial"/>
          <w:sz w:val="20"/>
          <w:szCs w:val="20"/>
        </w:rPr>
        <w:t xml:space="preserve"> the real distributions of the </w:t>
      </w:r>
      <w:r>
        <w:rPr>
          <w:rFonts w:cs="Arial"/>
          <w:sz w:val="20"/>
          <w:szCs w:val="20"/>
        </w:rPr>
        <w:t>1</w:t>
      </w:r>
      <w:r>
        <w:rPr>
          <w:rFonts w:cs="Arial"/>
          <w:sz w:val="20"/>
          <w:szCs w:val="20"/>
          <w:vertAlign w:val="superscript"/>
        </w:rPr>
        <w:t>st</w:t>
      </w:r>
      <w:r w:rsidR="00A26CCE" w:rsidRPr="00542564">
        <w:rPr>
          <w:rFonts w:cs="Arial"/>
          <w:sz w:val="20"/>
          <w:szCs w:val="20"/>
        </w:rPr>
        <w:t xml:space="preserve"> digit </w:t>
      </w:r>
      <w:r w:rsidR="00A26CCE">
        <w:rPr>
          <w:rFonts w:cs="Arial"/>
          <w:sz w:val="20"/>
          <w:szCs w:val="20"/>
        </w:rPr>
        <w:t xml:space="preserve">of </w:t>
      </w:r>
      <w:r w:rsidR="00A26CCE" w:rsidRPr="00542564">
        <w:rPr>
          <w:rFonts w:cs="Arial"/>
          <w:sz w:val="20"/>
          <w:szCs w:val="20"/>
        </w:rPr>
        <w:t>volume and the frequency distributio</w:t>
      </w:r>
      <w:r w:rsidR="00A26CCE">
        <w:rPr>
          <w:rFonts w:cs="Arial"/>
          <w:sz w:val="20"/>
          <w:szCs w:val="20"/>
        </w:rPr>
        <w:t xml:space="preserve">n of </w:t>
      </w:r>
      <w:proofErr w:type="spellStart"/>
      <w:r w:rsidR="00A26CCE">
        <w:rPr>
          <w:rFonts w:cs="Arial"/>
          <w:sz w:val="20"/>
          <w:szCs w:val="20"/>
        </w:rPr>
        <w:t>Benford</w:t>
      </w:r>
      <w:proofErr w:type="spellEnd"/>
      <w:r w:rsidR="00A26CCE">
        <w:rPr>
          <w:rFonts w:cs="Arial"/>
          <w:sz w:val="20"/>
          <w:szCs w:val="20"/>
        </w:rPr>
        <w:t xml:space="preserve"> for</w:t>
      </w:r>
      <w:r>
        <w:rPr>
          <w:rFonts w:cs="Arial"/>
          <w:sz w:val="20"/>
          <w:szCs w:val="20"/>
        </w:rPr>
        <w:t xml:space="preserve"> Italy</w:t>
      </w:r>
      <w:r w:rsidR="00A26CCE" w:rsidRPr="00CE6207">
        <w:rPr>
          <w:rFonts w:cs="Andalus"/>
          <w:sz w:val="20"/>
        </w:rPr>
        <w:t>.</w:t>
      </w:r>
    </w:p>
    <w:p w14:paraId="28CC0E17" w14:textId="77777777" w:rsidR="00A26CCE" w:rsidRDefault="00A26CCE" w:rsidP="004B1775">
      <w:pPr>
        <w:spacing w:line="360" w:lineRule="auto"/>
        <w:jc w:val="both"/>
        <w:rPr>
          <w:rFonts w:cs="Andalus"/>
          <w:sz w:val="20"/>
        </w:rPr>
      </w:pPr>
    </w:p>
    <w:p w14:paraId="56F38EB7" w14:textId="3E26B1B8" w:rsidR="00B25548" w:rsidRDefault="0052288D" w:rsidP="0004577A">
      <w:pPr>
        <w:spacing w:line="360" w:lineRule="auto"/>
        <w:jc w:val="both"/>
        <w:rPr>
          <w:rFonts w:cs="Andalus"/>
        </w:rPr>
      </w:pPr>
      <w:r>
        <w:rPr>
          <w:rFonts w:cs="Andalus"/>
        </w:rPr>
        <w:t>Several interpretations can be given to the no</w:t>
      </w:r>
      <w:r w:rsidR="004A4D72">
        <w:rPr>
          <w:rFonts w:cs="Andalus"/>
        </w:rPr>
        <w:t>t</w:t>
      </w:r>
      <w:r>
        <w:rPr>
          <w:rFonts w:cs="Andalus"/>
        </w:rPr>
        <w:t xml:space="preserve"> conformity of first digit of the volume with the </w:t>
      </w:r>
      <w:r w:rsidR="00487769">
        <w:rPr>
          <w:rFonts w:cs="Andalus"/>
        </w:rPr>
        <w:t>BL</w:t>
      </w:r>
      <w:r>
        <w:rPr>
          <w:rFonts w:cs="Andalus"/>
        </w:rPr>
        <w:t xml:space="preserve"> for Italy.</w:t>
      </w:r>
      <w:r w:rsidR="0004577A">
        <w:rPr>
          <w:rFonts w:cs="Andalus"/>
        </w:rPr>
        <w:t xml:space="preserve"> Such motivations do not include an incompleteness problem of the dataset, since t</w:t>
      </w:r>
      <w:r w:rsidR="004B1775" w:rsidRPr="004B1775">
        <w:rPr>
          <w:rFonts w:cs="Andalus"/>
        </w:rPr>
        <w:t>he database of Italy is the most complete</w:t>
      </w:r>
      <w:r w:rsidR="0004577A">
        <w:rPr>
          <w:rFonts w:cs="Andalus"/>
        </w:rPr>
        <w:t xml:space="preserve"> one with v</w:t>
      </w:r>
      <w:r w:rsidR="004B1775" w:rsidRPr="004B1775">
        <w:rPr>
          <w:rFonts w:cs="Andalus"/>
        </w:rPr>
        <w:t xml:space="preserve">ery few data missing. </w:t>
      </w:r>
    </w:p>
    <w:p w14:paraId="73CA65FA" w14:textId="1E4E4C73" w:rsidR="004B1775" w:rsidRPr="00B319AD" w:rsidRDefault="0004577A" w:rsidP="00B25548">
      <w:pPr>
        <w:spacing w:line="360" w:lineRule="auto"/>
        <w:jc w:val="both"/>
        <w:rPr>
          <w:rFonts w:cs="Arial"/>
          <w:i/>
        </w:rPr>
      </w:pPr>
      <w:r>
        <w:rPr>
          <w:rFonts w:cs="Andalus"/>
        </w:rPr>
        <w:t xml:space="preserve">We rather present an historical perspective over the </w:t>
      </w:r>
      <w:r w:rsidR="00B25548">
        <w:rPr>
          <w:rFonts w:cs="Andalus"/>
        </w:rPr>
        <w:t>last 15 years</w:t>
      </w:r>
      <w:r>
        <w:rPr>
          <w:rFonts w:cs="Andalus"/>
        </w:rPr>
        <w:t>, bearing in mind that t</w:t>
      </w:r>
      <w:r w:rsidR="00B25548" w:rsidRPr="00D80312">
        <w:rPr>
          <w:rFonts w:cs="Arial"/>
        </w:rPr>
        <w:t>he</w:t>
      </w:r>
      <w:r>
        <w:rPr>
          <w:rFonts w:cs="Arial"/>
        </w:rPr>
        <w:t xml:space="preserve"> considered period for the Italian dataset </w:t>
      </w:r>
      <w:r w:rsidR="00B25548">
        <w:rPr>
          <w:rFonts w:cs="Arial"/>
        </w:rPr>
        <w:t>begins in January 2000.</w:t>
      </w:r>
      <w:r w:rsidR="00B319AD">
        <w:rPr>
          <w:rFonts w:cs="Arial"/>
        </w:rPr>
        <w:t xml:space="preserve"> Indeed, w</w:t>
      </w:r>
      <w:r w:rsidR="00B319AD" w:rsidRPr="00AC7B79">
        <w:rPr>
          <w:rFonts w:cs="Arial"/>
        </w:rPr>
        <w:t xml:space="preserve">hen the </w:t>
      </w:r>
      <w:r w:rsidR="00487769">
        <w:rPr>
          <w:rFonts w:cs="Arial"/>
        </w:rPr>
        <w:t>BL</w:t>
      </w:r>
      <w:r w:rsidR="00B319AD" w:rsidRPr="00AC7B79">
        <w:rPr>
          <w:rFonts w:cs="Arial"/>
        </w:rPr>
        <w:t xml:space="preserve"> is not valid</w:t>
      </w:r>
      <w:r w:rsidR="00B319AD">
        <w:rPr>
          <w:rFonts w:cs="Arial"/>
        </w:rPr>
        <w:t>,</w:t>
      </w:r>
      <w:r w:rsidR="00B319AD" w:rsidRPr="00AC7B79">
        <w:rPr>
          <w:rFonts w:cs="Arial"/>
        </w:rPr>
        <w:t xml:space="preserve"> there may be events that have "manipulated" the </w:t>
      </w:r>
      <w:r w:rsidR="00B319AD">
        <w:rPr>
          <w:rFonts w:cs="Arial"/>
        </w:rPr>
        <w:t xml:space="preserve">considered </w:t>
      </w:r>
      <w:r w:rsidR="00B319AD" w:rsidRPr="00AC7B79">
        <w:rPr>
          <w:rFonts w:cs="Arial"/>
        </w:rPr>
        <w:t>data</w:t>
      </w:r>
      <w:r w:rsidR="00B319AD">
        <w:rPr>
          <w:rFonts w:cs="Arial"/>
        </w:rPr>
        <w:t>set.</w:t>
      </w:r>
    </w:p>
    <w:p w14:paraId="2AA70A04" w14:textId="37C0635A" w:rsidR="004B1775" w:rsidRPr="004B1775" w:rsidRDefault="004B1775" w:rsidP="00B25548">
      <w:pPr>
        <w:spacing w:line="360" w:lineRule="auto"/>
        <w:jc w:val="both"/>
        <w:rPr>
          <w:rFonts w:cs="Andalus"/>
        </w:rPr>
      </w:pPr>
      <w:r w:rsidRPr="004B1775">
        <w:rPr>
          <w:rFonts w:cs="Andalus"/>
        </w:rPr>
        <w:t>Surely</w:t>
      </w:r>
      <w:r w:rsidR="000B32C5">
        <w:rPr>
          <w:rFonts w:cs="Andalus"/>
        </w:rPr>
        <w:t>,</w:t>
      </w:r>
      <w:r w:rsidRPr="004B1775">
        <w:rPr>
          <w:rFonts w:cs="Andalus"/>
        </w:rPr>
        <w:t xml:space="preserve"> the transition between Lira and </w:t>
      </w:r>
      <w:r w:rsidR="000B32C5">
        <w:rPr>
          <w:rFonts w:cs="Andalus"/>
        </w:rPr>
        <w:t>E</w:t>
      </w:r>
      <w:r w:rsidRPr="004B1775">
        <w:rPr>
          <w:rFonts w:cs="Andalus"/>
        </w:rPr>
        <w:t xml:space="preserve">uro at the beginning of this century has created an instability </w:t>
      </w:r>
      <w:r w:rsidR="000B32C5">
        <w:rPr>
          <w:rFonts w:cs="Andalus"/>
        </w:rPr>
        <w:t>which have</w:t>
      </w:r>
      <w:r w:rsidRPr="004B1775">
        <w:rPr>
          <w:rFonts w:cs="Andalus"/>
        </w:rPr>
        <w:t xml:space="preserve"> caused a collapse in the Italian market until 2003, when a slow recovery </w:t>
      </w:r>
      <w:r w:rsidR="005C0D91">
        <w:rPr>
          <w:rFonts w:cs="Andalus"/>
        </w:rPr>
        <w:t>started, till the</w:t>
      </w:r>
      <w:r w:rsidRPr="004B1775">
        <w:rPr>
          <w:rFonts w:cs="Andalus"/>
        </w:rPr>
        <w:t xml:space="preserve"> market boom in 2007. </w:t>
      </w:r>
      <w:r w:rsidR="005C0D91">
        <w:rPr>
          <w:rFonts w:cs="Andalus"/>
        </w:rPr>
        <w:t xml:space="preserve"> </w:t>
      </w:r>
      <w:r w:rsidRPr="004B1775">
        <w:rPr>
          <w:rFonts w:cs="Andalus"/>
        </w:rPr>
        <w:t xml:space="preserve">Unfortunately, the subprime mortgage crisis </w:t>
      </w:r>
      <w:r w:rsidR="005C0D91">
        <w:rPr>
          <w:rFonts w:cs="Andalus"/>
        </w:rPr>
        <w:t>in</w:t>
      </w:r>
      <w:r w:rsidRPr="004B1775">
        <w:rPr>
          <w:rFonts w:cs="Andalus"/>
        </w:rPr>
        <w:t xml:space="preserve"> </w:t>
      </w:r>
      <w:r w:rsidR="005C0D91">
        <w:rPr>
          <w:rFonts w:cs="Andalus"/>
        </w:rPr>
        <w:t xml:space="preserve">2008 in </w:t>
      </w:r>
      <w:r w:rsidRPr="004B1775">
        <w:rPr>
          <w:rFonts w:cs="Andalus"/>
        </w:rPr>
        <w:t xml:space="preserve">the United States was around the corner, </w:t>
      </w:r>
      <w:r w:rsidR="005C0D91">
        <w:rPr>
          <w:rFonts w:cs="Andalus"/>
        </w:rPr>
        <w:t>and it had a great impact in the Italian markets</w:t>
      </w:r>
      <w:r w:rsidRPr="004B1775">
        <w:rPr>
          <w:rFonts w:cs="Andalus"/>
        </w:rPr>
        <w:t xml:space="preserve">. </w:t>
      </w:r>
      <w:r w:rsidR="005C0D91">
        <w:rPr>
          <w:rFonts w:cs="Andalus"/>
        </w:rPr>
        <w:t>These events are, i</w:t>
      </w:r>
      <w:r w:rsidRPr="004B1775">
        <w:rPr>
          <w:rFonts w:cs="Andalus"/>
        </w:rPr>
        <w:t>n our view</w:t>
      </w:r>
      <w:r w:rsidR="005C0D91">
        <w:rPr>
          <w:rFonts w:cs="Andalus"/>
        </w:rPr>
        <w:t>,</w:t>
      </w:r>
      <w:r w:rsidRPr="004B1775">
        <w:rPr>
          <w:rFonts w:cs="Andalus"/>
        </w:rPr>
        <w:t xml:space="preserve"> th</w:t>
      </w:r>
      <w:r w:rsidR="005C0D91">
        <w:rPr>
          <w:rFonts w:cs="Andalus"/>
        </w:rPr>
        <w:t>o</w:t>
      </w:r>
      <w:r w:rsidRPr="004B1775">
        <w:rPr>
          <w:rFonts w:cs="Andalus"/>
        </w:rPr>
        <w:t>se</w:t>
      </w:r>
      <w:r w:rsidR="005C0D91">
        <w:rPr>
          <w:rFonts w:cs="Andalus"/>
        </w:rPr>
        <w:t xml:space="preserve"> which has led to a </w:t>
      </w:r>
      <w:r w:rsidR="00B319AD">
        <w:rPr>
          <w:rFonts w:cs="Andalus"/>
        </w:rPr>
        <w:t xml:space="preserve">distortion of a “normal random course” for Italian market, hence leading to the noncompliance with the </w:t>
      </w:r>
      <w:r w:rsidR="00487769">
        <w:rPr>
          <w:rFonts w:cs="Andalus"/>
        </w:rPr>
        <w:t>BL</w:t>
      </w:r>
      <w:r w:rsidR="00B319AD">
        <w:rPr>
          <w:rFonts w:cs="Andalus"/>
        </w:rPr>
        <w:t>.</w:t>
      </w:r>
    </w:p>
    <w:p w14:paraId="2DCBE4E0" w14:textId="3F589F4C" w:rsidR="00B25548" w:rsidRDefault="004A4D72" w:rsidP="00B25548">
      <w:pPr>
        <w:spacing w:line="360" w:lineRule="auto"/>
        <w:jc w:val="both"/>
        <w:rPr>
          <w:rFonts w:cs="Andalus"/>
        </w:rPr>
      </w:pPr>
      <w:r>
        <w:rPr>
          <w:rFonts w:cs="Andalus"/>
        </w:rPr>
        <w:t>Another case of not</w:t>
      </w:r>
      <w:r w:rsidR="00B25548" w:rsidRPr="00B25548">
        <w:rPr>
          <w:rFonts w:cs="Andalus"/>
        </w:rPr>
        <w:t xml:space="preserve"> conformity concerns the first digit of the volume</w:t>
      </w:r>
      <w:r w:rsidR="00B319AD">
        <w:rPr>
          <w:rFonts w:cs="Andalus"/>
        </w:rPr>
        <w:t>s</w:t>
      </w:r>
      <w:r w:rsidR="00B25548" w:rsidRPr="00B25548">
        <w:rPr>
          <w:rFonts w:cs="Andalus"/>
        </w:rPr>
        <w:t xml:space="preserve"> of the macro area called Europe. </w:t>
      </w:r>
    </w:p>
    <w:p w14:paraId="69A644F0" w14:textId="04B8BF31" w:rsidR="00516755" w:rsidRDefault="00516755" w:rsidP="00516755">
      <w:pPr>
        <w:spacing w:line="360" w:lineRule="auto"/>
        <w:rPr>
          <w:rFonts w:cs="Arial"/>
        </w:rPr>
      </w:pPr>
      <w:r w:rsidRPr="009A37F7">
        <w:rPr>
          <w:rFonts w:cs="Arial"/>
        </w:rPr>
        <w:lastRenderedPageBreak/>
        <w:t>Looking at the</w:t>
      </w:r>
      <w:r w:rsidR="00B319AD">
        <w:rPr>
          <w:rFonts w:cs="Arial"/>
        </w:rPr>
        <w:t xml:space="preserve"> graphical appeal,</w:t>
      </w:r>
      <w:r w:rsidRPr="009A37F7">
        <w:rPr>
          <w:rFonts w:cs="Arial"/>
        </w:rPr>
        <w:t xml:space="preserve"> </w:t>
      </w:r>
      <w:r w:rsidR="00B319AD">
        <w:rPr>
          <w:rFonts w:cs="Arial"/>
        </w:rPr>
        <w:t>one</w:t>
      </w:r>
      <w:r w:rsidRPr="009A37F7">
        <w:rPr>
          <w:rFonts w:cs="Arial"/>
        </w:rPr>
        <w:t xml:space="preserve"> can better </w:t>
      </w:r>
      <w:r w:rsidR="00B319AD">
        <w:rPr>
          <w:rFonts w:cs="Arial"/>
        </w:rPr>
        <w:t>grasp</w:t>
      </w:r>
      <w:r w:rsidRPr="009A37F7">
        <w:rPr>
          <w:rFonts w:cs="Arial"/>
        </w:rPr>
        <w:t xml:space="preserve"> the </w:t>
      </w:r>
      <w:r>
        <w:rPr>
          <w:rFonts w:cs="Arial"/>
        </w:rPr>
        <w:t>failure</w:t>
      </w:r>
      <w:r w:rsidR="00B319AD">
        <w:rPr>
          <w:rFonts w:cs="Arial"/>
        </w:rPr>
        <w:t xml:space="preserve"> of the </w:t>
      </w:r>
      <w:r w:rsidR="00487769">
        <w:rPr>
          <w:rFonts w:cs="Arial"/>
        </w:rPr>
        <w:t>BL</w:t>
      </w:r>
      <w:r w:rsidR="00B319AD">
        <w:rPr>
          <w:rFonts w:cs="Arial"/>
        </w:rPr>
        <w:t xml:space="preserve"> (see Fig. 5).</w:t>
      </w:r>
    </w:p>
    <w:p w14:paraId="68E1B3FF" w14:textId="77777777" w:rsidR="00B319AD" w:rsidRDefault="00B319AD" w:rsidP="00516755">
      <w:pPr>
        <w:spacing w:line="360" w:lineRule="auto"/>
        <w:rPr>
          <w:rFonts w:cs="Arial"/>
        </w:rPr>
      </w:pPr>
    </w:p>
    <w:p w14:paraId="4BC6A4D0" w14:textId="18A83609" w:rsidR="00B25548" w:rsidRPr="00B25548" w:rsidRDefault="00B25548" w:rsidP="00B25548">
      <w:pPr>
        <w:spacing w:line="360" w:lineRule="auto"/>
        <w:jc w:val="both"/>
        <w:rPr>
          <w:rFonts w:cs="Andalus"/>
        </w:rPr>
      </w:pPr>
      <w:r w:rsidRPr="00B25548">
        <w:rPr>
          <w:rFonts w:cs="Andalus"/>
          <w:noProof/>
          <w:lang w:val="it-IT"/>
        </w:rPr>
        <w:drawing>
          <wp:inline distT="0" distB="0" distL="0" distR="0" wp14:anchorId="082DAE32" wp14:editId="0839519B">
            <wp:extent cx="6116320" cy="4318593"/>
            <wp:effectExtent l="0" t="0" r="30480" b="25400"/>
            <wp:docPr id="18" name="Gra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64A856" w14:textId="2CC9202E" w:rsidR="00516755" w:rsidRPr="00CE6207" w:rsidRDefault="00516755" w:rsidP="00516755">
      <w:pPr>
        <w:spacing w:line="360" w:lineRule="auto"/>
        <w:jc w:val="both"/>
        <w:rPr>
          <w:rFonts w:cs="Andalus"/>
          <w:sz w:val="20"/>
        </w:rPr>
      </w:pPr>
      <w:r>
        <w:rPr>
          <w:rFonts w:cs="Andalus"/>
          <w:sz w:val="20"/>
        </w:rPr>
        <w:t>Fig. 5</w:t>
      </w:r>
      <w:r w:rsidRPr="00CE6207">
        <w:rPr>
          <w:rFonts w:cs="Andalus"/>
          <w:sz w:val="20"/>
        </w:rPr>
        <w:t xml:space="preserve">: </w:t>
      </w:r>
      <w:r>
        <w:rPr>
          <w:rFonts w:cs="Arial"/>
          <w:sz w:val="20"/>
          <w:szCs w:val="20"/>
        </w:rPr>
        <w:t>The co</w:t>
      </w:r>
      <w:r w:rsidRPr="00542564">
        <w:rPr>
          <w:rFonts w:cs="Arial"/>
          <w:sz w:val="20"/>
          <w:szCs w:val="20"/>
        </w:rPr>
        <w:t xml:space="preserve">mparison between the </w:t>
      </w:r>
      <w:r w:rsidR="00B319AD">
        <w:rPr>
          <w:rFonts w:cs="Arial"/>
          <w:sz w:val="20"/>
          <w:szCs w:val="20"/>
        </w:rPr>
        <w:t>empirical</w:t>
      </w:r>
      <w:r w:rsidRPr="00542564">
        <w:rPr>
          <w:rFonts w:cs="Arial"/>
          <w:sz w:val="20"/>
          <w:szCs w:val="20"/>
        </w:rPr>
        <w:t xml:space="preserve"> distributions of the 1</w:t>
      </w:r>
      <w:r w:rsidRPr="007B7C2F">
        <w:rPr>
          <w:rFonts w:cs="Arial"/>
          <w:sz w:val="20"/>
          <w:szCs w:val="20"/>
          <w:vertAlign w:val="superscript"/>
        </w:rPr>
        <w:t>st</w:t>
      </w:r>
      <w:r w:rsidRPr="00542564">
        <w:rPr>
          <w:rFonts w:cs="Arial"/>
          <w:sz w:val="20"/>
          <w:szCs w:val="20"/>
        </w:rPr>
        <w:t xml:space="preserve"> digit </w:t>
      </w:r>
      <w:r>
        <w:rPr>
          <w:rFonts w:cs="Arial"/>
          <w:sz w:val="20"/>
          <w:szCs w:val="20"/>
        </w:rPr>
        <w:t xml:space="preserve">of </w:t>
      </w:r>
      <w:r w:rsidRPr="00542564">
        <w:rPr>
          <w:rFonts w:cs="Arial"/>
          <w:sz w:val="20"/>
          <w:szCs w:val="20"/>
        </w:rPr>
        <w:t>volume and the frequency distributio</w:t>
      </w:r>
      <w:r>
        <w:rPr>
          <w:rFonts w:cs="Arial"/>
          <w:sz w:val="20"/>
          <w:szCs w:val="20"/>
        </w:rPr>
        <w:t xml:space="preserve">n of </w:t>
      </w:r>
      <w:proofErr w:type="spellStart"/>
      <w:r>
        <w:rPr>
          <w:rFonts w:cs="Arial"/>
          <w:sz w:val="20"/>
          <w:szCs w:val="20"/>
        </w:rPr>
        <w:t>Benford</w:t>
      </w:r>
      <w:proofErr w:type="spellEnd"/>
      <w:r>
        <w:rPr>
          <w:rFonts w:cs="Arial"/>
          <w:sz w:val="20"/>
          <w:szCs w:val="20"/>
        </w:rPr>
        <w:t xml:space="preserve"> for</w:t>
      </w:r>
      <w:r>
        <w:rPr>
          <w:rFonts w:cs="Andalus"/>
          <w:sz w:val="20"/>
        </w:rPr>
        <w:t xml:space="preserve"> the Europe considering all of Italian indexes.</w:t>
      </w:r>
    </w:p>
    <w:p w14:paraId="797F04BC" w14:textId="77777777" w:rsidR="00A26CCE" w:rsidRPr="004B1775" w:rsidRDefault="00A26CCE" w:rsidP="00516755">
      <w:pPr>
        <w:spacing w:line="360" w:lineRule="auto"/>
        <w:jc w:val="both"/>
        <w:rPr>
          <w:rFonts w:cs="Andalus"/>
        </w:rPr>
      </w:pPr>
    </w:p>
    <w:p w14:paraId="76DA01B5" w14:textId="77777777" w:rsidR="00516755" w:rsidRDefault="00516755" w:rsidP="00516755">
      <w:pPr>
        <w:spacing w:line="360" w:lineRule="auto"/>
        <w:jc w:val="both"/>
        <w:rPr>
          <w:rFonts w:cs="Andalus"/>
        </w:rPr>
      </w:pPr>
    </w:p>
    <w:p w14:paraId="24807863" w14:textId="3C36F17D" w:rsidR="00516755" w:rsidRDefault="00B319AD" w:rsidP="00516755">
      <w:pPr>
        <w:spacing w:line="360" w:lineRule="auto"/>
        <w:jc w:val="both"/>
        <w:rPr>
          <w:rFonts w:cs="Arial"/>
        </w:rPr>
      </w:pPr>
      <w:r>
        <w:rPr>
          <w:rFonts w:cs="Arial"/>
        </w:rPr>
        <w:t>A</w:t>
      </w:r>
      <w:r w:rsidR="00516755">
        <w:rPr>
          <w:rFonts w:cs="Arial"/>
        </w:rPr>
        <w:t xml:space="preserve">n important technical aspect </w:t>
      </w:r>
      <w:r>
        <w:rPr>
          <w:rFonts w:cs="Arial"/>
        </w:rPr>
        <w:t>which</w:t>
      </w:r>
      <w:r w:rsidR="00516755" w:rsidRPr="00AC7B79">
        <w:rPr>
          <w:rFonts w:cs="Arial"/>
        </w:rPr>
        <w:t xml:space="preserve"> </w:t>
      </w:r>
      <w:r w:rsidR="00516755">
        <w:rPr>
          <w:rFonts w:cs="Arial"/>
        </w:rPr>
        <w:t xml:space="preserve">could have affected </w:t>
      </w:r>
      <w:r>
        <w:rPr>
          <w:rFonts w:cs="Arial"/>
        </w:rPr>
        <w:t>the</w:t>
      </w:r>
      <w:r w:rsidR="00516755" w:rsidRPr="00AC7B79">
        <w:rPr>
          <w:rFonts w:cs="Arial"/>
        </w:rPr>
        <w:t xml:space="preserve"> results</w:t>
      </w:r>
      <w:r>
        <w:rPr>
          <w:rFonts w:cs="Arial"/>
        </w:rPr>
        <w:t xml:space="preserve"> of the </w:t>
      </w:r>
      <w:r>
        <w:rPr>
          <w:rFonts w:cs="Helvetica"/>
          <w:bCs/>
        </w:rPr>
        <w:t xml:space="preserve"> </w:t>
      </w:r>
      <m:oMath>
        <m:sSup>
          <m:sSupPr>
            <m:ctrlPr>
              <w:rPr>
                <w:rFonts w:ascii="Cambria Math" w:hAnsi="Cambria Math" w:cs="Andalus"/>
                <w:i/>
              </w:rPr>
            </m:ctrlPr>
          </m:sSupPr>
          <m:e>
            <m:r>
              <w:rPr>
                <w:rFonts w:ascii="Cambria Math" w:hAnsi="Cambria Math" w:cs="Andalus"/>
              </w:rPr>
              <m:t>χ</m:t>
            </m:r>
          </m:e>
          <m:sup>
            <m:r>
              <w:rPr>
                <w:rFonts w:ascii="Cambria Math" w:hAnsi="Cambria Math" w:cs="Andalus"/>
              </w:rPr>
              <m:t>2</m:t>
            </m:r>
          </m:sup>
        </m:sSup>
      </m:oMath>
      <w:r>
        <w:rPr>
          <w:rFonts w:cs="Helvetica"/>
        </w:rPr>
        <w:t xml:space="preserve"> test</w:t>
      </w:r>
      <w:r w:rsidR="00516755">
        <w:rPr>
          <w:rFonts w:cs="Arial"/>
        </w:rPr>
        <w:t xml:space="preserve"> is the</w:t>
      </w:r>
      <w:r>
        <w:rPr>
          <w:rFonts w:cs="Arial"/>
        </w:rPr>
        <w:t xml:space="preserve"> presence of a large amount of</w:t>
      </w:r>
      <w:r w:rsidR="00516755">
        <w:rPr>
          <w:rFonts w:cs="Arial"/>
        </w:rPr>
        <w:t xml:space="preserve"> missing data</w:t>
      </w:r>
      <w:r w:rsidR="00516755" w:rsidRPr="00AC7B79">
        <w:rPr>
          <w:rFonts w:cs="Arial"/>
        </w:rPr>
        <w:t xml:space="preserve">. </w:t>
      </w:r>
      <w:r>
        <w:rPr>
          <w:rFonts w:cs="Arial"/>
        </w:rPr>
        <w:t xml:space="preserve">In fact, </w:t>
      </w:r>
      <w:r w:rsidR="00516755">
        <w:rPr>
          <w:rFonts w:cs="Arial"/>
        </w:rPr>
        <w:t>only few countries are</w:t>
      </w:r>
      <w:r w:rsidR="00516755" w:rsidRPr="00AC7B79">
        <w:rPr>
          <w:rFonts w:cs="Arial"/>
        </w:rPr>
        <w:t xml:space="preserve"> represented in the analysis</w:t>
      </w:r>
      <w:r>
        <w:rPr>
          <w:rFonts w:cs="Arial"/>
        </w:rPr>
        <w:t xml:space="preserve"> of Europe</w:t>
      </w:r>
      <w:r w:rsidR="00516755" w:rsidRPr="00AC7B79">
        <w:rPr>
          <w:rFonts w:cs="Arial"/>
        </w:rPr>
        <w:t xml:space="preserve">, because </w:t>
      </w:r>
      <w:r w:rsidR="00516755">
        <w:rPr>
          <w:rFonts w:cs="Arial"/>
        </w:rPr>
        <w:t xml:space="preserve">the time series </w:t>
      </w:r>
      <w:r w:rsidR="00516755" w:rsidRPr="00AC7B79">
        <w:rPr>
          <w:rFonts w:cs="Arial"/>
        </w:rPr>
        <w:t xml:space="preserve">of many indexes </w:t>
      </w:r>
      <w:r w:rsidR="00516755">
        <w:rPr>
          <w:rFonts w:cs="Arial"/>
        </w:rPr>
        <w:t xml:space="preserve">are unavailable </w:t>
      </w:r>
      <w:r w:rsidR="00516755" w:rsidRPr="00AC7B79">
        <w:rPr>
          <w:rFonts w:cs="Arial"/>
        </w:rPr>
        <w:t>(ATX, ISEQ 20 PRICE, BEX 35, PX INDEX, RTS INDEX and</w:t>
      </w:r>
      <w:r w:rsidR="00516755">
        <w:rPr>
          <w:rFonts w:cs="Arial"/>
        </w:rPr>
        <w:t xml:space="preserve"> OMX Helsinki).</w:t>
      </w:r>
    </w:p>
    <w:p w14:paraId="60B857B4" w14:textId="06F8611F" w:rsidR="00516755" w:rsidRPr="00516755" w:rsidRDefault="00B319AD" w:rsidP="00B319AD">
      <w:pPr>
        <w:spacing w:line="360" w:lineRule="auto"/>
        <w:jc w:val="both"/>
        <w:rPr>
          <w:rFonts w:cs="Andalus"/>
        </w:rPr>
      </w:pPr>
      <w:r>
        <w:rPr>
          <w:rFonts w:cs="Andalus"/>
        </w:rPr>
        <w:t>The introduction of the Euro and the American crisis in 2008 might have played a relevant role in the obtained nonconformity outcome</w:t>
      </w:r>
      <w:r w:rsidR="00516755" w:rsidRPr="00516755">
        <w:rPr>
          <w:rFonts w:cs="Andalus"/>
        </w:rPr>
        <w:t>.</w:t>
      </w:r>
      <w:r>
        <w:rPr>
          <w:rFonts w:cs="Andalus"/>
        </w:rPr>
        <w:t xml:space="preserve"> In fact, t</w:t>
      </w:r>
      <w:r w:rsidR="00516755" w:rsidRPr="00516755">
        <w:rPr>
          <w:rFonts w:cs="Andalus"/>
        </w:rPr>
        <w:t xml:space="preserve">he negative trends of the European stocks and the increase of the European sovereign debt with the generalized fear of possible default of some </w:t>
      </w:r>
      <w:r w:rsidR="00516755">
        <w:rPr>
          <w:rFonts w:cs="Andalus"/>
        </w:rPr>
        <w:t>countries</w:t>
      </w:r>
      <w:r w:rsidR="00516755" w:rsidRPr="00516755">
        <w:rPr>
          <w:rFonts w:cs="Andalus"/>
        </w:rPr>
        <w:t>, may have led t</w:t>
      </w:r>
      <w:r>
        <w:rPr>
          <w:rFonts w:cs="Andalus"/>
        </w:rPr>
        <w:t xml:space="preserve">o a distortions between empirical distribution and the </w:t>
      </w:r>
      <w:r w:rsidR="00487769">
        <w:rPr>
          <w:rFonts w:cs="Andalus"/>
        </w:rPr>
        <w:t>BL</w:t>
      </w:r>
      <w:r>
        <w:rPr>
          <w:rFonts w:cs="Andalus"/>
        </w:rPr>
        <w:t>.</w:t>
      </w:r>
    </w:p>
    <w:p w14:paraId="7601E949" w14:textId="101238DC" w:rsidR="00516755" w:rsidRDefault="009179D0" w:rsidP="00516755">
      <w:pPr>
        <w:spacing w:line="360" w:lineRule="auto"/>
        <w:jc w:val="both"/>
        <w:rPr>
          <w:rFonts w:cs="Andalus"/>
        </w:rPr>
      </w:pPr>
      <w:r>
        <w:rPr>
          <w:rFonts w:cs="Andalus"/>
        </w:rPr>
        <w:t>Figures 6-8</w:t>
      </w:r>
      <w:r w:rsidR="00516755" w:rsidRPr="00516755">
        <w:rPr>
          <w:rFonts w:cs="Andalus"/>
        </w:rPr>
        <w:t xml:space="preserve"> </w:t>
      </w:r>
      <w:r>
        <w:rPr>
          <w:rFonts w:cs="Andalus"/>
        </w:rPr>
        <w:t xml:space="preserve">illustrate the cases </w:t>
      </w:r>
      <w:r w:rsidR="00516755" w:rsidRPr="00516755">
        <w:rPr>
          <w:rFonts w:cs="Andalus"/>
        </w:rPr>
        <w:t>of Nasdaq Composite and of the USA in general, for the first and the second significant digit of the price.</w:t>
      </w:r>
    </w:p>
    <w:p w14:paraId="6136153C" w14:textId="77777777" w:rsidR="00516755" w:rsidRDefault="00516755" w:rsidP="00516755">
      <w:pPr>
        <w:spacing w:line="360" w:lineRule="auto"/>
        <w:rPr>
          <w:rFonts w:cs="Arial"/>
        </w:rPr>
      </w:pPr>
    </w:p>
    <w:p w14:paraId="1DECE042" w14:textId="241B8E2A" w:rsidR="00516755" w:rsidRDefault="006E19BA" w:rsidP="00516755">
      <w:pPr>
        <w:spacing w:line="360" w:lineRule="auto"/>
        <w:rPr>
          <w:rFonts w:cs="Arial"/>
        </w:rPr>
      </w:pPr>
      <w:r w:rsidRPr="006E19BA">
        <w:rPr>
          <w:rFonts w:cs="Arial"/>
          <w:noProof/>
          <w:lang w:val="it-IT"/>
        </w:rPr>
        <w:drawing>
          <wp:inline distT="0" distB="0" distL="0" distR="0" wp14:anchorId="50299D93" wp14:editId="50054DC1">
            <wp:extent cx="6116320" cy="4390968"/>
            <wp:effectExtent l="0" t="0" r="30480" b="29210"/>
            <wp:docPr id="21" name="Gra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32A223" w14:textId="2B6B4396" w:rsidR="00516755" w:rsidRPr="00EF22D2" w:rsidRDefault="006E19BA" w:rsidP="00516755">
      <w:pPr>
        <w:spacing w:line="360" w:lineRule="auto"/>
        <w:rPr>
          <w:rFonts w:cs="Arial"/>
          <w:sz w:val="20"/>
          <w:szCs w:val="20"/>
        </w:rPr>
      </w:pPr>
      <w:r w:rsidRPr="00EF22D2">
        <w:rPr>
          <w:rFonts w:cs="Andalus"/>
          <w:sz w:val="20"/>
          <w:szCs w:val="20"/>
        </w:rPr>
        <w:t>Fig. 6: The comparison between the real distributions of the 1</w:t>
      </w:r>
      <w:r w:rsidRPr="00EF22D2">
        <w:rPr>
          <w:rFonts w:cs="Andalus"/>
          <w:sz w:val="20"/>
          <w:szCs w:val="20"/>
          <w:vertAlign w:val="superscript"/>
        </w:rPr>
        <w:t>st</w:t>
      </w:r>
      <w:r w:rsidRPr="00EF22D2">
        <w:rPr>
          <w:rFonts w:cs="Andalus"/>
          <w:sz w:val="20"/>
          <w:szCs w:val="20"/>
        </w:rPr>
        <w:t xml:space="preserve"> digit of adjusted</w:t>
      </w:r>
      <w:r w:rsidR="00EF22D2" w:rsidRPr="00EF22D2">
        <w:rPr>
          <w:rFonts w:cs="Andalus"/>
          <w:sz w:val="20"/>
          <w:szCs w:val="20"/>
        </w:rPr>
        <w:t xml:space="preserve"> closing</w:t>
      </w:r>
      <w:r w:rsidRPr="00EF22D2">
        <w:rPr>
          <w:rFonts w:cs="Andalus"/>
          <w:sz w:val="20"/>
          <w:szCs w:val="20"/>
        </w:rPr>
        <w:t xml:space="preserve"> price and the frequency distribution of </w:t>
      </w:r>
      <w:proofErr w:type="spellStart"/>
      <w:r w:rsidRPr="00EF22D2">
        <w:rPr>
          <w:rFonts w:cs="Andalus"/>
          <w:sz w:val="20"/>
          <w:szCs w:val="20"/>
        </w:rPr>
        <w:t>Benford</w:t>
      </w:r>
      <w:proofErr w:type="spellEnd"/>
      <w:r w:rsidRPr="00EF22D2">
        <w:rPr>
          <w:rFonts w:cs="Andalus"/>
          <w:sz w:val="20"/>
          <w:szCs w:val="20"/>
        </w:rPr>
        <w:t xml:space="preserve"> for the NASDAQ COMPOSITE.</w:t>
      </w:r>
    </w:p>
    <w:p w14:paraId="7550ACF6" w14:textId="77777777" w:rsidR="00516755" w:rsidRPr="00516755" w:rsidRDefault="00516755" w:rsidP="00516755">
      <w:pPr>
        <w:spacing w:line="360" w:lineRule="auto"/>
        <w:jc w:val="both"/>
        <w:rPr>
          <w:rFonts w:cs="Andalus"/>
        </w:rPr>
      </w:pPr>
    </w:p>
    <w:p w14:paraId="18E586E0" w14:textId="77777777" w:rsidR="00A26CCE" w:rsidRPr="00CE6207" w:rsidRDefault="00A26CCE" w:rsidP="00516755">
      <w:pPr>
        <w:spacing w:line="360" w:lineRule="auto"/>
        <w:jc w:val="both"/>
        <w:rPr>
          <w:rFonts w:cs="Andalus"/>
        </w:rPr>
      </w:pPr>
    </w:p>
    <w:p w14:paraId="6EE9B0FF" w14:textId="77777777" w:rsidR="00BD3ED0" w:rsidRPr="004B1775" w:rsidRDefault="00BD3ED0" w:rsidP="004B1775">
      <w:pPr>
        <w:spacing w:after="200" w:line="360" w:lineRule="auto"/>
        <w:contextualSpacing/>
        <w:jc w:val="both"/>
        <w:rPr>
          <w:rFonts w:cs="Andalus"/>
        </w:rPr>
      </w:pPr>
    </w:p>
    <w:p w14:paraId="6F9E1260" w14:textId="77777777" w:rsidR="00A26CCE" w:rsidRDefault="00A26CCE" w:rsidP="00A26CCE">
      <w:pPr>
        <w:spacing w:line="360" w:lineRule="auto"/>
        <w:jc w:val="both"/>
        <w:rPr>
          <w:rFonts w:cs="Andalus"/>
          <w:sz w:val="20"/>
        </w:rPr>
      </w:pPr>
    </w:p>
    <w:p w14:paraId="1E33F120" w14:textId="77777777" w:rsidR="00A26CCE" w:rsidRDefault="00A26CCE" w:rsidP="00A26CCE">
      <w:pPr>
        <w:spacing w:line="360" w:lineRule="auto"/>
        <w:jc w:val="both"/>
        <w:rPr>
          <w:rFonts w:cs="Andalus"/>
          <w:sz w:val="20"/>
        </w:rPr>
      </w:pPr>
    </w:p>
    <w:p w14:paraId="49B62307" w14:textId="77777777" w:rsidR="00A26CCE" w:rsidRDefault="00A26CCE" w:rsidP="00A26CCE">
      <w:pPr>
        <w:spacing w:line="360" w:lineRule="auto"/>
        <w:jc w:val="both"/>
        <w:rPr>
          <w:rFonts w:cs="Andalus"/>
          <w:sz w:val="20"/>
        </w:rPr>
      </w:pPr>
    </w:p>
    <w:p w14:paraId="6B6AAB8B" w14:textId="77777777" w:rsidR="00A26CCE" w:rsidRDefault="00A26CCE" w:rsidP="00A26CCE">
      <w:pPr>
        <w:spacing w:line="360" w:lineRule="auto"/>
        <w:jc w:val="both"/>
        <w:rPr>
          <w:rFonts w:cs="Andalus"/>
          <w:sz w:val="20"/>
        </w:rPr>
      </w:pPr>
    </w:p>
    <w:p w14:paraId="7643D1D4" w14:textId="77777777" w:rsidR="00A26CCE" w:rsidRDefault="00A26CCE" w:rsidP="00A26CCE">
      <w:pPr>
        <w:spacing w:line="360" w:lineRule="auto"/>
        <w:jc w:val="both"/>
        <w:rPr>
          <w:rFonts w:cs="Andalus"/>
          <w:sz w:val="20"/>
        </w:rPr>
      </w:pPr>
    </w:p>
    <w:p w14:paraId="22D5A63B" w14:textId="77777777" w:rsidR="00A26CCE" w:rsidRDefault="00A26CCE" w:rsidP="00A26CCE">
      <w:pPr>
        <w:spacing w:line="360" w:lineRule="auto"/>
        <w:jc w:val="both"/>
        <w:rPr>
          <w:rFonts w:cs="Andalus"/>
          <w:sz w:val="20"/>
        </w:rPr>
      </w:pPr>
    </w:p>
    <w:p w14:paraId="7956F4C8" w14:textId="77777777" w:rsidR="00A26CCE" w:rsidRDefault="00A26CCE" w:rsidP="00A26CCE">
      <w:pPr>
        <w:spacing w:line="360" w:lineRule="auto"/>
        <w:jc w:val="both"/>
        <w:rPr>
          <w:rFonts w:cs="Andalus"/>
          <w:sz w:val="20"/>
        </w:rPr>
      </w:pPr>
    </w:p>
    <w:p w14:paraId="17F98436" w14:textId="77777777" w:rsidR="00A26CCE" w:rsidRDefault="00A26CCE" w:rsidP="00A26CCE">
      <w:pPr>
        <w:spacing w:line="360" w:lineRule="auto"/>
        <w:jc w:val="both"/>
        <w:rPr>
          <w:rFonts w:cs="Andalus"/>
          <w:sz w:val="20"/>
        </w:rPr>
      </w:pPr>
    </w:p>
    <w:p w14:paraId="5A51C04A" w14:textId="435F7674" w:rsidR="00A26CCE" w:rsidRDefault="00EF22D2" w:rsidP="00A26CCE">
      <w:pPr>
        <w:spacing w:line="360" w:lineRule="auto"/>
        <w:jc w:val="both"/>
        <w:rPr>
          <w:rFonts w:cs="Andalus"/>
          <w:sz w:val="20"/>
        </w:rPr>
      </w:pPr>
      <w:r w:rsidRPr="00EF22D2">
        <w:rPr>
          <w:rFonts w:cs="Andalus"/>
          <w:noProof/>
          <w:sz w:val="20"/>
          <w:lang w:val="it-IT"/>
        </w:rPr>
        <w:lastRenderedPageBreak/>
        <w:drawing>
          <wp:inline distT="0" distB="0" distL="0" distR="0" wp14:anchorId="4050103D" wp14:editId="5A445C8A">
            <wp:extent cx="6116320" cy="4467637"/>
            <wp:effectExtent l="0" t="0" r="30480" b="28575"/>
            <wp:docPr id="22" name="Gra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C0B016" w14:textId="504A69A1" w:rsidR="00EF22D2" w:rsidRDefault="00EF22D2" w:rsidP="00EF22D2">
      <w:pPr>
        <w:spacing w:line="360" w:lineRule="auto"/>
        <w:jc w:val="both"/>
        <w:rPr>
          <w:rFonts w:cs="Andalus"/>
          <w:sz w:val="20"/>
        </w:rPr>
      </w:pPr>
      <w:r>
        <w:rPr>
          <w:rFonts w:cs="Andalus"/>
          <w:sz w:val="20"/>
        </w:rPr>
        <w:t>Fig. 7</w:t>
      </w:r>
      <w:r w:rsidRPr="00CE6207">
        <w:rPr>
          <w:rFonts w:cs="Andalus"/>
          <w:sz w:val="20"/>
        </w:rPr>
        <w:t xml:space="preserve">: </w:t>
      </w:r>
      <w:r>
        <w:rPr>
          <w:rFonts w:cs="Arial"/>
          <w:sz w:val="20"/>
          <w:szCs w:val="20"/>
        </w:rPr>
        <w:t>The c</w:t>
      </w:r>
      <w:r w:rsidRPr="00542564">
        <w:rPr>
          <w:rFonts w:cs="Arial"/>
          <w:sz w:val="20"/>
          <w:szCs w:val="20"/>
        </w:rPr>
        <w:t>omparison between the real distributions of the 1</w:t>
      </w:r>
      <w:r w:rsidRPr="007B7C2F">
        <w:rPr>
          <w:rFonts w:cs="Arial"/>
          <w:sz w:val="20"/>
          <w:szCs w:val="20"/>
          <w:vertAlign w:val="superscript"/>
        </w:rPr>
        <w:t xml:space="preserve">st </w:t>
      </w:r>
      <w:r w:rsidRPr="00542564">
        <w:rPr>
          <w:rFonts w:cs="Arial"/>
          <w:sz w:val="20"/>
          <w:szCs w:val="20"/>
        </w:rPr>
        <w:t xml:space="preserve">digit </w:t>
      </w:r>
      <w:r>
        <w:rPr>
          <w:rFonts w:cs="Arial"/>
          <w:sz w:val="20"/>
          <w:szCs w:val="20"/>
        </w:rPr>
        <w:t>of</w:t>
      </w:r>
      <w:r w:rsidRPr="00542564">
        <w:rPr>
          <w:rFonts w:cs="Arial"/>
          <w:sz w:val="20"/>
          <w:szCs w:val="20"/>
        </w:rPr>
        <w:t xml:space="preserve"> adjusted </w:t>
      </w:r>
      <w:r>
        <w:rPr>
          <w:rFonts w:cs="Arial"/>
          <w:sz w:val="20"/>
          <w:szCs w:val="20"/>
        </w:rPr>
        <w:t xml:space="preserve">closing price </w:t>
      </w:r>
      <w:r w:rsidRPr="00542564">
        <w:rPr>
          <w:rFonts w:cs="Arial"/>
          <w:sz w:val="20"/>
          <w:szCs w:val="20"/>
        </w:rPr>
        <w:t>and the frequency distributio</w:t>
      </w:r>
      <w:r>
        <w:rPr>
          <w:rFonts w:cs="Arial"/>
          <w:sz w:val="20"/>
          <w:szCs w:val="20"/>
        </w:rPr>
        <w:t xml:space="preserve">n of </w:t>
      </w:r>
      <w:proofErr w:type="spellStart"/>
      <w:r>
        <w:rPr>
          <w:rFonts w:cs="Arial"/>
          <w:sz w:val="20"/>
          <w:szCs w:val="20"/>
        </w:rPr>
        <w:t>Benford</w:t>
      </w:r>
      <w:proofErr w:type="spellEnd"/>
      <w:r>
        <w:rPr>
          <w:rFonts w:cs="Arial"/>
          <w:sz w:val="20"/>
          <w:szCs w:val="20"/>
        </w:rPr>
        <w:t xml:space="preserve"> for</w:t>
      </w:r>
      <w:r>
        <w:rPr>
          <w:rFonts w:cs="Andalus"/>
          <w:sz w:val="20"/>
        </w:rPr>
        <w:t xml:space="preserve"> the USA.</w:t>
      </w:r>
    </w:p>
    <w:p w14:paraId="0D4ACB53" w14:textId="77777777" w:rsidR="00A26CCE" w:rsidRDefault="00A26CCE" w:rsidP="00A26CCE">
      <w:pPr>
        <w:spacing w:line="360" w:lineRule="auto"/>
        <w:jc w:val="both"/>
        <w:rPr>
          <w:rFonts w:cs="Andalus"/>
          <w:sz w:val="20"/>
        </w:rPr>
      </w:pPr>
    </w:p>
    <w:p w14:paraId="0966ECF9" w14:textId="77777777" w:rsidR="00A26CCE" w:rsidRDefault="00A26CCE" w:rsidP="00A26CCE">
      <w:pPr>
        <w:spacing w:line="360" w:lineRule="auto"/>
        <w:jc w:val="both"/>
        <w:rPr>
          <w:rFonts w:cs="Andalus"/>
          <w:sz w:val="20"/>
        </w:rPr>
      </w:pPr>
    </w:p>
    <w:p w14:paraId="4C9DBA50" w14:textId="77777777" w:rsidR="00A26CCE" w:rsidRDefault="00A26CCE" w:rsidP="00A26CCE">
      <w:pPr>
        <w:spacing w:line="360" w:lineRule="auto"/>
        <w:jc w:val="both"/>
        <w:rPr>
          <w:rFonts w:cs="Andalus"/>
          <w:sz w:val="20"/>
        </w:rPr>
      </w:pPr>
    </w:p>
    <w:p w14:paraId="5A016F32" w14:textId="77777777" w:rsidR="00A26CCE" w:rsidRDefault="00A26CCE" w:rsidP="00A26CCE">
      <w:pPr>
        <w:spacing w:line="360" w:lineRule="auto"/>
        <w:jc w:val="both"/>
        <w:rPr>
          <w:rFonts w:cs="Andalus"/>
          <w:sz w:val="20"/>
        </w:rPr>
      </w:pPr>
    </w:p>
    <w:p w14:paraId="0413ACBB" w14:textId="57790BE4" w:rsidR="00A26CCE" w:rsidRDefault="00EF22D2" w:rsidP="00A26CCE">
      <w:pPr>
        <w:spacing w:line="360" w:lineRule="auto"/>
        <w:jc w:val="both"/>
        <w:rPr>
          <w:rFonts w:cs="Andalus"/>
          <w:sz w:val="20"/>
        </w:rPr>
      </w:pPr>
      <w:r w:rsidRPr="00EF22D2">
        <w:rPr>
          <w:rFonts w:cs="Andalus"/>
          <w:noProof/>
          <w:sz w:val="20"/>
          <w:lang w:val="it-IT"/>
        </w:rPr>
        <w:lastRenderedPageBreak/>
        <w:drawing>
          <wp:inline distT="0" distB="0" distL="0" distR="0" wp14:anchorId="59CA102E" wp14:editId="7C05738E">
            <wp:extent cx="6116320" cy="4565773"/>
            <wp:effectExtent l="0" t="0" r="30480" b="31750"/>
            <wp:docPr id="35" name="Gra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C01CAF" w14:textId="0552B084" w:rsidR="00EF22D2" w:rsidRDefault="00EF22D2" w:rsidP="00EF22D2">
      <w:pPr>
        <w:spacing w:line="360" w:lineRule="auto"/>
        <w:jc w:val="both"/>
        <w:rPr>
          <w:rFonts w:cs="Andalus"/>
          <w:sz w:val="20"/>
        </w:rPr>
      </w:pPr>
      <w:r>
        <w:rPr>
          <w:rFonts w:cs="Andalus"/>
          <w:sz w:val="20"/>
        </w:rPr>
        <w:t>Fig. 8</w:t>
      </w:r>
      <w:r w:rsidRPr="00CE6207">
        <w:rPr>
          <w:rFonts w:cs="Andalus"/>
          <w:sz w:val="20"/>
        </w:rPr>
        <w:t xml:space="preserve">: </w:t>
      </w:r>
      <w:r>
        <w:rPr>
          <w:rFonts w:cs="Arial"/>
          <w:sz w:val="20"/>
          <w:szCs w:val="20"/>
        </w:rPr>
        <w:t>The c</w:t>
      </w:r>
      <w:r w:rsidRPr="00542564">
        <w:rPr>
          <w:rFonts w:cs="Arial"/>
          <w:sz w:val="20"/>
          <w:szCs w:val="20"/>
        </w:rPr>
        <w:t xml:space="preserve">omparison between the real distributions of the </w:t>
      </w:r>
      <w:r>
        <w:rPr>
          <w:rFonts w:cs="Arial"/>
          <w:sz w:val="20"/>
          <w:szCs w:val="20"/>
        </w:rPr>
        <w:t>2</w:t>
      </w:r>
      <w:r>
        <w:rPr>
          <w:rFonts w:cs="Arial"/>
          <w:sz w:val="20"/>
          <w:szCs w:val="20"/>
          <w:vertAlign w:val="superscript"/>
        </w:rPr>
        <w:t>nd</w:t>
      </w:r>
      <w:r w:rsidRPr="007B7C2F">
        <w:rPr>
          <w:rFonts w:cs="Arial"/>
          <w:sz w:val="20"/>
          <w:szCs w:val="20"/>
          <w:vertAlign w:val="superscript"/>
        </w:rPr>
        <w:t xml:space="preserve"> </w:t>
      </w:r>
      <w:r w:rsidRPr="00542564">
        <w:rPr>
          <w:rFonts w:cs="Arial"/>
          <w:sz w:val="20"/>
          <w:szCs w:val="20"/>
        </w:rPr>
        <w:t xml:space="preserve">digit </w:t>
      </w:r>
      <w:r>
        <w:rPr>
          <w:rFonts w:cs="Arial"/>
          <w:sz w:val="20"/>
          <w:szCs w:val="20"/>
        </w:rPr>
        <w:t>of</w:t>
      </w:r>
      <w:r w:rsidRPr="00542564">
        <w:rPr>
          <w:rFonts w:cs="Arial"/>
          <w:sz w:val="20"/>
          <w:szCs w:val="20"/>
        </w:rPr>
        <w:t xml:space="preserve"> adjusted </w:t>
      </w:r>
      <w:r>
        <w:rPr>
          <w:rFonts w:cs="Arial"/>
          <w:sz w:val="20"/>
          <w:szCs w:val="20"/>
        </w:rPr>
        <w:t xml:space="preserve">closing price </w:t>
      </w:r>
      <w:r w:rsidRPr="00542564">
        <w:rPr>
          <w:rFonts w:cs="Arial"/>
          <w:sz w:val="20"/>
          <w:szCs w:val="20"/>
        </w:rPr>
        <w:t>and the frequency distributio</w:t>
      </w:r>
      <w:r>
        <w:rPr>
          <w:rFonts w:cs="Arial"/>
          <w:sz w:val="20"/>
          <w:szCs w:val="20"/>
        </w:rPr>
        <w:t xml:space="preserve">n of </w:t>
      </w:r>
      <w:proofErr w:type="spellStart"/>
      <w:r>
        <w:rPr>
          <w:rFonts w:cs="Arial"/>
          <w:sz w:val="20"/>
          <w:szCs w:val="20"/>
        </w:rPr>
        <w:t>Benford</w:t>
      </w:r>
      <w:proofErr w:type="spellEnd"/>
      <w:r>
        <w:rPr>
          <w:rFonts w:cs="Arial"/>
          <w:sz w:val="20"/>
          <w:szCs w:val="20"/>
        </w:rPr>
        <w:t xml:space="preserve"> for</w:t>
      </w:r>
      <w:r>
        <w:rPr>
          <w:rFonts w:cs="Andalus"/>
          <w:sz w:val="20"/>
        </w:rPr>
        <w:t xml:space="preserve"> the USA.</w:t>
      </w:r>
    </w:p>
    <w:p w14:paraId="7F81FEBC" w14:textId="77777777" w:rsidR="00A26CCE" w:rsidRDefault="00A26CCE" w:rsidP="00A26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cs="Helvetica"/>
          <w:bCs/>
          <w:sz w:val="20"/>
          <w:szCs w:val="20"/>
        </w:rPr>
      </w:pPr>
    </w:p>
    <w:p w14:paraId="633EA041" w14:textId="692660A8" w:rsidR="009B76ED" w:rsidRDefault="009179D0" w:rsidP="009B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Pr>
          <w:rFonts w:cs="Helvetica"/>
          <w:bCs/>
        </w:rPr>
        <w:t>The discussion of the USA cases is now provided.</w:t>
      </w:r>
    </w:p>
    <w:p w14:paraId="713C8DD8" w14:textId="3D6BEB35" w:rsidR="00EF22D2" w:rsidRPr="00EF22D2" w:rsidRDefault="00EF22D2" w:rsidP="00230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Cs/>
        </w:rPr>
      </w:pPr>
      <w:r w:rsidRPr="00EF22D2">
        <w:rPr>
          <w:rFonts w:cs="Helvetica"/>
          <w:bCs/>
        </w:rPr>
        <w:t>The Na</w:t>
      </w:r>
      <w:r w:rsidR="00230842">
        <w:rPr>
          <w:rFonts w:cs="Helvetica"/>
          <w:bCs/>
        </w:rPr>
        <w:t>sdaq Composite</w:t>
      </w:r>
      <w:r w:rsidR="009179D0">
        <w:rPr>
          <w:rFonts w:cs="Helvetica"/>
          <w:bCs/>
        </w:rPr>
        <w:t xml:space="preserve"> is made up of 2</w:t>
      </w:r>
      <w:r w:rsidRPr="00EF22D2">
        <w:rPr>
          <w:rFonts w:cs="Helvetica"/>
          <w:bCs/>
        </w:rPr>
        <w:t xml:space="preserve">558 stocks, </w:t>
      </w:r>
      <w:r w:rsidR="009179D0">
        <w:rPr>
          <w:rFonts w:cs="Helvetica"/>
          <w:bCs/>
        </w:rPr>
        <w:t>hence being the most consistent index of the set of the investigated ones</w:t>
      </w:r>
      <w:r w:rsidRPr="00EF22D2">
        <w:rPr>
          <w:rFonts w:cs="Helvetica"/>
          <w:bCs/>
        </w:rPr>
        <w:t xml:space="preserve">. </w:t>
      </w:r>
      <w:r w:rsidR="00230842">
        <w:rPr>
          <w:rFonts w:cs="Helvetica"/>
          <w:bCs/>
        </w:rPr>
        <w:t>Also</w:t>
      </w:r>
      <w:r w:rsidRPr="00EF22D2">
        <w:rPr>
          <w:rFonts w:cs="Helvetica"/>
          <w:bCs/>
        </w:rPr>
        <w:t xml:space="preserve"> the American area</w:t>
      </w:r>
      <w:r w:rsidR="00230842">
        <w:rPr>
          <w:rFonts w:cs="Helvetica"/>
          <w:bCs/>
        </w:rPr>
        <w:t xml:space="preserve"> is the most relevant one</w:t>
      </w:r>
      <w:r w:rsidRPr="00EF22D2">
        <w:rPr>
          <w:rFonts w:cs="Helvetica"/>
          <w:bCs/>
        </w:rPr>
        <w:t xml:space="preserve">, with 2759 </w:t>
      </w:r>
      <w:r w:rsidR="00230842">
        <w:rPr>
          <w:rFonts w:cs="Helvetica"/>
          <w:bCs/>
        </w:rPr>
        <w:t xml:space="preserve">available </w:t>
      </w:r>
      <w:r w:rsidRPr="00EF22D2">
        <w:rPr>
          <w:rFonts w:cs="Helvetica"/>
          <w:bCs/>
        </w:rPr>
        <w:t>stocks</w:t>
      </w:r>
      <w:r w:rsidR="00230842">
        <w:rPr>
          <w:rFonts w:cs="Helvetica"/>
          <w:bCs/>
        </w:rPr>
        <w:t xml:space="preserve">. </w:t>
      </w:r>
      <w:r w:rsidR="00487769">
        <w:rPr>
          <w:rFonts w:cs="Helvetica"/>
          <w:bCs/>
        </w:rPr>
        <w:t>BL</w:t>
      </w:r>
      <w:r>
        <w:rPr>
          <w:rFonts w:cs="Helvetica"/>
          <w:bCs/>
        </w:rPr>
        <w:t xml:space="preserve"> </w:t>
      </w:r>
      <w:r w:rsidRPr="00EF22D2">
        <w:rPr>
          <w:rFonts w:cs="Helvetica"/>
          <w:bCs/>
        </w:rPr>
        <w:t>fails in all these cases.</w:t>
      </w:r>
    </w:p>
    <w:p w14:paraId="3B1A8384" w14:textId="30A89CB7" w:rsidR="00EF22D2" w:rsidRPr="00EF22D2" w:rsidRDefault="00EF22D2" w:rsidP="009B76ED">
      <w:pPr>
        <w:shd w:val="clear" w:color="auto" w:fill="FFFFFF"/>
        <w:spacing w:line="360" w:lineRule="auto"/>
        <w:jc w:val="both"/>
        <w:rPr>
          <w:rFonts w:cs="Helvetica"/>
          <w:bCs/>
        </w:rPr>
      </w:pPr>
      <w:r w:rsidRPr="00EF22D2">
        <w:rPr>
          <w:rFonts w:cs="Helvetica"/>
          <w:bCs/>
        </w:rPr>
        <w:t>As for Europe</w:t>
      </w:r>
      <w:r w:rsidR="00230842">
        <w:rPr>
          <w:rFonts w:cs="Helvetica"/>
          <w:bCs/>
        </w:rPr>
        <w:t>an case, there is an incompleteness problem. Indeed,</w:t>
      </w:r>
      <w:r w:rsidRPr="00EF22D2">
        <w:rPr>
          <w:rFonts w:cs="Helvetica"/>
          <w:bCs/>
        </w:rPr>
        <w:t xml:space="preserve"> it has not be</w:t>
      </w:r>
      <w:r w:rsidR="00230842">
        <w:rPr>
          <w:rFonts w:cs="Helvetica"/>
          <w:bCs/>
        </w:rPr>
        <w:t>en</w:t>
      </w:r>
      <w:r w:rsidRPr="00EF22D2">
        <w:rPr>
          <w:rFonts w:cs="Helvetica"/>
          <w:bCs/>
        </w:rPr>
        <w:t xml:space="preserve"> possible to find the data of many indexes (</w:t>
      </w:r>
      <w:r w:rsidR="001B19F2">
        <w:rPr>
          <w:rFonts w:cs="Helvetica"/>
          <w:bCs/>
        </w:rPr>
        <w:t>the entire</w:t>
      </w:r>
      <w:r w:rsidRPr="00EF22D2">
        <w:rPr>
          <w:rFonts w:cs="Helvetica"/>
          <w:bCs/>
        </w:rPr>
        <w:t xml:space="preserve"> S&amp;P and the Russell</w:t>
      </w:r>
      <w:r w:rsidR="001B19F2">
        <w:rPr>
          <w:rFonts w:cs="Helvetica"/>
          <w:bCs/>
        </w:rPr>
        <w:t xml:space="preserve"> are missing</w:t>
      </w:r>
      <w:r w:rsidRPr="00EF22D2">
        <w:rPr>
          <w:rFonts w:cs="Helvetica"/>
          <w:bCs/>
        </w:rPr>
        <w:t xml:space="preserve">). This technical reason may </w:t>
      </w:r>
      <w:r w:rsidR="00230842">
        <w:rPr>
          <w:rFonts w:cs="Helvetica"/>
          <w:bCs/>
        </w:rPr>
        <w:t>be behind the obtained</w:t>
      </w:r>
      <w:r w:rsidRPr="00EF22D2">
        <w:rPr>
          <w:rFonts w:cs="Helvetica"/>
          <w:bCs/>
        </w:rPr>
        <w:t xml:space="preserve"> results.</w:t>
      </w:r>
    </w:p>
    <w:p w14:paraId="416917C4" w14:textId="5E154F27" w:rsidR="00A26CCE" w:rsidRPr="003B553F" w:rsidRDefault="001B19F2" w:rsidP="00DA611C">
      <w:pPr>
        <w:spacing w:line="360" w:lineRule="auto"/>
        <w:jc w:val="both"/>
        <w:rPr>
          <w:rFonts w:cs="Arial"/>
        </w:rPr>
      </w:pPr>
      <w:r>
        <w:rPr>
          <w:rFonts w:cs="Helvetica"/>
          <w:bCs/>
        </w:rPr>
        <w:t>Under a different point of view</w:t>
      </w:r>
      <w:r w:rsidR="00EF22D2" w:rsidRPr="00EF22D2">
        <w:rPr>
          <w:rFonts w:cs="Helvetica"/>
          <w:bCs/>
        </w:rPr>
        <w:t>, t</w:t>
      </w:r>
      <w:r w:rsidR="00EF22D2">
        <w:rPr>
          <w:rFonts w:cs="Helvetica"/>
          <w:bCs/>
        </w:rPr>
        <w:t xml:space="preserve">he </w:t>
      </w:r>
      <w:r w:rsidR="00EF22D2" w:rsidRPr="00EF22D2">
        <w:rPr>
          <w:rFonts w:cs="Helvetica"/>
          <w:bCs/>
        </w:rPr>
        <w:t xml:space="preserve">events </w:t>
      </w:r>
      <w:r>
        <w:rPr>
          <w:rFonts w:cs="Helvetica"/>
          <w:bCs/>
        </w:rPr>
        <w:t>which seem to be</w:t>
      </w:r>
      <w:r w:rsidR="00EF22D2" w:rsidRPr="00EF22D2">
        <w:rPr>
          <w:rFonts w:cs="Helvetica"/>
          <w:bCs/>
        </w:rPr>
        <w:t xml:space="preserve"> plausibly responsible for the non-validity of </w:t>
      </w:r>
      <w:r w:rsidR="00487769">
        <w:rPr>
          <w:rFonts w:cs="Helvetica"/>
          <w:bCs/>
        </w:rPr>
        <w:t>BL</w:t>
      </w:r>
      <w:r w:rsidR="00EF22D2" w:rsidRPr="00EF22D2">
        <w:rPr>
          <w:rFonts w:cs="Helvetica"/>
          <w:bCs/>
        </w:rPr>
        <w:t xml:space="preserve"> </w:t>
      </w:r>
      <w:r>
        <w:rPr>
          <w:rFonts w:cs="Helvetica"/>
          <w:bCs/>
        </w:rPr>
        <w:t>are of different types</w:t>
      </w:r>
      <w:r w:rsidR="00EF22D2">
        <w:rPr>
          <w:rFonts w:cs="Helvetica"/>
          <w:bCs/>
        </w:rPr>
        <w:t>.</w:t>
      </w:r>
      <w:r w:rsidR="004A4D72">
        <w:rPr>
          <w:rFonts w:cs="Helvetica"/>
          <w:bCs/>
        </w:rPr>
        <w:t xml:space="preserve"> We mention t</w:t>
      </w:r>
      <w:r w:rsidR="00EF22D2" w:rsidRPr="00EF22D2">
        <w:rPr>
          <w:rFonts w:cs="Helvetica"/>
          <w:bCs/>
        </w:rPr>
        <w:t>he Black Monday</w:t>
      </w:r>
      <w:r w:rsidR="004A4D72">
        <w:rPr>
          <w:rFonts w:cs="Helvetica"/>
          <w:bCs/>
        </w:rPr>
        <w:t>, which represents one</w:t>
      </w:r>
      <w:r w:rsidR="00EF22D2" w:rsidRPr="00EF22D2">
        <w:rPr>
          <w:rFonts w:cs="Helvetica"/>
          <w:bCs/>
        </w:rPr>
        <w:t xml:space="preserve"> of the greatest financial collapse in size globally</w:t>
      </w:r>
      <w:r w:rsidR="004A4D72">
        <w:rPr>
          <w:rFonts w:cs="Helvetica"/>
          <w:bCs/>
        </w:rPr>
        <w:t>, a</w:t>
      </w:r>
      <w:r w:rsidR="00EF22D2" w:rsidRPr="00EF22D2">
        <w:rPr>
          <w:rFonts w:cs="Helvetica"/>
          <w:bCs/>
        </w:rPr>
        <w:t>ll in a single day: October 19</w:t>
      </w:r>
      <w:r w:rsidR="00EF22D2" w:rsidRPr="004A4D72">
        <w:rPr>
          <w:rFonts w:cs="Helvetica"/>
          <w:bCs/>
          <w:vertAlign w:val="superscript"/>
        </w:rPr>
        <w:t>th</w:t>
      </w:r>
      <w:r w:rsidR="004A4D72">
        <w:rPr>
          <w:rFonts w:cs="Helvetica"/>
          <w:bCs/>
        </w:rPr>
        <w:t>,</w:t>
      </w:r>
      <w:r w:rsidR="00EF22D2" w:rsidRPr="00EF22D2">
        <w:rPr>
          <w:rFonts w:cs="Helvetica"/>
          <w:bCs/>
        </w:rPr>
        <w:t xml:space="preserve"> 1987.</w:t>
      </w:r>
      <w:r w:rsidR="004A4D72">
        <w:rPr>
          <w:rFonts w:cs="Helvetica"/>
          <w:bCs/>
        </w:rPr>
        <w:t xml:space="preserve"> It is also important to recall the</w:t>
      </w:r>
      <w:r w:rsidR="00DA611C">
        <w:rPr>
          <w:rFonts w:cs="Helvetica"/>
          <w:bCs/>
        </w:rPr>
        <w:t xml:space="preserve"> Twin Towers attacks</w:t>
      </w:r>
      <w:r w:rsidR="004A4D72">
        <w:rPr>
          <w:rFonts w:cs="Helvetica"/>
          <w:bCs/>
        </w:rPr>
        <w:t>, when</w:t>
      </w:r>
      <w:r w:rsidR="00DA611C">
        <w:rPr>
          <w:rFonts w:cs="Helvetica"/>
          <w:bCs/>
        </w:rPr>
        <w:t xml:space="preserve"> </w:t>
      </w:r>
      <w:r w:rsidR="00DA611C" w:rsidRPr="00707A43">
        <w:rPr>
          <w:rFonts w:cs="Arial"/>
        </w:rPr>
        <w:t xml:space="preserve">the terrorist attacks </w:t>
      </w:r>
      <w:r>
        <w:rPr>
          <w:rFonts w:cs="Arial"/>
        </w:rPr>
        <w:t xml:space="preserve">at the core of the USA has </w:t>
      </w:r>
      <w:r w:rsidR="00DA611C" w:rsidRPr="00707A43">
        <w:rPr>
          <w:rFonts w:cs="Arial"/>
        </w:rPr>
        <w:t>precipitate</w:t>
      </w:r>
      <w:r>
        <w:rPr>
          <w:rFonts w:cs="Arial"/>
        </w:rPr>
        <w:t>d</w:t>
      </w:r>
      <w:r w:rsidR="00DA611C" w:rsidRPr="00707A43">
        <w:rPr>
          <w:rFonts w:cs="Arial"/>
        </w:rPr>
        <w:t xml:space="preserve"> </w:t>
      </w:r>
      <w:r>
        <w:rPr>
          <w:rFonts w:cs="Arial"/>
        </w:rPr>
        <w:t xml:space="preserve">the </w:t>
      </w:r>
      <w:r w:rsidR="00DA611C" w:rsidRPr="00707A43">
        <w:rPr>
          <w:rFonts w:cs="Arial"/>
        </w:rPr>
        <w:t>world markets in a state of shock</w:t>
      </w:r>
      <w:r w:rsidR="00EF22D2" w:rsidRPr="00EF22D2">
        <w:rPr>
          <w:rFonts w:cs="Helvetica"/>
          <w:bCs/>
        </w:rPr>
        <w:t xml:space="preserve">. The invasion of Iraq by the Americans in </w:t>
      </w:r>
      <w:r w:rsidR="00DA611C">
        <w:rPr>
          <w:rFonts w:cs="Helvetica"/>
          <w:bCs/>
        </w:rPr>
        <w:t xml:space="preserve">March </w:t>
      </w:r>
      <w:r w:rsidR="00EF22D2" w:rsidRPr="00EF22D2">
        <w:rPr>
          <w:rFonts w:cs="Helvetica"/>
          <w:bCs/>
        </w:rPr>
        <w:t>2003</w:t>
      </w:r>
      <w:r w:rsidR="00BF47D3">
        <w:rPr>
          <w:rFonts w:cs="Helvetica"/>
          <w:bCs/>
        </w:rPr>
        <w:t xml:space="preserve"> is also a very relevant event</w:t>
      </w:r>
      <w:r w:rsidR="00EF22D2" w:rsidRPr="00EF22D2">
        <w:rPr>
          <w:rFonts w:cs="Helvetica"/>
          <w:bCs/>
        </w:rPr>
        <w:t xml:space="preserve">. </w:t>
      </w:r>
      <w:r w:rsidR="00BF47D3">
        <w:rPr>
          <w:rFonts w:cs="Helvetica"/>
          <w:bCs/>
        </w:rPr>
        <w:t>Indeed</w:t>
      </w:r>
      <w:r>
        <w:rPr>
          <w:rFonts w:cs="Helvetica"/>
          <w:bCs/>
        </w:rPr>
        <w:t>,</w:t>
      </w:r>
      <w:r w:rsidR="00EF22D2" w:rsidRPr="00EF22D2">
        <w:rPr>
          <w:rFonts w:cs="Helvetica"/>
          <w:bCs/>
        </w:rPr>
        <w:t xml:space="preserve"> U</w:t>
      </w:r>
      <w:r>
        <w:rPr>
          <w:rFonts w:cs="Helvetica"/>
          <w:bCs/>
        </w:rPr>
        <w:t>SA</w:t>
      </w:r>
      <w:r w:rsidR="00EF22D2" w:rsidRPr="00EF22D2">
        <w:rPr>
          <w:rFonts w:cs="Helvetica"/>
          <w:bCs/>
        </w:rPr>
        <w:t xml:space="preserve"> markets </w:t>
      </w:r>
      <w:r w:rsidR="00BF47D3">
        <w:rPr>
          <w:rFonts w:cs="Helvetica"/>
          <w:bCs/>
        </w:rPr>
        <w:t xml:space="preserve">have </w:t>
      </w:r>
      <w:r w:rsidR="00EF22D2" w:rsidRPr="00EF22D2">
        <w:rPr>
          <w:rFonts w:cs="Helvetica"/>
          <w:bCs/>
        </w:rPr>
        <w:t xml:space="preserve">suffered a </w:t>
      </w:r>
      <w:r w:rsidR="00EF22D2" w:rsidRPr="00EF22D2">
        <w:rPr>
          <w:rFonts w:cs="Helvetica"/>
          <w:bCs/>
        </w:rPr>
        <w:lastRenderedPageBreak/>
        <w:t>lot</w:t>
      </w:r>
      <w:r>
        <w:rPr>
          <w:rFonts w:cs="Helvetica"/>
          <w:bCs/>
        </w:rPr>
        <w:t xml:space="preserve"> d</w:t>
      </w:r>
      <w:r w:rsidRPr="00EF22D2">
        <w:rPr>
          <w:rFonts w:cs="Helvetica"/>
          <w:bCs/>
        </w:rPr>
        <w:t>uring the Second Gulf War</w:t>
      </w:r>
      <w:r w:rsidR="00EF22D2" w:rsidRPr="00EF22D2">
        <w:rPr>
          <w:rFonts w:cs="Helvetica"/>
          <w:bCs/>
        </w:rPr>
        <w:t>.</w:t>
      </w:r>
      <w:r w:rsidR="00DA611C">
        <w:rPr>
          <w:rFonts w:cs="Helvetica"/>
          <w:bCs/>
        </w:rPr>
        <w:t xml:space="preserve"> </w:t>
      </w:r>
      <w:r>
        <w:rPr>
          <w:rFonts w:cs="Helvetica"/>
          <w:bCs/>
        </w:rPr>
        <w:t xml:space="preserve">That period has experienced </w:t>
      </w:r>
      <w:r w:rsidR="00DA611C" w:rsidRPr="003B553F">
        <w:rPr>
          <w:rFonts w:cs="Arial"/>
        </w:rPr>
        <w:t>a negative peak p</w:t>
      </w:r>
      <w:r w:rsidR="00DA611C">
        <w:rPr>
          <w:rFonts w:cs="Arial"/>
        </w:rPr>
        <w:t>rice ever recorded before.</w:t>
      </w:r>
      <w:r w:rsidR="00BF47D3">
        <w:rPr>
          <w:rFonts w:cs="Arial"/>
        </w:rPr>
        <w:t xml:space="preserve"> </w:t>
      </w:r>
      <w:r>
        <w:rPr>
          <w:rFonts w:cs="Helvetica"/>
          <w:bCs/>
        </w:rPr>
        <w:t>L</w:t>
      </w:r>
      <w:r w:rsidR="00EF22D2" w:rsidRPr="00EF22D2">
        <w:rPr>
          <w:rFonts w:cs="Helvetica"/>
          <w:bCs/>
        </w:rPr>
        <w:t>ast but not least</w:t>
      </w:r>
      <w:r>
        <w:rPr>
          <w:rFonts w:cs="Helvetica"/>
          <w:bCs/>
        </w:rPr>
        <w:t>,</w:t>
      </w:r>
      <w:r w:rsidR="00EF22D2" w:rsidRPr="00EF22D2">
        <w:rPr>
          <w:rFonts w:cs="Helvetica"/>
          <w:bCs/>
        </w:rPr>
        <w:t xml:space="preserve"> the serious subprime mortgage crisis</w:t>
      </w:r>
      <w:r>
        <w:rPr>
          <w:rFonts w:cs="Helvetica"/>
          <w:bCs/>
        </w:rPr>
        <w:t>, w</w:t>
      </w:r>
      <w:r w:rsidR="00DA611C" w:rsidRPr="00707A43">
        <w:rPr>
          <w:rFonts w:cs="Arial"/>
        </w:rPr>
        <w:t>ith the bursting of the real estate bubble (due to the heavy exposure of the largest investment banks in the area of subprime mortgages). This crisis turned into a fina</w:t>
      </w:r>
      <w:r w:rsidR="00DA611C">
        <w:rPr>
          <w:rFonts w:cs="Arial"/>
        </w:rPr>
        <w:t>ncial crisis in 2008 and took</w:t>
      </w:r>
      <w:r w:rsidR="00DA611C" w:rsidRPr="00707A43">
        <w:rPr>
          <w:rFonts w:cs="Arial"/>
        </w:rPr>
        <w:t xml:space="preserve"> a global character</w:t>
      </w:r>
      <w:r w:rsidR="00DA611C">
        <w:rPr>
          <w:rFonts w:cs="Arial"/>
        </w:rPr>
        <w:t xml:space="preserve"> which </w:t>
      </w:r>
      <w:r w:rsidR="00DA611C" w:rsidRPr="00707A43">
        <w:rPr>
          <w:rFonts w:cs="Arial"/>
        </w:rPr>
        <w:t>affect</w:t>
      </w:r>
      <w:r w:rsidR="00DA611C">
        <w:rPr>
          <w:rFonts w:cs="Arial"/>
        </w:rPr>
        <w:t>ed</w:t>
      </w:r>
      <w:r w:rsidR="00DA611C" w:rsidRPr="00707A43">
        <w:rPr>
          <w:rFonts w:cs="Arial"/>
        </w:rPr>
        <w:t xml:space="preserve"> every country in the world. </w:t>
      </w:r>
      <w:r>
        <w:rPr>
          <w:rFonts w:cs="Arial"/>
        </w:rPr>
        <w:t>Such economic drawback is commonly</w:t>
      </w:r>
      <w:r w:rsidR="00DA611C" w:rsidRPr="00707A43">
        <w:rPr>
          <w:rFonts w:cs="Arial"/>
        </w:rPr>
        <w:t xml:space="preserve"> defined as the worst glo</w:t>
      </w:r>
      <w:r w:rsidR="00DA611C">
        <w:rPr>
          <w:rFonts w:cs="Arial"/>
        </w:rPr>
        <w:t xml:space="preserve">bal financial crisis since 1929. </w:t>
      </w:r>
    </w:p>
    <w:p w14:paraId="0C43A06A" w14:textId="1214471D" w:rsidR="00A26CCE" w:rsidRPr="00707A43" w:rsidRDefault="00A26CCE" w:rsidP="00A26CCE">
      <w:pPr>
        <w:spacing w:line="360" w:lineRule="auto"/>
        <w:rPr>
          <w:rFonts w:cs="Arial"/>
        </w:rPr>
      </w:pPr>
      <w:bookmarkStart w:id="0" w:name="_GoBack"/>
      <w:bookmarkEnd w:id="0"/>
    </w:p>
    <w:p w14:paraId="196DB2EA" w14:textId="77777777" w:rsidR="00A26CCE" w:rsidRDefault="00A26CCE" w:rsidP="00A26CCE">
      <w:pPr>
        <w:spacing w:line="360" w:lineRule="auto"/>
        <w:rPr>
          <w:rFonts w:cs="Arial"/>
        </w:rPr>
      </w:pPr>
    </w:p>
    <w:p w14:paraId="73C1FB3B" w14:textId="75E4226B" w:rsidR="00A26CCE" w:rsidRPr="0064130A" w:rsidRDefault="00233EF2" w:rsidP="00A26CCE">
      <w:pPr>
        <w:spacing w:line="360" w:lineRule="auto"/>
        <w:rPr>
          <w:rFonts w:cs="Arial"/>
          <w:b/>
        </w:rPr>
      </w:pPr>
      <w:r w:rsidRPr="0064130A">
        <w:rPr>
          <w:rFonts w:cs="Arial"/>
          <w:b/>
        </w:rPr>
        <w:t>5. Conclusion</w:t>
      </w:r>
    </w:p>
    <w:p w14:paraId="2F68CBA7" w14:textId="38420862" w:rsidR="009B76ED" w:rsidRPr="0064130A" w:rsidRDefault="001B19F2" w:rsidP="002D7DFC">
      <w:pPr>
        <w:spacing w:line="360" w:lineRule="auto"/>
        <w:jc w:val="both"/>
        <w:rPr>
          <w:rFonts w:cs="Arial"/>
        </w:rPr>
      </w:pPr>
      <w:r w:rsidRPr="0064130A">
        <w:rPr>
          <w:rFonts w:cs="Arial"/>
        </w:rPr>
        <w:t>T</w:t>
      </w:r>
      <w:r w:rsidR="009B76ED" w:rsidRPr="0064130A">
        <w:rPr>
          <w:rFonts w:cs="Arial"/>
        </w:rPr>
        <w:t xml:space="preserve">he application of </w:t>
      </w:r>
      <w:r w:rsidRPr="0064130A">
        <w:rPr>
          <w:rFonts w:cs="Arial"/>
        </w:rPr>
        <w:t xml:space="preserve">the </w:t>
      </w:r>
      <w:r w:rsidR="00487769" w:rsidRPr="0064130A">
        <w:rPr>
          <w:rFonts w:cs="Arial"/>
        </w:rPr>
        <w:t>BL</w:t>
      </w:r>
      <w:r w:rsidR="009B76ED" w:rsidRPr="0064130A">
        <w:rPr>
          <w:rFonts w:cs="Arial"/>
        </w:rPr>
        <w:t xml:space="preserve"> has highlighted the complexity of the financial markets and has emphasized the sensitivity to the events around them.</w:t>
      </w:r>
      <w:r w:rsidRPr="0064130A">
        <w:rPr>
          <w:rFonts w:cs="Arial"/>
        </w:rPr>
        <w:t xml:space="preserve"> Several discrepancies have been observed and commented. The motivations behind them can be</w:t>
      </w:r>
      <w:r w:rsidR="005E5A01" w:rsidRPr="0064130A">
        <w:rPr>
          <w:rFonts w:cs="Arial"/>
        </w:rPr>
        <w:t xml:space="preserve"> found in technical characteristics of the dataset but also in the breakthrough events which provide basically a reshuffling and shake of the ordinary course of finance. </w:t>
      </w:r>
      <w:r w:rsidRPr="0064130A">
        <w:rPr>
          <w:rFonts w:cs="Arial"/>
        </w:rPr>
        <w:t xml:space="preserve"> </w:t>
      </w:r>
    </w:p>
    <w:p w14:paraId="4C094AA5" w14:textId="7CCE7A67" w:rsidR="00233EF2" w:rsidRPr="0064130A" w:rsidRDefault="005E5A01" w:rsidP="005E5A01">
      <w:pPr>
        <w:spacing w:line="360" w:lineRule="auto"/>
        <w:jc w:val="both"/>
        <w:rPr>
          <w:rFonts w:cs="Arial"/>
        </w:rPr>
      </w:pPr>
      <w:r w:rsidRPr="0064130A">
        <w:rPr>
          <w:rFonts w:cs="Arial"/>
        </w:rPr>
        <w:t xml:space="preserve">The analysis has been carried out over </w:t>
      </w:r>
      <w:r w:rsidR="009B76ED" w:rsidRPr="0064130A">
        <w:rPr>
          <w:rFonts w:cs="Arial"/>
        </w:rPr>
        <w:t xml:space="preserve">first and </w:t>
      </w:r>
      <w:r w:rsidRPr="0064130A">
        <w:rPr>
          <w:rFonts w:cs="Arial"/>
        </w:rPr>
        <w:t xml:space="preserve">second relevant digits, for prices and volumes and for all the international markets with a large enough number of data. The peculiar attention to geographical areas and to the overall sample of the World  markets brings further consistency to the obtained results. </w:t>
      </w:r>
    </w:p>
    <w:p w14:paraId="183AACCB" w14:textId="77777777" w:rsidR="005E5A01" w:rsidRPr="0064130A" w:rsidRDefault="005E5A01" w:rsidP="005E5A01">
      <w:pPr>
        <w:spacing w:line="360" w:lineRule="auto"/>
        <w:jc w:val="both"/>
        <w:rPr>
          <w:rFonts w:cs="Arial"/>
        </w:rPr>
      </w:pPr>
    </w:p>
    <w:p w14:paraId="1B818BD0" w14:textId="6F844AC2" w:rsidR="00233EF2" w:rsidRPr="0064130A" w:rsidRDefault="00233EF2" w:rsidP="002D7DFC">
      <w:pPr>
        <w:spacing w:line="360" w:lineRule="auto"/>
        <w:jc w:val="both"/>
        <w:rPr>
          <w:rFonts w:cs="Arial"/>
          <w:b/>
        </w:rPr>
      </w:pPr>
      <w:r w:rsidRPr="0064130A">
        <w:rPr>
          <w:rFonts w:cs="Arial"/>
          <w:b/>
        </w:rPr>
        <w:t>References</w:t>
      </w:r>
    </w:p>
    <w:p w14:paraId="53DD654E" w14:textId="4F0FB76A" w:rsidR="00233EF2" w:rsidRDefault="00D46429" w:rsidP="00D46429">
      <w:pPr>
        <w:spacing w:line="360" w:lineRule="auto"/>
        <w:jc w:val="both"/>
        <w:rPr>
          <w:rFonts w:cs="Arial"/>
        </w:rPr>
      </w:pPr>
      <w:proofErr w:type="spellStart"/>
      <w:r w:rsidRPr="00D46429">
        <w:rPr>
          <w:rFonts w:cs="Arial"/>
        </w:rPr>
        <w:t>Antweiler</w:t>
      </w:r>
      <w:proofErr w:type="spellEnd"/>
      <w:r w:rsidRPr="00D46429">
        <w:rPr>
          <w:rFonts w:cs="Arial"/>
        </w:rPr>
        <w:t xml:space="preserve"> W., Frank M. Z. (2004), Is All That Talk Just Noise? The</w:t>
      </w:r>
      <w:r>
        <w:rPr>
          <w:rFonts w:cs="Arial"/>
        </w:rPr>
        <w:t xml:space="preserve"> </w:t>
      </w:r>
      <w:r w:rsidRPr="00D46429">
        <w:rPr>
          <w:rFonts w:cs="Arial"/>
        </w:rPr>
        <w:t xml:space="preserve">Information Content of Internet Stock Message Boards. </w:t>
      </w:r>
      <w:r w:rsidRPr="00D46429">
        <w:rPr>
          <w:rFonts w:cs="Arial"/>
          <w:i/>
        </w:rPr>
        <w:t>The Journal of Finance</w:t>
      </w:r>
      <w:r w:rsidRPr="00D46429">
        <w:rPr>
          <w:rFonts w:cs="Arial"/>
        </w:rPr>
        <w:t xml:space="preserve"> 59</w:t>
      </w:r>
      <w:r>
        <w:rPr>
          <w:rFonts w:cs="Arial"/>
        </w:rPr>
        <w:t>,</w:t>
      </w:r>
      <w:r w:rsidRPr="00D46429">
        <w:rPr>
          <w:rFonts w:cs="Arial"/>
        </w:rPr>
        <w:t xml:space="preserve"> 1259–1294.</w:t>
      </w:r>
    </w:p>
    <w:p w14:paraId="764B1476" w14:textId="77777777" w:rsidR="00D46429" w:rsidRPr="0064130A" w:rsidRDefault="00D46429" w:rsidP="00D46429">
      <w:pPr>
        <w:spacing w:line="360" w:lineRule="auto"/>
        <w:jc w:val="both"/>
        <w:rPr>
          <w:rFonts w:cs="Arial"/>
        </w:rPr>
      </w:pPr>
    </w:p>
    <w:p w14:paraId="711ED52B" w14:textId="2A8BAC95" w:rsidR="00C04A9B" w:rsidRPr="0064130A" w:rsidRDefault="00991E8F" w:rsidP="00D90ACB">
      <w:pPr>
        <w:spacing w:line="360" w:lineRule="auto"/>
        <w:rPr>
          <w:rFonts w:eastAsia="Times New Roman" w:cs="Lucida Grande"/>
          <w:color w:val="000000"/>
          <w:shd w:val="clear" w:color="auto" w:fill="FFFFFF"/>
        </w:rPr>
      </w:pPr>
      <w:r w:rsidRPr="0064130A">
        <w:rPr>
          <w:rFonts w:eastAsia="Times New Roman" w:cs="Times New Roman"/>
        </w:rPr>
        <w:t>Ausloos M</w:t>
      </w:r>
      <w:r w:rsidR="00D0247C" w:rsidRPr="0064130A">
        <w:rPr>
          <w:rFonts w:eastAsia="Times New Roman" w:cs="Times New Roman"/>
        </w:rPr>
        <w:t>.</w:t>
      </w:r>
      <w:r w:rsidRPr="0064130A">
        <w:rPr>
          <w:rFonts w:eastAsia="Times New Roman" w:cs="Times New Roman"/>
        </w:rPr>
        <w:t>, Castellano R</w:t>
      </w:r>
      <w:r w:rsidR="00D0247C" w:rsidRPr="0064130A">
        <w:rPr>
          <w:rFonts w:eastAsia="Times New Roman" w:cs="Times New Roman"/>
        </w:rPr>
        <w:t>.</w:t>
      </w:r>
      <w:r w:rsidRPr="0064130A">
        <w:rPr>
          <w:rFonts w:eastAsia="Times New Roman" w:cs="Times New Roman"/>
        </w:rPr>
        <w:t xml:space="preserve">, Cerqueti R., </w:t>
      </w:r>
      <w:r w:rsidR="001B0B09" w:rsidRPr="0064130A">
        <w:rPr>
          <w:rFonts w:eastAsia="Times New Roman" w:cs="Times New Roman"/>
        </w:rPr>
        <w:t xml:space="preserve">(2016). </w:t>
      </w:r>
      <w:r w:rsidRPr="0064130A">
        <w:rPr>
          <w:rFonts w:eastAsia="Times New Roman" w:cs="Times New Roman"/>
        </w:rPr>
        <w:t>“</w:t>
      </w:r>
      <w:r w:rsidRPr="0064130A">
        <w:rPr>
          <w:rFonts w:eastAsia="Times New Roman" w:cs="Lucida Grande"/>
          <w:color w:val="000000"/>
        </w:rPr>
        <w:t xml:space="preserve">Regularities and Discrepancies of Credit Default Swaps: a Data Science approach through </w:t>
      </w:r>
      <w:r w:rsidR="00487769" w:rsidRPr="0064130A">
        <w:rPr>
          <w:rFonts w:eastAsia="Times New Roman" w:cs="Lucida Grande"/>
          <w:color w:val="000000"/>
        </w:rPr>
        <w:t>BL</w:t>
      </w:r>
      <w:r w:rsidRPr="0064130A">
        <w:rPr>
          <w:rFonts w:eastAsia="Times New Roman" w:cs="Lucida Grande"/>
          <w:color w:val="000000"/>
        </w:rPr>
        <w:t xml:space="preserve">”, </w:t>
      </w:r>
      <w:r w:rsidRPr="0064130A">
        <w:rPr>
          <w:rFonts w:eastAsia="Times New Roman" w:cs="Lucida Grande"/>
          <w:i/>
          <w:color w:val="000000"/>
          <w:shd w:val="clear" w:color="auto" w:fill="FFFFFF"/>
        </w:rPr>
        <w:t xml:space="preserve">Chaos, Solitons </w:t>
      </w:r>
      <w:r w:rsidR="006A2B88">
        <w:rPr>
          <w:rFonts w:eastAsia="Times New Roman" w:cs="Lucida Grande"/>
          <w:i/>
          <w:color w:val="000000"/>
          <w:shd w:val="clear" w:color="auto" w:fill="FFFFFF"/>
        </w:rPr>
        <w:t>and</w:t>
      </w:r>
      <w:r w:rsidRPr="0064130A">
        <w:rPr>
          <w:rFonts w:eastAsia="Times New Roman" w:cs="Lucida Grande"/>
          <w:i/>
          <w:color w:val="000000"/>
          <w:shd w:val="clear" w:color="auto" w:fill="FFFFFF"/>
        </w:rPr>
        <w:t xml:space="preserve"> Fractals</w:t>
      </w:r>
      <w:r w:rsidRPr="0064130A">
        <w:rPr>
          <w:rFonts w:eastAsia="Times New Roman" w:cs="Lucida Grande"/>
          <w:color w:val="000000"/>
          <w:shd w:val="clear" w:color="auto" w:fill="FFFFFF"/>
        </w:rPr>
        <w:t xml:space="preserve"> 90</w:t>
      </w:r>
      <w:r w:rsidR="001B0B09" w:rsidRPr="0064130A">
        <w:rPr>
          <w:rFonts w:eastAsia="Times New Roman" w:cs="Lucida Grande"/>
          <w:color w:val="000000"/>
          <w:shd w:val="clear" w:color="auto" w:fill="FFFFFF"/>
        </w:rPr>
        <w:t xml:space="preserve">, </w:t>
      </w:r>
      <w:r w:rsidRPr="0064130A">
        <w:rPr>
          <w:rFonts w:eastAsia="Times New Roman" w:cs="Lucida Grande"/>
          <w:color w:val="000000"/>
          <w:shd w:val="clear" w:color="auto" w:fill="FFFFFF"/>
        </w:rPr>
        <w:t>8-17.</w:t>
      </w:r>
    </w:p>
    <w:p w14:paraId="539C678B" w14:textId="77777777" w:rsidR="00C04A9B" w:rsidRPr="0064130A" w:rsidRDefault="00C04A9B" w:rsidP="00D90ACB">
      <w:pPr>
        <w:spacing w:line="360" w:lineRule="auto"/>
        <w:rPr>
          <w:rFonts w:eastAsia="Times New Roman" w:cs="Lucida Grande"/>
          <w:color w:val="000000"/>
          <w:shd w:val="clear" w:color="auto" w:fill="FFFFFF"/>
        </w:rPr>
      </w:pPr>
    </w:p>
    <w:p w14:paraId="58AEA27E" w14:textId="0804FFD4" w:rsidR="00C04A9B" w:rsidRPr="009870B0" w:rsidRDefault="00C04A9B" w:rsidP="00C04A9B">
      <w:pPr>
        <w:rPr>
          <w:rFonts w:ascii="Times" w:eastAsia="Times New Roman" w:hAnsi="Times" w:cs="Times New Roman"/>
          <w:sz w:val="20"/>
          <w:szCs w:val="20"/>
        </w:rPr>
      </w:pPr>
      <w:r>
        <w:rPr>
          <w:rFonts w:eastAsia="Times New Roman" w:cs="Times New Roman"/>
        </w:rPr>
        <w:t>Ausloos M., Cerqueti R., Mir T.A. (2017). “</w:t>
      </w:r>
      <w:r w:rsidRPr="00C04A9B">
        <w:rPr>
          <w:rFonts w:eastAsia="Times New Roman" w:cs="Times New Roman"/>
        </w:rPr>
        <w:t xml:space="preserve">Data science for assessing possible tax income </w:t>
      </w:r>
      <w:r>
        <w:rPr>
          <w:rFonts w:eastAsia="Times New Roman" w:cs="Times New Roman"/>
        </w:rPr>
        <w:t>manipulation: The case of Italy”,</w:t>
      </w:r>
      <w:r w:rsidRPr="00C04A9B">
        <w:rPr>
          <w:rFonts w:eastAsia="Times New Roman" w:cs="Lucida Grande"/>
          <w:i/>
          <w:color w:val="000000"/>
          <w:shd w:val="clear" w:color="auto" w:fill="FFFFFF"/>
        </w:rPr>
        <w:t xml:space="preserve"> Chaos,</w:t>
      </w:r>
      <w:r>
        <w:rPr>
          <w:rFonts w:eastAsia="Times New Roman" w:cs="Lucida Grande"/>
          <w:i/>
          <w:color w:val="000000"/>
          <w:shd w:val="clear" w:color="auto" w:fill="FFFFFF"/>
        </w:rPr>
        <w:t xml:space="preserve"> Solitons and Fractals </w:t>
      </w:r>
      <w:r w:rsidRPr="006A2B88">
        <w:rPr>
          <w:rFonts w:eastAsia="Times New Roman" w:cs="Lucida Grande"/>
          <w:color w:val="000000"/>
          <w:shd w:val="clear" w:color="auto" w:fill="FFFFFF"/>
        </w:rPr>
        <w:t>104, 238–256.</w:t>
      </w:r>
    </w:p>
    <w:p w14:paraId="7D894B26" w14:textId="77777777" w:rsidR="00706BA6" w:rsidRPr="00D90ACB" w:rsidRDefault="00706BA6" w:rsidP="00D90ACB">
      <w:pPr>
        <w:spacing w:line="360" w:lineRule="auto"/>
        <w:rPr>
          <w:rFonts w:eastAsia="Times New Roman" w:cs="Lucida Grande"/>
          <w:color w:val="000000"/>
          <w:shd w:val="clear" w:color="auto" w:fill="FFFFFF"/>
        </w:rPr>
      </w:pPr>
    </w:p>
    <w:p w14:paraId="00C2D212" w14:textId="0AD0B466" w:rsidR="00D2536D" w:rsidRPr="00D90ACB" w:rsidRDefault="00D2536D" w:rsidP="00D90ACB">
      <w:pPr>
        <w:spacing w:line="360" w:lineRule="auto"/>
        <w:rPr>
          <w:rFonts w:eastAsia="Times New Roman" w:cs="Lucida Grande"/>
          <w:color w:val="000000"/>
          <w:shd w:val="clear" w:color="auto" w:fill="FFFFFF"/>
        </w:rPr>
      </w:pPr>
      <w:r w:rsidRPr="00D90ACB">
        <w:rPr>
          <w:rFonts w:eastAsia="Times New Roman" w:cs="Lucida Grande"/>
          <w:color w:val="000000"/>
          <w:shd w:val="clear" w:color="auto" w:fill="FFFFFF"/>
        </w:rPr>
        <w:t xml:space="preserve">Ausloos M., Herteliu C., </w:t>
      </w:r>
      <w:proofErr w:type="spellStart"/>
      <w:r w:rsidRPr="00D90ACB">
        <w:rPr>
          <w:rFonts w:eastAsia="Times New Roman" w:cs="Lucida Grande"/>
          <w:color w:val="000000"/>
          <w:shd w:val="clear" w:color="auto" w:fill="FFFFFF"/>
        </w:rPr>
        <w:t>Ileanu</w:t>
      </w:r>
      <w:proofErr w:type="spellEnd"/>
      <w:r w:rsidRPr="00D90ACB">
        <w:rPr>
          <w:rFonts w:eastAsia="Times New Roman" w:cs="Lucida Grande"/>
          <w:color w:val="000000"/>
          <w:shd w:val="clear" w:color="auto" w:fill="FFFFFF"/>
        </w:rPr>
        <w:t xml:space="preserve"> B.,</w:t>
      </w:r>
      <w:r w:rsidR="00706BA6">
        <w:rPr>
          <w:rFonts w:eastAsia="Times New Roman" w:cs="Lucida Grande"/>
          <w:color w:val="000000"/>
          <w:shd w:val="clear" w:color="auto" w:fill="FFFFFF"/>
        </w:rPr>
        <w:t xml:space="preserve"> (2015).</w:t>
      </w:r>
      <w:r w:rsidRPr="00D90ACB">
        <w:rPr>
          <w:rFonts w:eastAsia="Times New Roman" w:cs="Lucida Grande"/>
          <w:color w:val="000000"/>
          <w:shd w:val="clear" w:color="auto" w:fill="FFFFFF"/>
        </w:rPr>
        <w:t xml:space="preserve"> “Breakdown of </w:t>
      </w:r>
      <w:r w:rsidR="00487769">
        <w:rPr>
          <w:rFonts w:eastAsia="Times New Roman" w:cs="Lucida Grande"/>
          <w:color w:val="000000"/>
          <w:shd w:val="clear" w:color="auto" w:fill="FFFFFF"/>
        </w:rPr>
        <w:t>BL</w:t>
      </w:r>
      <w:r w:rsidRPr="00D90ACB">
        <w:rPr>
          <w:rFonts w:eastAsia="Times New Roman" w:cs="Lucida Grande"/>
          <w:color w:val="000000"/>
          <w:shd w:val="clear" w:color="auto" w:fill="FFFFFF"/>
        </w:rPr>
        <w:t xml:space="preserve"> for birth data” </w:t>
      </w:r>
      <w:proofErr w:type="spellStart"/>
      <w:r w:rsidRPr="00D90ACB">
        <w:rPr>
          <w:rFonts w:eastAsia="Times New Roman" w:cs="Lucida Grande"/>
          <w:i/>
          <w:color w:val="000000"/>
          <w:shd w:val="clear" w:color="auto" w:fill="FFFFFF"/>
        </w:rPr>
        <w:t>Physica</w:t>
      </w:r>
      <w:proofErr w:type="spellEnd"/>
      <w:r w:rsidRPr="00D90ACB">
        <w:rPr>
          <w:rFonts w:eastAsia="Times New Roman" w:cs="Lucida Grande"/>
          <w:i/>
          <w:color w:val="000000"/>
          <w:shd w:val="clear" w:color="auto" w:fill="FFFFFF"/>
        </w:rPr>
        <w:t xml:space="preserve"> A</w:t>
      </w:r>
      <w:r w:rsidR="00706BA6">
        <w:rPr>
          <w:rFonts w:eastAsia="Times New Roman" w:cs="Lucida Grande"/>
          <w:color w:val="000000"/>
          <w:shd w:val="clear" w:color="auto" w:fill="FFFFFF"/>
        </w:rPr>
        <w:t xml:space="preserve"> </w:t>
      </w:r>
      <w:r w:rsidRPr="00D90ACB">
        <w:rPr>
          <w:rFonts w:eastAsia="Times New Roman" w:cs="Lucida Grande"/>
          <w:color w:val="000000"/>
          <w:shd w:val="clear" w:color="auto" w:fill="FFFFFF"/>
        </w:rPr>
        <w:t>419</w:t>
      </w:r>
      <w:r w:rsidR="00706BA6">
        <w:rPr>
          <w:rFonts w:eastAsia="Times New Roman" w:cs="Lucida Grande"/>
          <w:color w:val="000000"/>
          <w:shd w:val="clear" w:color="auto" w:fill="FFFFFF"/>
        </w:rPr>
        <w:t>,</w:t>
      </w:r>
      <w:r w:rsidRPr="00D90ACB">
        <w:rPr>
          <w:rFonts w:eastAsia="Times New Roman" w:cs="Lucida Grande"/>
          <w:color w:val="000000"/>
          <w:shd w:val="clear" w:color="auto" w:fill="FFFFFF"/>
        </w:rPr>
        <w:t xml:space="preserve"> 736-745.</w:t>
      </w:r>
    </w:p>
    <w:p w14:paraId="369D9FE8" w14:textId="6FD2AB90" w:rsidR="00991E8F" w:rsidRPr="00D90ACB" w:rsidRDefault="00D0247C" w:rsidP="00D90ACB">
      <w:pPr>
        <w:pStyle w:val="NormaleWeb"/>
        <w:spacing w:line="360" w:lineRule="auto"/>
        <w:rPr>
          <w:rFonts w:asciiTheme="minorHAnsi" w:hAnsiTheme="minorHAnsi"/>
          <w:sz w:val="24"/>
          <w:szCs w:val="24"/>
          <w:lang w:val="en-GB"/>
        </w:rPr>
      </w:pPr>
      <w:proofErr w:type="spellStart"/>
      <w:r w:rsidRPr="00D90ACB">
        <w:rPr>
          <w:rFonts w:asciiTheme="minorHAnsi" w:hAnsiTheme="minorHAnsi"/>
          <w:sz w:val="24"/>
          <w:szCs w:val="24"/>
          <w:lang w:val="en-GB"/>
        </w:rPr>
        <w:t>Benford</w:t>
      </w:r>
      <w:proofErr w:type="spellEnd"/>
      <w:r w:rsidRPr="00D90ACB">
        <w:rPr>
          <w:rFonts w:asciiTheme="minorHAnsi" w:hAnsiTheme="minorHAnsi"/>
          <w:sz w:val="24"/>
          <w:szCs w:val="24"/>
          <w:lang w:val="en-GB"/>
        </w:rPr>
        <w:t xml:space="preserve"> F</w:t>
      </w:r>
      <w:r w:rsidR="00991E8F" w:rsidRPr="00D90ACB">
        <w:rPr>
          <w:rFonts w:asciiTheme="minorHAnsi" w:hAnsiTheme="minorHAnsi"/>
          <w:sz w:val="24"/>
          <w:szCs w:val="24"/>
          <w:lang w:val="en-GB"/>
        </w:rPr>
        <w:t>.</w:t>
      </w:r>
      <w:r w:rsidRPr="00D90ACB">
        <w:rPr>
          <w:rFonts w:asciiTheme="minorHAnsi" w:hAnsiTheme="minorHAnsi"/>
          <w:sz w:val="24"/>
          <w:szCs w:val="24"/>
          <w:lang w:val="en-GB"/>
        </w:rPr>
        <w:t>,</w:t>
      </w:r>
      <w:r w:rsidR="00991E8F" w:rsidRPr="00D90ACB">
        <w:rPr>
          <w:rFonts w:asciiTheme="minorHAnsi" w:hAnsiTheme="minorHAnsi"/>
          <w:sz w:val="24"/>
          <w:szCs w:val="24"/>
          <w:lang w:val="en-GB"/>
        </w:rPr>
        <w:t xml:space="preserve"> </w:t>
      </w:r>
      <w:r w:rsidR="00706BA6">
        <w:rPr>
          <w:rFonts w:asciiTheme="minorHAnsi" w:hAnsiTheme="minorHAnsi"/>
          <w:sz w:val="24"/>
          <w:szCs w:val="24"/>
          <w:lang w:val="en-GB"/>
        </w:rPr>
        <w:t xml:space="preserve">(1938). </w:t>
      </w:r>
      <w:r w:rsidR="00991E8F" w:rsidRPr="00D90ACB">
        <w:rPr>
          <w:rFonts w:asciiTheme="minorHAnsi" w:hAnsiTheme="minorHAnsi"/>
          <w:sz w:val="24"/>
          <w:szCs w:val="24"/>
          <w:lang w:val="en-GB"/>
        </w:rPr>
        <w:t xml:space="preserve">“The Law of Anomalous Numbers.” </w:t>
      </w:r>
      <w:r w:rsidR="00991E8F" w:rsidRPr="00D90ACB">
        <w:rPr>
          <w:rFonts w:asciiTheme="minorHAnsi" w:hAnsiTheme="minorHAnsi"/>
          <w:i/>
          <w:iCs/>
          <w:sz w:val="24"/>
          <w:szCs w:val="24"/>
          <w:lang w:val="en-GB"/>
        </w:rPr>
        <w:t xml:space="preserve">Proceedings of the American Philosophical Society </w:t>
      </w:r>
      <w:r w:rsidR="00991E8F" w:rsidRPr="00706BA6">
        <w:rPr>
          <w:rFonts w:asciiTheme="minorHAnsi" w:hAnsiTheme="minorHAnsi"/>
          <w:iCs/>
          <w:sz w:val="24"/>
          <w:szCs w:val="24"/>
          <w:lang w:val="en-GB"/>
        </w:rPr>
        <w:t>78</w:t>
      </w:r>
      <w:r w:rsidR="00706BA6">
        <w:rPr>
          <w:rFonts w:asciiTheme="minorHAnsi" w:hAnsiTheme="minorHAnsi"/>
          <w:sz w:val="24"/>
          <w:szCs w:val="24"/>
          <w:lang w:val="en-GB"/>
        </w:rPr>
        <w:t>(</w:t>
      </w:r>
      <w:r w:rsidR="00991E8F" w:rsidRPr="00D90ACB">
        <w:rPr>
          <w:rFonts w:asciiTheme="minorHAnsi" w:hAnsiTheme="minorHAnsi"/>
          <w:sz w:val="24"/>
          <w:szCs w:val="24"/>
          <w:lang w:val="en-GB"/>
        </w:rPr>
        <w:t>4</w:t>
      </w:r>
      <w:r w:rsidR="00706BA6">
        <w:rPr>
          <w:rFonts w:asciiTheme="minorHAnsi" w:hAnsiTheme="minorHAnsi"/>
          <w:sz w:val="24"/>
          <w:szCs w:val="24"/>
          <w:lang w:val="en-GB"/>
        </w:rPr>
        <w:t>),</w:t>
      </w:r>
      <w:r w:rsidR="00991E8F" w:rsidRPr="00D90ACB">
        <w:rPr>
          <w:rFonts w:asciiTheme="minorHAnsi" w:hAnsiTheme="minorHAnsi"/>
          <w:sz w:val="24"/>
          <w:szCs w:val="24"/>
          <w:lang w:val="en-GB"/>
        </w:rPr>
        <w:t xml:space="preserve"> 551-72. </w:t>
      </w:r>
    </w:p>
    <w:p w14:paraId="0E78E77C" w14:textId="0E1C5E02" w:rsidR="00991E8F" w:rsidRPr="00BF28A5" w:rsidRDefault="00991E8F" w:rsidP="00BF28A5">
      <w:pPr>
        <w:pStyle w:val="NormaleWeb"/>
        <w:spacing w:line="360" w:lineRule="auto"/>
        <w:rPr>
          <w:rFonts w:asciiTheme="minorHAnsi" w:hAnsiTheme="minorHAnsi"/>
          <w:sz w:val="24"/>
          <w:szCs w:val="24"/>
          <w:lang w:val="en-GB"/>
        </w:rPr>
      </w:pPr>
      <w:r w:rsidRPr="00BF28A5">
        <w:rPr>
          <w:rFonts w:asciiTheme="minorHAnsi" w:eastAsia="Times New Roman" w:hAnsiTheme="minorHAnsi"/>
          <w:sz w:val="24"/>
          <w:szCs w:val="24"/>
        </w:rPr>
        <w:lastRenderedPageBreak/>
        <w:t>Carrera</w:t>
      </w:r>
      <w:r w:rsidR="00D0247C" w:rsidRPr="00BF28A5">
        <w:rPr>
          <w:rFonts w:asciiTheme="minorHAnsi" w:eastAsia="Times New Roman" w:hAnsiTheme="minorHAnsi"/>
          <w:sz w:val="24"/>
          <w:szCs w:val="24"/>
        </w:rPr>
        <w:t xml:space="preserve"> C.,</w:t>
      </w:r>
      <w:r w:rsidRPr="00BF28A5">
        <w:rPr>
          <w:rFonts w:asciiTheme="minorHAnsi" w:eastAsia="Times New Roman" w:hAnsiTheme="minorHAnsi"/>
          <w:sz w:val="24"/>
          <w:szCs w:val="24"/>
        </w:rPr>
        <w:t xml:space="preserve"> (2015)</w:t>
      </w:r>
      <w:r w:rsidR="00706BA6" w:rsidRPr="00BF28A5">
        <w:rPr>
          <w:rFonts w:asciiTheme="minorHAnsi" w:eastAsia="Times New Roman" w:hAnsiTheme="minorHAnsi"/>
          <w:sz w:val="24"/>
          <w:szCs w:val="24"/>
        </w:rPr>
        <w:t>.</w:t>
      </w:r>
      <w:r w:rsidRPr="00BF28A5">
        <w:rPr>
          <w:rFonts w:asciiTheme="minorHAnsi" w:eastAsia="Times New Roman" w:hAnsiTheme="minorHAnsi"/>
          <w:sz w:val="24"/>
          <w:szCs w:val="24"/>
        </w:rPr>
        <w:t xml:space="preserve"> “Tracking exchange rate management in Latin America” </w:t>
      </w:r>
      <w:r w:rsidRPr="00BF28A5">
        <w:rPr>
          <w:rFonts w:asciiTheme="minorHAnsi" w:eastAsia="Times New Roman" w:hAnsiTheme="minorHAnsi"/>
          <w:i/>
          <w:sz w:val="24"/>
          <w:szCs w:val="24"/>
        </w:rPr>
        <w:t>Review of Financial Economics</w:t>
      </w:r>
      <w:r w:rsidR="00706BA6" w:rsidRPr="00BF28A5">
        <w:rPr>
          <w:rFonts w:asciiTheme="minorHAnsi" w:eastAsia="Times New Roman" w:hAnsiTheme="minorHAnsi"/>
          <w:sz w:val="24"/>
          <w:szCs w:val="24"/>
        </w:rPr>
        <w:t xml:space="preserve">, </w:t>
      </w:r>
      <w:r w:rsidRPr="00BF28A5">
        <w:rPr>
          <w:rFonts w:asciiTheme="minorHAnsi" w:eastAsia="Times New Roman" w:hAnsiTheme="minorHAnsi"/>
          <w:sz w:val="24"/>
          <w:szCs w:val="24"/>
        </w:rPr>
        <w:t>25</w:t>
      </w:r>
      <w:r w:rsidR="00706BA6" w:rsidRPr="00BF28A5">
        <w:rPr>
          <w:rFonts w:asciiTheme="minorHAnsi" w:eastAsia="Times New Roman" w:hAnsiTheme="minorHAnsi"/>
          <w:sz w:val="24"/>
          <w:szCs w:val="24"/>
        </w:rPr>
        <w:t>(C),</w:t>
      </w:r>
      <w:r w:rsidRPr="00BF28A5">
        <w:rPr>
          <w:rFonts w:asciiTheme="minorHAnsi" w:eastAsia="Times New Roman" w:hAnsiTheme="minorHAnsi"/>
          <w:sz w:val="24"/>
          <w:szCs w:val="24"/>
        </w:rPr>
        <w:t xml:space="preserve"> 35-41.</w:t>
      </w:r>
      <w:r w:rsidR="00BF28A5" w:rsidRPr="00BF28A5">
        <w:rPr>
          <w:rFonts w:asciiTheme="minorHAnsi" w:hAnsiTheme="minorHAnsi"/>
          <w:sz w:val="24"/>
          <w:szCs w:val="24"/>
          <w:lang w:val="en-GB"/>
        </w:rPr>
        <w:t xml:space="preserve"> </w:t>
      </w:r>
    </w:p>
    <w:p w14:paraId="1465DEC4" w14:textId="55913BAB" w:rsidR="005B3AB5" w:rsidRPr="005B3AB5" w:rsidRDefault="005B3AB5" w:rsidP="005B3AB5">
      <w:pPr>
        <w:pStyle w:val="NormaleWeb"/>
        <w:spacing w:line="360" w:lineRule="auto"/>
        <w:rPr>
          <w:rFonts w:asciiTheme="minorHAnsi" w:hAnsiTheme="minorHAnsi"/>
          <w:sz w:val="24"/>
          <w:szCs w:val="24"/>
          <w:lang w:val="en-GB"/>
        </w:rPr>
      </w:pPr>
      <w:proofErr w:type="spellStart"/>
      <w:r w:rsidRPr="005B3AB5">
        <w:rPr>
          <w:rFonts w:asciiTheme="minorHAnsi" w:eastAsia="Times New Roman" w:hAnsiTheme="minorHAnsi"/>
          <w:sz w:val="24"/>
          <w:szCs w:val="24"/>
          <w:lang w:val="en-GB"/>
        </w:rPr>
        <w:t>Corazza</w:t>
      </w:r>
      <w:proofErr w:type="spellEnd"/>
      <w:r w:rsidRPr="005B3AB5">
        <w:rPr>
          <w:rFonts w:asciiTheme="minorHAnsi" w:eastAsia="Times New Roman" w:hAnsiTheme="minorHAnsi"/>
          <w:sz w:val="24"/>
          <w:szCs w:val="24"/>
          <w:lang w:val="en-GB"/>
        </w:rPr>
        <w:t xml:space="preserve"> </w:t>
      </w:r>
      <w:r w:rsidRPr="005B3AB5">
        <w:rPr>
          <w:rFonts w:asciiTheme="minorHAnsi" w:eastAsia="Times New Roman" w:hAnsiTheme="minorHAnsi"/>
          <w:sz w:val="24"/>
          <w:szCs w:val="24"/>
        </w:rPr>
        <w:t>M.,</w:t>
      </w:r>
      <w:r w:rsidRPr="005B3AB5">
        <w:rPr>
          <w:rFonts w:asciiTheme="minorHAnsi" w:eastAsia="Times New Roman" w:hAnsiTheme="minorHAnsi"/>
          <w:sz w:val="24"/>
          <w:szCs w:val="24"/>
          <w:lang w:val="en-GB"/>
        </w:rPr>
        <w:t xml:space="preserve"> </w:t>
      </w:r>
      <w:proofErr w:type="spellStart"/>
      <w:r w:rsidRPr="005B3AB5">
        <w:rPr>
          <w:rFonts w:asciiTheme="minorHAnsi" w:eastAsia="Times New Roman" w:hAnsiTheme="minorHAnsi"/>
          <w:sz w:val="24"/>
          <w:szCs w:val="24"/>
          <w:lang w:val="en-GB"/>
        </w:rPr>
        <w:t>Ellero</w:t>
      </w:r>
      <w:proofErr w:type="spellEnd"/>
      <w:r w:rsidRPr="005B3AB5">
        <w:rPr>
          <w:rFonts w:asciiTheme="minorHAnsi" w:eastAsia="Times New Roman" w:hAnsiTheme="minorHAnsi"/>
          <w:sz w:val="24"/>
          <w:szCs w:val="24"/>
          <w:lang w:val="en-GB"/>
        </w:rPr>
        <w:t xml:space="preserve"> A.</w:t>
      </w:r>
      <w:r w:rsidRPr="005B3AB5">
        <w:rPr>
          <w:rFonts w:asciiTheme="minorHAnsi" w:eastAsia="Times New Roman" w:hAnsiTheme="minorHAnsi"/>
          <w:sz w:val="24"/>
          <w:szCs w:val="24"/>
        </w:rPr>
        <w:t>,</w:t>
      </w:r>
      <w:r w:rsidRPr="005B3AB5">
        <w:rPr>
          <w:rFonts w:asciiTheme="minorHAnsi" w:eastAsia="Times New Roman" w:hAnsiTheme="minorHAnsi"/>
          <w:sz w:val="24"/>
          <w:szCs w:val="24"/>
          <w:lang w:val="en-GB"/>
        </w:rPr>
        <w:t xml:space="preserve"> </w:t>
      </w:r>
      <w:proofErr w:type="spellStart"/>
      <w:r w:rsidRPr="005B3AB5">
        <w:rPr>
          <w:rFonts w:asciiTheme="minorHAnsi" w:eastAsia="Times New Roman" w:hAnsiTheme="minorHAnsi"/>
          <w:sz w:val="24"/>
          <w:szCs w:val="24"/>
          <w:lang w:val="en-GB"/>
        </w:rPr>
        <w:t>Zorzi</w:t>
      </w:r>
      <w:proofErr w:type="spellEnd"/>
      <w:r w:rsidRPr="005B3AB5">
        <w:rPr>
          <w:rFonts w:asciiTheme="minorHAnsi" w:eastAsia="Times New Roman" w:hAnsiTheme="minorHAnsi"/>
          <w:sz w:val="24"/>
          <w:szCs w:val="24"/>
        </w:rPr>
        <w:t xml:space="preserve"> A.</w:t>
      </w:r>
      <w:r w:rsidRPr="005B3AB5">
        <w:rPr>
          <w:rFonts w:asciiTheme="minorHAnsi" w:eastAsia="Times New Roman" w:hAnsiTheme="minorHAnsi"/>
          <w:sz w:val="24"/>
          <w:szCs w:val="24"/>
          <w:lang w:val="en-GB"/>
        </w:rPr>
        <w:t xml:space="preserve">, </w:t>
      </w:r>
      <w:r w:rsidRPr="005B3AB5">
        <w:rPr>
          <w:rFonts w:asciiTheme="minorHAnsi" w:eastAsia="Times New Roman" w:hAnsiTheme="minorHAnsi"/>
          <w:sz w:val="24"/>
          <w:szCs w:val="24"/>
        </w:rPr>
        <w:t>(2010). “</w:t>
      </w:r>
      <w:r w:rsidRPr="005B3AB5">
        <w:rPr>
          <w:rFonts w:asciiTheme="minorHAnsi" w:eastAsia="Times New Roman" w:hAnsiTheme="minorHAnsi"/>
          <w:sz w:val="24"/>
          <w:szCs w:val="24"/>
          <w:lang w:val="en-GB"/>
        </w:rPr>
        <w:t xml:space="preserve">Checking </w:t>
      </w:r>
      <w:r>
        <w:rPr>
          <w:rFonts w:asciiTheme="minorHAnsi" w:eastAsia="Times New Roman" w:hAnsiTheme="minorHAnsi"/>
          <w:sz w:val="24"/>
          <w:szCs w:val="24"/>
          <w:lang w:val="en-GB"/>
        </w:rPr>
        <w:t>fi</w:t>
      </w:r>
      <w:r w:rsidRPr="005B3AB5">
        <w:rPr>
          <w:rFonts w:asciiTheme="minorHAnsi" w:eastAsia="Times New Roman" w:hAnsiTheme="minorHAnsi"/>
          <w:sz w:val="24"/>
          <w:szCs w:val="24"/>
          <w:lang w:val="en-GB"/>
        </w:rPr>
        <w:t xml:space="preserve">nancial markets via </w:t>
      </w:r>
      <w:proofErr w:type="spellStart"/>
      <w:r w:rsidRPr="005B3AB5">
        <w:rPr>
          <w:rFonts w:asciiTheme="minorHAnsi" w:eastAsia="Times New Roman" w:hAnsiTheme="minorHAnsi"/>
          <w:sz w:val="24"/>
          <w:szCs w:val="24"/>
          <w:lang w:val="en-GB"/>
        </w:rPr>
        <w:t>Benford's</w:t>
      </w:r>
      <w:proofErr w:type="spellEnd"/>
      <w:r w:rsidRPr="005B3AB5">
        <w:rPr>
          <w:rFonts w:asciiTheme="minorHAnsi" w:eastAsia="Times New Roman" w:hAnsiTheme="minorHAnsi"/>
          <w:sz w:val="24"/>
          <w:szCs w:val="24"/>
        </w:rPr>
        <w:t xml:space="preserve"> </w:t>
      </w:r>
      <w:r w:rsidRPr="005B3AB5">
        <w:rPr>
          <w:rFonts w:asciiTheme="minorHAnsi" w:eastAsia="Times New Roman" w:hAnsiTheme="minorHAnsi"/>
          <w:sz w:val="24"/>
          <w:szCs w:val="24"/>
          <w:lang w:val="en-GB"/>
        </w:rPr>
        <w:t>law: the S&amp;P 500 case</w:t>
      </w:r>
      <w:r w:rsidRPr="005B3AB5">
        <w:rPr>
          <w:rFonts w:asciiTheme="minorHAnsi" w:eastAsia="Times New Roman" w:hAnsiTheme="minorHAnsi"/>
          <w:sz w:val="24"/>
          <w:szCs w:val="24"/>
        </w:rPr>
        <w:t>”.</w:t>
      </w:r>
      <w:r w:rsidRPr="005B3AB5">
        <w:rPr>
          <w:rFonts w:asciiTheme="minorHAnsi" w:eastAsia="Times New Roman" w:hAnsiTheme="minorHAnsi"/>
          <w:sz w:val="24"/>
          <w:szCs w:val="24"/>
          <w:lang w:val="en-GB"/>
        </w:rPr>
        <w:t xml:space="preserve"> </w:t>
      </w:r>
      <w:r w:rsidRPr="005B3AB5">
        <w:rPr>
          <w:rFonts w:asciiTheme="minorHAnsi" w:eastAsia="Times New Roman" w:hAnsiTheme="minorHAnsi"/>
          <w:sz w:val="24"/>
          <w:szCs w:val="24"/>
        </w:rPr>
        <w:t>I</w:t>
      </w:r>
      <w:r w:rsidRPr="005B3AB5">
        <w:rPr>
          <w:rFonts w:asciiTheme="minorHAnsi" w:eastAsia="Times New Roman" w:hAnsiTheme="minorHAnsi"/>
          <w:sz w:val="24"/>
          <w:szCs w:val="24"/>
          <w:lang w:val="en-GB"/>
        </w:rPr>
        <w:t>n</w:t>
      </w:r>
      <w:r w:rsidRPr="005B3AB5">
        <w:rPr>
          <w:rFonts w:asciiTheme="minorHAnsi" w:eastAsia="Times New Roman" w:hAnsiTheme="minorHAnsi"/>
          <w:sz w:val="24"/>
          <w:szCs w:val="24"/>
        </w:rPr>
        <w:t>:</w:t>
      </w:r>
      <w:r w:rsidRPr="005B3AB5">
        <w:rPr>
          <w:rFonts w:asciiTheme="minorHAnsi" w:eastAsia="Times New Roman" w:hAnsiTheme="minorHAnsi"/>
          <w:sz w:val="24"/>
          <w:szCs w:val="24"/>
          <w:lang w:val="en-GB"/>
        </w:rPr>
        <w:t xml:space="preserve"> Mathematical and statistical methods for</w:t>
      </w:r>
      <w:r w:rsidRPr="005B3AB5">
        <w:rPr>
          <w:rFonts w:asciiTheme="minorHAnsi" w:eastAsia="Times New Roman" w:hAnsiTheme="minorHAnsi"/>
          <w:sz w:val="24"/>
          <w:szCs w:val="24"/>
        </w:rPr>
        <w:t xml:space="preserve"> </w:t>
      </w:r>
      <w:r w:rsidRPr="005B3AB5">
        <w:rPr>
          <w:rFonts w:asciiTheme="minorHAnsi" w:eastAsia="Times New Roman" w:hAnsiTheme="minorHAnsi"/>
          <w:sz w:val="24"/>
          <w:szCs w:val="24"/>
          <w:lang w:val="en-GB"/>
        </w:rPr>
        <w:t xml:space="preserve">actuarial sciences and </w:t>
      </w:r>
      <w:r w:rsidRPr="005B3AB5">
        <w:rPr>
          <w:rFonts w:asciiTheme="minorHAnsi" w:eastAsia="Times New Roman" w:hAnsiTheme="minorHAnsi"/>
          <w:sz w:val="24"/>
          <w:szCs w:val="24"/>
        </w:rPr>
        <w:t>fi</w:t>
      </w:r>
      <w:r w:rsidRPr="005B3AB5">
        <w:rPr>
          <w:rFonts w:asciiTheme="minorHAnsi" w:eastAsia="Times New Roman" w:hAnsiTheme="minorHAnsi"/>
          <w:sz w:val="24"/>
          <w:szCs w:val="24"/>
          <w:lang w:val="en-GB"/>
        </w:rPr>
        <w:t>nanc</w:t>
      </w:r>
      <w:r w:rsidRPr="005B3AB5">
        <w:rPr>
          <w:rFonts w:asciiTheme="minorHAnsi" w:eastAsia="Times New Roman" w:hAnsiTheme="minorHAnsi"/>
          <w:sz w:val="24"/>
          <w:szCs w:val="24"/>
        </w:rPr>
        <w:t>e</w:t>
      </w:r>
      <w:r w:rsidRPr="005B3AB5">
        <w:rPr>
          <w:rFonts w:asciiTheme="minorHAnsi" w:eastAsia="Times New Roman" w:hAnsiTheme="minorHAnsi"/>
          <w:sz w:val="24"/>
          <w:szCs w:val="24"/>
          <w:lang w:val="en-GB"/>
        </w:rPr>
        <w:t xml:space="preserve">, M. </w:t>
      </w:r>
      <w:proofErr w:type="spellStart"/>
      <w:r w:rsidRPr="005B3AB5">
        <w:rPr>
          <w:rFonts w:asciiTheme="minorHAnsi" w:eastAsia="Times New Roman" w:hAnsiTheme="minorHAnsi"/>
          <w:sz w:val="24"/>
          <w:szCs w:val="24"/>
          <w:lang w:val="en-GB"/>
        </w:rPr>
        <w:t>Corazz</w:t>
      </w:r>
      <w:proofErr w:type="spellEnd"/>
      <w:r w:rsidRPr="005B3AB5">
        <w:rPr>
          <w:rFonts w:asciiTheme="minorHAnsi" w:eastAsia="Times New Roman" w:hAnsiTheme="minorHAnsi"/>
          <w:sz w:val="24"/>
          <w:szCs w:val="24"/>
        </w:rPr>
        <w:t xml:space="preserve">a and C. Pizzi, </w:t>
      </w:r>
      <w:proofErr w:type="spellStart"/>
      <w:r w:rsidRPr="005B3AB5">
        <w:rPr>
          <w:rFonts w:asciiTheme="minorHAnsi" w:eastAsia="Times New Roman" w:hAnsiTheme="minorHAnsi"/>
          <w:sz w:val="24"/>
          <w:szCs w:val="24"/>
        </w:rPr>
        <w:t>Eds</w:t>
      </w:r>
      <w:proofErr w:type="spellEnd"/>
      <w:r w:rsidRPr="005B3AB5">
        <w:rPr>
          <w:rFonts w:asciiTheme="minorHAnsi" w:eastAsia="Times New Roman" w:hAnsiTheme="minorHAnsi"/>
          <w:sz w:val="24"/>
          <w:szCs w:val="24"/>
        </w:rPr>
        <w:t>. (Springer-</w:t>
      </w:r>
      <w:proofErr w:type="spellStart"/>
      <w:r w:rsidRPr="005B3AB5">
        <w:rPr>
          <w:rFonts w:asciiTheme="minorHAnsi" w:eastAsia="Times New Roman" w:hAnsiTheme="minorHAnsi"/>
          <w:sz w:val="24"/>
          <w:szCs w:val="24"/>
          <w:lang w:val="en-GB"/>
        </w:rPr>
        <w:t>Verlag</w:t>
      </w:r>
      <w:proofErr w:type="spellEnd"/>
      <w:r w:rsidRPr="005B3AB5">
        <w:rPr>
          <w:rFonts w:asciiTheme="minorHAnsi" w:eastAsia="Times New Roman" w:hAnsiTheme="minorHAnsi"/>
          <w:sz w:val="24"/>
          <w:szCs w:val="24"/>
          <w:lang w:val="en-GB"/>
        </w:rPr>
        <w:t xml:space="preserve"> Italia</w:t>
      </w:r>
      <w:r w:rsidRPr="005B3AB5">
        <w:rPr>
          <w:rFonts w:asciiTheme="minorHAnsi" w:eastAsia="Times New Roman" w:hAnsiTheme="minorHAnsi"/>
          <w:sz w:val="24"/>
          <w:szCs w:val="24"/>
        </w:rPr>
        <w:t xml:space="preserve">), </w:t>
      </w:r>
      <w:r w:rsidRPr="005B3AB5">
        <w:rPr>
          <w:rFonts w:asciiTheme="minorHAnsi" w:eastAsia="Times New Roman" w:hAnsiTheme="minorHAnsi"/>
          <w:sz w:val="24"/>
          <w:szCs w:val="24"/>
          <w:lang w:val="en-GB"/>
        </w:rPr>
        <w:t>93</w:t>
      </w:r>
      <w:r w:rsidRPr="005B3AB5">
        <w:rPr>
          <w:rFonts w:asciiTheme="minorHAnsi" w:eastAsia="Times New Roman" w:hAnsiTheme="minorHAnsi"/>
          <w:sz w:val="24"/>
          <w:szCs w:val="24"/>
        </w:rPr>
        <w:t>-</w:t>
      </w:r>
      <w:r w:rsidRPr="005B3AB5">
        <w:rPr>
          <w:rFonts w:asciiTheme="minorHAnsi" w:eastAsia="Times New Roman" w:hAnsiTheme="minorHAnsi"/>
          <w:sz w:val="24"/>
          <w:szCs w:val="24"/>
          <w:lang w:val="en-GB"/>
        </w:rPr>
        <w:t>102.</w:t>
      </w:r>
      <w:r w:rsidRPr="005B3AB5">
        <w:rPr>
          <w:rFonts w:asciiTheme="minorHAnsi" w:hAnsiTheme="minorHAnsi"/>
          <w:sz w:val="24"/>
          <w:szCs w:val="24"/>
          <w:lang w:val="en-GB"/>
        </w:rPr>
        <w:t xml:space="preserve"> </w:t>
      </w:r>
    </w:p>
    <w:p w14:paraId="1AD7A125" w14:textId="3ABE2F54" w:rsidR="00BF28A5" w:rsidRDefault="00BF28A5" w:rsidP="00BF28A5">
      <w:pPr>
        <w:spacing w:line="360" w:lineRule="auto"/>
        <w:rPr>
          <w:rFonts w:eastAsia="Times New Roman" w:cs="Times New Roman"/>
        </w:rPr>
      </w:pPr>
      <w:r w:rsidRPr="00BF28A5">
        <w:rPr>
          <w:rFonts w:eastAsia="Times New Roman" w:cs="Times New Roman"/>
        </w:rPr>
        <w:t xml:space="preserve">De </w:t>
      </w:r>
      <w:proofErr w:type="spellStart"/>
      <w:r w:rsidRPr="00BF28A5">
        <w:rPr>
          <w:rFonts w:eastAsia="Times New Roman" w:cs="Times New Roman"/>
        </w:rPr>
        <w:t>Ceuster</w:t>
      </w:r>
      <w:proofErr w:type="spellEnd"/>
      <w:r w:rsidRPr="00BF28A5">
        <w:rPr>
          <w:rFonts w:eastAsia="Times New Roman" w:cs="Times New Roman"/>
        </w:rPr>
        <w:t xml:space="preserve"> M.J.K., </w:t>
      </w:r>
      <w:proofErr w:type="spellStart"/>
      <w:r w:rsidRPr="00BF28A5">
        <w:rPr>
          <w:rFonts w:eastAsia="Times New Roman" w:cs="Times New Roman"/>
        </w:rPr>
        <w:t>Dhaene</w:t>
      </w:r>
      <w:proofErr w:type="spellEnd"/>
      <w:r w:rsidRPr="00BF28A5">
        <w:rPr>
          <w:rFonts w:eastAsia="Times New Roman" w:cs="Times New Roman"/>
        </w:rPr>
        <w:t xml:space="preserve"> G., </w:t>
      </w:r>
      <w:proofErr w:type="spellStart"/>
      <w:r w:rsidRPr="00BF28A5">
        <w:rPr>
          <w:rFonts w:eastAsia="Times New Roman" w:cs="Times New Roman"/>
        </w:rPr>
        <w:t>Schatteman</w:t>
      </w:r>
      <w:proofErr w:type="spellEnd"/>
      <w:r w:rsidRPr="00BF28A5">
        <w:rPr>
          <w:rFonts w:eastAsia="Times New Roman" w:cs="Times New Roman"/>
        </w:rPr>
        <w:t xml:space="preserve"> T., (1998). “On the hypothesis</w:t>
      </w:r>
      <w:r>
        <w:rPr>
          <w:rFonts w:eastAsia="Times New Roman" w:cs="Times New Roman"/>
        </w:rPr>
        <w:t xml:space="preserve"> </w:t>
      </w:r>
      <w:r w:rsidRPr="00BF28A5">
        <w:rPr>
          <w:rFonts w:eastAsia="Times New Roman" w:cs="Times New Roman"/>
        </w:rPr>
        <w:t xml:space="preserve">of psychological barriers in stock markets and </w:t>
      </w:r>
      <w:proofErr w:type="spellStart"/>
      <w:r w:rsidRPr="00BF28A5">
        <w:rPr>
          <w:rFonts w:eastAsia="Times New Roman" w:cs="Times New Roman"/>
        </w:rPr>
        <w:t>Benford's</w:t>
      </w:r>
      <w:proofErr w:type="spellEnd"/>
      <w:r w:rsidRPr="00BF28A5">
        <w:rPr>
          <w:rFonts w:eastAsia="Times New Roman" w:cs="Times New Roman"/>
        </w:rPr>
        <w:t xml:space="preserve"> Law” </w:t>
      </w:r>
      <w:r w:rsidRPr="00BF28A5">
        <w:rPr>
          <w:rFonts w:eastAsia="Times New Roman" w:cs="Times New Roman"/>
          <w:i/>
        </w:rPr>
        <w:t>Journal of Empirical Finance</w:t>
      </w:r>
      <w:r w:rsidRPr="00BF28A5">
        <w:rPr>
          <w:rFonts w:eastAsia="Times New Roman" w:cs="Times New Roman"/>
        </w:rPr>
        <w:t xml:space="preserve"> 5, 263-279 .</w:t>
      </w:r>
    </w:p>
    <w:p w14:paraId="48FE2705" w14:textId="79080380" w:rsidR="00D90ACB" w:rsidRPr="00D90ACB" w:rsidRDefault="00D90ACB" w:rsidP="00D90ACB">
      <w:pPr>
        <w:pStyle w:val="NormaleWeb"/>
        <w:spacing w:line="360" w:lineRule="auto"/>
        <w:rPr>
          <w:rFonts w:asciiTheme="minorHAnsi" w:hAnsiTheme="minorHAnsi"/>
          <w:sz w:val="24"/>
          <w:szCs w:val="24"/>
          <w:lang w:val="en-GB"/>
        </w:rPr>
      </w:pPr>
      <w:r w:rsidRPr="00D90ACB">
        <w:rPr>
          <w:rFonts w:asciiTheme="minorHAnsi" w:hAnsiTheme="minorHAnsi"/>
          <w:sz w:val="24"/>
          <w:szCs w:val="24"/>
          <w:lang w:val="en-GB"/>
        </w:rPr>
        <w:t xml:space="preserve">El </w:t>
      </w:r>
      <w:proofErr w:type="spellStart"/>
      <w:r w:rsidRPr="00D90ACB">
        <w:rPr>
          <w:rFonts w:asciiTheme="minorHAnsi" w:hAnsiTheme="minorHAnsi"/>
          <w:sz w:val="24"/>
          <w:szCs w:val="24"/>
          <w:lang w:val="en-GB"/>
        </w:rPr>
        <w:t>Sehity</w:t>
      </w:r>
      <w:proofErr w:type="spellEnd"/>
      <w:r w:rsidRPr="00D90ACB">
        <w:rPr>
          <w:rFonts w:asciiTheme="minorHAnsi" w:hAnsiTheme="minorHAnsi"/>
          <w:sz w:val="24"/>
          <w:szCs w:val="24"/>
          <w:lang w:val="en-GB"/>
        </w:rPr>
        <w:t xml:space="preserve">, T., </w:t>
      </w:r>
      <w:proofErr w:type="spellStart"/>
      <w:r w:rsidRPr="00D90ACB">
        <w:rPr>
          <w:rFonts w:asciiTheme="minorHAnsi" w:hAnsiTheme="minorHAnsi"/>
          <w:sz w:val="24"/>
          <w:szCs w:val="24"/>
          <w:lang w:val="en-GB"/>
        </w:rPr>
        <w:t>Hoelzl</w:t>
      </w:r>
      <w:proofErr w:type="spellEnd"/>
      <w:r w:rsidRPr="00D90ACB">
        <w:rPr>
          <w:rFonts w:asciiTheme="minorHAnsi" w:hAnsiTheme="minorHAnsi"/>
          <w:sz w:val="24"/>
          <w:szCs w:val="24"/>
          <w:lang w:val="en-GB"/>
        </w:rPr>
        <w:t xml:space="preserve"> E., </w:t>
      </w:r>
      <w:proofErr w:type="spellStart"/>
      <w:r w:rsidRPr="00D90ACB">
        <w:rPr>
          <w:rFonts w:asciiTheme="minorHAnsi" w:hAnsiTheme="minorHAnsi"/>
          <w:sz w:val="24"/>
          <w:szCs w:val="24"/>
          <w:lang w:val="en-GB"/>
        </w:rPr>
        <w:t>Kirchler</w:t>
      </w:r>
      <w:proofErr w:type="spellEnd"/>
      <w:r w:rsidRPr="00D90ACB">
        <w:rPr>
          <w:rFonts w:asciiTheme="minorHAnsi" w:hAnsiTheme="minorHAnsi"/>
          <w:sz w:val="24"/>
          <w:szCs w:val="24"/>
          <w:lang w:val="en-GB"/>
        </w:rPr>
        <w:t xml:space="preserve"> E.</w:t>
      </w:r>
      <w:r w:rsidR="00706BA6">
        <w:rPr>
          <w:rFonts w:asciiTheme="minorHAnsi" w:hAnsiTheme="minorHAnsi"/>
          <w:sz w:val="24"/>
          <w:szCs w:val="24"/>
          <w:lang w:val="en-GB"/>
        </w:rPr>
        <w:t>, (2005).</w:t>
      </w:r>
      <w:r w:rsidRPr="00D90ACB">
        <w:rPr>
          <w:rFonts w:asciiTheme="minorHAnsi" w:hAnsiTheme="minorHAnsi"/>
          <w:sz w:val="24"/>
          <w:szCs w:val="24"/>
          <w:lang w:val="en-GB"/>
        </w:rPr>
        <w:t xml:space="preserve"> “Price Developments after a Nominal Shock: </w:t>
      </w:r>
      <w:r w:rsidR="00487769">
        <w:rPr>
          <w:rFonts w:asciiTheme="minorHAnsi" w:hAnsiTheme="minorHAnsi"/>
          <w:sz w:val="24"/>
          <w:szCs w:val="24"/>
          <w:lang w:val="en-GB"/>
        </w:rPr>
        <w:t>BL</w:t>
      </w:r>
      <w:r w:rsidRPr="00D90ACB">
        <w:rPr>
          <w:rFonts w:asciiTheme="minorHAnsi" w:hAnsiTheme="minorHAnsi"/>
          <w:sz w:val="24"/>
          <w:szCs w:val="24"/>
          <w:lang w:val="en-GB"/>
        </w:rPr>
        <w:t xml:space="preserve"> and Psychological Pricing after the Euro Introduction.” </w:t>
      </w:r>
      <w:r w:rsidRPr="00D90ACB">
        <w:rPr>
          <w:rFonts w:asciiTheme="minorHAnsi" w:hAnsiTheme="minorHAnsi"/>
          <w:i/>
          <w:iCs/>
          <w:sz w:val="24"/>
          <w:szCs w:val="24"/>
          <w:lang w:val="en-GB"/>
        </w:rPr>
        <w:t xml:space="preserve">International Journal of Research in Marketing </w:t>
      </w:r>
      <w:r w:rsidRPr="00706BA6">
        <w:rPr>
          <w:rFonts w:asciiTheme="minorHAnsi" w:hAnsiTheme="minorHAnsi"/>
          <w:iCs/>
          <w:sz w:val="24"/>
          <w:szCs w:val="24"/>
          <w:lang w:val="en-GB"/>
        </w:rPr>
        <w:t>22</w:t>
      </w:r>
      <w:r w:rsidR="00706BA6">
        <w:rPr>
          <w:rFonts w:asciiTheme="minorHAnsi" w:hAnsiTheme="minorHAnsi"/>
          <w:sz w:val="24"/>
          <w:szCs w:val="24"/>
          <w:lang w:val="en-GB"/>
        </w:rPr>
        <w:t>(</w:t>
      </w:r>
      <w:r w:rsidRPr="00D90ACB">
        <w:rPr>
          <w:rFonts w:asciiTheme="minorHAnsi" w:hAnsiTheme="minorHAnsi"/>
          <w:sz w:val="24"/>
          <w:szCs w:val="24"/>
          <w:lang w:val="en-GB"/>
        </w:rPr>
        <w:t>4)</w:t>
      </w:r>
      <w:r w:rsidR="00706BA6">
        <w:rPr>
          <w:rFonts w:asciiTheme="minorHAnsi" w:hAnsiTheme="minorHAnsi"/>
          <w:sz w:val="24"/>
          <w:szCs w:val="24"/>
          <w:lang w:val="en-GB"/>
        </w:rPr>
        <w:t>,</w:t>
      </w:r>
      <w:r w:rsidRPr="00D90ACB">
        <w:rPr>
          <w:rFonts w:asciiTheme="minorHAnsi" w:hAnsiTheme="minorHAnsi"/>
          <w:sz w:val="24"/>
          <w:szCs w:val="24"/>
          <w:lang w:val="en-GB"/>
        </w:rPr>
        <w:t xml:space="preserve"> 471-80. </w:t>
      </w:r>
    </w:p>
    <w:p w14:paraId="49C49B4E" w14:textId="690E94A7" w:rsidR="00D0247C" w:rsidRPr="00D90ACB" w:rsidRDefault="00D0247C" w:rsidP="00D90ACB">
      <w:pPr>
        <w:pStyle w:val="NormaleWeb"/>
        <w:spacing w:line="360" w:lineRule="auto"/>
        <w:rPr>
          <w:rFonts w:asciiTheme="minorHAnsi" w:hAnsiTheme="minorHAnsi"/>
          <w:sz w:val="24"/>
          <w:szCs w:val="24"/>
          <w:lang w:val="en-GB"/>
        </w:rPr>
      </w:pPr>
      <w:proofErr w:type="spellStart"/>
      <w:r w:rsidRPr="00D90ACB">
        <w:rPr>
          <w:rFonts w:asciiTheme="minorHAnsi" w:hAnsiTheme="minorHAnsi"/>
          <w:sz w:val="24"/>
          <w:szCs w:val="24"/>
          <w:lang w:val="en-GB"/>
        </w:rPr>
        <w:t>Günnel</w:t>
      </w:r>
      <w:proofErr w:type="spellEnd"/>
      <w:r w:rsidRPr="00D90ACB">
        <w:rPr>
          <w:rFonts w:asciiTheme="minorHAnsi" w:hAnsiTheme="minorHAnsi"/>
          <w:sz w:val="24"/>
          <w:szCs w:val="24"/>
          <w:lang w:val="en-GB"/>
        </w:rPr>
        <w:t xml:space="preserve"> S., </w:t>
      </w:r>
      <w:proofErr w:type="spellStart"/>
      <w:r w:rsidRPr="00D90ACB">
        <w:rPr>
          <w:rFonts w:asciiTheme="minorHAnsi" w:hAnsiTheme="minorHAnsi"/>
          <w:sz w:val="24"/>
          <w:szCs w:val="24"/>
          <w:lang w:val="en-GB"/>
        </w:rPr>
        <w:t>Tödter</w:t>
      </w:r>
      <w:proofErr w:type="spellEnd"/>
      <w:r w:rsidRPr="00D90ACB">
        <w:rPr>
          <w:rFonts w:asciiTheme="minorHAnsi" w:hAnsiTheme="minorHAnsi"/>
          <w:sz w:val="24"/>
          <w:szCs w:val="24"/>
          <w:lang w:val="en-GB"/>
        </w:rPr>
        <w:t xml:space="preserve"> K. H.,</w:t>
      </w:r>
      <w:r w:rsidR="00706BA6">
        <w:rPr>
          <w:rFonts w:asciiTheme="minorHAnsi" w:hAnsiTheme="minorHAnsi"/>
          <w:sz w:val="24"/>
          <w:szCs w:val="24"/>
          <w:lang w:val="en-GB"/>
        </w:rPr>
        <w:t xml:space="preserve"> (2009).</w:t>
      </w:r>
      <w:r w:rsidRPr="00D90ACB">
        <w:rPr>
          <w:rFonts w:asciiTheme="minorHAnsi" w:hAnsiTheme="minorHAnsi"/>
          <w:sz w:val="24"/>
          <w:szCs w:val="24"/>
          <w:lang w:val="en-GB"/>
        </w:rPr>
        <w:t xml:space="preserve"> “Does </w:t>
      </w:r>
      <w:r w:rsidR="00487769">
        <w:rPr>
          <w:rFonts w:asciiTheme="minorHAnsi" w:hAnsiTheme="minorHAnsi"/>
          <w:sz w:val="24"/>
          <w:szCs w:val="24"/>
          <w:lang w:val="en-GB"/>
        </w:rPr>
        <w:t>BL</w:t>
      </w:r>
      <w:r w:rsidRPr="00D90ACB">
        <w:rPr>
          <w:rFonts w:asciiTheme="minorHAnsi" w:hAnsiTheme="minorHAnsi"/>
          <w:sz w:val="24"/>
          <w:szCs w:val="24"/>
          <w:lang w:val="en-GB"/>
        </w:rPr>
        <w:t xml:space="preserve"> Hold in Economic Research and Forecasting?” </w:t>
      </w:r>
      <w:proofErr w:type="spellStart"/>
      <w:r w:rsidRPr="00D90ACB">
        <w:rPr>
          <w:rFonts w:asciiTheme="minorHAnsi" w:hAnsiTheme="minorHAnsi"/>
          <w:i/>
          <w:iCs/>
          <w:sz w:val="24"/>
          <w:szCs w:val="24"/>
          <w:lang w:val="en-GB"/>
        </w:rPr>
        <w:t>Empirica</w:t>
      </w:r>
      <w:proofErr w:type="spellEnd"/>
      <w:r w:rsidRPr="00D90ACB">
        <w:rPr>
          <w:rFonts w:asciiTheme="minorHAnsi" w:hAnsiTheme="minorHAnsi"/>
          <w:i/>
          <w:iCs/>
          <w:sz w:val="24"/>
          <w:szCs w:val="24"/>
          <w:lang w:val="en-GB"/>
        </w:rPr>
        <w:t xml:space="preserve"> </w:t>
      </w:r>
      <w:r w:rsidRPr="00706BA6">
        <w:rPr>
          <w:rFonts w:asciiTheme="minorHAnsi" w:hAnsiTheme="minorHAnsi"/>
          <w:iCs/>
          <w:sz w:val="24"/>
          <w:szCs w:val="24"/>
          <w:lang w:val="en-GB"/>
        </w:rPr>
        <w:t>36</w:t>
      </w:r>
      <w:r w:rsidR="00706BA6">
        <w:rPr>
          <w:rFonts w:asciiTheme="minorHAnsi" w:hAnsiTheme="minorHAnsi"/>
          <w:sz w:val="24"/>
          <w:szCs w:val="24"/>
          <w:lang w:val="en-GB"/>
        </w:rPr>
        <w:t>(</w:t>
      </w:r>
      <w:r w:rsidRPr="00D90ACB">
        <w:rPr>
          <w:rFonts w:asciiTheme="minorHAnsi" w:hAnsiTheme="minorHAnsi"/>
          <w:sz w:val="24"/>
          <w:szCs w:val="24"/>
          <w:lang w:val="en-GB"/>
        </w:rPr>
        <w:t>3</w:t>
      </w:r>
      <w:r w:rsidR="00706BA6">
        <w:rPr>
          <w:rFonts w:asciiTheme="minorHAnsi" w:hAnsiTheme="minorHAnsi"/>
          <w:sz w:val="24"/>
          <w:szCs w:val="24"/>
          <w:lang w:val="en-GB"/>
        </w:rPr>
        <w:t>),</w:t>
      </w:r>
      <w:r w:rsidRPr="00D90ACB">
        <w:rPr>
          <w:rFonts w:asciiTheme="minorHAnsi" w:hAnsiTheme="minorHAnsi"/>
          <w:sz w:val="24"/>
          <w:szCs w:val="24"/>
          <w:lang w:val="en-GB"/>
        </w:rPr>
        <w:t xml:space="preserve"> 273-</w:t>
      </w:r>
      <w:r w:rsidR="00706BA6">
        <w:rPr>
          <w:rFonts w:asciiTheme="minorHAnsi" w:hAnsiTheme="minorHAnsi"/>
          <w:sz w:val="24"/>
          <w:szCs w:val="24"/>
          <w:lang w:val="en-GB"/>
        </w:rPr>
        <w:t>2</w:t>
      </w:r>
      <w:r w:rsidRPr="00D90ACB">
        <w:rPr>
          <w:rFonts w:asciiTheme="minorHAnsi" w:hAnsiTheme="minorHAnsi"/>
          <w:sz w:val="24"/>
          <w:szCs w:val="24"/>
          <w:lang w:val="en-GB"/>
        </w:rPr>
        <w:t xml:space="preserve">92. </w:t>
      </w:r>
    </w:p>
    <w:p w14:paraId="6C41A43B" w14:textId="757317EB" w:rsidR="0099378A" w:rsidRDefault="0099378A" w:rsidP="00D90ACB">
      <w:pPr>
        <w:pStyle w:val="NormaleWeb"/>
        <w:spacing w:line="360" w:lineRule="auto"/>
        <w:rPr>
          <w:rFonts w:asciiTheme="minorHAnsi" w:hAnsiTheme="minorHAnsi"/>
          <w:sz w:val="24"/>
          <w:szCs w:val="24"/>
          <w:lang w:val="en-GB"/>
        </w:rPr>
      </w:pPr>
      <w:proofErr w:type="spellStart"/>
      <w:r w:rsidRPr="00D90ACB">
        <w:rPr>
          <w:rFonts w:asciiTheme="minorHAnsi" w:hAnsiTheme="minorHAnsi"/>
          <w:sz w:val="24"/>
          <w:szCs w:val="24"/>
          <w:lang w:val="en-GB"/>
        </w:rPr>
        <w:t>Holz</w:t>
      </w:r>
      <w:proofErr w:type="spellEnd"/>
      <w:r w:rsidRPr="00D90ACB">
        <w:rPr>
          <w:rFonts w:asciiTheme="minorHAnsi" w:hAnsiTheme="minorHAnsi"/>
          <w:sz w:val="24"/>
          <w:szCs w:val="24"/>
          <w:lang w:val="en-GB"/>
        </w:rPr>
        <w:t xml:space="preserve"> C. A., </w:t>
      </w:r>
      <w:r w:rsidR="00706BA6">
        <w:rPr>
          <w:rFonts w:asciiTheme="minorHAnsi" w:hAnsiTheme="minorHAnsi"/>
          <w:sz w:val="24"/>
          <w:szCs w:val="24"/>
          <w:lang w:val="en-GB"/>
        </w:rPr>
        <w:t xml:space="preserve">(2014). </w:t>
      </w:r>
      <w:r w:rsidRPr="00D90ACB">
        <w:rPr>
          <w:rFonts w:asciiTheme="minorHAnsi" w:hAnsiTheme="minorHAnsi"/>
          <w:sz w:val="24"/>
          <w:szCs w:val="24"/>
          <w:lang w:val="en-GB"/>
        </w:rPr>
        <w:t xml:space="preserve">“The quality of China’s GDP statistics” </w:t>
      </w:r>
      <w:r w:rsidRPr="00D90ACB">
        <w:rPr>
          <w:rFonts w:asciiTheme="minorHAnsi" w:hAnsiTheme="minorHAnsi"/>
          <w:i/>
          <w:sz w:val="24"/>
          <w:szCs w:val="24"/>
          <w:lang w:val="en-GB"/>
        </w:rPr>
        <w:t xml:space="preserve">China Economic Review </w:t>
      </w:r>
      <w:r w:rsidRPr="00D90ACB">
        <w:rPr>
          <w:rFonts w:asciiTheme="minorHAnsi" w:hAnsiTheme="minorHAnsi"/>
          <w:sz w:val="24"/>
          <w:szCs w:val="24"/>
          <w:lang w:val="en-GB"/>
        </w:rPr>
        <w:t>30, 309-338.</w:t>
      </w:r>
    </w:p>
    <w:p w14:paraId="28FC2BF6" w14:textId="3A2D7442" w:rsidR="00D46429" w:rsidRPr="00D90ACB" w:rsidRDefault="00D46429" w:rsidP="00D46429">
      <w:pPr>
        <w:pStyle w:val="NormaleWeb"/>
        <w:spacing w:line="360" w:lineRule="auto"/>
        <w:rPr>
          <w:rFonts w:asciiTheme="minorHAnsi" w:hAnsiTheme="minorHAnsi"/>
          <w:sz w:val="24"/>
          <w:szCs w:val="24"/>
          <w:lang w:val="en-GB"/>
        </w:rPr>
      </w:pPr>
      <w:proofErr w:type="spellStart"/>
      <w:r w:rsidRPr="00D46429">
        <w:rPr>
          <w:rFonts w:asciiTheme="minorHAnsi" w:hAnsiTheme="minorHAnsi"/>
          <w:sz w:val="24"/>
          <w:szCs w:val="24"/>
          <w:lang w:val="en-GB"/>
        </w:rPr>
        <w:t>Juergens</w:t>
      </w:r>
      <w:proofErr w:type="spellEnd"/>
      <w:r w:rsidRPr="00D46429">
        <w:rPr>
          <w:rFonts w:asciiTheme="minorHAnsi" w:hAnsiTheme="minorHAnsi"/>
          <w:sz w:val="24"/>
          <w:szCs w:val="24"/>
          <w:lang w:val="en-GB"/>
        </w:rPr>
        <w:t xml:space="preserve"> J. L., Lindsey L. (2009), Getting Out Early: An Analysis of</w:t>
      </w:r>
      <w:r>
        <w:rPr>
          <w:rFonts w:asciiTheme="minorHAnsi" w:hAnsiTheme="minorHAnsi"/>
          <w:sz w:val="24"/>
          <w:szCs w:val="24"/>
          <w:lang w:val="en-GB"/>
        </w:rPr>
        <w:t xml:space="preserve"> </w:t>
      </w:r>
      <w:r w:rsidRPr="00D46429">
        <w:rPr>
          <w:rFonts w:asciiTheme="minorHAnsi" w:hAnsiTheme="minorHAnsi"/>
          <w:sz w:val="24"/>
          <w:szCs w:val="24"/>
          <w:lang w:val="en-GB"/>
        </w:rPr>
        <w:t xml:space="preserve">Market Making Activity at the Recommending Analyst's Firm. </w:t>
      </w:r>
      <w:r w:rsidRPr="00D46429">
        <w:rPr>
          <w:rFonts w:asciiTheme="minorHAnsi" w:hAnsiTheme="minorHAnsi"/>
          <w:i/>
          <w:sz w:val="24"/>
          <w:szCs w:val="24"/>
          <w:lang w:val="en-GB"/>
        </w:rPr>
        <w:t>The Journal of Finance</w:t>
      </w:r>
      <w:r w:rsidRPr="00D46429">
        <w:rPr>
          <w:rFonts w:asciiTheme="minorHAnsi" w:hAnsiTheme="minorHAnsi"/>
          <w:sz w:val="24"/>
          <w:szCs w:val="24"/>
          <w:lang w:val="en-GB"/>
        </w:rPr>
        <w:t xml:space="preserve"> 64</w:t>
      </w:r>
      <w:r>
        <w:rPr>
          <w:rFonts w:asciiTheme="minorHAnsi" w:hAnsiTheme="minorHAnsi"/>
          <w:sz w:val="24"/>
          <w:szCs w:val="24"/>
          <w:lang w:val="en-GB"/>
        </w:rPr>
        <w:t>,</w:t>
      </w:r>
      <w:r w:rsidRPr="00D46429">
        <w:rPr>
          <w:rFonts w:asciiTheme="minorHAnsi" w:hAnsiTheme="minorHAnsi"/>
          <w:sz w:val="24"/>
          <w:szCs w:val="24"/>
          <w:lang w:val="en-GB"/>
        </w:rPr>
        <w:t xml:space="preserve"> 2327–2359.</w:t>
      </w:r>
    </w:p>
    <w:p w14:paraId="1E0AD0C3" w14:textId="1FF783A9" w:rsidR="005B3AB5" w:rsidRPr="005B3AB5" w:rsidRDefault="005B3AB5" w:rsidP="005B3AB5">
      <w:pPr>
        <w:pStyle w:val="NormaleWeb"/>
        <w:spacing w:line="360" w:lineRule="auto"/>
        <w:rPr>
          <w:rFonts w:asciiTheme="minorHAnsi" w:hAnsiTheme="minorHAnsi"/>
          <w:sz w:val="24"/>
          <w:szCs w:val="24"/>
          <w:lang w:val="en-GB"/>
        </w:rPr>
      </w:pPr>
      <w:proofErr w:type="spellStart"/>
      <w:r w:rsidRPr="005B3AB5">
        <w:rPr>
          <w:rFonts w:asciiTheme="minorHAnsi" w:eastAsia="Times New Roman" w:hAnsiTheme="minorHAnsi"/>
          <w:sz w:val="24"/>
          <w:szCs w:val="24"/>
          <w:lang w:val="en-GB"/>
        </w:rPr>
        <w:t>Karavardar</w:t>
      </w:r>
      <w:proofErr w:type="spellEnd"/>
      <w:r w:rsidRPr="005B3AB5">
        <w:rPr>
          <w:rFonts w:asciiTheme="minorHAnsi" w:eastAsia="Times New Roman" w:hAnsiTheme="minorHAnsi"/>
          <w:sz w:val="24"/>
          <w:szCs w:val="24"/>
          <w:lang w:val="en-GB"/>
        </w:rPr>
        <w:t xml:space="preserve">, </w:t>
      </w:r>
      <w:r w:rsidRPr="005B3AB5">
        <w:rPr>
          <w:rFonts w:asciiTheme="minorHAnsi" w:eastAsia="Times New Roman" w:hAnsiTheme="minorHAnsi"/>
          <w:sz w:val="24"/>
          <w:szCs w:val="24"/>
        </w:rPr>
        <w:t>A., (2014). “</w:t>
      </w:r>
      <w:proofErr w:type="spellStart"/>
      <w:r w:rsidRPr="005B3AB5">
        <w:rPr>
          <w:rFonts w:asciiTheme="minorHAnsi" w:eastAsia="Times New Roman" w:hAnsiTheme="minorHAnsi"/>
          <w:sz w:val="24"/>
          <w:szCs w:val="24"/>
          <w:lang w:val="en-GB"/>
        </w:rPr>
        <w:t>Benford's</w:t>
      </w:r>
      <w:proofErr w:type="spellEnd"/>
      <w:r w:rsidRPr="005B3AB5">
        <w:rPr>
          <w:rFonts w:asciiTheme="minorHAnsi" w:eastAsia="Times New Roman" w:hAnsiTheme="minorHAnsi"/>
          <w:sz w:val="24"/>
          <w:szCs w:val="24"/>
          <w:lang w:val="en-GB"/>
        </w:rPr>
        <w:t xml:space="preserve"> Law and an Analysis in Istanbul Stock Exchange</w:t>
      </w:r>
      <w:r w:rsidRPr="005B3AB5">
        <w:rPr>
          <w:rFonts w:asciiTheme="minorHAnsi" w:eastAsia="Times New Roman" w:hAnsiTheme="minorHAnsi"/>
          <w:sz w:val="24"/>
          <w:szCs w:val="24"/>
        </w:rPr>
        <w:t xml:space="preserve"> </w:t>
      </w:r>
      <w:r w:rsidRPr="005B3AB5">
        <w:rPr>
          <w:rFonts w:asciiTheme="minorHAnsi" w:eastAsia="Times New Roman" w:hAnsiTheme="minorHAnsi"/>
          <w:sz w:val="24"/>
          <w:szCs w:val="24"/>
          <w:lang w:val="en-GB"/>
        </w:rPr>
        <w:t>(BIST)</w:t>
      </w:r>
      <w:r w:rsidRPr="005B3AB5">
        <w:rPr>
          <w:rFonts w:asciiTheme="minorHAnsi" w:eastAsia="Times New Roman" w:hAnsiTheme="minorHAnsi"/>
          <w:sz w:val="24"/>
          <w:szCs w:val="24"/>
        </w:rPr>
        <w:t>”</w:t>
      </w:r>
      <w:r w:rsidRPr="005B3AB5">
        <w:rPr>
          <w:rFonts w:asciiTheme="minorHAnsi" w:eastAsia="Times New Roman" w:hAnsiTheme="minorHAnsi"/>
          <w:sz w:val="24"/>
          <w:szCs w:val="24"/>
          <w:lang w:val="en-GB"/>
        </w:rPr>
        <w:t xml:space="preserve"> </w:t>
      </w:r>
      <w:r w:rsidRPr="005B3AB5">
        <w:rPr>
          <w:rFonts w:asciiTheme="minorHAnsi" w:eastAsia="Times New Roman" w:hAnsiTheme="minorHAnsi"/>
          <w:i/>
          <w:sz w:val="24"/>
          <w:szCs w:val="24"/>
          <w:lang w:val="en-GB"/>
        </w:rPr>
        <w:t>International Journal of Business and Management</w:t>
      </w:r>
      <w:r w:rsidRPr="005B3AB5">
        <w:rPr>
          <w:rFonts w:asciiTheme="minorHAnsi" w:eastAsia="Times New Roman" w:hAnsiTheme="minorHAnsi"/>
          <w:sz w:val="24"/>
          <w:szCs w:val="24"/>
          <w:lang w:val="en-GB"/>
        </w:rPr>
        <w:t xml:space="preserve"> 9</w:t>
      </w:r>
      <w:r w:rsidRPr="005B3AB5">
        <w:rPr>
          <w:rFonts w:asciiTheme="minorHAnsi" w:eastAsia="Times New Roman" w:hAnsiTheme="minorHAnsi"/>
          <w:sz w:val="24"/>
          <w:szCs w:val="24"/>
        </w:rPr>
        <w:t>,</w:t>
      </w:r>
      <w:r w:rsidRPr="005B3AB5">
        <w:rPr>
          <w:rFonts w:asciiTheme="minorHAnsi" w:eastAsia="Times New Roman" w:hAnsiTheme="minorHAnsi"/>
          <w:sz w:val="24"/>
          <w:szCs w:val="24"/>
          <w:lang w:val="en-GB"/>
        </w:rPr>
        <w:t xml:space="preserve"> 160-172.</w:t>
      </w:r>
      <w:r w:rsidRPr="005B3AB5">
        <w:rPr>
          <w:rFonts w:asciiTheme="minorHAnsi" w:hAnsiTheme="minorHAnsi"/>
          <w:sz w:val="24"/>
          <w:szCs w:val="24"/>
          <w:lang w:val="en-GB"/>
        </w:rPr>
        <w:t xml:space="preserve"> </w:t>
      </w:r>
    </w:p>
    <w:p w14:paraId="53E5D9B7" w14:textId="39F6358C" w:rsidR="00991E8F" w:rsidRPr="00D90ACB" w:rsidRDefault="00D0247C" w:rsidP="00D90ACB">
      <w:pPr>
        <w:widowControl w:val="0"/>
        <w:autoSpaceDE w:val="0"/>
        <w:autoSpaceDN w:val="0"/>
        <w:adjustRightInd w:val="0"/>
        <w:spacing w:line="360" w:lineRule="auto"/>
        <w:rPr>
          <w:rFonts w:cs="Arial"/>
        </w:rPr>
      </w:pPr>
      <w:r w:rsidRPr="00D90ACB">
        <w:rPr>
          <w:rFonts w:cs="Arial"/>
        </w:rPr>
        <w:t>Ley</w:t>
      </w:r>
      <w:r w:rsidR="00991E8F" w:rsidRPr="00D90ACB">
        <w:rPr>
          <w:rFonts w:cs="Arial"/>
        </w:rPr>
        <w:t xml:space="preserve"> E.</w:t>
      </w:r>
      <w:r w:rsidRPr="00D90ACB">
        <w:rPr>
          <w:rFonts w:cs="Arial"/>
        </w:rPr>
        <w:t>,</w:t>
      </w:r>
      <w:r w:rsidR="00706BA6">
        <w:rPr>
          <w:rFonts w:cs="Arial"/>
        </w:rPr>
        <w:t xml:space="preserve"> (1996).</w:t>
      </w:r>
      <w:r w:rsidR="00991E8F" w:rsidRPr="00D90ACB">
        <w:rPr>
          <w:rFonts w:cs="Arial"/>
        </w:rPr>
        <w:t xml:space="preserve"> "On the Peculiar Distribution of the U.S. Stock Indices Digits." </w:t>
      </w:r>
      <w:r w:rsidR="00CA4E57" w:rsidRPr="00CA4E57">
        <w:rPr>
          <w:rFonts w:cs="Arial"/>
          <w:i/>
        </w:rPr>
        <w:t xml:space="preserve">The </w:t>
      </w:r>
      <w:r w:rsidR="00991E8F" w:rsidRPr="00D90ACB">
        <w:rPr>
          <w:rFonts w:cs="Arial"/>
          <w:i/>
          <w:iCs/>
        </w:rPr>
        <w:t>Amer</w:t>
      </w:r>
      <w:r w:rsidR="00706BA6">
        <w:rPr>
          <w:rFonts w:cs="Arial"/>
          <w:i/>
          <w:iCs/>
        </w:rPr>
        <w:t>ican</w:t>
      </w:r>
      <w:r w:rsidR="00991E8F" w:rsidRPr="00D90ACB">
        <w:rPr>
          <w:rFonts w:cs="Arial"/>
          <w:i/>
          <w:iCs/>
        </w:rPr>
        <w:t xml:space="preserve"> Stat</w:t>
      </w:r>
      <w:r w:rsidR="00706BA6">
        <w:rPr>
          <w:rFonts w:cs="Arial"/>
          <w:i/>
          <w:iCs/>
        </w:rPr>
        <w:t>istician</w:t>
      </w:r>
      <w:r w:rsidR="00991E8F" w:rsidRPr="00D90ACB">
        <w:rPr>
          <w:rFonts w:cs="Arial"/>
        </w:rPr>
        <w:t xml:space="preserve"> </w:t>
      </w:r>
      <w:r w:rsidR="00991E8F" w:rsidRPr="00D90ACB">
        <w:rPr>
          <w:rFonts w:cs="Arial"/>
          <w:bCs/>
        </w:rPr>
        <w:t>50</w:t>
      </w:r>
      <w:r w:rsidR="00991E8F" w:rsidRPr="00D90ACB">
        <w:rPr>
          <w:rFonts w:cs="Arial"/>
        </w:rPr>
        <w:t>, 311-313</w:t>
      </w:r>
      <w:r w:rsidR="00706BA6">
        <w:rPr>
          <w:rFonts w:cs="Arial"/>
        </w:rPr>
        <w:t>.</w:t>
      </w:r>
    </w:p>
    <w:p w14:paraId="5D102C6D" w14:textId="77777777" w:rsidR="00D2536D" w:rsidRPr="00D90ACB" w:rsidRDefault="00D2536D" w:rsidP="00D90ACB">
      <w:pPr>
        <w:widowControl w:val="0"/>
        <w:autoSpaceDE w:val="0"/>
        <w:autoSpaceDN w:val="0"/>
        <w:adjustRightInd w:val="0"/>
        <w:spacing w:line="360" w:lineRule="auto"/>
        <w:rPr>
          <w:rFonts w:cs="Arial"/>
        </w:rPr>
      </w:pPr>
    </w:p>
    <w:p w14:paraId="4D4E0916" w14:textId="469BD593" w:rsidR="00D2536D" w:rsidRPr="00D90ACB" w:rsidRDefault="00D2536D" w:rsidP="00D90ACB">
      <w:pPr>
        <w:widowControl w:val="0"/>
        <w:autoSpaceDE w:val="0"/>
        <w:autoSpaceDN w:val="0"/>
        <w:adjustRightInd w:val="0"/>
        <w:spacing w:line="360" w:lineRule="auto"/>
        <w:rPr>
          <w:rFonts w:cs="Verdana"/>
        </w:rPr>
      </w:pPr>
      <w:r w:rsidRPr="00D90ACB">
        <w:rPr>
          <w:rFonts w:cs="Verdana"/>
        </w:rPr>
        <w:t>Mebane Jr</w:t>
      </w:r>
      <w:r w:rsidR="00706BA6">
        <w:rPr>
          <w:rFonts w:cs="Verdana"/>
        </w:rPr>
        <w:t>.</w:t>
      </w:r>
      <w:r w:rsidRPr="00D90ACB">
        <w:rPr>
          <w:rFonts w:cs="Verdana"/>
        </w:rPr>
        <w:t>, Walter R.</w:t>
      </w:r>
      <w:r w:rsidR="00706BA6">
        <w:rPr>
          <w:rFonts w:cs="Verdana"/>
        </w:rPr>
        <w:t>,</w:t>
      </w:r>
      <w:r w:rsidRPr="00D90ACB">
        <w:rPr>
          <w:rFonts w:cs="Verdana"/>
        </w:rPr>
        <w:t xml:space="preserve"> </w:t>
      </w:r>
      <w:r w:rsidR="00706BA6">
        <w:rPr>
          <w:rFonts w:cs="Verdana"/>
        </w:rPr>
        <w:t xml:space="preserve">(2011). </w:t>
      </w:r>
      <w:r w:rsidRPr="00D90ACB">
        <w:rPr>
          <w:rFonts w:cs="Verdana"/>
        </w:rPr>
        <w:t xml:space="preserve">"Comment on" </w:t>
      </w:r>
      <w:r w:rsidR="00487769">
        <w:rPr>
          <w:rFonts w:cs="Verdana"/>
        </w:rPr>
        <w:t>BL</w:t>
      </w:r>
      <w:r w:rsidRPr="00D90ACB">
        <w:rPr>
          <w:rFonts w:cs="Verdana"/>
        </w:rPr>
        <w:t xml:space="preserve"> and the Detection of Election Fraud."</w:t>
      </w:r>
      <w:r w:rsidR="00706BA6">
        <w:rPr>
          <w:rFonts w:cs="Verdana"/>
        </w:rPr>
        <w:t>”</w:t>
      </w:r>
      <w:r w:rsidRPr="00D90ACB">
        <w:rPr>
          <w:rFonts w:cs="Verdana"/>
        </w:rPr>
        <w:t xml:space="preserve"> </w:t>
      </w:r>
      <w:r w:rsidRPr="00D90ACB">
        <w:rPr>
          <w:rFonts w:cs="Verdana"/>
          <w:i/>
        </w:rPr>
        <w:t>Political Analysis</w:t>
      </w:r>
      <w:r w:rsidRPr="00D90ACB">
        <w:rPr>
          <w:rFonts w:cs="Verdana"/>
        </w:rPr>
        <w:t xml:space="preserve"> </w:t>
      </w:r>
      <w:r w:rsidR="00706BA6">
        <w:rPr>
          <w:rFonts w:cs="Verdana"/>
        </w:rPr>
        <w:t>19(3),</w:t>
      </w:r>
      <w:r w:rsidRPr="00D90ACB">
        <w:rPr>
          <w:rFonts w:cs="Verdana"/>
        </w:rPr>
        <w:t xml:space="preserve"> 269-272.</w:t>
      </w:r>
    </w:p>
    <w:p w14:paraId="25118536" w14:textId="5A9DE671" w:rsidR="002A3D27" w:rsidRPr="00D90ACB" w:rsidRDefault="002A3D27" w:rsidP="00D90ACB">
      <w:pPr>
        <w:pStyle w:val="NormaleWeb"/>
        <w:spacing w:line="360" w:lineRule="auto"/>
        <w:rPr>
          <w:rFonts w:asciiTheme="minorHAnsi" w:hAnsiTheme="minorHAnsi"/>
          <w:sz w:val="24"/>
          <w:szCs w:val="24"/>
          <w:lang w:val="en-GB"/>
        </w:rPr>
      </w:pPr>
      <w:r w:rsidRPr="00D90ACB">
        <w:rPr>
          <w:rFonts w:asciiTheme="minorHAnsi" w:hAnsiTheme="minorHAnsi"/>
          <w:sz w:val="24"/>
          <w:szCs w:val="24"/>
          <w:lang w:val="en-GB"/>
        </w:rPr>
        <w:t>Michalski T., Stoltz G.</w:t>
      </w:r>
      <w:r w:rsidR="00706BA6">
        <w:rPr>
          <w:rFonts w:asciiTheme="minorHAnsi" w:hAnsiTheme="minorHAnsi"/>
          <w:sz w:val="24"/>
          <w:szCs w:val="24"/>
          <w:lang w:val="en-GB"/>
        </w:rPr>
        <w:t>, (2013).</w:t>
      </w:r>
      <w:r w:rsidRPr="00D90ACB">
        <w:rPr>
          <w:rFonts w:asciiTheme="minorHAnsi" w:hAnsiTheme="minorHAnsi"/>
          <w:sz w:val="24"/>
          <w:szCs w:val="24"/>
          <w:lang w:val="en-GB"/>
        </w:rPr>
        <w:t xml:space="preserve"> “Do Countries Falsify Economic Data Strategically? Some Evidence That They Might.” </w:t>
      </w:r>
      <w:r w:rsidRPr="00D90ACB">
        <w:rPr>
          <w:rFonts w:asciiTheme="minorHAnsi" w:hAnsiTheme="minorHAnsi"/>
          <w:i/>
          <w:iCs/>
          <w:sz w:val="24"/>
          <w:szCs w:val="24"/>
          <w:lang w:val="en-GB"/>
        </w:rPr>
        <w:t xml:space="preserve">Review of Economics and Statistics </w:t>
      </w:r>
      <w:r w:rsidRPr="00706BA6">
        <w:rPr>
          <w:rFonts w:asciiTheme="minorHAnsi" w:hAnsiTheme="minorHAnsi"/>
          <w:iCs/>
          <w:sz w:val="24"/>
          <w:szCs w:val="24"/>
          <w:lang w:val="en-GB"/>
        </w:rPr>
        <w:t>95</w:t>
      </w:r>
      <w:r w:rsidR="00706BA6">
        <w:rPr>
          <w:rFonts w:asciiTheme="minorHAnsi" w:hAnsiTheme="minorHAnsi"/>
          <w:sz w:val="24"/>
          <w:szCs w:val="24"/>
          <w:lang w:val="en-GB"/>
        </w:rPr>
        <w:t>(</w:t>
      </w:r>
      <w:r w:rsidRPr="00D90ACB">
        <w:rPr>
          <w:rFonts w:asciiTheme="minorHAnsi" w:hAnsiTheme="minorHAnsi"/>
          <w:sz w:val="24"/>
          <w:szCs w:val="24"/>
          <w:lang w:val="en-GB"/>
        </w:rPr>
        <w:t>2</w:t>
      </w:r>
      <w:r w:rsidR="00706BA6">
        <w:rPr>
          <w:rFonts w:asciiTheme="minorHAnsi" w:hAnsiTheme="minorHAnsi"/>
          <w:sz w:val="24"/>
          <w:szCs w:val="24"/>
          <w:lang w:val="en-GB"/>
        </w:rPr>
        <w:t>),</w:t>
      </w:r>
      <w:r w:rsidRPr="00D90ACB">
        <w:rPr>
          <w:rFonts w:asciiTheme="minorHAnsi" w:hAnsiTheme="minorHAnsi"/>
          <w:sz w:val="24"/>
          <w:szCs w:val="24"/>
          <w:lang w:val="en-GB"/>
        </w:rPr>
        <w:t xml:space="preserve"> 591</w:t>
      </w:r>
      <w:r w:rsidR="00706BA6">
        <w:rPr>
          <w:rFonts w:asciiTheme="minorHAnsi" w:hAnsiTheme="minorHAnsi"/>
          <w:sz w:val="24"/>
          <w:szCs w:val="24"/>
          <w:lang w:val="en-GB"/>
        </w:rPr>
        <w:t>-</w:t>
      </w:r>
      <w:r w:rsidRPr="00D90ACB">
        <w:rPr>
          <w:rFonts w:asciiTheme="minorHAnsi" w:hAnsiTheme="minorHAnsi"/>
          <w:sz w:val="24"/>
          <w:szCs w:val="24"/>
          <w:lang w:val="en-GB"/>
        </w:rPr>
        <w:t xml:space="preserve">616. </w:t>
      </w:r>
    </w:p>
    <w:p w14:paraId="3E3F7FAA" w14:textId="366197BA" w:rsidR="002A3D27" w:rsidRPr="00D90ACB" w:rsidRDefault="002A3D27" w:rsidP="00D90ACB">
      <w:pPr>
        <w:pStyle w:val="NormaleWeb"/>
        <w:spacing w:line="360" w:lineRule="auto"/>
        <w:rPr>
          <w:rFonts w:asciiTheme="minorHAnsi" w:hAnsiTheme="minorHAnsi"/>
          <w:sz w:val="24"/>
          <w:szCs w:val="24"/>
          <w:lang w:val="en-GB"/>
        </w:rPr>
      </w:pPr>
      <w:r w:rsidRPr="00D90ACB">
        <w:rPr>
          <w:rFonts w:asciiTheme="minorHAnsi" w:hAnsiTheme="minorHAnsi"/>
          <w:sz w:val="24"/>
          <w:szCs w:val="24"/>
          <w:lang w:val="en-GB"/>
        </w:rPr>
        <w:t xml:space="preserve">Mir T. A., </w:t>
      </w:r>
      <w:r w:rsidR="00706BA6">
        <w:rPr>
          <w:rFonts w:asciiTheme="minorHAnsi" w:hAnsiTheme="minorHAnsi"/>
          <w:sz w:val="24"/>
          <w:szCs w:val="24"/>
          <w:lang w:val="en-GB"/>
        </w:rPr>
        <w:t xml:space="preserve">(2016). </w:t>
      </w:r>
      <w:r w:rsidRPr="00D90ACB">
        <w:rPr>
          <w:rFonts w:asciiTheme="minorHAnsi" w:hAnsiTheme="minorHAnsi"/>
          <w:sz w:val="24"/>
          <w:szCs w:val="24"/>
          <w:lang w:val="en-GB"/>
        </w:rPr>
        <w:t xml:space="preserve">“The leading digit distribution of the worldwide illicit financial flows” </w:t>
      </w:r>
      <w:r w:rsidR="00706BA6">
        <w:rPr>
          <w:rFonts w:asciiTheme="minorHAnsi" w:hAnsiTheme="minorHAnsi"/>
          <w:i/>
          <w:sz w:val="24"/>
          <w:szCs w:val="24"/>
          <w:lang w:val="en-GB"/>
        </w:rPr>
        <w:t xml:space="preserve">Quality &amp; Quantity </w:t>
      </w:r>
      <w:r w:rsidRPr="00D90ACB">
        <w:rPr>
          <w:rFonts w:asciiTheme="minorHAnsi" w:hAnsiTheme="minorHAnsi"/>
          <w:sz w:val="24"/>
          <w:szCs w:val="24"/>
          <w:lang w:val="en-GB"/>
        </w:rPr>
        <w:t>50</w:t>
      </w:r>
      <w:r w:rsidR="00706BA6">
        <w:rPr>
          <w:rFonts w:asciiTheme="minorHAnsi" w:hAnsiTheme="minorHAnsi"/>
          <w:sz w:val="24"/>
          <w:szCs w:val="24"/>
          <w:lang w:val="en-GB"/>
        </w:rPr>
        <w:t>(</w:t>
      </w:r>
      <w:r w:rsidRPr="00D90ACB">
        <w:rPr>
          <w:rFonts w:asciiTheme="minorHAnsi" w:hAnsiTheme="minorHAnsi"/>
          <w:sz w:val="24"/>
          <w:szCs w:val="24"/>
          <w:lang w:val="en-GB"/>
        </w:rPr>
        <w:t>1</w:t>
      </w:r>
      <w:r w:rsidR="00706BA6">
        <w:rPr>
          <w:rFonts w:asciiTheme="minorHAnsi" w:hAnsiTheme="minorHAnsi"/>
          <w:sz w:val="24"/>
          <w:szCs w:val="24"/>
          <w:lang w:val="en-GB"/>
        </w:rPr>
        <w:t>),</w:t>
      </w:r>
      <w:r w:rsidRPr="00D90ACB">
        <w:rPr>
          <w:rFonts w:asciiTheme="minorHAnsi" w:hAnsiTheme="minorHAnsi"/>
          <w:sz w:val="24"/>
          <w:szCs w:val="24"/>
          <w:lang w:val="en-GB"/>
        </w:rPr>
        <w:t xml:space="preserve"> 271</w:t>
      </w:r>
      <w:r w:rsidR="00706BA6">
        <w:rPr>
          <w:rFonts w:asciiTheme="minorHAnsi" w:hAnsiTheme="minorHAnsi"/>
          <w:sz w:val="24"/>
          <w:szCs w:val="24"/>
          <w:lang w:val="en-GB"/>
        </w:rPr>
        <w:t>-</w:t>
      </w:r>
      <w:r w:rsidRPr="00D90ACB">
        <w:rPr>
          <w:rFonts w:asciiTheme="minorHAnsi" w:hAnsiTheme="minorHAnsi"/>
          <w:sz w:val="24"/>
          <w:szCs w:val="24"/>
          <w:lang w:val="en-GB"/>
        </w:rPr>
        <w:t>281.</w:t>
      </w:r>
    </w:p>
    <w:p w14:paraId="21CBCBD0" w14:textId="53013AEB" w:rsidR="00D2536D" w:rsidRPr="009870B0" w:rsidRDefault="00D2536D" w:rsidP="00D90ACB">
      <w:pPr>
        <w:pStyle w:val="xmsonormal"/>
        <w:shd w:val="clear" w:color="auto" w:fill="FFFFFF"/>
        <w:spacing w:before="0" w:beforeAutospacing="0" w:after="0" w:afterAutospacing="0" w:line="360" w:lineRule="auto"/>
        <w:rPr>
          <w:rFonts w:asciiTheme="minorHAnsi" w:hAnsiTheme="minorHAnsi" w:cs="Times New Roman"/>
          <w:color w:val="212121"/>
          <w:sz w:val="24"/>
          <w:szCs w:val="24"/>
          <w:lang w:val="en-GB"/>
        </w:rPr>
      </w:pPr>
      <w:r w:rsidRPr="009870B0">
        <w:rPr>
          <w:rFonts w:asciiTheme="minorHAnsi" w:hAnsiTheme="minorHAnsi" w:cs="Times New Roman"/>
          <w:color w:val="212121"/>
          <w:sz w:val="24"/>
          <w:szCs w:val="24"/>
          <w:lang w:val="en-GB"/>
        </w:rPr>
        <w:lastRenderedPageBreak/>
        <w:t>Mir T</w:t>
      </w:r>
      <w:r w:rsidR="00706BA6" w:rsidRPr="009870B0">
        <w:rPr>
          <w:rFonts w:asciiTheme="minorHAnsi" w:hAnsiTheme="minorHAnsi" w:cs="Times New Roman"/>
          <w:color w:val="212121"/>
          <w:sz w:val="24"/>
          <w:szCs w:val="24"/>
          <w:lang w:val="en-GB"/>
        </w:rPr>
        <w:t>.</w:t>
      </w:r>
      <w:r w:rsidRPr="009870B0">
        <w:rPr>
          <w:rFonts w:asciiTheme="minorHAnsi" w:hAnsiTheme="minorHAnsi" w:cs="Times New Roman"/>
          <w:color w:val="212121"/>
          <w:sz w:val="24"/>
          <w:szCs w:val="24"/>
          <w:lang w:val="en-GB"/>
        </w:rPr>
        <w:t>A.</w:t>
      </w:r>
      <w:r w:rsidR="00706BA6" w:rsidRPr="009870B0">
        <w:rPr>
          <w:rFonts w:asciiTheme="minorHAnsi" w:hAnsiTheme="minorHAnsi" w:cs="Times New Roman"/>
          <w:color w:val="212121"/>
          <w:sz w:val="24"/>
          <w:szCs w:val="24"/>
          <w:lang w:val="en-GB"/>
        </w:rPr>
        <w:t>, (2012).</w:t>
      </w:r>
      <w:r w:rsidRPr="009870B0">
        <w:rPr>
          <w:rFonts w:asciiTheme="minorHAnsi" w:hAnsiTheme="minorHAnsi" w:cs="Times New Roman"/>
          <w:color w:val="212121"/>
          <w:sz w:val="24"/>
          <w:szCs w:val="24"/>
          <w:lang w:val="en-GB"/>
        </w:rPr>
        <w:t xml:space="preserve"> “The law of the leading digits and the world religions.” </w:t>
      </w:r>
      <w:proofErr w:type="spellStart"/>
      <w:r w:rsidRPr="009870B0">
        <w:rPr>
          <w:rFonts w:asciiTheme="minorHAnsi" w:hAnsiTheme="minorHAnsi" w:cs="Times New Roman"/>
          <w:i/>
          <w:color w:val="212121"/>
          <w:sz w:val="24"/>
          <w:szCs w:val="24"/>
          <w:lang w:val="en-GB"/>
        </w:rPr>
        <w:t>Physica</w:t>
      </w:r>
      <w:proofErr w:type="spellEnd"/>
      <w:r w:rsidRPr="009870B0">
        <w:rPr>
          <w:rFonts w:asciiTheme="minorHAnsi" w:hAnsiTheme="minorHAnsi" w:cs="Times New Roman"/>
          <w:i/>
          <w:color w:val="212121"/>
          <w:sz w:val="24"/>
          <w:szCs w:val="24"/>
          <w:lang w:val="en-GB"/>
        </w:rPr>
        <w:t xml:space="preserve"> A</w:t>
      </w:r>
      <w:r w:rsidRPr="009870B0">
        <w:rPr>
          <w:rFonts w:asciiTheme="minorHAnsi" w:hAnsiTheme="minorHAnsi" w:cs="Times New Roman"/>
          <w:color w:val="212121"/>
          <w:sz w:val="24"/>
          <w:szCs w:val="24"/>
          <w:lang w:val="en-GB"/>
        </w:rPr>
        <w:t xml:space="preserve"> 391(3)</w:t>
      </w:r>
      <w:r w:rsidR="00706BA6" w:rsidRPr="009870B0">
        <w:rPr>
          <w:rFonts w:asciiTheme="minorHAnsi" w:hAnsiTheme="minorHAnsi" w:cs="Times New Roman"/>
          <w:color w:val="212121"/>
          <w:sz w:val="24"/>
          <w:szCs w:val="24"/>
          <w:lang w:val="en-GB"/>
        </w:rPr>
        <w:t xml:space="preserve">, </w:t>
      </w:r>
      <w:r w:rsidRPr="009870B0">
        <w:rPr>
          <w:rFonts w:asciiTheme="minorHAnsi" w:hAnsiTheme="minorHAnsi" w:cs="Times New Roman"/>
          <w:color w:val="212121"/>
          <w:sz w:val="24"/>
          <w:szCs w:val="24"/>
          <w:lang w:val="en-GB"/>
        </w:rPr>
        <w:t>792–</w:t>
      </w:r>
      <w:r w:rsidR="00706BA6" w:rsidRPr="009870B0">
        <w:rPr>
          <w:rFonts w:asciiTheme="minorHAnsi" w:hAnsiTheme="minorHAnsi" w:cs="Times New Roman"/>
          <w:color w:val="212121"/>
          <w:sz w:val="24"/>
          <w:szCs w:val="24"/>
          <w:lang w:val="en-GB"/>
        </w:rPr>
        <w:t>79</w:t>
      </w:r>
      <w:r w:rsidR="00CA4E57" w:rsidRPr="009870B0">
        <w:rPr>
          <w:rFonts w:asciiTheme="minorHAnsi" w:hAnsiTheme="minorHAnsi" w:cs="Times New Roman"/>
          <w:color w:val="212121"/>
          <w:sz w:val="24"/>
          <w:szCs w:val="24"/>
          <w:lang w:val="en-GB"/>
        </w:rPr>
        <w:t>8.</w:t>
      </w:r>
    </w:p>
    <w:p w14:paraId="713E321E" w14:textId="77777777" w:rsidR="00CA4E57" w:rsidRPr="009870B0" w:rsidRDefault="00CA4E57" w:rsidP="00D90ACB">
      <w:pPr>
        <w:pStyle w:val="xmsonormal"/>
        <w:shd w:val="clear" w:color="auto" w:fill="FFFFFF"/>
        <w:spacing w:before="0" w:beforeAutospacing="0" w:after="0" w:afterAutospacing="0" w:line="360" w:lineRule="auto"/>
        <w:rPr>
          <w:rFonts w:asciiTheme="minorHAnsi" w:hAnsiTheme="minorHAnsi" w:cs="Times New Roman"/>
          <w:color w:val="212121"/>
          <w:sz w:val="24"/>
          <w:szCs w:val="24"/>
          <w:lang w:val="en-GB"/>
        </w:rPr>
      </w:pPr>
    </w:p>
    <w:p w14:paraId="6D51EAB9" w14:textId="3A1D40CF" w:rsidR="00D2536D" w:rsidRPr="009870B0" w:rsidRDefault="00D2536D" w:rsidP="00D90ACB">
      <w:pPr>
        <w:pStyle w:val="xmsonormal"/>
        <w:shd w:val="clear" w:color="auto" w:fill="FFFFFF"/>
        <w:spacing w:before="0" w:beforeAutospacing="0" w:after="0" w:afterAutospacing="0" w:line="360" w:lineRule="auto"/>
        <w:rPr>
          <w:rFonts w:asciiTheme="minorHAnsi" w:hAnsiTheme="minorHAnsi" w:cs="Times New Roman"/>
          <w:color w:val="212121"/>
          <w:sz w:val="24"/>
          <w:szCs w:val="24"/>
          <w:lang w:val="en-GB"/>
        </w:rPr>
      </w:pPr>
      <w:r w:rsidRPr="009870B0">
        <w:rPr>
          <w:rFonts w:asciiTheme="minorHAnsi" w:hAnsiTheme="minorHAnsi" w:cs="Times New Roman"/>
          <w:color w:val="212121"/>
          <w:sz w:val="24"/>
          <w:szCs w:val="24"/>
          <w:lang w:val="en-GB"/>
        </w:rPr>
        <w:t>Mir T</w:t>
      </w:r>
      <w:r w:rsidR="00CA4E57" w:rsidRPr="009870B0">
        <w:rPr>
          <w:rFonts w:asciiTheme="minorHAnsi" w:hAnsiTheme="minorHAnsi" w:cs="Times New Roman"/>
          <w:color w:val="212121"/>
          <w:sz w:val="24"/>
          <w:szCs w:val="24"/>
          <w:lang w:val="en-GB"/>
        </w:rPr>
        <w:t>.</w:t>
      </w:r>
      <w:r w:rsidRPr="009870B0">
        <w:rPr>
          <w:rFonts w:asciiTheme="minorHAnsi" w:hAnsiTheme="minorHAnsi" w:cs="Times New Roman"/>
          <w:color w:val="212121"/>
          <w:sz w:val="24"/>
          <w:szCs w:val="24"/>
          <w:lang w:val="en-GB"/>
        </w:rPr>
        <w:t>A</w:t>
      </w:r>
      <w:r w:rsidR="00CA4E57" w:rsidRPr="009870B0">
        <w:rPr>
          <w:rFonts w:asciiTheme="minorHAnsi" w:hAnsiTheme="minorHAnsi" w:cs="Times New Roman"/>
          <w:color w:val="212121"/>
          <w:sz w:val="24"/>
          <w:szCs w:val="24"/>
          <w:lang w:val="en-GB"/>
        </w:rPr>
        <w:t>., (2014).</w:t>
      </w:r>
      <w:r w:rsidRPr="009870B0">
        <w:rPr>
          <w:rFonts w:asciiTheme="minorHAnsi" w:hAnsiTheme="minorHAnsi" w:cs="Times New Roman"/>
          <w:color w:val="212121"/>
          <w:sz w:val="24"/>
          <w:szCs w:val="24"/>
          <w:lang w:val="en-GB"/>
        </w:rPr>
        <w:t xml:space="preserve"> “The </w:t>
      </w:r>
      <w:proofErr w:type="spellStart"/>
      <w:r w:rsidRPr="009870B0">
        <w:rPr>
          <w:rFonts w:asciiTheme="minorHAnsi" w:hAnsiTheme="minorHAnsi" w:cs="Times New Roman"/>
          <w:color w:val="212121"/>
          <w:sz w:val="24"/>
          <w:szCs w:val="24"/>
          <w:lang w:val="en-GB"/>
        </w:rPr>
        <w:t>Benford</w:t>
      </w:r>
      <w:proofErr w:type="spellEnd"/>
      <w:r w:rsidRPr="009870B0">
        <w:rPr>
          <w:rFonts w:asciiTheme="minorHAnsi" w:hAnsiTheme="minorHAnsi" w:cs="Times New Roman"/>
          <w:color w:val="212121"/>
          <w:sz w:val="24"/>
          <w:szCs w:val="24"/>
          <w:lang w:val="en-GB"/>
        </w:rPr>
        <w:t xml:space="preserve"> law </w:t>
      </w:r>
      <w:proofErr w:type="spellStart"/>
      <w:r w:rsidRPr="009870B0">
        <w:rPr>
          <w:rFonts w:asciiTheme="minorHAnsi" w:hAnsiTheme="minorHAnsi" w:cs="Times New Roman"/>
          <w:color w:val="212121"/>
          <w:sz w:val="24"/>
          <w:szCs w:val="24"/>
          <w:lang w:val="en-GB"/>
        </w:rPr>
        <w:t>behavior</w:t>
      </w:r>
      <w:proofErr w:type="spellEnd"/>
      <w:r w:rsidRPr="009870B0">
        <w:rPr>
          <w:rFonts w:asciiTheme="minorHAnsi" w:hAnsiTheme="minorHAnsi" w:cs="Times New Roman"/>
          <w:color w:val="212121"/>
          <w:sz w:val="24"/>
          <w:szCs w:val="24"/>
          <w:lang w:val="en-GB"/>
        </w:rPr>
        <w:t xml:space="preserve"> of the religious activity data.” </w:t>
      </w:r>
      <w:proofErr w:type="spellStart"/>
      <w:r w:rsidRPr="009870B0">
        <w:rPr>
          <w:rFonts w:asciiTheme="minorHAnsi" w:hAnsiTheme="minorHAnsi" w:cs="Times New Roman"/>
          <w:i/>
          <w:color w:val="212121"/>
          <w:sz w:val="24"/>
          <w:szCs w:val="24"/>
          <w:lang w:val="en-GB"/>
        </w:rPr>
        <w:t>Physica</w:t>
      </w:r>
      <w:proofErr w:type="spellEnd"/>
      <w:r w:rsidRPr="009870B0">
        <w:rPr>
          <w:rFonts w:asciiTheme="minorHAnsi" w:hAnsiTheme="minorHAnsi" w:cs="Times New Roman"/>
          <w:i/>
          <w:color w:val="212121"/>
          <w:sz w:val="24"/>
          <w:szCs w:val="24"/>
          <w:lang w:val="en-GB"/>
        </w:rPr>
        <w:t xml:space="preserve"> A</w:t>
      </w:r>
      <w:r w:rsidRPr="009870B0">
        <w:rPr>
          <w:rFonts w:asciiTheme="minorHAnsi" w:hAnsiTheme="minorHAnsi" w:cs="Times New Roman"/>
          <w:color w:val="212121"/>
          <w:sz w:val="24"/>
          <w:szCs w:val="24"/>
          <w:lang w:val="en-GB"/>
        </w:rPr>
        <w:t xml:space="preserve"> 408</w:t>
      </w:r>
      <w:r w:rsidR="00CA4E57" w:rsidRPr="009870B0">
        <w:rPr>
          <w:rFonts w:asciiTheme="minorHAnsi" w:hAnsiTheme="minorHAnsi" w:cs="Times New Roman"/>
          <w:color w:val="212121"/>
          <w:sz w:val="24"/>
          <w:szCs w:val="24"/>
          <w:lang w:val="en-GB"/>
        </w:rPr>
        <w:t xml:space="preserve">, </w:t>
      </w:r>
      <w:r w:rsidRPr="009870B0">
        <w:rPr>
          <w:rFonts w:asciiTheme="minorHAnsi" w:hAnsiTheme="minorHAnsi" w:cs="Times New Roman"/>
          <w:color w:val="212121"/>
          <w:sz w:val="24"/>
          <w:szCs w:val="24"/>
          <w:lang w:val="en-GB"/>
        </w:rPr>
        <w:t>1–9.</w:t>
      </w:r>
    </w:p>
    <w:p w14:paraId="4E03BEFD" w14:textId="77777777" w:rsidR="00D2536D" w:rsidRPr="009870B0" w:rsidRDefault="00D2536D" w:rsidP="00D90ACB">
      <w:pPr>
        <w:pStyle w:val="xmsonormal"/>
        <w:shd w:val="clear" w:color="auto" w:fill="FFFFFF"/>
        <w:spacing w:before="0" w:beforeAutospacing="0" w:after="0" w:afterAutospacing="0" w:line="360" w:lineRule="auto"/>
        <w:rPr>
          <w:rFonts w:asciiTheme="minorHAnsi" w:hAnsiTheme="minorHAnsi" w:cs="Times New Roman"/>
          <w:color w:val="212121"/>
          <w:sz w:val="24"/>
          <w:szCs w:val="24"/>
          <w:lang w:val="en-GB"/>
        </w:rPr>
      </w:pPr>
    </w:p>
    <w:p w14:paraId="232576B3" w14:textId="0BC8D5F1" w:rsidR="001D0D12" w:rsidRPr="009870B0" w:rsidRDefault="001D0D12" w:rsidP="00D90ACB">
      <w:pPr>
        <w:spacing w:line="360" w:lineRule="auto"/>
        <w:rPr>
          <w:rFonts w:eastAsia="Times New Roman" w:cs="Times New Roman"/>
        </w:rPr>
      </w:pPr>
      <w:r w:rsidRPr="00D90ACB">
        <w:t xml:space="preserve">Mir T. A., Ausloos M., Cerqueti R., </w:t>
      </w:r>
      <w:r w:rsidR="00CA4E57">
        <w:t xml:space="preserve">(2014). </w:t>
      </w:r>
      <w:r w:rsidRPr="00D90ACB">
        <w:t>“</w:t>
      </w:r>
      <w:r w:rsidR="00487769">
        <w:rPr>
          <w:rFonts w:cs="Times New Roman"/>
        </w:rPr>
        <w:t>BL</w:t>
      </w:r>
      <w:r w:rsidRPr="00D90ACB">
        <w:rPr>
          <w:rFonts w:cs="Times New Roman"/>
        </w:rPr>
        <w:t xml:space="preserve"> predicted digit distributi</w:t>
      </w:r>
      <w:r w:rsidRPr="00D90ACB">
        <w:t>on of aggregated income taxes: T</w:t>
      </w:r>
      <w:r w:rsidRPr="00D90ACB">
        <w:rPr>
          <w:rFonts w:cs="Times New Roman"/>
        </w:rPr>
        <w:t>he surprising conformit</w:t>
      </w:r>
      <w:r w:rsidRPr="00D90ACB">
        <w:t xml:space="preserve">y of Italian cities and regions.” </w:t>
      </w:r>
      <w:r w:rsidRPr="00D90ACB">
        <w:rPr>
          <w:i/>
        </w:rPr>
        <w:t xml:space="preserve">The European Physical Journal B </w:t>
      </w:r>
      <w:r w:rsidRPr="00D90ACB">
        <w:t>87</w:t>
      </w:r>
      <w:r w:rsidR="00CA4E57">
        <w:t>(26</w:t>
      </w:r>
      <w:r w:rsidRPr="00D90ACB">
        <w:t>1</w:t>
      </w:r>
      <w:r w:rsidR="00CA4E57">
        <w:t>).</w:t>
      </w:r>
    </w:p>
    <w:p w14:paraId="6BDA4C3F" w14:textId="59E40F23" w:rsidR="00991E8F" w:rsidRPr="00D90ACB" w:rsidRDefault="00D0247C" w:rsidP="00D90ACB">
      <w:pPr>
        <w:pStyle w:val="NormaleWeb"/>
        <w:spacing w:line="360" w:lineRule="auto"/>
        <w:rPr>
          <w:rFonts w:asciiTheme="minorHAnsi" w:hAnsiTheme="minorHAnsi"/>
          <w:sz w:val="24"/>
          <w:szCs w:val="24"/>
          <w:lang w:val="en-GB"/>
        </w:rPr>
      </w:pPr>
      <w:r w:rsidRPr="00D90ACB">
        <w:rPr>
          <w:rFonts w:asciiTheme="minorHAnsi" w:hAnsiTheme="minorHAnsi"/>
          <w:sz w:val="24"/>
          <w:szCs w:val="24"/>
          <w:lang w:val="en-GB"/>
        </w:rPr>
        <w:t>Newcomb S</w:t>
      </w:r>
      <w:r w:rsidR="00991E8F" w:rsidRPr="00D90ACB">
        <w:rPr>
          <w:rFonts w:asciiTheme="minorHAnsi" w:hAnsiTheme="minorHAnsi"/>
          <w:sz w:val="24"/>
          <w:szCs w:val="24"/>
          <w:lang w:val="en-GB"/>
        </w:rPr>
        <w:t>.</w:t>
      </w:r>
      <w:r w:rsidRPr="00D90ACB">
        <w:rPr>
          <w:rFonts w:asciiTheme="minorHAnsi" w:hAnsiTheme="minorHAnsi"/>
          <w:sz w:val="24"/>
          <w:szCs w:val="24"/>
          <w:lang w:val="en-GB"/>
        </w:rPr>
        <w:t>,</w:t>
      </w:r>
      <w:r w:rsidR="00991E8F" w:rsidRPr="00D90ACB">
        <w:rPr>
          <w:rFonts w:asciiTheme="minorHAnsi" w:hAnsiTheme="minorHAnsi"/>
          <w:sz w:val="24"/>
          <w:szCs w:val="24"/>
          <w:lang w:val="en-GB"/>
        </w:rPr>
        <w:t xml:space="preserve"> </w:t>
      </w:r>
      <w:r w:rsidR="00CA4E57">
        <w:rPr>
          <w:rFonts w:asciiTheme="minorHAnsi" w:hAnsiTheme="minorHAnsi"/>
          <w:sz w:val="24"/>
          <w:szCs w:val="24"/>
          <w:lang w:val="en-GB"/>
        </w:rPr>
        <w:t xml:space="preserve">(1881). </w:t>
      </w:r>
      <w:r w:rsidR="00991E8F" w:rsidRPr="00D90ACB">
        <w:rPr>
          <w:rFonts w:asciiTheme="minorHAnsi" w:hAnsiTheme="minorHAnsi"/>
          <w:sz w:val="24"/>
          <w:szCs w:val="24"/>
          <w:lang w:val="en-GB"/>
        </w:rPr>
        <w:t xml:space="preserve">“Note on the </w:t>
      </w:r>
      <w:proofErr w:type="spellStart"/>
      <w:r w:rsidR="00991E8F" w:rsidRPr="00D90ACB">
        <w:rPr>
          <w:rFonts w:asciiTheme="minorHAnsi" w:hAnsiTheme="minorHAnsi"/>
          <w:sz w:val="24"/>
          <w:szCs w:val="24"/>
          <w:lang w:val="en-GB"/>
        </w:rPr>
        <w:t>Frequence</w:t>
      </w:r>
      <w:proofErr w:type="spellEnd"/>
      <w:r w:rsidR="00991E8F" w:rsidRPr="00D90ACB">
        <w:rPr>
          <w:rFonts w:asciiTheme="minorHAnsi" w:hAnsiTheme="minorHAnsi"/>
          <w:sz w:val="24"/>
          <w:szCs w:val="24"/>
          <w:lang w:val="en-GB"/>
        </w:rPr>
        <w:t xml:space="preserve"> of Use of the Different Digits in Natural Numbers.” </w:t>
      </w:r>
      <w:r w:rsidR="00991E8F" w:rsidRPr="00D90ACB">
        <w:rPr>
          <w:rFonts w:asciiTheme="minorHAnsi" w:hAnsiTheme="minorHAnsi"/>
          <w:i/>
          <w:iCs/>
          <w:sz w:val="24"/>
          <w:szCs w:val="24"/>
          <w:lang w:val="en-GB"/>
        </w:rPr>
        <w:t xml:space="preserve">American Journal of Mathematics </w:t>
      </w:r>
      <w:r w:rsidR="00991E8F" w:rsidRPr="00CA4E57">
        <w:rPr>
          <w:rFonts w:asciiTheme="minorHAnsi" w:hAnsiTheme="minorHAnsi"/>
          <w:iCs/>
          <w:sz w:val="24"/>
          <w:szCs w:val="24"/>
          <w:lang w:val="en-GB"/>
        </w:rPr>
        <w:t>4</w:t>
      </w:r>
      <w:r w:rsidR="00CA4E57">
        <w:rPr>
          <w:rFonts w:asciiTheme="minorHAnsi" w:hAnsiTheme="minorHAnsi"/>
          <w:sz w:val="24"/>
          <w:szCs w:val="24"/>
          <w:lang w:val="en-GB"/>
        </w:rPr>
        <w:t>(</w:t>
      </w:r>
      <w:r w:rsidR="00991E8F" w:rsidRPr="00D90ACB">
        <w:rPr>
          <w:rFonts w:asciiTheme="minorHAnsi" w:hAnsiTheme="minorHAnsi"/>
          <w:sz w:val="24"/>
          <w:szCs w:val="24"/>
          <w:lang w:val="en-GB"/>
        </w:rPr>
        <w:t>1/4</w:t>
      </w:r>
      <w:r w:rsidR="00CA4E57">
        <w:rPr>
          <w:rFonts w:asciiTheme="minorHAnsi" w:hAnsiTheme="minorHAnsi"/>
          <w:sz w:val="24"/>
          <w:szCs w:val="24"/>
          <w:lang w:val="en-GB"/>
        </w:rPr>
        <w:t>),</w:t>
      </w:r>
      <w:r w:rsidR="00991E8F" w:rsidRPr="00D90ACB">
        <w:rPr>
          <w:rFonts w:asciiTheme="minorHAnsi" w:hAnsiTheme="minorHAnsi"/>
          <w:sz w:val="24"/>
          <w:szCs w:val="24"/>
          <w:lang w:val="en-GB"/>
        </w:rPr>
        <w:t xml:space="preserve"> 39-40. </w:t>
      </w:r>
    </w:p>
    <w:p w14:paraId="0EA9DD53" w14:textId="2A729738" w:rsidR="00991E8F" w:rsidRPr="00D90ACB" w:rsidRDefault="00D0247C" w:rsidP="00D90ACB">
      <w:pPr>
        <w:pStyle w:val="NormaleWeb"/>
        <w:spacing w:line="360" w:lineRule="auto"/>
        <w:rPr>
          <w:rFonts w:asciiTheme="minorHAnsi" w:hAnsiTheme="minorHAnsi"/>
          <w:sz w:val="24"/>
          <w:szCs w:val="24"/>
          <w:lang w:val="en-GB"/>
        </w:rPr>
      </w:pPr>
      <w:proofErr w:type="spellStart"/>
      <w:r w:rsidRPr="00D90ACB">
        <w:rPr>
          <w:rFonts w:asciiTheme="minorHAnsi" w:hAnsiTheme="minorHAnsi"/>
          <w:sz w:val="24"/>
          <w:szCs w:val="24"/>
          <w:lang w:val="en-GB"/>
        </w:rPr>
        <w:t>Nigrini</w:t>
      </w:r>
      <w:proofErr w:type="spellEnd"/>
      <w:r w:rsidRPr="00D90ACB">
        <w:rPr>
          <w:rFonts w:asciiTheme="minorHAnsi" w:hAnsiTheme="minorHAnsi"/>
          <w:sz w:val="24"/>
          <w:szCs w:val="24"/>
          <w:lang w:val="en-GB"/>
        </w:rPr>
        <w:t xml:space="preserve"> </w:t>
      </w:r>
      <w:r w:rsidR="000A75AC" w:rsidRPr="00D90ACB">
        <w:rPr>
          <w:rFonts w:asciiTheme="minorHAnsi" w:hAnsiTheme="minorHAnsi"/>
          <w:sz w:val="24"/>
          <w:szCs w:val="24"/>
          <w:lang w:val="en-GB"/>
        </w:rPr>
        <w:t>M.</w:t>
      </w:r>
      <w:r w:rsidR="00991E8F" w:rsidRPr="00D90ACB">
        <w:rPr>
          <w:rFonts w:asciiTheme="minorHAnsi" w:hAnsiTheme="minorHAnsi"/>
          <w:sz w:val="24"/>
          <w:szCs w:val="24"/>
          <w:lang w:val="en-GB"/>
        </w:rPr>
        <w:t>J.</w:t>
      </w:r>
      <w:r w:rsidRPr="00D90ACB">
        <w:rPr>
          <w:rFonts w:asciiTheme="minorHAnsi" w:hAnsiTheme="minorHAnsi"/>
          <w:sz w:val="24"/>
          <w:szCs w:val="24"/>
          <w:lang w:val="en-GB"/>
        </w:rPr>
        <w:t>,</w:t>
      </w:r>
      <w:r w:rsidR="00CA4E57">
        <w:rPr>
          <w:rFonts w:asciiTheme="minorHAnsi" w:hAnsiTheme="minorHAnsi"/>
          <w:sz w:val="24"/>
          <w:szCs w:val="24"/>
          <w:lang w:val="en-GB"/>
        </w:rPr>
        <w:t xml:space="preserve"> (1996).</w:t>
      </w:r>
      <w:r w:rsidR="00991E8F" w:rsidRPr="00D90ACB">
        <w:rPr>
          <w:rFonts w:asciiTheme="minorHAnsi" w:hAnsiTheme="minorHAnsi"/>
          <w:sz w:val="24"/>
          <w:szCs w:val="24"/>
          <w:lang w:val="en-GB"/>
        </w:rPr>
        <w:t xml:space="preserve"> “A Taxpayer Compliance Application of </w:t>
      </w:r>
      <w:r w:rsidR="00487769">
        <w:rPr>
          <w:rFonts w:asciiTheme="minorHAnsi" w:hAnsiTheme="minorHAnsi"/>
          <w:sz w:val="24"/>
          <w:szCs w:val="24"/>
          <w:lang w:val="en-GB"/>
        </w:rPr>
        <w:t>BL</w:t>
      </w:r>
      <w:r w:rsidR="00991E8F" w:rsidRPr="00D90ACB">
        <w:rPr>
          <w:rFonts w:asciiTheme="minorHAnsi" w:hAnsiTheme="minorHAnsi"/>
          <w:sz w:val="24"/>
          <w:szCs w:val="24"/>
          <w:lang w:val="en-GB"/>
        </w:rPr>
        <w:t xml:space="preserve">.” </w:t>
      </w:r>
      <w:r w:rsidR="00991E8F" w:rsidRPr="00D90ACB">
        <w:rPr>
          <w:rFonts w:asciiTheme="minorHAnsi" w:hAnsiTheme="minorHAnsi"/>
          <w:i/>
          <w:iCs/>
          <w:sz w:val="24"/>
          <w:szCs w:val="24"/>
          <w:lang w:val="en-GB"/>
        </w:rPr>
        <w:t xml:space="preserve">Journal of the American Taxation Association </w:t>
      </w:r>
      <w:r w:rsidR="00991E8F" w:rsidRPr="00CA4E57">
        <w:rPr>
          <w:rFonts w:asciiTheme="minorHAnsi" w:hAnsiTheme="minorHAnsi"/>
          <w:iCs/>
          <w:sz w:val="24"/>
          <w:szCs w:val="24"/>
          <w:lang w:val="en-GB"/>
        </w:rPr>
        <w:t>18</w:t>
      </w:r>
      <w:r w:rsidR="00CA4E57">
        <w:rPr>
          <w:rFonts w:asciiTheme="minorHAnsi" w:hAnsiTheme="minorHAnsi"/>
          <w:sz w:val="24"/>
          <w:szCs w:val="24"/>
          <w:lang w:val="en-GB"/>
        </w:rPr>
        <w:t>(1),</w:t>
      </w:r>
      <w:r w:rsidR="00991E8F" w:rsidRPr="00D90ACB">
        <w:rPr>
          <w:rFonts w:asciiTheme="minorHAnsi" w:hAnsiTheme="minorHAnsi"/>
          <w:sz w:val="24"/>
          <w:szCs w:val="24"/>
          <w:lang w:val="en-GB"/>
        </w:rPr>
        <w:t xml:space="preserve"> 72-91. </w:t>
      </w:r>
    </w:p>
    <w:p w14:paraId="259C67FC" w14:textId="2C485638" w:rsidR="00991E8F" w:rsidRPr="00D90ACB" w:rsidRDefault="00D0247C" w:rsidP="00D90ACB">
      <w:pPr>
        <w:pStyle w:val="NormaleWeb"/>
        <w:spacing w:line="360" w:lineRule="auto"/>
        <w:rPr>
          <w:rFonts w:asciiTheme="minorHAnsi" w:hAnsiTheme="minorHAnsi"/>
          <w:sz w:val="24"/>
          <w:szCs w:val="24"/>
          <w:lang w:val="en-GB"/>
        </w:rPr>
      </w:pPr>
      <w:proofErr w:type="spellStart"/>
      <w:r w:rsidRPr="00D90ACB">
        <w:rPr>
          <w:rFonts w:asciiTheme="minorHAnsi" w:hAnsiTheme="minorHAnsi"/>
          <w:sz w:val="24"/>
          <w:szCs w:val="24"/>
          <w:lang w:val="en-GB"/>
        </w:rPr>
        <w:t>Nigrini</w:t>
      </w:r>
      <w:proofErr w:type="spellEnd"/>
      <w:r w:rsidR="000A75AC" w:rsidRPr="00D90ACB">
        <w:rPr>
          <w:rFonts w:asciiTheme="minorHAnsi" w:hAnsiTheme="minorHAnsi"/>
          <w:sz w:val="24"/>
          <w:szCs w:val="24"/>
          <w:lang w:val="en-GB"/>
        </w:rPr>
        <w:t xml:space="preserve"> M.</w:t>
      </w:r>
      <w:r w:rsidRPr="00D90ACB">
        <w:rPr>
          <w:rFonts w:asciiTheme="minorHAnsi" w:hAnsiTheme="minorHAnsi"/>
          <w:sz w:val="24"/>
          <w:szCs w:val="24"/>
          <w:lang w:val="en-GB"/>
        </w:rPr>
        <w:t xml:space="preserve"> J., </w:t>
      </w:r>
      <w:r w:rsidR="00991E8F" w:rsidRPr="00D90ACB">
        <w:rPr>
          <w:rFonts w:asciiTheme="minorHAnsi" w:hAnsiTheme="minorHAnsi"/>
          <w:sz w:val="24"/>
          <w:szCs w:val="24"/>
          <w:lang w:val="en-GB"/>
        </w:rPr>
        <w:t>“</w:t>
      </w:r>
      <w:r w:rsidR="00487769">
        <w:rPr>
          <w:rFonts w:asciiTheme="minorHAnsi" w:hAnsiTheme="minorHAnsi"/>
          <w:iCs/>
          <w:sz w:val="24"/>
          <w:szCs w:val="24"/>
          <w:lang w:val="en-GB"/>
        </w:rPr>
        <w:t>BL</w:t>
      </w:r>
      <w:r w:rsidR="00991E8F" w:rsidRPr="00D90ACB">
        <w:rPr>
          <w:rFonts w:asciiTheme="minorHAnsi" w:hAnsiTheme="minorHAnsi"/>
          <w:iCs/>
          <w:sz w:val="24"/>
          <w:szCs w:val="24"/>
          <w:lang w:val="en-GB"/>
        </w:rPr>
        <w:t>: Applications for Forensic Accounting, Auditing, and Fraud Detection</w:t>
      </w:r>
      <w:r w:rsidR="00991E8F" w:rsidRPr="00D90ACB">
        <w:rPr>
          <w:rFonts w:asciiTheme="minorHAnsi" w:hAnsiTheme="minorHAnsi"/>
          <w:sz w:val="24"/>
          <w:szCs w:val="24"/>
          <w:lang w:val="en-GB"/>
        </w:rPr>
        <w:t xml:space="preserve">.” Hoboken, N.J.: John Wiley &amp; Sons, 2012. </w:t>
      </w:r>
    </w:p>
    <w:p w14:paraId="7C4DF62D" w14:textId="43A26742" w:rsidR="00991E8F" w:rsidRPr="00D90ACB" w:rsidRDefault="00D0247C" w:rsidP="00D90ACB">
      <w:pPr>
        <w:pStyle w:val="NormaleWeb"/>
        <w:spacing w:line="360" w:lineRule="auto"/>
        <w:rPr>
          <w:rFonts w:asciiTheme="minorHAnsi" w:hAnsiTheme="minorHAnsi"/>
          <w:sz w:val="24"/>
          <w:szCs w:val="24"/>
          <w:lang w:val="en-GB"/>
        </w:rPr>
      </w:pPr>
      <w:proofErr w:type="spellStart"/>
      <w:r w:rsidRPr="00D90ACB">
        <w:rPr>
          <w:rFonts w:asciiTheme="minorHAnsi" w:hAnsiTheme="minorHAnsi"/>
          <w:sz w:val="24"/>
          <w:szCs w:val="24"/>
          <w:lang w:val="en-GB"/>
        </w:rPr>
        <w:t>Nigrini</w:t>
      </w:r>
      <w:proofErr w:type="spellEnd"/>
      <w:r w:rsidR="00991E8F" w:rsidRPr="00D90ACB">
        <w:rPr>
          <w:rFonts w:asciiTheme="minorHAnsi" w:hAnsiTheme="minorHAnsi"/>
          <w:sz w:val="24"/>
          <w:szCs w:val="24"/>
          <w:lang w:val="en-GB"/>
        </w:rPr>
        <w:t xml:space="preserve"> M.</w:t>
      </w:r>
      <w:r w:rsidR="000A75AC" w:rsidRPr="00D90ACB">
        <w:rPr>
          <w:rFonts w:asciiTheme="minorHAnsi" w:hAnsiTheme="minorHAnsi"/>
          <w:sz w:val="24"/>
          <w:szCs w:val="24"/>
          <w:lang w:val="en-GB"/>
        </w:rPr>
        <w:t xml:space="preserve"> J.</w:t>
      </w:r>
      <w:r w:rsidRPr="00D90ACB">
        <w:rPr>
          <w:rFonts w:asciiTheme="minorHAnsi" w:hAnsiTheme="minorHAnsi"/>
          <w:sz w:val="24"/>
          <w:szCs w:val="24"/>
          <w:lang w:val="en-GB"/>
        </w:rPr>
        <w:t>,</w:t>
      </w:r>
      <w:r w:rsidR="00991E8F" w:rsidRPr="00D90ACB">
        <w:rPr>
          <w:rFonts w:asciiTheme="minorHAnsi" w:hAnsiTheme="minorHAnsi"/>
          <w:sz w:val="24"/>
          <w:szCs w:val="24"/>
          <w:lang w:val="en-GB"/>
        </w:rPr>
        <w:t xml:space="preserve"> </w:t>
      </w:r>
      <w:r w:rsidR="00CA4E57">
        <w:rPr>
          <w:rFonts w:asciiTheme="minorHAnsi" w:hAnsiTheme="minorHAnsi"/>
          <w:sz w:val="24"/>
          <w:szCs w:val="24"/>
          <w:lang w:val="en-GB"/>
        </w:rPr>
        <w:t xml:space="preserve">(1999). </w:t>
      </w:r>
      <w:r w:rsidR="00991E8F" w:rsidRPr="00D90ACB">
        <w:rPr>
          <w:rFonts w:asciiTheme="minorHAnsi" w:hAnsiTheme="minorHAnsi"/>
          <w:sz w:val="24"/>
          <w:szCs w:val="24"/>
          <w:lang w:val="en-GB"/>
        </w:rPr>
        <w:t xml:space="preserve">"I've Got Your Number." </w:t>
      </w:r>
      <w:r w:rsidR="00991E8F" w:rsidRPr="00D90ACB">
        <w:rPr>
          <w:rFonts w:asciiTheme="minorHAnsi" w:hAnsiTheme="minorHAnsi"/>
          <w:i/>
          <w:sz w:val="24"/>
          <w:szCs w:val="24"/>
          <w:lang w:val="en-GB"/>
        </w:rPr>
        <w:t>J</w:t>
      </w:r>
      <w:r w:rsidR="00CA4E57">
        <w:rPr>
          <w:rFonts w:asciiTheme="minorHAnsi" w:hAnsiTheme="minorHAnsi"/>
          <w:i/>
          <w:sz w:val="24"/>
          <w:szCs w:val="24"/>
          <w:lang w:val="en-GB"/>
        </w:rPr>
        <w:t>ournal of</w:t>
      </w:r>
      <w:r w:rsidR="00991E8F" w:rsidRPr="00D90ACB">
        <w:rPr>
          <w:rFonts w:asciiTheme="minorHAnsi" w:hAnsiTheme="minorHAnsi"/>
          <w:i/>
          <w:sz w:val="24"/>
          <w:szCs w:val="24"/>
          <w:lang w:val="en-GB"/>
        </w:rPr>
        <w:t xml:space="preserve"> Accountancy</w:t>
      </w:r>
      <w:r w:rsidR="00991E8F" w:rsidRPr="00D90ACB">
        <w:rPr>
          <w:rFonts w:asciiTheme="minorHAnsi" w:hAnsiTheme="minorHAnsi"/>
          <w:sz w:val="24"/>
          <w:szCs w:val="24"/>
          <w:lang w:val="en-GB"/>
        </w:rPr>
        <w:t xml:space="preserve"> 187</w:t>
      </w:r>
      <w:r w:rsidR="00CA4E57">
        <w:rPr>
          <w:rFonts w:asciiTheme="minorHAnsi" w:hAnsiTheme="minorHAnsi"/>
          <w:sz w:val="24"/>
          <w:szCs w:val="24"/>
          <w:lang w:val="en-GB"/>
        </w:rPr>
        <w:t xml:space="preserve">, </w:t>
      </w:r>
      <w:r w:rsidR="00991E8F" w:rsidRPr="00D90ACB">
        <w:rPr>
          <w:rFonts w:asciiTheme="minorHAnsi" w:hAnsiTheme="minorHAnsi"/>
          <w:sz w:val="24"/>
          <w:szCs w:val="24"/>
          <w:lang w:val="en-GB"/>
        </w:rPr>
        <w:t>79-83.</w:t>
      </w:r>
    </w:p>
    <w:p w14:paraId="5E5E2034" w14:textId="6B271856" w:rsidR="00D90ACB" w:rsidRPr="009870B0" w:rsidRDefault="000A75AC" w:rsidP="00D90ACB">
      <w:pPr>
        <w:spacing w:before="100" w:beforeAutospacing="1" w:after="100" w:afterAutospacing="1" w:line="360" w:lineRule="auto"/>
        <w:rPr>
          <w:rFonts w:cs="Times New Roman"/>
        </w:rPr>
      </w:pPr>
      <w:r w:rsidRPr="00D90ACB">
        <w:t>Nye J.</w:t>
      </w:r>
      <w:r w:rsidR="00D0247C" w:rsidRPr="00D90ACB">
        <w:t xml:space="preserve">, </w:t>
      </w:r>
      <w:proofErr w:type="spellStart"/>
      <w:r w:rsidR="00D0247C" w:rsidRPr="00D90ACB">
        <w:t>Moul</w:t>
      </w:r>
      <w:proofErr w:type="spellEnd"/>
      <w:r w:rsidR="00D0247C" w:rsidRPr="00D90ACB">
        <w:t xml:space="preserve"> C., </w:t>
      </w:r>
      <w:r w:rsidR="00CA4E57">
        <w:t xml:space="preserve">(2007). </w:t>
      </w:r>
      <w:r w:rsidR="00D0247C" w:rsidRPr="00D90ACB">
        <w:t xml:space="preserve">“The Political Economy of Numbers: On the Application of </w:t>
      </w:r>
      <w:r w:rsidR="00487769">
        <w:t>BL</w:t>
      </w:r>
      <w:r w:rsidR="00D0247C" w:rsidRPr="00D90ACB">
        <w:t xml:space="preserve"> to International Macroeconomic Statistics” </w:t>
      </w:r>
      <w:hyperlink r:id="rId18" w:history="1">
        <w:r w:rsidR="00D0247C" w:rsidRPr="009870B0">
          <w:rPr>
            <w:rFonts w:cs="Times New Roman"/>
            <w:i/>
            <w:iCs/>
          </w:rPr>
          <w:t>The B.E. Journal of Macroeconomics</w:t>
        </w:r>
      </w:hyperlink>
      <w:r w:rsidR="00D0247C" w:rsidRPr="009870B0">
        <w:rPr>
          <w:rFonts w:cs="Times New Roman"/>
        </w:rPr>
        <w:t xml:space="preserve"> 7</w:t>
      </w:r>
      <w:r w:rsidR="00CA4E57" w:rsidRPr="009870B0">
        <w:rPr>
          <w:rFonts w:cs="Times New Roman"/>
        </w:rPr>
        <w:t>(</w:t>
      </w:r>
      <w:r w:rsidR="00D0247C" w:rsidRPr="009870B0">
        <w:rPr>
          <w:rFonts w:cs="Times New Roman"/>
        </w:rPr>
        <w:t>1</w:t>
      </w:r>
      <w:r w:rsidR="00CA4E57" w:rsidRPr="009870B0">
        <w:rPr>
          <w:rFonts w:cs="Times New Roman"/>
        </w:rPr>
        <w:t xml:space="preserve">), </w:t>
      </w:r>
      <w:r w:rsidR="00D0247C" w:rsidRPr="009870B0">
        <w:rPr>
          <w:rFonts w:cs="Times New Roman"/>
        </w:rPr>
        <w:t>1-14.</w:t>
      </w:r>
    </w:p>
    <w:p w14:paraId="4AF94A95" w14:textId="5C064A93" w:rsidR="00991E8F" w:rsidRPr="009870B0" w:rsidRDefault="00D0247C" w:rsidP="00D90ACB">
      <w:pPr>
        <w:spacing w:before="100" w:beforeAutospacing="1" w:after="100" w:afterAutospacing="1" w:line="360" w:lineRule="auto"/>
        <w:rPr>
          <w:rFonts w:cs="Times New Roman"/>
        </w:rPr>
      </w:pPr>
      <w:proofErr w:type="spellStart"/>
      <w:r w:rsidRPr="00D90ACB">
        <w:t>Realdon</w:t>
      </w:r>
      <w:proofErr w:type="spellEnd"/>
      <w:r w:rsidR="00991E8F" w:rsidRPr="00D90ACB">
        <w:t xml:space="preserve"> M. (2008). Credit default swap rates and stock prices. </w:t>
      </w:r>
      <w:r w:rsidR="00991E8F" w:rsidRPr="00CA4E57">
        <w:rPr>
          <w:i/>
        </w:rPr>
        <w:t xml:space="preserve">Applied Financial Economics </w:t>
      </w:r>
      <w:r w:rsidR="00991E8F" w:rsidRPr="001B0B09">
        <w:rPr>
          <w:i/>
        </w:rPr>
        <w:t>Letters</w:t>
      </w:r>
      <w:r w:rsidR="00991E8F" w:rsidRPr="00D90ACB">
        <w:t>, 4(4), 241–248.</w:t>
      </w:r>
    </w:p>
    <w:p w14:paraId="229F17A4" w14:textId="2FD5E436" w:rsidR="00D2536D" w:rsidRPr="00D90ACB" w:rsidRDefault="00CA4E57" w:rsidP="00D90ACB">
      <w:pPr>
        <w:pStyle w:val="NormaleWeb"/>
        <w:spacing w:line="360" w:lineRule="auto"/>
        <w:rPr>
          <w:rFonts w:asciiTheme="minorHAnsi" w:hAnsiTheme="minorHAnsi"/>
          <w:sz w:val="24"/>
          <w:szCs w:val="24"/>
          <w:lang w:val="en-GB"/>
        </w:rPr>
      </w:pPr>
      <w:r>
        <w:rPr>
          <w:rFonts w:asciiTheme="minorHAnsi" w:hAnsiTheme="minorHAnsi"/>
          <w:sz w:val="24"/>
          <w:szCs w:val="24"/>
          <w:lang w:val="en-GB"/>
        </w:rPr>
        <w:t>Tam Cho, W.K.</w:t>
      </w:r>
      <w:r w:rsidR="00D2536D" w:rsidRPr="00D90ACB">
        <w:rPr>
          <w:rFonts w:asciiTheme="minorHAnsi" w:hAnsiTheme="minorHAnsi"/>
          <w:sz w:val="24"/>
          <w:szCs w:val="24"/>
          <w:lang w:val="en-GB"/>
        </w:rPr>
        <w:t xml:space="preserve">, </w:t>
      </w:r>
      <w:r>
        <w:rPr>
          <w:rFonts w:asciiTheme="minorHAnsi" w:hAnsiTheme="minorHAnsi"/>
          <w:sz w:val="24"/>
          <w:szCs w:val="24"/>
          <w:lang w:val="en-GB"/>
        </w:rPr>
        <w:t>Gaines B.</w:t>
      </w:r>
      <w:r w:rsidR="00D2536D" w:rsidRPr="00D90ACB">
        <w:rPr>
          <w:rFonts w:asciiTheme="minorHAnsi" w:hAnsiTheme="minorHAnsi"/>
          <w:sz w:val="24"/>
          <w:szCs w:val="24"/>
          <w:lang w:val="en-GB"/>
        </w:rPr>
        <w:t>J.,</w:t>
      </w:r>
      <w:r>
        <w:rPr>
          <w:rFonts w:asciiTheme="minorHAnsi" w:hAnsiTheme="minorHAnsi"/>
          <w:sz w:val="24"/>
          <w:szCs w:val="24"/>
          <w:lang w:val="en-GB"/>
        </w:rPr>
        <w:t xml:space="preserve"> (2007).</w:t>
      </w:r>
      <w:r w:rsidR="00D2536D" w:rsidRPr="00D90ACB">
        <w:rPr>
          <w:rFonts w:asciiTheme="minorHAnsi" w:hAnsiTheme="minorHAnsi"/>
          <w:sz w:val="24"/>
          <w:szCs w:val="24"/>
          <w:lang w:val="en-GB"/>
        </w:rPr>
        <w:t xml:space="preserve"> “Breaking the (</w:t>
      </w:r>
      <w:proofErr w:type="spellStart"/>
      <w:r w:rsidR="00D2536D" w:rsidRPr="00D90ACB">
        <w:rPr>
          <w:rFonts w:asciiTheme="minorHAnsi" w:hAnsiTheme="minorHAnsi"/>
          <w:sz w:val="24"/>
          <w:szCs w:val="24"/>
          <w:lang w:val="en-GB"/>
        </w:rPr>
        <w:t>Benford</w:t>
      </w:r>
      <w:proofErr w:type="spellEnd"/>
      <w:r w:rsidR="00D2536D" w:rsidRPr="00D90ACB">
        <w:rPr>
          <w:rFonts w:asciiTheme="minorHAnsi" w:hAnsiTheme="minorHAnsi"/>
          <w:sz w:val="24"/>
          <w:szCs w:val="24"/>
          <w:lang w:val="en-GB"/>
        </w:rPr>
        <w:t xml:space="preserve">) Law. Statistical Fraud Detection in Campaign Finance” </w:t>
      </w:r>
      <w:r w:rsidR="00D2536D" w:rsidRPr="00D90ACB">
        <w:rPr>
          <w:rFonts w:asciiTheme="minorHAnsi" w:hAnsiTheme="minorHAnsi"/>
          <w:i/>
          <w:iCs/>
          <w:sz w:val="24"/>
          <w:szCs w:val="24"/>
          <w:lang w:val="en-GB"/>
        </w:rPr>
        <w:t xml:space="preserve">The American Statistician </w:t>
      </w:r>
      <w:r w:rsidR="00D2536D" w:rsidRPr="00CA4E57">
        <w:rPr>
          <w:rFonts w:asciiTheme="minorHAnsi" w:hAnsiTheme="minorHAnsi"/>
          <w:iCs/>
          <w:sz w:val="24"/>
          <w:szCs w:val="24"/>
          <w:lang w:val="en-GB"/>
        </w:rPr>
        <w:t>61</w:t>
      </w:r>
      <w:r>
        <w:rPr>
          <w:rFonts w:asciiTheme="minorHAnsi" w:hAnsiTheme="minorHAnsi"/>
          <w:sz w:val="24"/>
          <w:szCs w:val="24"/>
          <w:lang w:val="en-GB"/>
        </w:rPr>
        <w:t>(</w:t>
      </w:r>
      <w:r w:rsidR="00D2536D" w:rsidRPr="00D90ACB">
        <w:rPr>
          <w:rFonts w:asciiTheme="minorHAnsi" w:hAnsiTheme="minorHAnsi"/>
          <w:sz w:val="24"/>
          <w:szCs w:val="24"/>
          <w:lang w:val="en-GB"/>
        </w:rPr>
        <w:t>3)</w:t>
      </w:r>
      <w:r>
        <w:rPr>
          <w:rFonts w:asciiTheme="minorHAnsi" w:hAnsiTheme="minorHAnsi"/>
          <w:sz w:val="24"/>
          <w:szCs w:val="24"/>
          <w:lang w:val="en-GB"/>
        </w:rPr>
        <w:t>,</w:t>
      </w:r>
      <w:r w:rsidR="00D2536D" w:rsidRPr="00D90ACB">
        <w:rPr>
          <w:rFonts w:asciiTheme="minorHAnsi" w:hAnsiTheme="minorHAnsi"/>
          <w:sz w:val="24"/>
          <w:szCs w:val="24"/>
          <w:lang w:val="en-GB"/>
        </w:rPr>
        <w:t xml:space="preserve"> 218-223. </w:t>
      </w:r>
    </w:p>
    <w:p w14:paraId="253C0F0A" w14:textId="2EE3D5B8" w:rsidR="00991E8F" w:rsidRPr="00D90ACB" w:rsidRDefault="00D0247C" w:rsidP="00D90ACB">
      <w:pPr>
        <w:pStyle w:val="NormaleWeb"/>
        <w:spacing w:line="360" w:lineRule="auto"/>
        <w:rPr>
          <w:rFonts w:asciiTheme="minorHAnsi" w:hAnsiTheme="minorHAnsi"/>
          <w:sz w:val="24"/>
          <w:szCs w:val="24"/>
          <w:lang w:val="en-GB"/>
        </w:rPr>
      </w:pPr>
      <w:r w:rsidRPr="00D90ACB">
        <w:rPr>
          <w:rFonts w:asciiTheme="minorHAnsi" w:hAnsiTheme="minorHAnsi"/>
          <w:sz w:val="24"/>
          <w:szCs w:val="24"/>
          <w:lang w:val="en-GB"/>
        </w:rPr>
        <w:t>Varian</w:t>
      </w:r>
      <w:r w:rsidR="00991E8F" w:rsidRPr="00D90ACB">
        <w:rPr>
          <w:rFonts w:asciiTheme="minorHAnsi" w:hAnsiTheme="minorHAnsi"/>
          <w:sz w:val="24"/>
          <w:szCs w:val="24"/>
          <w:lang w:val="en-GB"/>
        </w:rPr>
        <w:t xml:space="preserve"> H</w:t>
      </w:r>
      <w:r w:rsidR="00CA4E57">
        <w:rPr>
          <w:rFonts w:asciiTheme="minorHAnsi" w:hAnsiTheme="minorHAnsi"/>
          <w:sz w:val="24"/>
          <w:szCs w:val="24"/>
          <w:lang w:val="en-GB"/>
        </w:rPr>
        <w:t>.</w:t>
      </w:r>
      <w:r w:rsidR="00991E8F" w:rsidRPr="00D90ACB">
        <w:rPr>
          <w:rFonts w:asciiTheme="minorHAnsi" w:hAnsiTheme="minorHAnsi"/>
          <w:sz w:val="24"/>
          <w:szCs w:val="24"/>
          <w:lang w:val="en-GB"/>
        </w:rPr>
        <w:t>R.</w:t>
      </w:r>
      <w:r w:rsidRPr="00D90ACB">
        <w:rPr>
          <w:rFonts w:asciiTheme="minorHAnsi" w:hAnsiTheme="minorHAnsi"/>
          <w:sz w:val="24"/>
          <w:szCs w:val="24"/>
          <w:lang w:val="en-GB"/>
        </w:rPr>
        <w:t>,</w:t>
      </w:r>
      <w:r w:rsidR="00991E8F" w:rsidRPr="00D90ACB">
        <w:rPr>
          <w:rFonts w:asciiTheme="minorHAnsi" w:hAnsiTheme="minorHAnsi"/>
          <w:sz w:val="24"/>
          <w:szCs w:val="24"/>
          <w:lang w:val="en-GB"/>
        </w:rPr>
        <w:t xml:space="preserve"> </w:t>
      </w:r>
      <w:r w:rsidR="00CA4E57">
        <w:rPr>
          <w:rFonts w:asciiTheme="minorHAnsi" w:hAnsiTheme="minorHAnsi"/>
          <w:sz w:val="24"/>
          <w:szCs w:val="24"/>
          <w:lang w:val="en-GB"/>
        </w:rPr>
        <w:t xml:space="preserve">(1972). </w:t>
      </w:r>
      <w:r w:rsidR="00991E8F" w:rsidRPr="00D90ACB">
        <w:rPr>
          <w:rFonts w:asciiTheme="minorHAnsi" w:hAnsiTheme="minorHAnsi"/>
          <w:sz w:val="24"/>
          <w:szCs w:val="24"/>
          <w:lang w:val="en-GB"/>
        </w:rPr>
        <w:t>“</w:t>
      </w:r>
      <w:r w:rsidR="00487769">
        <w:rPr>
          <w:rFonts w:asciiTheme="minorHAnsi" w:hAnsiTheme="minorHAnsi"/>
          <w:sz w:val="24"/>
          <w:szCs w:val="24"/>
          <w:lang w:val="en-GB"/>
        </w:rPr>
        <w:t>BL</w:t>
      </w:r>
      <w:r w:rsidR="00991E8F" w:rsidRPr="00D90ACB">
        <w:rPr>
          <w:rFonts w:asciiTheme="minorHAnsi" w:hAnsiTheme="minorHAnsi"/>
          <w:sz w:val="24"/>
          <w:szCs w:val="24"/>
          <w:lang w:val="en-GB"/>
        </w:rPr>
        <w:t>”</w:t>
      </w:r>
      <w:r w:rsidR="00991E8F" w:rsidRPr="00D90ACB">
        <w:rPr>
          <w:rFonts w:asciiTheme="minorHAnsi" w:hAnsiTheme="minorHAnsi"/>
          <w:i/>
          <w:sz w:val="24"/>
          <w:szCs w:val="24"/>
          <w:lang w:val="en-GB"/>
        </w:rPr>
        <w:t xml:space="preserve"> </w:t>
      </w:r>
      <w:r w:rsidR="00CA4E57">
        <w:rPr>
          <w:rFonts w:asciiTheme="minorHAnsi" w:hAnsiTheme="minorHAnsi"/>
          <w:i/>
          <w:sz w:val="24"/>
          <w:szCs w:val="24"/>
          <w:lang w:val="en-GB"/>
        </w:rPr>
        <w:t xml:space="preserve">The </w:t>
      </w:r>
      <w:r w:rsidR="00991E8F" w:rsidRPr="00D90ACB">
        <w:rPr>
          <w:rFonts w:asciiTheme="minorHAnsi" w:hAnsiTheme="minorHAnsi"/>
          <w:i/>
          <w:sz w:val="24"/>
          <w:szCs w:val="24"/>
          <w:lang w:val="en-GB"/>
        </w:rPr>
        <w:t>American Statistician</w:t>
      </w:r>
      <w:r w:rsidR="001D0D12" w:rsidRPr="00D90ACB">
        <w:rPr>
          <w:rFonts w:asciiTheme="minorHAnsi" w:hAnsiTheme="minorHAnsi"/>
          <w:sz w:val="24"/>
          <w:szCs w:val="24"/>
          <w:lang w:val="en-GB"/>
        </w:rPr>
        <w:t xml:space="preserve"> 23</w:t>
      </w:r>
      <w:r w:rsidR="00991E8F" w:rsidRPr="00D90ACB">
        <w:rPr>
          <w:rFonts w:asciiTheme="minorHAnsi" w:hAnsiTheme="minorHAnsi"/>
          <w:sz w:val="24"/>
          <w:szCs w:val="24"/>
          <w:lang w:val="en-GB"/>
        </w:rPr>
        <w:t xml:space="preserve">, </w:t>
      </w:r>
      <w:r w:rsidR="001D0D12" w:rsidRPr="00D90ACB">
        <w:rPr>
          <w:rFonts w:asciiTheme="minorHAnsi" w:hAnsiTheme="minorHAnsi"/>
          <w:sz w:val="24"/>
          <w:szCs w:val="24"/>
          <w:lang w:val="en-GB"/>
        </w:rPr>
        <w:t>65-66.</w:t>
      </w:r>
      <w:r w:rsidR="00991E8F" w:rsidRPr="00D90ACB">
        <w:rPr>
          <w:rFonts w:asciiTheme="minorHAnsi" w:hAnsiTheme="minorHAnsi"/>
          <w:sz w:val="24"/>
          <w:szCs w:val="24"/>
          <w:lang w:val="en-GB"/>
        </w:rPr>
        <w:t xml:space="preserve"> </w:t>
      </w:r>
    </w:p>
    <w:p w14:paraId="0D021DC0" w14:textId="77777777" w:rsidR="00991E8F" w:rsidRPr="00D90ACB" w:rsidRDefault="00991E8F" w:rsidP="00D90ACB">
      <w:pPr>
        <w:pStyle w:val="NormaleWeb"/>
        <w:spacing w:line="360" w:lineRule="auto"/>
        <w:rPr>
          <w:rFonts w:asciiTheme="minorHAnsi" w:hAnsiTheme="minorHAnsi"/>
          <w:sz w:val="24"/>
          <w:szCs w:val="24"/>
          <w:lang w:val="en-GB"/>
        </w:rPr>
      </w:pPr>
    </w:p>
    <w:p w14:paraId="1613BF98" w14:textId="77777777" w:rsidR="00991E8F" w:rsidRPr="00D90ACB" w:rsidRDefault="00991E8F" w:rsidP="00D90ACB">
      <w:pPr>
        <w:pStyle w:val="NormaleWeb"/>
        <w:spacing w:line="360" w:lineRule="auto"/>
        <w:rPr>
          <w:rFonts w:asciiTheme="minorHAnsi" w:hAnsiTheme="minorHAnsi"/>
          <w:sz w:val="24"/>
          <w:szCs w:val="24"/>
          <w:lang w:val="en-GB"/>
        </w:rPr>
      </w:pPr>
    </w:p>
    <w:p w14:paraId="4134E41F" w14:textId="1A89E186" w:rsidR="00233EF2" w:rsidRPr="00D90ACB" w:rsidRDefault="00233EF2" w:rsidP="00D90ACB">
      <w:pPr>
        <w:spacing w:line="360" w:lineRule="auto"/>
        <w:jc w:val="both"/>
        <w:rPr>
          <w:rFonts w:cs="Arial"/>
        </w:rPr>
      </w:pPr>
    </w:p>
    <w:p w14:paraId="3A33E091" w14:textId="3B7A72B9" w:rsidR="009B76ED" w:rsidRPr="00D90ACB" w:rsidRDefault="009B76ED" w:rsidP="00D90ACB">
      <w:pPr>
        <w:spacing w:line="360" w:lineRule="auto"/>
        <w:jc w:val="both"/>
        <w:rPr>
          <w:rFonts w:cs="Arial"/>
        </w:rPr>
      </w:pPr>
    </w:p>
    <w:p w14:paraId="24295786" w14:textId="77777777" w:rsidR="00A5597D" w:rsidRPr="00D90ACB" w:rsidRDefault="00A5597D" w:rsidP="00D90ACB">
      <w:pPr>
        <w:spacing w:line="360" w:lineRule="auto"/>
      </w:pPr>
    </w:p>
    <w:sectPr w:rsidR="00A5597D" w:rsidRPr="00D90ACB" w:rsidSect="00B55822">
      <w:footerReference w:type="default" r:id="rId19"/>
      <w:type w:val="continuous"/>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7DDE3" w14:textId="77777777" w:rsidR="00017A86" w:rsidRDefault="00017A86" w:rsidP="00B55822">
      <w:r>
        <w:separator/>
      </w:r>
    </w:p>
  </w:endnote>
  <w:endnote w:type="continuationSeparator" w:id="0">
    <w:p w14:paraId="7CEB3601" w14:textId="77777777" w:rsidR="00017A86" w:rsidRDefault="00017A86" w:rsidP="00B5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GPOCN N+ Gulliver">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F66F" w14:textId="77777777" w:rsidR="004450D2" w:rsidRDefault="004450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6D307" w14:textId="77777777" w:rsidR="00017A86" w:rsidRDefault="00017A86" w:rsidP="00B55822">
      <w:r>
        <w:separator/>
      </w:r>
    </w:p>
  </w:footnote>
  <w:footnote w:type="continuationSeparator" w:id="0">
    <w:p w14:paraId="7A76ADBE" w14:textId="77777777" w:rsidR="00017A86" w:rsidRDefault="00017A86" w:rsidP="00B55822">
      <w:r>
        <w:continuationSeparator/>
      </w:r>
    </w:p>
  </w:footnote>
  <w:footnote w:id="1">
    <w:p w14:paraId="6C12CBD5" w14:textId="77777777" w:rsidR="004450D2" w:rsidRPr="00602E4B" w:rsidRDefault="004450D2" w:rsidP="00602E4B">
      <w:pPr>
        <w:pStyle w:val="Paragrafoelenco"/>
        <w:spacing w:line="360" w:lineRule="auto"/>
        <w:ind w:left="0"/>
        <w:rPr>
          <w:rFonts w:cs="Arial"/>
          <w:b/>
          <w:sz w:val="20"/>
          <w:szCs w:val="20"/>
        </w:rPr>
      </w:pPr>
      <w:r w:rsidRPr="00602E4B">
        <w:rPr>
          <w:rStyle w:val="Rimandonotaapidipagina"/>
          <w:sz w:val="20"/>
          <w:szCs w:val="20"/>
        </w:rPr>
        <w:footnoteRef/>
      </w:r>
      <w:r w:rsidRPr="00602E4B">
        <w:rPr>
          <w:sz w:val="20"/>
          <w:szCs w:val="20"/>
        </w:rPr>
        <w:t xml:space="preserve"> </w:t>
      </w:r>
      <w:r w:rsidRPr="00602E4B">
        <w:rPr>
          <w:rFonts w:cs="Arial"/>
          <w:sz w:val="20"/>
          <w:szCs w:val="20"/>
        </w:rPr>
        <w:t xml:space="preserve">Corresponding author. University of Macerata - Department of Economics and Law, via </w:t>
      </w:r>
      <w:proofErr w:type="spellStart"/>
      <w:r w:rsidRPr="00602E4B">
        <w:rPr>
          <w:rFonts w:cs="Arial"/>
          <w:sz w:val="20"/>
          <w:szCs w:val="20"/>
        </w:rPr>
        <w:t>Crescimbeni</w:t>
      </w:r>
      <w:proofErr w:type="spellEnd"/>
      <w:r w:rsidRPr="00602E4B">
        <w:rPr>
          <w:rFonts w:cs="Arial"/>
          <w:sz w:val="20"/>
          <w:szCs w:val="20"/>
        </w:rPr>
        <w:t xml:space="preserve"> 20, Macerata I-62100, Italy. Tel.: +39 0733 2583246. Fax: +39 0733 2583205. Email: roy.cerqueti@unimc.it.</w:t>
      </w:r>
    </w:p>
    <w:p w14:paraId="3630AD3B" w14:textId="392F711A" w:rsidR="004450D2" w:rsidRPr="00602E4B" w:rsidRDefault="004450D2">
      <w:pPr>
        <w:pStyle w:val="Testonotaapidipagina"/>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D"/>
    <w:multiLevelType w:val="hybridMultilevel"/>
    <w:tmpl w:val="0000001D"/>
    <w:lvl w:ilvl="0" w:tplc="00000AF1">
      <w:start w:val="1"/>
      <w:numFmt w:val="bullet"/>
      <w:lvlText w:val="•"/>
      <w:lvlJc w:val="left"/>
      <w:pPr>
        <w:ind w:left="720" w:hanging="360"/>
      </w:pPr>
    </w:lvl>
    <w:lvl w:ilvl="1" w:tplc="00000AF2">
      <w:start w:val="1"/>
      <w:numFmt w:val="bullet"/>
      <w:lvlText w:val="o"/>
      <w:lvlJc w:val="left"/>
      <w:pPr>
        <w:ind w:left="1440" w:hanging="360"/>
      </w:pPr>
    </w:lvl>
    <w:lvl w:ilvl="2" w:tplc="00000AF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E"/>
    <w:multiLevelType w:val="hybridMultilevel"/>
    <w:tmpl w:val="0000001E"/>
    <w:lvl w:ilvl="0" w:tplc="00000B55">
      <w:start w:val="1"/>
      <w:numFmt w:val="bullet"/>
      <w:lvlText w:val="•"/>
      <w:lvlJc w:val="left"/>
      <w:pPr>
        <w:ind w:left="720" w:hanging="360"/>
      </w:pPr>
    </w:lvl>
    <w:lvl w:ilvl="1" w:tplc="00000B56">
      <w:start w:val="1"/>
      <w:numFmt w:val="bullet"/>
      <w:lvlText w:val="o"/>
      <w:lvlJc w:val="left"/>
      <w:pPr>
        <w:ind w:left="1440" w:hanging="360"/>
      </w:pPr>
    </w:lvl>
    <w:lvl w:ilvl="2" w:tplc="00000B5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F"/>
    <w:multiLevelType w:val="hybridMultilevel"/>
    <w:tmpl w:val="0000001F"/>
    <w:lvl w:ilvl="0" w:tplc="00000BB9">
      <w:start w:val="1"/>
      <w:numFmt w:val="bullet"/>
      <w:lvlText w:val="•"/>
      <w:lvlJc w:val="left"/>
      <w:pPr>
        <w:ind w:left="720" w:hanging="360"/>
      </w:pPr>
    </w:lvl>
    <w:lvl w:ilvl="1" w:tplc="00000BBA">
      <w:start w:val="1"/>
      <w:numFmt w:val="bullet"/>
      <w:lvlText w:val="o"/>
      <w:lvlJc w:val="left"/>
      <w:pPr>
        <w:ind w:left="1440" w:hanging="360"/>
      </w:pPr>
    </w:lvl>
    <w:lvl w:ilvl="2" w:tplc="00000BB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0"/>
    <w:multiLevelType w:val="hybridMultilevel"/>
    <w:tmpl w:val="00000020"/>
    <w:lvl w:ilvl="0" w:tplc="00000C1D">
      <w:start w:val="1"/>
      <w:numFmt w:val="bullet"/>
      <w:lvlText w:val="•"/>
      <w:lvlJc w:val="left"/>
      <w:pPr>
        <w:ind w:left="720" w:hanging="360"/>
      </w:pPr>
    </w:lvl>
    <w:lvl w:ilvl="1" w:tplc="00000C1E">
      <w:start w:val="1"/>
      <w:numFmt w:val="bullet"/>
      <w:lvlText w:val="o"/>
      <w:lvlJc w:val="left"/>
      <w:pPr>
        <w:ind w:left="1440" w:hanging="360"/>
      </w:pPr>
    </w:lvl>
    <w:lvl w:ilvl="2" w:tplc="00000C1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21"/>
    <w:multiLevelType w:val="hybridMultilevel"/>
    <w:tmpl w:val="00000021"/>
    <w:lvl w:ilvl="0" w:tplc="00000C81">
      <w:start w:val="1"/>
      <w:numFmt w:val="bullet"/>
      <w:lvlText w:val="•"/>
      <w:lvlJc w:val="left"/>
      <w:pPr>
        <w:ind w:left="720" w:hanging="360"/>
      </w:pPr>
    </w:lvl>
    <w:lvl w:ilvl="1" w:tplc="00000C82">
      <w:start w:val="1"/>
      <w:numFmt w:val="bullet"/>
      <w:lvlText w:val="o"/>
      <w:lvlJc w:val="left"/>
      <w:pPr>
        <w:ind w:left="1440" w:hanging="360"/>
      </w:pPr>
    </w:lvl>
    <w:lvl w:ilvl="2" w:tplc="00000C8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22"/>
    <w:multiLevelType w:val="hybridMultilevel"/>
    <w:tmpl w:val="00000022"/>
    <w:lvl w:ilvl="0" w:tplc="00000CE5">
      <w:start w:val="1"/>
      <w:numFmt w:val="bullet"/>
      <w:lvlText w:val="•"/>
      <w:lvlJc w:val="left"/>
      <w:pPr>
        <w:ind w:left="720" w:hanging="360"/>
      </w:pPr>
    </w:lvl>
    <w:lvl w:ilvl="1" w:tplc="00000CE6">
      <w:start w:val="1"/>
      <w:numFmt w:val="bullet"/>
      <w:lvlText w:val="o"/>
      <w:lvlJc w:val="left"/>
      <w:pPr>
        <w:ind w:left="1440" w:hanging="360"/>
      </w:pPr>
    </w:lvl>
    <w:lvl w:ilvl="2" w:tplc="00000CE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52115F"/>
    <w:multiLevelType w:val="hybridMultilevel"/>
    <w:tmpl w:val="DA22E140"/>
    <w:lvl w:ilvl="0" w:tplc="A55C49C0">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913B8B"/>
    <w:multiLevelType w:val="multilevel"/>
    <w:tmpl w:val="0950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041E4"/>
    <w:multiLevelType w:val="multilevel"/>
    <w:tmpl w:val="3922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F247B"/>
    <w:multiLevelType w:val="hybridMultilevel"/>
    <w:tmpl w:val="8996BC7A"/>
    <w:lvl w:ilvl="0" w:tplc="B8AC37FE">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041910"/>
    <w:multiLevelType w:val="hybridMultilevel"/>
    <w:tmpl w:val="59EC05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682412"/>
    <w:multiLevelType w:val="hybridMultilevel"/>
    <w:tmpl w:val="0A8A9A90"/>
    <w:lvl w:ilvl="0" w:tplc="79924810">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17076D"/>
    <w:multiLevelType w:val="multilevel"/>
    <w:tmpl w:val="351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00EC0"/>
    <w:multiLevelType w:val="hybridMultilevel"/>
    <w:tmpl w:val="770EEB5C"/>
    <w:lvl w:ilvl="0" w:tplc="CEE6ECA0">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AA51DD"/>
    <w:multiLevelType w:val="hybridMultilevel"/>
    <w:tmpl w:val="98B0FDC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3D6624E"/>
    <w:multiLevelType w:val="hybridMultilevel"/>
    <w:tmpl w:val="AD623C06"/>
    <w:lvl w:ilvl="0" w:tplc="325C419E">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521DA2"/>
    <w:multiLevelType w:val="multilevel"/>
    <w:tmpl w:val="0558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70F39"/>
    <w:multiLevelType w:val="hybridMultilevel"/>
    <w:tmpl w:val="129E9B44"/>
    <w:lvl w:ilvl="0" w:tplc="92FA26B4">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AA2713"/>
    <w:multiLevelType w:val="multilevel"/>
    <w:tmpl w:val="A03C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40FCC"/>
    <w:multiLevelType w:val="hybridMultilevel"/>
    <w:tmpl w:val="63202D86"/>
    <w:lvl w:ilvl="0" w:tplc="B644DE9A">
      <w:start w:val="1"/>
      <w:numFmt w:val="bullet"/>
      <w:lvlText w:val=""/>
      <w:lvlJc w:val="left"/>
      <w:pPr>
        <w:tabs>
          <w:tab w:val="num" w:pos="720"/>
        </w:tabs>
        <w:ind w:left="720" w:hanging="360"/>
      </w:pPr>
      <w:rPr>
        <w:rFonts w:ascii="Wingdings" w:hAnsi="Wingdings" w:hint="default"/>
      </w:rPr>
    </w:lvl>
    <w:lvl w:ilvl="1" w:tplc="7748867A">
      <w:numFmt w:val="bullet"/>
      <w:lvlText w:val=""/>
      <w:lvlJc w:val="left"/>
      <w:pPr>
        <w:tabs>
          <w:tab w:val="num" w:pos="1440"/>
        </w:tabs>
        <w:ind w:left="1440" w:hanging="360"/>
      </w:pPr>
      <w:rPr>
        <w:rFonts w:ascii="Wingdings" w:hAnsi="Wingdings" w:hint="default"/>
      </w:rPr>
    </w:lvl>
    <w:lvl w:ilvl="2" w:tplc="57F274F8" w:tentative="1">
      <w:start w:val="1"/>
      <w:numFmt w:val="bullet"/>
      <w:lvlText w:val=""/>
      <w:lvlJc w:val="left"/>
      <w:pPr>
        <w:tabs>
          <w:tab w:val="num" w:pos="2160"/>
        </w:tabs>
        <w:ind w:left="2160" w:hanging="360"/>
      </w:pPr>
      <w:rPr>
        <w:rFonts w:ascii="Wingdings" w:hAnsi="Wingdings" w:hint="default"/>
      </w:rPr>
    </w:lvl>
    <w:lvl w:ilvl="3" w:tplc="D576AE50" w:tentative="1">
      <w:start w:val="1"/>
      <w:numFmt w:val="bullet"/>
      <w:lvlText w:val=""/>
      <w:lvlJc w:val="left"/>
      <w:pPr>
        <w:tabs>
          <w:tab w:val="num" w:pos="2880"/>
        </w:tabs>
        <w:ind w:left="2880" w:hanging="360"/>
      </w:pPr>
      <w:rPr>
        <w:rFonts w:ascii="Wingdings" w:hAnsi="Wingdings" w:hint="default"/>
      </w:rPr>
    </w:lvl>
    <w:lvl w:ilvl="4" w:tplc="CFC074CA" w:tentative="1">
      <w:start w:val="1"/>
      <w:numFmt w:val="bullet"/>
      <w:lvlText w:val=""/>
      <w:lvlJc w:val="left"/>
      <w:pPr>
        <w:tabs>
          <w:tab w:val="num" w:pos="3600"/>
        </w:tabs>
        <w:ind w:left="3600" w:hanging="360"/>
      </w:pPr>
      <w:rPr>
        <w:rFonts w:ascii="Wingdings" w:hAnsi="Wingdings" w:hint="default"/>
      </w:rPr>
    </w:lvl>
    <w:lvl w:ilvl="5" w:tplc="CF0C9032" w:tentative="1">
      <w:start w:val="1"/>
      <w:numFmt w:val="bullet"/>
      <w:lvlText w:val=""/>
      <w:lvlJc w:val="left"/>
      <w:pPr>
        <w:tabs>
          <w:tab w:val="num" w:pos="4320"/>
        </w:tabs>
        <w:ind w:left="4320" w:hanging="360"/>
      </w:pPr>
      <w:rPr>
        <w:rFonts w:ascii="Wingdings" w:hAnsi="Wingdings" w:hint="default"/>
      </w:rPr>
    </w:lvl>
    <w:lvl w:ilvl="6" w:tplc="57ACC002" w:tentative="1">
      <w:start w:val="1"/>
      <w:numFmt w:val="bullet"/>
      <w:lvlText w:val=""/>
      <w:lvlJc w:val="left"/>
      <w:pPr>
        <w:tabs>
          <w:tab w:val="num" w:pos="5040"/>
        </w:tabs>
        <w:ind w:left="5040" w:hanging="360"/>
      </w:pPr>
      <w:rPr>
        <w:rFonts w:ascii="Wingdings" w:hAnsi="Wingdings" w:hint="default"/>
      </w:rPr>
    </w:lvl>
    <w:lvl w:ilvl="7" w:tplc="9768D98A" w:tentative="1">
      <w:start w:val="1"/>
      <w:numFmt w:val="bullet"/>
      <w:lvlText w:val=""/>
      <w:lvlJc w:val="left"/>
      <w:pPr>
        <w:tabs>
          <w:tab w:val="num" w:pos="5760"/>
        </w:tabs>
        <w:ind w:left="5760" w:hanging="360"/>
      </w:pPr>
      <w:rPr>
        <w:rFonts w:ascii="Wingdings" w:hAnsi="Wingdings" w:hint="default"/>
      </w:rPr>
    </w:lvl>
    <w:lvl w:ilvl="8" w:tplc="3D6A5788" w:tentative="1">
      <w:start w:val="1"/>
      <w:numFmt w:val="bullet"/>
      <w:lvlText w:val=""/>
      <w:lvlJc w:val="left"/>
      <w:pPr>
        <w:tabs>
          <w:tab w:val="num" w:pos="6480"/>
        </w:tabs>
        <w:ind w:left="6480" w:hanging="360"/>
      </w:pPr>
      <w:rPr>
        <w:rFonts w:ascii="Wingdings" w:hAnsi="Wingdings" w:hint="default"/>
      </w:rPr>
    </w:lvl>
  </w:abstractNum>
  <w:abstractNum w:abstractNumId="21">
    <w:nsid w:val="52AF57C1"/>
    <w:multiLevelType w:val="hybridMultilevel"/>
    <w:tmpl w:val="67941AC6"/>
    <w:lvl w:ilvl="0" w:tplc="C43CAF74">
      <w:start w:val="3"/>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3F53215"/>
    <w:multiLevelType w:val="hybridMultilevel"/>
    <w:tmpl w:val="D994BE00"/>
    <w:lvl w:ilvl="0" w:tplc="1CCC1A00">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967D1A"/>
    <w:multiLevelType w:val="hybridMultilevel"/>
    <w:tmpl w:val="0B6472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6E972F9"/>
    <w:multiLevelType w:val="hybridMultilevel"/>
    <w:tmpl w:val="1632BA94"/>
    <w:lvl w:ilvl="0" w:tplc="12EC250E">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E16691"/>
    <w:multiLevelType w:val="hybridMultilevel"/>
    <w:tmpl w:val="ABE4DAD0"/>
    <w:lvl w:ilvl="0" w:tplc="0A6C2250">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BD40A8"/>
    <w:multiLevelType w:val="hybridMultilevel"/>
    <w:tmpl w:val="ACC82AC4"/>
    <w:lvl w:ilvl="0" w:tplc="19843B62">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C9E313C"/>
    <w:multiLevelType w:val="hybridMultilevel"/>
    <w:tmpl w:val="B5D41B56"/>
    <w:lvl w:ilvl="0" w:tplc="E55C8098">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2F50D6"/>
    <w:multiLevelType w:val="hybridMultilevel"/>
    <w:tmpl w:val="E2427A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48E2BC1"/>
    <w:multiLevelType w:val="hybridMultilevel"/>
    <w:tmpl w:val="87B46A0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A4D23FF"/>
    <w:multiLevelType w:val="hybridMultilevel"/>
    <w:tmpl w:val="FEA8329A"/>
    <w:lvl w:ilvl="0" w:tplc="45F06FA8">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B6F27BD"/>
    <w:multiLevelType w:val="hybridMultilevel"/>
    <w:tmpl w:val="2A741356"/>
    <w:lvl w:ilvl="0" w:tplc="639251C4">
      <w:start w:val="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31"/>
  </w:num>
  <w:num w:numId="11">
    <w:abstractNumId w:val="18"/>
  </w:num>
  <w:num w:numId="12">
    <w:abstractNumId w:val="14"/>
  </w:num>
  <w:num w:numId="13">
    <w:abstractNumId w:val="26"/>
  </w:num>
  <w:num w:numId="14">
    <w:abstractNumId w:val="10"/>
  </w:num>
  <w:num w:numId="15">
    <w:abstractNumId w:val="24"/>
  </w:num>
  <w:num w:numId="16">
    <w:abstractNumId w:val="22"/>
  </w:num>
  <w:num w:numId="17">
    <w:abstractNumId w:val="30"/>
  </w:num>
  <w:num w:numId="18">
    <w:abstractNumId w:val="25"/>
  </w:num>
  <w:num w:numId="19">
    <w:abstractNumId w:val="27"/>
  </w:num>
  <w:num w:numId="20">
    <w:abstractNumId w:val="12"/>
  </w:num>
  <w:num w:numId="21">
    <w:abstractNumId w:val="16"/>
  </w:num>
  <w:num w:numId="22">
    <w:abstractNumId w:val="7"/>
  </w:num>
  <w:num w:numId="23">
    <w:abstractNumId w:val="15"/>
  </w:num>
  <w:num w:numId="24">
    <w:abstractNumId w:val="29"/>
  </w:num>
  <w:num w:numId="25">
    <w:abstractNumId w:val="20"/>
  </w:num>
  <w:num w:numId="26">
    <w:abstractNumId w:val="19"/>
  </w:num>
  <w:num w:numId="27">
    <w:abstractNumId w:val="8"/>
  </w:num>
  <w:num w:numId="28">
    <w:abstractNumId w:val="17"/>
  </w:num>
  <w:num w:numId="29">
    <w:abstractNumId w:val="9"/>
  </w:num>
  <w:num w:numId="30">
    <w:abstractNumId w:val="13"/>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CE"/>
    <w:rsid w:val="00001027"/>
    <w:rsid w:val="00013894"/>
    <w:rsid w:val="000167B0"/>
    <w:rsid w:val="00017A86"/>
    <w:rsid w:val="0003797A"/>
    <w:rsid w:val="0004577A"/>
    <w:rsid w:val="00062292"/>
    <w:rsid w:val="000755FF"/>
    <w:rsid w:val="00083491"/>
    <w:rsid w:val="00086667"/>
    <w:rsid w:val="000962E4"/>
    <w:rsid w:val="000968FF"/>
    <w:rsid w:val="000A75AC"/>
    <w:rsid w:val="000B32C5"/>
    <w:rsid w:val="000B71FA"/>
    <w:rsid w:val="000B7EA5"/>
    <w:rsid w:val="000C0E2C"/>
    <w:rsid w:val="000E07ED"/>
    <w:rsid w:val="000E3671"/>
    <w:rsid w:val="000F3A19"/>
    <w:rsid w:val="000F7651"/>
    <w:rsid w:val="0013232C"/>
    <w:rsid w:val="00147C8E"/>
    <w:rsid w:val="001657C0"/>
    <w:rsid w:val="001660F4"/>
    <w:rsid w:val="001A27E3"/>
    <w:rsid w:val="001A2839"/>
    <w:rsid w:val="001B0B09"/>
    <w:rsid w:val="001B13BF"/>
    <w:rsid w:val="001B19F2"/>
    <w:rsid w:val="001B522F"/>
    <w:rsid w:val="001D0620"/>
    <w:rsid w:val="001D0D12"/>
    <w:rsid w:val="001D156C"/>
    <w:rsid w:val="001D5D48"/>
    <w:rsid w:val="001E29E2"/>
    <w:rsid w:val="00230842"/>
    <w:rsid w:val="00233EF2"/>
    <w:rsid w:val="00234275"/>
    <w:rsid w:val="0024707B"/>
    <w:rsid w:val="00252DF3"/>
    <w:rsid w:val="00254B05"/>
    <w:rsid w:val="00266587"/>
    <w:rsid w:val="00273129"/>
    <w:rsid w:val="002A3D27"/>
    <w:rsid w:val="002C2C95"/>
    <w:rsid w:val="002C6BBA"/>
    <w:rsid w:val="002D3312"/>
    <w:rsid w:val="002D5EEB"/>
    <w:rsid w:val="002D7DFC"/>
    <w:rsid w:val="00312DE7"/>
    <w:rsid w:val="00341551"/>
    <w:rsid w:val="00342B8D"/>
    <w:rsid w:val="003503E8"/>
    <w:rsid w:val="00352529"/>
    <w:rsid w:val="00354D99"/>
    <w:rsid w:val="00361B64"/>
    <w:rsid w:val="00372E0F"/>
    <w:rsid w:val="00380532"/>
    <w:rsid w:val="00383D5E"/>
    <w:rsid w:val="0039796C"/>
    <w:rsid w:val="003B131F"/>
    <w:rsid w:val="003D32F1"/>
    <w:rsid w:val="003F68B6"/>
    <w:rsid w:val="004150FB"/>
    <w:rsid w:val="0041618B"/>
    <w:rsid w:val="00421C87"/>
    <w:rsid w:val="00423AB8"/>
    <w:rsid w:val="00426B3B"/>
    <w:rsid w:val="0044183D"/>
    <w:rsid w:val="004450D2"/>
    <w:rsid w:val="004458FB"/>
    <w:rsid w:val="00463C61"/>
    <w:rsid w:val="00467BE7"/>
    <w:rsid w:val="00474451"/>
    <w:rsid w:val="00480BA3"/>
    <w:rsid w:val="00485B6E"/>
    <w:rsid w:val="00487769"/>
    <w:rsid w:val="004959C4"/>
    <w:rsid w:val="004A4D72"/>
    <w:rsid w:val="004B1775"/>
    <w:rsid w:val="004B1A02"/>
    <w:rsid w:val="004E1FD0"/>
    <w:rsid w:val="00503D91"/>
    <w:rsid w:val="00505AA6"/>
    <w:rsid w:val="005119D6"/>
    <w:rsid w:val="00516755"/>
    <w:rsid w:val="0052288D"/>
    <w:rsid w:val="00534DC7"/>
    <w:rsid w:val="005400EE"/>
    <w:rsid w:val="0055348A"/>
    <w:rsid w:val="00553839"/>
    <w:rsid w:val="0055769D"/>
    <w:rsid w:val="005719E7"/>
    <w:rsid w:val="00584AE4"/>
    <w:rsid w:val="005A6638"/>
    <w:rsid w:val="005B3AB5"/>
    <w:rsid w:val="005C0D91"/>
    <w:rsid w:val="005C79DE"/>
    <w:rsid w:val="005E5A01"/>
    <w:rsid w:val="00600E3F"/>
    <w:rsid w:val="00602E4B"/>
    <w:rsid w:val="00623C6C"/>
    <w:rsid w:val="006253DF"/>
    <w:rsid w:val="0064130A"/>
    <w:rsid w:val="00643408"/>
    <w:rsid w:val="00672C8E"/>
    <w:rsid w:val="006A2B88"/>
    <w:rsid w:val="006A5A8C"/>
    <w:rsid w:val="006D1103"/>
    <w:rsid w:val="006E19BA"/>
    <w:rsid w:val="006E575D"/>
    <w:rsid w:val="006F559B"/>
    <w:rsid w:val="007014A2"/>
    <w:rsid w:val="00703475"/>
    <w:rsid w:val="0070376A"/>
    <w:rsid w:val="00706BA6"/>
    <w:rsid w:val="00724F50"/>
    <w:rsid w:val="00726ACE"/>
    <w:rsid w:val="00736BC7"/>
    <w:rsid w:val="00754736"/>
    <w:rsid w:val="007A02BC"/>
    <w:rsid w:val="007A04F5"/>
    <w:rsid w:val="007A767C"/>
    <w:rsid w:val="007B40A3"/>
    <w:rsid w:val="007E3D83"/>
    <w:rsid w:val="00816B4B"/>
    <w:rsid w:val="00831D37"/>
    <w:rsid w:val="008379C8"/>
    <w:rsid w:val="00890A25"/>
    <w:rsid w:val="00894668"/>
    <w:rsid w:val="008A09EB"/>
    <w:rsid w:val="008C744F"/>
    <w:rsid w:val="008F12E4"/>
    <w:rsid w:val="00914DAB"/>
    <w:rsid w:val="00916EFC"/>
    <w:rsid w:val="009179D0"/>
    <w:rsid w:val="00950D11"/>
    <w:rsid w:val="009645E4"/>
    <w:rsid w:val="009762BD"/>
    <w:rsid w:val="009870B0"/>
    <w:rsid w:val="00991E8F"/>
    <w:rsid w:val="0099378A"/>
    <w:rsid w:val="009953D8"/>
    <w:rsid w:val="009974A9"/>
    <w:rsid w:val="009A4F0F"/>
    <w:rsid w:val="009B1AFA"/>
    <w:rsid w:val="009B6712"/>
    <w:rsid w:val="009B76ED"/>
    <w:rsid w:val="009D522E"/>
    <w:rsid w:val="009F1E96"/>
    <w:rsid w:val="00A23277"/>
    <w:rsid w:val="00A26CCE"/>
    <w:rsid w:val="00A35248"/>
    <w:rsid w:val="00A51192"/>
    <w:rsid w:val="00A54BA2"/>
    <w:rsid w:val="00A5597D"/>
    <w:rsid w:val="00A71599"/>
    <w:rsid w:val="00A761C4"/>
    <w:rsid w:val="00A90556"/>
    <w:rsid w:val="00AD6FBA"/>
    <w:rsid w:val="00AF3E53"/>
    <w:rsid w:val="00AF5DEC"/>
    <w:rsid w:val="00B25548"/>
    <w:rsid w:val="00B319AD"/>
    <w:rsid w:val="00B369BA"/>
    <w:rsid w:val="00B40B96"/>
    <w:rsid w:val="00B55822"/>
    <w:rsid w:val="00B90718"/>
    <w:rsid w:val="00B936D3"/>
    <w:rsid w:val="00BA3256"/>
    <w:rsid w:val="00BC5FCE"/>
    <w:rsid w:val="00BD3ED0"/>
    <w:rsid w:val="00BF28A5"/>
    <w:rsid w:val="00BF47D3"/>
    <w:rsid w:val="00C02F22"/>
    <w:rsid w:val="00C04A9B"/>
    <w:rsid w:val="00C43284"/>
    <w:rsid w:val="00C475B0"/>
    <w:rsid w:val="00C62C51"/>
    <w:rsid w:val="00C713CB"/>
    <w:rsid w:val="00CA25C9"/>
    <w:rsid w:val="00CA4E57"/>
    <w:rsid w:val="00CB1E31"/>
    <w:rsid w:val="00CD32EF"/>
    <w:rsid w:val="00CE3003"/>
    <w:rsid w:val="00D0247C"/>
    <w:rsid w:val="00D10F34"/>
    <w:rsid w:val="00D2536D"/>
    <w:rsid w:val="00D25BA3"/>
    <w:rsid w:val="00D46429"/>
    <w:rsid w:val="00D90ACB"/>
    <w:rsid w:val="00DA1F8F"/>
    <w:rsid w:val="00DA611C"/>
    <w:rsid w:val="00DA712A"/>
    <w:rsid w:val="00DD1385"/>
    <w:rsid w:val="00DD5940"/>
    <w:rsid w:val="00DE527D"/>
    <w:rsid w:val="00DF310B"/>
    <w:rsid w:val="00DF527E"/>
    <w:rsid w:val="00E163BB"/>
    <w:rsid w:val="00E22ABD"/>
    <w:rsid w:val="00E7226C"/>
    <w:rsid w:val="00EA59E7"/>
    <w:rsid w:val="00EB15E5"/>
    <w:rsid w:val="00EC09AB"/>
    <w:rsid w:val="00EF22D2"/>
    <w:rsid w:val="00EF6D2E"/>
    <w:rsid w:val="00F16809"/>
    <w:rsid w:val="00F17761"/>
    <w:rsid w:val="00F47DA8"/>
    <w:rsid w:val="00F902F3"/>
    <w:rsid w:val="00FA0300"/>
    <w:rsid w:val="00FE71B5"/>
    <w:rsid w:val="00FF058E"/>
    <w:rsid w:val="00FF73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C9E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6CCE"/>
    <w:rPr>
      <w:lang w:val="en-GB"/>
    </w:rPr>
  </w:style>
  <w:style w:type="paragraph" w:styleId="Titolo1">
    <w:name w:val="heading 1"/>
    <w:basedOn w:val="Normale"/>
    <w:link w:val="Titolo1Carattere"/>
    <w:uiPriority w:val="9"/>
    <w:qFormat/>
    <w:rsid w:val="000A75AC"/>
    <w:pPr>
      <w:spacing w:before="100" w:beforeAutospacing="1" w:after="100" w:afterAutospacing="1"/>
      <w:outlineLvl w:val="0"/>
    </w:pPr>
    <w:rPr>
      <w:rFonts w:ascii="Times" w:hAnsi="Times"/>
      <w:b/>
      <w:bCs/>
      <w:kern w:val="36"/>
      <w:sz w:val="48"/>
      <w:szCs w:val="48"/>
      <w:lang w:val="it-IT"/>
    </w:rPr>
  </w:style>
  <w:style w:type="paragraph" w:styleId="Titolo2">
    <w:name w:val="heading 2"/>
    <w:basedOn w:val="Normale"/>
    <w:next w:val="Normale"/>
    <w:link w:val="Titolo2Carattere"/>
    <w:uiPriority w:val="9"/>
    <w:semiHidden/>
    <w:unhideWhenUsed/>
    <w:qFormat/>
    <w:rsid w:val="00D253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2536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6CCE"/>
    <w:pPr>
      <w:ind w:left="720"/>
      <w:contextualSpacing/>
    </w:pPr>
  </w:style>
  <w:style w:type="table" w:styleId="Grigliatabella">
    <w:name w:val="Table Grid"/>
    <w:basedOn w:val="Tabellanormale"/>
    <w:uiPriority w:val="59"/>
    <w:rsid w:val="00A26CC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26CC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26CCE"/>
    <w:rPr>
      <w:rFonts w:ascii="Lucida Grande" w:hAnsi="Lucida Grande" w:cs="Lucida Grande"/>
      <w:sz w:val="18"/>
      <w:szCs w:val="18"/>
      <w:lang w:val="en-GB"/>
    </w:rPr>
  </w:style>
  <w:style w:type="paragraph" w:styleId="Intestazione">
    <w:name w:val="header"/>
    <w:basedOn w:val="Normale"/>
    <w:link w:val="IntestazioneCarattere"/>
    <w:uiPriority w:val="99"/>
    <w:unhideWhenUsed/>
    <w:rsid w:val="00A26CCE"/>
    <w:pPr>
      <w:tabs>
        <w:tab w:val="center" w:pos="4819"/>
        <w:tab w:val="right" w:pos="9638"/>
      </w:tabs>
    </w:pPr>
  </w:style>
  <w:style w:type="character" w:customStyle="1" w:styleId="IntestazioneCarattere">
    <w:name w:val="Intestazione Carattere"/>
    <w:basedOn w:val="Carpredefinitoparagrafo"/>
    <w:link w:val="Intestazione"/>
    <w:uiPriority w:val="99"/>
    <w:rsid w:val="00A26CCE"/>
    <w:rPr>
      <w:lang w:val="en-GB"/>
    </w:rPr>
  </w:style>
  <w:style w:type="paragraph" w:styleId="Pidipagina">
    <w:name w:val="footer"/>
    <w:basedOn w:val="Normale"/>
    <w:link w:val="PidipaginaCarattere"/>
    <w:uiPriority w:val="99"/>
    <w:unhideWhenUsed/>
    <w:rsid w:val="00A26CCE"/>
    <w:pPr>
      <w:tabs>
        <w:tab w:val="center" w:pos="4819"/>
        <w:tab w:val="right" w:pos="9638"/>
      </w:tabs>
    </w:pPr>
  </w:style>
  <w:style w:type="character" w:customStyle="1" w:styleId="PidipaginaCarattere">
    <w:name w:val="Piè di pagina Carattere"/>
    <w:basedOn w:val="Carpredefinitoparagrafo"/>
    <w:link w:val="Pidipagina"/>
    <w:uiPriority w:val="99"/>
    <w:rsid w:val="00A26CCE"/>
    <w:rPr>
      <w:lang w:val="en-GB"/>
    </w:rPr>
  </w:style>
  <w:style w:type="paragraph" w:styleId="Nessunaspaziatura">
    <w:name w:val="No Spacing"/>
    <w:uiPriority w:val="1"/>
    <w:qFormat/>
    <w:rsid w:val="00A26CCE"/>
    <w:rPr>
      <w:lang w:val="en-GB"/>
    </w:rPr>
  </w:style>
  <w:style w:type="paragraph" w:styleId="PreformattatoHTML">
    <w:name w:val="HTML Preformatted"/>
    <w:basedOn w:val="Normale"/>
    <w:link w:val="PreformattatoHTMLCarattere"/>
    <w:uiPriority w:val="99"/>
    <w:unhideWhenUsed/>
    <w:rsid w:val="006D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it-IT"/>
    </w:rPr>
  </w:style>
  <w:style w:type="character" w:customStyle="1" w:styleId="PreformattatoHTMLCarattere">
    <w:name w:val="Preformattato HTML Carattere"/>
    <w:basedOn w:val="Carpredefinitoparagrafo"/>
    <w:link w:val="PreformattatoHTML"/>
    <w:uiPriority w:val="99"/>
    <w:rsid w:val="006D1103"/>
    <w:rPr>
      <w:rFonts w:ascii="Courier" w:hAnsi="Courier" w:cs="Courier"/>
      <w:sz w:val="20"/>
      <w:szCs w:val="20"/>
    </w:rPr>
  </w:style>
  <w:style w:type="paragraph" w:styleId="NormaleWeb">
    <w:name w:val="Normal (Web)"/>
    <w:basedOn w:val="Normale"/>
    <w:uiPriority w:val="99"/>
    <w:unhideWhenUsed/>
    <w:rsid w:val="00991E8F"/>
    <w:pPr>
      <w:spacing w:before="100" w:beforeAutospacing="1" w:after="100" w:afterAutospacing="1"/>
    </w:pPr>
    <w:rPr>
      <w:rFonts w:ascii="Times" w:hAnsi="Times" w:cs="Times New Roman"/>
      <w:sz w:val="20"/>
      <w:szCs w:val="20"/>
      <w:lang w:val="it-IT"/>
    </w:rPr>
  </w:style>
  <w:style w:type="character" w:customStyle="1" w:styleId="Titolo1Carattere">
    <w:name w:val="Titolo 1 Carattere"/>
    <w:basedOn w:val="Carpredefinitoparagrafo"/>
    <w:link w:val="Titolo1"/>
    <w:uiPriority w:val="9"/>
    <w:rsid w:val="000A75AC"/>
    <w:rPr>
      <w:rFonts w:ascii="Times" w:hAnsi="Times"/>
      <w:b/>
      <w:bCs/>
      <w:kern w:val="36"/>
      <w:sz w:val="48"/>
      <w:szCs w:val="48"/>
    </w:rPr>
  </w:style>
  <w:style w:type="character" w:styleId="Collegamentoipertestuale">
    <w:name w:val="Hyperlink"/>
    <w:basedOn w:val="Carpredefinitoparagrafo"/>
    <w:uiPriority w:val="99"/>
    <w:unhideWhenUsed/>
    <w:rsid w:val="000A75AC"/>
    <w:rPr>
      <w:color w:val="0000FF"/>
      <w:u w:val="single"/>
    </w:rPr>
  </w:style>
  <w:style w:type="character" w:customStyle="1" w:styleId="apple-converted-space">
    <w:name w:val="apple-converted-space"/>
    <w:basedOn w:val="Carpredefinitoparagrafo"/>
    <w:rsid w:val="000A75AC"/>
  </w:style>
  <w:style w:type="paragraph" w:customStyle="1" w:styleId="volissue">
    <w:name w:val="volissue"/>
    <w:basedOn w:val="Normale"/>
    <w:rsid w:val="0099378A"/>
    <w:pPr>
      <w:spacing w:before="100" w:beforeAutospacing="1" w:after="100" w:afterAutospacing="1"/>
    </w:pPr>
    <w:rPr>
      <w:rFonts w:ascii="Times" w:hAnsi="Times"/>
      <w:sz w:val="20"/>
      <w:szCs w:val="20"/>
      <w:lang w:val="it-IT"/>
    </w:rPr>
  </w:style>
  <w:style w:type="character" w:customStyle="1" w:styleId="journaltitle">
    <w:name w:val="journaltitle"/>
    <w:basedOn w:val="Carpredefinitoparagrafo"/>
    <w:rsid w:val="002A3D27"/>
  </w:style>
  <w:style w:type="paragraph" w:customStyle="1" w:styleId="icon--meta-keyline-before">
    <w:name w:val="icon--meta-keyline-before"/>
    <w:basedOn w:val="Normale"/>
    <w:rsid w:val="002A3D27"/>
    <w:pPr>
      <w:spacing w:before="100" w:beforeAutospacing="1" w:after="100" w:afterAutospacing="1"/>
    </w:pPr>
    <w:rPr>
      <w:rFonts w:ascii="Times" w:hAnsi="Times"/>
      <w:sz w:val="20"/>
      <w:szCs w:val="20"/>
      <w:lang w:val="it-IT"/>
    </w:rPr>
  </w:style>
  <w:style w:type="character" w:customStyle="1" w:styleId="articlecitationyear">
    <w:name w:val="articlecitation_year"/>
    <w:basedOn w:val="Carpredefinitoparagrafo"/>
    <w:rsid w:val="002A3D27"/>
  </w:style>
  <w:style w:type="character" w:customStyle="1" w:styleId="articlecitationvolume">
    <w:name w:val="articlecitation_volume"/>
    <w:basedOn w:val="Carpredefinitoparagrafo"/>
    <w:rsid w:val="002A3D27"/>
  </w:style>
  <w:style w:type="character" w:customStyle="1" w:styleId="articlecitationpages">
    <w:name w:val="articlecitation_pages"/>
    <w:basedOn w:val="Carpredefinitoparagrafo"/>
    <w:rsid w:val="002A3D27"/>
  </w:style>
  <w:style w:type="character" w:customStyle="1" w:styleId="authorsname">
    <w:name w:val="authors__name"/>
    <w:basedOn w:val="Carpredefinitoparagrafo"/>
    <w:rsid w:val="002A3D27"/>
  </w:style>
  <w:style w:type="character" w:customStyle="1" w:styleId="authorscontact">
    <w:name w:val="authors__contact"/>
    <w:basedOn w:val="Carpredefinitoparagrafo"/>
    <w:rsid w:val="002A3D27"/>
  </w:style>
  <w:style w:type="character" w:styleId="Enfasigrassetto">
    <w:name w:val="Strong"/>
    <w:basedOn w:val="Carpredefinitoparagrafo"/>
    <w:uiPriority w:val="22"/>
    <w:qFormat/>
    <w:rsid w:val="001D0D12"/>
    <w:rPr>
      <w:b/>
      <w:bCs/>
    </w:rPr>
  </w:style>
  <w:style w:type="character" w:customStyle="1" w:styleId="publication-meta-journal">
    <w:name w:val="publication-meta-journal"/>
    <w:basedOn w:val="Carpredefinitoparagrafo"/>
    <w:rsid w:val="001D0D12"/>
  </w:style>
  <w:style w:type="character" w:customStyle="1" w:styleId="publication-meta-separator">
    <w:name w:val="publication-meta-separator"/>
    <w:basedOn w:val="Carpredefinitoparagrafo"/>
    <w:rsid w:val="001D0D12"/>
  </w:style>
  <w:style w:type="character" w:customStyle="1" w:styleId="publication-meta-date">
    <w:name w:val="publication-meta-date"/>
    <w:basedOn w:val="Carpredefinitoparagrafo"/>
    <w:rsid w:val="001D0D12"/>
  </w:style>
  <w:style w:type="character" w:customStyle="1" w:styleId="publication-meta-stats">
    <w:name w:val="publication-meta-stats"/>
    <w:basedOn w:val="Carpredefinitoparagrafo"/>
    <w:rsid w:val="001D0D12"/>
  </w:style>
  <w:style w:type="character" w:customStyle="1" w:styleId="publication-author-position">
    <w:name w:val="publication-author-position"/>
    <w:basedOn w:val="Carpredefinitoparagrafo"/>
    <w:rsid w:val="001D0D12"/>
  </w:style>
  <w:style w:type="character" w:customStyle="1" w:styleId="Titolo2Carattere">
    <w:name w:val="Titolo 2 Carattere"/>
    <w:basedOn w:val="Carpredefinitoparagrafo"/>
    <w:link w:val="Titolo2"/>
    <w:uiPriority w:val="9"/>
    <w:semiHidden/>
    <w:rsid w:val="00D2536D"/>
    <w:rPr>
      <w:rFonts w:asciiTheme="majorHAnsi" w:eastAsiaTheme="majorEastAsia" w:hAnsiTheme="majorHAnsi" w:cstheme="majorBidi"/>
      <w:b/>
      <w:bCs/>
      <w:color w:val="4F81BD" w:themeColor="accent1"/>
      <w:sz w:val="26"/>
      <w:szCs w:val="26"/>
      <w:lang w:val="en-GB"/>
    </w:rPr>
  </w:style>
  <w:style w:type="character" w:customStyle="1" w:styleId="Titolo3Carattere">
    <w:name w:val="Titolo 3 Carattere"/>
    <w:basedOn w:val="Carpredefinitoparagrafo"/>
    <w:link w:val="Titolo3"/>
    <w:uiPriority w:val="9"/>
    <w:semiHidden/>
    <w:rsid w:val="00D2536D"/>
    <w:rPr>
      <w:rFonts w:asciiTheme="majorHAnsi" w:eastAsiaTheme="majorEastAsia" w:hAnsiTheme="majorHAnsi" w:cstheme="majorBidi"/>
      <w:b/>
      <w:bCs/>
      <w:color w:val="4F81BD" w:themeColor="accent1"/>
      <w:lang w:val="en-GB"/>
    </w:rPr>
  </w:style>
  <w:style w:type="character" w:customStyle="1" w:styleId="titleheading">
    <w:name w:val="titleheading"/>
    <w:basedOn w:val="Carpredefinitoparagrafo"/>
    <w:rsid w:val="00D2536D"/>
  </w:style>
  <w:style w:type="character" w:customStyle="1" w:styleId="nlmarticle-title">
    <w:name w:val="nlm_article-title"/>
    <w:basedOn w:val="Carpredefinitoparagrafo"/>
    <w:rsid w:val="00D2536D"/>
  </w:style>
  <w:style w:type="character" w:customStyle="1" w:styleId="nlmsubtitle">
    <w:name w:val="nlm_subtitle"/>
    <w:basedOn w:val="Carpredefinitoparagrafo"/>
    <w:rsid w:val="00D2536D"/>
  </w:style>
  <w:style w:type="character" w:customStyle="1" w:styleId="contribdegrees">
    <w:name w:val="contribdegrees"/>
    <w:basedOn w:val="Carpredefinitoparagrafo"/>
    <w:rsid w:val="00D2536D"/>
  </w:style>
  <w:style w:type="paragraph" w:customStyle="1" w:styleId="xmsonormal">
    <w:name w:val="x_msonormal"/>
    <w:basedOn w:val="Normale"/>
    <w:rsid w:val="00D2536D"/>
    <w:pPr>
      <w:spacing w:before="100" w:beforeAutospacing="1" w:after="100" w:afterAutospacing="1"/>
    </w:pPr>
    <w:rPr>
      <w:rFonts w:ascii="Times" w:hAnsi="Times"/>
      <w:sz w:val="20"/>
      <w:szCs w:val="20"/>
      <w:lang w:val="it-IT"/>
    </w:rPr>
  </w:style>
  <w:style w:type="paragraph" w:customStyle="1" w:styleId="Default">
    <w:name w:val="Default"/>
    <w:rsid w:val="00013894"/>
    <w:pPr>
      <w:autoSpaceDE w:val="0"/>
      <w:autoSpaceDN w:val="0"/>
      <w:adjustRightInd w:val="0"/>
    </w:pPr>
    <w:rPr>
      <w:rFonts w:ascii="GPOCN N+ Gulliver" w:hAnsi="GPOCN N+ Gulliver" w:cs="GPOCN N+ Gulliver"/>
      <w:color w:val="000000"/>
    </w:rPr>
  </w:style>
  <w:style w:type="character" w:styleId="Testosegnaposto">
    <w:name w:val="Placeholder Text"/>
    <w:basedOn w:val="Carpredefinitoparagrafo"/>
    <w:uiPriority w:val="99"/>
    <w:semiHidden/>
    <w:rsid w:val="006E575D"/>
    <w:rPr>
      <w:color w:val="808080"/>
    </w:rPr>
  </w:style>
  <w:style w:type="paragraph" w:styleId="Testonotaapidipagina">
    <w:name w:val="footnote text"/>
    <w:basedOn w:val="Normale"/>
    <w:link w:val="TestonotaapidipaginaCarattere"/>
    <w:uiPriority w:val="99"/>
    <w:semiHidden/>
    <w:unhideWhenUsed/>
    <w:rsid w:val="00B55822"/>
    <w:rPr>
      <w:sz w:val="20"/>
      <w:szCs w:val="20"/>
    </w:rPr>
  </w:style>
  <w:style w:type="character" w:customStyle="1" w:styleId="TestonotaapidipaginaCarattere">
    <w:name w:val="Testo nota a piè di pagina Carattere"/>
    <w:basedOn w:val="Carpredefinitoparagrafo"/>
    <w:link w:val="Testonotaapidipagina"/>
    <w:uiPriority w:val="99"/>
    <w:semiHidden/>
    <w:rsid w:val="00B55822"/>
    <w:rPr>
      <w:sz w:val="20"/>
      <w:szCs w:val="20"/>
      <w:lang w:val="en-GB"/>
    </w:rPr>
  </w:style>
  <w:style w:type="character" w:styleId="Rimandonotaapidipagina">
    <w:name w:val="footnote reference"/>
    <w:basedOn w:val="Carpredefinitoparagrafo"/>
    <w:uiPriority w:val="99"/>
    <w:semiHidden/>
    <w:unhideWhenUsed/>
    <w:rsid w:val="00B55822"/>
    <w:rPr>
      <w:vertAlign w:val="superscript"/>
    </w:rPr>
  </w:style>
  <w:style w:type="paragraph" w:styleId="Testonotadichiusura">
    <w:name w:val="endnote text"/>
    <w:basedOn w:val="Normale"/>
    <w:link w:val="TestonotadichiusuraCarattere"/>
    <w:uiPriority w:val="99"/>
    <w:semiHidden/>
    <w:unhideWhenUsed/>
    <w:rsid w:val="009870B0"/>
    <w:rPr>
      <w:sz w:val="20"/>
      <w:szCs w:val="20"/>
    </w:rPr>
  </w:style>
  <w:style w:type="character" w:customStyle="1" w:styleId="TestonotadichiusuraCarattere">
    <w:name w:val="Testo nota di chiusura Carattere"/>
    <w:basedOn w:val="Carpredefinitoparagrafo"/>
    <w:link w:val="Testonotadichiusura"/>
    <w:uiPriority w:val="99"/>
    <w:semiHidden/>
    <w:rsid w:val="009870B0"/>
    <w:rPr>
      <w:sz w:val="20"/>
      <w:szCs w:val="20"/>
      <w:lang w:val="en-GB"/>
    </w:rPr>
  </w:style>
  <w:style w:type="character" w:styleId="Rimandonotadichiusura">
    <w:name w:val="endnote reference"/>
    <w:basedOn w:val="Carpredefinitoparagrafo"/>
    <w:uiPriority w:val="99"/>
    <w:semiHidden/>
    <w:unhideWhenUsed/>
    <w:rsid w:val="00987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6CCE"/>
    <w:rPr>
      <w:lang w:val="en-GB"/>
    </w:rPr>
  </w:style>
  <w:style w:type="paragraph" w:styleId="Titolo1">
    <w:name w:val="heading 1"/>
    <w:basedOn w:val="Normale"/>
    <w:link w:val="Titolo1Carattere"/>
    <w:uiPriority w:val="9"/>
    <w:qFormat/>
    <w:rsid w:val="000A75AC"/>
    <w:pPr>
      <w:spacing w:before="100" w:beforeAutospacing="1" w:after="100" w:afterAutospacing="1"/>
      <w:outlineLvl w:val="0"/>
    </w:pPr>
    <w:rPr>
      <w:rFonts w:ascii="Times" w:hAnsi="Times"/>
      <w:b/>
      <w:bCs/>
      <w:kern w:val="36"/>
      <w:sz w:val="48"/>
      <w:szCs w:val="48"/>
      <w:lang w:val="it-IT"/>
    </w:rPr>
  </w:style>
  <w:style w:type="paragraph" w:styleId="Titolo2">
    <w:name w:val="heading 2"/>
    <w:basedOn w:val="Normale"/>
    <w:next w:val="Normale"/>
    <w:link w:val="Titolo2Carattere"/>
    <w:uiPriority w:val="9"/>
    <w:semiHidden/>
    <w:unhideWhenUsed/>
    <w:qFormat/>
    <w:rsid w:val="00D253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2536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6CCE"/>
    <w:pPr>
      <w:ind w:left="720"/>
      <w:contextualSpacing/>
    </w:pPr>
  </w:style>
  <w:style w:type="table" w:styleId="Grigliatabella">
    <w:name w:val="Table Grid"/>
    <w:basedOn w:val="Tabellanormale"/>
    <w:uiPriority w:val="59"/>
    <w:rsid w:val="00A26CC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26CC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26CCE"/>
    <w:rPr>
      <w:rFonts w:ascii="Lucida Grande" w:hAnsi="Lucida Grande" w:cs="Lucida Grande"/>
      <w:sz w:val="18"/>
      <w:szCs w:val="18"/>
      <w:lang w:val="en-GB"/>
    </w:rPr>
  </w:style>
  <w:style w:type="paragraph" w:styleId="Intestazione">
    <w:name w:val="header"/>
    <w:basedOn w:val="Normale"/>
    <w:link w:val="IntestazioneCarattere"/>
    <w:uiPriority w:val="99"/>
    <w:unhideWhenUsed/>
    <w:rsid w:val="00A26CCE"/>
    <w:pPr>
      <w:tabs>
        <w:tab w:val="center" w:pos="4819"/>
        <w:tab w:val="right" w:pos="9638"/>
      </w:tabs>
    </w:pPr>
  </w:style>
  <w:style w:type="character" w:customStyle="1" w:styleId="IntestazioneCarattere">
    <w:name w:val="Intestazione Carattere"/>
    <w:basedOn w:val="Carpredefinitoparagrafo"/>
    <w:link w:val="Intestazione"/>
    <w:uiPriority w:val="99"/>
    <w:rsid w:val="00A26CCE"/>
    <w:rPr>
      <w:lang w:val="en-GB"/>
    </w:rPr>
  </w:style>
  <w:style w:type="paragraph" w:styleId="Pidipagina">
    <w:name w:val="footer"/>
    <w:basedOn w:val="Normale"/>
    <w:link w:val="PidipaginaCarattere"/>
    <w:uiPriority w:val="99"/>
    <w:unhideWhenUsed/>
    <w:rsid w:val="00A26CCE"/>
    <w:pPr>
      <w:tabs>
        <w:tab w:val="center" w:pos="4819"/>
        <w:tab w:val="right" w:pos="9638"/>
      </w:tabs>
    </w:pPr>
  </w:style>
  <w:style w:type="character" w:customStyle="1" w:styleId="PidipaginaCarattere">
    <w:name w:val="Piè di pagina Carattere"/>
    <w:basedOn w:val="Carpredefinitoparagrafo"/>
    <w:link w:val="Pidipagina"/>
    <w:uiPriority w:val="99"/>
    <w:rsid w:val="00A26CCE"/>
    <w:rPr>
      <w:lang w:val="en-GB"/>
    </w:rPr>
  </w:style>
  <w:style w:type="paragraph" w:styleId="Nessunaspaziatura">
    <w:name w:val="No Spacing"/>
    <w:uiPriority w:val="1"/>
    <w:qFormat/>
    <w:rsid w:val="00A26CCE"/>
    <w:rPr>
      <w:lang w:val="en-GB"/>
    </w:rPr>
  </w:style>
  <w:style w:type="paragraph" w:styleId="PreformattatoHTML">
    <w:name w:val="HTML Preformatted"/>
    <w:basedOn w:val="Normale"/>
    <w:link w:val="PreformattatoHTMLCarattere"/>
    <w:uiPriority w:val="99"/>
    <w:unhideWhenUsed/>
    <w:rsid w:val="006D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it-IT"/>
    </w:rPr>
  </w:style>
  <w:style w:type="character" w:customStyle="1" w:styleId="PreformattatoHTMLCarattere">
    <w:name w:val="Preformattato HTML Carattere"/>
    <w:basedOn w:val="Carpredefinitoparagrafo"/>
    <w:link w:val="PreformattatoHTML"/>
    <w:uiPriority w:val="99"/>
    <w:rsid w:val="006D1103"/>
    <w:rPr>
      <w:rFonts w:ascii="Courier" w:hAnsi="Courier" w:cs="Courier"/>
      <w:sz w:val="20"/>
      <w:szCs w:val="20"/>
    </w:rPr>
  </w:style>
  <w:style w:type="paragraph" w:styleId="NormaleWeb">
    <w:name w:val="Normal (Web)"/>
    <w:basedOn w:val="Normale"/>
    <w:uiPriority w:val="99"/>
    <w:unhideWhenUsed/>
    <w:rsid w:val="00991E8F"/>
    <w:pPr>
      <w:spacing w:before="100" w:beforeAutospacing="1" w:after="100" w:afterAutospacing="1"/>
    </w:pPr>
    <w:rPr>
      <w:rFonts w:ascii="Times" w:hAnsi="Times" w:cs="Times New Roman"/>
      <w:sz w:val="20"/>
      <w:szCs w:val="20"/>
      <w:lang w:val="it-IT"/>
    </w:rPr>
  </w:style>
  <w:style w:type="character" w:customStyle="1" w:styleId="Titolo1Carattere">
    <w:name w:val="Titolo 1 Carattere"/>
    <w:basedOn w:val="Carpredefinitoparagrafo"/>
    <w:link w:val="Titolo1"/>
    <w:uiPriority w:val="9"/>
    <w:rsid w:val="000A75AC"/>
    <w:rPr>
      <w:rFonts w:ascii="Times" w:hAnsi="Times"/>
      <w:b/>
      <w:bCs/>
      <w:kern w:val="36"/>
      <w:sz w:val="48"/>
      <w:szCs w:val="48"/>
    </w:rPr>
  </w:style>
  <w:style w:type="character" w:styleId="Collegamentoipertestuale">
    <w:name w:val="Hyperlink"/>
    <w:basedOn w:val="Carpredefinitoparagrafo"/>
    <w:uiPriority w:val="99"/>
    <w:unhideWhenUsed/>
    <w:rsid w:val="000A75AC"/>
    <w:rPr>
      <w:color w:val="0000FF"/>
      <w:u w:val="single"/>
    </w:rPr>
  </w:style>
  <w:style w:type="character" w:customStyle="1" w:styleId="apple-converted-space">
    <w:name w:val="apple-converted-space"/>
    <w:basedOn w:val="Carpredefinitoparagrafo"/>
    <w:rsid w:val="000A75AC"/>
  </w:style>
  <w:style w:type="paragraph" w:customStyle="1" w:styleId="volissue">
    <w:name w:val="volissue"/>
    <w:basedOn w:val="Normale"/>
    <w:rsid w:val="0099378A"/>
    <w:pPr>
      <w:spacing w:before="100" w:beforeAutospacing="1" w:after="100" w:afterAutospacing="1"/>
    </w:pPr>
    <w:rPr>
      <w:rFonts w:ascii="Times" w:hAnsi="Times"/>
      <w:sz w:val="20"/>
      <w:szCs w:val="20"/>
      <w:lang w:val="it-IT"/>
    </w:rPr>
  </w:style>
  <w:style w:type="character" w:customStyle="1" w:styleId="journaltitle">
    <w:name w:val="journaltitle"/>
    <w:basedOn w:val="Carpredefinitoparagrafo"/>
    <w:rsid w:val="002A3D27"/>
  </w:style>
  <w:style w:type="paragraph" w:customStyle="1" w:styleId="icon--meta-keyline-before">
    <w:name w:val="icon--meta-keyline-before"/>
    <w:basedOn w:val="Normale"/>
    <w:rsid w:val="002A3D27"/>
    <w:pPr>
      <w:spacing w:before="100" w:beforeAutospacing="1" w:after="100" w:afterAutospacing="1"/>
    </w:pPr>
    <w:rPr>
      <w:rFonts w:ascii="Times" w:hAnsi="Times"/>
      <w:sz w:val="20"/>
      <w:szCs w:val="20"/>
      <w:lang w:val="it-IT"/>
    </w:rPr>
  </w:style>
  <w:style w:type="character" w:customStyle="1" w:styleId="articlecitationyear">
    <w:name w:val="articlecitation_year"/>
    <w:basedOn w:val="Carpredefinitoparagrafo"/>
    <w:rsid w:val="002A3D27"/>
  </w:style>
  <w:style w:type="character" w:customStyle="1" w:styleId="articlecitationvolume">
    <w:name w:val="articlecitation_volume"/>
    <w:basedOn w:val="Carpredefinitoparagrafo"/>
    <w:rsid w:val="002A3D27"/>
  </w:style>
  <w:style w:type="character" w:customStyle="1" w:styleId="articlecitationpages">
    <w:name w:val="articlecitation_pages"/>
    <w:basedOn w:val="Carpredefinitoparagrafo"/>
    <w:rsid w:val="002A3D27"/>
  </w:style>
  <w:style w:type="character" w:customStyle="1" w:styleId="authorsname">
    <w:name w:val="authors__name"/>
    <w:basedOn w:val="Carpredefinitoparagrafo"/>
    <w:rsid w:val="002A3D27"/>
  </w:style>
  <w:style w:type="character" w:customStyle="1" w:styleId="authorscontact">
    <w:name w:val="authors__contact"/>
    <w:basedOn w:val="Carpredefinitoparagrafo"/>
    <w:rsid w:val="002A3D27"/>
  </w:style>
  <w:style w:type="character" w:styleId="Enfasigrassetto">
    <w:name w:val="Strong"/>
    <w:basedOn w:val="Carpredefinitoparagrafo"/>
    <w:uiPriority w:val="22"/>
    <w:qFormat/>
    <w:rsid w:val="001D0D12"/>
    <w:rPr>
      <w:b/>
      <w:bCs/>
    </w:rPr>
  </w:style>
  <w:style w:type="character" w:customStyle="1" w:styleId="publication-meta-journal">
    <w:name w:val="publication-meta-journal"/>
    <w:basedOn w:val="Carpredefinitoparagrafo"/>
    <w:rsid w:val="001D0D12"/>
  </w:style>
  <w:style w:type="character" w:customStyle="1" w:styleId="publication-meta-separator">
    <w:name w:val="publication-meta-separator"/>
    <w:basedOn w:val="Carpredefinitoparagrafo"/>
    <w:rsid w:val="001D0D12"/>
  </w:style>
  <w:style w:type="character" w:customStyle="1" w:styleId="publication-meta-date">
    <w:name w:val="publication-meta-date"/>
    <w:basedOn w:val="Carpredefinitoparagrafo"/>
    <w:rsid w:val="001D0D12"/>
  </w:style>
  <w:style w:type="character" w:customStyle="1" w:styleId="publication-meta-stats">
    <w:name w:val="publication-meta-stats"/>
    <w:basedOn w:val="Carpredefinitoparagrafo"/>
    <w:rsid w:val="001D0D12"/>
  </w:style>
  <w:style w:type="character" w:customStyle="1" w:styleId="publication-author-position">
    <w:name w:val="publication-author-position"/>
    <w:basedOn w:val="Carpredefinitoparagrafo"/>
    <w:rsid w:val="001D0D12"/>
  </w:style>
  <w:style w:type="character" w:customStyle="1" w:styleId="Titolo2Carattere">
    <w:name w:val="Titolo 2 Carattere"/>
    <w:basedOn w:val="Carpredefinitoparagrafo"/>
    <w:link w:val="Titolo2"/>
    <w:uiPriority w:val="9"/>
    <w:semiHidden/>
    <w:rsid w:val="00D2536D"/>
    <w:rPr>
      <w:rFonts w:asciiTheme="majorHAnsi" w:eastAsiaTheme="majorEastAsia" w:hAnsiTheme="majorHAnsi" w:cstheme="majorBidi"/>
      <w:b/>
      <w:bCs/>
      <w:color w:val="4F81BD" w:themeColor="accent1"/>
      <w:sz w:val="26"/>
      <w:szCs w:val="26"/>
      <w:lang w:val="en-GB"/>
    </w:rPr>
  </w:style>
  <w:style w:type="character" w:customStyle="1" w:styleId="Titolo3Carattere">
    <w:name w:val="Titolo 3 Carattere"/>
    <w:basedOn w:val="Carpredefinitoparagrafo"/>
    <w:link w:val="Titolo3"/>
    <w:uiPriority w:val="9"/>
    <w:semiHidden/>
    <w:rsid w:val="00D2536D"/>
    <w:rPr>
      <w:rFonts w:asciiTheme="majorHAnsi" w:eastAsiaTheme="majorEastAsia" w:hAnsiTheme="majorHAnsi" w:cstheme="majorBidi"/>
      <w:b/>
      <w:bCs/>
      <w:color w:val="4F81BD" w:themeColor="accent1"/>
      <w:lang w:val="en-GB"/>
    </w:rPr>
  </w:style>
  <w:style w:type="character" w:customStyle="1" w:styleId="titleheading">
    <w:name w:val="titleheading"/>
    <w:basedOn w:val="Carpredefinitoparagrafo"/>
    <w:rsid w:val="00D2536D"/>
  </w:style>
  <w:style w:type="character" w:customStyle="1" w:styleId="nlmarticle-title">
    <w:name w:val="nlm_article-title"/>
    <w:basedOn w:val="Carpredefinitoparagrafo"/>
    <w:rsid w:val="00D2536D"/>
  </w:style>
  <w:style w:type="character" w:customStyle="1" w:styleId="nlmsubtitle">
    <w:name w:val="nlm_subtitle"/>
    <w:basedOn w:val="Carpredefinitoparagrafo"/>
    <w:rsid w:val="00D2536D"/>
  </w:style>
  <w:style w:type="character" w:customStyle="1" w:styleId="contribdegrees">
    <w:name w:val="contribdegrees"/>
    <w:basedOn w:val="Carpredefinitoparagrafo"/>
    <w:rsid w:val="00D2536D"/>
  </w:style>
  <w:style w:type="paragraph" w:customStyle="1" w:styleId="xmsonormal">
    <w:name w:val="x_msonormal"/>
    <w:basedOn w:val="Normale"/>
    <w:rsid w:val="00D2536D"/>
    <w:pPr>
      <w:spacing w:before="100" w:beforeAutospacing="1" w:after="100" w:afterAutospacing="1"/>
    </w:pPr>
    <w:rPr>
      <w:rFonts w:ascii="Times" w:hAnsi="Times"/>
      <w:sz w:val="20"/>
      <w:szCs w:val="20"/>
      <w:lang w:val="it-IT"/>
    </w:rPr>
  </w:style>
  <w:style w:type="paragraph" w:customStyle="1" w:styleId="Default">
    <w:name w:val="Default"/>
    <w:rsid w:val="00013894"/>
    <w:pPr>
      <w:autoSpaceDE w:val="0"/>
      <w:autoSpaceDN w:val="0"/>
      <w:adjustRightInd w:val="0"/>
    </w:pPr>
    <w:rPr>
      <w:rFonts w:ascii="GPOCN N+ Gulliver" w:hAnsi="GPOCN N+ Gulliver" w:cs="GPOCN N+ Gulliver"/>
      <w:color w:val="000000"/>
    </w:rPr>
  </w:style>
  <w:style w:type="character" w:styleId="Testosegnaposto">
    <w:name w:val="Placeholder Text"/>
    <w:basedOn w:val="Carpredefinitoparagrafo"/>
    <w:uiPriority w:val="99"/>
    <w:semiHidden/>
    <w:rsid w:val="006E575D"/>
    <w:rPr>
      <w:color w:val="808080"/>
    </w:rPr>
  </w:style>
  <w:style w:type="paragraph" w:styleId="Testonotaapidipagina">
    <w:name w:val="footnote text"/>
    <w:basedOn w:val="Normale"/>
    <w:link w:val="TestonotaapidipaginaCarattere"/>
    <w:uiPriority w:val="99"/>
    <w:semiHidden/>
    <w:unhideWhenUsed/>
    <w:rsid w:val="00B55822"/>
    <w:rPr>
      <w:sz w:val="20"/>
      <w:szCs w:val="20"/>
    </w:rPr>
  </w:style>
  <w:style w:type="character" w:customStyle="1" w:styleId="TestonotaapidipaginaCarattere">
    <w:name w:val="Testo nota a piè di pagina Carattere"/>
    <w:basedOn w:val="Carpredefinitoparagrafo"/>
    <w:link w:val="Testonotaapidipagina"/>
    <w:uiPriority w:val="99"/>
    <w:semiHidden/>
    <w:rsid w:val="00B55822"/>
    <w:rPr>
      <w:sz w:val="20"/>
      <w:szCs w:val="20"/>
      <w:lang w:val="en-GB"/>
    </w:rPr>
  </w:style>
  <w:style w:type="character" w:styleId="Rimandonotaapidipagina">
    <w:name w:val="footnote reference"/>
    <w:basedOn w:val="Carpredefinitoparagrafo"/>
    <w:uiPriority w:val="99"/>
    <w:semiHidden/>
    <w:unhideWhenUsed/>
    <w:rsid w:val="00B55822"/>
    <w:rPr>
      <w:vertAlign w:val="superscript"/>
    </w:rPr>
  </w:style>
  <w:style w:type="paragraph" w:styleId="Testonotadichiusura">
    <w:name w:val="endnote text"/>
    <w:basedOn w:val="Normale"/>
    <w:link w:val="TestonotadichiusuraCarattere"/>
    <w:uiPriority w:val="99"/>
    <w:semiHidden/>
    <w:unhideWhenUsed/>
    <w:rsid w:val="009870B0"/>
    <w:rPr>
      <w:sz w:val="20"/>
      <w:szCs w:val="20"/>
    </w:rPr>
  </w:style>
  <w:style w:type="character" w:customStyle="1" w:styleId="TestonotadichiusuraCarattere">
    <w:name w:val="Testo nota di chiusura Carattere"/>
    <w:basedOn w:val="Carpredefinitoparagrafo"/>
    <w:link w:val="Testonotadichiusura"/>
    <w:uiPriority w:val="99"/>
    <w:semiHidden/>
    <w:rsid w:val="009870B0"/>
    <w:rPr>
      <w:sz w:val="20"/>
      <w:szCs w:val="20"/>
      <w:lang w:val="en-GB"/>
    </w:rPr>
  </w:style>
  <w:style w:type="character" w:styleId="Rimandonotadichiusura">
    <w:name w:val="endnote reference"/>
    <w:basedOn w:val="Carpredefinitoparagrafo"/>
    <w:uiPriority w:val="99"/>
    <w:semiHidden/>
    <w:unhideWhenUsed/>
    <w:rsid w:val="00987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4585">
      <w:bodyDiv w:val="1"/>
      <w:marLeft w:val="0"/>
      <w:marRight w:val="0"/>
      <w:marTop w:val="0"/>
      <w:marBottom w:val="0"/>
      <w:divBdr>
        <w:top w:val="none" w:sz="0" w:space="0" w:color="auto"/>
        <w:left w:val="none" w:sz="0" w:space="0" w:color="auto"/>
        <w:bottom w:val="none" w:sz="0" w:space="0" w:color="auto"/>
        <w:right w:val="none" w:sz="0" w:space="0" w:color="auto"/>
      </w:divBdr>
    </w:div>
    <w:div w:id="61488010">
      <w:bodyDiv w:val="1"/>
      <w:marLeft w:val="0"/>
      <w:marRight w:val="0"/>
      <w:marTop w:val="0"/>
      <w:marBottom w:val="0"/>
      <w:divBdr>
        <w:top w:val="none" w:sz="0" w:space="0" w:color="auto"/>
        <w:left w:val="none" w:sz="0" w:space="0" w:color="auto"/>
        <w:bottom w:val="none" w:sz="0" w:space="0" w:color="auto"/>
        <w:right w:val="none" w:sz="0" w:space="0" w:color="auto"/>
      </w:divBdr>
    </w:div>
    <w:div w:id="143358870">
      <w:bodyDiv w:val="1"/>
      <w:marLeft w:val="0"/>
      <w:marRight w:val="0"/>
      <w:marTop w:val="0"/>
      <w:marBottom w:val="0"/>
      <w:divBdr>
        <w:top w:val="none" w:sz="0" w:space="0" w:color="auto"/>
        <w:left w:val="none" w:sz="0" w:space="0" w:color="auto"/>
        <w:bottom w:val="none" w:sz="0" w:space="0" w:color="auto"/>
        <w:right w:val="none" w:sz="0" w:space="0" w:color="auto"/>
      </w:divBdr>
    </w:div>
    <w:div w:id="158082458">
      <w:bodyDiv w:val="1"/>
      <w:marLeft w:val="0"/>
      <w:marRight w:val="0"/>
      <w:marTop w:val="0"/>
      <w:marBottom w:val="0"/>
      <w:divBdr>
        <w:top w:val="none" w:sz="0" w:space="0" w:color="auto"/>
        <w:left w:val="none" w:sz="0" w:space="0" w:color="auto"/>
        <w:bottom w:val="none" w:sz="0" w:space="0" w:color="auto"/>
        <w:right w:val="none" w:sz="0" w:space="0" w:color="auto"/>
      </w:divBdr>
    </w:div>
    <w:div w:id="398787606">
      <w:bodyDiv w:val="1"/>
      <w:marLeft w:val="0"/>
      <w:marRight w:val="0"/>
      <w:marTop w:val="0"/>
      <w:marBottom w:val="0"/>
      <w:divBdr>
        <w:top w:val="none" w:sz="0" w:space="0" w:color="auto"/>
        <w:left w:val="none" w:sz="0" w:space="0" w:color="auto"/>
        <w:bottom w:val="none" w:sz="0" w:space="0" w:color="auto"/>
        <w:right w:val="none" w:sz="0" w:space="0" w:color="auto"/>
      </w:divBdr>
      <w:divsChild>
        <w:div w:id="758715565">
          <w:marLeft w:val="0"/>
          <w:marRight w:val="0"/>
          <w:marTop w:val="0"/>
          <w:marBottom w:val="0"/>
          <w:divBdr>
            <w:top w:val="none" w:sz="0" w:space="0" w:color="auto"/>
            <w:left w:val="none" w:sz="0" w:space="0" w:color="auto"/>
            <w:bottom w:val="none" w:sz="0" w:space="0" w:color="auto"/>
            <w:right w:val="none" w:sz="0" w:space="0" w:color="auto"/>
          </w:divBdr>
          <w:divsChild>
            <w:div w:id="357241715">
              <w:marLeft w:val="2250"/>
              <w:marRight w:val="3810"/>
              <w:marTop w:val="0"/>
              <w:marBottom w:val="0"/>
              <w:divBdr>
                <w:top w:val="none" w:sz="0" w:space="0" w:color="auto"/>
                <w:left w:val="none" w:sz="0" w:space="0" w:color="auto"/>
                <w:bottom w:val="none" w:sz="0" w:space="0" w:color="auto"/>
                <w:right w:val="none" w:sz="0" w:space="0" w:color="auto"/>
              </w:divBdr>
              <w:divsChild>
                <w:div w:id="447286386">
                  <w:marLeft w:val="0"/>
                  <w:marRight w:val="0"/>
                  <w:marTop w:val="0"/>
                  <w:marBottom w:val="0"/>
                  <w:divBdr>
                    <w:top w:val="none" w:sz="0" w:space="0" w:color="auto"/>
                    <w:left w:val="none" w:sz="0" w:space="0" w:color="auto"/>
                    <w:bottom w:val="none" w:sz="0" w:space="0" w:color="auto"/>
                    <w:right w:val="none" w:sz="0" w:space="0" w:color="auto"/>
                  </w:divBdr>
                  <w:divsChild>
                    <w:div w:id="1830976708">
                      <w:marLeft w:val="0"/>
                      <w:marRight w:val="0"/>
                      <w:marTop w:val="0"/>
                      <w:marBottom w:val="0"/>
                      <w:divBdr>
                        <w:top w:val="none" w:sz="0" w:space="0" w:color="auto"/>
                        <w:left w:val="none" w:sz="0" w:space="0" w:color="auto"/>
                        <w:bottom w:val="none" w:sz="0" w:space="0" w:color="auto"/>
                        <w:right w:val="none" w:sz="0" w:space="0" w:color="auto"/>
                      </w:divBdr>
                      <w:divsChild>
                        <w:div w:id="635796561">
                          <w:marLeft w:val="0"/>
                          <w:marRight w:val="0"/>
                          <w:marTop w:val="0"/>
                          <w:marBottom w:val="0"/>
                          <w:divBdr>
                            <w:top w:val="none" w:sz="0" w:space="0" w:color="auto"/>
                            <w:left w:val="none" w:sz="0" w:space="0" w:color="auto"/>
                            <w:bottom w:val="none" w:sz="0" w:space="0" w:color="auto"/>
                            <w:right w:val="none" w:sz="0" w:space="0" w:color="auto"/>
                          </w:divBdr>
                          <w:divsChild>
                            <w:div w:id="1957328175">
                              <w:marLeft w:val="0"/>
                              <w:marRight w:val="0"/>
                              <w:marTop w:val="90"/>
                              <w:marBottom w:val="0"/>
                              <w:divBdr>
                                <w:top w:val="none" w:sz="0" w:space="0" w:color="auto"/>
                                <w:left w:val="none" w:sz="0" w:space="0" w:color="auto"/>
                                <w:bottom w:val="none" w:sz="0" w:space="0" w:color="auto"/>
                                <w:right w:val="none" w:sz="0" w:space="0" w:color="auto"/>
                              </w:divBdr>
                              <w:divsChild>
                                <w:div w:id="994064888">
                                  <w:marLeft w:val="0"/>
                                  <w:marRight w:val="0"/>
                                  <w:marTop w:val="0"/>
                                  <w:marBottom w:val="0"/>
                                  <w:divBdr>
                                    <w:top w:val="none" w:sz="0" w:space="0" w:color="auto"/>
                                    <w:left w:val="none" w:sz="0" w:space="0" w:color="auto"/>
                                    <w:bottom w:val="none" w:sz="0" w:space="0" w:color="auto"/>
                                    <w:right w:val="none" w:sz="0" w:space="0" w:color="auto"/>
                                  </w:divBdr>
                                  <w:divsChild>
                                    <w:div w:id="1497384985">
                                      <w:marLeft w:val="0"/>
                                      <w:marRight w:val="0"/>
                                      <w:marTop w:val="0"/>
                                      <w:marBottom w:val="0"/>
                                      <w:divBdr>
                                        <w:top w:val="none" w:sz="0" w:space="0" w:color="auto"/>
                                        <w:left w:val="none" w:sz="0" w:space="0" w:color="auto"/>
                                        <w:bottom w:val="none" w:sz="0" w:space="0" w:color="auto"/>
                                        <w:right w:val="none" w:sz="0" w:space="0" w:color="auto"/>
                                      </w:divBdr>
                                      <w:divsChild>
                                        <w:div w:id="1110975336">
                                          <w:marLeft w:val="0"/>
                                          <w:marRight w:val="0"/>
                                          <w:marTop w:val="0"/>
                                          <w:marBottom w:val="390"/>
                                          <w:divBdr>
                                            <w:top w:val="none" w:sz="0" w:space="0" w:color="auto"/>
                                            <w:left w:val="none" w:sz="0" w:space="0" w:color="auto"/>
                                            <w:bottom w:val="none" w:sz="0" w:space="0" w:color="auto"/>
                                            <w:right w:val="none" w:sz="0" w:space="0" w:color="auto"/>
                                          </w:divBdr>
                                          <w:divsChild>
                                            <w:div w:id="1949073075">
                                              <w:marLeft w:val="0"/>
                                              <w:marRight w:val="0"/>
                                              <w:marTop w:val="0"/>
                                              <w:marBottom w:val="0"/>
                                              <w:divBdr>
                                                <w:top w:val="none" w:sz="0" w:space="0" w:color="auto"/>
                                                <w:left w:val="none" w:sz="0" w:space="0" w:color="auto"/>
                                                <w:bottom w:val="none" w:sz="0" w:space="0" w:color="auto"/>
                                                <w:right w:val="none" w:sz="0" w:space="0" w:color="auto"/>
                                              </w:divBdr>
                                              <w:divsChild>
                                                <w:div w:id="671487299">
                                                  <w:marLeft w:val="-240"/>
                                                  <w:marRight w:val="-240"/>
                                                  <w:marTop w:val="0"/>
                                                  <w:marBottom w:val="0"/>
                                                  <w:divBdr>
                                                    <w:top w:val="none" w:sz="0" w:space="0" w:color="auto"/>
                                                    <w:left w:val="none" w:sz="0" w:space="0" w:color="auto"/>
                                                    <w:bottom w:val="none" w:sz="0" w:space="0" w:color="auto"/>
                                                    <w:right w:val="none" w:sz="0" w:space="0" w:color="auto"/>
                                                  </w:divBdr>
                                                  <w:divsChild>
                                                    <w:div w:id="546836929">
                                                      <w:marLeft w:val="0"/>
                                                      <w:marRight w:val="0"/>
                                                      <w:marTop w:val="0"/>
                                                      <w:marBottom w:val="0"/>
                                                      <w:divBdr>
                                                        <w:top w:val="none" w:sz="0" w:space="0" w:color="auto"/>
                                                        <w:left w:val="none" w:sz="0" w:space="0" w:color="auto"/>
                                                        <w:bottom w:val="none" w:sz="0" w:space="0" w:color="auto"/>
                                                        <w:right w:val="none" w:sz="0" w:space="0" w:color="auto"/>
                                                      </w:divBdr>
                                                      <w:divsChild>
                                                        <w:div w:id="499929455">
                                                          <w:marLeft w:val="0"/>
                                                          <w:marRight w:val="0"/>
                                                          <w:marTop w:val="0"/>
                                                          <w:marBottom w:val="0"/>
                                                          <w:divBdr>
                                                            <w:top w:val="none" w:sz="0" w:space="0" w:color="auto"/>
                                                            <w:left w:val="none" w:sz="0" w:space="0" w:color="auto"/>
                                                            <w:bottom w:val="none" w:sz="0" w:space="0" w:color="auto"/>
                                                            <w:right w:val="none" w:sz="0" w:space="0" w:color="auto"/>
                                                          </w:divBdr>
                                                          <w:divsChild>
                                                            <w:div w:id="57170874">
                                                              <w:marLeft w:val="0"/>
                                                              <w:marRight w:val="0"/>
                                                              <w:marTop w:val="0"/>
                                                              <w:marBottom w:val="0"/>
                                                              <w:divBdr>
                                                                <w:top w:val="none" w:sz="0" w:space="0" w:color="auto"/>
                                                                <w:left w:val="none" w:sz="0" w:space="0" w:color="auto"/>
                                                                <w:bottom w:val="none" w:sz="0" w:space="0" w:color="auto"/>
                                                                <w:right w:val="none" w:sz="0" w:space="0" w:color="auto"/>
                                                              </w:divBdr>
                                                              <w:divsChild>
                                                                <w:div w:id="301814883">
                                                                  <w:marLeft w:val="0"/>
                                                                  <w:marRight w:val="0"/>
                                                                  <w:marTop w:val="0"/>
                                                                  <w:marBottom w:val="0"/>
                                                                  <w:divBdr>
                                                                    <w:top w:val="none" w:sz="0" w:space="0" w:color="auto"/>
                                                                    <w:left w:val="none" w:sz="0" w:space="0" w:color="auto"/>
                                                                    <w:bottom w:val="none" w:sz="0" w:space="0" w:color="auto"/>
                                                                    <w:right w:val="none" w:sz="0" w:space="0" w:color="auto"/>
                                                                  </w:divBdr>
                                                                  <w:divsChild>
                                                                    <w:div w:id="516695505">
                                                                      <w:marLeft w:val="0"/>
                                                                      <w:marRight w:val="0"/>
                                                                      <w:marTop w:val="0"/>
                                                                      <w:marBottom w:val="0"/>
                                                                      <w:divBdr>
                                                                        <w:top w:val="none" w:sz="0" w:space="0" w:color="auto"/>
                                                                        <w:left w:val="none" w:sz="0" w:space="0" w:color="auto"/>
                                                                        <w:bottom w:val="none" w:sz="0" w:space="0" w:color="auto"/>
                                                                        <w:right w:val="none" w:sz="0" w:space="0" w:color="auto"/>
                                                                      </w:divBdr>
                                                                    </w:div>
                                                                    <w:div w:id="120825148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2388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4291">
                                      <w:marLeft w:val="0"/>
                                      <w:marRight w:val="0"/>
                                      <w:marTop w:val="0"/>
                                      <w:marBottom w:val="0"/>
                                      <w:divBdr>
                                        <w:top w:val="none" w:sz="0" w:space="0" w:color="auto"/>
                                        <w:left w:val="none" w:sz="0" w:space="0" w:color="auto"/>
                                        <w:bottom w:val="none" w:sz="0" w:space="0" w:color="auto"/>
                                        <w:right w:val="none" w:sz="0" w:space="0" w:color="auto"/>
                                      </w:divBdr>
                                      <w:divsChild>
                                        <w:div w:id="57290834">
                                          <w:marLeft w:val="0"/>
                                          <w:marRight w:val="0"/>
                                          <w:marTop w:val="0"/>
                                          <w:marBottom w:val="390"/>
                                          <w:divBdr>
                                            <w:top w:val="none" w:sz="0" w:space="0" w:color="auto"/>
                                            <w:left w:val="none" w:sz="0" w:space="0" w:color="auto"/>
                                            <w:bottom w:val="none" w:sz="0" w:space="0" w:color="auto"/>
                                            <w:right w:val="none" w:sz="0" w:space="0" w:color="auto"/>
                                          </w:divBdr>
                                          <w:divsChild>
                                            <w:div w:id="1636056832">
                                              <w:marLeft w:val="0"/>
                                              <w:marRight w:val="0"/>
                                              <w:marTop w:val="0"/>
                                              <w:marBottom w:val="0"/>
                                              <w:divBdr>
                                                <w:top w:val="none" w:sz="0" w:space="0" w:color="auto"/>
                                                <w:left w:val="none" w:sz="0" w:space="0" w:color="auto"/>
                                                <w:bottom w:val="none" w:sz="0" w:space="0" w:color="auto"/>
                                                <w:right w:val="none" w:sz="0" w:space="0" w:color="auto"/>
                                              </w:divBdr>
                                              <w:divsChild>
                                                <w:div w:id="971977592">
                                                  <w:marLeft w:val="0"/>
                                                  <w:marRight w:val="0"/>
                                                  <w:marTop w:val="0"/>
                                                  <w:marBottom w:val="0"/>
                                                  <w:divBdr>
                                                    <w:top w:val="none" w:sz="0" w:space="0" w:color="auto"/>
                                                    <w:left w:val="none" w:sz="0" w:space="0" w:color="auto"/>
                                                    <w:bottom w:val="none" w:sz="0" w:space="0" w:color="auto"/>
                                                    <w:right w:val="none" w:sz="0" w:space="0" w:color="auto"/>
                                                  </w:divBdr>
                                                  <w:divsChild>
                                                    <w:div w:id="275604719">
                                                      <w:marLeft w:val="0"/>
                                                      <w:marRight w:val="0"/>
                                                      <w:marTop w:val="0"/>
                                                      <w:marBottom w:val="0"/>
                                                      <w:divBdr>
                                                        <w:top w:val="none" w:sz="0" w:space="0" w:color="auto"/>
                                                        <w:left w:val="none" w:sz="0" w:space="0" w:color="auto"/>
                                                        <w:bottom w:val="none" w:sz="0" w:space="0" w:color="auto"/>
                                                        <w:right w:val="none" w:sz="0" w:space="0" w:color="auto"/>
                                                      </w:divBdr>
                                                      <w:divsChild>
                                                        <w:div w:id="2010401361">
                                                          <w:marLeft w:val="0"/>
                                                          <w:marRight w:val="0"/>
                                                          <w:marTop w:val="0"/>
                                                          <w:marBottom w:val="0"/>
                                                          <w:divBdr>
                                                            <w:top w:val="none" w:sz="0" w:space="0" w:color="auto"/>
                                                            <w:left w:val="none" w:sz="0" w:space="0" w:color="auto"/>
                                                            <w:bottom w:val="none" w:sz="0" w:space="0" w:color="auto"/>
                                                            <w:right w:val="none" w:sz="0" w:space="0" w:color="auto"/>
                                                          </w:divBdr>
                                                          <w:divsChild>
                                                            <w:div w:id="943732262">
                                                              <w:marLeft w:val="0"/>
                                                              <w:marRight w:val="0"/>
                                                              <w:marTop w:val="0"/>
                                                              <w:marBottom w:val="0"/>
                                                              <w:divBdr>
                                                                <w:top w:val="none" w:sz="0" w:space="0" w:color="auto"/>
                                                                <w:left w:val="none" w:sz="0" w:space="0" w:color="auto"/>
                                                                <w:bottom w:val="none" w:sz="0" w:space="0" w:color="auto"/>
                                                                <w:right w:val="none" w:sz="0" w:space="0" w:color="auto"/>
                                                              </w:divBdr>
                                                              <w:divsChild>
                                                                <w:div w:id="1016233033">
                                                                  <w:marLeft w:val="45"/>
                                                                  <w:marRight w:val="45"/>
                                                                  <w:marTop w:val="15"/>
                                                                  <w:marBottom w:val="0"/>
                                                                  <w:divBdr>
                                                                    <w:top w:val="none" w:sz="0" w:space="0" w:color="auto"/>
                                                                    <w:left w:val="none" w:sz="0" w:space="0" w:color="auto"/>
                                                                    <w:bottom w:val="none" w:sz="0" w:space="0" w:color="auto"/>
                                                                    <w:right w:val="none" w:sz="0" w:space="0" w:color="auto"/>
                                                                  </w:divBdr>
                                                                  <w:divsChild>
                                                                    <w:div w:id="5003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3540">
                                                  <w:marLeft w:val="0"/>
                                                  <w:marRight w:val="0"/>
                                                  <w:marTop w:val="30"/>
                                                  <w:marBottom w:val="0"/>
                                                  <w:divBdr>
                                                    <w:top w:val="none" w:sz="0" w:space="0" w:color="auto"/>
                                                    <w:left w:val="none" w:sz="0" w:space="0" w:color="auto"/>
                                                    <w:bottom w:val="none" w:sz="0" w:space="0" w:color="auto"/>
                                                    <w:right w:val="none" w:sz="0" w:space="0" w:color="auto"/>
                                                  </w:divBdr>
                                                  <w:divsChild>
                                                    <w:div w:id="1713309282">
                                                      <w:marLeft w:val="0"/>
                                                      <w:marRight w:val="0"/>
                                                      <w:marTop w:val="0"/>
                                                      <w:marBottom w:val="0"/>
                                                      <w:divBdr>
                                                        <w:top w:val="none" w:sz="0" w:space="0" w:color="auto"/>
                                                        <w:left w:val="none" w:sz="0" w:space="0" w:color="auto"/>
                                                        <w:bottom w:val="none" w:sz="0" w:space="0" w:color="auto"/>
                                                        <w:right w:val="none" w:sz="0" w:space="0" w:color="auto"/>
                                                      </w:divBdr>
                                                      <w:divsChild>
                                                        <w:div w:id="1853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79349">
                                      <w:marLeft w:val="0"/>
                                      <w:marRight w:val="0"/>
                                      <w:marTop w:val="0"/>
                                      <w:marBottom w:val="0"/>
                                      <w:divBdr>
                                        <w:top w:val="none" w:sz="0" w:space="0" w:color="auto"/>
                                        <w:left w:val="none" w:sz="0" w:space="0" w:color="auto"/>
                                        <w:bottom w:val="none" w:sz="0" w:space="0" w:color="auto"/>
                                        <w:right w:val="none" w:sz="0" w:space="0" w:color="auto"/>
                                      </w:divBdr>
                                      <w:divsChild>
                                        <w:div w:id="22757166">
                                          <w:marLeft w:val="0"/>
                                          <w:marRight w:val="0"/>
                                          <w:marTop w:val="0"/>
                                          <w:marBottom w:val="0"/>
                                          <w:divBdr>
                                            <w:top w:val="none" w:sz="0" w:space="0" w:color="auto"/>
                                            <w:left w:val="none" w:sz="0" w:space="0" w:color="auto"/>
                                            <w:bottom w:val="none" w:sz="0" w:space="0" w:color="auto"/>
                                            <w:right w:val="none" w:sz="0" w:space="0" w:color="auto"/>
                                          </w:divBdr>
                                          <w:divsChild>
                                            <w:div w:id="1040935789">
                                              <w:marLeft w:val="0"/>
                                              <w:marRight w:val="0"/>
                                              <w:marTop w:val="0"/>
                                              <w:marBottom w:val="390"/>
                                              <w:divBdr>
                                                <w:top w:val="none" w:sz="0" w:space="0" w:color="auto"/>
                                                <w:left w:val="none" w:sz="0" w:space="0" w:color="auto"/>
                                                <w:bottom w:val="none" w:sz="0" w:space="0" w:color="auto"/>
                                                <w:right w:val="none" w:sz="0" w:space="0" w:color="auto"/>
                                              </w:divBdr>
                                              <w:divsChild>
                                                <w:div w:id="2036031092">
                                                  <w:marLeft w:val="0"/>
                                                  <w:marRight w:val="0"/>
                                                  <w:marTop w:val="0"/>
                                                  <w:marBottom w:val="0"/>
                                                  <w:divBdr>
                                                    <w:top w:val="none" w:sz="0" w:space="0" w:color="auto"/>
                                                    <w:left w:val="none" w:sz="0" w:space="0" w:color="auto"/>
                                                    <w:bottom w:val="none" w:sz="0" w:space="0" w:color="auto"/>
                                                    <w:right w:val="none" w:sz="0" w:space="0" w:color="auto"/>
                                                  </w:divBdr>
                                                  <w:divsChild>
                                                    <w:div w:id="15735463">
                                                      <w:marLeft w:val="0"/>
                                                      <w:marRight w:val="0"/>
                                                      <w:marTop w:val="0"/>
                                                      <w:marBottom w:val="0"/>
                                                      <w:divBdr>
                                                        <w:top w:val="none" w:sz="0" w:space="0" w:color="auto"/>
                                                        <w:left w:val="none" w:sz="0" w:space="0" w:color="auto"/>
                                                        <w:bottom w:val="none" w:sz="0" w:space="0" w:color="auto"/>
                                                        <w:right w:val="none" w:sz="0" w:space="0" w:color="auto"/>
                                                      </w:divBdr>
                                                      <w:divsChild>
                                                        <w:div w:id="1604800184">
                                                          <w:marLeft w:val="0"/>
                                                          <w:marRight w:val="0"/>
                                                          <w:marTop w:val="0"/>
                                                          <w:marBottom w:val="0"/>
                                                          <w:divBdr>
                                                            <w:top w:val="none" w:sz="0" w:space="0" w:color="auto"/>
                                                            <w:left w:val="none" w:sz="0" w:space="0" w:color="auto"/>
                                                            <w:bottom w:val="none" w:sz="0" w:space="0" w:color="auto"/>
                                                            <w:right w:val="none" w:sz="0" w:space="0" w:color="auto"/>
                                                          </w:divBdr>
                                                          <w:divsChild>
                                                            <w:div w:id="1141071200">
                                                              <w:marLeft w:val="0"/>
                                                              <w:marRight w:val="0"/>
                                                              <w:marTop w:val="0"/>
                                                              <w:marBottom w:val="0"/>
                                                              <w:divBdr>
                                                                <w:top w:val="none" w:sz="0" w:space="0" w:color="auto"/>
                                                                <w:left w:val="none" w:sz="0" w:space="0" w:color="auto"/>
                                                                <w:bottom w:val="none" w:sz="0" w:space="0" w:color="auto"/>
                                                                <w:right w:val="none" w:sz="0" w:space="0" w:color="auto"/>
                                                              </w:divBdr>
                                                              <w:divsChild>
                                                                <w:div w:id="9109569">
                                                                  <w:marLeft w:val="45"/>
                                                                  <w:marRight w:val="45"/>
                                                                  <w:marTop w:val="15"/>
                                                                  <w:marBottom w:val="0"/>
                                                                  <w:divBdr>
                                                                    <w:top w:val="none" w:sz="0" w:space="0" w:color="auto"/>
                                                                    <w:left w:val="none" w:sz="0" w:space="0" w:color="auto"/>
                                                                    <w:bottom w:val="none" w:sz="0" w:space="0" w:color="auto"/>
                                                                    <w:right w:val="none" w:sz="0" w:space="0" w:color="auto"/>
                                                                  </w:divBdr>
                                                                  <w:divsChild>
                                                                    <w:div w:id="4815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90307">
                                              <w:marLeft w:val="0"/>
                                              <w:marRight w:val="0"/>
                                              <w:marTop w:val="0"/>
                                              <w:marBottom w:val="390"/>
                                              <w:divBdr>
                                                <w:top w:val="none" w:sz="0" w:space="0" w:color="auto"/>
                                                <w:left w:val="none" w:sz="0" w:space="0" w:color="auto"/>
                                                <w:bottom w:val="none" w:sz="0" w:space="0" w:color="auto"/>
                                                <w:right w:val="none" w:sz="0" w:space="0" w:color="auto"/>
                                              </w:divBdr>
                                              <w:divsChild>
                                                <w:div w:id="646324688">
                                                  <w:marLeft w:val="0"/>
                                                  <w:marRight w:val="0"/>
                                                  <w:marTop w:val="0"/>
                                                  <w:marBottom w:val="0"/>
                                                  <w:divBdr>
                                                    <w:top w:val="none" w:sz="0" w:space="0" w:color="auto"/>
                                                    <w:left w:val="none" w:sz="0" w:space="0" w:color="auto"/>
                                                    <w:bottom w:val="none" w:sz="0" w:space="0" w:color="auto"/>
                                                    <w:right w:val="none" w:sz="0" w:space="0" w:color="auto"/>
                                                  </w:divBdr>
                                                  <w:divsChild>
                                                    <w:div w:id="751195556">
                                                      <w:marLeft w:val="0"/>
                                                      <w:marRight w:val="0"/>
                                                      <w:marTop w:val="0"/>
                                                      <w:marBottom w:val="0"/>
                                                      <w:divBdr>
                                                        <w:top w:val="none" w:sz="0" w:space="0" w:color="auto"/>
                                                        <w:left w:val="none" w:sz="0" w:space="0" w:color="auto"/>
                                                        <w:bottom w:val="none" w:sz="0" w:space="0" w:color="auto"/>
                                                        <w:right w:val="none" w:sz="0" w:space="0" w:color="auto"/>
                                                      </w:divBdr>
                                                      <w:divsChild>
                                                        <w:div w:id="843322717">
                                                          <w:marLeft w:val="0"/>
                                                          <w:marRight w:val="0"/>
                                                          <w:marTop w:val="0"/>
                                                          <w:marBottom w:val="0"/>
                                                          <w:divBdr>
                                                            <w:top w:val="none" w:sz="0" w:space="0" w:color="auto"/>
                                                            <w:left w:val="none" w:sz="0" w:space="0" w:color="auto"/>
                                                            <w:bottom w:val="none" w:sz="0" w:space="0" w:color="auto"/>
                                                            <w:right w:val="none" w:sz="0" w:space="0" w:color="auto"/>
                                                          </w:divBdr>
                                                          <w:divsChild>
                                                            <w:div w:id="2091581711">
                                                              <w:marLeft w:val="0"/>
                                                              <w:marRight w:val="0"/>
                                                              <w:marTop w:val="0"/>
                                                              <w:marBottom w:val="0"/>
                                                              <w:divBdr>
                                                                <w:top w:val="none" w:sz="0" w:space="0" w:color="auto"/>
                                                                <w:left w:val="none" w:sz="0" w:space="0" w:color="auto"/>
                                                                <w:bottom w:val="none" w:sz="0" w:space="0" w:color="auto"/>
                                                                <w:right w:val="none" w:sz="0" w:space="0" w:color="auto"/>
                                                              </w:divBdr>
                                                              <w:divsChild>
                                                                <w:div w:id="632519959">
                                                                  <w:marLeft w:val="45"/>
                                                                  <w:marRight w:val="45"/>
                                                                  <w:marTop w:val="15"/>
                                                                  <w:marBottom w:val="0"/>
                                                                  <w:divBdr>
                                                                    <w:top w:val="none" w:sz="0" w:space="0" w:color="auto"/>
                                                                    <w:left w:val="none" w:sz="0" w:space="0" w:color="auto"/>
                                                                    <w:bottom w:val="none" w:sz="0" w:space="0" w:color="auto"/>
                                                                    <w:right w:val="none" w:sz="0" w:space="0" w:color="auto"/>
                                                                  </w:divBdr>
                                                                  <w:divsChild>
                                                                    <w:div w:id="10533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3433">
                                              <w:marLeft w:val="0"/>
                                              <w:marRight w:val="0"/>
                                              <w:marTop w:val="0"/>
                                              <w:marBottom w:val="39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sChild>
                                                    <w:div w:id="1941336138">
                                                      <w:marLeft w:val="0"/>
                                                      <w:marRight w:val="0"/>
                                                      <w:marTop w:val="0"/>
                                                      <w:marBottom w:val="0"/>
                                                      <w:divBdr>
                                                        <w:top w:val="none" w:sz="0" w:space="0" w:color="auto"/>
                                                        <w:left w:val="none" w:sz="0" w:space="0" w:color="auto"/>
                                                        <w:bottom w:val="none" w:sz="0" w:space="0" w:color="auto"/>
                                                        <w:right w:val="none" w:sz="0" w:space="0" w:color="auto"/>
                                                      </w:divBdr>
                                                      <w:divsChild>
                                                        <w:div w:id="792209457">
                                                          <w:marLeft w:val="0"/>
                                                          <w:marRight w:val="0"/>
                                                          <w:marTop w:val="0"/>
                                                          <w:marBottom w:val="0"/>
                                                          <w:divBdr>
                                                            <w:top w:val="none" w:sz="0" w:space="0" w:color="auto"/>
                                                            <w:left w:val="none" w:sz="0" w:space="0" w:color="auto"/>
                                                            <w:bottom w:val="none" w:sz="0" w:space="0" w:color="auto"/>
                                                            <w:right w:val="none" w:sz="0" w:space="0" w:color="auto"/>
                                                          </w:divBdr>
                                                          <w:divsChild>
                                                            <w:div w:id="1266186273">
                                                              <w:marLeft w:val="0"/>
                                                              <w:marRight w:val="0"/>
                                                              <w:marTop w:val="0"/>
                                                              <w:marBottom w:val="0"/>
                                                              <w:divBdr>
                                                                <w:top w:val="none" w:sz="0" w:space="0" w:color="auto"/>
                                                                <w:left w:val="none" w:sz="0" w:space="0" w:color="auto"/>
                                                                <w:bottom w:val="none" w:sz="0" w:space="0" w:color="auto"/>
                                                                <w:right w:val="none" w:sz="0" w:space="0" w:color="auto"/>
                                                              </w:divBdr>
                                                              <w:divsChild>
                                                                <w:div w:id="659113490">
                                                                  <w:marLeft w:val="45"/>
                                                                  <w:marRight w:val="45"/>
                                                                  <w:marTop w:val="15"/>
                                                                  <w:marBottom w:val="0"/>
                                                                  <w:divBdr>
                                                                    <w:top w:val="none" w:sz="0" w:space="0" w:color="auto"/>
                                                                    <w:left w:val="none" w:sz="0" w:space="0" w:color="auto"/>
                                                                    <w:bottom w:val="none" w:sz="0" w:space="0" w:color="auto"/>
                                                                    <w:right w:val="none" w:sz="0" w:space="0" w:color="auto"/>
                                                                  </w:divBdr>
                                                                  <w:divsChild>
                                                                    <w:div w:id="8135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26240">
                                              <w:marLeft w:val="0"/>
                                              <w:marRight w:val="0"/>
                                              <w:marTop w:val="0"/>
                                              <w:marBottom w:val="390"/>
                                              <w:divBdr>
                                                <w:top w:val="none" w:sz="0" w:space="0" w:color="auto"/>
                                                <w:left w:val="none" w:sz="0" w:space="0" w:color="auto"/>
                                                <w:bottom w:val="none" w:sz="0" w:space="0" w:color="auto"/>
                                                <w:right w:val="none" w:sz="0" w:space="0" w:color="auto"/>
                                              </w:divBdr>
                                              <w:divsChild>
                                                <w:div w:id="135151352">
                                                  <w:marLeft w:val="0"/>
                                                  <w:marRight w:val="0"/>
                                                  <w:marTop w:val="0"/>
                                                  <w:marBottom w:val="0"/>
                                                  <w:divBdr>
                                                    <w:top w:val="none" w:sz="0" w:space="0" w:color="auto"/>
                                                    <w:left w:val="none" w:sz="0" w:space="0" w:color="auto"/>
                                                    <w:bottom w:val="none" w:sz="0" w:space="0" w:color="auto"/>
                                                    <w:right w:val="none" w:sz="0" w:space="0" w:color="auto"/>
                                                  </w:divBdr>
                                                  <w:divsChild>
                                                    <w:div w:id="610360787">
                                                      <w:marLeft w:val="0"/>
                                                      <w:marRight w:val="0"/>
                                                      <w:marTop w:val="0"/>
                                                      <w:marBottom w:val="0"/>
                                                      <w:divBdr>
                                                        <w:top w:val="none" w:sz="0" w:space="0" w:color="auto"/>
                                                        <w:left w:val="none" w:sz="0" w:space="0" w:color="auto"/>
                                                        <w:bottom w:val="none" w:sz="0" w:space="0" w:color="auto"/>
                                                        <w:right w:val="none" w:sz="0" w:space="0" w:color="auto"/>
                                                      </w:divBdr>
                                                      <w:divsChild>
                                                        <w:div w:id="2039621068">
                                                          <w:marLeft w:val="0"/>
                                                          <w:marRight w:val="0"/>
                                                          <w:marTop w:val="0"/>
                                                          <w:marBottom w:val="0"/>
                                                          <w:divBdr>
                                                            <w:top w:val="none" w:sz="0" w:space="0" w:color="auto"/>
                                                            <w:left w:val="none" w:sz="0" w:space="0" w:color="auto"/>
                                                            <w:bottom w:val="none" w:sz="0" w:space="0" w:color="auto"/>
                                                            <w:right w:val="none" w:sz="0" w:space="0" w:color="auto"/>
                                                          </w:divBdr>
                                                          <w:divsChild>
                                                            <w:div w:id="1094087444">
                                                              <w:marLeft w:val="0"/>
                                                              <w:marRight w:val="0"/>
                                                              <w:marTop w:val="0"/>
                                                              <w:marBottom w:val="0"/>
                                                              <w:divBdr>
                                                                <w:top w:val="none" w:sz="0" w:space="0" w:color="auto"/>
                                                                <w:left w:val="none" w:sz="0" w:space="0" w:color="auto"/>
                                                                <w:bottom w:val="none" w:sz="0" w:space="0" w:color="auto"/>
                                                                <w:right w:val="none" w:sz="0" w:space="0" w:color="auto"/>
                                                              </w:divBdr>
                                                              <w:divsChild>
                                                                <w:div w:id="1411349211">
                                                                  <w:marLeft w:val="45"/>
                                                                  <w:marRight w:val="45"/>
                                                                  <w:marTop w:val="15"/>
                                                                  <w:marBottom w:val="0"/>
                                                                  <w:divBdr>
                                                                    <w:top w:val="none" w:sz="0" w:space="0" w:color="auto"/>
                                                                    <w:left w:val="none" w:sz="0" w:space="0" w:color="auto"/>
                                                                    <w:bottom w:val="none" w:sz="0" w:space="0" w:color="auto"/>
                                                                    <w:right w:val="none" w:sz="0" w:space="0" w:color="auto"/>
                                                                  </w:divBdr>
                                                                  <w:divsChild>
                                                                    <w:div w:id="12304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771256">
                                              <w:marLeft w:val="0"/>
                                              <w:marRight w:val="0"/>
                                              <w:marTop w:val="0"/>
                                              <w:marBottom w:val="390"/>
                                              <w:divBdr>
                                                <w:top w:val="none" w:sz="0" w:space="0" w:color="auto"/>
                                                <w:left w:val="none" w:sz="0" w:space="0" w:color="auto"/>
                                                <w:bottom w:val="none" w:sz="0" w:space="0" w:color="auto"/>
                                                <w:right w:val="none" w:sz="0" w:space="0" w:color="auto"/>
                                              </w:divBdr>
                                              <w:divsChild>
                                                <w:div w:id="973025951">
                                                  <w:marLeft w:val="0"/>
                                                  <w:marRight w:val="0"/>
                                                  <w:marTop w:val="0"/>
                                                  <w:marBottom w:val="0"/>
                                                  <w:divBdr>
                                                    <w:top w:val="none" w:sz="0" w:space="0" w:color="auto"/>
                                                    <w:left w:val="none" w:sz="0" w:space="0" w:color="auto"/>
                                                    <w:bottom w:val="none" w:sz="0" w:space="0" w:color="auto"/>
                                                    <w:right w:val="none" w:sz="0" w:space="0" w:color="auto"/>
                                                  </w:divBdr>
                                                  <w:divsChild>
                                                    <w:div w:id="1627085205">
                                                      <w:marLeft w:val="0"/>
                                                      <w:marRight w:val="0"/>
                                                      <w:marTop w:val="0"/>
                                                      <w:marBottom w:val="0"/>
                                                      <w:divBdr>
                                                        <w:top w:val="none" w:sz="0" w:space="0" w:color="auto"/>
                                                        <w:left w:val="none" w:sz="0" w:space="0" w:color="auto"/>
                                                        <w:bottom w:val="none" w:sz="0" w:space="0" w:color="auto"/>
                                                        <w:right w:val="none" w:sz="0" w:space="0" w:color="auto"/>
                                                      </w:divBdr>
                                                      <w:divsChild>
                                                        <w:div w:id="1745225037">
                                                          <w:marLeft w:val="0"/>
                                                          <w:marRight w:val="0"/>
                                                          <w:marTop w:val="0"/>
                                                          <w:marBottom w:val="0"/>
                                                          <w:divBdr>
                                                            <w:top w:val="none" w:sz="0" w:space="0" w:color="auto"/>
                                                            <w:left w:val="none" w:sz="0" w:space="0" w:color="auto"/>
                                                            <w:bottom w:val="none" w:sz="0" w:space="0" w:color="auto"/>
                                                            <w:right w:val="none" w:sz="0" w:space="0" w:color="auto"/>
                                                          </w:divBdr>
                                                          <w:divsChild>
                                                            <w:div w:id="1239897714">
                                                              <w:marLeft w:val="0"/>
                                                              <w:marRight w:val="0"/>
                                                              <w:marTop w:val="0"/>
                                                              <w:marBottom w:val="0"/>
                                                              <w:divBdr>
                                                                <w:top w:val="none" w:sz="0" w:space="0" w:color="auto"/>
                                                                <w:left w:val="none" w:sz="0" w:space="0" w:color="auto"/>
                                                                <w:bottom w:val="none" w:sz="0" w:space="0" w:color="auto"/>
                                                                <w:right w:val="none" w:sz="0" w:space="0" w:color="auto"/>
                                                              </w:divBdr>
                                                              <w:divsChild>
                                                                <w:div w:id="848983250">
                                                                  <w:marLeft w:val="45"/>
                                                                  <w:marRight w:val="45"/>
                                                                  <w:marTop w:val="15"/>
                                                                  <w:marBottom w:val="0"/>
                                                                  <w:divBdr>
                                                                    <w:top w:val="none" w:sz="0" w:space="0" w:color="auto"/>
                                                                    <w:left w:val="none" w:sz="0" w:space="0" w:color="auto"/>
                                                                    <w:bottom w:val="none" w:sz="0" w:space="0" w:color="auto"/>
                                                                    <w:right w:val="none" w:sz="0" w:space="0" w:color="auto"/>
                                                                  </w:divBdr>
                                                                  <w:divsChild>
                                                                    <w:div w:id="19143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628106">
                                              <w:marLeft w:val="0"/>
                                              <w:marRight w:val="0"/>
                                              <w:marTop w:val="0"/>
                                              <w:marBottom w:val="390"/>
                                              <w:divBdr>
                                                <w:top w:val="none" w:sz="0" w:space="0" w:color="auto"/>
                                                <w:left w:val="none" w:sz="0" w:space="0" w:color="auto"/>
                                                <w:bottom w:val="none" w:sz="0" w:space="0" w:color="auto"/>
                                                <w:right w:val="none" w:sz="0" w:space="0" w:color="auto"/>
                                              </w:divBdr>
                                              <w:divsChild>
                                                <w:div w:id="995231349">
                                                  <w:marLeft w:val="0"/>
                                                  <w:marRight w:val="0"/>
                                                  <w:marTop w:val="0"/>
                                                  <w:marBottom w:val="0"/>
                                                  <w:divBdr>
                                                    <w:top w:val="none" w:sz="0" w:space="0" w:color="auto"/>
                                                    <w:left w:val="none" w:sz="0" w:space="0" w:color="auto"/>
                                                    <w:bottom w:val="none" w:sz="0" w:space="0" w:color="auto"/>
                                                    <w:right w:val="none" w:sz="0" w:space="0" w:color="auto"/>
                                                  </w:divBdr>
                                                  <w:divsChild>
                                                    <w:div w:id="536622712">
                                                      <w:marLeft w:val="0"/>
                                                      <w:marRight w:val="0"/>
                                                      <w:marTop w:val="0"/>
                                                      <w:marBottom w:val="0"/>
                                                      <w:divBdr>
                                                        <w:top w:val="none" w:sz="0" w:space="0" w:color="auto"/>
                                                        <w:left w:val="none" w:sz="0" w:space="0" w:color="auto"/>
                                                        <w:bottom w:val="none" w:sz="0" w:space="0" w:color="auto"/>
                                                        <w:right w:val="none" w:sz="0" w:space="0" w:color="auto"/>
                                                      </w:divBdr>
                                                      <w:divsChild>
                                                        <w:div w:id="269241016">
                                                          <w:marLeft w:val="0"/>
                                                          <w:marRight w:val="0"/>
                                                          <w:marTop w:val="0"/>
                                                          <w:marBottom w:val="0"/>
                                                          <w:divBdr>
                                                            <w:top w:val="none" w:sz="0" w:space="0" w:color="auto"/>
                                                            <w:left w:val="none" w:sz="0" w:space="0" w:color="auto"/>
                                                            <w:bottom w:val="none" w:sz="0" w:space="0" w:color="auto"/>
                                                            <w:right w:val="none" w:sz="0" w:space="0" w:color="auto"/>
                                                          </w:divBdr>
                                                          <w:divsChild>
                                                            <w:div w:id="507250979">
                                                              <w:marLeft w:val="0"/>
                                                              <w:marRight w:val="0"/>
                                                              <w:marTop w:val="0"/>
                                                              <w:marBottom w:val="0"/>
                                                              <w:divBdr>
                                                                <w:top w:val="none" w:sz="0" w:space="0" w:color="auto"/>
                                                                <w:left w:val="none" w:sz="0" w:space="0" w:color="auto"/>
                                                                <w:bottom w:val="none" w:sz="0" w:space="0" w:color="auto"/>
                                                                <w:right w:val="none" w:sz="0" w:space="0" w:color="auto"/>
                                                              </w:divBdr>
                                                              <w:divsChild>
                                                                <w:div w:id="1176849811">
                                                                  <w:marLeft w:val="45"/>
                                                                  <w:marRight w:val="45"/>
                                                                  <w:marTop w:val="15"/>
                                                                  <w:marBottom w:val="0"/>
                                                                  <w:divBdr>
                                                                    <w:top w:val="none" w:sz="0" w:space="0" w:color="auto"/>
                                                                    <w:left w:val="none" w:sz="0" w:space="0" w:color="auto"/>
                                                                    <w:bottom w:val="none" w:sz="0" w:space="0" w:color="auto"/>
                                                                    <w:right w:val="none" w:sz="0" w:space="0" w:color="auto"/>
                                                                  </w:divBdr>
                                                                  <w:divsChild>
                                                                    <w:div w:id="12614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69392">
                                              <w:marLeft w:val="0"/>
                                              <w:marRight w:val="0"/>
                                              <w:marTop w:val="0"/>
                                              <w:marBottom w:val="390"/>
                                              <w:divBdr>
                                                <w:top w:val="none" w:sz="0" w:space="0" w:color="auto"/>
                                                <w:left w:val="none" w:sz="0" w:space="0" w:color="auto"/>
                                                <w:bottom w:val="none" w:sz="0" w:space="0" w:color="auto"/>
                                                <w:right w:val="none" w:sz="0" w:space="0" w:color="auto"/>
                                              </w:divBdr>
                                              <w:divsChild>
                                                <w:div w:id="1170219556">
                                                  <w:marLeft w:val="0"/>
                                                  <w:marRight w:val="0"/>
                                                  <w:marTop w:val="0"/>
                                                  <w:marBottom w:val="0"/>
                                                  <w:divBdr>
                                                    <w:top w:val="none" w:sz="0" w:space="0" w:color="auto"/>
                                                    <w:left w:val="none" w:sz="0" w:space="0" w:color="auto"/>
                                                    <w:bottom w:val="none" w:sz="0" w:space="0" w:color="auto"/>
                                                    <w:right w:val="none" w:sz="0" w:space="0" w:color="auto"/>
                                                  </w:divBdr>
                                                  <w:divsChild>
                                                    <w:div w:id="1134787414">
                                                      <w:marLeft w:val="0"/>
                                                      <w:marRight w:val="0"/>
                                                      <w:marTop w:val="0"/>
                                                      <w:marBottom w:val="0"/>
                                                      <w:divBdr>
                                                        <w:top w:val="none" w:sz="0" w:space="0" w:color="auto"/>
                                                        <w:left w:val="none" w:sz="0" w:space="0" w:color="auto"/>
                                                        <w:bottom w:val="none" w:sz="0" w:space="0" w:color="auto"/>
                                                        <w:right w:val="none" w:sz="0" w:space="0" w:color="auto"/>
                                                      </w:divBdr>
                                                      <w:divsChild>
                                                        <w:div w:id="1579170358">
                                                          <w:marLeft w:val="0"/>
                                                          <w:marRight w:val="0"/>
                                                          <w:marTop w:val="0"/>
                                                          <w:marBottom w:val="0"/>
                                                          <w:divBdr>
                                                            <w:top w:val="none" w:sz="0" w:space="0" w:color="auto"/>
                                                            <w:left w:val="none" w:sz="0" w:space="0" w:color="auto"/>
                                                            <w:bottom w:val="none" w:sz="0" w:space="0" w:color="auto"/>
                                                            <w:right w:val="none" w:sz="0" w:space="0" w:color="auto"/>
                                                          </w:divBdr>
                                                          <w:divsChild>
                                                            <w:div w:id="840781705">
                                                              <w:marLeft w:val="0"/>
                                                              <w:marRight w:val="0"/>
                                                              <w:marTop w:val="0"/>
                                                              <w:marBottom w:val="0"/>
                                                              <w:divBdr>
                                                                <w:top w:val="none" w:sz="0" w:space="0" w:color="auto"/>
                                                                <w:left w:val="none" w:sz="0" w:space="0" w:color="auto"/>
                                                                <w:bottom w:val="none" w:sz="0" w:space="0" w:color="auto"/>
                                                                <w:right w:val="none" w:sz="0" w:space="0" w:color="auto"/>
                                                              </w:divBdr>
                                                              <w:divsChild>
                                                                <w:div w:id="626469378">
                                                                  <w:marLeft w:val="45"/>
                                                                  <w:marRight w:val="45"/>
                                                                  <w:marTop w:val="15"/>
                                                                  <w:marBottom w:val="0"/>
                                                                  <w:divBdr>
                                                                    <w:top w:val="none" w:sz="0" w:space="0" w:color="auto"/>
                                                                    <w:left w:val="none" w:sz="0" w:space="0" w:color="auto"/>
                                                                    <w:bottom w:val="none" w:sz="0" w:space="0" w:color="auto"/>
                                                                    <w:right w:val="none" w:sz="0" w:space="0" w:color="auto"/>
                                                                  </w:divBdr>
                                                                  <w:divsChild>
                                                                    <w:div w:id="2795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319642">
                                              <w:marLeft w:val="0"/>
                                              <w:marRight w:val="0"/>
                                              <w:marTop w:val="0"/>
                                              <w:marBottom w:val="420"/>
                                              <w:divBdr>
                                                <w:top w:val="none" w:sz="0" w:space="0" w:color="auto"/>
                                                <w:left w:val="none" w:sz="0" w:space="0" w:color="auto"/>
                                                <w:bottom w:val="none" w:sz="0" w:space="0" w:color="auto"/>
                                                <w:right w:val="none" w:sz="0" w:space="0" w:color="auto"/>
                                              </w:divBdr>
                                              <w:divsChild>
                                                <w:div w:id="276568434">
                                                  <w:marLeft w:val="0"/>
                                                  <w:marRight w:val="0"/>
                                                  <w:marTop w:val="0"/>
                                                  <w:marBottom w:val="0"/>
                                                  <w:divBdr>
                                                    <w:top w:val="none" w:sz="0" w:space="0" w:color="auto"/>
                                                    <w:left w:val="none" w:sz="0" w:space="0" w:color="auto"/>
                                                    <w:bottom w:val="none" w:sz="0" w:space="0" w:color="auto"/>
                                                    <w:right w:val="none" w:sz="0" w:space="0" w:color="auto"/>
                                                  </w:divBdr>
                                                  <w:divsChild>
                                                    <w:div w:id="1472946550">
                                                      <w:marLeft w:val="0"/>
                                                      <w:marRight w:val="0"/>
                                                      <w:marTop w:val="0"/>
                                                      <w:marBottom w:val="0"/>
                                                      <w:divBdr>
                                                        <w:top w:val="none" w:sz="0" w:space="0" w:color="auto"/>
                                                        <w:left w:val="none" w:sz="0" w:space="0" w:color="auto"/>
                                                        <w:bottom w:val="none" w:sz="0" w:space="0" w:color="auto"/>
                                                        <w:right w:val="none" w:sz="0" w:space="0" w:color="auto"/>
                                                      </w:divBdr>
                                                      <w:divsChild>
                                                        <w:div w:id="1623883483">
                                                          <w:marLeft w:val="0"/>
                                                          <w:marRight w:val="0"/>
                                                          <w:marTop w:val="0"/>
                                                          <w:marBottom w:val="0"/>
                                                          <w:divBdr>
                                                            <w:top w:val="none" w:sz="0" w:space="0" w:color="auto"/>
                                                            <w:left w:val="none" w:sz="0" w:space="0" w:color="auto"/>
                                                            <w:bottom w:val="none" w:sz="0" w:space="0" w:color="auto"/>
                                                            <w:right w:val="none" w:sz="0" w:space="0" w:color="auto"/>
                                                          </w:divBdr>
                                                          <w:divsChild>
                                                            <w:div w:id="1465346665">
                                                              <w:marLeft w:val="0"/>
                                                              <w:marRight w:val="0"/>
                                                              <w:marTop w:val="0"/>
                                                              <w:marBottom w:val="0"/>
                                                              <w:divBdr>
                                                                <w:top w:val="none" w:sz="0" w:space="0" w:color="auto"/>
                                                                <w:left w:val="none" w:sz="0" w:space="0" w:color="auto"/>
                                                                <w:bottom w:val="none" w:sz="0" w:space="0" w:color="auto"/>
                                                                <w:right w:val="none" w:sz="0" w:space="0" w:color="auto"/>
                                                              </w:divBdr>
                                                              <w:divsChild>
                                                                <w:div w:id="226384561">
                                                                  <w:marLeft w:val="45"/>
                                                                  <w:marRight w:val="45"/>
                                                                  <w:marTop w:val="15"/>
                                                                  <w:marBottom w:val="0"/>
                                                                  <w:divBdr>
                                                                    <w:top w:val="none" w:sz="0" w:space="0" w:color="auto"/>
                                                                    <w:left w:val="none" w:sz="0" w:space="0" w:color="auto"/>
                                                                    <w:bottom w:val="none" w:sz="0" w:space="0" w:color="auto"/>
                                                                    <w:right w:val="none" w:sz="0" w:space="0" w:color="auto"/>
                                                                  </w:divBdr>
                                                                  <w:divsChild>
                                                                    <w:div w:id="20123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8370922">
                  <w:marLeft w:val="0"/>
                  <w:marRight w:val="0"/>
                  <w:marTop w:val="0"/>
                  <w:marBottom w:val="0"/>
                  <w:divBdr>
                    <w:top w:val="none" w:sz="0" w:space="0" w:color="auto"/>
                    <w:left w:val="none" w:sz="0" w:space="0" w:color="auto"/>
                    <w:bottom w:val="none" w:sz="0" w:space="0" w:color="auto"/>
                    <w:right w:val="none" w:sz="0" w:space="0" w:color="auto"/>
                  </w:divBdr>
                  <w:divsChild>
                    <w:div w:id="1479494322">
                      <w:marLeft w:val="0"/>
                      <w:marRight w:val="0"/>
                      <w:marTop w:val="0"/>
                      <w:marBottom w:val="0"/>
                      <w:divBdr>
                        <w:top w:val="none" w:sz="0" w:space="0" w:color="auto"/>
                        <w:left w:val="none" w:sz="0" w:space="0" w:color="auto"/>
                        <w:bottom w:val="none" w:sz="0" w:space="0" w:color="auto"/>
                        <w:right w:val="none" w:sz="0" w:space="0" w:color="auto"/>
                      </w:divBdr>
                      <w:divsChild>
                        <w:div w:id="590089569">
                          <w:marLeft w:val="0"/>
                          <w:marRight w:val="0"/>
                          <w:marTop w:val="0"/>
                          <w:marBottom w:val="0"/>
                          <w:divBdr>
                            <w:top w:val="none" w:sz="0" w:space="0" w:color="auto"/>
                            <w:left w:val="none" w:sz="0" w:space="0" w:color="auto"/>
                            <w:bottom w:val="none" w:sz="0" w:space="0" w:color="auto"/>
                            <w:right w:val="none" w:sz="0" w:space="0" w:color="auto"/>
                          </w:divBdr>
                          <w:divsChild>
                            <w:div w:id="1800608887">
                              <w:marLeft w:val="0"/>
                              <w:marRight w:val="0"/>
                              <w:marTop w:val="0"/>
                              <w:marBottom w:val="420"/>
                              <w:divBdr>
                                <w:top w:val="none" w:sz="0" w:space="0" w:color="auto"/>
                                <w:left w:val="none" w:sz="0" w:space="0" w:color="auto"/>
                                <w:bottom w:val="none" w:sz="0" w:space="0" w:color="auto"/>
                                <w:right w:val="none" w:sz="0" w:space="0" w:color="auto"/>
                              </w:divBdr>
                              <w:divsChild>
                                <w:div w:id="2056662225">
                                  <w:marLeft w:val="0"/>
                                  <w:marRight w:val="0"/>
                                  <w:marTop w:val="0"/>
                                  <w:marBottom w:val="0"/>
                                  <w:divBdr>
                                    <w:top w:val="none" w:sz="0" w:space="0" w:color="auto"/>
                                    <w:left w:val="none" w:sz="0" w:space="0" w:color="auto"/>
                                    <w:bottom w:val="none" w:sz="0" w:space="0" w:color="auto"/>
                                    <w:right w:val="none" w:sz="0" w:space="0" w:color="auto"/>
                                  </w:divBdr>
                                </w:div>
                                <w:div w:id="703215125">
                                  <w:marLeft w:val="0"/>
                                  <w:marRight w:val="0"/>
                                  <w:marTop w:val="0"/>
                                  <w:marBottom w:val="0"/>
                                  <w:divBdr>
                                    <w:top w:val="none" w:sz="0" w:space="0" w:color="auto"/>
                                    <w:left w:val="none" w:sz="0" w:space="0" w:color="auto"/>
                                    <w:bottom w:val="none" w:sz="0" w:space="0" w:color="auto"/>
                                    <w:right w:val="none" w:sz="0" w:space="0" w:color="auto"/>
                                  </w:divBdr>
                                  <w:divsChild>
                                    <w:div w:id="1762294655">
                                      <w:marLeft w:val="0"/>
                                      <w:marRight w:val="0"/>
                                      <w:marTop w:val="0"/>
                                      <w:marBottom w:val="0"/>
                                      <w:divBdr>
                                        <w:top w:val="none" w:sz="0" w:space="0" w:color="auto"/>
                                        <w:left w:val="none" w:sz="0" w:space="0" w:color="auto"/>
                                        <w:bottom w:val="none" w:sz="0" w:space="0" w:color="auto"/>
                                        <w:right w:val="none" w:sz="0" w:space="0" w:color="auto"/>
                                      </w:divBdr>
                                    </w:div>
                                    <w:div w:id="17365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740751">
                  <w:marLeft w:val="0"/>
                  <w:marRight w:val="0"/>
                  <w:marTop w:val="0"/>
                  <w:marBottom w:val="0"/>
                  <w:divBdr>
                    <w:top w:val="none" w:sz="0" w:space="0" w:color="auto"/>
                    <w:left w:val="none" w:sz="0" w:space="0" w:color="auto"/>
                    <w:bottom w:val="none" w:sz="0" w:space="0" w:color="auto"/>
                    <w:right w:val="none" w:sz="0" w:space="0" w:color="auto"/>
                  </w:divBdr>
                  <w:divsChild>
                    <w:div w:id="1092434282">
                      <w:marLeft w:val="0"/>
                      <w:marRight w:val="0"/>
                      <w:marTop w:val="0"/>
                      <w:marBottom w:val="0"/>
                      <w:divBdr>
                        <w:top w:val="none" w:sz="0" w:space="0" w:color="auto"/>
                        <w:left w:val="none" w:sz="0" w:space="0" w:color="auto"/>
                        <w:bottom w:val="none" w:sz="0" w:space="0" w:color="auto"/>
                        <w:right w:val="none" w:sz="0" w:space="0" w:color="auto"/>
                      </w:divBdr>
                      <w:divsChild>
                        <w:div w:id="17225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9771">
          <w:marLeft w:val="0"/>
          <w:marRight w:val="0"/>
          <w:marTop w:val="0"/>
          <w:marBottom w:val="0"/>
          <w:divBdr>
            <w:top w:val="none" w:sz="0" w:space="0" w:color="auto"/>
            <w:left w:val="none" w:sz="0" w:space="0" w:color="auto"/>
            <w:bottom w:val="none" w:sz="0" w:space="0" w:color="auto"/>
            <w:right w:val="none" w:sz="0" w:space="0" w:color="auto"/>
          </w:divBdr>
          <w:divsChild>
            <w:div w:id="763574513">
              <w:marLeft w:val="12300"/>
              <w:marRight w:val="0"/>
              <w:marTop w:val="0"/>
              <w:marBottom w:val="0"/>
              <w:divBdr>
                <w:top w:val="none" w:sz="0" w:space="0" w:color="auto"/>
                <w:left w:val="none" w:sz="0" w:space="0" w:color="auto"/>
                <w:bottom w:val="none" w:sz="0" w:space="0" w:color="auto"/>
                <w:right w:val="none" w:sz="0" w:space="0" w:color="auto"/>
              </w:divBdr>
            </w:div>
          </w:divsChild>
        </w:div>
      </w:divsChild>
    </w:div>
    <w:div w:id="419954824">
      <w:bodyDiv w:val="1"/>
      <w:marLeft w:val="0"/>
      <w:marRight w:val="0"/>
      <w:marTop w:val="0"/>
      <w:marBottom w:val="0"/>
      <w:divBdr>
        <w:top w:val="none" w:sz="0" w:space="0" w:color="auto"/>
        <w:left w:val="none" w:sz="0" w:space="0" w:color="auto"/>
        <w:bottom w:val="none" w:sz="0" w:space="0" w:color="auto"/>
        <w:right w:val="none" w:sz="0" w:space="0" w:color="auto"/>
      </w:divBdr>
    </w:div>
    <w:div w:id="544145790">
      <w:bodyDiv w:val="1"/>
      <w:marLeft w:val="0"/>
      <w:marRight w:val="0"/>
      <w:marTop w:val="0"/>
      <w:marBottom w:val="0"/>
      <w:divBdr>
        <w:top w:val="none" w:sz="0" w:space="0" w:color="auto"/>
        <w:left w:val="none" w:sz="0" w:space="0" w:color="auto"/>
        <w:bottom w:val="none" w:sz="0" w:space="0" w:color="auto"/>
        <w:right w:val="none" w:sz="0" w:space="0" w:color="auto"/>
      </w:divBdr>
    </w:div>
    <w:div w:id="575747298">
      <w:bodyDiv w:val="1"/>
      <w:marLeft w:val="0"/>
      <w:marRight w:val="0"/>
      <w:marTop w:val="0"/>
      <w:marBottom w:val="0"/>
      <w:divBdr>
        <w:top w:val="none" w:sz="0" w:space="0" w:color="auto"/>
        <w:left w:val="none" w:sz="0" w:space="0" w:color="auto"/>
        <w:bottom w:val="none" w:sz="0" w:space="0" w:color="auto"/>
        <w:right w:val="none" w:sz="0" w:space="0" w:color="auto"/>
      </w:divBdr>
    </w:div>
    <w:div w:id="655688098">
      <w:bodyDiv w:val="1"/>
      <w:marLeft w:val="0"/>
      <w:marRight w:val="0"/>
      <w:marTop w:val="0"/>
      <w:marBottom w:val="0"/>
      <w:divBdr>
        <w:top w:val="none" w:sz="0" w:space="0" w:color="auto"/>
        <w:left w:val="none" w:sz="0" w:space="0" w:color="auto"/>
        <w:bottom w:val="none" w:sz="0" w:space="0" w:color="auto"/>
        <w:right w:val="none" w:sz="0" w:space="0" w:color="auto"/>
      </w:divBdr>
      <w:divsChild>
        <w:div w:id="552666240">
          <w:marLeft w:val="0"/>
          <w:marRight w:val="0"/>
          <w:marTop w:val="225"/>
          <w:marBottom w:val="180"/>
          <w:divBdr>
            <w:top w:val="single" w:sz="6" w:space="0" w:color="D7D7D7"/>
            <w:left w:val="none" w:sz="0" w:space="0" w:color="auto"/>
            <w:bottom w:val="single" w:sz="6" w:space="0" w:color="D7D7D7"/>
            <w:right w:val="none" w:sz="0" w:space="0" w:color="auto"/>
          </w:divBdr>
          <w:divsChild>
            <w:div w:id="296687131">
              <w:marLeft w:val="0"/>
              <w:marRight w:val="0"/>
              <w:marTop w:val="0"/>
              <w:marBottom w:val="0"/>
              <w:divBdr>
                <w:top w:val="none" w:sz="0" w:space="0" w:color="auto"/>
                <w:left w:val="none" w:sz="0" w:space="0" w:color="auto"/>
                <w:bottom w:val="none" w:sz="0" w:space="0" w:color="auto"/>
                <w:right w:val="none" w:sz="0" w:space="0" w:color="auto"/>
              </w:divBdr>
            </w:div>
            <w:div w:id="646470036">
              <w:marLeft w:val="0"/>
              <w:marRight w:val="0"/>
              <w:marTop w:val="0"/>
              <w:marBottom w:val="0"/>
              <w:divBdr>
                <w:top w:val="none" w:sz="0" w:space="0" w:color="auto"/>
                <w:left w:val="none" w:sz="0" w:space="0" w:color="auto"/>
                <w:bottom w:val="none" w:sz="0" w:space="0" w:color="auto"/>
                <w:right w:val="none" w:sz="0" w:space="0" w:color="auto"/>
              </w:divBdr>
            </w:div>
          </w:divsChild>
        </w:div>
        <w:div w:id="1840459400">
          <w:marLeft w:val="0"/>
          <w:marRight w:val="0"/>
          <w:marTop w:val="0"/>
          <w:marBottom w:val="0"/>
          <w:divBdr>
            <w:top w:val="none" w:sz="0" w:space="0" w:color="auto"/>
            <w:left w:val="none" w:sz="0" w:space="0" w:color="auto"/>
            <w:bottom w:val="none" w:sz="0" w:space="0" w:color="auto"/>
            <w:right w:val="none" w:sz="0" w:space="0" w:color="auto"/>
          </w:divBdr>
        </w:div>
      </w:divsChild>
    </w:div>
    <w:div w:id="804857549">
      <w:bodyDiv w:val="1"/>
      <w:marLeft w:val="0"/>
      <w:marRight w:val="0"/>
      <w:marTop w:val="0"/>
      <w:marBottom w:val="0"/>
      <w:divBdr>
        <w:top w:val="none" w:sz="0" w:space="0" w:color="auto"/>
        <w:left w:val="none" w:sz="0" w:space="0" w:color="auto"/>
        <w:bottom w:val="none" w:sz="0" w:space="0" w:color="auto"/>
        <w:right w:val="none" w:sz="0" w:space="0" w:color="auto"/>
      </w:divBdr>
    </w:div>
    <w:div w:id="812673273">
      <w:bodyDiv w:val="1"/>
      <w:marLeft w:val="0"/>
      <w:marRight w:val="0"/>
      <w:marTop w:val="0"/>
      <w:marBottom w:val="0"/>
      <w:divBdr>
        <w:top w:val="none" w:sz="0" w:space="0" w:color="auto"/>
        <w:left w:val="none" w:sz="0" w:space="0" w:color="auto"/>
        <w:bottom w:val="none" w:sz="0" w:space="0" w:color="auto"/>
        <w:right w:val="none" w:sz="0" w:space="0" w:color="auto"/>
      </w:divBdr>
      <w:divsChild>
        <w:div w:id="1303466284">
          <w:marLeft w:val="0"/>
          <w:marRight w:val="0"/>
          <w:marTop w:val="0"/>
          <w:marBottom w:val="300"/>
          <w:divBdr>
            <w:top w:val="none" w:sz="0" w:space="0" w:color="auto"/>
            <w:left w:val="none" w:sz="0" w:space="0" w:color="auto"/>
            <w:bottom w:val="none" w:sz="0" w:space="0" w:color="auto"/>
            <w:right w:val="none" w:sz="0" w:space="0" w:color="auto"/>
          </w:divBdr>
          <w:divsChild>
            <w:div w:id="1223558500">
              <w:marLeft w:val="0"/>
              <w:marRight w:val="0"/>
              <w:marTop w:val="75"/>
              <w:marBottom w:val="0"/>
              <w:divBdr>
                <w:top w:val="none" w:sz="0" w:space="0" w:color="auto"/>
                <w:left w:val="none" w:sz="0" w:space="0" w:color="auto"/>
                <w:bottom w:val="none" w:sz="0" w:space="0" w:color="auto"/>
                <w:right w:val="none" w:sz="0" w:space="0" w:color="auto"/>
              </w:divBdr>
            </w:div>
          </w:divsChild>
        </w:div>
        <w:div w:id="2071149770">
          <w:marLeft w:val="0"/>
          <w:marRight w:val="0"/>
          <w:marTop w:val="0"/>
          <w:marBottom w:val="450"/>
          <w:divBdr>
            <w:top w:val="none" w:sz="0" w:space="0" w:color="auto"/>
            <w:left w:val="none" w:sz="0" w:space="0" w:color="auto"/>
            <w:bottom w:val="none" w:sz="0" w:space="0" w:color="auto"/>
            <w:right w:val="none" w:sz="0" w:space="0" w:color="auto"/>
          </w:divBdr>
          <w:divsChild>
            <w:div w:id="748500470">
              <w:marLeft w:val="0"/>
              <w:marRight w:val="0"/>
              <w:marTop w:val="0"/>
              <w:marBottom w:val="0"/>
              <w:divBdr>
                <w:top w:val="single" w:sz="6" w:space="5" w:color="DDDDDD"/>
                <w:left w:val="single" w:sz="6" w:space="5" w:color="DDDDDD"/>
                <w:bottom w:val="single" w:sz="6" w:space="5" w:color="DDDDDD"/>
                <w:right w:val="single" w:sz="6" w:space="5" w:color="DDDDDD"/>
              </w:divBdr>
              <w:divsChild>
                <w:div w:id="787549796">
                  <w:marLeft w:val="0"/>
                  <w:marRight w:val="0"/>
                  <w:marTop w:val="45"/>
                  <w:marBottom w:val="0"/>
                  <w:divBdr>
                    <w:top w:val="none" w:sz="0" w:space="0" w:color="auto"/>
                    <w:left w:val="none" w:sz="0" w:space="0" w:color="auto"/>
                    <w:bottom w:val="none" w:sz="0" w:space="0" w:color="auto"/>
                    <w:right w:val="none" w:sz="0" w:space="0" w:color="auto"/>
                  </w:divBdr>
                  <w:divsChild>
                    <w:div w:id="1059597625">
                      <w:marLeft w:val="0"/>
                      <w:marRight w:val="0"/>
                      <w:marTop w:val="0"/>
                      <w:marBottom w:val="0"/>
                      <w:divBdr>
                        <w:top w:val="none" w:sz="0" w:space="0" w:color="auto"/>
                        <w:left w:val="none" w:sz="0" w:space="0" w:color="auto"/>
                        <w:bottom w:val="none" w:sz="0" w:space="0" w:color="auto"/>
                        <w:right w:val="none" w:sz="0" w:space="0" w:color="auto"/>
                      </w:divBdr>
                    </w:div>
                    <w:div w:id="18120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5311">
              <w:marLeft w:val="0"/>
              <w:marRight w:val="0"/>
              <w:marTop w:val="0"/>
              <w:marBottom w:val="0"/>
              <w:divBdr>
                <w:top w:val="single" w:sz="6" w:space="5" w:color="DDDDDD"/>
                <w:left w:val="single" w:sz="6" w:space="5" w:color="DDDDDD"/>
                <w:bottom w:val="single" w:sz="6" w:space="5" w:color="DDDDDD"/>
                <w:right w:val="single" w:sz="6" w:space="5" w:color="DDDDDD"/>
              </w:divBdr>
              <w:divsChild>
                <w:div w:id="1266112391">
                  <w:marLeft w:val="0"/>
                  <w:marRight w:val="0"/>
                  <w:marTop w:val="45"/>
                  <w:marBottom w:val="0"/>
                  <w:divBdr>
                    <w:top w:val="none" w:sz="0" w:space="0" w:color="auto"/>
                    <w:left w:val="none" w:sz="0" w:space="0" w:color="auto"/>
                    <w:bottom w:val="none" w:sz="0" w:space="0" w:color="auto"/>
                    <w:right w:val="none" w:sz="0" w:space="0" w:color="auto"/>
                  </w:divBdr>
                  <w:divsChild>
                    <w:div w:id="1017196595">
                      <w:marLeft w:val="0"/>
                      <w:marRight w:val="0"/>
                      <w:marTop w:val="0"/>
                      <w:marBottom w:val="0"/>
                      <w:divBdr>
                        <w:top w:val="none" w:sz="0" w:space="0" w:color="auto"/>
                        <w:left w:val="none" w:sz="0" w:space="0" w:color="auto"/>
                        <w:bottom w:val="none" w:sz="0" w:space="0" w:color="auto"/>
                        <w:right w:val="none" w:sz="0" w:space="0" w:color="auto"/>
                      </w:divBdr>
                    </w:div>
                    <w:div w:id="8080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1413">
              <w:marLeft w:val="0"/>
              <w:marRight w:val="0"/>
              <w:marTop w:val="0"/>
              <w:marBottom w:val="0"/>
              <w:divBdr>
                <w:top w:val="single" w:sz="6" w:space="5" w:color="DDDDDD"/>
                <w:left w:val="single" w:sz="6" w:space="5" w:color="DDDDDD"/>
                <w:bottom w:val="single" w:sz="6" w:space="5" w:color="DDDDDD"/>
                <w:right w:val="single" w:sz="6" w:space="5" w:color="DDDDDD"/>
              </w:divBdr>
              <w:divsChild>
                <w:div w:id="424812198">
                  <w:marLeft w:val="0"/>
                  <w:marRight w:val="0"/>
                  <w:marTop w:val="45"/>
                  <w:marBottom w:val="0"/>
                  <w:divBdr>
                    <w:top w:val="none" w:sz="0" w:space="0" w:color="auto"/>
                    <w:left w:val="none" w:sz="0" w:space="0" w:color="auto"/>
                    <w:bottom w:val="none" w:sz="0" w:space="0" w:color="auto"/>
                    <w:right w:val="none" w:sz="0" w:space="0" w:color="auto"/>
                  </w:divBdr>
                  <w:divsChild>
                    <w:div w:id="1315447646">
                      <w:marLeft w:val="0"/>
                      <w:marRight w:val="0"/>
                      <w:marTop w:val="0"/>
                      <w:marBottom w:val="0"/>
                      <w:divBdr>
                        <w:top w:val="none" w:sz="0" w:space="0" w:color="auto"/>
                        <w:left w:val="none" w:sz="0" w:space="0" w:color="auto"/>
                        <w:bottom w:val="none" w:sz="0" w:space="0" w:color="auto"/>
                        <w:right w:val="none" w:sz="0" w:space="0" w:color="auto"/>
                      </w:divBdr>
                    </w:div>
                    <w:div w:id="17549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59637">
      <w:bodyDiv w:val="1"/>
      <w:marLeft w:val="0"/>
      <w:marRight w:val="0"/>
      <w:marTop w:val="0"/>
      <w:marBottom w:val="0"/>
      <w:divBdr>
        <w:top w:val="none" w:sz="0" w:space="0" w:color="auto"/>
        <w:left w:val="none" w:sz="0" w:space="0" w:color="auto"/>
        <w:bottom w:val="none" w:sz="0" w:space="0" w:color="auto"/>
        <w:right w:val="none" w:sz="0" w:space="0" w:color="auto"/>
      </w:divBdr>
    </w:div>
    <w:div w:id="865405960">
      <w:bodyDiv w:val="1"/>
      <w:marLeft w:val="0"/>
      <w:marRight w:val="0"/>
      <w:marTop w:val="0"/>
      <w:marBottom w:val="0"/>
      <w:divBdr>
        <w:top w:val="none" w:sz="0" w:space="0" w:color="auto"/>
        <w:left w:val="none" w:sz="0" w:space="0" w:color="auto"/>
        <w:bottom w:val="none" w:sz="0" w:space="0" w:color="auto"/>
        <w:right w:val="none" w:sz="0" w:space="0" w:color="auto"/>
      </w:divBdr>
      <w:divsChild>
        <w:div w:id="1877573469">
          <w:marLeft w:val="0"/>
          <w:marRight w:val="0"/>
          <w:marTop w:val="0"/>
          <w:marBottom w:val="120"/>
          <w:divBdr>
            <w:top w:val="none" w:sz="0" w:space="0" w:color="auto"/>
            <w:left w:val="none" w:sz="0" w:space="0" w:color="auto"/>
            <w:bottom w:val="none" w:sz="0" w:space="0" w:color="auto"/>
            <w:right w:val="none" w:sz="0" w:space="0" w:color="auto"/>
          </w:divBdr>
        </w:div>
        <w:div w:id="925109266">
          <w:marLeft w:val="0"/>
          <w:marRight w:val="0"/>
          <w:marTop w:val="0"/>
          <w:marBottom w:val="540"/>
          <w:divBdr>
            <w:top w:val="none" w:sz="0" w:space="0" w:color="auto"/>
            <w:left w:val="none" w:sz="0" w:space="0" w:color="auto"/>
            <w:bottom w:val="none" w:sz="0" w:space="0" w:color="auto"/>
            <w:right w:val="none" w:sz="0" w:space="0" w:color="auto"/>
          </w:divBdr>
        </w:div>
        <w:div w:id="2081248657">
          <w:marLeft w:val="0"/>
          <w:marRight w:val="0"/>
          <w:marTop w:val="0"/>
          <w:marBottom w:val="0"/>
          <w:divBdr>
            <w:top w:val="none" w:sz="0" w:space="0" w:color="auto"/>
            <w:left w:val="none" w:sz="0" w:space="0" w:color="auto"/>
            <w:bottom w:val="none" w:sz="0" w:space="0" w:color="auto"/>
            <w:right w:val="none" w:sz="0" w:space="0" w:color="auto"/>
          </w:divBdr>
          <w:divsChild>
            <w:div w:id="12686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9465">
      <w:bodyDiv w:val="1"/>
      <w:marLeft w:val="0"/>
      <w:marRight w:val="0"/>
      <w:marTop w:val="0"/>
      <w:marBottom w:val="0"/>
      <w:divBdr>
        <w:top w:val="none" w:sz="0" w:space="0" w:color="auto"/>
        <w:left w:val="none" w:sz="0" w:space="0" w:color="auto"/>
        <w:bottom w:val="none" w:sz="0" w:space="0" w:color="auto"/>
        <w:right w:val="none" w:sz="0" w:space="0" w:color="auto"/>
      </w:divBdr>
    </w:div>
    <w:div w:id="1000813566">
      <w:bodyDiv w:val="1"/>
      <w:marLeft w:val="0"/>
      <w:marRight w:val="0"/>
      <w:marTop w:val="0"/>
      <w:marBottom w:val="0"/>
      <w:divBdr>
        <w:top w:val="none" w:sz="0" w:space="0" w:color="auto"/>
        <w:left w:val="none" w:sz="0" w:space="0" w:color="auto"/>
        <w:bottom w:val="none" w:sz="0" w:space="0" w:color="auto"/>
        <w:right w:val="none" w:sz="0" w:space="0" w:color="auto"/>
      </w:divBdr>
      <w:divsChild>
        <w:div w:id="374080400">
          <w:marLeft w:val="0"/>
          <w:marRight w:val="0"/>
          <w:marTop w:val="0"/>
          <w:marBottom w:val="0"/>
          <w:divBdr>
            <w:top w:val="none" w:sz="0" w:space="0" w:color="auto"/>
            <w:left w:val="none" w:sz="0" w:space="0" w:color="auto"/>
            <w:bottom w:val="none" w:sz="0" w:space="0" w:color="auto"/>
            <w:right w:val="none" w:sz="0" w:space="0" w:color="auto"/>
          </w:divBdr>
          <w:divsChild>
            <w:div w:id="1861893745">
              <w:marLeft w:val="0"/>
              <w:marRight w:val="0"/>
              <w:marTop w:val="0"/>
              <w:marBottom w:val="0"/>
              <w:divBdr>
                <w:top w:val="none" w:sz="0" w:space="0" w:color="auto"/>
                <w:left w:val="none" w:sz="0" w:space="0" w:color="auto"/>
                <w:bottom w:val="none" w:sz="0" w:space="0" w:color="auto"/>
                <w:right w:val="none" w:sz="0" w:space="0" w:color="auto"/>
              </w:divBdr>
              <w:divsChild>
                <w:div w:id="1336808078">
                  <w:marLeft w:val="0"/>
                  <w:marRight w:val="0"/>
                  <w:marTop w:val="0"/>
                  <w:marBottom w:val="0"/>
                  <w:divBdr>
                    <w:top w:val="none" w:sz="0" w:space="0" w:color="auto"/>
                    <w:left w:val="none" w:sz="0" w:space="0" w:color="auto"/>
                    <w:bottom w:val="none" w:sz="0" w:space="0" w:color="auto"/>
                    <w:right w:val="none" w:sz="0" w:space="0" w:color="auto"/>
                  </w:divBdr>
                  <w:divsChild>
                    <w:div w:id="1360547244">
                      <w:marLeft w:val="0"/>
                      <w:marRight w:val="0"/>
                      <w:marTop w:val="0"/>
                      <w:marBottom w:val="0"/>
                      <w:divBdr>
                        <w:top w:val="none" w:sz="0" w:space="0" w:color="auto"/>
                        <w:left w:val="none" w:sz="0" w:space="0" w:color="auto"/>
                        <w:bottom w:val="none" w:sz="0" w:space="0" w:color="auto"/>
                        <w:right w:val="none" w:sz="0" w:space="0" w:color="auto"/>
                      </w:divBdr>
                      <w:divsChild>
                        <w:div w:id="1023241639">
                          <w:marLeft w:val="0"/>
                          <w:marRight w:val="0"/>
                          <w:marTop w:val="0"/>
                          <w:marBottom w:val="0"/>
                          <w:divBdr>
                            <w:top w:val="none" w:sz="0" w:space="0" w:color="auto"/>
                            <w:left w:val="none" w:sz="0" w:space="0" w:color="auto"/>
                            <w:bottom w:val="none" w:sz="0" w:space="0" w:color="auto"/>
                            <w:right w:val="none" w:sz="0" w:space="0" w:color="auto"/>
                          </w:divBdr>
                          <w:divsChild>
                            <w:div w:id="1044479223">
                              <w:marLeft w:val="0"/>
                              <w:marRight w:val="0"/>
                              <w:marTop w:val="0"/>
                              <w:marBottom w:val="0"/>
                              <w:divBdr>
                                <w:top w:val="none" w:sz="0" w:space="0" w:color="auto"/>
                                <w:left w:val="none" w:sz="0" w:space="0" w:color="auto"/>
                                <w:bottom w:val="none" w:sz="0" w:space="0" w:color="auto"/>
                                <w:right w:val="none" w:sz="0" w:space="0" w:color="auto"/>
                              </w:divBdr>
                              <w:divsChild>
                                <w:div w:id="502624108">
                                  <w:marLeft w:val="0"/>
                                  <w:marRight w:val="0"/>
                                  <w:marTop w:val="0"/>
                                  <w:marBottom w:val="0"/>
                                  <w:divBdr>
                                    <w:top w:val="none" w:sz="0" w:space="0" w:color="auto"/>
                                    <w:left w:val="none" w:sz="0" w:space="0" w:color="auto"/>
                                    <w:bottom w:val="none" w:sz="0" w:space="0" w:color="auto"/>
                                    <w:right w:val="none" w:sz="0" w:space="0" w:color="auto"/>
                                  </w:divBdr>
                                  <w:divsChild>
                                    <w:div w:id="854539983">
                                      <w:marLeft w:val="0"/>
                                      <w:marRight w:val="0"/>
                                      <w:marTop w:val="0"/>
                                      <w:marBottom w:val="0"/>
                                      <w:divBdr>
                                        <w:top w:val="none" w:sz="0" w:space="0" w:color="auto"/>
                                        <w:left w:val="none" w:sz="0" w:space="0" w:color="auto"/>
                                        <w:bottom w:val="none" w:sz="0" w:space="0" w:color="auto"/>
                                        <w:right w:val="none" w:sz="0" w:space="0" w:color="auto"/>
                                      </w:divBdr>
                                      <w:divsChild>
                                        <w:div w:id="1210611555">
                                          <w:marLeft w:val="105"/>
                                          <w:marRight w:val="0"/>
                                          <w:marTop w:val="0"/>
                                          <w:marBottom w:val="0"/>
                                          <w:divBdr>
                                            <w:top w:val="none" w:sz="0" w:space="0" w:color="auto"/>
                                            <w:left w:val="none" w:sz="0" w:space="0" w:color="auto"/>
                                            <w:bottom w:val="none" w:sz="0" w:space="0" w:color="auto"/>
                                            <w:right w:val="none" w:sz="0" w:space="0" w:color="auto"/>
                                          </w:divBdr>
                                          <w:divsChild>
                                            <w:div w:id="1875579196">
                                              <w:marLeft w:val="0"/>
                                              <w:marRight w:val="0"/>
                                              <w:marTop w:val="0"/>
                                              <w:marBottom w:val="0"/>
                                              <w:divBdr>
                                                <w:top w:val="none" w:sz="0" w:space="0" w:color="auto"/>
                                                <w:left w:val="none" w:sz="0" w:space="0" w:color="auto"/>
                                                <w:bottom w:val="none" w:sz="0" w:space="0" w:color="auto"/>
                                                <w:right w:val="none" w:sz="0" w:space="0" w:color="auto"/>
                                              </w:divBdr>
                                            </w:div>
                                            <w:div w:id="1115176466">
                                              <w:marLeft w:val="0"/>
                                              <w:marRight w:val="0"/>
                                              <w:marTop w:val="0"/>
                                              <w:marBottom w:val="0"/>
                                              <w:divBdr>
                                                <w:top w:val="none" w:sz="0" w:space="0" w:color="auto"/>
                                                <w:left w:val="none" w:sz="0" w:space="0" w:color="auto"/>
                                                <w:bottom w:val="none" w:sz="0" w:space="0" w:color="auto"/>
                                                <w:right w:val="none" w:sz="0" w:space="0" w:color="auto"/>
                                              </w:divBdr>
                                              <w:divsChild>
                                                <w:div w:id="497693184">
                                                  <w:marLeft w:val="105"/>
                                                  <w:marRight w:val="105"/>
                                                  <w:marTop w:val="75"/>
                                                  <w:marBottom w:val="105"/>
                                                  <w:divBdr>
                                                    <w:top w:val="none" w:sz="0" w:space="0" w:color="auto"/>
                                                    <w:left w:val="none" w:sz="0" w:space="0" w:color="auto"/>
                                                    <w:bottom w:val="none" w:sz="0" w:space="0" w:color="auto"/>
                                                    <w:right w:val="none" w:sz="0" w:space="0" w:color="auto"/>
                                                  </w:divBdr>
                                                  <w:divsChild>
                                                    <w:div w:id="2006276496">
                                                      <w:marLeft w:val="0"/>
                                                      <w:marRight w:val="0"/>
                                                      <w:marTop w:val="0"/>
                                                      <w:marBottom w:val="0"/>
                                                      <w:divBdr>
                                                        <w:top w:val="none" w:sz="0" w:space="0" w:color="auto"/>
                                                        <w:left w:val="none" w:sz="0" w:space="0" w:color="auto"/>
                                                        <w:bottom w:val="none" w:sz="0" w:space="0" w:color="auto"/>
                                                        <w:right w:val="none" w:sz="0" w:space="0" w:color="auto"/>
                                                      </w:divBdr>
                                                      <w:divsChild>
                                                        <w:div w:id="10108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978620">
          <w:marLeft w:val="0"/>
          <w:marRight w:val="0"/>
          <w:marTop w:val="0"/>
          <w:marBottom w:val="0"/>
          <w:divBdr>
            <w:top w:val="none" w:sz="0" w:space="0" w:color="auto"/>
            <w:left w:val="none" w:sz="0" w:space="0" w:color="auto"/>
            <w:bottom w:val="none" w:sz="0" w:space="0" w:color="auto"/>
            <w:right w:val="none" w:sz="0" w:space="0" w:color="auto"/>
          </w:divBdr>
          <w:divsChild>
            <w:div w:id="1364403758">
              <w:marLeft w:val="0"/>
              <w:marRight w:val="0"/>
              <w:marTop w:val="0"/>
              <w:marBottom w:val="0"/>
              <w:divBdr>
                <w:top w:val="none" w:sz="0" w:space="0" w:color="auto"/>
                <w:left w:val="none" w:sz="0" w:space="0" w:color="auto"/>
                <w:bottom w:val="none" w:sz="0" w:space="0" w:color="auto"/>
                <w:right w:val="none" w:sz="0" w:space="0" w:color="auto"/>
              </w:divBdr>
              <w:divsChild>
                <w:div w:id="2047557055">
                  <w:marLeft w:val="0"/>
                  <w:marRight w:val="0"/>
                  <w:marTop w:val="0"/>
                  <w:marBottom w:val="0"/>
                  <w:divBdr>
                    <w:top w:val="none" w:sz="0" w:space="0" w:color="auto"/>
                    <w:left w:val="none" w:sz="0" w:space="0" w:color="auto"/>
                    <w:bottom w:val="none" w:sz="0" w:space="0" w:color="auto"/>
                    <w:right w:val="none" w:sz="0" w:space="0" w:color="auto"/>
                  </w:divBdr>
                  <w:divsChild>
                    <w:div w:id="1380394660">
                      <w:marLeft w:val="81"/>
                      <w:marRight w:val="81"/>
                      <w:marTop w:val="0"/>
                      <w:marBottom w:val="0"/>
                      <w:divBdr>
                        <w:top w:val="none" w:sz="0" w:space="0" w:color="auto"/>
                        <w:left w:val="none" w:sz="0" w:space="0" w:color="auto"/>
                        <w:bottom w:val="none" w:sz="0" w:space="0" w:color="auto"/>
                        <w:right w:val="none" w:sz="0" w:space="0" w:color="auto"/>
                      </w:divBdr>
                      <w:divsChild>
                        <w:div w:id="1054812735">
                          <w:marLeft w:val="0"/>
                          <w:marRight w:val="0"/>
                          <w:marTop w:val="0"/>
                          <w:marBottom w:val="0"/>
                          <w:divBdr>
                            <w:top w:val="none" w:sz="0" w:space="0" w:color="auto"/>
                            <w:left w:val="none" w:sz="0" w:space="0" w:color="auto"/>
                            <w:bottom w:val="none" w:sz="0" w:space="0" w:color="auto"/>
                            <w:right w:val="none" w:sz="0" w:space="0" w:color="auto"/>
                          </w:divBdr>
                          <w:divsChild>
                            <w:div w:id="906039582">
                              <w:marLeft w:val="105"/>
                              <w:marRight w:val="105"/>
                              <w:marTop w:val="0"/>
                              <w:marBottom w:val="0"/>
                              <w:divBdr>
                                <w:top w:val="none" w:sz="0" w:space="0" w:color="auto"/>
                                <w:left w:val="none" w:sz="0" w:space="0" w:color="auto"/>
                                <w:bottom w:val="none" w:sz="0" w:space="0" w:color="auto"/>
                                <w:right w:val="none" w:sz="0" w:space="0" w:color="auto"/>
                              </w:divBdr>
                              <w:divsChild>
                                <w:div w:id="1685284062">
                                  <w:marLeft w:val="0"/>
                                  <w:marRight w:val="0"/>
                                  <w:marTop w:val="0"/>
                                  <w:marBottom w:val="0"/>
                                  <w:divBdr>
                                    <w:top w:val="none" w:sz="0" w:space="0" w:color="auto"/>
                                    <w:left w:val="none" w:sz="0" w:space="0" w:color="auto"/>
                                    <w:bottom w:val="none" w:sz="0" w:space="0" w:color="auto"/>
                                    <w:right w:val="none" w:sz="0" w:space="0" w:color="auto"/>
                                  </w:divBdr>
                                  <w:divsChild>
                                    <w:div w:id="437333792">
                                      <w:marLeft w:val="0"/>
                                      <w:marRight w:val="0"/>
                                      <w:marTop w:val="0"/>
                                      <w:marBottom w:val="0"/>
                                      <w:divBdr>
                                        <w:top w:val="none" w:sz="0" w:space="0" w:color="auto"/>
                                        <w:left w:val="none" w:sz="0" w:space="0" w:color="auto"/>
                                        <w:bottom w:val="none" w:sz="0" w:space="0" w:color="auto"/>
                                        <w:right w:val="none" w:sz="0" w:space="0" w:color="auto"/>
                                      </w:divBdr>
                                      <w:divsChild>
                                        <w:div w:id="1770277914">
                                          <w:marLeft w:val="0"/>
                                          <w:marRight w:val="0"/>
                                          <w:marTop w:val="0"/>
                                          <w:marBottom w:val="0"/>
                                          <w:divBdr>
                                            <w:top w:val="none" w:sz="0" w:space="0" w:color="auto"/>
                                            <w:left w:val="none" w:sz="0" w:space="0" w:color="auto"/>
                                            <w:bottom w:val="none" w:sz="0" w:space="0" w:color="auto"/>
                                            <w:right w:val="none" w:sz="0" w:space="0" w:color="auto"/>
                                          </w:divBdr>
                                          <w:divsChild>
                                            <w:div w:id="1496917187">
                                              <w:marLeft w:val="0"/>
                                              <w:marRight w:val="0"/>
                                              <w:marTop w:val="0"/>
                                              <w:marBottom w:val="0"/>
                                              <w:divBdr>
                                                <w:top w:val="none" w:sz="0" w:space="0" w:color="auto"/>
                                                <w:left w:val="none" w:sz="0" w:space="0" w:color="auto"/>
                                                <w:bottom w:val="none" w:sz="0" w:space="0" w:color="auto"/>
                                                <w:right w:val="none" w:sz="0" w:space="0" w:color="auto"/>
                                              </w:divBdr>
                                              <w:divsChild>
                                                <w:div w:id="777453681">
                                                  <w:marLeft w:val="0"/>
                                                  <w:marRight w:val="0"/>
                                                  <w:marTop w:val="0"/>
                                                  <w:marBottom w:val="0"/>
                                                  <w:divBdr>
                                                    <w:top w:val="none" w:sz="0" w:space="0" w:color="auto"/>
                                                    <w:left w:val="none" w:sz="0" w:space="0" w:color="auto"/>
                                                    <w:bottom w:val="none" w:sz="0" w:space="0" w:color="auto"/>
                                                    <w:right w:val="none" w:sz="0" w:space="0" w:color="auto"/>
                                                  </w:divBdr>
                                                </w:div>
                                                <w:div w:id="1695307230">
                                                  <w:marLeft w:val="0"/>
                                                  <w:marRight w:val="0"/>
                                                  <w:marTop w:val="0"/>
                                                  <w:marBottom w:val="0"/>
                                                  <w:divBdr>
                                                    <w:top w:val="none" w:sz="0" w:space="0" w:color="auto"/>
                                                    <w:left w:val="none" w:sz="0" w:space="0" w:color="auto"/>
                                                    <w:bottom w:val="none" w:sz="0" w:space="0" w:color="auto"/>
                                                    <w:right w:val="none" w:sz="0" w:space="0" w:color="auto"/>
                                                  </w:divBdr>
                                                </w:div>
                                              </w:divsChild>
                                            </w:div>
                                            <w:div w:id="986787768">
                                              <w:marLeft w:val="0"/>
                                              <w:marRight w:val="0"/>
                                              <w:marTop w:val="0"/>
                                              <w:marBottom w:val="0"/>
                                              <w:divBdr>
                                                <w:top w:val="none" w:sz="0" w:space="0" w:color="auto"/>
                                                <w:left w:val="none" w:sz="0" w:space="0" w:color="auto"/>
                                                <w:bottom w:val="none" w:sz="0" w:space="0" w:color="auto"/>
                                                <w:right w:val="none" w:sz="0" w:space="0" w:color="auto"/>
                                              </w:divBdr>
                                              <w:divsChild>
                                                <w:div w:id="1453018468">
                                                  <w:marLeft w:val="0"/>
                                                  <w:marRight w:val="0"/>
                                                  <w:marTop w:val="0"/>
                                                  <w:marBottom w:val="0"/>
                                                  <w:divBdr>
                                                    <w:top w:val="none" w:sz="0" w:space="0" w:color="auto"/>
                                                    <w:left w:val="none" w:sz="0" w:space="0" w:color="auto"/>
                                                    <w:bottom w:val="none" w:sz="0" w:space="0" w:color="auto"/>
                                                    <w:right w:val="none" w:sz="0" w:space="0" w:color="auto"/>
                                                  </w:divBdr>
                                                </w:div>
                                                <w:div w:id="214438344">
                                                  <w:marLeft w:val="0"/>
                                                  <w:marRight w:val="0"/>
                                                  <w:marTop w:val="0"/>
                                                  <w:marBottom w:val="0"/>
                                                  <w:divBdr>
                                                    <w:top w:val="none" w:sz="0" w:space="0" w:color="auto"/>
                                                    <w:left w:val="none" w:sz="0" w:space="0" w:color="auto"/>
                                                    <w:bottom w:val="none" w:sz="0" w:space="0" w:color="auto"/>
                                                    <w:right w:val="none" w:sz="0" w:space="0" w:color="auto"/>
                                                  </w:divBdr>
                                                </w:div>
                                              </w:divsChild>
                                            </w:div>
                                            <w:div w:id="1654022627">
                                              <w:marLeft w:val="0"/>
                                              <w:marRight w:val="0"/>
                                              <w:marTop w:val="0"/>
                                              <w:marBottom w:val="0"/>
                                              <w:divBdr>
                                                <w:top w:val="none" w:sz="0" w:space="0" w:color="auto"/>
                                                <w:left w:val="none" w:sz="0" w:space="0" w:color="auto"/>
                                                <w:bottom w:val="none" w:sz="0" w:space="0" w:color="auto"/>
                                                <w:right w:val="none" w:sz="0" w:space="0" w:color="auto"/>
                                              </w:divBdr>
                                              <w:divsChild>
                                                <w:div w:id="1921401640">
                                                  <w:marLeft w:val="0"/>
                                                  <w:marRight w:val="0"/>
                                                  <w:marTop w:val="0"/>
                                                  <w:marBottom w:val="0"/>
                                                  <w:divBdr>
                                                    <w:top w:val="none" w:sz="0" w:space="0" w:color="auto"/>
                                                    <w:left w:val="none" w:sz="0" w:space="0" w:color="auto"/>
                                                    <w:bottom w:val="none" w:sz="0" w:space="0" w:color="auto"/>
                                                    <w:right w:val="none" w:sz="0" w:space="0" w:color="auto"/>
                                                  </w:divBdr>
                                                  <w:divsChild>
                                                    <w:div w:id="1150370412">
                                                      <w:marLeft w:val="0"/>
                                                      <w:marRight w:val="0"/>
                                                      <w:marTop w:val="0"/>
                                                      <w:marBottom w:val="0"/>
                                                      <w:divBdr>
                                                        <w:top w:val="none" w:sz="0" w:space="0" w:color="auto"/>
                                                        <w:left w:val="none" w:sz="0" w:space="0" w:color="auto"/>
                                                        <w:bottom w:val="none" w:sz="0" w:space="0" w:color="auto"/>
                                                        <w:right w:val="none" w:sz="0" w:space="0" w:color="auto"/>
                                                      </w:divBdr>
                                                    </w:div>
                                                    <w:div w:id="13074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362647">
                      <w:marLeft w:val="81"/>
                      <w:marRight w:val="81"/>
                      <w:marTop w:val="0"/>
                      <w:marBottom w:val="0"/>
                      <w:divBdr>
                        <w:top w:val="none" w:sz="0" w:space="0" w:color="auto"/>
                        <w:left w:val="none" w:sz="0" w:space="0" w:color="auto"/>
                        <w:bottom w:val="none" w:sz="0" w:space="0" w:color="auto"/>
                        <w:right w:val="none" w:sz="0" w:space="0" w:color="auto"/>
                      </w:divBdr>
                      <w:divsChild>
                        <w:div w:id="862400391">
                          <w:marLeft w:val="0"/>
                          <w:marRight w:val="0"/>
                          <w:marTop w:val="0"/>
                          <w:marBottom w:val="0"/>
                          <w:divBdr>
                            <w:top w:val="none" w:sz="0" w:space="0" w:color="auto"/>
                            <w:left w:val="none" w:sz="0" w:space="0" w:color="auto"/>
                            <w:bottom w:val="none" w:sz="0" w:space="0" w:color="auto"/>
                            <w:right w:val="none" w:sz="0" w:space="0" w:color="auto"/>
                          </w:divBdr>
                          <w:divsChild>
                            <w:div w:id="1511600656">
                              <w:marLeft w:val="0"/>
                              <w:marRight w:val="0"/>
                              <w:marTop w:val="0"/>
                              <w:marBottom w:val="0"/>
                              <w:divBdr>
                                <w:top w:val="none" w:sz="0" w:space="0" w:color="auto"/>
                                <w:left w:val="none" w:sz="0" w:space="0" w:color="auto"/>
                                <w:bottom w:val="none" w:sz="0" w:space="0" w:color="auto"/>
                                <w:right w:val="none" w:sz="0" w:space="0" w:color="auto"/>
                              </w:divBdr>
                              <w:divsChild>
                                <w:div w:id="1721632140">
                                  <w:marLeft w:val="0"/>
                                  <w:marRight w:val="0"/>
                                  <w:marTop w:val="0"/>
                                  <w:marBottom w:val="0"/>
                                  <w:divBdr>
                                    <w:top w:val="none" w:sz="0" w:space="0" w:color="auto"/>
                                    <w:left w:val="none" w:sz="0" w:space="0" w:color="auto"/>
                                    <w:bottom w:val="none" w:sz="0" w:space="0" w:color="auto"/>
                                    <w:right w:val="none" w:sz="0" w:space="0" w:color="auto"/>
                                  </w:divBdr>
                                  <w:divsChild>
                                    <w:div w:id="2053191520">
                                      <w:marLeft w:val="0"/>
                                      <w:marRight w:val="0"/>
                                      <w:marTop w:val="0"/>
                                      <w:marBottom w:val="0"/>
                                      <w:divBdr>
                                        <w:top w:val="none" w:sz="0" w:space="0" w:color="auto"/>
                                        <w:left w:val="none" w:sz="0" w:space="0" w:color="auto"/>
                                        <w:bottom w:val="none" w:sz="0" w:space="0" w:color="auto"/>
                                        <w:right w:val="none" w:sz="0" w:space="0" w:color="auto"/>
                                      </w:divBdr>
                                    </w:div>
                                    <w:div w:id="1828588404">
                                      <w:marLeft w:val="0"/>
                                      <w:marRight w:val="0"/>
                                      <w:marTop w:val="0"/>
                                      <w:marBottom w:val="0"/>
                                      <w:divBdr>
                                        <w:top w:val="none" w:sz="0" w:space="0" w:color="auto"/>
                                        <w:left w:val="none" w:sz="0" w:space="0" w:color="auto"/>
                                        <w:bottom w:val="none" w:sz="0" w:space="0" w:color="auto"/>
                                        <w:right w:val="none" w:sz="0" w:space="0" w:color="auto"/>
                                      </w:divBdr>
                                      <w:divsChild>
                                        <w:div w:id="279993346">
                                          <w:marLeft w:val="0"/>
                                          <w:marRight w:val="0"/>
                                          <w:marTop w:val="0"/>
                                          <w:marBottom w:val="0"/>
                                          <w:divBdr>
                                            <w:top w:val="none" w:sz="0" w:space="0" w:color="auto"/>
                                            <w:left w:val="none" w:sz="0" w:space="0" w:color="auto"/>
                                            <w:bottom w:val="none" w:sz="0" w:space="0" w:color="auto"/>
                                            <w:right w:val="none" w:sz="0" w:space="0" w:color="auto"/>
                                          </w:divBdr>
                                          <w:divsChild>
                                            <w:div w:id="19373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2444">
                              <w:marLeft w:val="0"/>
                              <w:marRight w:val="0"/>
                              <w:marTop w:val="0"/>
                              <w:marBottom w:val="0"/>
                              <w:divBdr>
                                <w:top w:val="none" w:sz="0" w:space="0" w:color="auto"/>
                                <w:left w:val="none" w:sz="0" w:space="0" w:color="auto"/>
                                <w:bottom w:val="none" w:sz="0" w:space="0" w:color="auto"/>
                                <w:right w:val="none" w:sz="0" w:space="0" w:color="auto"/>
                              </w:divBdr>
                              <w:divsChild>
                                <w:div w:id="1901749408">
                                  <w:marLeft w:val="0"/>
                                  <w:marRight w:val="0"/>
                                  <w:marTop w:val="0"/>
                                  <w:marBottom w:val="0"/>
                                  <w:divBdr>
                                    <w:top w:val="none" w:sz="0" w:space="0" w:color="auto"/>
                                    <w:left w:val="none" w:sz="0" w:space="0" w:color="auto"/>
                                    <w:bottom w:val="none" w:sz="0" w:space="0" w:color="auto"/>
                                    <w:right w:val="none" w:sz="0" w:space="0" w:color="auto"/>
                                  </w:divBdr>
                                  <w:divsChild>
                                    <w:div w:id="90786430">
                                      <w:marLeft w:val="0"/>
                                      <w:marRight w:val="0"/>
                                      <w:marTop w:val="0"/>
                                      <w:marBottom w:val="0"/>
                                      <w:divBdr>
                                        <w:top w:val="none" w:sz="0" w:space="0" w:color="auto"/>
                                        <w:left w:val="none" w:sz="0" w:space="0" w:color="auto"/>
                                        <w:bottom w:val="none" w:sz="0" w:space="0" w:color="auto"/>
                                        <w:right w:val="none" w:sz="0" w:space="0" w:color="auto"/>
                                      </w:divBdr>
                                      <w:divsChild>
                                        <w:div w:id="1087311246">
                                          <w:marLeft w:val="0"/>
                                          <w:marRight w:val="0"/>
                                          <w:marTop w:val="0"/>
                                          <w:marBottom w:val="0"/>
                                          <w:divBdr>
                                            <w:top w:val="none" w:sz="0" w:space="0" w:color="auto"/>
                                            <w:left w:val="none" w:sz="0" w:space="0" w:color="auto"/>
                                            <w:bottom w:val="none" w:sz="0" w:space="0" w:color="auto"/>
                                            <w:right w:val="none" w:sz="0" w:space="0" w:color="auto"/>
                                          </w:divBdr>
                                          <w:divsChild>
                                            <w:div w:id="253975677">
                                              <w:marLeft w:val="0"/>
                                              <w:marRight w:val="0"/>
                                              <w:marTop w:val="0"/>
                                              <w:marBottom w:val="0"/>
                                              <w:divBdr>
                                                <w:top w:val="none" w:sz="0" w:space="0" w:color="auto"/>
                                                <w:left w:val="none" w:sz="0" w:space="0" w:color="auto"/>
                                                <w:bottom w:val="none" w:sz="0" w:space="0" w:color="auto"/>
                                                <w:right w:val="none" w:sz="0" w:space="0" w:color="auto"/>
                                              </w:divBdr>
                                              <w:divsChild>
                                                <w:div w:id="402411496">
                                                  <w:marLeft w:val="0"/>
                                                  <w:marRight w:val="0"/>
                                                  <w:marTop w:val="0"/>
                                                  <w:marBottom w:val="0"/>
                                                  <w:divBdr>
                                                    <w:top w:val="none" w:sz="0" w:space="0" w:color="auto"/>
                                                    <w:left w:val="none" w:sz="0" w:space="0" w:color="auto"/>
                                                    <w:bottom w:val="none" w:sz="0" w:space="0" w:color="auto"/>
                                                    <w:right w:val="none" w:sz="0" w:space="0" w:color="auto"/>
                                                  </w:divBdr>
                                                  <w:divsChild>
                                                    <w:div w:id="20978097">
                                                      <w:marLeft w:val="0"/>
                                                      <w:marRight w:val="0"/>
                                                      <w:marTop w:val="0"/>
                                                      <w:marBottom w:val="0"/>
                                                      <w:divBdr>
                                                        <w:top w:val="none" w:sz="0" w:space="0" w:color="auto"/>
                                                        <w:left w:val="none" w:sz="0" w:space="0" w:color="auto"/>
                                                        <w:bottom w:val="none" w:sz="0" w:space="0" w:color="auto"/>
                                                        <w:right w:val="none" w:sz="0" w:space="0" w:color="auto"/>
                                                      </w:divBdr>
                                                      <w:divsChild>
                                                        <w:div w:id="1706058649">
                                                          <w:marLeft w:val="0"/>
                                                          <w:marRight w:val="0"/>
                                                          <w:marTop w:val="0"/>
                                                          <w:marBottom w:val="0"/>
                                                          <w:divBdr>
                                                            <w:top w:val="none" w:sz="0" w:space="0" w:color="auto"/>
                                                            <w:left w:val="none" w:sz="0" w:space="0" w:color="auto"/>
                                                            <w:bottom w:val="none" w:sz="0" w:space="0" w:color="auto"/>
                                                            <w:right w:val="none" w:sz="0" w:space="0" w:color="auto"/>
                                                          </w:divBdr>
                                                          <w:divsChild>
                                                            <w:div w:id="1183738987">
                                                              <w:marLeft w:val="0"/>
                                                              <w:marRight w:val="0"/>
                                                              <w:marTop w:val="0"/>
                                                              <w:marBottom w:val="0"/>
                                                              <w:divBdr>
                                                                <w:top w:val="none" w:sz="0" w:space="0" w:color="auto"/>
                                                                <w:left w:val="none" w:sz="0" w:space="0" w:color="auto"/>
                                                                <w:bottom w:val="none" w:sz="0" w:space="0" w:color="auto"/>
                                                                <w:right w:val="none" w:sz="0" w:space="0" w:color="auto"/>
                                                              </w:divBdr>
                                                              <w:divsChild>
                                                                <w:div w:id="346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856637">
      <w:bodyDiv w:val="1"/>
      <w:marLeft w:val="0"/>
      <w:marRight w:val="0"/>
      <w:marTop w:val="0"/>
      <w:marBottom w:val="0"/>
      <w:divBdr>
        <w:top w:val="none" w:sz="0" w:space="0" w:color="auto"/>
        <w:left w:val="none" w:sz="0" w:space="0" w:color="auto"/>
        <w:bottom w:val="none" w:sz="0" w:space="0" w:color="auto"/>
        <w:right w:val="none" w:sz="0" w:space="0" w:color="auto"/>
      </w:divBdr>
    </w:div>
    <w:div w:id="1061296305">
      <w:bodyDiv w:val="1"/>
      <w:marLeft w:val="0"/>
      <w:marRight w:val="0"/>
      <w:marTop w:val="0"/>
      <w:marBottom w:val="0"/>
      <w:divBdr>
        <w:top w:val="none" w:sz="0" w:space="0" w:color="auto"/>
        <w:left w:val="none" w:sz="0" w:space="0" w:color="auto"/>
        <w:bottom w:val="none" w:sz="0" w:space="0" w:color="auto"/>
        <w:right w:val="none" w:sz="0" w:space="0" w:color="auto"/>
      </w:divBdr>
    </w:div>
    <w:div w:id="1251433103">
      <w:bodyDiv w:val="1"/>
      <w:marLeft w:val="0"/>
      <w:marRight w:val="0"/>
      <w:marTop w:val="0"/>
      <w:marBottom w:val="0"/>
      <w:divBdr>
        <w:top w:val="none" w:sz="0" w:space="0" w:color="auto"/>
        <w:left w:val="none" w:sz="0" w:space="0" w:color="auto"/>
        <w:bottom w:val="none" w:sz="0" w:space="0" w:color="auto"/>
        <w:right w:val="none" w:sz="0" w:space="0" w:color="auto"/>
      </w:divBdr>
    </w:div>
    <w:div w:id="1297643033">
      <w:bodyDiv w:val="1"/>
      <w:marLeft w:val="0"/>
      <w:marRight w:val="0"/>
      <w:marTop w:val="0"/>
      <w:marBottom w:val="0"/>
      <w:divBdr>
        <w:top w:val="none" w:sz="0" w:space="0" w:color="auto"/>
        <w:left w:val="none" w:sz="0" w:space="0" w:color="auto"/>
        <w:bottom w:val="none" w:sz="0" w:space="0" w:color="auto"/>
        <w:right w:val="none" w:sz="0" w:space="0" w:color="auto"/>
      </w:divBdr>
    </w:div>
    <w:div w:id="1455712704">
      <w:bodyDiv w:val="1"/>
      <w:marLeft w:val="0"/>
      <w:marRight w:val="0"/>
      <w:marTop w:val="0"/>
      <w:marBottom w:val="0"/>
      <w:divBdr>
        <w:top w:val="none" w:sz="0" w:space="0" w:color="auto"/>
        <w:left w:val="none" w:sz="0" w:space="0" w:color="auto"/>
        <w:bottom w:val="none" w:sz="0" w:space="0" w:color="auto"/>
        <w:right w:val="none" w:sz="0" w:space="0" w:color="auto"/>
      </w:divBdr>
    </w:div>
    <w:div w:id="1552309640">
      <w:bodyDiv w:val="1"/>
      <w:marLeft w:val="0"/>
      <w:marRight w:val="0"/>
      <w:marTop w:val="0"/>
      <w:marBottom w:val="0"/>
      <w:divBdr>
        <w:top w:val="none" w:sz="0" w:space="0" w:color="auto"/>
        <w:left w:val="none" w:sz="0" w:space="0" w:color="auto"/>
        <w:bottom w:val="none" w:sz="0" w:space="0" w:color="auto"/>
        <w:right w:val="none" w:sz="0" w:space="0" w:color="auto"/>
      </w:divBdr>
    </w:div>
    <w:div w:id="1602683463">
      <w:bodyDiv w:val="1"/>
      <w:marLeft w:val="0"/>
      <w:marRight w:val="0"/>
      <w:marTop w:val="0"/>
      <w:marBottom w:val="0"/>
      <w:divBdr>
        <w:top w:val="none" w:sz="0" w:space="0" w:color="auto"/>
        <w:left w:val="none" w:sz="0" w:space="0" w:color="auto"/>
        <w:bottom w:val="none" w:sz="0" w:space="0" w:color="auto"/>
        <w:right w:val="none" w:sz="0" w:space="0" w:color="auto"/>
      </w:divBdr>
      <w:divsChild>
        <w:div w:id="588347135">
          <w:marLeft w:val="446"/>
          <w:marRight w:val="0"/>
          <w:marTop w:val="0"/>
          <w:marBottom w:val="0"/>
          <w:divBdr>
            <w:top w:val="none" w:sz="0" w:space="0" w:color="auto"/>
            <w:left w:val="none" w:sz="0" w:space="0" w:color="auto"/>
            <w:bottom w:val="none" w:sz="0" w:space="0" w:color="auto"/>
            <w:right w:val="none" w:sz="0" w:space="0" w:color="auto"/>
          </w:divBdr>
        </w:div>
        <w:div w:id="1940134819">
          <w:marLeft w:val="1166"/>
          <w:marRight w:val="0"/>
          <w:marTop w:val="0"/>
          <w:marBottom w:val="0"/>
          <w:divBdr>
            <w:top w:val="none" w:sz="0" w:space="0" w:color="auto"/>
            <w:left w:val="none" w:sz="0" w:space="0" w:color="auto"/>
            <w:bottom w:val="none" w:sz="0" w:space="0" w:color="auto"/>
            <w:right w:val="none" w:sz="0" w:space="0" w:color="auto"/>
          </w:divBdr>
        </w:div>
        <w:div w:id="1836068830">
          <w:marLeft w:val="1166"/>
          <w:marRight w:val="0"/>
          <w:marTop w:val="0"/>
          <w:marBottom w:val="0"/>
          <w:divBdr>
            <w:top w:val="none" w:sz="0" w:space="0" w:color="auto"/>
            <w:left w:val="none" w:sz="0" w:space="0" w:color="auto"/>
            <w:bottom w:val="none" w:sz="0" w:space="0" w:color="auto"/>
            <w:right w:val="none" w:sz="0" w:space="0" w:color="auto"/>
          </w:divBdr>
        </w:div>
        <w:div w:id="1936471648">
          <w:marLeft w:val="1166"/>
          <w:marRight w:val="0"/>
          <w:marTop w:val="0"/>
          <w:marBottom w:val="0"/>
          <w:divBdr>
            <w:top w:val="none" w:sz="0" w:space="0" w:color="auto"/>
            <w:left w:val="none" w:sz="0" w:space="0" w:color="auto"/>
            <w:bottom w:val="none" w:sz="0" w:space="0" w:color="auto"/>
            <w:right w:val="none" w:sz="0" w:space="0" w:color="auto"/>
          </w:divBdr>
        </w:div>
        <w:div w:id="1562138703">
          <w:marLeft w:val="446"/>
          <w:marRight w:val="0"/>
          <w:marTop w:val="0"/>
          <w:marBottom w:val="0"/>
          <w:divBdr>
            <w:top w:val="none" w:sz="0" w:space="0" w:color="auto"/>
            <w:left w:val="none" w:sz="0" w:space="0" w:color="auto"/>
            <w:bottom w:val="none" w:sz="0" w:space="0" w:color="auto"/>
            <w:right w:val="none" w:sz="0" w:space="0" w:color="auto"/>
          </w:divBdr>
        </w:div>
        <w:div w:id="1501508900">
          <w:marLeft w:val="1166"/>
          <w:marRight w:val="0"/>
          <w:marTop w:val="0"/>
          <w:marBottom w:val="0"/>
          <w:divBdr>
            <w:top w:val="none" w:sz="0" w:space="0" w:color="auto"/>
            <w:left w:val="none" w:sz="0" w:space="0" w:color="auto"/>
            <w:bottom w:val="none" w:sz="0" w:space="0" w:color="auto"/>
            <w:right w:val="none" w:sz="0" w:space="0" w:color="auto"/>
          </w:divBdr>
        </w:div>
        <w:div w:id="848829399">
          <w:marLeft w:val="1166"/>
          <w:marRight w:val="0"/>
          <w:marTop w:val="0"/>
          <w:marBottom w:val="0"/>
          <w:divBdr>
            <w:top w:val="none" w:sz="0" w:space="0" w:color="auto"/>
            <w:left w:val="none" w:sz="0" w:space="0" w:color="auto"/>
            <w:bottom w:val="none" w:sz="0" w:space="0" w:color="auto"/>
            <w:right w:val="none" w:sz="0" w:space="0" w:color="auto"/>
          </w:divBdr>
        </w:div>
        <w:div w:id="1569146488">
          <w:marLeft w:val="1166"/>
          <w:marRight w:val="0"/>
          <w:marTop w:val="0"/>
          <w:marBottom w:val="0"/>
          <w:divBdr>
            <w:top w:val="none" w:sz="0" w:space="0" w:color="auto"/>
            <w:left w:val="none" w:sz="0" w:space="0" w:color="auto"/>
            <w:bottom w:val="none" w:sz="0" w:space="0" w:color="auto"/>
            <w:right w:val="none" w:sz="0" w:space="0" w:color="auto"/>
          </w:divBdr>
        </w:div>
        <w:div w:id="1269700132">
          <w:marLeft w:val="1166"/>
          <w:marRight w:val="0"/>
          <w:marTop w:val="0"/>
          <w:marBottom w:val="0"/>
          <w:divBdr>
            <w:top w:val="none" w:sz="0" w:space="0" w:color="auto"/>
            <w:left w:val="none" w:sz="0" w:space="0" w:color="auto"/>
            <w:bottom w:val="none" w:sz="0" w:space="0" w:color="auto"/>
            <w:right w:val="none" w:sz="0" w:space="0" w:color="auto"/>
          </w:divBdr>
        </w:div>
      </w:divsChild>
    </w:div>
    <w:div w:id="1768574774">
      <w:bodyDiv w:val="1"/>
      <w:marLeft w:val="0"/>
      <w:marRight w:val="0"/>
      <w:marTop w:val="0"/>
      <w:marBottom w:val="0"/>
      <w:divBdr>
        <w:top w:val="none" w:sz="0" w:space="0" w:color="auto"/>
        <w:left w:val="none" w:sz="0" w:space="0" w:color="auto"/>
        <w:bottom w:val="none" w:sz="0" w:space="0" w:color="auto"/>
        <w:right w:val="none" w:sz="0" w:space="0" w:color="auto"/>
      </w:divBdr>
    </w:div>
    <w:div w:id="1782870078">
      <w:bodyDiv w:val="1"/>
      <w:marLeft w:val="0"/>
      <w:marRight w:val="0"/>
      <w:marTop w:val="0"/>
      <w:marBottom w:val="0"/>
      <w:divBdr>
        <w:top w:val="none" w:sz="0" w:space="0" w:color="auto"/>
        <w:left w:val="none" w:sz="0" w:space="0" w:color="auto"/>
        <w:bottom w:val="none" w:sz="0" w:space="0" w:color="auto"/>
        <w:right w:val="none" w:sz="0" w:space="0" w:color="auto"/>
      </w:divBdr>
    </w:div>
    <w:div w:id="1893736920">
      <w:bodyDiv w:val="1"/>
      <w:marLeft w:val="0"/>
      <w:marRight w:val="0"/>
      <w:marTop w:val="0"/>
      <w:marBottom w:val="0"/>
      <w:divBdr>
        <w:top w:val="none" w:sz="0" w:space="0" w:color="auto"/>
        <w:left w:val="none" w:sz="0" w:space="0" w:color="auto"/>
        <w:bottom w:val="none" w:sz="0" w:space="0" w:color="auto"/>
        <w:right w:val="none" w:sz="0" w:space="0" w:color="auto"/>
      </w:divBdr>
    </w:div>
    <w:div w:id="1918199177">
      <w:bodyDiv w:val="1"/>
      <w:marLeft w:val="0"/>
      <w:marRight w:val="0"/>
      <w:marTop w:val="0"/>
      <w:marBottom w:val="0"/>
      <w:divBdr>
        <w:top w:val="none" w:sz="0" w:space="0" w:color="auto"/>
        <w:left w:val="none" w:sz="0" w:space="0" w:color="auto"/>
        <w:bottom w:val="none" w:sz="0" w:space="0" w:color="auto"/>
        <w:right w:val="none" w:sz="0" w:space="0" w:color="auto"/>
      </w:divBdr>
    </w:div>
    <w:div w:id="1962804150">
      <w:bodyDiv w:val="1"/>
      <w:marLeft w:val="0"/>
      <w:marRight w:val="0"/>
      <w:marTop w:val="0"/>
      <w:marBottom w:val="0"/>
      <w:divBdr>
        <w:top w:val="none" w:sz="0" w:space="0" w:color="auto"/>
        <w:left w:val="none" w:sz="0" w:space="0" w:color="auto"/>
        <w:bottom w:val="none" w:sz="0" w:space="0" w:color="auto"/>
        <w:right w:val="none" w:sz="0" w:space="0" w:color="auto"/>
      </w:divBdr>
    </w:div>
    <w:div w:id="1969774250">
      <w:bodyDiv w:val="1"/>
      <w:marLeft w:val="0"/>
      <w:marRight w:val="0"/>
      <w:marTop w:val="0"/>
      <w:marBottom w:val="0"/>
      <w:divBdr>
        <w:top w:val="none" w:sz="0" w:space="0" w:color="auto"/>
        <w:left w:val="none" w:sz="0" w:space="0" w:color="auto"/>
        <w:bottom w:val="none" w:sz="0" w:space="0" w:color="auto"/>
        <w:right w:val="none" w:sz="0" w:space="0" w:color="auto"/>
      </w:divBdr>
    </w:div>
    <w:div w:id="1975451820">
      <w:bodyDiv w:val="1"/>
      <w:marLeft w:val="0"/>
      <w:marRight w:val="0"/>
      <w:marTop w:val="0"/>
      <w:marBottom w:val="0"/>
      <w:divBdr>
        <w:top w:val="none" w:sz="0" w:space="0" w:color="auto"/>
        <w:left w:val="none" w:sz="0" w:space="0" w:color="auto"/>
        <w:bottom w:val="none" w:sz="0" w:space="0" w:color="auto"/>
        <w:right w:val="none" w:sz="0" w:space="0" w:color="auto"/>
      </w:divBdr>
    </w:div>
    <w:div w:id="2072074218">
      <w:bodyDiv w:val="1"/>
      <w:marLeft w:val="0"/>
      <w:marRight w:val="0"/>
      <w:marTop w:val="0"/>
      <w:marBottom w:val="0"/>
      <w:divBdr>
        <w:top w:val="none" w:sz="0" w:space="0" w:color="auto"/>
        <w:left w:val="none" w:sz="0" w:space="0" w:color="auto"/>
        <w:bottom w:val="none" w:sz="0" w:space="0" w:color="auto"/>
        <w:right w:val="none" w:sz="0" w:space="0" w:color="auto"/>
      </w:divBdr>
    </w:div>
    <w:div w:id="211269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econpapers.repec.org/article/bpjbejma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inance.yahoo.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essicariccioni:Desktop:Universit&#224;:Legge%20di%20Benford:Benford%20Indici%20Ital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essicariccioni:Desktop:Universit&#224;:Legge%20di%20Benford:Benford%20Mon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essicariccioni:Desktop:Universit&#224;:Legge%20di%20Benford:Benford%20indici%20Europ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essicariccioni:Desktop:Universit&#224;:Legge%20di%20Benford:Benford%20Indici%20Ital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jessicariccioni:Desktop:Universit&#224;:Legge%20di%20Benford:Benford%20indici%20Europ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jessicariccioni:Desktop:Universit&#224;:Legge%20di%20Benford:Benfordi%20Indici%20US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jessicariccioni:Desktop:Universit&#224;:Legge%20di%20Benford:Benfordi%20Indici%20US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jessicariccioni:Desktop:Universit&#224;:Legge%20di%20Benford:Benfordi%20Indici%20US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'FTSE ITALIA ALL-SHS'!$C$13</c:f>
              <c:strCache>
                <c:ptCount val="1"/>
                <c:pt idx="0">
                  <c:v>Probability adj close 1°</c:v>
                </c:pt>
              </c:strCache>
            </c:strRef>
          </c:tx>
          <c:spPr>
            <a:ln>
              <a:solidFill>
                <a:srgbClr val="FF0000"/>
              </a:solidFill>
            </a:ln>
          </c:spPr>
          <c:marker>
            <c:symbol val="none"/>
          </c:marker>
          <c:cat>
            <c:numRef>
              <c:f>ITALIA!$H$14:$H$23</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'FTSE ITALIA ALL-SHS'!$C$14:$C$23</c:f>
              <c:numCache>
                <c:formatCode>0.0000</c:formatCode>
                <c:ptCount val="10"/>
                <c:pt idx="1">
                  <c:v>0.31491712707182301</c:v>
                </c:pt>
                <c:pt idx="2">
                  <c:v>0.16022099447513799</c:v>
                </c:pt>
                <c:pt idx="3">
                  <c:v>0.116022099447514</c:v>
                </c:pt>
                <c:pt idx="4">
                  <c:v>0.10497237569060799</c:v>
                </c:pt>
                <c:pt idx="5">
                  <c:v>8.2872928176795604E-2</c:v>
                </c:pt>
                <c:pt idx="6">
                  <c:v>5.5248618784530398E-2</c:v>
                </c:pt>
                <c:pt idx="7">
                  <c:v>4.4198895027624301E-2</c:v>
                </c:pt>
                <c:pt idx="8">
                  <c:v>4.9723756906077297E-2</c:v>
                </c:pt>
                <c:pt idx="9">
                  <c:v>7.18232044198895E-2</c:v>
                </c:pt>
              </c:numCache>
            </c:numRef>
          </c:val>
          <c:smooth val="0"/>
          <c:extLst xmlns:c16r2="http://schemas.microsoft.com/office/drawing/2015/06/chart">
            <c:ext xmlns:c16="http://schemas.microsoft.com/office/drawing/2014/chart" uri="{C3380CC4-5D6E-409C-BE32-E72D297353CC}">
              <c16:uniqueId val="{00000000-A54F-4B4B-AB46-0EA2097FBF13}"/>
            </c:ext>
          </c:extLst>
        </c:ser>
        <c:ser>
          <c:idx val="2"/>
          <c:order val="1"/>
          <c:tx>
            <c:v>Benford</c:v>
          </c:tx>
          <c:spPr>
            <a:ln>
              <a:solidFill>
                <a:srgbClr val="0000FF"/>
              </a:solidFill>
            </a:ln>
          </c:spPr>
          <c:marker>
            <c:symbol val="none"/>
          </c:marker>
          <c:val>
            <c:numRef>
              <c:f>ITALIA!$O$2:$O$11</c:f>
              <c:numCache>
                <c:formatCode>0.0000</c:formatCode>
                <c:ptCount val="10"/>
                <c:pt idx="1">
                  <c:v>0.30099999999999999</c:v>
                </c:pt>
                <c:pt idx="2">
                  <c:v>0.17610000000000001</c:v>
                </c:pt>
                <c:pt idx="3">
                  <c:v>0.1249</c:v>
                </c:pt>
                <c:pt idx="4">
                  <c:v>9.69E-2</c:v>
                </c:pt>
                <c:pt idx="5">
                  <c:v>7.9200000000000007E-2</c:v>
                </c:pt>
                <c:pt idx="6">
                  <c:v>6.6900000000000001E-2</c:v>
                </c:pt>
                <c:pt idx="7">
                  <c:v>5.8000000000000003E-2</c:v>
                </c:pt>
                <c:pt idx="8">
                  <c:v>5.1200000000000002E-2</c:v>
                </c:pt>
                <c:pt idx="9">
                  <c:v>4.58E-2</c:v>
                </c:pt>
              </c:numCache>
            </c:numRef>
          </c:val>
          <c:smooth val="0"/>
          <c:extLst xmlns:c16r2="http://schemas.microsoft.com/office/drawing/2015/06/chart">
            <c:ext xmlns:c16="http://schemas.microsoft.com/office/drawing/2014/chart" uri="{C3380CC4-5D6E-409C-BE32-E72D297353CC}">
              <c16:uniqueId val="{00000001-A54F-4B4B-AB46-0EA2097FBF13}"/>
            </c:ext>
          </c:extLst>
        </c:ser>
        <c:dLbls>
          <c:showLegendKey val="0"/>
          <c:showVal val="0"/>
          <c:showCatName val="0"/>
          <c:showSerName val="0"/>
          <c:showPercent val="0"/>
          <c:showBubbleSize val="0"/>
        </c:dLbls>
        <c:marker val="1"/>
        <c:smooth val="0"/>
        <c:axId val="52180480"/>
        <c:axId val="199463424"/>
      </c:lineChart>
      <c:catAx>
        <c:axId val="52180480"/>
        <c:scaling>
          <c:orientation val="minMax"/>
        </c:scaling>
        <c:delete val="0"/>
        <c:axPos val="b"/>
        <c:numFmt formatCode="General" sourceLinked="1"/>
        <c:majorTickMark val="none"/>
        <c:minorTickMark val="none"/>
        <c:tickLblPos val="nextTo"/>
        <c:crossAx val="199463424"/>
        <c:crosses val="autoZero"/>
        <c:auto val="1"/>
        <c:lblAlgn val="ctr"/>
        <c:lblOffset val="100"/>
        <c:noMultiLvlLbl val="0"/>
      </c:catAx>
      <c:valAx>
        <c:axId val="199463424"/>
        <c:scaling>
          <c:orientation val="minMax"/>
        </c:scaling>
        <c:delete val="0"/>
        <c:axPos val="l"/>
        <c:majorGridlines/>
        <c:title>
          <c:tx>
            <c:rich>
              <a:bodyPr/>
              <a:lstStyle/>
              <a:p>
                <a:pPr>
                  <a:defRPr/>
                </a:pPr>
                <a:r>
                  <a:rPr lang="it-IT"/>
                  <a:t>Frequency</a:t>
                </a:r>
                <a:r>
                  <a:rPr lang="it-IT" baseline="0"/>
                  <a:t> distribution</a:t>
                </a:r>
                <a:endParaRPr lang="it-IT"/>
              </a:p>
            </c:rich>
          </c:tx>
          <c:overlay val="0"/>
        </c:title>
        <c:numFmt formatCode="0.0000" sourceLinked="1"/>
        <c:majorTickMark val="none"/>
        <c:minorTickMark val="none"/>
        <c:tickLblPos val="nextTo"/>
        <c:crossAx val="521804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'MONDO (+FTSE MIB)'!$I$13</c:f>
              <c:strCache>
                <c:ptCount val="1"/>
                <c:pt idx="0">
                  <c:v>Probability volume 1°</c:v>
                </c:pt>
              </c:strCache>
            </c:strRef>
          </c:tx>
          <c:spPr>
            <a:ln>
              <a:solidFill>
                <a:srgbClr val="FF0000"/>
              </a:solidFill>
            </a:ln>
          </c:spPr>
          <c:marker>
            <c:symbol val="none"/>
          </c:marker>
          <c:cat>
            <c:numRef>
              <c:f>'MONDO (+FTSE MIB)'!$H$14:$H$23</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'MONDO (+FTSE MIB)'!$I$14:$I$23</c:f>
              <c:numCache>
                <c:formatCode>0.0000</c:formatCode>
                <c:ptCount val="10"/>
                <c:pt idx="1">
                  <c:v>0.30077810571505198</c:v>
                </c:pt>
                <c:pt idx="2">
                  <c:v>0.176817815937752</c:v>
                </c:pt>
                <c:pt idx="3">
                  <c:v>0.13549771934531801</c:v>
                </c:pt>
                <c:pt idx="4">
                  <c:v>9.5250872015025495E-2</c:v>
                </c:pt>
                <c:pt idx="5">
                  <c:v>7.5395760665414494E-2</c:v>
                </c:pt>
                <c:pt idx="6">
                  <c:v>6.7883015830426593E-2</c:v>
                </c:pt>
                <c:pt idx="7">
                  <c:v>5.6882210893480001E-2</c:v>
                </c:pt>
                <c:pt idx="8">
                  <c:v>4.7222967534209799E-2</c:v>
                </c:pt>
                <c:pt idx="9">
                  <c:v>4.4271532063321697E-2</c:v>
                </c:pt>
              </c:numCache>
            </c:numRef>
          </c:val>
          <c:smooth val="0"/>
          <c:extLst xmlns:c16r2="http://schemas.microsoft.com/office/drawing/2015/06/chart">
            <c:ext xmlns:c16="http://schemas.microsoft.com/office/drawing/2014/chart" uri="{C3380CC4-5D6E-409C-BE32-E72D297353CC}">
              <c16:uniqueId val="{00000000-F48C-4960-B71C-3BED3E5A8D0F}"/>
            </c:ext>
          </c:extLst>
        </c:ser>
        <c:ser>
          <c:idx val="2"/>
          <c:order val="1"/>
          <c:tx>
            <c:v>Benford</c:v>
          </c:tx>
          <c:spPr>
            <a:ln>
              <a:solidFill>
                <a:srgbClr val="0000FF"/>
              </a:solidFill>
            </a:ln>
          </c:spPr>
          <c:marker>
            <c:symbol val="none"/>
          </c:marker>
          <c:val>
            <c:numRef>
              <c:f>'MONDO (+FTSE MIB)'!$O$2:$O$11</c:f>
              <c:numCache>
                <c:formatCode>0.0000</c:formatCode>
                <c:ptCount val="10"/>
                <c:pt idx="1">
                  <c:v>0.30099999999999999</c:v>
                </c:pt>
                <c:pt idx="2">
                  <c:v>0.17610000000000001</c:v>
                </c:pt>
                <c:pt idx="3">
                  <c:v>0.1249</c:v>
                </c:pt>
                <c:pt idx="4">
                  <c:v>9.69E-2</c:v>
                </c:pt>
                <c:pt idx="5">
                  <c:v>7.9200000000000007E-2</c:v>
                </c:pt>
                <c:pt idx="6">
                  <c:v>6.6900000000000001E-2</c:v>
                </c:pt>
                <c:pt idx="7">
                  <c:v>5.8000000000000003E-2</c:v>
                </c:pt>
                <c:pt idx="8">
                  <c:v>5.1200000000000002E-2</c:v>
                </c:pt>
                <c:pt idx="9">
                  <c:v>4.58E-2</c:v>
                </c:pt>
              </c:numCache>
            </c:numRef>
          </c:val>
          <c:smooth val="0"/>
          <c:extLst xmlns:c16r2="http://schemas.microsoft.com/office/drawing/2015/06/chart">
            <c:ext xmlns:c16="http://schemas.microsoft.com/office/drawing/2014/chart" uri="{C3380CC4-5D6E-409C-BE32-E72D297353CC}">
              <c16:uniqueId val="{00000001-F48C-4960-B71C-3BED3E5A8D0F}"/>
            </c:ext>
          </c:extLst>
        </c:ser>
        <c:dLbls>
          <c:showLegendKey val="0"/>
          <c:showVal val="0"/>
          <c:showCatName val="0"/>
          <c:showSerName val="0"/>
          <c:showPercent val="0"/>
          <c:showBubbleSize val="0"/>
        </c:dLbls>
        <c:marker val="1"/>
        <c:smooth val="0"/>
        <c:axId val="52180992"/>
        <c:axId val="199465152"/>
      </c:lineChart>
      <c:catAx>
        <c:axId val="52180992"/>
        <c:scaling>
          <c:orientation val="minMax"/>
        </c:scaling>
        <c:delete val="0"/>
        <c:axPos val="b"/>
        <c:numFmt formatCode="General" sourceLinked="1"/>
        <c:majorTickMark val="none"/>
        <c:minorTickMark val="none"/>
        <c:tickLblPos val="nextTo"/>
        <c:crossAx val="199465152"/>
        <c:crosses val="autoZero"/>
        <c:auto val="1"/>
        <c:lblAlgn val="ctr"/>
        <c:lblOffset val="100"/>
        <c:noMultiLvlLbl val="0"/>
      </c:catAx>
      <c:valAx>
        <c:axId val="199465152"/>
        <c:scaling>
          <c:orientation val="minMax"/>
        </c:scaling>
        <c:delete val="0"/>
        <c:axPos val="l"/>
        <c:majorGridlines/>
        <c:title>
          <c:tx>
            <c:rich>
              <a:bodyPr/>
              <a:lstStyle/>
              <a:p>
                <a:pPr>
                  <a:defRPr/>
                </a:pPr>
                <a:r>
                  <a:rPr lang="it-IT"/>
                  <a:t>Frequency</a:t>
                </a:r>
                <a:r>
                  <a:rPr lang="it-IT" baseline="0"/>
                  <a:t> Distribution</a:t>
                </a:r>
                <a:endParaRPr lang="it-IT"/>
              </a:p>
            </c:rich>
          </c:tx>
          <c:overlay val="0"/>
        </c:title>
        <c:numFmt formatCode="0.0000" sourceLinked="1"/>
        <c:majorTickMark val="none"/>
        <c:minorTickMark val="none"/>
        <c:tickLblPos val="nextTo"/>
        <c:crossAx val="521809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'OSE All Share'!$D$13</c:f>
              <c:strCache>
                <c:ptCount val="1"/>
                <c:pt idx="0">
                  <c:v>Probability volume 2°</c:v>
                </c:pt>
              </c:strCache>
            </c:strRef>
          </c:tx>
          <c:spPr>
            <a:ln>
              <a:solidFill>
                <a:srgbClr val="FF0000"/>
              </a:solidFill>
            </a:ln>
          </c:spPr>
          <c:marker>
            <c:symbol val="none"/>
          </c:marker>
          <c:cat>
            <c:numRef>
              <c:f>'OSE All Share'!$A$14:$A$23</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'OSE All Share'!$D$14:$D$23</c:f>
              <c:numCache>
                <c:formatCode>0.0000</c:formatCode>
                <c:ptCount val="10"/>
                <c:pt idx="0">
                  <c:v>0.146496815286624</c:v>
                </c:pt>
                <c:pt idx="1">
                  <c:v>0.121019108280255</c:v>
                </c:pt>
                <c:pt idx="2">
                  <c:v>0.11464968152866201</c:v>
                </c:pt>
                <c:pt idx="3">
                  <c:v>9.5541401273885301E-2</c:v>
                </c:pt>
                <c:pt idx="4">
                  <c:v>8.2802547770700605E-2</c:v>
                </c:pt>
                <c:pt idx="5">
                  <c:v>7.6433121019108305E-2</c:v>
                </c:pt>
                <c:pt idx="6">
                  <c:v>9.5541401273885301E-2</c:v>
                </c:pt>
                <c:pt idx="7">
                  <c:v>9.5541401273885301E-2</c:v>
                </c:pt>
                <c:pt idx="8">
                  <c:v>8.2802547770700605E-2</c:v>
                </c:pt>
                <c:pt idx="9">
                  <c:v>8.9171974522293002E-2</c:v>
                </c:pt>
              </c:numCache>
            </c:numRef>
          </c:val>
          <c:smooth val="0"/>
          <c:extLst xmlns:c16r2="http://schemas.microsoft.com/office/drawing/2015/06/chart">
            <c:ext xmlns:c16="http://schemas.microsoft.com/office/drawing/2014/chart" uri="{C3380CC4-5D6E-409C-BE32-E72D297353CC}">
              <c16:uniqueId val="{00000000-B6B8-4193-904B-B7D688B1FA96}"/>
            </c:ext>
          </c:extLst>
        </c:ser>
        <c:ser>
          <c:idx val="2"/>
          <c:order val="1"/>
          <c:tx>
            <c:v>Benford</c:v>
          </c:tx>
          <c:spPr>
            <a:ln>
              <a:solidFill>
                <a:srgbClr val="0000FF"/>
              </a:solidFill>
            </a:ln>
          </c:spPr>
          <c:marker>
            <c:symbol val="none"/>
          </c:marker>
          <c:val>
            <c:numRef>
              <c:f>'OSE All Share'!$I$2:$I$11</c:f>
              <c:numCache>
                <c:formatCode>0.0000</c:formatCode>
                <c:ptCount val="10"/>
                <c:pt idx="0">
                  <c:v>0.1197</c:v>
                </c:pt>
                <c:pt idx="1">
                  <c:v>0.1139</c:v>
                </c:pt>
                <c:pt idx="2">
                  <c:v>0.10879999999999999</c:v>
                </c:pt>
                <c:pt idx="3">
                  <c:v>0.1043</c:v>
                </c:pt>
                <c:pt idx="4">
                  <c:v>0.1003</c:v>
                </c:pt>
                <c:pt idx="5">
                  <c:v>9.6699999999999994E-2</c:v>
                </c:pt>
                <c:pt idx="6">
                  <c:v>9.3399999999999997E-2</c:v>
                </c:pt>
                <c:pt idx="7">
                  <c:v>9.0399999999999994E-2</c:v>
                </c:pt>
                <c:pt idx="8">
                  <c:v>8.7599999999999997E-2</c:v>
                </c:pt>
                <c:pt idx="9">
                  <c:v>8.5000000000000006E-2</c:v>
                </c:pt>
              </c:numCache>
            </c:numRef>
          </c:val>
          <c:smooth val="0"/>
          <c:extLst xmlns:c16r2="http://schemas.microsoft.com/office/drawing/2015/06/chart">
            <c:ext xmlns:c16="http://schemas.microsoft.com/office/drawing/2014/chart" uri="{C3380CC4-5D6E-409C-BE32-E72D297353CC}">
              <c16:uniqueId val="{00000001-B6B8-4193-904B-B7D688B1FA96}"/>
            </c:ext>
          </c:extLst>
        </c:ser>
        <c:dLbls>
          <c:showLegendKey val="0"/>
          <c:showVal val="0"/>
          <c:showCatName val="0"/>
          <c:showSerName val="0"/>
          <c:showPercent val="0"/>
          <c:showBubbleSize val="0"/>
        </c:dLbls>
        <c:marker val="1"/>
        <c:smooth val="0"/>
        <c:axId val="52181504"/>
        <c:axId val="50053120"/>
      </c:lineChart>
      <c:catAx>
        <c:axId val="52181504"/>
        <c:scaling>
          <c:orientation val="minMax"/>
        </c:scaling>
        <c:delete val="0"/>
        <c:axPos val="b"/>
        <c:numFmt formatCode="General" sourceLinked="1"/>
        <c:majorTickMark val="none"/>
        <c:minorTickMark val="none"/>
        <c:tickLblPos val="nextTo"/>
        <c:crossAx val="50053120"/>
        <c:crosses val="autoZero"/>
        <c:auto val="1"/>
        <c:lblAlgn val="ctr"/>
        <c:lblOffset val="100"/>
        <c:noMultiLvlLbl val="0"/>
      </c:catAx>
      <c:valAx>
        <c:axId val="50053120"/>
        <c:scaling>
          <c:orientation val="minMax"/>
        </c:scaling>
        <c:delete val="0"/>
        <c:axPos val="l"/>
        <c:majorGridlines/>
        <c:title>
          <c:tx>
            <c:rich>
              <a:bodyPr/>
              <a:lstStyle/>
              <a:p>
                <a:pPr>
                  <a:defRPr/>
                </a:pPr>
                <a:r>
                  <a:rPr lang="it-IT"/>
                  <a:t>Frequency</a:t>
                </a:r>
                <a:r>
                  <a:rPr lang="it-IT" baseline="0"/>
                  <a:t> Distribution</a:t>
                </a:r>
                <a:endParaRPr lang="it-IT"/>
              </a:p>
            </c:rich>
          </c:tx>
          <c:overlay val="0"/>
        </c:title>
        <c:numFmt formatCode="0.0000" sourceLinked="1"/>
        <c:majorTickMark val="none"/>
        <c:minorTickMark val="none"/>
        <c:tickLblPos val="nextTo"/>
        <c:crossAx val="521815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ITALIA!$I$13</c:f>
              <c:strCache>
                <c:ptCount val="1"/>
                <c:pt idx="0">
                  <c:v>Probability volume 1°</c:v>
                </c:pt>
              </c:strCache>
            </c:strRef>
          </c:tx>
          <c:spPr>
            <a:ln>
              <a:solidFill>
                <a:srgbClr val="FF0000"/>
              </a:solidFill>
            </a:ln>
          </c:spPr>
          <c:marker>
            <c:symbol val="none"/>
          </c:marker>
          <c:cat>
            <c:numRef>
              <c:f>ITALIA!$H$14:$H$23</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ITALIA!$I$14:$I$23</c:f>
              <c:numCache>
                <c:formatCode>0.0000</c:formatCode>
                <c:ptCount val="10"/>
                <c:pt idx="1">
                  <c:v>0.25</c:v>
                </c:pt>
                <c:pt idx="2">
                  <c:v>0.13865546218487401</c:v>
                </c:pt>
                <c:pt idx="3">
                  <c:v>0.17226890756302499</c:v>
                </c:pt>
                <c:pt idx="4">
                  <c:v>9.4537815126050403E-2</c:v>
                </c:pt>
                <c:pt idx="5">
                  <c:v>8.8235294117646995E-2</c:v>
                </c:pt>
                <c:pt idx="6">
                  <c:v>5.8823529411764698E-2</c:v>
                </c:pt>
                <c:pt idx="7">
                  <c:v>7.1428571428571397E-2</c:v>
                </c:pt>
                <c:pt idx="8">
                  <c:v>4.20168067226891E-2</c:v>
                </c:pt>
                <c:pt idx="9">
                  <c:v>8.4033613445378103E-2</c:v>
                </c:pt>
              </c:numCache>
            </c:numRef>
          </c:val>
          <c:smooth val="0"/>
          <c:extLst xmlns:c16r2="http://schemas.microsoft.com/office/drawing/2015/06/chart">
            <c:ext xmlns:c16="http://schemas.microsoft.com/office/drawing/2014/chart" uri="{C3380CC4-5D6E-409C-BE32-E72D297353CC}">
              <c16:uniqueId val="{00000000-165B-41D7-8913-AA7CDA34B1B3}"/>
            </c:ext>
          </c:extLst>
        </c:ser>
        <c:ser>
          <c:idx val="2"/>
          <c:order val="1"/>
          <c:tx>
            <c:v>Benford</c:v>
          </c:tx>
          <c:spPr>
            <a:ln>
              <a:solidFill>
                <a:srgbClr val="0000FF"/>
              </a:solidFill>
            </a:ln>
          </c:spPr>
          <c:marker>
            <c:symbol val="none"/>
          </c:marker>
          <c:val>
            <c:numRef>
              <c:f>ITALIA!$O$2:$O$11</c:f>
              <c:numCache>
                <c:formatCode>0.0000</c:formatCode>
                <c:ptCount val="10"/>
                <c:pt idx="1">
                  <c:v>0.30099999999999999</c:v>
                </c:pt>
                <c:pt idx="2">
                  <c:v>0.17610000000000001</c:v>
                </c:pt>
                <c:pt idx="3">
                  <c:v>0.1249</c:v>
                </c:pt>
                <c:pt idx="4">
                  <c:v>9.69E-2</c:v>
                </c:pt>
                <c:pt idx="5">
                  <c:v>7.9200000000000007E-2</c:v>
                </c:pt>
                <c:pt idx="6">
                  <c:v>6.6900000000000001E-2</c:v>
                </c:pt>
                <c:pt idx="7">
                  <c:v>5.8000000000000003E-2</c:v>
                </c:pt>
                <c:pt idx="8">
                  <c:v>5.1200000000000002E-2</c:v>
                </c:pt>
                <c:pt idx="9">
                  <c:v>4.58E-2</c:v>
                </c:pt>
              </c:numCache>
            </c:numRef>
          </c:val>
          <c:smooth val="0"/>
          <c:extLst xmlns:c16r2="http://schemas.microsoft.com/office/drawing/2015/06/chart">
            <c:ext xmlns:c16="http://schemas.microsoft.com/office/drawing/2014/chart" uri="{C3380CC4-5D6E-409C-BE32-E72D297353CC}">
              <c16:uniqueId val="{00000001-165B-41D7-8913-AA7CDA34B1B3}"/>
            </c:ext>
          </c:extLst>
        </c:ser>
        <c:dLbls>
          <c:showLegendKey val="0"/>
          <c:showVal val="0"/>
          <c:showCatName val="0"/>
          <c:showSerName val="0"/>
          <c:showPercent val="0"/>
          <c:showBubbleSize val="0"/>
        </c:dLbls>
        <c:marker val="1"/>
        <c:smooth val="0"/>
        <c:axId val="52182528"/>
        <c:axId val="50055424"/>
      </c:lineChart>
      <c:catAx>
        <c:axId val="52182528"/>
        <c:scaling>
          <c:orientation val="minMax"/>
        </c:scaling>
        <c:delete val="0"/>
        <c:axPos val="b"/>
        <c:numFmt formatCode="General" sourceLinked="1"/>
        <c:majorTickMark val="none"/>
        <c:minorTickMark val="none"/>
        <c:tickLblPos val="nextTo"/>
        <c:crossAx val="50055424"/>
        <c:crosses val="autoZero"/>
        <c:auto val="1"/>
        <c:lblAlgn val="ctr"/>
        <c:lblOffset val="100"/>
        <c:noMultiLvlLbl val="0"/>
      </c:catAx>
      <c:valAx>
        <c:axId val="50055424"/>
        <c:scaling>
          <c:orientation val="minMax"/>
        </c:scaling>
        <c:delete val="0"/>
        <c:axPos val="l"/>
        <c:majorGridlines/>
        <c:title>
          <c:tx>
            <c:rich>
              <a:bodyPr/>
              <a:lstStyle/>
              <a:p>
                <a:pPr>
                  <a:defRPr/>
                </a:pPr>
                <a:r>
                  <a:rPr lang="it-IT"/>
                  <a:t>Frequency Distribution</a:t>
                </a:r>
              </a:p>
              <a:p>
                <a:pPr>
                  <a:defRPr/>
                </a:pPr>
                <a:endParaRPr lang="it-IT"/>
              </a:p>
            </c:rich>
          </c:tx>
          <c:overlay val="0"/>
        </c:title>
        <c:numFmt formatCode="0.0000" sourceLinked="1"/>
        <c:majorTickMark val="none"/>
        <c:minorTickMark val="none"/>
        <c:tickLblPos val="nextTo"/>
        <c:crossAx val="521825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'EUROPA +ITALIA COMPLETO'!$I$13</c:f>
              <c:strCache>
                <c:ptCount val="1"/>
                <c:pt idx="0">
                  <c:v>Probability volume 1°</c:v>
                </c:pt>
              </c:strCache>
            </c:strRef>
          </c:tx>
          <c:spPr>
            <a:ln>
              <a:solidFill>
                <a:srgbClr val="FF0000"/>
              </a:solidFill>
            </a:ln>
          </c:spPr>
          <c:marker>
            <c:symbol val="none"/>
          </c:marker>
          <c:cat>
            <c:numRef>
              <c:f>'OSE All Share'!$A$14:$A$23</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'EUROPA +ITALIA COMPLETO'!$I$14:$I$23</c:f>
              <c:numCache>
                <c:formatCode>0.0000</c:formatCode>
                <c:ptCount val="10"/>
                <c:pt idx="1">
                  <c:v>0.26702702702702702</c:v>
                </c:pt>
                <c:pt idx="2">
                  <c:v>0.155675675675676</c:v>
                </c:pt>
                <c:pt idx="3">
                  <c:v>0.155675675675676</c:v>
                </c:pt>
                <c:pt idx="4">
                  <c:v>8.8648648648648604E-2</c:v>
                </c:pt>
                <c:pt idx="5">
                  <c:v>8.7567567567567506E-2</c:v>
                </c:pt>
                <c:pt idx="6">
                  <c:v>5.9459459459459497E-2</c:v>
                </c:pt>
                <c:pt idx="7">
                  <c:v>7.3513513513513498E-2</c:v>
                </c:pt>
                <c:pt idx="8">
                  <c:v>4.3243243243243197E-2</c:v>
                </c:pt>
                <c:pt idx="9">
                  <c:v>6.9189189189189204E-2</c:v>
                </c:pt>
              </c:numCache>
            </c:numRef>
          </c:val>
          <c:smooth val="0"/>
          <c:extLst xmlns:c16r2="http://schemas.microsoft.com/office/drawing/2015/06/chart">
            <c:ext xmlns:c16="http://schemas.microsoft.com/office/drawing/2014/chart" uri="{C3380CC4-5D6E-409C-BE32-E72D297353CC}">
              <c16:uniqueId val="{00000000-B9AB-4B94-BF55-BF69FFC1073E}"/>
            </c:ext>
          </c:extLst>
        </c:ser>
        <c:ser>
          <c:idx val="2"/>
          <c:order val="1"/>
          <c:tx>
            <c:v>Benford</c:v>
          </c:tx>
          <c:spPr>
            <a:ln>
              <a:solidFill>
                <a:srgbClr val="0000FF"/>
              </a:solidFill>
            </a:ln>
          </c:spPr>
          <c:marker>
            <c:symbol val="none"/>
          </c:marker>
          <c:val>
            <c:numRef>
              <c:f>'OSE All Share'!$H$2:$H$11</c:f>
              <c:numCache>
                <c:formatCode>0.0000</c:formatCode>
                <c:ptCount val="10"/>
                <c:pt idx="1">
                  <c:v>0.30099999999999999</c:v>
                </c:pt>
                <c:pt idx="2">
                  <c:v>0.17610000000000001</c:v>
                </c:pt>
                <c:pt idx="3">
                  <c:v>0.1249</c:v>
                </c:pt>
                <c:pt idx="4">
                  <c:v>9.69E-2</c:v>
                </c:pt>
                <c:pt idx="5">
                  <c:v>7.9200000000000007E-2</c:v>
                </c:pt>
                <c:pt idx="6">
                  <c:v>6.6900000000000001E-2</c:v>
                </c:pt>
                <c:pt idx="7">
                  <c:v>5.8000000000000003E-2</c:v>
                </c:pt>
                <c:pt idx="8">
                  <c:v>5.1200000000000002E-2</c:v>
                </c:pt>
                <c:pt idx="9">
                  <c:v>4.58E-2</c:v>
                </c:pt>
              </c:numCache>
            </c:numRef>
          </c:val>
          <c:smooth val="0"/>
          <c:extLst xmlns:c16r2="http://schemas.microsoft.com/office/drawing/2015/06/chart">
            <c:ext xmlns:c16="http://schemas.microsoft.com/office/drawing/2014/chart" uri="{C3380CC4-5D6E-409C-BE32-E72D297353CC}">
              <c16:uniqueId val="{00000001-B9AB-4B94-BF55-BF69FFC1073E}"/>
            </c:ext>
          </c:extLst>
        </c:ser>
        <c:dLbls>
          <c:showLegendKey val="0"/>
          <c:showVal val="0"/>
          <c:showCatName val="0"/>
          <c:showSerName val="0"/>
          <c:showPercent val="0"/>
          <c:showBubbleSize val="0"/>
        </c:dLbls>
        <c:marker val="1"/>
        <c:smooth val="0"/>
        <c:axId val="142266368"/>
        <c:axId val="50056576"/>
      </c:lineChart>
      <c:catAx>
        <c:axId val="142266368"/>
        <c:scaling>
          <c:orientation val="minMax"/>
        </c:scaling>
        <c:delete val="0"/>
        <c:axPos val="b"/>
        <c:numFmt formatCode="General" sourceLinked="1"/>
        <c:majorTickMark val="none"/>
        <c:minorTickMark val="none"/>
        <c:tickLblPos val="nextTo"/>
        <c:crossAx val="50056576"/>
        <c:crosses val="autoZero"/>
        <c:auto val="1"/>
        <c:lblAlgn val="ctr"/>
        <c:lblOffset val="100"/>
        <c:noMultiLvlLbl val="0"/>
      </c:catAx>
      <c:valAx>
        <c:axId val="50056576"/>
        <c:scaling>
          <c:orientation val="minMax"/>
        </c:scaling>
        <c:delete val="0"/>
        <c:axPos val="l"/>
        <c:majorGridlines/>
        <c:title>
          <c:tx>
            <c:rich>
              <a:bodyPr/>
              <a:lstStyle/>
              <a:p>
                <a:pPr>
                  <a:defRPr/>
                </a:pPr>
                <a:r>
                  <a:rPr lang="it-IT"/>
                  <a:t>Frequency Distribution</a:t>
                </a:r>
              </a:p>
            </c:rich>
          </c:tx>
          <c:overlay val="0"/>
        </c:title>
        <c:numFmt formatCode="0.0000" sourceLinked="1"/>
        <c:majorTickMark val="none"/>
        <c:minorTickMark val="none"/>
        <c:tickLblPos val="nextTo"/>
        <c:crossAx val="1422663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'NASDAQ COMPOSITE'!$C$13</c:f>
              <c:strCache>
                <c:ptCount val="1"/>
                <c:pt idx="0">
                  <c:v>Probability adj close 1°</c:v>
                </c:pt>
              </c:strCache>
            </c:strRef>
          </c:tx>
          <c:spPr>
            <a:ln>
              <a:solidFill>
                <a:srgbClr val="FF0000"/>
              </a:solidFill>
            </a:ln>
          </c:spPr>
          <c:marker>
            <c:symbol val="none"/>
          </c:marker>
          <c:cat>
            <c:numRef>
              <c:f>'NASDAQ COMPOSITE'!$A$14:$A$23</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'NASDAQ COMPOSITE'!$C$14:$C$23</c:f>
              <c:numCache>
                <c:formatCode>0.0000</c:formatCode>
                <c:ptCount val="10"/>
                <c:pt idx="1">
                  <c:v>0.36042823156225201</c:v>
                </c:pt>
                <c:pt idx="2">
                  <c:v>0.164948453608247</c:v>
                </c:pt>
                <c:pt idx="3">
                  <c:v>0.102299762093577</c:v>
                </c:pt>
                <c:pt idx="4">
                  <c:v>7.5337034099920694E-2</c:v>
                </c:pt>
                <c:pt idx="5">
                  <c:v>5.7494052339413099E-2</c:v>
                </c:pt>
                <c:pt idx="6">
                  <c:v>5.7494052339413099E-2</c:v>
                </c:pt>
                <c:pt idx="7">
                  <c:v>5.8683584456780298E-2</c:v>
                </c:pt>
                <c:pt idx="8">
                  <c:v>5.9476605868358401E-2</c:v>
                </c:pt>
                <c:pt idx="9">
                  <c:v>6.3838223632038005E-2</c:v>
                </c:pt>
              </c:numCache>
            </c:numRef>
          </c:val>
          <c:smooth val="0"/>
          <c:extLst xmlns:c16r2="http://schemas.microsoft.com/office/drawing/2015/06/chart">
            <c:ext xmlns:c16="http://schemas.microsoft.com/office/drawing/2014/chart" uri="{C3380CC4-5D6E-409C-BE32-E72D297353CC}">
              <c16:uniqueId val="{00000000-A778-4314-B534-A2A9FB1B8203}"/>
            </c:ext>
          </c:extLst>
        </c:ser>
        <c:ser>
          <c:idx val="2"/>
          <c:order val="1"/>
          <c:tx>
            <c:v>Benford</c:v>
          </c:tx>
          <c:spPr>
            <a:ln>
              <a:solidFill>
                <a:srgbClr val="0000FF"/>
              </a:solidFill>
            </a:ln>
          </c:spPr>
          <c:marker>
            <c:symbol val="none"/>
          </c:marker>
          <c:val>
            <c:numRef>
              <c:f>'NASDAQ COMPOSITE'!$H$2:$H$11</c:f>
              <c:numCache>
                <c:formatCode>0.0000</c:formatCode>
                <c:ptCount val="10"/>
                <c:pt idx="1">
                  <c:v>0.30099999999999999</c:v>
                </c:pt>
                <c:pt idx="2">
                  <c:v>0.17610000000000001</c:v>
                </c:pt>
                <c:pt idx="3">
                  <c:v>0.1249</c:v>
                </c:pt>
                <c:pt idx="4">
                  <c:v>9.69E-2</c:v>
                </c:pt>
                <c:pt idx="5">
                  <c:v>7.9200000000000007E-2</c:v>
                </c:pt>
                <c:pt idx="6">
                  <c:v>6.6900000000000001E-2</c:v>
                </c:pt>
                <c:pt idx="7">
                  <c:v>5.8000000000000003E-2</c:v>
                </c:pt>
                <c:pt idx="8">
                  <c:v>5.1200000000000002E-2</c:v>
                </c:pt>
                <c:pt idx="9">
                  <c:v>4.58E-2</c:v>
                </c:pt>
              </c:numCache>
            </c:numRef>
          </c:val>
          <c:smooth val="0"/>
          <c:extLst xmlns:c16r2="http://schemas.microsoft.com/office/drawing/2015/06/chart">
            <c:ext xmlns:c16="http://schemas.microsoft.com/office/drawing/2014/chart" uri="{C3380CC4-5D6E-409C-BE32-E72D297353CC}">
              <c16:uniqueId val="{00000001-A778-4314-B534-A2A9FB1B8203}"/>
            </c:ext>
          </c:extLst>
        </c:ser>
        <c:dLbls>
          <c:showLegendKey val="0"/>
          <c:showVal val="0"/>
          <c:showCatName val="0"/>
          <c:showSerName val="0"/>
          <c:showPercent val="0"/>
          <c:showBubbleSize val="0"/>
        </c:dLbls>
        <c:marker val="1"/>
        <c:smooth val="0"/>
        <c:axId val="164876288"/>
        <c:axId val="50058304"/>
      </c:lineChart>
      <c:catAx>
        <c:axId val="164876288"/>
        <c:scaling>
          <c:orientation val="minMax"/>
        </c:scaling>
        <c:delete val="0"/>
        <c:axPos val="b"/>
        <c:numFmt formatCode="General" sourceLinked="1"/>
        <c:majorTickMark val="none"/>
        <c:minorTickMark val="none"/>
        <c:tickLblPos val="nextTo"/>
        <c:crossAx val="50058304"/>
        <c:crosses val="autoZero"/>
        <c:auto val="1"/>
        <c:lblAlgn val="ctr"/>
        <c:lblOffset val="100"/>
        <c:noMultiLvlLbl val="0"/>
      </c:catAx>
      <c:valAx>
        <c:axId val="50058304"/>
        <c:scaling>
          <c:orientation val="minMax"/>
        </c:scaling>
        <c:delete val="0"/>
        <c:axPos val="l"/>
        <c:majorGridlines/>
        <c:title>
          <c:tx>
            <c:rich>
              <a:bodyPr/>
              <a:lstStyle/>
              <a:p>
                <a:pPr>
                  <a:defRPr/>
                </a:pPr>
                <a:r>
                  <a:rPr lang="it-IT"/>
                  <a:t>Frequency Distribution</a:t>
                </a:r>
              </a:p>
            </c:rich>
          </c:tx>
          <c:overlay val="0"/>
        </c:title>
        <c:numFmt formatCode="0.0000" sourceLinked="1"/>
        <c:majorTickMark val="none"/>
        <c:minorTickMark val="none"/>
        <c:tickLblPos val="nextTo"/>
        <c:crossAx val="164876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862826442828"/>
          <c:y val="0.139951076746234"/>
          <c:w val="0.768651220321099"/>
          <c:h val="0.75298604254051305"/>
        </c:manualLayout>
      </c:layout>
      <c:lineChart>
        <c:grouping val="standard"/>
        <c:varyColors val="0"/>
        <c:ser>
          <c:idx val="1"/>
          <c:order val="0"/>
          <c:tx>
            <c:strRef>
              <c:f>USA!$J$13</c:f>
              <c:strCache>
                <c:ptCount val="1"/>
                <c:pt idx="0">
                  <c:v>Probability adj close 1°</c:v>
                </c:pt>
              </c:strCache>
            </c:strRef>
          </c:tx>
          <c:spPr>
            <a:ln>
              <a:solidFill>
                <a:srgbClr val="FF0000"/>
              </a:solidFill>
            </a:ln>
          </c:spPr>
          <c:marker>
            <c:symbol val="none"/>
          </c:marker>
          <c:cat>
            <c:numRef>
              <c:f>'NASDAQ COMPOSITE'!$A$14:$A$23</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USA!$J$14:$J$23</c:f>
              <c:numCache>
                <c:formatCode>0.0000</c:formatCode>
                <c:ptCount val="10"/>
                <c:pt idx="1">
                  <c:v>0.36607466473359901</c:v>
                </c:pt>
                <c:pt idx="2">
                  <c:v>0.177238129757158</c:v>
                </c:pt>
                <c:pt idx="3">
                  <c:v>9.9673794853207695E-2</c:v>
                </c:pt>
                <c:pt idx="4">
                  <c:v>7.2852482783617195E-2</c:v>
                </c:pt>
                <c:pt idx="5">
                  <c:v>5.4367524465386001E-2</c:v>
                </c:pt>
                <c:pt idx="6">
                  <c:v>5.5817325117796301E-2</c:v>
                </c:pt>
                <c:pt idx="7">
                  <c:v>5.5092424791591099E-2</c:v>
                </c:pt>
                <c:pt idx="8">
                  <c:v>5.7267125770206602E-2</c:v>
                </c:pt>
                <c:pt idx="9">
                  <c:v>6.1616527727437503E-2</c:v>
                </c:pt>
              </c:numCache>
            </c:numRef>
          </c:val>
          <c:smooth val="0"/>
          <c:extLst xmlns:c16r2="http://schemas.microsoft.com/office/drawing/2015/06/chart">
            <c:ext xmlns:c16="http://schemas.microsoft.com/office/drawing/2014/chart" uri="{C3380CC4-5D6E-409C-BE32-E72D297353CC}">
              <c16:uniqueId val="{00000000-176F-4166-9FD7-E750C3CB2FAD}"/>
            </c:ext>
          </c:extLst>
        </c:ser>
        <c:ser>
          <c:idx val="2"/>
          <c:order val="1"/>
          <c:tx>
            <c:v>Benford</c:v>
          </c:tx>
          <c:spPr>
            <a:ln>
              <a:solidFill>
                <a:srgbClr val="0000FF"/>
              </a:solidFill>
            </a:ln>
          </c:spPr>
          <c:marker>
            <c:symbol val="none"/>
          </c:marker>
          <c:val>
            <c:numRef>
              <c:f>'NASDAQ COMPOSITE'!$H$2:$H$11</c:f>
              <c:numCache>
                <c:formatCode>0.0000</c:formatCode>
                <c:ptCount val="10"/>
                <c:pt idx="1">
                  <c:v>0.30099999999999999</c:v>
                </c:pt>
                <c:pt idx="2">
                  <c:v>0.17610000000000001</c:v>
                </c:pt>
                <c:pt idx="3">
                  <c:v>0.1249</c:v>
                </c:pt>
                <c:pt idx="4">
                  <c:v>9.69E-2</c:v>
                </c:pt>
                <c:pt idx="5">
                  <c:v>7.9200000000000007E-2</c:v>
                </c:pt>
                <c:pt idx="6">
                  <c:v>6.6900000000000001E-2</c:v>
                </c:pt>
                <c:pt idx="7">
                  <c:v>5.8000000000000003E-2</c:v>
                </c:pt>
                <c:pt idx="8">
                  <c:v>5.1200000000000002E-2</c:v>
                </c:pt>
                <c:pt idx="9">
                  <c:v>4.58E-2</c:v>
                </c:pt>
              </c:numCache>
            </c:numRef>
          </c:val>
          <c:smooth val="0"/>
          <c:extLst xmlns:c16r2="http://schemas.microsoft.com/office/drawing/2015/06/chart">
            <c:ext xmlns:c16="http://schemas.microsoft.com/office/drawing/2014/chart" uri="{C3380CC4-5D6E-409C-BE32-E72D297353CC}">
              <c16:uniqueId val="{00000001-176F-4166-9FD7-E750C3CB2FAD}"/>
            </c:ext>
          </c:extLst>
        </c:ser>
        <c:dLbls>
          <c:showLegendKey val="0"/>
          <c:showVal val="0"/>
          <c:showCatName val="0"/>
          <c:showSerName val="0"/>
          <c:showPercent val="0"/>
          <c:showBubbleSize val="0"/>
        </c:dLbls>
        <c:marker val="1"/>
        <c:smooth val="0"/>
        <c:axId val="164877312"/>
        <c:axId val="50060032"/>
      </c:lineChart>
      <c:catAx>
        <c:axId val="164877312"/>
        <c:scaling>
          <c:orientation val="minMax"/>
        </c:scaling>
        <c:delete val="0"/>
        <c:axPos val="b"/>
        <c:numFmt formatCode="General" sourceLinked="1"/>
        <c:majorTickMark val="none"/>
        <c:minorTickMark val="none"/>
        <c:tickLblPos val="nextTo"/>
        <c:crossAx val="50060032"/>
        <c:crosses val="autoZero"/>
        <c:auto val="1"/>
        <c:lblAlgn val="ctr"/>
        <c:lblOffset val="100"/>
        <c:noMultiLvlLbl val="0"/>
      </c:catAx>
      <c:valAx>
        <c:axId val="50060032"/>
        <c:scaling>
          <c:orientation val="minMax"/>
        </c:scaling>
        <c:delete val="0"/>
        <c:axPos val="l"/>
        <c:majorGridlines/>
        <c:title>
          <c:tx>
            <c:rich>
              <a:bodyPr/>
              <a:lstStyle/>
              <a:p>
                <a:pPr>
                  <a:defRPr/>
                </a:pPr>
                <a:r>
                  <a:rPr lang="it-IT"/>
                  <a:t>Frequency</a:t>
                </a:r>
                <a:r>
                  <a:rPr lang="it-IT" baseline="0"/>
                  <a:t> Distribution</a:t>
                </a:r>
                <a:endParaRPr lang="it-IT"/>
              </a:p>
            </c:rich>
          </c:tx>
          <c:overlay val="0"/>
        </c:title>
        <c:numFmt formatCode="0.0000" sourceLinked="1"/>
        <c:majorTickMark val="none"/>
        <c:minorTickMark val="none"/>
        <c:tickLblPos val="nextTo"/>
        <c:crossAx val="1648773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USA!$L$13</c:f>
              <c:strCache>
                <c:ptCount val="1"/>
                <c:pt idx="0">
                  <c:v>Probability adj close 2° </c:v>
                </c:pt>
              </c:strCache>
            </c:strRef>
          </c:tx>
          <c:spPr>
            <a:ln>
              <a:solidFill>
                <a:srgbClr val="FF0000"/>
              </a:solidFill>
            </a:ln>
          </c:spPr>
          <c:marker>
            <c:symbol val="none"/>
          </c:marker>
          <c:cat>
            <c:numRef>
              <c:f>'NASDAQ COMPOSITE'!$A$14:$A$23</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USA!$L$14:$L$23</c:f>
              <c:numCache>
                <c:formatCode>0.0000</c:formatCode>
                <c:ptCount val="10"/>
                <c:pt idx="0">
                  <c:v>0.119246103660747</c:v>
                </c:pt>
                <c:pt idx="1">
                  <c:v>0.119971003986952</c:v>
                </c:pt>
                <c:pt idx="2">
                  <c:v>9.8948894527002507E-2</c:v>
                </c:pt>
                <c:pt idx="3">
                  <c:v>9.8948894527002507E-2</c:v>
                </c:pt>
                <c:pt idx="4">
                  <c:v>0.105110547299746</c:v>
                </c:pt>
                <c:pt idx="5">
                  <c:v>0.11163465023559301</c:v>
                </c:pt>
                <c:pt idx="6">
                  <c:v>9.4599492569771598E-2</c:v>
                </c:pt>
                <c:pt idx="7">
                  <c:v>9.3874592243566493E-2</c:v>
                </c:pt>
                <c:pt idx="8">
                  <c:v>8.6263138818412397E-2</c:v>
                </c:pt>
                <c:pt idx="9">
                  <c:v>7.1402682131206999E-2</c:v>
                </c:pt>
              </c:numCache>
            </c:numRef>
          </c:val>
          <c:smooth val="0"/>
          <c:extLst xmlns:c16r2="http://schemas.microsoft.com/office/drawing/2015/06/chart">
            <c:ext xmlns:c16="http://schemas.microsoft.com/office/drawing/2014/chart" uri="{C3380CC4-5D6E-409C-BE32-E72D297353CC}">
              <c16:uniqueId val="{00000000-2C18-4B23-A2BD-D1E4CDB7F584}"/>
            </c:ext>
          </c:extLst>
        </c:ser>
        <c:ser>
          <c:idx val="2"/>
          <c:order val="1"/>
          <c:tx>
            <c:v>Benford</c:v>
          </c:tx>
          <c:spPr>
            <a:ln>
              <a:solidFill>
                <a:srgbClr val="0000FF"/>
              </a:solidFill>
            </a:ln>
          </c:spPr>
          <c:marker>
            <c:symbol val="none"/>
          </c:marker>
          <c:val>
            <c:numRef>
              <c:f>'NASDAQ COMPOSITE'!$I$2:$I$11</c:f>
              <c:numCache>
                <c:formatCode>0.0000</c:formatCode>
                <c:ptCount val="10"/>
                <c:pt idx="0">
                  <c:v>0.1197</c:v>
                </c:pt>
                <c:pt idx="1">
                  <c:v>0.1139</c:v>
                </c:pt>
                <c:pt idx="2">
                  <c:v>0.10879999999999999</c:v>
                </c:pt>
                <c:pt idx="3">
                  <c:v>0.1043</c:v>
                </c:pt>
                <c:pt idx="4">
                  <c:v>0.1003</c:v>
                </c:pt>
                <c:pt idx="5">
                  <c:v>9.6699999999999994E-2</c:v>
                </c:pt>
                <c:pt idx="6">
                  <c:v>9.3399999999999997E-2</c:v>
                </c:pt>
                <c:pt idx="7">
                  <c:v>9.0399999999999994E-2</c:v>
                </c:pt>
                <c:pt idx="8">
                  <c:v>8.7599999999999997E-2</c:v>
                </c:pt>
                <c:pt idx="9">
                  <c:v>8.5000000000000006E-2</c:v>
                </c:pt>
              </c:numCache>
            </c:numRef>
          </c:val>
          <c:smooth val="0"/>
          <c:extLst xmlns:c16r2="http://schemas.microsoft.com/office/drawing/2015/06/chart">
            <c:ext xmlns:c16="http://schemas.microsoft.com/office/drawing/2014/chart" uri="{C3380CC4-5D6E-409C-BE32-E72D297353CC}">
              <c16:uniqueId val="{00000001-2C18-4B23-A2BD-D1E4CDB7F584}"/>
            </c:ext>
          </c:extLst>
        </c:ser>
        <c:dLbls>
          <c:showLegendKey val="0"/>
          <c:showVal val="0"/>
          <c:showCatName val="0"/>
          <c:showSerName val="0"/>
          <c:showPercent val="0"/>
          <c:showBubbleSize val="0"/>
        </c:dLbls>
        <c:marker val="1"/>
        <c:smooth val="0"/>
        <c:axId val="164878336"/>
        <c:axId val="199426624"/>
      </c:lineChart>
      <c:catAx>
        <c:axId val="164878336"/>
        <c:scaling>
          <c:orientation val="minMax"/>
        </c:scaling>
        <c:delete val="0"/>
        <c:axPos val="b"/>
        <c:numFmt formatCode="General" sourceLinked="1"/>
        <c:majorTickMark val="none"/>
        <c:minorTickMark val="none"/>
        <c:tickLblPos val="nextTo"/>
        <c:crossAx val="199426624"/>
        <c:crosses val="autoZero"/>
        <c:auto val="1"/>
        <c:lblAlgn val="ctr"/>
        <c:lblOffset val="100"/>
        <c:noMultiLvlLbl val="0"/>
      </c:catAx>
      <c:valAx>
        <c:axId val="199426624"/>
        <c:scaling>
          <c:orientation val="minMax"/>
        </c:scaling>
        <c:delete val="0"/>
        <c:axPos val="l"/>
        <c:majorGridlines/>
        <c:title>
          <c:tx>
            <c:rich>
              <a:bodyPr/>
              <a:lstStyle/>
              <a:p>
                <a:pPr>
                  <a:defRPr/>
                </a:pPr>
                <a:r>
                  <a:rPr lang="it-IT"/>
                  <a:t>Frequency</a:t>
                </a:r>
                <a:r>
                  <a:rPr lang="it-IT" baseline="0"/>
                  <a:t> Distribution</a:t>
                </a:r>
                <a:endParaRPr lang="it-IT"/>
              </a:p>
            </c:rich>
          </c:tx>
          <c:overlay val="0"/>
        </c:title>
        <c:numFmt formatCode="0.0000" sourceLinked="1"/>
        <c:majorTickMark val="none"/>
        <c:minorTickMark val="none"/>
        <c:tickLblPos val="nextTo"/>
        <c:crossAx val="1648783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7434-0725-4194-80B6-223781CB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22</Pages>
  <Words>4939</Words>
  <Characters>28153</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Riccioni</dc:creator>
  <cp:lastModifiedBy>Roy.Cerqueti</cp:lastModifiedBy>
  <cp:revision>7</cp:revision>
  <cp:lastPrinted>2017-03-29T15:19:00Z</cp:lastPrinted>
  <dcterms:created xsi:type="dcterms:W3CDTF">2017-12-20T18:01:00Z</dcterms:created>
  <dcterms:modified xsi:type="dcterms:W3CDTF">2017-12-21T17:45:00Z</dcterms:modified>
</cp:coreProperties>
</file>