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FFA1" w14:textId="5174E0A3" w:rsidR="00357F0F" w:rsidRPr="008E3154" w:rsidRDefault="00357F0F" w:rsidP="00357F0F">
      <w:pPr>
        <w:spacing w:line="480" w:lineRule="auto"/>
        <w:rPr>
          <w:b/>
          <w:bCs/>
          <w:color w:val="000000" w:themeColor="text1"/>
        </w:rPr>
      </w:pPr>
      <w:r w:rsidRPr="008E3154">
        <w:rPr>
          <w:b/>
          <w:bCs/>
          <w:color w:val="000000" w:themeColor="text1"/>
        </w:rPr>
        <w:t>The “</w:t>
      </w:r>
      <w:r w:rsidRPr="008E3154">
        <w:rPr>
          <w:b/>
          <w:bCs/>
          <w:color w:val="000000" w:themeColor="text1"/>
          <w:highlight w:val="yellow"/>
        </w:rPr>
        <w:t>housewife as expert</w:t>
      </w:r>
      <w:r w:rsidRPr="008E3154">
        <w:rPr>
          <w:b/>
          <w:bCs/>
          <w:color w:val="000000" w:themeColor="text1"/>
        </w:rPr>
        <w:t xml:space="preserve">”: re-thinking the </w:t>
      </w:r>
      <w:r w:rsidRPr="008E3154">
        <w:rPr>
          <w:b/>
          <w:bCs/>
          <w:color w:val="000000" w:themeColor="text1"/>
          <w:highlight w:val="yellow"/>
        </w:rPr>
        <w:t>experiential expertise</w:t>
      </w:r>
      <w:r w:rsidRPr="008E3154">
        <w:rPr>
          <w:b/>
          <w:bCs/>
          <w:color w:val="000000" w:themeColor="text1"/>
        </w:rPr>
        <w:t xml:space="preserve"> and </w:t>
      </w:r>
      <w:r w:rsidR="00F04DA3" w:rsidRPr="008E3154">
        <w:rPr>
          <w:b/>
          <w:bCs/>
          <w:color w:val="000000" w:themeColor="text1"/>
          <w:highlight w:val="yellow"/>
        </w:rPr>
        <w:t xml:space="preserve">welfare </w:t>
      </w:r>
      <w:r w:rsidRPr="008E3154">
        <w:rPr>
          <w:b/>
          <w:bCs/>
          <w:color w:val="000000" w:themeColor="text1"/>
          <w:highlight w:val="yellow"/>
        </w:rPr>
        <w:t>activism</w:t>
      </w:r>
      <w:r w:rsidRPr="008E3154">
        <w:rPr>
          <w:b/>
          <w:bCs/>
          <w:color w:val="000000" w:themeColor="text1"/>
        </w:rPr>
        <w:t xml:space="preserve"> of </w:t>
      </w:r>
      <w:r w:rsidRPr="008E3154">
        <w:rPr>
          <w:b/>
          <w:bCs/>
          <w:color w:val="000000" w:themeColor="text1"/>
          <w:highlight w:val="yellow"/>
        </w:rPr>
        <w:t>housewives’ associations</w:t>
      </w:r>
      <w:r w:rsidRPr="008E3154">
        <w:rPr>
          <w:b/>
          <w:bCs/>
          <w:color w:val="000000" w:themeColor="text1"/>
        </w:rPr>
        <w:t xml:space="preserve"> in England, 1960 -1980. </w:t>
      </w:r>
    </w:p>
    <w:p w14:paraId="3389A536" w14:textId="77777777" w:rsidR="00357F0F" w:rsidRPr="008E3154" w:rsidRDefault="00357F0F" w:rsidP="00357F0F">
      <w:pPr>
        <w:spacing w:line="480" w:lineRule="auto"/>
        <w:rPr>
          <w:b/>
          <w:color w:val="000000" w:themeColor="text1"/>
        </w:rPr>
      </w:pPr>
      <w:r w:rsidRPr="008E3154">
        <w:rPr>
          <w:b/>
          <w:color w:val="000000" w:themeColor="text1"/>
        </w:rPr>
        <w:t xml:space="preserve">Introduction </w:t>
      </w:r>
    </w:p>
    <w:p w14:paraId="4293E527" w14:textId="77777777" w:rsidR="00357F0F" w:rsidRPr="008E3154" w:rsidRDefault="00357F0F" w:rsidP="00357F0F">
      <w:pPr>
        <w:spacing w:line="480" w:lineRule="auto"/>
        <w:rPr>
          <w:b/>
          <w:color w:val="000000" w:themeColor="text1"/>
        </w:rPr>
      </w:pPr>
    </w:p>
    <w:p w14:paraId="3ECAEF85" w14:textId="77777777" w:rsidR="00357F0F" w:rsidRPr="008E3154" w:rsidRDefault="00357F0F" w:rsidP="00357F0F">
      <w:pPr>
        <w:spacing w:line="480" w:lineRule="auto"/>
        <w:rPr>
          <w:color w:val="000000" w:themeColor="text1"/>
        </w:rPr>
      </w:pPr>
      <w:r w:rsidRPr="008E3154">
        <w:rPr>
          <w:color w:val="000000" w:themeColor="text1"/>
        </w:rPr>
        <w:t>“In housework there is no possibility of growth or advancement: feelings of achievement are transitory, enjoyment of work itself is a rare experience, and no opportunity for earned recognition is offered”.</w:t>
      </w:r>
      <w:r w:rsidRPr="008E3154">
        <w:rPr>
          <w:rStyle w:val="FootnoteReference"/>
          <w:color w:val="000000" w:themeColor="text1"/>
        </w:rPr>
        <w:footnoteReference w:id="1"/>
      </w:r>
    </w:p>
    <w:p w14:paraId="0A539FCE" w14:textId="77777777" w:rsidR="00357F0F" w:rsidRPr="008E3154" w:rsidRDefault="00357F0F" w:rsidP="00357F0F">
      <w:pPr>
        <w:spacing w:line="480" w:lineRule="auto"/>
        <w:rPr>
          <w:color w:val="000000" w:themeColor="text1"/>
        </w:rPr>
      </w:pPr>
    </w:p>
    <w:p w14:paraId="4526572F" w14:textId="58883708" w:rsidR="00357F0F" w:rsidRPr="008E3154" w:rsidRDefault="00357F0F" w:rsidP="008E3154">
      <w:pPr>
        <w:spacing w:line="480" w:lineRule="auto"/>
        <w:ind w:firstLine="720"/>
        <w:rPr>
          <w:color w:val="000000" w:themeColor="text1"/>
        </w:rPr>
      </w:pPr>
      <w:r w:rsidRPr="008E3154">
        <w:rPr>
          <w:color w:val="000000" w:themeColor="text1"/>
        </w:rPr>
        <w:t xml:space="preserve">By the mid-1970s status gained from being a </w:t>
      </w:r>
      <w:r w:rsidRPr="008E3154">
        <w:rPr>
          <w:color w:val="000000" w:themeColor="text1"/>
          <w:highlight w:val="yellow"/>
        </w:rPr>
        <w:t>housewife</w:t>
      </w:r>
      <w:r w:rsidRPr="008E3154">
        <w:rPr>
          <w:color w:val="000000" w:themeColor="text1"/>
        </w:rPr>
        <w:t xml:space="preserve"> had diminished in many advanced </w:t>
      </w:r>
      <w:proofErr w:type="spellStart"/>
      <w:r w:rsidRPr="008E3154">
        <w:rPr>
          <w:color w:val="000000" w:themeColor="text1"/>
        </w:rPr>
        <w:t>industrialised</w:t>
      </w:r>
      <w:proofErr w:type="spellEnd"/>
      <w:r w:rsidRPr="008E3154">
        <w:rPr>
          <w:color w:val="000000" w:themeColor="text1"/>
        </w:rPr>
        <w:t xml:space="preserve"> nations, including Britain. Influential feminist texts, for example </w:t>
      </w:r>
      <w:r w:rsidRPr="008E3154">
        <w:rPr>
          <w:i/>
          <w:color w:val="000000" w:themeColor="text1"/>
        </w:rPr>
        <w:t>The Second Sex</w:t>
      </w:r>
      <w:r w:rsidRPr="008E3154">
        <w:rPr>
          <w:color w:val="000000" w:themeColor="text1"/>
        </w:rPr>
        <w:t xml:space="preserve"> (1949), </w:t>
      </w:r>
      <w:r w:rsidRPr="008E3154">
        <w:rPr>
          <w:i/>
          <w:color w:val="000000" w:themeColor="text1"/>
        </w:rPr>
        <w:t>The Feminine Mystique</w:t>
      </w:r>
      <w:r w:rsidRPr="008E3154">
        <w:rPr>
          <w:color w:val="000000" w:themeColor="text1"/>
        </w:rPr>
        <w:t xml:space="preserve"> (1963) </w:t>
      </w:r>
      <w:r w:rsidRPr="008E3154">
        <w:rPr>
          <w:i/>
          <w:color w:val="000000" w:themeColor="text1"/>
        </w:rPr>
        <w:t>The Female Eunuch</w:t>
      </w:r>
      <w:r w:rsidRPr="008E3154">
        <w:rPr>
          <w:color w:val="000000" w:themeColor="text1"/>
        </w:rPr>
        <w:t xml:space="preserve"> (1970) and </w:t>
      </w:r>
      <w:r w:rsidRPr="008E3154">
        <w:rPr>
          <w:i/>
          <w:color w:val="000000" w:themeColor="text1"/>
        </w:rPr>
        <w:t>Housewife</w:t>
      </w:r>
      <w:r w:rsidRPr="008E3154">
        <w:rPr>
          <w:color w:val="000000" w:themeColor="text1"/>
        </w:rPr>
        <w:t xml:space="preserve"> (1974), portrayed </w:t>
      </w:r>
      <w:r w:rsidRPr="008E3154">
        <w:rPr>
          <w:color w:val="000000" w:themeColor="text1"/>
          <w:highlight w:val="yellow"/>
        </w:rPr>
        <w:t>housewives</w:t>
      </w:r>
      <w:r w:rsidRPr="008E3154">
        <w:rPr>
          <w:color w:val="000000" w:themeColor="text1"/>
        </w:rPr>
        <w:t xml:space="preserve"> as women denied self-</w:t>
      </w:r>
      <w:proofErr w:type="spellStart"/>
      <w:r w:rsidRPr="008E3154">
        <w:rPr>
          <w:color w:val="000000" w:themeColor="text1"/>
        </w:rPr>
        <w:t>actualisation</w:t>
      </w:r>
      <w:proofErr w:type="spellEnd"/>
      <w:r w:rsidRPr="008E3154">
        <w:rPr>
          <w:color w:val="000000" w:themeColor="text1"/>
        </w:rPr>
        <w:t xml:space="preserve"> due to their unpaid labour within their own homes.</w:t>
      </w:r>
      <w:r w:rsidR="00DF70B5" w:rsidRPr="008E3154">
        <w:rPr>
          <w:color w:val="000000" w:themeColor="text1"/>
          <w:vertAlign w:val="superscript"/>
        </w:rPr>
        <w:t xml:space="preserve"> </w:t>
      </w:r>
      <w:r w:rsidR="00DF70B5" w:rsidRPr="008E3154">
        <w:rPr>
          <w:color w:val="000000" w:themeColor="text1"/>
          <w:vertAlign w:val="superscript"/>
        </w:rPr>
        <w:footnoteReference w:id="2"/>
      </w:r>
      <w:r w:rsidRPr="008E3154">
        <w:rPr>
          <w:color w:val="000000" w:themeColor="text1"/>
        </w:rPr>
        <w:t xml:space="preserve"> </w:t>
      </w:r>
      <w:r w:rsidR="00CD42F0" w:rsidRPr="008E3154">
        <w:rPr>
          <w:color w:val="000000" w:themeColor="text1"/>
        </w:rPr>
        <w:t>Consequently</w:t>
      </w:r>
      <w:r w:rsidR="00E12EEF" w:rsidRPr="008E3154">
        <w:rPr>
          <w:color w:val="000000" w:themeColor="text1"/>
        </w:rPr>
        <w:t>,</w:t>
      </w:r>
      <w:r w:rsidRPr="008E3154">
        <w:rPr>
          <w:color w:val="000000" w:themeColor="text1"/>
        </w:rPr>
        <w:t xml:space="preserve"> they were condemned to a life of drudgery and servitude. As Lesley Johnson and Justine Lloyd argue “ambivalence, if not antagonism, towards the figure of the </w:t>
      </w:r>
      <w:r w:rsidRPr="008E3154">
        <w:rPr>
          <w:color w:val="000000" w:themeColor="text1"/>
          <w:highlight w:val="yellow"/>
        </w:rPr>
        <w:t>housewife</w:t>
      </w:r>
      <w:r w:rsidRPr="008E3154">
        <w:rPr>
          <w:color w:val="000000" w:themeColor="text1"/>
        </w:rPr>
        <w:t xml:space="preserve"> can be seen to have a crucial role in the history of second wave feminism”.</w:t>
      </w:r>
      <w:r w:rsidRPr="008E3154">
        <w:rPr>
          <w:rStyle w:val="FootnoteReference"/>
          <w:color w:val="000000" w:themeColor="text1"/>
        </w:rPr>
        <w:footnoteReference w:id="3"/>
      </w:r>
      <w:r w:rsidRPr="008E3154">
        <w:rPr>
          <w:color w:val="000000" w:themeColor="text1"/>
        </w:rPr>
        <w:t xml:space="preserve"> The view fostered by activists within the newly emergent </w:t>
      </w:r>
      <w:r w:rsidRPr="008E3154">
        <w:rPr>
          <w:color w:val="000000" w:themeColor="text1"/>
          <w:highlight w:val="yellow"/>
        </w:rPr>
        <w:t>Women’s Liberation</w:t>
      </w:r>
      <w:r w:rsidRPr="008E3154">
        <w:rPr>
          <w:color w:val="000000" w:themeColor="text1"/>
        </w:rPr>
        <w:t xml:space="preserve"> </w:t>
      </w:r>
      <w:r w:rsidRPr="008E3154">
        <w:rPr>
          <w:color w:val="000000" w:themeColor="text1"/>
          <w:highlight w:val="yellow"/>
        </w:rPr>
        <w:t>Movement (WLM)</w:t>
      </w:r>
      <w:r w:rsidRPr="008E3154">
        <w:rPr>
          <w:color w:val="000000" w:themeColor="text1"/>
        </w:rPr>
        <w:t xml:space="preserve"> was that women were “forced into full-time housewifery and enslaved by narrow domestic roles under patriarchy”.</w:t>
      </w:r>
      <w:r w:rsidRPr="008E3154">
        <w:rPr>
          <w:rStyle w:val="FootnoteReference"/>
          <w:color w:val="000000" w:themeColor="text1"/>
        </w:rPr>
        <w:footnoteReference w:id="4"/>
      </w:r>
    </w:p>
    <w:p w14:paraId="6AEB8C80" w14:textId="2789E932" w:rsidR="00357F0F" w:rsidRPr="008E3154" w:rsidRDefault="00357F0F" w:rsidP="00357F0F">
      <w:pPr>
        <w:spacing w:line="480" w:lineRule="auto"/>
        <w:rPr>
          <w:color w:val="000000" w:themeColor="text1"/>
        </w:rPr>
      </w:pPr>
      <w:r w:rsidRPr="008E3154">
        <w:rPr>
          <w:color w:val="000000" w:themeColor="text1"/>
        </w:rPr>
        <w:lastRenderedPageBreak/>
        <w:tab/>
        <w:t xml:space="preserve">This negative representation of the </w:t>
      </w:r>
      <w:r w:rsidRPr="008E3154">
        <w:rPr>
          <w:color w:val="000000" w:themeColor="text1"/>
          <w:highlight w:val="yellow"/>
        </w:rPr>
        <w:t>housewife</w:t>
      </w:r>
      <w:r w:rsidRPr="008E3154">
        <w:rPr>
          <w:color w:val="000000" w:themeColor="text1"/>
        </w:rPr>
        <w:t xml:space="preserve"> is in marked contrast to the dynamic “</w:t>
      </w:r>
      <w:r w:rsidRPr="008E3154">
        <w:rPr>
          <w:color w:val="000000" w:themeColor="text1"/>
          <w:highlight w:val="yellow"/>
        </w:rPr>
        <w:t>citizen</w:t>
      </w:r>
      <w:r w:rsidRPr="008E3154">
        <w:rPr>
          <w:color w:val="000000" w:themeColor="text1"/>
        </w:rPr>
        <w:t xml:space="preserve"> </w:t>
      </w:r>
      <w:r w:rsidRPr="008E3154">
        <w:rPr>
          <w:color w:val="000000" w:themeColor="text1"/>
          <w:highlight w:val="yellow"/>
        </w:rPr>
        <w:t>housewife</w:t>
      </w:r>
      <w:r w:rsidRPr="008E3154">
        <w:rPr>
          <w:color w:val="000000" w:themeColor="text1"/>
        </w:rPr>
        <w:t xml:space="preserve">”, promoted by the British government during the </w:t>
      </w:r>
      <w:r w:rsidRPr="008E3154">
        <w:rPr>
          <w:color w:val="000000" w:themeColor="text1"/>
          <w:highlight w:val="yellow"/>
        </w:rPr>
        <w:t>Second World War</w:t>
      </w:r>
      <w:r w:rsidRPr="008E3154">
        <w:rPr>
          <w:color w:val="000000" w:themeColor="text1"/>
        </w:rPr>
        <w:t xml:space="preserve"> and its immediate aftermath.</w:t>
      </w:r>
      <w:r w:rsidRPr="008E3154">
        <w:rPr>
          <w:rStyle w:val="FootnoteReference"/>
          <w:color w:val="000000" w:themeColor="text1"/>
        </w:rPr>
        <w:footnoteReference w:id="5"/>
      </w:r>
      <w:r w:rsidRPr="008E3154">
        <w:rPr>
          <w:color w:val="000000" w:themeColor="text1"/>
        </w:rPr>
        <w:t xml:space="preserve"> The “</w:t>
      </w:r>
      <w:r w:rsidRPr="008E3154">
        <w:rPr>
          <w:color w:val="000000" w:themeColor="text1"/>
          <w:highlight w:val="yellow"/>
        </w:rPr>
        <w:t>citizen housewife</w:t>
      </w:r>
      <w:r w:rsidRPr="008E3154">
        <w:rPr>
          <w:color w:val="000000" w:themeColor="text1"/>
        </w:rPr>
        <w:t xml:space="preserve">” was regarded as an </w:t>
      </w:r>
      <w:r w:rsidRPr="008E3154">
        <w:rPr>
          <w:color w:val="000000" w:themeColor="text1"/>
          <w:highlight w:val="yellow"/>
        </w:rPr>
        <w:t>expert</w:t>
      </w:r>
      <w:r w:rsidRPr="008E3154">
        <w:rPr>
          <w:color w:val="000000" w:themeColor="text1"/>
        </w:rPr>
        <w:t xml:space="preserve"> in keeping her own house on a tight budget. As a result her skills and experience were requisitioned to instruct the nation during wartime and the years of econo</w:t>
      </w:r>
      <w:r w:rsidR="000F268A" w:rsidRPr="008E3154">
        <w:rPr>
          <w:color w:val="000000" w:themeColor="text1"/>
        </w:rPr>
        <w:t>mic austerity that followed.</w:t>
      </w:r>
      <w:r w:rsidRPr="008E3154">
        <w:rPr>
          <w:color w:val="000000" w:themeColor="text1"/>
        </w:rPr>
        <w:t xml:space="preserve"> Ina Zw</w:t>
      </w:r>
      <w:r w:rsidR="000F268A" w:rsidRPr="008E3154">
        <w:rPr>
          <w:color w:val="000000" w:themeColor="text1"/>
        </w:rPr>
        <w:t>einiger-Barg</w:t>
      </w:r>
      <w:r w:rsidR="004E7470" w:rsidRPr="008E3154">
        <w:rPr>
          <w:color w:val="000000" w:themeColor="text1"/>
        </w:rPr>
        <w:t>i</w:t>
      </w:r>
      <w:r w:rsidR="000F268A" w:rsidRPr="008E3154">
        <w:rPr>
          <w:color w:val="000000" w:themeColor="text1"/>
        </w:rPr>
        <w:t xml:space="preserve">elowska has argued that </w:t>
      </w:r>
      <w:r w:rsidRPr="008E3154">
        <w:rPr>
          <w:color w:val="000000" w:themeColor="text1"/>
        </w:rPr>
        <w:t>during the 1940s “housewifery was no longer regarded as a private concern but rather a central component of the war effort and postwar reconstruction”.</w:t>
      </w:r>
      <w:r w:rsidRPr="008E3154">
        <w:rPr>
          <w:rStyle w:val="FootnoteReference"/>
          <w:color w:val="000000" w:themeColor="text1"/>
        </w:rPr>
        <w:footnoteReference w:id="6"/>
      </w:r>
      <w:r w:rsidR="0027089B" w:rsidRPr="008E3154">
        <w:rPr>
          <w:color w:val="000000" w:themeColor="text1"/>
        </w:rPr>
        <w:t xml:space="preserve"> </w:t>
      </w:r>
      <w:r w:rsidRPr="008E3154">
        <w:rPr>
          <w:color w:val="000000" w:themeColor="text1"/>
        </w:rPr>
        <w:t xml:space="preserve">In wartime </w:t>
      </w:r>
      <w:r w:rsidRPr="008E3154">
        <w:rPr>
          <w:color w:val="000000" w:themeColor="text1"/>
          <w:highlight w:val="yellow"/>
        </w:rPr>
        <w:t>housewives</w:t>
      </w:r>
      <w:r w:rsidRPr="008E3154">
        <w:rPr>
          <w:color w:val="000000" w:themeColor="text1"/>
        </w:rPr>
        <w:t xml:space="preserve"> were repeatedly called upon to share their </w:t>
      </w:r>
      <w:r w:rsidRPr="008E3154">
        <w:rPr>
          <w:color w:val="000000" w:themeColor="text1"/>
          <w:highlight w:val="yellow"/>
        </w:rPr>
        <w:t>expertise</w:t>
      </w:r>
      <w:r w:rsidRPr="008E3154">
        <w:rPr>
          <w:color w:val="000000" w:themeColor="text1"/>
        </w:rPr>
        <w:t xml:space="preserve"> on food production</w:t>
      </w:r>
      <w:r w:rsidR="00023800" w:rsidRPr="008E3154">
        <w:rPr>
          <w:color w:val="000000" w:themeColor="text1"/>
        </w:rPr>
        <w:t xml:space="preserve"> and</w:t>
      </w:r>
      <w:r w:rsidRPr="008E3154">
        <w:rPr>
          <w:color w:val="000000" w:themeColor="text1"/>
        </w:rPr>
        <w:t xml:space="preserve"> household management. Their insights were valued at the highest level of government with </w:t>
      </w:r>
      <w:r w:rsidRPr="008E3154">
        <w:rPr>
          <w:color w:val="000000" w:themeColor="text1"/>
          <w:highlight w:val="yellow"/>
        </w:rPr>
        <w:t>housewives</w:t>
      </w:r>
      <w:r w:rsidRPr="008E3154">
        <w:rPr>
          <w:color w:val="000000" w:themeColor="text1"/>
        </w:rPr>
        <w:t xml:space="preserve"> invited to give evidence to official enquires based on their “first-hand experience” of housework and managing the family home.</w:t>
      </w:r>
      <w:r w:rsidRPr="008E3154">
        <w:rPr>
          <w:rStyle w:val="FootnoteReference"/>
          <w:color w:val="000000" w:themeColor="text1"/>
        </w:rPr>
        <w:footnoteReference w:id="7"/>
      </w:r>
      <w:r w:rsidRPr="008E3154">
        <w:rPr>
          <w:color w:val="000000" w:themeColor="text1"/>
        </w:rPr>
        <w:t xml:space="preserve"> </w:t>
      </w:r>
    </w:p>
    <w:p w14:paraId="6979EFF3" w14:textId="21EDDAA5" w:rsidR="00357F0F" w:rsidRPr="008E3154" w:rsidRDefault="00357F0F" w:rsidP="00357F0F">
      <w:pPr>
        <w:spacing w:line="480" w:lineRule="auto"/>
        <w:rPr>
          <w:rFonts w:eastAsia="Times New Roman" w:cs="Arial"/>
          <w:color w:val="000000" w:themeColor="text1"/>
          <w:lang w:val="en-GB" w:eastAsia="en-US"/>
        </w:rPr>
      </w:pPr>
      <w:r w:rsidRPr="008E3154">
        <w:rPr>
          <w:color w:val="000000" w:themeColor="text1"/>
        </w:rPr>
        <w:tab/>
      </w:r>
      <w:r w:rsidRPr="008E3154">
        <w:rPr>
          <w:rFonts w:cs="Arial"/>
          <w:color w:val="000000" w:themeColor="text1"/>
        </w:rPr>
        <w:t xml:space="preserve">However by the 1960s this recognition of the </w:t>
      </w:r>
      <w:r w:rsidRPr="00A359C7">
        <w:rPr>
          <w:rFonts w:cs="Arial"/>
          <w:color w:val="000000" w:themeColor="text1"/>
          <w:highlight w:val="yellow"/>
        </w:rPr>
        <w:t>experiential expertise</w:t>
      </w:r>
      <w:r w:rsidRPr="008E3154">
        <w:rPr>
          <w:rFonts w:cs="Arial"/>
          <w:color w:val="000000" w:themeColor="text1"/>
        </w:rPr>
        <w:t xml:space="preserve"> of housewives had apparently waned. Rachel Richie argues that in this decade “the sense of belonging and recognition of the </w:t>
      </w:r>
      <w:r w:rsidRPr="008E3154">
        <w:rPr>
          <w:rFonts w:cs="Arial"/>
          <w:color w:val="000000" w:themeColor="text1"/>
          <w:highlight w:val="yellow"/>
        </w:rPr>
        <w:t>housewife</w:t>
      </w:r>
      <w:r w:rsidR="0051254C" w:rsidRPr="008E3154">
        <w:rPr>
          <w:rFonts w:cs="Arial"/>
          <w:color w:val="000000" w:themeColor="text1"/>
          <w:highlight w:val="yellow"/>
        </w:rPr>
        <w:t xml:space="preserve"> </w:t>
      </w:r>
      <w:r w:rsidRPr="008E3154">
        <w:rPr>
          <w:rFonts w:cs="Arial"/>
          <w:color w:val="000000" w:themeColor="text1"/>
          <w:highlight w:val="yellow"/>
        </w:rPr>
        <w:t>as</w:t>
      </w:r>
      <w:r w:rsidR="0051254C" w:rsidRPr="008E3154">
        <w:rPr>
          <w:rFonts w:cs="Arial"/>
          <w:color w:val="000000" w:themeColor="text1"/>
          <w:highlight w:val="yellow"/>
        </w:rPr>
        <w:t xml:space="preserve"> </w:t>
      </w:r>
      <w:r w:rsidRPr="008E3154">
        <w:rPr>
          <w:rFonts w:cs="Arial"/>
          <w:color w:val="000000" w:themeColor="text1"/>
          <w:highlight w:val="yellow"/>
        </w:rPr>
        <w:t>expert</w:t>
      </w:r>
      <w:r w:rsidRPr="008E3154">
        <w:rPr>
          <w:rFonts w:cs="Arial"/>
          <w:color w:val="000000" w:themeColor="text1"/>
        </w:rPr>
        <w:t xml:space="preserve"> subsided” and “failed to retain national recognition and official acceptance”.</w:t>
      </w:r>
      <w:r w:rsidRPr="008E3154">
        <w:rPr>
          <w:rStyle w:val="FootnoteReference"/>
          <w:rFonts w:cs="Arial"/>
          <w:color w:val="000000" w:themeColor="text1"/>
        </w:rPr>
        <w:footnoteReference w:id="8"/>
      </w:r>
      <w:r w:rsidRPr="008E3154">
        <w:rPr>
          <w:rFonts w:cs="Arial"/>
          <w:color w:val="000000" w:themeColor="text1"/>
        </w:rPr>
        <w:t xml:space="preserve"> It would appear therefore that the idea of the “</w:t>
      </w:r>
      <w:r w:rsidRPr="008E3154">
        <w:rPr>
          <w:rFonts w:cs="Arial"/>
          <w:color w:val="000000" w:themeColor="text1"/>
          <w:highlight w:val="yellow"/>
        </w:rPr>
        <w:t>housewife as expert</w:t>
      </w:r>
      <w:r w:rsidRPr="008E3154">
        <w:rPr>
          <w:rFonts w:cs="Arial"/>
          <w:color w:val="000000" w:themeColor="text1"/>
        </w:rPr>
        <w:t xml:space="preserve">” in the national </w:t>
      </w:r>
      <w:r w:rsidRPr="008E3154">
        <w:rPr>
          <w:rFonts w:eastAsia="Times New Roman" w:cs="Arial"/>
          <w:color w:val="000000" w:themeColor="text1"/>
          <w:shd w:val="clear" w:color="auto" w:fill="FFFFFF"/>
          <w:lang w:val="en-GB" w:eastAsia="en-US"/>
        </w:rPr>
        <w:lastRenderedPageBreak/>
        <w:t>consciousness</w:t>
      </w:r>
      <w:r w:rsidRPr="008E3154">
        <w:rPr>
          <w:rFonts w:eastAsia="Times New Roman" w:cs="Arial"/>
          <w:color w:val="000000" w:themeColor="text1"/>
          <w:lang w:val="en-GB" w:eastAsia="en-US"/>
        </w:rPr>
        <w:t xml:space="preserve"> </w:t>
      </w:r>
      <w:r w:rsidRPr="008E3154">
        <w:rPr>
          <w:color w:val="000000" w:themeColor="text1"/>
        </w:rPr>
        <w:t xml:space="preserve">was replaced by an altogether more negative construct where </w:t>
      </w:r>
      <w:r w:rsidRPr="008E3154">
        <w:rPr>
          <w:color w:val="000000" w:themeColor="text1"/>
          <w:highlight w:val="yellow"/>
        </w:rPr>
        <w:t>housewives</w:t>
      </w:r>
      <w:r w:rsidRPr="008E3154">
        <w:rPr>
          <w:color w:val="000000" w:themeColor="text1"/>
        </w:rPr>
        <w:t xml:space="preserve"> were trapped by domesticity, miserable and powerless in their own homes. </w:t>
      </w:r>
    </w:p>
    <w:p w14:paraId="05F73B63" w14:textId="475CD877" w:rsidR="00357F0F" w:rsidRPr="008E3154" w:rsidRDefault="00357F0F" w:rsidP="00357F0F">
      <w:pPr>
        <w:spacing w:line="480" w:lineRule="auto"/>
        <w:rPr>
          <w:color w:val="000000" w:themeColor="text1"/>
        </w:rPr>
      </w:pPr>
      <w:r w:rsidRPr="008E3154">
        <w:rPr>
          <w:color w:val="000000" w:themeColor="text1"/>
        </w:rPr>
        <w:tab/>
        <w:t>This chapter changes the narrative regarding the demise of the “</w:t>
      </w:r>
      <w:r w:rsidRPr="008E3154">
        <w:rPr>
          <w:color w:val="000000" w:themeColor="text1"/>
          <w:highlight w:val="yellow"/>
        </w:rPr>
        <w:t>housewife as expert</w:t>
      </w:r>
      <w:r w:rsidRPr="008E3154">
        <w:rPr>
          <w:color w:val="000000" w:themeColor="text1"/>
        </w:rPr>
        <w:t xml:space="preserve">” concept during the 1960s and 1970s. </w:t>
      </w:r>
      <w:r w:rsidR="00450887" w:rsidRPr="00A359C7">
        <w:rPr>
          <w:color w:val="000000" w:themeColor="text1"/>
        </w:rPr>
        <w:t xml:space="preserve">In doing so it challenges assumptions that the experience of </w:t>
      </w:r>
      <w:r w:rsidR="002D2E9B" w:rsidRPr="00A359C7">
        <w:rPr>
          <w:color w:val="000000" w:themeColor="text1"/>
        </w:rPr>
        <w:t>being a</w:t>
      </w:r>
      <w:r w:rsidR="00450887" w:rsidRPr="00A359C7">
        <w:rPr>
          <w:color w:val="000000" w:themeColor="text1"/>
        </w:rPr>
        <w:t xml:space="preserve"> </w:t>
      </w:r>
      <w:r w:rsidR="00450887" w:rsidRPr="0059294E">
        <w:rPr>
          <w:color w:val="000000" w:themeColor="text1"/>
          <w:highlight w:val="yellow"/>
        </w:rPr>
        <w:t>housewife</w:t>
      </w:r>
      <w:r w:rsidR="00450887" w:rsidRPr="00A359C7">
        <w:rPr>
          <w:color w:val="000000" w:themeColor="text1"/>
        </w:rPr>
        <w:t xml:space="preserve"> w</w:t>
      </w:r>
      <w:r w:rsidR="002D2E9B" w:rsidRPr="00A359C7">
        <w:rPr>
          <w:color w:val="000000" w:themeColor="text1"/>
        </w:rPr>
        <w:t>as</w:t>
      </w:r>
      <w:r w:rsidR="00450887" w:rsidRPr="00A359C7">
        <w:rPr>
          <w:color w:val="000000" w:themeColor="text1"/>
        </w:rPr>
        <w:t xml:space="preserve"> inherently negative and that </w:t>
      </w:r>
      <w:r w:rsidR="00450887" w:rsidRPr="00B436E1">
        <w:rPr>
          <w:color w:val="000000" w:themeColor="text1"/>
          <w:highlight w:val="yellow"/>
        </w:rPr>
        <w:t>housewives</w:t>
      </w:r>
      <w:r w:rsidR="00450887" w:rsidRPr="00A359C7">
        <w:rPr>
          <w:color w:val="000000" w:themeColor="text1"/>
        </w:rPr>
        <w:t xml:space="preserve"> made little </w:t>
      </w:r>
      <w:r w:rsidR="008C05FC" w:rsidRPr="00A359C7">
        <w:rPr>
          <w:color w:val="000000" w:themeColor="text1"/>
        </w:rPr>
        <w:t xml:space="preserve">or no </w:t>
      </w:r>
      <w:r w:rsidR="00450887" w:rsidRPr="00A359C7">
        <w:rPr>
          <w:color w:val="000000" w:themeColor="text1"/>
        </w:rPr>
        <w:t>contribution to the women’s movement at this time.</w:t>
      </w:r>
      <w:r w:rsidR="00E92D28" w:rsidRPr="008E3154">
        <w:rPr>
          <w:rStyle w:val="FootnoteReference"/>
          <w:color w:val="000000" w:themeColor="text1"/>
        </w:rPr>
        <w:footnoteReference w:id="9"/>
      </w:r>
      <w:r w:rsidR="00450887" w:rsidRPr="008E3154">
        <w:rPr>
          <w:color w:val="000000" w:themeColor="text1"/>
        </w:rPr>
        <w:t xml:space="preserve"> </w:t>
      </w:r>
      <w:r w:rsidRPr="008E3154">
        <w:rPr>
          <w:color w:val="000000" w:themeColor="text1"/>
        </w:rPr>
        <w:t>Drawing on organisational arc</w:t>
      </w:r>
      <w:r w:rsidR="00E12C1A" w:rsidRPr="008E3154">
        <w:rPr>
          <w:color w:val="000000" w:themeColor="text1"/>
        </w:rPr>
        <w:t xml:space="preserve">hives of </w:t>
      </w:r>
      <w:r w:rsidR="001E583B" w:rsidRPr="008E3154">
        <w:rPr>
          <w:color w:val="000000" w:themeColor="text1"/>
        </w:rPr>
        <w:t>the two</w:t>
      </w:r>
      <w:r w:rsidRPr="008E3154">
        <w:rPr>
          <w:color w:val="000000" w:themeColor="text1"/>
        </w:rPr>
        <w:t xml:space="preserve"> largest </w:t>
      </w:r>
      <w:r w:rsidRPr="00640F93">
        <w:rPr>
          <w:color w:val="000000" w:themeColor="text1"/>
          <w:highlight w:val="yellow"/>
        </w:rPr>
        <w:t>housewives’ associations</w:t>
      </w:r>
      <w:r w:rsidRPr="008E3154">
        <w:rPr>
          <w:color w:val="000000" w:themeColor="text1"/>
        </w:rPr>
        <w:t xml:space="preserve"> in England, the </w:t>
      </w:r>
      <w:r w:rsidRPr="008E3154">
        <w:rPr>
          <w:color w:val="000000" w:themeColor="text1"/>
          <w:highlight w:val="yellow"/>
        </w:rPr>
        <w:t>National Federati</w:t>
      </w:r>
      <w:r w:rsidR="00E12C1A" w:rsidRPr="008E3154">
        <w:rPr>
          <w:color w:val="000000" w:themeColor="text1"/>
          <w:highlight w:val="yellow"/>
        </w:rPr>
        <w:t>on of Women’s Institutes (NFWI)</w:t>
      </w:r>
      <w:r w:rsidR="00E12C1A" w:rsidRPr="008E3154">
        <w:rPr>
          <w:color w:val="000000" w:themeColor="text1"/>
        </w:rPr>
        <w:t xml:space="preserve"> and the</w:t>
      </w:r>
      <w:r w:rsidRPr="008E3154">
        <w:rPr>
          <w:color w:val="000000" w:themeColor="text1"/>
        </w:rPr>
        <w:t xml:space="preserve"> </w:t>
      </w:r>
      <w:r w:rsidRPr="008E3154">
        <w:rPr>
          <w:color w:val="000000" w:themeColor="text1"/>
          <w:highlight w:val="yellow"/>
        </w:rPr>
        <w:t>National Un</w:t>
      </w:r>
      <w:r w:rsidR="00EE6B17" w:rsidRPr="008E3154">
        <w:rPr>
          <w:color w:val="000000" w:themeColor="text1"/>
          <w:highlight w:val="yellow"/>
        </w:rPr>
        <w:t>ion of Townswomen’s Guilds (TG)</w:t>
      </w:r>
      <w:r w:rsidR="00EE6B17" w:rsidRPr="008E3154">
        <w:rPr>
          <w:color w:val="000000" w:themeColor="text1"/>
        </w:rPr>
        <w:t xml:space="preserve">, </w:t>
      </w:r>
      <w:r w:rsidRPr="008E3154">
        <w:rPr>
          <w:color w:val="000000" w:themeColor="text1"/>
        </w:rPr>
        <w:t xml:space="preserve">it is argued that the </w:t>
      </w:r>
      <w:r w:rsidRPr="008E3154">
        <w:rPr>
          <w:color w:val="000000" w:themeColor="text1"/>
          <w:highlight w:val="yellow"/>
        </w:rPr>
        <w:t>experiential expertise</w:t>
      </w:r>
      <w:r w:rsidRPr="008E3154">
        <w:rPr>
          <w:color w:val="000000" w:themeColor="text1"/>
        </w:rPr>
        <w:t xml:space="preserve"> of </w:t>
      </w:r>
      <w:r w:rsidRPr="008E3154">
        <w:rPr>
          <w:color w:val="000000" w:themeColor="text1"/>
          <w:highlight w:val="yellow"/>
        </w:rPr>
        <w:t>housewives</w:t>
      </w:r>
      <w:r w:rsidRPr="008E3154">
        <w:rPr>
          <w:color w:val="000000" w:themeColor="text1"/>
        </w:rPr>
        <w:t xml:space="preserve"> continued to be effective in lobbying for </w:t>
      </w:r>
      <w:r w:rsidRPr="008E3154">
        <w:rPr>
          <w:color w:val="000000" w:themeColor="text1"/>
          <w:highlight w:val="yellow"/>
        </w:rPr>
        <w:t>welfare reforms</w:t>
      </w:r>
      <w:r w:rsidRPr="008E3154">
        <w:rPr>
          <w:color w:val="000000" w:themeColor="text1"/>
        </w:rPr>
        <w:t xml:space="preserve"> to support women. I argue that far from fadi</w:t>
      </w:r>
      <w:r w:rsidR="00AB3DD6" w:rsidRPr="008E3154">
        <w:rPr>
          <w:color w:val="000000" w:themeColor="text1"/>
        </w:rPr>
        <w:t>ng away by the 1970s these two</w:t>
      </w:r>
      <w:r w:rsidRPr="008E3154">
        <w:rPr>
          <w:color w:val="000000" w:themeColor="text1"/>
        </w:rPr>
        <w:t xml:space="preserve"> national organisations became even more concerned about what </w:t>
      </w:r>
      <w:r w:rsidRPr="008E3154">
        <w:rPr>
          <w:color w:val="000000" w:themeColor="text1"/>
          <w:highlight w:val="yellow"/>
        </w:rPr>
        <w:t>Robert Pinker</w:t>
      </w:r>
      <w:r w:rsidRPr="008E3154">
        <w:rPr>
          <w:color w:val="000000" w:themeColor="text1"/>
        </w:rPr>
        <w:t xml:space="preserve"> referred to as “the subjective feelings of ordinary people about the nature of </w:t>
      </w:r>
      <w:r w:rsidRPr="00A359C7">
        <w:rPr>
          <w:color w:val="000000" w:themeColor="text1"/>
          <w:highlight w:val="yellow"/>
        </w:rPr>
        <w:t>welfare</w:t>
      </w:r>
      <w:r w:rsidRPr="008E3154">
        <w:rPr>
          <w:color w:val="000000" w:themeColor="text1"/>
        </w:rPr>
        <w:t xml:space="preserve"> and to the complete range of activities by which they seek to enhance their own </w:t>
      </w:r>
      <w:r w:rsidRPr="008E3154">
        <w:rPr>
          <w:color w:val="000000" w:themeColor="text1"/>
          <w:highlight w:val="yellow"/>
        </w:rPr>
        <w:t>well-being</w:t>
      </w:r>
      <w:r w:rsidRPr="008E3154">
        <w:rPr>
          <w:color w:val="000000" w:themeColor="text1"/>
        </w:rPr>
        <w:t>”.</w:t>
      </w:r>
      <w:r w:rsidRPr="008E3154">
        <w:rPr>
          <w:rStyle w:val="FootnoteReference"/>
          <w:color w:val="000000" w:themeColor="text1"/>
        </w:rPr>
        <w:footnoteReference w:id="10"/>
      </w:r>
      <w:r w:rsidRPr="008E3154">
        <w:rPr>
          <w:color w:val="000000" w:themeColor="text1"/>
        </w:rPr>
        <w:t xml:space="preserve"> </w:t>
      </w:r>
    </w:p>
    <w:p w14:paraId="78ADECF9" w14:textId="536E52B7" w:rsidR="00357F0F" w:rsidRPr="008E3154" w:rsidRDefault="00357F0F" w:rsidP="00357F0F">
      <w:pPr>
        <w:spacing w:line="480" w:lineRule="auto"/>
        <w:rPr>
          <w:color w:val="000000" w:themeColor="text1"/>
        </w:rPr>
      </w:pPr>
      <w:r w:rsidRPr="008E3154">
        <w:rPr>
          <w:color w:val="000000" w:themeColor="text1"/>
        </w:rPr>
        <w:tab/>
      </w:r>
      <w:r w:rsidR="00345F89" w:rsidRPr="008E3154">
        <w:rPr>
          <w:color w:val="000000" w:themeColor="text1"/>
        </w:rPr>
        <w:t>The chapter is divided into three</w:t>
      </w:r>
      <w:r w:rsidRPr="008E3154">
        <w:rPr>
          <w:color w:val="000000" w:themeColor="text1"/>
        </w:rPr>
        <w:t xml:space="preserve"> sections. The first </w:t>
      </w:r>
      <w:proofErr w:type="spellStart"/>
      <w:r w:rsidRPr="008E3154">
        <w:rPr>
          <w:color w:val="000000" w:themeColor="text1"/>
        </w:rPr>
        <w:t>contextualises</w:t>
      </w:r>
      <w:proofErr w:type="spellEnd"/>
      <w:r w:rsidRPr="008E3154">
        <w:rPr>
          <w:color w:val="000000" w:themeColor="text1"/>
        </w:rPr>
        <w:t xml:space="preserve"> the  “</w:t>
      </w:r>
      <w:r w:rsidRPr="008E3154">
        <w:rPr>
          <w:color w:val="000000" w:themeColor="text1"/>
          <w:highlight w:val="yellow"/>
        </w:rPr>
        <w:t>housewife as expert</w:t>
      </w:r>
      <w:r w:rsidRPr="008E3154">
        <w:rPr>
          <w:color w:val="000000" w:themeColor="text1"/>
        </w:rPr>
        <w:t xml:space="preserve">” construct and considers why it is assumed within the historiography that this form of </w:t>
      </w:r>
      <w:r w:rsidRPr="008E3154">
        <w:rPr>
          <w:color w:val="000000" w:themeColor="text1"/>
          <w:highlight w:val="yellow"/>
        </w:rPr>
        <w:t>experiential expertise</w:t>
      </w:r>
      <w:r w:rsidRPr="008E3154">
        <w:rPr>
          <w:color w:val="000000" w:themeColor="text1"/>
        </w:rPr>
        <w:t xml:space="preserve"> was less influ</w:t>
      </w:r>
      <w:r w:rsidR="00BC150C" w:rsidRPr="008E3154">
        <w:rPr>
          <w:color w:val="000000" w:themeColor="text1"/>
        </w:rPr>
        <w:t xml:space="preserve">ential by the 1960s and 1970s. </w:t>
      </w:r>
      <w:r w:rsidRPr="008E3154">
        <w:rPr>
          <w:color w:val="000000" w:themeColor="text1"/>
        </w:rPr>
        <w:t xml:space="preserve">The second </w:t>
      </w:r>
      <w:proofErr w:type="spellStart"/>
      <w:r w:rsidRPr="008E3154">
        <w:rPr>
          <w:color w:val="000000" w:themeColor="text1"/>
        </w:rPr>
        <w:t>utilises</w:t>
      </w:r>
      <w:proofErr w:type="spellEnd"/>
      <w:r w:rsidRPr="008E3154">
        <w:rPr>
          <w:color w:val="000000" w:themeColor="text1"/>
        </w:rPr>
        <w:t xml:space="preserve"> the </w:t>
      </w:r>
      <w:r w:rsidRPr="008E3154">
        <w:rPr>
          <w:color w:val="000000" w:themeColor="text1"/>
          <w:highlight w:val="yellow"/>
        </w:rPr>
        <w:t>history of experience</w:t>
      </w:r>
      <w:r w:rsidRPr="008E3154">
        <w:rPr>
          <w:color w:val="000000" w:themeColor="text1"/>
        </w:rPr>
        <w:t>, and the concept of “</w:t>
      </w:r>
      <w:r w:rsidRPr="008E3154">
        <w:rPr>
          <w:color w:val="000000" w:themeColor="text1"/>
          <w:highlight w:val="yellow"/>
        </w:rPr>
        <w:t>communities of experience</w:t>
      </w:r>
      <w:r w:rsidR="003B0FFD" w:rsidRPr="008E3154">
        <w:rPr>
          <w:color w:val="000000" w:themeColor="text1"/>
        </w:rPr>
        <w:t>”, to</w:t>
      </w:r>
      <w:r w:rsidRPr="008E3154">
        <w:rPr>
          <w:color w:val="000000" w:themeColor="text1"/>
        </w:rPr>
        <w:t xml:space="preserve"> argue that </w:t>
      </w:r>
      <w:r w:rsidRPr="008E3154">
        <w:rPr>
          <w:color w:val="000000" w:themeColor="text1"/>
          <w:highlight w:val="yellow"/>
        </w:rPr>
        <w:t>housewives’ associations</w:t>
      </w:r>
      <w:r w:rsidRPr="008E3154">
        <w:rPr>
          <w:color w:val="000000" w:themeColor="text1"/>
        </w:rPr>
        <w:t xml:space="preserve"> continued to</w:t>
      </w:r>
      <w:r w:rsidR="003B0FFD" w:rsidRPr="008E3154">
        <w:rPr>
          <w:color w:val="000000" w:themeColor="text1"/>
        </w:rPr>
        <w:t xml:space="preserve"> be led by</w:t>
      </w:r>
      <w:r w:rsidRPr="008E3154">
        <w:rPr>
          <w:color w:val="000000" w:themeColor="text1"/>
        </w:rPr>
        <w:t xml:space="preserve"> the </w:t>
      </w:r>
      <w:r w:rsidRPr="00A359C7">
        <w:rPr>
          <w:color w:val="000000" w:themeColor="text1"/>
          <w:highlight w:val="yellow"/>
        </w:rPr>
        <w:t>experiential expertise</w:t>
      </w:r>
      <w:r w:rsidRPr="008E3154">
        <w:rPr>
          <w:color w:val="000000" w:themeColor="text1"/>
        </w:rPr>
        <w:t xml:space="preserve"> of their </w:t>
      </w:r>
      <w:r w:rsidRPr="008E3154">
        <w:rPr>
          <w:color w:val="000000" w:themeColor="text1"/>
        </w:rPr>
        <w:lastRenderedPageBreak/>
        <w:t xml:space="preserve">members. The </w:t>
      </w:r>
      <w:r w:rsidRPr="008E3154">
        <w:rPr>
          <w:color w:val="000000" w:themeColor="text1"/>
          <w:highlight w:val="yellow"/>
        </w:rPr>
        <w:t>experiential expertise</w:t>
      </w:r>
      <w:r w:rsidRPr="008E3154">
        <w:rPr>
          <w:color w:val="000000" w:themeColor="text1"/>
        </w:rPr>
        <w:t xml:space="preserve"> evident here was not only that of being a </w:t>
      </w:r>
      <w:r w:rsidRPr="008E3154">
        <w:rPr>
          <w:color w:val="000000" w:themeColor="text1"/>
          <w:highlight w:val="yellow"/>
        </w:rPr>
        <w:t>housewife</w:t>
      </w:r>
      <w:r w:rsidRPr="008E3154">
        <w:rPr>
          <w:color w:val="000000" w:themeColor="text1"/>
        </w:rPr>
        <w:t xml:space="preserve">, significant as that was, but also included the knowledge and </w:t>
      </w:r>
      <w:r w:rsidRPr="00A359C7">
        <w:rPr>
          <w:color w:val="000000" w:themeColor="text1"/>
          <w:highlight w:val="yellow"/>
        </w:rPr>
        <w:t>expertise</w:t>
      </w:r>
      <w:r w:rsidRPr="008E3154">
        <w:rPr>
          <w:color w:val="000000" w:themeColor="text1"/>
        </w:rPr>
        <w:t xml:space="preserve"> women gained from being members of a </w:t>
      </w:r>
      <w:r w:rsidRPr="008E3154">
        <w:rPr>
          <w:color w:val="000000" w:themeColor="text1"/>
          <w:highlight w:val="yellow"/>
        </w:rPr>
        <w:t>housewives’ association</w:t>
      </w:r>
      <w:r w:rsidRPr="008E3154">
        <w:rPr>
          <w:color w:val="000000" w:themeColor="text1"/>
        </w:rPr>
        <w:t xml:space="preserve">. Drawing on this multilayered </w:t>
      </w:r>
      <w:r w:rsidRPr="008E3154">
        <w:rPr>
          <w:color w:val="000000" w:themeColor="text1"/>
          <w:highlight w:val="yellow"/>
        </w:rPr>
        <w:t>experienti</w:t>
      </w:r>
      <w:r w:rsidR="00A86857" w:rsidRPr="008E3154">
        <w:rPr>
          <w:color w:val="000000" w:themeColor="text1"/>
          <w:highlight w:val="yellow"/>
        </w:rPr>
        <w:t>al expertise</w:t>
      </w:r>
      <w:r w:rsidR="00A86857" w:rsidRPr="008E3154">
        <w:rPr>
          <w:color w:val="000000" w:themeColor="text1"/>
        </w:rPr>
        <w:t xml:space="preserve"> helped ensure both</w:t>
      </w:r>
      <w:r w:rsidRPr="008E3154">
        <w:rPr>
          <w:color w:val="000000" w:themeColor="text1"/>
        </w:rPr>
        <w:t xml:space="preserve"> groups maintained a foothold in policy debates on </w:t>
      </w:r>
      <w:r w:rsidRPr="0059294E">
        <w:rPr>
          <w:color w:val="000000" w:themeColor="text1"/>
          <w:highlight w:val="yellow"/>
        </w:rPr>
        <w:t>welfare</w:t>
      </w:r>
      <w:r w:rsidRPr="008E3154">
        <w:rPr>
          <w:color w:val="000000" w:themeColor="text1"/>
        </w:rPr>
        <w:t xml:space="preserve"> well into the 1970s. </w:t>
      </w:r>
    </w:p>
    <w:p w14:paraId="6E67B8AB" w14:textId="23F463CB" w:rsidR="008C05FC" w:rsidRPr="00C57BE4" w:rsidRDefault="00357F0F" w:rsidP="003A78AB">
      <w:pPr>
        <w:spacing w:line="480" w:lineRule="auto"/>
        <w:ind w:firstLine="720"/>
      </w:pPr>
      <w:r w:rsidRPr="008E3154">
        <w:rPr>
          <w:color w:val="000000" w:themeColor="text1"/>
        </w:rPr>
        <w:t>The third section outlin</w:t>
      </w:r>
      <w:r w:rsidR="00605545" w:rsidRPr="008E3154">
        <w:rPr>
          <w:color w:val="000000" w:themeColor="text1"/>
        </w:rPr>
        <w:t xml:space="preserve">es in more detail how the </w:t>
      </w:r>
      <w:r w:rsidR="00605545" w:rsidRPr="008E3154">
        <w:rPr>
          <w:color w:val="000000" w:themeColor="text1"/>
          <w:highlight w:val="yellow"/>
        </w:rPr>
        <w:t>NFWI</w:t>
      </w:r>
      <w:r w:rsidR="00605545" w:rsidRPr="008E3154">
        <w:rPr>
          <w:color w:val="000000" w:themeColor="text1"/>
        </w:rPr>
        <w:t xml:space="preserve"> and </w:t>
      </w:r>
      <w:r w:rsidR="00605545" w:rsidRPr="008E3154">
        <w:rPr>
          <w:color w:val="000000" w:themeColor="text1"/>
          <w:highlight w:val="yellow"/>
        </w:rPr>
        <w:t>TG</w:t>
      </w:r>
      <w:r w:rsidRPr="008E3154">
        <w:rPr>
          <w:color w:val="000000" w:themeColor="text1"/>
        </w:rPr>
        <w:t xml:space="preserve"> used their multifaceted </w:t>
      </w:r>
      <w:r w:rsidRPr="008E3154">
        <w:rPr>
          <w:color w:val="000000" w:themeColor="text1"/>
          <w:highlight w:val="yellow"/>
        </w:rPr>
        <w:t>experiential expertise</w:t>
      </w:r>
      <w:r w:rsidRPr="008E3154">
        <w:rPr>
          <w:color w:val="000000" w:themeColor="text1"/>
        </w:rPr>
        <w:t xml:space="preserve"> to campaign for </w:t>
      </w:r>
      <w:r w:rsidRPr="008E3154">
        <w:rPr>
          <w:color w:val="000000" w:themeColor="text1"/>
          <w:highlight w:val="yellow"/>
        </w:rPr>
        <w:t>welfare reforms</w:t>
      </w:r>
      <w:r w:rsidR="0060131A" w:rsidRPr="008E3154">
        <w:rPr>
          <w:color w:val="000000" w:themeColor="text1"/>
        </w:rPr>
        <w:t xml:space="preserve">. This closer examination of </w:t>
      </w:r>
      <w:r w:rsidR="0060131A" w:rsidRPr="008E3154">
        <w:rPr>
          <w:color w:val="000000" w:themeColor="text1"/>
          <w:highlight w:val="yellow"/>
        </w:rPr>
        <w:t>welfare activism</w:t>
      </w:r>
      <w:r w:rsidR="0060131A" w:rsidRPr="008E3154">
        <w:rPr>
          <w:color w:val="000000" w:themeColor="text1"/>
        </w:rPr>
        <w:t xml:space="preserve"> by</w:t>
      </w:r>
      <w:r w:rsidRPr="008E3154">
        <w:rPr>
          <w:color w:val="000000" w:themeColor="text1"/>
        </w:rPr>
        <w:t xml:space="preserve"> </w:t>
      </w:r>
      <w:r w:rsidRPr="008E3154">
        <w:rPr>
          <w:color w:val="000000" w:themeColor="text1"/>
          <w:highlight w:val="yellow"/>
        </w:rPr>
        <w:t>housewi</w:t>
      </w:r>
      <w:r w:rsidR="006A344D" w:rsidRPr="008E3154">
        <w:rPr>
          <w:color w:val="000000" w:themeColor="text1"/>
          <w:highlight w:val="yellow"/>
        </w:rPr>
        <w:t>ves’ associations</w:t>
      </w:r>
      <w:r w:rsidR="006A344D" w:rsidRPr="008E3154">
        <w:rPr>
          <w:color w:val="000000" w:themeColor="text1"/>
        </w:rPr>
        <w:t xml:space="preserve"> identifies</w:t>
      </w:r>
      <w:r w:rsidRPr="008E3154">
        <w:rPr>
          <w:color w:val="000000" w:themeColor="text1"/>
        </w:rPr>
        <w:t xml:space="preserve"> gaps in the </w:t>
      </w:r>
      <w:r w:rsidRPr="008E3154">
        <w:rPr>
          <w:color w:val="000000" w:themeColor="text1"/>
          <w:highlight w:val="yellow"/>
        </w:rPr>
        <w:t>British Welfare State</w:t>
      </w:r>
      <w:r w:rsidRPr="008E3154">
        <w:rPr>
          <w:color w:val="000000" w:themeColor="text1"/>
        </w:rPr>
        <w:t xml:space="preserve"> when it came to the needs of wives and mothers.</w:t>
      </w:r>
      <w:r w:rsidR="008C05FC" w:rsidRPr="008E3154">
        <w:rPr>
          <w:color w:val="000000" w:themeColor="text1"/>
        </w:rPr>
        <w:t xml:space="preserve"> </w:t>
      </w:r>
      <w:r w:rsidR="008C05FC" w:rsidRPr="00C57BE4">
        <w:t xml:space="preserve">The efforts of the </w:t>
      </w:r>
      <w:r w:rsidR="008C05FC" w:rsidRPr="00A359C7">
        <w:rPr>
          <w:highlight w:val="yellow"/>
        </w:rPr>
        <w:t>NFWI</w:t>
      </w:r>
      <w:r w:rsidR="008C05FC" w:rsidRPr="00C57BE4">
        <w:t xml:space="preserve"> and </w:t>
      </w:r>
      <w:r w:rsidR="008C05FC" w:rsidRPr="00A359C7">
        <w:rPr>
          <w:highlight w:val="yellow"/>
        </w:rPr>
        <w:t>TG</w:t>
      </w:r>
      <w:r w:rsidR="008C05FC" w:rsidRPr="00C57BE4">
        <w:t xml:space="preserve"> to fill these gaps not only set out to enhance the everyday lives of women but sought to highlight the gendered experience of </w:t>
      </w:r>
      <w:r w:rsidR="008C05FC" w:rsidRPr="00A359C7">
        <w:rPr>
          <w:highlight w:val="yellow"/>
        </w:rPr>
        <w:t>welfare</w:t>
      </w:r>
      <w:r w:rsidR="008C05FC" w:rsidRPr="00C57BE4">
        <w:t xml:space="preserve"> for women. In this way </w:t>
      </w:r>
      <w:r w:rsidR="008C05FC" w:rsidRPr="00A25AC7">
        <w:rPr>
          <w:highlight w:val="yellow"/>
        </w:rPr>
        <w:t>housewives’ associations</w:t>
      </w:r>
      <w:r w:rsidR="008C05FC" w:rsidRPr="00C57BE4">
        <w:t xml:space="preserve"> participated in on-going demands </w:t>
      </w:r>
      <w:r w:rsidR="00E92D28" w:rsidRPr="00C57BE4">
        <w:t>by</w:t>
      </w:r>
      <w:r w:rsidR="008C05FC" w:rsidRPr="00C57BE4">
        <w:t xml:space="preserve"> the </w:t>
      </w:r>
      <w:r w:rsidR="008C05FC" w:rsidRPr="0059294E">
        <w:rPr>
          <w:highlight w:val="yellow"/>
        </w:rPr>
        <w:t>women’s movement</w:t>
      </w:r>
      <w:r w:rsidR="008C05FC" w:rsidRPr="00C57BE4">
        <w:t xml:space="preserve"> for </w:t>
      </w:r>
      <w:r w:rsidR="008C05FC" w:rsidRPr="00C57BE4">
        <w:rPr>
          <w:highlight w:val="yellow"/>
        </w:rPr>
        <w:t>welfare reforms</w:t>
      </w:r>
      <w:r w:rsidR="008C05FC" w:rsidRPr="00C57BE4">
        <w:t xml:space="preserve"> </w:t>
      </w:r>
      <w:r w:rsidR="00FC16FB" w:rsidRPr="00C57BE4">
        <w:t xml:space="preserve">which would </w:t>
      </w:r>
      <w:r w:rsidR="008C05FC" w:rsidRPr="00C57BE4">
        <w:t>benefit women throughout their lifetimes</w:t>
      </w:r>
      <w:r w:rsidR="008C05FC" w:rsidRPr="00A359C7">
        <w:t>.</w:t>
      </w:r>
      <w:r w:rsidR="00E92D28" w:rsidRPr="00A359C7">
        <w:rPr>
          <w:rStyle w:val="FootnoteReference"/>
        </w:rPr>
        <w:footnoteReference w:id="11"/>
      </w:r>
      <w:r w:rsidR="008C05FC" w:rsidRPr="00C57BE4">
        <w:t xml:space="preserve"> </w:t>
      </w:r>
    </w:p>
    <w:p w14:paraId="164D804D" w14:textId="5142AB6C" w:rsidR="00C10D83" w:rsidRPr="008E3154" w:rsidRDefault="00345F89" w:rsidP="008C05FC">
      <w:pPr>
        <w:spacing w:line="480" w:lineRule="auto"/>
        <w:ind w:firstLine="720"/>
        <w:rPr>
          <w:color w:val="000000" w:themeColor="text1"/>
        </w:rPr>
      </w:pPr>
      <w:r w:rsidRPr="008E3154">
        <w:rPr>
          <w:color w:val="000000" w:themeColor="text1"/>
        </w:rPr>
        <w:t>In</w:t>
      </w:r>
      <w:r w:rsidR="00365E56" w:rsidRPr="008E3154">
        <w:rPr>
          <w:color w:val="000000" w:themeColor="text1"/>
        </w:rPr>
        <w:t xml:space="preserve"> </w:t>
      </w:r>
      <w:r w:rsidR="00FE33CD" w:rsidRPr="008E3154">
        <w:rPr>
          <w:color w:val="000000" w:themeColor="text1"/>
        </w:rPr>
        <w:t>concluding</w:t>
      </w:r>
      <w:r w:rsidR="00E9088F" w:rsidRPr="008E3154">
        <w:rPr>
          <w:color w:val="000000" w:themeColor="text1"/>
        </w:rPr>
        <w:t>,</w:t>
      </w:r>
      <w:r w:rsidRPr="008E3154">
        <w:rPr>
          <w:color w:val="000000" w:themeColor="text1"/>
        </w:rPr>
        <w:t xml:space="preserve"> the </w:t>
      </w:r>
      <w:r w:rsidR="00FE33CD" w:rsidRPr="008E3154">
        <w:rPr>
          <w:color w:val="000000" w:themeColor="text1"/>
        </w:rPr>
        <w:t>chapter</w:t>
      </w:r>
      <w:r w:rsidR="00365E56" w:rsidRPr="008E3154">
        <w:rPr>
          <w:color w:val="000000" w:themeColor="text1"/>
        </w:rPr>
        <w:t xml:space="preserve"> considers the limitations of </w:t>
      </w:r>
      <w:r w:rsidR="00E9088F" w:rsidRPr="008E3154">
        <w:rPr>
          <w:color w:val="000000" w:themeColor="text1"/>
        </w:rPr>
        <w:t xml:space="preserve">the </w:t>
      </w:r>
      <w:r w:rsidR="00E9088F" w:rsidRPr="008E3154">
        <w:rPr>
          <w:color w:val="000000" w:themeColor="text1"/>
          <w:highlight w:val="yellow"/>
        </w:rPr>
        <w:t>experiential expertise</w:t>
      </w:r>
      <w:r w:rsidR="00E9088F" w:rsidRPr="008E3154">
        <w:rPr>
          <w:color w:val="000000" w:themeColor="text1"/>
        </w:rPr>
        <w:t xml:space="preserve"> used by the </w:t>
      </w:r>
      <w:r w:rsidR="00E9088F" w:rsidRPr="008E3154">
        <w:rPr>
          <w:color w:val="000000" w:themeColor="text1"/>
          <w:highlight w:val="yellow"/>
        </w:rPr>
        <w:t>NFWI</w:t>
      </w:r>
      <w:r w:rsidR="00E9088F" w:rsidRPr="008E3154">
        <w:rPr>
          <w:color w:val="000000" w:themeColor="text1"/>
        </w:rPr>
        <w:t xml:space="preserve"> and </w:t>
      </w:r>
      <w:r w:rsidR="00E9088F" w:rsidRPr="008E3154">
        <w:rPr>
          <w:color w:val="000000" w:themeColor="text1"/>
          <w:highlight w:val="yellow"/>
        </w:rPr>
        <w:t>TG</w:t>
      </w:r>
      <w:r w:rsidR="00E9088F" w:rsidRPr="008E3154">
        <w:rPr>
          <w:color w:val="000000" w:themeColor="text1"/>
        </w:rPr>
        <w:t xml:space="preserve"> to underpin their </w:t>
      </w:r>
      <w:r w:rsidR="00365E56" w:rsidRPr="008E3154">
        <w:rPr>
          <w:color w:val="000000" w:themeColor="text1"/>
          <w:highlight w:val="yellow"/>
        </w:rPr>
        <w:t>welfare activism</w:t>
      </w:r>
      <w:r w:rsidR="00FE33CD" w:rsidRPr="008E3154">
        <w:rPr>
          <w:color w:val="000000" w:themeColor="text1"/>
        </w:rPr>
        <w:t>. Here the question is raised about</w:t>
      </w:r>
      <w:r w:rsidR="00365E56" w:rsidRPr="008E3154">
        <w:rPr>
          <w:color w:val="000000" w:themeColor="text1"/>
        </w:rPr>
        <w:t xml:space="preserve"> whose </w:t>
      </w:r>
      <w:r w:rsidR="001E6441" w:rsidRPr="008E3154">
        <w:rPr>
          <w:color w:val="000000" w:themeColor="text1"/>
        </w:rPr>
        <w:t>experiences were</w:t>
      </w:r>
      <w:r w:rsidR="00285193" w:rsidRPr="008E3154">
        <w:rPr>
          <w:color w:val="000000" w:themeColor="text1"/>
        </w:rPr>
        <w:t xml:space="preserve"> foregrounded by both</w:t>
      </w:r>
      <w:r w:rsidR="00365E56" w:rsidRPr="008E3154">
        <w:rPr>
          <w:color w:val="000000" w:themeColor="text1"/>
        </w:rPr>
        <w:t xml:space="preserve"> group</w:t>
      </w:r>
      <w:r w:rsidR="00285193" w:rsidRPr="008E3154">
        <w:rPr>
          <w:color w:val="000000" w:themeColor="text1"/>
        </w:rPr>
        <w:t>s</w:t>
      </w:r>
      <w:r w:rsidR="00365E56" w:rsidRPr="008E3154">
        <w:rPr>
          <w:color w:val="000000" w:themeColor="text1"/>
        </w:rPr>
        <w:t xml:space="preserve">, and </w:t>
      </w:r>
      <w:r w:rsidR="00DB5053" w:rsidRPr="008E3154">
        <w:rPr>
          <w:color w:val="000000" w:themeColor="text1"/>
        </w:rPr>
        <w:t xml:space="preserve">how representative </w:t>
      </w:r>
      <w:r w:rsidR="00517BC3" w:rsidRPr="008E3154">
        <w:rPr>
          <w:color w:val="000000" w:themeColor="text1"/>
        </w:rPr>
        <w:t xml:space="preserve">the </w:t>
      </w:r>
      <w:r w:rsidR="00DB5053" w:rsidRPr="008E3154">
        <w:rPr>
          <w:color w:val="000000" w:themeColor="text1"/>
        </w:rPr>
        <w:t xml:space="preserve">action taken </w:t>
      </w:r>
      <w:r w:rsidR="00E25AC5" w:rsidRPr="008E3154">
        <w:rPr>
          <w:color w:val="000000" w:themeColor="text1"/>
        </w:rPr>
        <w:t xml:space="preserve">on a national level was of </w:t>
      </w:r>
      <w:r w:rsidR="004A3AE7" w:rsidRPr="008E3154">
        <w:rPr>
          <w:color w:val="000000" w:themeColor="text1"/>
        </w:rPr>
        <w:t xml:space="preserve">the wider </w:t>
      </w:r>
      <w:r w:rsidR="00DB5053" w:rsidRPr="008E3154">
        <w:rPr>
          <w:color w:val="000000" w:themeColor="text1"/>
        </w:rPr>
        <w:t>members</w:t>
      </w:r>
      <w:r w:rsidR="004A3AE7" w:rsidRPr="008E3154">
        <w:rPr>
          <w:color w:val="000000" w:themeColor="text1"/>
        </w:rPr>
        <w:t>hip</w:t>
      </w:r>
      <w:r w:rsidR="00517BC3" w:rsidRPr="008E3154">
        <w:rPr>
          <w:color w:val="000000" w:themeColor="text1"/>
        </w:rPr>
        <w:t>,</w:t>
      </w:r>
      <w:r w:rsidR="00E25AC5" w:rsidRPr="008E3154">
        <w:rPr>
          <w:color w:val="000000" w:themeColor="text1"/>
        </w:rPr>
        <w:t xml:space="preserve"> and </w:t>
      </w:r>
      <w:r w:rsidR="004A3AE7" w:rsidRPr="008E3154">
        <w:rPr>
          <w:color w:val="000000" w:themeColor="text1"/>
        </w:rPr>
        <w:t xml:space="preserve">of </w:t>
      </w:r>
      <w:r w:rsidR="00E25AC5" w:rsidRPr="008E3154">
        <w:rPr>
          <w:color w:val="000000" w:themeColor="text1"/>
        </w:rPr>
        <w:t>women more generally</w:t>
      </w:r>
      <w:r w:rsidR="00DB5053" w:rsidRPr="008E3154">
        <w:rPr>
          <w:color w:val="000000" w:themeColor="text1"/>
        </w:rPr>
        <w:t xml:space="preserve">. </w:t>
      </w:r>
      <w:r w:rsidR="00154D18" w:rsidRPr="008E3154">
        <w:rPr>
          <w:color w:val="000000" w:themeColor="text1"/>
        </w:rPr>
        <w:t>Yet despite such</w:t>
      </w:r>
      <w:r w:rsidR="000658C9" w:rsidRPr="008E3154">
        <w:rPr>
          <w:color w:val="000000" w:themeColor="text1"/>
        </w:rPr>
        <w:t xml:space="preserve"> limitations</w:t>
      </w:r>
      <w:r w:rsidR="00A541FF" w:rsidRPr="008E3154">
        <w:rPr>
          <w:color w:val="000000" w:themeColor="text1"/>
        </w:rPr>
        <w:t>,</w:t>
      </w:r>
      <w:r w:rsidR="000658C9" w:rsidRPr="008E3154">
        <w:rPr>
          <w:color w:val="000000" w:themeColor="text1"/>
        </w:rPr>
        <w:t xml:space="preserve"> </w:t>
      </w:r>
      <w:r w:rsidR="001B57D1" w:rsidRPr="008E3154">
        <w:rPr>
          <w:color w:val="000000" w:themeColor="text1"/>
        </w:rPr>
        <w:t>it is argued</w:t>
      </w:r>
      <w:r w:rsidR="00291A22" w:rsidRPr="008E3154">
        <w:rPr>
          <w:color w:val="000000" w:themeColor="text1"/>
        </w:rPr>
        <w:t xml:space="preserve"> that </w:t>
      </w:r>
      <w:r w:rsidR="000658C9" w:rsidRPr="008E3154">
        <w:rPr>
          <w:color w:val="000000" w:themeColor="text1"/>
          <w:highlight w:val="yellow"/>
        </w:rPr>
        <w:t>welfare activism</w:t>
      </w:r>
      <w:r w:rsidR="001B57D1" w:rsidRPr="008E3154">
        <w:rPr>
          <w:color w:val="000000" w:themeColor="text1"/>
        </w:rPr>
        <w:t xml:space="preserve"> undertaken by</w:t>
      </w:r>
      <w:r w:rsidR="000658C9" w:rsidRPr="008E3154">
        <w:rPr>
          <w:color w:val="000000" w:themeColor="text1"/>
        </w:rPr>
        <w:t xml:space="preserve"> </w:t>
      </w:r>
      <w:r w:rsidR="000658C9" w:rsidRPr="008E3154">
        <w:rPr>
          <w:color w:val="000000" w:themeColor="text1"/>
          <w:highlight w:val="yellow"/>
        </w:rPr>
        <w:t>housewives’ associations</w:t>
      </w:r>
      <w:r w:rsidR="000658C9" w:rsidRPr="008E3154">
        <w:rPr>
          <w:color w:val="000000" w:themeColor="text1"/>
        </w:rPr>
        <w:t xml:space="preserve"> </w:t>
      </w:r>
      <w:r w:rsidR="0075714D" w:rsidRPr="008E3154">
        <w:rPr>
          <w:color w:val="000000" w:themeColor="text1"/>
        </w:rPr>
        <w:t xml:space="preserve">during the 1960s and 1970s </w:t>
      </w:r>
      <w:r w:rsidR="001142FA" w:rsidRPr="008E3154">
        <w:rPr>
          <w:color w:val="000000" w:themeColor="text1"/>
        </w:rPr>
        <w:t>was</w:t>
      </w:r>
      <w:r w:rsidR="00640FF8" w:rsidRPr="008E3154">
        <w:rPr>
          <w:color w:val="000000" w:themeColor="text1"/>
        </w:rPr>
        <w:t xml:space="preserve"> significant and impactful. </w:t>
      </w:r>
      <w:r w:rsidR="00457650" w:rsidRPr="008E3154">
        <w:rPr>
          <w:color w:val="000000" w:themeColor="text1"/>
        </w:rPr>
        <w:t xml:space="preserve">Tapping into the </w:t>
      </w:r>
      <w:r w:rsidR="00457650" w:rsidRPr="008E3154">
        <w:rPr>
          <w:color w:val="000000" w:themeColor="text1"/>
          <w:highlight w:val="yellow"/>
        </w:rPr>
        <w:t>experiential expertise</w:t>
      </w:r>
      <w:r w:rsidR="001E4E04" w:rsidRPr="008E3154">
        <w:rPr>
          <w:color w:val="000000" w:themeColor="text1"/>
        </w:rPr>
        <w:t xml:space="preserve"> of </w:t>
      </w:r>
      <w:r w:rsidR="001E4E04" w:rsidRPr="008E3154">
        <w:rPr>
          <w:color w:val="000000" w:themeColor="text1"/>
          <w:highlight w:val="yellow"/>
        </w:rPr>
        <w:t>housewives</w:t>
      </w:r>
      <w:r w:rsidR="005706D2" w:rsidRPr="008E3154">
        <w:rPr>
          <w:color w:val="000000" w:themeColor="text1"/>
        </w:rPr>
        <w:t>, as wives and mothers</w:t>
      </w:r>
      <w:r w:rsidR="005810CB" w:rsidRPr="008E3154">
        <w:rPr>
          <w:color w:val="000000" w:themeColor="text1"/>
        </w:rPr>
        <w:t>,</w:t>
      </w:r>
      <w:r w:rsidR="00FD4640" w:rsidRPr="008E3154">
        <w:rPr>
          <w:color w:val="000000" w:themeColor="text1"/>
        </w:rPr>
        <w:t xml:space="preserve"> </w:t>
      </w:r>
      <w:r w:rsidR="00FD4640" w:rsidRPr="008E3154">
        <w:rPr>
          <w:color w:val="000000" w:themeColor="text1"/>
        </w:rPr>
        <w:lastRenderedPageBreak/>
        <w:t>but also</w:t>
      </w:r>
      <w:r w:rsidR="001E4E04" w:rsidRPr="008E3154">
        <w:rPr>
          <w:color w:val="000000" w:themeColor="text1"/>
        </w:rPr>
        <w:t xml:space="preserve"> as members of </w:t>
      </w:r>
      <w:r w:rsidR="00180BA6" w:rsidRPr="008E3154">
        <w:rPr>
          <w:color w:val="000000" w:themeColor="text1"/>
          <w:highlight w:val="yellow"/>
        </w:rPr>
        <w:t>housewives’ association</w:t>
      </w:r>
      <w:r w:rsidR="001E4E04" w:rsidRPr="008E3154">
        <w:rPr>
          <w:color w:val="000000" w:themeColor="text1"/>
          <w:highlight w:val="yellow"/>
        </w:rPr>
        <w:t>s</w:t>
      </w:r>
      <w:r w:rsidR="00FD4640" w:rsidRPr="008E3154">
        <w:rPr>
          <w:color w:val="000000" w:themeColor="text1"/>
        </w:rPr>
        <w:t>,</w:t>
      </w:r>
      <w:r w:rsidR="00180BA6" w:rsidRPr="008E3154">
        <w:rPr>
          <w:color w:val="000000" w:themeColor="text1"/>
        </w:rPr>
        <w:t xml:space="preserve"> </w:t>
      </w:r>
      <w:r w:rsidR="005706D2" w:rsidRPr="008E3154">
        <w:rPr>
          <w:color w:val="000000" w:themeColor="text1"/>
        </w:rPr>
        <w:t>sustained the construct of the “</w:t>
      </w:r>
      <w:r w:rsidR="005706D2" w:rsidRPr="008E3154">
        <w:rPr>
          <w:color w:val="000000" w:themeColor="text1"/>
          <w:highlight w:val="yellow"/>
        </w:rPr>
        <w:t>housewife as expert</w:t>
      </w:r>
      <w:r w:rsidR="005706D2" w:rsidRPr="008E3154">
        <w:rPr>
          <w:color w:val="000000" w:themeColor="text1"/>
        </w:rPr>
        <w:t xml:space="preserve">” beyond the 1950s. </w:t>
      </w:r>
      <w:r w:rsidR="00676524" w:rsidRPr="008E3154">
        <w:rPr>
          <w:color w:val="000000" w:themeColor="text1"/>
        </w:rPr>
        <w:t>Consequently</w:t>
      </w:r>
      <w:r w:rsidR="00FD4640" w:rsidRPr="008E3154">
        <w:rPr>
          <w:color w:val="000000" w:themeColor="text1"/>
        </w:rPr>
        <w:t>,</w:t>
      </w:r>
      <w:r w:rsidR="005810CB" w:rsidRPr="008E3154">
        <w:rPr>
          <w:color w:val="000000" w:themeColor="text1"/>
        </w:rPr>
        <w:t xml:space="preserve"> </w:t>
      </w:r>
      <w:r w:rsidR="00D049FE" w:rsidRPr="008E3154">
        <w:rPr>
          <w:color w:val="000000" w:themeColor="text1"/>
        </w:rPr>
        <w:t xml:space="preserve">the </w:t>
      </w:r>
      <w:r w:rsidR="00D049FE" w:rsidRPr="008E3154">
        <w:rPr>
          <w:color w:val="000000" w:themeColor="text1"/>
          <w:highlight w:val="yellow"/>
        </w:rPr>
        <w:t>NFWI</w:t>
      </w:r>
      <w:r w:rsidR="00D049FE" w:rsidRPr="008E3154">
        <w:rPr>
          <w:color w:val="000000" w:themeColor="text1"/>
        </w:rPr>
        <w:t xml:space="preserve"> and </w:t>
      </w:r>
      <w:r w:rsidR="00D049FE" w:rsidRPr="008E3154">
        <w:rPr>
          <w:color w:val="000000" w:themeColor="text1"/>
          <w:highlight w:val="yellow"/>
        </w:rPr>
        <w:t>TG</w:t>
      </w:r>
      <w:r w:rsidR="00D049FE" w:rsidRPr="008E3154">
        <w:rPr>
          <w:color w:val="000000" w:themeColor="text1"/>
        </w:rPr>
        <w:t xml:space="preserve"> </w:t>
      </w:r>
      <w:r w:rsidR="005810CB" w:rsidRPr="008E3154">
        <w:rPr>
          <w:color w:val="000000" w:themeColor="text1"/>
        </w:rPr>
        <w:t>contribute</w:t>
      </w:r>
      <w:r w:rsidR="0088730D" w:rsidRPr="008E3154">
        <w:rPr>
          <w:color w:val="000000" w:themeColor="text1"/>
        </w:rPr>
        <w:t>d</w:t>
      </w:r>
      <w:r w:rsidR="005810CB" w:rsidRPr="008E3154">
        <w:rPr>
          <w:color w:val="000000" w:themeColor="text1"/>
        </w:rPr>
        <w:t xml:space="preserve"> more to </w:t>
      </w:r>
      <w:r w:rsidR="0088730D" w:rsidRPr="008E3154">
        <w:rPr>
          <w:color w:val="000000" w:themeColor="text1"/>
        </w:rPr>
        <w:t>the</w:t>
      </w:r>
      <w:r w:rsidR="00FD4640" w:rsidRPr="008E3154">
        <w:rPr>
          <w:color w:val="000000" w:themeColor="text1"/>
        </w:rPr>
        <w:t xml:space="preserve"> </w:t>
      </w:r>
      <w:r w:rsidR="00692293" w:rsidRPr="008E3154">
        <w:rPr>
          <w:color w:val="000000" w:themeColor="text1"/>
          <w:highlight w:val="yellow"/>
        </w:rPr>
        <w:t>British Welfare S</w:t>
      </w:r>
      <w:r w:rsidR="0088730D" w:rsidRPr="008E3154">
        <w:rPr>
          <w:color w:val="000000" w:themeColor="text1"/>
          <w:highlight w:val="yellow"/>
        </w:rPr>
        <w:t>tate</w:t>
      </w:r>
      <w:r w:rsidR="0088730D" w:rsidRPr="008E3154">
        <w:rPr>
          <w:color w:val="000000" w:themeColor="text1"/>
        </w:rPr>
        <w:t xml:space="preserve"> than has previously b</w:t>
      </w:r>
      <w:r w:rsidR="001142FA" w:rsidRPr="008E3154">
        <w:rPr>
          <w:color w:val="000000" w:themeColor="text1"/>
        </w:rPr>
        <w:t>een acknowledged. Moreover</w:t>
      </w:r>
      <w:r w:rsidR="00C52AD6" w:rsidRPr="008E3154">
        <w:rPr>
          <w:color w:val="000000" w:themeColor="text1"/>
        </w:rPr>
        <w:t>,</w:t>
      </w:r>
      <w:r w:rsidR="00E478C5" w:rsidRPr="008E3154">
        <w:rPr>
          <w:color w:val="000000" w:themeColor="text1"/>
        </w:rPr>
        <w:t xml:space="preserve"> their</w:t>
      </w:r>
      <w:r w:rsidR="00291A22" w:rsidRPr="008E3154">
        <w:rPr>
          <w:color w:val="000000" w:themeColor="text1"/>
        </w:rPr>
        <w:t xml:space="preserve"> commitment</w:t>
      </w:r>
      <w:r w:rsidR="00700D2E" w:rsidRPr="008E3154">
        <w:rPr>
          <w:color w:val="000000" w:themeColor="text1"/>
        </w:rPr>
        <w:t xml:space="preserve"> to </w:t>
      </w:r>
      <w:r w:rsidR="00692293" w:rsidRPr="008E3154">
        <w:rPr>
          <w:color w:val="000000" w:themeColor="text1"/>
        </w:rPr>
        <w:t>women “</w:t>
      </w:r>
      <w:r w:rsidR="00692293" w:rsidRPr="008E3154">
        <w:rPr>
          <w:color w:val="000000" w:themeColor="text1"/>
          <w:highlight w:val="yellow"/>
        </w:rPr>
        <w:t>faring</w:t>
      </w:r>
      <w:r w:rsidR="0088730D" w:rsidRPr="008E3154">
        <w:rPr>
          <w:color w:val="000000" w:themeColor="text1"/>
          <w:highlight w:val="yellow"/>
        </w:rPr>
        <w:t xml:space="preserve"> well</w:t>
      </w:r>
      <w:r w:rsidR="0088730D" w:rsidRPr="008E3154">
        <w:rPr>
          <w:color w:val="000000" w:themeColor="text1"/>
        </w:rPr>
        <w:t>”</w:t>
      </w:r>
      <w:r w:rsidR="00700D2E" w:rsidRPr="008E3154">
        <w:rPr>
          <w:color w:val="000000" w:themeColor="text1"/>
        </w:rPr>
        <w:t xml:space="preserve"> </w:t>
      </w:r>
      <w:r w:rsidR="00D049FE" w:rsidRPr="008E3154">
        <w:rPr>
          <w:color w:val="000000" w:themeColor="text1"/>
        </w:rPr>
        <w:t>justifies</w:t>
      </w:r>
      <w:r w:rsidR="003A78AB" w:rsidRPr="008E3154">
        <w:rPr>
          <w:color w:val="000000" w:themeColor="text1"/>
        </w:rPr>
        <w:t xml:space="preserve"> </w:t>
      </w:r>
      <w:r w:rsidR="00BB0FD2" w:rsidRPr="008E3154">
        <w:rPr>
          <w:color w:val="000000" w:themeColor="text1"/>
        </w:rPr>
        <w:t>inclusion in</w:t>
      </w:r>
      <w:r w:rsidR="00933B70" w:rsidRPr="008E3154">
        <w:rPr>
          <w:color w:val="000000" w:themeColor="text1"/>
        </w:rPr>
        <w:t xml:space="preserve"> histories of the </w:t>
      </w:r>
      <w:r w:rsidR="00933B70" w:rsidRPr="008E3154">
        <w:rPr>
          <w:color w:val="000000" w:themeColor="text1"/>
          <w:highlight w:val="yellow"/>
        </w:rPr>
        <w:t>women’s movement</w:t>
      </w:r>
      <w:r w:rsidR="00933B70" w:rsidRPr="008E3154">
        <w:rPr>
          <w:color w:val="000000" w:themeColor="text1"/>
        </w:rPr>
        <w:t xml:space="preserve"> during the second half of the </w:t>
      </w:r>
      <w:r w:rsidR="00D44388" w:rsidRPr="008E3154">
        <w:rPr>
          <w:color w:val="000000" w:themeColor="text1"/>
        </w:rPr>
        <w:t xml:space="preserve">twentieth </w:t>
      </w:r>
      <w:r w:rsidR="00933B70" w:rsidRPr="008E3154">
        <w:rPr>
          <w:color w:val="000000" w:themeColor="text1"/>
        </w:rPr>
        <w:t>century</w:t>
      </w:r>
      <w:r w:rsidR="00357F0F" w:rsidRPr="008E3154">
        <w:rPr>
          <w:color w:val="000000" w:themeColor="text1"/>
        </w:rPr>
        <w:t>.</w:t>
      </w:r>
    </w:p>
    <w:p w14:paraId="0297CF85" w14:textId="77777777" w:rsidR="003A78AB" w:rsidRPr="008E3154" w:rsidRDefault="003A78AB" w:rsidP="003A78AB">
      <w:pPr>
        <w:spacing w:line="480" w:lineRule="auto"/>
        <w:ind w:firstLine="720"/>
        <w:rPr>
          <w:color w:val="000000" w:themeColor="text1"/>
        </w:rPr>
      </w:pPr>
    </w:p>
    <w:p w14:paraId="7C174C62" w14:textId="1500DD1D" w:rsidR="00357F0F" w:rsidRPr="008E3154" w:rsidRDefault="00357F0F" w:rsidP="00357F0F">
      <w:pPr>
        <w:spacing w:line="480" w:lineRule="auto"/>
        <w:rPr>
          <w:b/>
          <w:color w:val="000000" w:themeColor="text1"/>
        </w:rPr>
      </w:pPr>
      <w:r w:rsidRPr="008E3154">
        <w:rPr>
          <w:b/>
          <w:color w:val="000000" w:themeColor="text1"/>
        </w:rPr>
        <w:t>The “</w:t>
      </w:r>
      <w:r w:rsidRPr="008E3154">
        <w:rPr>
          <w:b/>
          <w:color w:val="000000" w:themeColor="text1"/>
          <w:highlight w:val="yellow"/>
        </w:rPr>
        <w:t>housewife as expert</w:t>
      </w:r>
      <w:r w:rsidRPr="008E3154">
        <w:rPr>
          <w:b/>
          <w:color w:val="000000" w:themeColor="text1"/>
        </w:rPr>
        <w:t xml:space="preserve">” construct and its deceptive demise </w:t>
      </w:r>
    </w:p>
    <w:p w14:paraId="5D2F5310" w14:textId="77777777" w:rsidR="003A78AB" w:rsidRPr="008E3154" w:rsidRDefault="003A78AB" w:rsidP="00357F0F">
      <w:pPr>
        <w:spacing w:line="480" w:lineRule="auto"/>
        <w:rPr>
          <w:color w:val="000000" w:themeColor="text1"/>
        </w:rPr>
      </w:pPr>
    </w:p>
    <w:p w14:paraId="24DA4523" w14:textId="6F2498C4" w:rsidR="00357F0F" w:rsidRPr="008E3154" w:rsidRDefault="00357F0F" w:rsidP="00F2084C">
      <w:pPr>
        <w:spacing w:line="480" w:lineRule="auto"/>
        <w:ind w:firstLine="720"/>
        <w:rPr>
          <w:color w:val="000000" w:themeColor="text1"/>
        </w:rPr>
      </w:pPr>
      <w:r w:rsidRPr="008E3154">
        <w:rPr>
          <w:color w:val="000000" w:themeColor="text1"/>
        </w:rPr>
        <w:t xml:space="preserve">Laying claim to the experiences of wives and mothers to enable </w:t>
      </w:r>
      <w:r w:rsidRPr="008E3154">
        <w:rPr>
          <w:color w:val="000000" w:themeColor="text1"/>
          <w:highlight w:val="yellow"/>
        </w:rPr>
        <w:t>welfare activism</w:t>
      </w:r>
      <w:r w:rsidRPr="008E3154">
        <w:rPr>
          <w:color w:val="000000" w:themeColor="text1"/>
        </w:rPr>
        <w:t xml:space="preserve"> has a long history. From the late nineteenth century the </w:t>
      </w:r>
      <w:r w:rsidRPr="008E3154">
        <w:rPr>
          <w:color w:val="000000" w:themeColor="text1"/>
          <w:highlight w:val="yellow"/>
        </w:rPr>
        <w:t>Women’s Co-operative Guild (WCG)</w:t>
      </w:r>
      <w:r w:rsidRPr="008E3154">
        <w:rPr>
          <w:color w:val="000000" w:themeColor="text1"/>
        </w:rPr>
        <w:t xml:space="preserve"> demanded better housing, maternity care and social </w:t>
      </w:r>
      <w:r w:rsidRPr="00A359C7">
        <w:rPr>
          <w:color w:val="000000" w:themeColor="text1"/>
          <w:highlight w:val="yellow"/>
        </w:rPr>
        <w:t>welfare</w:t>
      </w:r>
      <w:r w:rsidRPr="008E3154">
        <w:rPr>
          <w:color w:val="000000" w:themeColor="text1"/>
        </w:rPr>
        <w:t xml:space="preserve"> provision, informed by the </w:t>
      </w:r>
      <w:r w:rsidRPr="00A359C7">
        <w:rPr>
          <w:color w:val="000000" w:themeColor="text1"/>
          <w:highlight w:val="yellow"/>
        </w:rPr>
        <w:t>lived experiences</w:t>
      </w:r>
      <w:r w:rsidRPr="008E3154">
        <w:rPr>
          <w:color w:val="000000" w:themeColor="text1"/>
        </w:rPr>
        <w:t xml:space="preserve"> of poorer working-class women.</w:t>
      </w:r>
      <w:r w:rsidRPr="008E3154">
        <w:rPr>
          <w:rStyle w:val="FootnoteReference"/>
          <w:color w:val="000000" w:themeColor="text1"/>
        </w:rPr>
        <w:footnoteReference w:id="12"/>
      </w:r>
      <w:r w:rsidRPr="008E3154">
        <w:rPr>
          <w:color w:val="000000" w:themeColor="text1"/>
        </w:rPr>
        <w:t xml:space="preserve"> During the </w:t>
      </w:r>
      <w:r w:rsidRPr="008E3154">
        <w:rPr>
          <w:color w:val="000000" w:themeColor="text1"/>
          <w:highlight w:val="yellow"/>
        </w:rPr>
        <w:t>First World War</w:t>
      </w:r>
      <w:r w:rsidRPr="008E3154">
        <w:rPr>
          <w:color w:val="000000" w:themeColor="text1"/>
        </w:rPr>
        <w:t xml:space="preserve"> the </w:t>
      </w:r>
      <w:r w:rsidRPr="008E3154">
        <w:rPr>
          <w:color w:val="000000" w:themeColor="text1"/>
          <w:highlight w:val="yellow"/>
        </w:rPr>
        <w:t>Women’s Labour League</w:t>
      </w:r>
      <w:r w:rsidRPr="008E3154">
        <w:rPr>
          <w:color w:val="000000" w:themeColor="text1"/>
        </w:rPr>
        <w:t xml:space="preserve"> shared the experiences of working-class women with the </w:t>
      </w:r>
      <w:r w:rsidRPr="008E3154">
        <w:rPr>
          <w:color w:val="000000" w:themeColor="text1"/>
          <w:highlight w:val="yellow"/>
        </w:rPr>
        <w:t>Tudor Walters Commi</w:t>
      </w:r>
      <w:r w:rsidR="00C62AB3" w:rsidRPr="008E3154">
        <w:rPr>
          <w:color w:val="000000" w:themeColor="text1"/>
          <w:highlight w:val="yellow"/>
        </w:rPr>
        <w:t>ttee on Housing Standards</w:t>
      </w:r>
      <w:r w:rsidR="00C62AB3" w:rsidRPr="008E3154">
        <w:rPr>
          <w:color w:val="000000" w:themeColor="text1"/>
        </w:rPr>
        <w:t>, thereby enhancing the quality of</w:t>
      </w:r>
      <w:r w:rsidRPr="008E3154">
        <w:rPr>
          <w:color w:val="000000" w:themeColor="text1"/>
        </w:rPr>
        <w:t xml:space="preserve"> postwar local authority housing.</w:t>
      </w:r>
      <w:r w:rsidRPr="008E3154">
        <w:rPr>
          <w:rStyle w:val="FootnoteReference"/>
          <w:color w:val="000000" w:themeColor="text1"/>
        </w:rPr>
        <w:footnoteReference w:id="13"/>
      </w:r>
      <w:r w:rsidRPr="008E3154">
        <w:rPr>
          <w:color w:val="000000" w:themeColor="text1"/>
        </w:rPr>
        <w:t xml:space="preserve"> While the WCG </w:t>
      </w:r>
      <w:proofErr w:type="spellStart"/>
      <w:r w:rsidRPr="008E3154">
        <w:rPr>
          <w:color w:val="000000" w:themeColor="text1"/>
        </w:rPr>
        <w:t>prioritised</w:t>
      </w:r>
      <w:proofErr w:type="spellEnd"/>
      <w:r w:rsidRPr="008E3154">
        <w:rPr>
          <w:color w:val="000000" w:themeColor="text1"/>
        </w:rPr>
        <w:t xml:space="preserve"> the needs of its working-class members, and aligned itself to the </w:t>
      </w:r>
      <w:r w:rsidRPr="008E3154">
        <w:rPr>
          <w:color w:val="000000" w:themeColor="text1"/>
          <w:highlight w:val="yellow"/>
        </w:rPr>
        <w:t>Labour Party</w:t>
      </w:r>
      <w:r w:rsidRPr="008E3154">
        <w:rPr>
          <w:color w:val="000000" w:themeColor="text1"/>
        </w:rPr>
        <w:t xml:space="preserve">, the steadfastly non-party political </w:t>
      </w:r>
      <w:r w:rsidR="0075146A" w:rsidRPr="008E3154">
        <w:rPr>
          <w:color w:val="000000" w:themeColor="text1"/>
          <w:highlight w:val="yellow"/>
        </w:rPr>
        <w:t>NFWI</w:t>
      </w:r>
      <w:r w:rsidR="0075146A" w:rsidRPr="008E3154">
        <w:rPr>
          <w:color w:val="000000" w:themeColor="text1"/>
        </w:rPr>
        <w:t xml:space="preserve"> (1915)</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(1928) set out to recruit both working-</w:t>
      </w:r>
      <w:r w:rsidRPr="008E3154">
        <w:rPr>
          <w:color w:val="000000" w:themeColor="text1"/>
        </w:rPr>
        <w:lastRenderedPageBreak/>
        <w:t xml:space="preserve">class and middle-class women working within the home. This was achieved by offering a diverse range of activities targeted to be of interest to </w:t>
      </w:r>
      <w:r w:rsidRPr="008E3154">
        <w:rPr>
          <w:color w:val="000000" w:themeColor="text1"/>
          <w:highlight w:val="yellow"/>
        </w:rPr>
        <w:t>housewives</w:t>
      </w:r>
      <w:r w:rsidRPr="008E3154">
        <w:rPr>
          <w:color w:val="000000" w:themeColor="text1"/>
        </w:rPr>
        <w:t xml:space="preserve"> working unpaid in their own homes.</w:t>
      </w:r>
      <w:r w:rsidRPr="008E3154">
        <w:rPr>
          <w:rStyle w:val="FootnoteReference"/>
          <w:color w:val="000000" w:themeColor="text1"/>
        </w:rPr>
        <w:footnoteReference w:id="14"/>
      </w:r>
      <w:r w:rsidRPr="008E3154">
        <w:rPr>
          <w:color w:val="000000" w:themeColor="text1"/>
        </w:rPr>
        <w:t xml:space="preserve"> Taking this approach proved very successful and by t</w:t>
      </w:r>
      <w:r w:rsidR="004751A2" w:rsidRPr="008E3154">
        <w:rPr>
          <w:color w:val="000000" w:themeColor="text1"/>
        </w:rPr>
        <w:t>he mid-twentieth century they together</w:t>
      </w:r>
      <w:r w:rsidR="00667650" w:rsidRPr="008E3154">
        <w:rPr>
          <w:color w:val="000000" w:themeColor="text1"/>
        </w:rPr>
        <w:t xml:space="preserve"> represented over half a</w:t>
      </w:r>
      <w:r w:rsidRPr="008E3154">
        <w:rPr>
          <w:color w:val="000000" w:themeColor="text1"/>
        </w:rPr>
        <w:t xml:space="preserve"> million women.</w:t>
      </w:r>
      <w:r w:rsidRPr="008E3154">
        <w:rPr>
          <w:rStyle w:val="FootnoteReference"/>
          <w:color w:val="000000" w:themeColor="text1"/>
        </w:rPr>
        <w:footnoteReference w:id="15"/>
      </w:r>
      <w:r w:rsidRPr="008E3154">
        <w:rPr>
          <w:color w:val="000000" w:themeColor="text1"/>
        </w:rPr>
        <w:t xml:space="preserve"> </w:t>
      </w:r>
    </w:p>
    <w:p w14:paraId="649B1B2A" w14:textId="49080A22" w:rsidR="00357F0F" w:rsidRPr="008E3154" w:rsidRDefault="0075146A" w:rsidP="00357F0F">
      <w:pPr>
        <w:spacing w:line="480" w:lineRule="auto"/>
        <w:ind w:firstLine="720"/>
        <w:rPr>
          <w:color w:val="000000" w:themeColor="text1"/>
        </w:rPr>
      </w:pPr>
      <w:r w:rsidRPr="008E3154">
        <w:rPr>
          <w:color w:val="000000" w:themeColor="text1"/>
        </w:rPr>
        <w:t>Both</w:t>
      </w:r>
      <w:r w:rsidR="00357F0F" w:rsidRPr="008E3154">
        <w:rPr>
          <w:color w:val="000000" w:themeColor="text1"/>
        </w:rPr>
        <w:t xml:space="preserve"> organisation</w:t>
      </w:r>
      <w:r w:rsidR="000F6D0A" w:rsidRPr="008E3154">
        <w:rPr>
          <w:color w:val="000000" w:themeColor="text1"/>
        </w:rPr>
        <w:t>s</w:t>
      </w:r>
      <w:r w:rsidR="00357F0F" w:rsidRPr="008E3154">
        <w:rPr>
          <w:color w:val="000000" w:themeColor="text1"/>
        </w:rPr>
        <w:t xml:space="preserve"> drew on the experiences of a specific </w:t>
      </w:r>
      <w:r w:rsidR="00357F0F" w:rsidRPr="00A359C7">
        <w:rPr>
          <w:color w:val="000000" w:themeColor="text1"/>
          <w:highlight w:val="yellow"/>
        </w:rPr>
        <w:t>community</w:t>
      </w:r>
      <w:r w:rsidR="00357F0F" w:rsidRPr="008E3154">
        <w:rPr>
          <w:color w:val="000000" w:themeColor="text1"/>
        </w:rPr>
        <w:t xml:space="preserve"> of </w:t>
      </w:r>
      <w:r w:rsidR="00357F0F" w:rsidRPr="008E3154">
        <w:rPr>
          <w:color w:val="000000" w:themeColor="text1"/>
          <w:highlight w:val="yellow"/>
        </w:rPr>
        <w:t>housewives</w:t>
      </w:r>
      <w:r w:rsidR="00357F0F" w:rsidRPr="008E3154">
        <w:rPr>
          <w:color w:val="000000" w:themeColor="text1"/>
        </w:rPr>
        <w:t xml:space="preserve">. The </w:t>
      </w:r>
      <w:r w:rsidR="00357F0F" w:rsidRPr="008E3154">
        <w:rPr>
          <w:color w:val="000000" w:themeColor="text1"/>
          <w:highlight w:val="yellow"/>
        </w:rPr>
        <w:t>NFWI</w:t>
      </w:r>
      <w:r w:rsidR="00357F0F" w:rsidRPr="008E3154">
        <w:rPr>
          <w:color w:val="000000" w:themeColor="text1"/>
        </w:rPr>
        <w:t xml:space="preserve"> catered for the needs of rural women and sought to provide educational opportunities in home economics and agricultural skills as well as opportunities for friendship and leisure.</w:t>
      </w:r>
      <w:r w:rsidR="00357F0F" w:rsidRPr="008E3154">
        <w:rPr>
          <w:rStyle w:val="FootnoteReference"/>
          <w:color w:val="000000" w:themeColor="text1"/>
        </w:rPr>
        <w:footnoteReference w:id="16"/>
      </w:r>
      <w:r w:rsidR="00357F0F" w:rsidRPr="008E3154">
        <w:rPr>
          <w:color w:val="000000" w:themeColor="text1"/>
        </w:rPr>
        <w:t xml:space="preserve"> Inspired by the successful model of the </w:t>
      </w:r>
      <w:r w:rsidR="00357F0F" w:rsidRPr="008E3154">
        <w:rPr>
          <w:color w:val="000000" w:themeColor="text1"/>
          <w:highlight w:val="yellow"/>
        </w:rPr>
        <w:t>NFWI</w:t>
      </w:r>
      <w:r w:rsidR="00357F0F" w:rsidRPr="008E3154">
        <w:rPr>
          <w:color w:val="000000" w:themeColor="text1"/>
        </w:rPr>
        <w:t xml:space="preserve">, the </w:t>
      </w:r>
      <w:r w:rsidR="00357F0F" w:rsidRPr="008E3154">
        <w:rPr>
          <w:color w:val="000000" w:themeColor="text1"/>
          <w:highlight w:val="yellow"/>
        </w:rPr>
        <w:t>TG</w:t>
      </w:r>
      <w:r w:rsidR="00357F0F" w:rsidRPr="008E3154">
        <w:rPr>
          <w:color w:val="000000" w:themeColor="text1"/>
        </w:rPr>
        <w:t xml:space="preserve"> </w:t>
      </w:r>
      <w:r w:rsidR="0077180D" w:rsidRPr="008E3154">
        <w:rPr>
          <w:color w:val="000000" w:themeColor="text1"/>
        </w:rPr>
        <w:t xml:space="preserve">(which </w:t>
      </w:r>
      <w:r w:rsidR="005E7452" w:rsidRPr="008E3154">
        <w:rPr>
          <w:color w:val="000000" w:themeColor="text1"/>
        </w:rPr>
        <w:t xml:space="preserve">emerged out of </w:t>
      </w:r>
      <w:r w:rsidR="0077180D" w:rsidRPr="008E3154">
        <w:rPr>
          <w:color w:val="000000" w:themeColor="text1"/>
        </w:rPr>
        <w:t xml:space="preserve">the </w:t>
      </w:r>
      <w:r w:rsidR="005E7452" w:rsidRPr="008E3154">
        <w:rPr>
          <w:color w:val="000000" w:themeColor="text1"/>
        </w:rPr>
        <w:t xml:space="preserve">post-women’s suffrage </w:t>
      </w:r>
      <w:r w:rsidR="005E7452" w:rsidRPr="008E3154">
        <w:rPr>
          <w:color w:val="000000" w:themeColor="text1"/>
          <w:highlight w:val="yellow"/>
        </w:rPr>
        <w:t>National Union of Societies for Equal Citizenship</w:t>
      </w:r>
      <w:r w:rsidR="005E7452" w:rsidRPr="008E3154">
        <w:rPr>
          <w:color w:val="000000" w:themeColor="text1"/>
        </w:rPr>
        <w:t xml:space="preserve">) </w:t>
      </w:r>
      <w:r w:rsidR="00357F0F" w:rsidRPr="008E3154">
        <w:rPr>
          <w:color w:val="000000" w:themeColor="text1"/>
        </w:rPr>
        <w:t xml:space="preserve">catered for the needs of </w:t>
      </w:r>
      <w:r w:rsidR="00357F0F" w:rsidRPr="008E3154">
        <w:rPr>
          <w:color w:val="000000" w:themeColor="text1"/>
          <w:highlight w:val="yellow"/>
        </w:rPr>
        <w:t>housewives</w:t>
      </w:r>
      <w:r w:rsidR="00357F0F" w:rsidRPr="008E3154">
        <w:rPr>
          <w:color w:val="000000" w:themeColor="text1"/>
        </w:rPr>
        <w:t xml:space="preserve"> living in urban areas</w:t>
      </w:r>
      <w:r w:rsidR="00223E34" w:rsidRPr="008E3154">
        <w:rPr>
          <w:color w:val="000000" w:themeColor="text1"/>
        </w:rPr>
        <w:t>. T</w:t>
      </w:r>
      <w:r w:rsidR="00357F0F" w:rsidRPr="008E3154">
        <w:rPr>
          <w:color w:val="000000" w:themeColor="text1"/>
        </w:rPr>
        <w:t>he aim of</w:t>
      </w:r>
      <w:r w:rsidR="00223E34" w:rsidRPr="008E3154">
        <w:rPr>
          <w:color w:val="000000" w:themeColor="text1"/>
        </w:rPr>
        <w:t xml:space="preserve"> the new organisation was to “provide</w:t>
      </w:r>
      <w:r w:rsidR="00357F0F" w:rsidRPr="008E3154">
        <w:rPr>
          <w:color w:val="000000" w:themeColor="text1"/>
        </w:rPr>
        <w:t xml:space="preserve"> a common meeting ground for women irrespective of creed and party, for their wider education including social intercourse”.</w:t>
      </w:r>
      <w:r w:rsidR="00357F0F" w:rsidRPr="008E3154">
        <w:rPr>
          <w:rStyle w:val="FootnoteReference"/>
          <w:color w:val="000000" w:themeColor="text1"/>
        </w:rPr>
        <w:footnoteReference w:id="17"/>
      </w:r>
    </w:p>
    <w:p w14:paraId="2D6E1717" w14:textId="16E202F1" w:rsidR="00357F0F" w:rsidRPr="008E3154" w:rsidRDefault="00357F0F" w:rsidP="00357F0F">
      <w:pPr>
        <w:spacing w:line="480" w:lineRule="auto"/>
        <w:ind w:firstLine="720"/>
        <w:rPr>
          <w:color w:val="000000" w:themeColor="text1"/>
        </w:rPr>
      </w:pPr>
      <w:r w:rsidRPr="008E3154">
        <w:rPr>
          <w:color w:val="000000" w:themeColor="text1"/>
        </w:rPr>
        <w:t xml:space="preserve">Unlike the </w:t>
      </w:r>
      <w:r w:rsidRPr="008E3154">
        <w:rPr>
          <w:color w:val="000000" w:themeColor="text1"/>
          <w:highlight w:val="yellow"/>
        </w:rPr>
        <w:t>WCG</w:t>
      </w:r>
      <w:r w:rsidRPr="008E3154">
        <w:rPr>
          <w:color w:val="000000" w:themeColor="text1"/>
        </w:rPr>
        <w:t xml:space="preserve"> the leadership of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at both local and national level, was dominated by well-educated, middle-class women. This fact undoubtedly accounts for the middle-class sensibility associated with each organisation</w:t>
      </w:r>
      <w:r w:rsidR="00046EFE" w:rsidRPr="008E3154">
        <w:rPr>
          <w:color w:val="000000" w:themeColor="text1"/>
        </w:rPr>
        <w:t>. It also helps explain the</w:t>
      </w:r>
      <w:r w:rsidRPr="008E3154">
        <w:rPr>
          <w:color w:val="000000" w:themeColor="text1"/>
        </w:rPr>
        <w:t xml:space="preserve"> desire</w:t>
      </w:r>
      <w:r w:rsidR="00046EFE" w:rsidRPr="008E3154">
        <w:rPr>
          <w:color w:val="000000" w:themeColor="text1"/>
        </w:rPr>
        <w:t xml:space="preserve"> of both groups</w:t>
      </w:r>
      <w:r w:rsidR="00FD5DD2" w:rsidRPr="008E3154">
        <w:rPr>
          <w:color w:val="000000" w:themeColor="text1"/>
        </w:rPr>
        <w:t xml:space="preserve"> to frame</w:t>
      </w:r>
      <w:r w:rsidRPr="008E3154">
        <w:rPr>
          <w:color w:val="000000" w:themeColor="text1"/>
        </w:rPr>
        <w:t xml:space="preserve"> the unpaid work performed by women in the home as a highly skilled, valued </w:t>
      </w:r>
      <w:r w:rsidR="00FA6BCC" w:rsidRPr="008E3154">
        <w:rPr>
          <w:color w:val="000000" w:themeColor="text1"/>
        </w:rPr>
        <w:t xml:space="preserve">and professional occupation. </w:t>
      </w:r>
      <w:r w:rsidR="00FD5DD2" w:rsidRPr="008E3154">
        <w:rPr>
          <w:color w:val="000000" w:themeColor="text1"/>
        </w:rPr>
        <w:t>The</w:t>
      </w:r>
      <w:r w:rsidR="00377876" w:rsidRPr="008E3154">
        <w:rPr>
          <w:color w:val="000000" w:themeColor="text1"/>
        </w:rPr>
        <w:t xml:space="preserve"> </w:t>
      </w:r>
      <w:proofErr w:type="spellStart"/>
      <w:r w:rsidR="00D07C0A" w:rsidRPr="004F2EB6">
        <w:rPr>
          <w:color w:val="000000" w:themeColor="text1"/>
          <w:highlight w:val="yellow"/>
        </w:rPr>
        <w:t>professionalis</w:t>
      </w:r>
      <w:r w:rsidR="00377876" w:rsidRPr="004F2EB6">
        <w:rPr>
          <w:color w:val="000000" w:themeColor="text1"/>
          <w:highlight w:val="yellow"/>
        </w:rPr>
        <w:t>ation</w:t>
      </w:r>
      <w:proofErr w:type="spellEnd"/>
      <w:r w:rsidR="00377876" w:rsidRPr="008E3154">
        <w:rPr>
          <w:color w:val="000000" w:themeColor="text1"/>
        </w:rPr>
        <w:t xml:space="preserve"> </w:t>
      </w:r>
      <w:r w:rsidR="00E70086" w:rsidRPr="008E3154">
        <w:rPr>
          <w:color w:val="000000" w:themeColor="text1"/>
        </w:rPr>
        <w:t xml:space="preserve">of </w:t>
      </w:r>
      <w:r w:rsidRPr="008E3154">
        <w:rPr>
          <w:color w:val="000000" w:themeColor="text1"/>
          <w:highlight w:val="yellow"/>
        </w:rPr>
        <w:t>housework</w:t>
      </w:r>
      <w:r w:rsidRPr="008E3154">
        <w:rPr>
          <w:color w:val="000000" w:themeColor="text1"/>
        </w:rPr>
        <w:t xml:space="preserve"> extended to</w:t>
      </w:r>
      <w:r w:rsidR="00FD5DD2" w:rsidRPr="008E3154">
        <w:rPr>
          <w:color w:val="000000" w:themeColor="text1"/>
        </w:rPr>
        <w:t xml:space="preserve"> middle-class and</w:t>
      </w:r>
      <w:r w:rsidRPr="008E3154">
        <w:rPr>
          <w:color w:val="000000" w:themeColor="text1"/>
        </w:rPr>
        <w:t xml:space="preserve"> working-class wives with historians Joanna Bourke and </w:t>
      </w:r>
      <w:r w:rsidRPr="008E3154">
        <w:rPr>
          <w:color w:val="000000" w:themeColor="text1"/>
        </w:rPr>
        <w:lastRenderedPageBreak/>
        <w:t>Elizabeth Roberts documenting the association of housewifery with professional skills among working-class women from the late nineteenth century.</w:t>
      </w:r>
      <w:r w:rsidRPr="008E3154">
        <w:rPr>
          <w:rStyle w:val="FootnoteReference"/>
          <w:color w:val="000000" w:themeColor="text1"/>
        </w:rPr>
        <w:footnoteReference w:id="18"/>
      </w:r>
      <w:r w:rsidRPr="008E3154">
        <w:rPr>
          <w:color w:val="000000" w:themeColor="text1"/>
        </w:rPr>
        <w:t xml:space="preserve"> </w:t>
      </w:r>
      <w:r w:rsidR="00DC3F1E" w:rsidRPr="008E3154">
        <w:rPr>
          <w:color w:val="000000" w:themeColor="text1"/>
        </w:rPr>
        <w:t xml:space="preserve">By the 1920s the </w:t>
      </w:r>
      <w:r w:rsidR="00A359C7">
        <w:rPr>
          <w:color w:val="000000" w:themeColor="text1"/>
        </w:rPr>
        <w:t xml:space="preserve">identification </w:t>
      </w:r>
      <w:r w:rsidR="004052E7" w:rsidRPr="008E3154">
        <w:rPr>
          <w:color w:val="000000" w:themeColor="text1"/>
        </w:rPr>
        <w:t xml:space="preserve">of housewifery as a skilled profession had become well established </w:t>
      </w:r>
      <w:r w:rsidRPr="008E3154">
        <w:rPr>
          <w:color w:val="000000" w:themeColor="text1"/>
        </w:rPr>
        <w:t xml:space="preserve">with Judy Giles observing “the idea of the </w:t>
      </w:r>
      <w:r w:rsidRPr="008E3154">
        <w:rPr>
          <w:color w:val="000000" w:themeColor="text1"/>
          <w:highlight w:val="yellow"/>
        </w:rPr>
        <w:t>housewife</w:t>
      </w:r>
      <w:r w:rsidRPr="008E3154">
        <w:rPr>
          <w:color w:val="000000" w:themeColor="text1"/>
        </w:rPr>
        <w:t xml:space="preserve"> was offered as a highly valued and ‘modern’ role for women, albeit a conservative one, focusing as it did on women’s traditional functions within the family”.</w:t>
      </w:r>
      <w:r w:rsidRPr="008E3154">
        <w:rPr>
          <w:rStyle w:val="FootnoteReference"/>
          <w:color w:val="000000" w:themeColor="text1"/>
        </w:rPr>
        <w:footnoteReference w:id="19"/>
      </w:r>
    </w:p>
    <w:p w14:paraId="7378985B" w14:textId="668C3E0D" w:rsidR="00357F0F" w:rsidRPr="008E3154" w:rsidRDefault="00357F0F" w:rsidP="00357F0F">
      <w:pPr>
        <w:spacing w:line="480" w:lineRule="auto"/>
        <w:ind w:firstLine="720"/>
        <w:rPr>
          <w:color w:val="000000" w:themeColor="text1"/>
        </w:rPr>
      </w:pPr>
      <w:r w:rsidRPr="008E3154">
        <w:rPr>
          <w:color w:val="000000" w:themeColor="text1"/>
        </w:rPr>
        <w:t xml:space="preserve">Operating within this gendered framework, </w:t>
      </w:r>
      <w:r w:rsidRPr="008E3154">
        <w:rPr>
          <w:color w:val="000000" w:themeColor="text1"/>
          <w:highlight w:val="yellow"/>
        </w:rPr>
        <w:t>housewives’ associations</w:t>
      </w:r>
      <w:r w:rsidRPr="008E3154">
        <w:rPr>
          <w:color w:val="000000" w:themeColor="text1"/>
        </w:rPr>
        <w:t xml:space="preserve"> were able to exploit the societal value placed on women’s domestic work to legitimate claims making around </w:t>
      </w:r>
      <w:r w:rsidRPr="00A359C7">
        <w:rPr>
          <w:color w:val="000000" w:themeColor="text1"/>
          <w:highlight w:val="yellow"/>
        </w:rPr>
        <w:t>welfare</w:t>
      </w:r>
      <w:r w:rsidRPr="008E3154">
        <w:rPr>
          <w:color w:val="000000" w:themeColor="text1"/>
        </w:rPr>
        <w:t xml:space="preserve"> throughout the interwar years. This strategy was bolstered by the partial extension of the parliamentary franchise to women over 30 in 1918 and on equal terms with men in 1928.</w:t>
      </w:r>
      <w:r w:rsidRPr="008E3154">
        <w:rPr>
          <w:rStyle w:val="FootnoteReference"/>
          <w:color w:val="000000" w:themeColor="text1"/>
        </w:rPr>
        <w:footnoteReference w:id="20"/>
      </w:r>
      <w:r w:rsidRPr="008E3154">
        <w:rPr>
          <w:color w:val="000000" w:themeColor="text1"/>
        </w:rPr>
        <w:t xml:space="preserve"> As a consequence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effectively combined the </w:t>
      </w:r>
      <w:r w:rsidRPr="008E3154">
        <w:rPr>
          <w:color w:val="000000" w:themeColor="text1"/>
          <w:highlight w:val="yellow"/>
        </w:rPr>
        <w:t>experiential</w:t>
      </w:r>
      <w:r w:rsidRPr="008E3154">
        <w:rPr>
          <w:color w:val="000000" w:themeColor="text1"/>
        </w:rPr>
        <w:t xml:space="preserve"> </w:t>
      </w:r>
      <w:r w:rsidRPr="008E3154">
        <w:rPr>
          <w:color w:val="000000" w:themeColor="text1"/>
          <w:highlight w:val="yellow"/>
        </w:rPr>
        <w:t>expertise</w:t>
      </w:r>
      <w:r w:rsidRPr="008E3154">
        <w:rPr>
          <w:color w:val="000000" w:themeColor="text1"/>
        </w:rPr>
        <w:t xml:space="preserve"> of members with newly won democratic rights to intervene in debates on </w:t>
      </w:r>
      <w:r w:rsidRPr="008E3154">
        <w:rPr>
          <w:color w:val="000000" w:themeColor="text1"/>
          <w:highlight w:val="yellow"/>
        </w:rPr>
        <w:t>welfare policies</w:t>
      </w:r>
      <w:r w:rsidRPr="008E3154">
        <w:rPr>
          <w:color w:val="000000" w:themeColor="text1"/>
        </w:rPr>
        <w:t xml:space="preserve">. The outcome was that, along with </w:t>
      </w:r>
      <w:r w:rsidR="00D24B4F" w:rsidRPr="008E3154">
        <w:rPr>
          <w:color w:val="000000" w:themeColor="text1"/>
        </w:rPr>
        <w:t xml:space="preserve">a diverse mix of </w:t>
      </w:r>
      <w:r w:rsidRPr="008E3154">
        <w:rPr>
          <w:color w:val="000000" w:themeColor="text1"/>
        </w:rPr>
        <w:t xml:space="preserve">other groups including the </w:t>
      </w:r>
      <w:r w:rsidRPr="008E3154">
        <w:rPr>
          <w:color w:val="000000" w:themeColor="text1"/>
          <w:highlight w:val="yellow"/>
        </w:rPr>
        <w:t>WCG</w:t>
      </w:r>
      <w:r w:rsidRPr="008E3154">
        <w:rPr>
          <w:color w:val="000000" w:themeColor="text1"/>
        </w:rPr>
        <w:t xml:space="preserve">, the </w:t>
      </w:r>
      <w:r w:rsidRPr="008E3154">
        <w:rPr>
          <w:color w:val="000000" w:themeColor="text1"/>
          <w:highlight w:val="yellow"/>
        </w:rPr>
        <w:t>Labour Party Women’s Sections</w:t>
      </w:r>
      <w:r w:rsidRPr="008E3154">
        <w:rPr>
          <w:color w:val="000000" w:themeColor="text1"/>
        </w:rPr>
        <w:t xml:space="preserve">, the </w:t>
      </w:r>
      <w:r w:rsidRPr="008E3154">
        <w:rPr>
          <w:color w:val="000000" w:themeColor="text1"/>
          <w:highlight w:val="yellow"/>
        </w:rPr>
        <w:lastRenderedPageBreak/>
        <w:t xml:space="preserve">National Council of </w:t>
      </w:r>
      <w:r w:rsidRPr="00AE3200">
        <w:rPr>
          <w:color w:val="000000" w:themeColor="text1"/>
          <w:highlight w:val="yellow"/>
        </w:rPr>
        <w:t>Women (NCW)</w:t>
      </w:r>
      <w:r w:rsidR="00D24B4F" w:rsidRPr="00AE3200">
        <w:rPr>
          <w:color w:val="000000" w:themeColor="text1"/>
          <w:highlight w:val="yellow"/>
        </w:rPr>
        <w:t>,</w:t>
      </w:r>
      <w:r w:rsidR="00D24B4F" w:rsidRPr="008E3154">
        <w:rPr>
          <w:color w:val="000000" w:themeColor="text1"/>
        </w:rPr>
        <w:t xml:space="preserve"> the </w:t>
      </w:r>
      <w:r w:rsidR="00D24B4F" w:rsidRPr="008E3154">
        <w:rPr>
          <w:color w:val="000000" w:themeColor="text1"/>
          <w:highlight w:val="yellow"/>
        </w:rPr>
        <w:t>Mothers’ Union</w:t>
      </w:r>
      <w:r w:rsidRPr="008E3154">
        <w:rPr>
          <w:color w:val="000000" w:themeColor="text1"/>
        </w:rPr>
        <w:t xml:space="preserve"> and post-suffrage feminist societies, these groups were effective in demanding reforms needed to ensure women “</w:t>
      </w:r>
      <w:r w:rsidRPr="008E3154">
        <w:rPr>
          <w:color w:val="000000" w:themeColor="text1"/>
          <w:highlight w:val="yellow"/>
        </w:rPr>
        <w:t>fared well</w:t>
      </w:r>
      <w:r w:rsidRPr="008E3154">
        <w:rPr>
          <w:color w:val="000000" w:themeColor="text1"/>
        </w:rPr>
        <w:t>”.</w:t>
      </w:r>
      <w:r w:rsidRPr="008E3154">
        <w:rPr>
          <w:rStyle w:val="FootnoteReference"/>
          <w:color w:val="000000" w:themeColor="text1"/>
        </w:rPr>
        <w:footnoteReference w:id="21"/>
      </w:r>
    </w:p>
    <w:p w14:paraId="7479D471" w14:textId="0C65D380" w:rsidR="00357F0F" w:rsidRPr="008E3154" w:rsidRDefault="00C74182" w:rsidP="00357F0F">
      <w:pPr>
        <w:spacing w:line="480" w:lineRule="auto"/>
        <w:ind w:firstLine="720"/>
        <w:rPr>
          <w:color w:val="000000" w:themeColor="text1"/>
        </w:rPr>
      </w:pPr>
      <w:r w:rsidRPr="008E3154">
        <w:rPr>
          <w:color w:val="000000" w:themeColor="text1"/>
        </w:rPr>
        <w:t>It was in</w:t>
      </w:r>
      <w:r w:rsidR="00357F0F" w:rsidRPr="008E3154">
        <w:rPr>
          <w:color w:val="000000" w:themeColor="text1"/>
        </w:rPr>
        <w:t xml:space="preserve"> this historical context that the construct of the “</w:t>
      </w:r>
      <w:r w:rsidR="00357F0F" w:rsidRPr="008E3154">
        <w:rPr>
          <w:color w:val="000000" w:themeColor="text1"/>
          <w:highlight w:val="yellow"/>
        </w:rPr>
        <w:t>citizen housewife</w:t>
      </w:r>
      <w:r w:rsidR="00357F0F" w:rsidRPr="008E3154">
        <w:rPr>
          <w:color w:val="000000" w:themeColor="text1"/>
        </w:rPr>
        <w:t>” and “</w:t>
      </w:r>
      <w:r w:rsidR="00357F0F" w:rsidRPr="008E3154">
        <w:rPr>
          <w:color w:val="000000" w:themeColor="text1"/>
          <w:highlight w:val="yellow"/>
        </w:rPr>
        <w:t>housewife as expert</w:t>
      </w:r>
      <w:r w:rsidR="00357F0F" w:rsidRPr="008E3154">
        <w:rPr>
          <w:color w:val="000000" w:themeColor="text1"/>
        </w:rPr>
        <w:t xml:space="preserve">” emerged during the </w:t>
      </w:r>
      <w:r w:rsidR="00357F0F" w:rsidRPr="008E3154">
        <w:rPr>
          <w:color w:val="000000" w:themeColor="text1"/>
          <w:highlight w:val="yellow"/>
        </w:rPr>
        <w:t>Second World War</w:t>
      </w:r>
      <w:r w:rsidR="00357F0F" w:rsidRPr="008E3154">
        <w:rPr>
          <w:color w:val="000000" w:themeColor="text1"/>
        </w:rPr>
        <w:t xml:space="preserve">. At a time of national crisis the government once again found itself dependent on the support of </w:t>
      </w:r>
      <w:r w:rsidR="00357F0F" w:rsidRPr="008E3154">
        <w:rPr>
          <w:color w:val="000000" w:themeColor="text1"/>
          <w:highlight w:val="yellow"/>
        </w:rPr>
        <w:t>housewives</w:t>
      </w:r>
      <w:r w:rsidR="00357F0F" w:rsidRPr="008E3154">
        <w:rPr>
          <w:color w:val="000000" w:themeColor="text1"/>
        </w:rPr>
        <w:t xml:space="preserve"> for the success of emergency policies. This included rationing, domestic food production and the evacuation of children, as well as the maintenance</w:t>
      </w:r>
      <w:r w:rsidR="00184106" w:rsidRPr="008E3154">
        <w:rPr>
          <w:color w:val="000000" w:themeColor="text1"/>
        </w:rPr>
        <w:t>,</w:t>
      </w:r>
      <w:r w:rsidR="00357F0F" w:rsidRPr="008E3154">
        <w:rPr>
          <w:color w:val="000000" w:themeColor="text1"/>
        </w:rPr>
        <w:t xml:space="preserve"> as far as was possible</w:t>
      </w:r>
      <w:r w:rsidR="00184106" w:rsidRPr="008E3154">
        <w:rPr>
          <w:color w:val="000000" w:themeColor="text1"/>
        </w:rPr>
        <w:t>,</w:t>
      </w:r>
      <w:r w:rsidR="00357F0F" w:rsidRPr="008E3154">
        <w:rPr>
          <w:color w:val="000000" w:themeColor="text1"/>
        </w:rPr>
        <w:t xml:space="preserve"> of “normal” domestic life. As a result government propaganda propelled </w:t>
      </w:r>
      <w:r w:rsidR="00357F0F" w:rsidRPr="008E3154">
        <w:rPr>
          <w:color w:val="000000" w:themeColor="text1"/>
          <w:highlight w:val="yellow"/>
        </w:rPr>
        <w:t>housewives</w:t>
      </w:r>
      <w:r w:rsidR="00357F0F" w:rsidRPr="008E3154">
        <w:rPr>
          <w:color w:val="000000" w:themeColor="text1"/>
        </w:rPr>
        <w:t xml:space="preserve"> to a new level of importance.</w:t>
      </w:r>
      <w:r w:rsidR="00357F0F" w:rsidRPr="008E3154">
        <w:rPr>
          <w:rStyle w:val="FootnoteReference"/>
          <w:color w:val="000000" w:themeColor="text1"/>
        </w:rPr>
        <w:footnoteReference w:id="22"/>
      </w:r>
      <w:r w:rsidR="00357F0F" w:rsidRPr="008E3154">
        <w:rPr>
          <w:color w:val="000000" w:themeColor="text1"/>
        </w:rPr>
        <w:t xml:space="preserve"> The image of the responsible “</w:t>
      </w:r>
      <w:r w:rsidR="00357F0F" w:rsidRPr="008E3154">
        <w:rPr>
          <w:color w:val="000000" w:themeColor="text1"/>
          <w:highlight w:val="yellow"/>
        </w:rPr>
        <w:t>citizen housewife</w:t>
      </w:r>
      <w:r w:rsidR="00357F0F" w:rsidRPr="008E3154">
        <w:rPr>
          <w:color w:val="000000" w:themeColor="text1"/>
        </w:rPr>
        <w:t>”, an expert in frugal housekeeping, was used repeatedly to inspire good habits among the wider populace.</w:t>
      </w:r>
      <w:r w:rsidR="00357F0F" w:rsidRPr="008E3154">
        <w:rPr>
          <w:rStyle w:val="FootnoteReference"/>
          <w:color w:val="000000" w:themeColor="text1"/>
        </w:rPr>
        <w:footnoteReference w:id="23"/>
      </w:r>
      <w:r w:rsidR="00357F0F" w:rsidRPr="008E3154">
        <w:rPr>
          <w:color w:val="000000" w:themeColor="text1"/>
        </w:rPr>
        <w:t xml:space="preserve"> </w:t>
      </w:r>
    </w:p>
    <w:p w14:paraId="00D7D6C9" w14:textId="04DBBFCA" w:rsidR="00357F0F" w:rsidRPr="008E3154" w:rsidRDefault="00357F0F" w:rsidP="00357F0F">
      <w:pPr>
        <w:spacing w:line="480" w:lineRule="auto"/>
        <w:ind w:firstLine="720"/>
        <w:rPr>
          <w:color w:val="000000" w:themeColor="text1"/>
        </w:rPr>
      </w:pPr>
      <w:r w:rsidRPr="008E3154">
        <w:rPr>
          <w:color w:val="000000" w:themeColor="text1"/>
          <w:highlight w:val="yellow"/>
        </w:rPr>
        <w:t>Housewives’ associations</w:t>
      </w:r>
      <w:r w:rsidRPr="008E3154">
        <w:rPr>
          <w:color w:val="000000" w:themeColor="text1"/>
        </w:rPr>
        <w:t xml:space="preserve"> were invited to share their </w:t>
      </w:r>
      <w:r w:rsidRPr="00AE3200">
        <w:rPr>
          <w:color w:val="000000" w:themeColor="text1"/>
          <w:highlight w:val="yellow"/>
        </w:rPr>
        <w:t>expertise</w:t>
      </w:r>
      <w:r w:rsidRPr="008E3154">
        <w:rPr>
          <w:color w:val="000000" w:themeColor="text1"/>
        </w:rPr>
        <w:t xml:space="preserve"> by giving evidence to a number of wartime enquires including the </w:t>
      </w:r>
      <w:r w:rsidRPr="008E3154">
        <w:rPr>
          <w:color w:val="000000" w:themeColor="text1"/>
          <w:highlight w:val="yellow"/>
        </w:rPr>
        <w:t xml:space="preserve">Design of Dwellings </w:t>
      </w:r>
      <w:r w:rsidRPr="00AE3200">
        <w:rPr>
          <w:color w:val="000000" w:themeColor="text1"/>
          <w:highlight w:val="yellow"/>
        </w:rPr>
        <w:t>Committee (1942),</w:t>
      </w:r>
      <w:r w:rsidRPr="008E3154">
        <w:rPr>
          <w:color w:val="000000" w:themeColor="text1"/>
        </w:rPr>
        <w:t xml:space="preserve"> the </w:t>
      </w:r>
      <w:r w:rsidRPr="008E3154">
        <w:rPr>
          <w:color w:val="000000" w:themeColor="text1"/>
          <w:highlight w:val="yellow"/>
        </w:rPr>
        <w:t xml:space="preserve">Royal Commission on </w:t>
      </w:r>
      <w:r w:rsidRPr="00AE3200">
        <w:rPr>
          <w:color w:val="000000" w:themeColor="text1"/>
          <w:highlight w:val="yellow"/>
        </w:rPr>
        <w:t>Population (1944)</w:t>
      </w:r>
      <w:r w:rsidRPr="008E3154">
        <w:rPr>
          <w:color w:val="000000" w:themeColor="text1"/>
        </w:rPr>
        <w:t xml:space="preserve"> and the </w:t>
      </w:r>
      <w:r w:rsidRPr="008E3154">
        <w:rPr>
          <w:color w:val="000000" w:themeColor="text1"/>
          <w:highlight w:val="yellow"/>
        </w:rPr>
        <w:t xml:space="preserve">Royal Commission on Equal </w:t>
      </w:r>
      <w:r w:rsidRPr="00AE3200">
        <w:rPr>
          <w:color w:val="000000" w:themeColor="text1"/>
          <w:highlight w:val="yellow"/>
        </w:rPr>
        <w:t>Pay (1944).</w:t>
      </w:r>
      <w:r w:rsidRPr="008E3154">
        <w:rPr>
          <w:color w:val="000000" w:themeColor="text1"/>
        </w:rPr>
        <w:t xml:space="preserve"> </w:t>
      </w:r>
      <w:r w:rsidR="00F849AE" w:rsidRPr="008E3154">
        <w:rPr>
          <w:color w:val="000000" w:themeColor="text1"/>
        </w:rPr>
        <w:t>N</w:t>
      </w:r>
      <w:r w:rsidRPr="008E3154">
        <w:rPr>
          <w:color w:val="000000" w:themeColor="text1"/>
        </w:rPr>
        <w:t xml:space="preserve">ew initiatives were introduced to better capture the </w:t>
      </w:r>
      <w:r w:rsidRPr="00AE3200">
        <w:rPr>
          <w:color w:val="000000" w:themeColor="text1"/>
          <w:highlight w:val="yellow"/>
        </w:rPr>
        <w:t>expertise</w:t>
      </w:r>
      <w:r w:rsidRPr="008E3154">
        <w:rPr>
          <w:color w:val="000000" w:themeColor="text1"/>
        </w:rPr>
        <w:t xml:space="preserve"> of </w:t>
      </w:r>
      <w:r w:rsidRPr="008E3154">
        <w:rPr>
          <w:color w:val="000000" w:themeColor="text1"/>
          <w:highlight w:val="yellow"/>
        </w:rPr>
        <w:t>housewives’ associations</w:t>
      </w:r>
      <w:r w:rsidRPr="008E3154">
        <w:rPr>
          <w:color w:val="000000" w:themeColor="text1"/>
        </w:rPr>
        <w:t xml:space="preserve"> and </w:t>
      </w:r>
      <w:r w:rsidRPr="008E3154">
        <w:rPr>
          <w:color w:val="000000" w:themeColor="text1"/>
        </w:rPr>
        <w:lastRenderedPageBreak/>
        <w:t xml:space="preserve">other women’s groups. What became known as the </w:t>
      </w:r>
      <w:r w:rsidRPr="008E3154">
        <w:rPr>
          <w:color w:val="000000" w:themeColor="text1"/>
          <w:highlight w:val="yellow"/>
        </w:rPr>
        <w:t>Women’s Group on Public Welfare (WGPW)</w:t>
      </w:r>
      <w:r w:rsidRPr="008E3154">
        <w:rPr>
          <w:color w:val="000000" w:themeColor="text1"/>
        </w:rPr>
        <w:t xml:space="preserve"> was established in 1939 “to bring the experience of its constituent organisations to bear on questions of public welfare, more especially those affecting women and children”.</w:t>
      </w:r>
      <w:r w:rsidRPr="008E3154">
        <w:rPr>
          <w:rStyle w:val="FootnoteReference"/>
          <w:color w:val="000000" w:themeColor="text1"/>
        </w:rPr>
        <w:footnoteReference w:id="24"/>
      </w:r>
      <w:r w:rsidRPr="008E3154">
        <w:rPr>
          <w:color w:val="000000" w:themeColor="text1"/>
        </w:rPr>
        <w:t xml:space="preserve"> Its membership was made up of all the major women’s organisations including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w:t>
      </w:r>
      <w:r w:rsidRPr="008E3154">
        <w:rPr>
          <w:rStyle w:val="FootnoteReference"/>
          <w:color w:val="000000" w:themeColor="text1"/>
        </w:rPr>
        <w:footnoteReference w:id="25"/>
      </w:r>
      <w:r w:rsidRPr="008E3154">
        <w:rPr>
          <w:color w:val="000000" w:themeColor="text1"/>
        </w:rPr>
        <w:t xml:space="preserve"> Furthermore the recognition given to the </w:t>
      </w:r>
      <w:r w:rsidRPr="008E3154">
        <w:rPr>
          <w:color w:val="000000" w:themeColor="text1"/>
          <w:highlight w:val="yellow"/>
        </w:rPr>
        <w:t>housewife</w:t>
      </w:r>
      <w:r w:rsidRPr="008E3154">
        <w:rPr>
          <w:color w:val="000000" w:themeColor="text1"/>
        </w:rPr>
        <w:t xml:space="preserve"> in the </w:t>
      </w:r>
      <w:r w:rsidRPr="008E3154">
        <w:rPr>
          <w:color w:val="000000" w:themeColor="text1"/>
          <w:highlight w:val="yellow"/>
        </w:rPr>
        <w:t>Beveridge Report</w:t>
      </w:r>
      <w:r w:rsidRPr="008E3154">
        <w:rPr>
          <w:color w:val="000000" w:themeColor="text1"/>
        </w:rPr>
        <w:t>, published in 1942, re-affirmed the “</w:t>
      </w:r>
      <w:r w:rsidRPr="008E3154">
        <w:rPr>
          <w:color w:val="000000" w:themeColor="text1"/>
          <w:highlight w:val="yellow"/>
        </w:rPr>
        <w:t>citizen housewife</w:t>
      </w:r>
      <w:r w:rsidRPr="008E3154">
        <w:rPr>
          <w:color w:val="000000" w:themeColor="text1"/>
        </w:rPr>
        <w:t xml:space="preserve">” </w:t>
      </w:r>
      <w:r w:rsidR="00F849AE" w:rsidRPr="008E3154">
        <w:rPr>
          <w:color w:val="000000" w:themeColor="text1"/>
        </w:rPr>
        <w:t xml:space="preserve">ideal. Here </w:t>
      </w:r>
      <w:r w:rsidR="00F849AE" w:rsidRPr="008E3154">
        <w:rPr>
          <w:color w:val="000000" w:themeColor="text1"/>
          <w:highlight w:val="yellow"/>
        </w:rPr>
        <w:t>William Beveridge</w:t>
      </w:r>
      <w:r w:rsidR="00F849AE" w:rsidRPr="008E3154">
        <w:rPr>
          <w:color w:val="000000" w:themeColor="text1"/>
        </w:rPr>
        <w:t xml:space="preserve"> opined that</w:t>
      </w:r>
      <w:r w:rsidR="00D45884" w:rsidRPr="008E3154">
        <w:rPr>
          <w:color w:val="000000" w:themeColor="text1"/>
        </w:rPr>
        <w:t>,</w:t>
      </w:r>
      <w:r w:rsidRPr="008E3154">
        <w:rPr>
          <w:color w:val="000000" w:themeColor="text1"/>
        </w:rPr>
        <w:t xml:space="preserve"> “in the next thirty years </w:t>
      </w:r>
      <w:r w:rsidRPr="008E3154">
        <w:rPr>
          <w:color w:val="000000" w:themeColor="text1"/>
          <w:highlight w:val="yellow"/>
        </w:rPr>
        <w:t>housewives</w:t>
      </w:r>
      <w:r w:rsidRPr="008E3154">
        <w:rPr>
          <w:color w:val="000000" w:themeColor="text1"/>
        </w:rPr>
        <w:t>, as mothers, have vital work to do in ensuring the adequate continuance of the British race and of British ideals in the world”.</w:t>
      </w:r>
      <w:r w:rsidRPr="008E3154">
        <w:rPr>
          <w:rStyle w:val="FootnoteReference"/>
          <w:color w:val="000000" w:themeColor="text1"/>
        </w:rPr>
        <w:footnoteReference w:id="26"/>
      </w:r>
      <w:r w:rsidRPr="008E3154">
        <w:rPr>
          <w:color w:val="000000" w:themeColor="text1"/>
        </w:rPr>
        <w:t xml:space="preserve"> </w:t>
      </w:r>
    </w:p>
    <w:p w14:paraId="73578780" w14:textId="374FFC91" w:rsidR="00357F0F" w:rsidRPr="008E3154" w:rsidRDefault="00357F0F" w:rsidP="00357F0F">
      <w:pPr>
        <w:spacing w:line="480" w:lineRule="auto"/>
        <w:ind w:firstLine="720"/>
        <w:rPr>
          <w:color w:val="000000" w:themeColor="text1"/>
        </w:rPr>
      </w:pPr>
      <w:r w:rsidRPr="008E3154">
        <w:rPr>
          <w:color w:val="000000" w:themeColor="text1"/>
        </w:rPr>
        <w:t xml:space="preserve">Thirty years later in 1973 </w:t>
      </w:r>
      <w:r w:rsidRPr="008E3154">
        <w:rPr>
          <w:color w:val="000000" w:themeColor="text1"/>
          <w:highlight w:val="yellow"/>
        </w:rPr>
        <w:t>housewives</w:t>
      </w:r>
      <w:r w:rsidRPr="008E3154">
        <w:rPr>
          <w:color w:val="000000" w:themeColor="text1"/>
        </w:rPr>
        <w:t xml:space="preserve"> </w:t>
      </w:r>
      <w:r w:rsidR="00023800" w:rsidRPr="008E3154">
        <w:rPr>
          <w:color w:val="000000" w:themeColor="text1"/>
        </w:rPr>
        <w:t xml:space="preserve">were </w:t>
      </w:r>
      <w:r w:rsidRPr="008E3154">
        <w:rPr>
          <w:color w:val="000000" w:themeColor="text1"/>
        </w:rPr>
        <w:t>no longer held in such high regard. By this time the “</w:t>
      </w:r>
      <w:r w:rsidRPr="008E3154">
        <w:rPr>
          <w:color w:val="000000" w:themeColor="text1"/>
          <w:highlight w:val="yellow"/>
        </w:rPr>
        <w:t>citizen housewife</w:t>
      </w:r>
      <w:r w:rsidRPr="008E3154">
        <w:rPr>
          <w:color w:val="000000" w:themeColor="text1"/>
        </w:rPr>
        <w:t>”</w:t>
      </w:r>
      <w:r w:rsidR="000A5907" w:rsidRPr="008E3154">
        <w:rPr>
          <w:color w:val="000000" w:themeColor="text1"/>
        </w:rPr>
        <w:t xml:space="preserve"> and “</w:t>
      </w:r>
      <w:r w:rsidR="000A5907" w:rsidRPr="008E3154">
        <w:rPr>
          <w:color w:val="000000" w:themeColor="text1"/>
          <w:highlight w:val="yellow"/>
        </w:rPr>
        <w:t>housewife as expert</w:t>
      </w:r>
      <w:r w:rsidR="000A5907" w:rsidRPr="008E3154">
        <w:rPr>
          <w:color w:val="000000" w:themeColor="text1"/>
        </w:rPr>
        <w:t>” construct</w:t>
      </w:r>
      <w:r w:rsidRPr="008E3154">
        <w:rPr>
          <w:color w:val="000000" w:themeColor="text1"/>
        </w:rPr>
        <w:t xml:space="preserve">, </w:t>
      </w:r>
      <w:r w:rsidR="00F8001E" w:rsidRPr="008E3154">
        <w:rPr>
          <w:color w:val="000000" w:themeColor="text1"/>
        </w:rPr>
        <w:t xml:space="preserve">and </w:t>
      </w:r>
      <w:r w:rsidR="00D830BF" w:rsidRPr="008E3154">
        <w:rPr>
          <w:color w:val="000000" w:themeColor="text1"/>
        </w:rPr>
        <w:t xml:space="preserve">with it </w:t>
      </w:r>
      <w:r w:rsidR="00F8001E" w:rsidRPr="008E3154">
        <w:rPr>
          <w:color w:val="000000" w:themeColor="text1"/>
        </w:rPr>
        <w:t>public appreciation of the</w:t>
      </w:r>
      <w:r w:rsidRPr="008E3154">
        <w:rPr>
          <w:color w:val="000000" w:themeColor="text1"/>
        </w:rPr>
        <w:t xml:space="preserve"> </w:t>
      </w:r>
      <w:r w:rsidR="0092548E" w:rsidRPr="008E3154">
        <w:rPr>
          <w:color w:val="000000" w:themeColor="text1"/>
          <w:highlight w:val="yellow"/>
        </w:rPr>
        <w:t>experiential expertise</w:t>
      </w:r>
      <w:r w:rsidR="0092548E" w:rsidRPr="008E3154">
        <w:rPr>
          <w:color w:val="000000" w:themeColor="text1"/>
        </w:rPr>
        <w:t xml:space="preserve"> shared by </w:t>
      </w:r>
      <w:r w:rsidR="00F8001E" w:rsidRPr="008E3154">
        <w:rPr>
          <w:color w:val="000000" w:themeColor="text1"/>
          <w:highlight w:val="yellow"/>
        </w:rPr>
        <w:t>housewives</w:t>
      </w:r>
      <w:r w:rsidRPr="008E3154">
        <w:rPr>
          <w:color w:val="000000" w:themeColor="text1"/>
        </w:rPr>
        <w:t xml:space="preserve">, was assumed to be a thing of the past. Maggie Andrews in her history of the </w:t>
      </w:r>
      <w:r w:rsidRPr="008E3154">
        <w:rPr>
          <w:color w:val="000000" w:themeColor="text1"/>
          <w:highlight w:val="yellow"/>
        </w:rPr>
        <w:t>NFWI</w:t>
      </w:r>
      <w:r w:rsidRPr="008E3154">
        <w:rPr>
          <w:color w:val="000000" w:themeColor="text1"/>
        </w:rPr>
        <w:t xml:space="preserve"> suggests that </w:t>
      </w:r>
    </w:p>
    <w:p w14:paraId="7FF63953" w14:textId="77777777" w:rsidR="00357F0F" w:rsidRPr="008E3154" w:rsidRDefault="00357F0F" w:rsidP="00357F0F">
      <w:pPr>
        <w:spacing w:line="480" w:lineRule="auto"/>
        <w:ind w:firstLine="720"/>
        <w:rPr>
          <w:color w:val="000000" w:themeColor="text1"/>
        </w:rPr>
      </w:pPr>
      <w:r w:rsidRPr="008E3154">
        <w:rPr>
          <w:color w:val="000000" w:themeColor="text1"/>
        </w:rPr>
        <w:t xml:space="preserve">The expansion of the </w:t>
      </w:r>
      <w:r w:rsidRPr="008E3154">
        <w:rPr>
          <w:color w:val="000000" w:themeColor="text1"/>
          <w:highlight w:val="yellow"/>
        </w:rPr>
        <w:t>welfare state</w:t>
      </w:r>
      <w:r w:rsidRPr="008E3154">
        <w:rPr>
          <w:color w:val="000000" w:themeColor="text1"/>
        </w:rPr>
        <w:t xml:space="preserve"> and Government in the </w:t>
      </w:r>
    </w:p>
    <w:p w14:paraId="24022C40" w14:textId="77777777" w:rsidR="00357F0F" w:rsidRPr="008E3154" w:rsidRDefault="00357F0F" w:rsidP="00357F0F">
      <w:pPr>
        <w:spacing w:line="480" w:lineRule="auto"/>
        <w:ind w:firstLine="720"/>
        <w:rPr>
          <w:color w:val="000000" w:themeColor="text1"/>
        </w:rPr>
      </w:pPr>
      <w:r w:rsidRPr="008E3154">
        <w:rPr>
          <w:color w:val="000000" w:themeColor="text1"/>
        </w:rPr>
        <w:t xml:space="preserve">post-war period brought with it a mushrooming of both local </w:t>
      </w:r>
    </w:p>
    <w:p w14:paraId="026859E9" w14:textId="77777777" w:rsidR="00357F0F" w:rsidRPr="008E3154" w:rsidRDefault="00357F0F" w:rsidP="00357F0F">
      <w:pPr>
        <w:spacing w:line="480" w:lineRule="auto"/>
        <w:ind w:firstLine="720"/>
        <w:rPr>
          <w:color w:val="000000" w:themeColor="text1"/>
        </w:rPr>
      </w:pPr>
      <w:r w:rsidRPr="008E3154">
        <w:rPr>
          <w:color w:val="000000" w:themeColor="text1"/>
        </w:rPr>
        <w:t>and central Government experts. Official experts took over</w:t>
      </w:r>
    </w:p>
    <w:p w14:paraId="784DFE22" w14:textId="77777777" w:rsidR="00357F0F" w:rsidRPr="008E3154" w:rsidRDefault="00357F0F" w:rsidP="00357F0F">
      <w:pPr>
        <w:spacing w:line="480" w:lineRule="auto"/>
        <w:ind w:firstLine="720"/>
        <w:rPr>
          <w:color w:val="000000" w:themeColor="text1"/>
        </w:rPr>
      </w:pPr>
      <w:r w:rsidRPr="008E3154">
        <w:rPr>
          <w:color w:val="000000" w:themeColor="text1"/>
        </w:rPr>
        <w:t xml:space="preserve">a variety of </w:t>
      </w:r>
      <w:r w:rsidRPr="00AE3200">
        <w:rPr>
          <w:color w:val="000000" w:themeColor="text1"/>
          <w:highlight w:val="yellow"/>
        </w:rPr>
        <w:t>welfare</w:t>
      </w:r>
      <w:r w:rsidRPr="008E3154">
        <w:rPr>
          <w:color w:val="000000" w:themeColor="text1"/>
        </w:rPr>
        <w:t xml:space="preserve"> issues which had previously been the </w:t>
      </w:r>
    </w:p>
    <w:p w14:paraId="631B4AEC" w14:textId="77777777" w:rsidR="00357F0F" w:rsidRPr="008E3154" w:rsidRDefault="00357F0F" w:rsidP="00357F0F">
      <w:pPr>
        <w:spacing w:line="480" w:lineRule="auto"/>
        <w:ind w:firstLine="720"/>
        <w:rPr>
          <w:color w:val="000000" w:themeColor="text1"/>
        </w:rPr>
      </w:pPr>
      <w:r w:rsidRPr="008E3154">
        <w:rPr>
          <w:color w:val="000000" w:themeColor="text1"/>
        </w:rPr>
        <w:t xml:space="preserve">sphere of </w:t>
      </w:r>
      <w:r w:rsidRPr="008E3154">
        <w:rPr>
          <w:color w:val="000000" w:themeColor="text1"/>
          <w:highlight w:val="yellow"/>
        </w:rPr>
        <w:t>expertise</w:t>
      </w:r>
      <w:r w:rsidRPr="008E3154">
        <w:rPr>
          <w:color w:val="000000" w:themeColor="text1"/>
        </w:rPr>
        <w:t xml:space="preserve"> of women in the Women’s Institute and </w:t>
      </w:r>
    </w:p>
    <w:p w14:paraId="29163825" w14:textId="77777777" w:rsidR="00357F0F" w:rsidRPr="008E3154" w:rsidRDefault="00357F0F" w:rsidP="00357F0F">
      <w:pPr>
        <w:spacing w:line="480" w:lineRule="auto"/>
        <w:ind w:firstLine="720"/>
        <w:rPr>
          <w:color w:val="000000" w:themeColor="text1"/>
        </w:rPr>
      </w:pPr>
      <w:r w:rsidRPr="008E3154">
        <w:rPr>
          <w:color w:val="000000" w:themeColor="text1"/>
        </w:rPr>
        <w:t>similar organisations.</w:t>
      </w:r>
      <w:r w:rsidRPr="008E3154">
        <w:rPr>
          <w:rStyle w:val="FootnoteReference"/>
          <w:color w:val="000000" w:themeColor="text1"/>
        </w:rPr>
        <w:footnoteReference w:id="27"/>
      </w:r>
    </w:p>
    <w:p w14:paraId="5474B94F" w14:textId="77777777" w:rsidR="00357F0F" w:rsidRPr="008E3154" w:rsidRDefault="00357F0F" w:rsidP="00357F0F">
      <w:pPr>
        <w:spacing w:line="480" w:lineRule="auto"/>
        <w:rPr>
          <w:color w:val="000000" w:themeColor="text1"/>
        </w:rPr>
      </w:pPr>
      <w:r w:rsidRPr="008E3154">
        <w:rPr>
          <w:color w:val="000000" w:themeColor="text1"/>
        </w:rPr>
        <w:lastRenderedPageBreak/>
        <w:t xml:space="preserve">Rachel Richie shares this view in her work on the </w:t>
      </w:r>
      <w:r w:rsidRPr="008E3154">
        <w:rPr>
          <w:color w:val="000000" w:themeColor="text1"/>
          <w:highlight w:val="yellow"/>
        </w:rPr>
        <w:t>NFWI</w:t>
      </w:r>
      <w:r w:rsidRPr="008E3154">
        <w:rPr>
          <w:color w:val="000000" w:themeColor="text1"/>
        </w:rPr>
        <w:t xml:space="preserve"> and the </w:t>
      </w:r>
      <w:r w:rsidRPr="008E3154">
        <w:rPr>
          <w:color w:val="000000" w:themeColor="text1"/>
          <w:highlight w:val="yellow"/>
        </w:rPr>
        <w:t>WCG</w:t>
      </w:r>
      <w:r w:rsidRPr="008E3154">
        <w:rPr>
          <w:color w:val="000000" w:themeColor="text1"/>
        </w:rPr>
        <w:t xml:space="preserve"> when she notes “the passing of the housewife’s moment” with both organisations failing to retain their “</w:t>
      </w:r>
      <w:r w:rsidRPr="008E3154">
        <w:rPr>
          <w:color w:val="000000" w:themeColor="text1"/>
          <w:highlight w:val="yellow"/>
        </w:rPr>
        <w:t>housewife as expert</w:t>
      </w:r>
      <w:r w:rsidRPr="008E3154">
        <w:rPr>
          <w:color w:val="000000" w:themeColor="text1"/>
        </w:rPr>
        <w:t>” status.</w:t>
      </w:r>
      <w:r w:rsidRPr="008E3154">
        <w:rPr>
          <w:rStyle w:val="FootnoteReference"/>
          <w:color w:val="000000" w:themeColor="text1"/>
        </w:rPr>
        <w:footnoteReference w:id="28"/>
      </w:r>
      <w:r w:rsidRPr="008E3154">
        <w:rPr>
          <w:color w:val="000000" w:themeColor="text1"/>
        </w:rPr>
        <w:t xml:space="preserve"> </w:t>
      </w:r>
    </w:p>
    <w:p w14:paraId="659B7700" w14:textId="0F7E730B" w:rsidR="00892B6B" w:rsidRPr="008E3154" w:rsidRDefault="00357F0F" w:rsidP="00357F0F">
      <w:pPr>
        <w:spacing w:line="480" w:lineRule="auto"/>
        <w:ind w:firstLine="720"/>
        <w:rPr>
          <w:color w:val="000000" w:themeColor="text1"/>
        </w:rPr>
      </w:pPr>
      <w:r w:rsidRPr="008E3154">
        <w:rPr>
          <w:color w:val="000000" w:themeColor="text1"/>
        </w:rPr>
        <w:t>New professional</w:t>
      </w:r>
      <w:r w:rsidR="00DF4FCD" w:rsidRPr="008E3154">
        <w:rPr>
          <w:color w:val="000000" w:themeColor="text1"/>
        </w:rPr>
        <w:t>ly trained</w:t>
      </w:r>
      <w:r w:rsidRPr="008E3154">
        <w:rPr>
          <w:color w:val="000000" w:themeColor="text1"/>
        </w:rPr>
        <w:t xml:space="preserve"> </w:t>
      </w:r>
      <w:r w:rsidRPr="008E3154">
        <w:rPr>
          <w:color w:val="000000" w:themeColor="text1"/>
          <w:highlight w:val="yellow"/>
        </w:rPr>
        <w:t>experts</w:t>
      </w:r>
      <w:r w:rsidRPr="008E3154">
        <w:rPr>
          <w:color w:val="000000" w:themeColor="text1"/>
        </w:rPr>
        <w:t xml:space="preserve"> appeared to usurp the previously valued </w:t>
      </w:r>
      <w:r w:rsidR="00DF4FCD" w:rsidRPr="008E3154">
        <w:rPr>
          <w:color w:val="000000" w:themeColor="text1"/>
          <w:highlight w:val="yellow"/>
        </w:rPr>
        <w:t xml:space="preserve">experiential </w:t>
      </w:r>
      <w:r w:rsidRPr="008E3154">
        <w:rPr>
          <w:color w:val="000000" w:themeColor="text1"/>
          <w:highlight w:val="yellow"/>
        </w:rPr>
        <w:t>expertise</w:t>
      </w:r>
      <w:r w:rsidRPr="008E3154">
        <w:rPr>
          <w:color w:val="000000" w:themeColor="text1"/>
        </w:rPr>
        <w:t xml:space="preserve"> of wives and mothers. As Judy Giles notes “in the name of efficiency ‘</w:t>
      </w:r>
      <w:r w:rsidRPr="008E3154">
        <w:rPr>
          <w:color w:val="000000" w:themeColor="text1"/>
          <w:highlight w:val="yellow"/>
        </w:rPr>
        <w:t>experts</w:t>
      </w:r>
      <w:r w:rsidRPr="008E3154">
        <w:rPr>
          <w:color w:val="000000" w:themeColor="text1"/>
        </w:rPr>
        <w:t xml:space="preserve">’ and professionals were called upon to extend scientific and rational principles …to </w:t>
      </w:r>
      <w:r w:rsidRPr="008E3154">
        <w:rPr>
          <w:color w:val="000000" w:themeColor="text1"/>
          <w:highlight w:val="yellow"/>
        </w:rPr>
        <w:t>housework</w:t>
      </w:r>
      <w:r w:rsidRPr="008E3154">
        <w:rPr>
          <w:color w:val="000000" w:themeColor="text1"/>
        </w:rPr>
        <w:t>, childcare, sexual relations, and nutrition”.</w:t>
      </w:r>
      <w:r w:rsidRPr="008E3154">
        <w:rPr>
          <w:rStyle w:val="FootnoteReference"/>
          <w:color w:val="000000" w:themeColor="text1"/>
        </w:rPr>
        <w:footnoteReference w:id="29"/>
      </w:r>
      <w:r w:rsidRPr="008E3154">
        <w:rPr>
          <w:color w:val="000000" w:themeColor="text1"/>
        </w:rPr>
        <w:t xml:space="preserve"> This shift to </w:t>
      </w:r>
      <w:r w:rsidRPr="008E3154">
        <w:rPr>
          <w:color w:val="000000" w:themeColor="text1"/>
          <w:highlight w:val="yellow"/>
        </w:rPr>
        <w:t>professional expertise</w:t>
      </w:r>
      <w:r w:rsidRPr="008E3154">
        <w:rPr>
          <w:color w:val="000000" w:themeColor="text1"/>
        </w:rPr>
        <w:t xml:space="preserve"> wasn’t exclusive to </w:t>
      </w:r>
      <w:r w:rsidR="00A3213C" w:rsidRPr="008E3154">
        <w:rPr>
          <w:color w:val="000000" w:themeColor="text1"/>
        </w:rPr>
        <w:t xml:space="preserve">the </w:t>
      </w:r>
      <w:r w:rsidRPr="008E3154">
        <w:rPr>
          <w:color w:val="000000" w:themeColor="text1"/>
        </w:rPr>
        <w:t xml:space="preserve">domestic </w:t>
      </w:r>
      <w:r w:rsidR="00A3213C" w:rsidRPr="008E3154">
        <w:rPr>
          <w:color w:val="000000" w:themeColor="text1"/>
        </w:rPr>
        <w:t xml:space="preserve">sphere </w:t>
      </w:r>
      <w:r w:rsidRPr="008E3154">
        <w:rPr>
          <w:color w:val="000000" w:themeColor="text1"/>
        </w:rPr>
        <w:t xml:space="preserve">with Frank Prochaska observing that professional services provided by the </w:t>
      </w:r>
      <w:r w:rsidRPr="008E3154">
        <w:rPr>
          <w:color w:val="000000" w:themeColor="text1"/>
          <w:highlight w:val="yellow"/>
        </w:rPr>
        <w:t>welfare state</w:t>
      </w:r>
      <w:r w:rsidRPr="008E3154">
        <w:rPr>
          <w:color w:val="000000" w:themeColor="text1"/>
        </w:rPr>
        <w:t xml:space="preserve"> displaced the role of Christian social service in postwar Britain.</w:t>
      </w:r>
      <w:r w:rsidRPr="008E3154">
        <w:rPr>
          <w:rStyle w:val="FootnoteReference"/>
          <w:color w:val="000000" w:themeColor="text1"/>
        </w:rPr>
        <w:footnoteReference w:id="30"/>
      </w:r>
      <w:r w:rsidRPr="008E3154">
        <w:rPr>
          <w:color w:val="000000" w:themeColor="text1"/>
        </w:rPr>
        <w:t xml:space="preserve"> </w:t>
      </w:r>
      <w:r w:rsidR="00A3213C" w:rsidRPr="008E3154">
        <w:rPr>
          <w:color w:val="000000" w:themeColor="text1"/>
        </w:rPr>
        <w:t>Moreover, t</w:t>
      </w:r>
      <w:r w:rsidRPr="008E3154">
        <w:rPr>
          <w:color w:val="000000" w:themeColor="text1"/>
        </w:rPr>
        <w:t xml:space="preserve">he emergence of new independent </w:t>
      </w:r>
      <w:r w:rsidRPr="00AE3200">
        <w:rPr>
          <w:color w:val="000000" w:themeColor="text1"/>
          <w:highlight w:val="yellow"/>
        </w:rPr>
        <w:t>non-governmental organisations (NGOs)</w:t>
      </w:r>
      <w:r w:rsidRPr="008E3154">
        <w:rPr>
          <w:color w:val="000000" w:themeColor="text1"/>
        </w:rPr>
        <w:t xml:space="preserve">, keen to engage with </w:t>
      </w:r>
      <w:r w:rsidRPr="008E3154">
        <w:rPr>
          <w:color w:val="000000" w:themeColor="text1"/>
          <w:highlight w:val="yellow"/>
        </w:rPr>
        <w:t>professional experts</w:t>
      </w:r>
      <w:r w:rsidRPr="008E3154">
        <w:rPr>
          <w:color w:val="000000" w:themeColor="text1"/>
        </w:rPr>
        <w:t xml:space="preserve">, is likewise regarded as </w:t>
      </w:r>
      <w:r w:rsidR="0015343E" w:rsidRPr="008E3154">
        <w:rPr>
          <w:color w:val="000000" w:themeColor="text1"/>
        </w:rPr>
        <w:t xml:space="preserve">a </w:t>
      </w:r>
      <w:r w:rsidRPr="008E3154">
        <w:rPr>
          <w:color w:val="000000" w:themeColor="text1"/>
        </w:rPr>
        <w:t xml:space="preserve">challenge to </w:t>
      </w:r>
      <w:r w:rsidRPr="00AE3200">
        <w:rPr>
          <w:color w:val="000000" w:themeColor="text1"/>
          <w:highlight w:val="yellow"/>
        </w:rPr>
        <w:t>experiential expertise</w:t>
      </w:r>
      <w:r w:rsidRPr="008E3154">
        <w:rPr>
          <w:color w:val="000000" w:themeColor="text1"/>
        </w:rPr>
        <w:t>.</w:t>
      </w:r>
      <w:r w:rsidRPr="008E3154">
        <w:rPr>
          <w:rStyle w:val="FootnoteReference"/>
          <w:color w:val="000000" w:themeColor="text1"/>
        </w:rPr>
        <w:footnoteReference w:id="31"/>
      </w:r>
      <w:r w:rsidRPr="008E3154">
        <w:rPr>
          <w:color w:val="000000" w:themeColor="text1"/>
        </w:rPr>
        <w:t xml:space="preserve"> </w:t>
      </w:r>
    </w:p>
    <w:p w14:paraId="1CF5EBAF" w14:textId="37610501" w:rsidR="00357F0F" w:rsidRPr="008E3154" w:rsidRDefault="00023800" w:rsidP="00357F0F">
      <w:pPr>
        <w:spacing w:line="480" w:lineRule="auto"/>
        <w:ind w:firstLine="720"/>
        <w:rPr>
          <w:color w:val="000000" w:themeColor="text1"/>
        </w:rPr>
      </w:pPr>
      <w:r w:rsidRPr="008E3154">
        <w:rPr>
          <w:color w:val="000000" w:themeColor="text1"/>
        </w:rPr>
        <w:t>Here t</w:t>
      </w:r>
      <w:r w:rsidR="00357F0F" w:rsidRPr="008E3154">
        <w:rPr>
          <w:color w:val="000000" w:themeColor="text1"/>
        </w:rPr>
        <w:t xml:space="preserve">he impact of what </w:t>
      </w:r>
      <w:r w:rsidR="00357F0F" w:rsidRPr="008E3154">
        <w:rPr>
          <w:color w:val="000000" w:themeColor="text1"/>
          <w:highlight w:val="yellow"/>
        </w:rPr>
        <w:t>Harold Perkin</w:t>
      </w:r>
      <w:r w:rsidR="00357F0F" w:rsidRPr="008E3154">
        <w:rPr>
          <w:color w:val="000000" w:themeColor="text1"/>
        </w:rPr>
        <w:t xml:space="preserve"> terms the “rise of professional society” appears particularly relevant.</w:t>
      </w:r>
      <w:r w:rsidR="00357F0F" w:rsidRPr="008E3154">
        <w:rPr>
          <w:rStyle w:val="FootnoteReference"/>
          <w:color w:val="000000" w:themeColor="text1"/>
        </w:rPr>
        <w:footnoteReference w:id="32"/>
      </w:r>
      <w:r w:rsidR="00357F0F" w:rsidRPr="008E3154">
        <w:rPr>
          <w:color w:val="000000" w:themeColor="text1"/>
        </w:rPr>
        <w:t xml:space="preserve"> Of course in reality the relationship between different types of </w:t>
      </w:r>
      <w:r w:rsidR="00357F0F" w:rsidRPr="008E3154">
        <w:rPr>
          <w:color w:val="000000" w:themeColor="text1"/>
          <w:highlight w:val="yellow"/>
        </w:rPr>
        <w:t>expertise</w:t>
      </w:r>
      <w:r w:rsidR="00357F0F" w:rsidRPr="008E3154">
        <w:rPr>
          <w:color w:val="000000" w:themeColor="text1"/>
        </w:rPr>
        <w:t xml:space="preserve"> in the context of postwar welfare cultures is messy and complex. It is overly simplistic to assume that the voices and contributions of </w:t>
      </w:r>
      <w:r w:rsidR="00357F0F" w:rsidRPr="008E3154">
        <w:rPr>
          <w:color w:val="000000" w:themeColor="text1"/>
          <w:highlight w:val="yellow"/>
        </w:rPr>
        <w:t>experiential experts</w:t>
      </w:r>
      <w:r w:rsidR="00357F0F" w:rsidRPr="008E3154">
        <w:rPr>
          <w:color w:val="000000" w:themeColor="text1"/>
        </w:rPr>
        <w:t xml:space="preserve"> and </w:t>
      </w:r>
      <w:r w:rsidR="00357F0F" w:rsidRPr="0059294E">
        <w:rPr>
          <w:color w:val="000000" w:themeColor="text1"/>
          <w:highlight w:val="yellow"/>
        </w:rPr>
        <w:t>voluntary organisations</w:t>
      </w:r>
      <w:r w:rsidR="00357F0F" w:rsidRPr="008E3154">
        <w:rPr>
          <w:color w:val="000000" w:themeColor="text1"/>
        </w:rPr>
        <w:t xml:space="preserve"> were always “displaced” or silenced within this new, more professional landscape.  As </w:t>
      </w:r>
      <w:r w:rsidR="00357F0F" w:rsidRPr="008E3154">
        <w:rPr>
          <w:color w:val="000000" w:themeColor="text1"/>
        </w:rPr>
        <w:lastRenderedPageBreak/>
        <w:t>Matthew Hilton and James McKay suggest historians need to focus on the voluntary sector’s ability “to adapt and do new things”</w:t>
      </w:r>
      <w:r w:rsidR="00AE3200">
        <w:rPr>
          <w:color w:val="000000" w:themeColor="text1"/>
        </w:rPr>
        <w:t>.</w:t>
      </w:r>
      <w:r w:rsidR="00357F0F" w:rsidRPr="008E3154">
        <w:rPr>
          <w:rStyle w:val="FootnoteReference"/>
          <w:color w:val="000000" w:themeColor="text1"/>
        </w:rPr>
        <w:footnoteReference w:id="33"/>
      </w:r>
      <w:r w:rsidR="00357F0F" w:rsidRPr="008E3154">
        <w:rPr>
          <w:color w:val="000000" w:themeColor="text1"/>
        </w:rPr>
        <w:t xml:space="preserve"> </w:t>
      </w:r>
    </w:p>
    <w:p w14:paraId="215F6634" w14:textId="6DECF0C9" w:rsidR="00357F0F" w:rsidRPr="008E3154" w:rsidRDefault="00357F0F" w:rsidP="00357F0F">
      <w:pPr>
        <w:spacing w:line="480" w:lineRule="auto"/>
        <w:ind w:firstLine="720"/>
        <w:rPr>
          <w:color w:val="000000" w:themeColor="text1"/>
        </w:rPr>
      </w:pPr>
      <w:r w:rsidRPr="008E3154">
        <w:rPr>
          <w:color w:val="000000" w:themeColor="text1"/>
        </w:rPr>
        <w:t>A second factor associated with the end of the “</w:t>
      </w:r>
      <w:r w:rsidRPr="008E3154">
        <w:rPr>
          <w:color w:val="000000" w:themeColor="text1"/>
          <w:highlight w:val="yellow"/>
        </w:rPr>
        <w:t>housewife as expert</w:t>
      </w:r>
      <w:r w:rsidRPr="008E3154">
        <w:rPr>
          <w:color w:val="000000" w:themeColor="text1"/>
        </w:rPr>
        <w:t xml:space="preserve">” construct is its replacement by the </w:t>
      </w:r>
      <w:r w:rsidRPr="00AE3200">
        <w:rPr>
          <w:color w:val="000000" w:themeColor="text1"/>
        </w:rPr>
        <w:t>m</w:t>
      </w:r>
      <w:r w:rsidR="007A1148" w:rsidRPr="00AE3200">
        <w:rPr>
          <w:color w:val="000000" w:themeColor="text1"/>
        </w:rPr>
        <w:t>yth of</w:t>
      </w:r>
      <w:r w:rsidR="00AE3200" w:rsidRPr="00AE3200">
        <w:rPr>
          <w:color w:val="000000" w:themeColor="text1"/>
        </w:rPr>
        <w:t xml:space="preserve"> the</w:t>
      </w:r>
      <w:r w:rsidR="007A1148" w:rsidRPr="00AE3200">
        <w:rPr>
          <w:color w:val="000000" w:themeColor="text1"/>
        </w:rPr>
        <w:t xml:space="preserve"> </w:t>
      </w:r>
      <w:r w:rsidR="007A1148" w:rsidRPr="008E3154">
        <w:rPr>
          <w:color w:val="000000" w:themeColor="text1"/>
          <w:highlight w:val="yellow"/>
        </w:rPr>
        <w:t>“happy housewife</w:t>
      </w:r>
      <w:r w:rsidR="007A1148" w:rsidRPr="008E3154">
        <w:rPr>
          <w:color w:val="000000" w:themeColor="text1"/>
        </w:rPr>
        <w:t>”. This</w:t>
      </w:r>
      <w:r w:rsidRPr="008E3154">
        <w:rPr>
          <w:color w:val="000000" w:themeColor="text1"/>
        </w:rPr>
        <w:t xml:space="preserve"> </w:t>
      </w:r>
      <w:proofErr w:type="spellStart"/>
      <w:r w:rsidRPr="008E3154">
        <w:rPr>
          <w:color w:val="000000" w:themeColor="text1"/>
        </w:rPr>
        <w:t>idealised</w:t>
      </w:r>
      <w:proofErr w:type="spellEnd"/>
      <w:r w:rsidRPr="008E3154">
        <w:rPr>
          <w:color w:val="000000" w:themeColor="text1"/>
        </w:rPr>
        <w:t xml:space="preserve"> image of the glamorous </w:t>
      </w:r>
      <w:r w:rsidRPr="0059294E">
        <w:rPr>
          <w:color w:val="000000" w:themeColor="text1"/>
          <w:highlight w:val="yellow"/>
        </w:rPr>
        <w:t>housewife</w:t>
      </w:r>
      <w:r w:rsidRPr="008E3154">
        <w:rPr>
          <w:color w:val="000000" w:themeColor="text1"/>
        </w:rPr>
        <w:t>, devoted to home and family, became ubiquitous in mass circulation wom</w:t>
      </w:r>
      <w:r w:rsidR="007A1148" w:rsidRPr="008E3154">
        <w:rPr>
          <w:color w:val="000000" w:themeColor="text1"/>
        </w:rPr>
        <w:t xml:space="preserve">en’s magazines, advertisements </w:t>
      </w:r>
      <w:r w:rsidRPr="008E3154">
        <w:rPr>
          <w:color w:val="000000" w:themeColor="text1"/>
        </w:rPr>
        <w:t>and popular culture throughout the 1950s and 1960s.</w:t>
      </w:r>
      <w:r w:rsidRPr="008E3154">
        <w:rPr>
          <w:rStyle w:val="FootnoteReference"/>
          <w:color w:val="000000" w:themeColor="text1"/>
        </w:rPr>
        <w:footnoteReference w:id="34"/>
      </w:r>
      <w:r w:rsidR="00353C42" w:rsidRPr="008E3154">
        <w:rPr>
          <w:color w:val="000000" w:themeColor="text1"/>
        </w:rPr>
        <w:t xml:space="preserve"> In sharp contrast to the community driven</w:t>
      </w:r>
      <w:r w:rsidR="007A1148" w:rsidRPr="008E3154">
        <w:rPr>
          <w:color w:val="000000" w:themeColor="text1"/>
        </w:rPr>
        <w:t xml:space="preserve"> “</w:t>
      </w:r>
      <w:r w:rsidR="00353C42" w:rsidRPr="008E3154">
        <w:rPr>
          <w:color w:val="000000" w:themeColor="text1"/>
          <w:highlight w:val="yellow"/>
        </w:rPr>
        <w:t>citizen housewife</w:t>
      </w:r>
      <w:r w:rsidR="007A1148" w:rsidRPr="008E3154">
        <w:rPr>
          <w:color w:val="000000" w:themeColor="text1"/>
        </w:rPr>
        <w:t>”</w:t>
      </w:r>
      <w:r w:rsidR="00353C42" w:rsidRPr="008E3154">
        <w:rPr>
          <w:color w:val="000000" w:themeColor="text1"/>
        </w:rPr>
        <w:t>,</w:t>
      </w:r>
      <w:r w:rsidR="007A1148" w:rsidRPr="008E3154">
        <w:rPr>
          <w:color w:val="000000" w:themeColor="text1"/>
        </w:rPr>
        <w:t xml:space="preserve"> </w:t>
      </w:r>
      <w:r w:rsidRPr="008E3154">
        <w:rPr>
          <w:color w:val="000000" w:themeColor="text1"/>
        </w:rPr>
        <w:t>the “</w:t>
      </w:r>
      <w:r w:rsidRPr="008E3154">
        <w:rPr>
          <w:color w:val="000000" w:themeColor="text1"/>
          <w:highlight w:val="yellow"/>
        </w:rPr>
        <w:t>happy housewife</w:t>
      </w:r>
      <w:r w:rsidRPr="008E3154">
        <w:rPr>
          <w:color w:val="000000" w:themeColor="text1"/>
        </w:rPr>
        <w:t>” embraced affluence and prioritised the comfort and care of her own private world, her home and family.</w:t>
      </w:r>
      <w:r w:rsidR="000549D5" w:rsidRPr="008E3154">
        <w:rPr>
          <w:color w:val="000000" w:themeColor="text1"/>
        </w:rPr>
        <w:t xml:space="preserve"> This modern “</w:t>
      </w:r>
      <w:r w:rsidR="000549D5" w:rsidRPr="008E3154">
        <w:rPr>
          <w:color w:val="000000" w:themeColor="text1"/>
          <w:highlight w:val="yellow"/>
        </w:rPr>
        <w:t>happy housewife</w:t>
      </w:r>
      <w:r w:rsidR="000549D5" w:rsidRPr="008E3154">
        <w:rPr>
          <w:color w:val="000000" w:themeColor="text1"/>
        </w:rPr>
        <w:t xml:space="preserve">” </w:t>
      </w:r>
      <w:r w:rsidRPr="008E3154">
        <w:rPr>
          <w:color w:val="000000" w:themeColor="text1"/>
        </w:rPr>
        <w:t xml:space="preserve">retained her domestic </w:t>
      </w:r>
      <w:r w:rsidRPr="00AE3200">
        <w:rPr>
          <w:color w:val="000000" w:themeColor="text1"/>
          <w:highlight w:val="yellow"/>
        </w:rPr>
        <w:t>expertise</w:t>
      </w:r>
      <w:r w:rsidRPr="008E3154">
        <w:rPr>
          <w:color w:val="000000" w:themeColor="text1"/>
        </w:rPr>
        <w:t xml:space="preserve"> but it was now used to “keep her husband happy” and “to set jam to jell, children to rights and her hair for Saturday night out”.</w:t>
      </w:r>
      <w:r w:rsidRPr="008E3154">
        <w:rPr>
          <w:rStyle w:val="FootnoteReference"/>
          <w:color w:val="000000" w:themeColor="text1"/>
        </w:rPr>
        <w:footnoteReference w:id="35"/>
      </w:r>
      <w:r w:rsidRPr="008E3154">
        <w:rPr>
          <w:color w:val="000000" w:themeColor="text1"/>
        </w:rPr>
        <w:t xml:space="preserve"> </w:t>
      </w:r>
    </w:p>
    <w:p w14:paraId="63E09342" w14:textId="2036EBA8" w:rsidR="00357F0F" w:rsidRPr="008E3154" w:rsidRDefault="00357F0F" w:rsidP="00357F0F">
      <w:pPr>
        <w:spacing w:line="480" w:lineRule="auto"/>
        <w:ind w:firstLine="720"/>
        <w:rPr>
          <w:color w:val="000000" w:themeColor="text1"/>
        </w:rPr>
      </w:pPr>
      <w:r w:rsidRPr="008E3154">
        <w:rPr>
          <w:color w:val="000000" w:themeColor="text1"/>
        </w:rPr>
        <w:t>The “</w:t>
      </w:r>
      <w:r w:rsidRPr="00AE3200">
        <w:rPr>
          <w:color w:val="000000" w:themeColor="text1"/>
          <w:highlight w:val="yellow"/>
        </w:rPr>
        <w:t>happy housewife</w:t>
      </w:r>
      <w:r w:rsidRPr="008E3154">
        <w:rPr>
          <w:color w:val="000000" w:themeColor="text1"/>
        </w:rPr>
        <w:t xml:space="preserve">” myth belies the diversity of experience for </w:t>
      </w:r>
      <w:r w:rsidRPr="008E3154">
        <w:rPr>
          <w:color w:val="000000" w:themeColor="text1"/>
          <w:highlight w:val="yellow"/>
        </w:rPr>
        <w:t>housewives</w:t>
      </w:r>
      <w:r w:rsidRPr="008E3154">
        <w:rPr>
          <w:color w:val="000000" w:themeColor="text1"/>
        </w:rPr>
        <w:t xml:space="preserve"> during the 1950s and 1960s. Increasing numbers of married women were taking up work outside their homes, the majority of which was part-time to enable wives and mothers to juggle domestic duties with paid employment.</w:t>
      </w:r>
      <w:r w:rsidRPr="008E3154">
        <w:rPr>
          <w:rStyle w:val="FootnoteReference"/>
          <w:color w:val="000000" w:themeColor="text1"/>
        </w:rPr>
        <w:footnoteReference w:id="36"/>
      </w:r>
      <w:r w:rsidRPr="008E3154">
        <w:rPr>
          <w:color w:val="000000" w:themeColor="text1"/>
        </w:rPr>
        <w:t xml:space="preserve"> Women were able to find fulfillment in both paid work and unpaid domestic work during these years.</w:t>
      </w:r>
      <w:r w:rsidRPr="008E3154">
        <w:rPr>
          <w:rStyle w:val="FootnoteReference"/>
          <w:color w:val="000000" w:themeColor="text1"/>
        </w:rPr>
        <w:footnoteReference w:id="37"/>
      </w:r>
      <w:r w:rsidR="00706136" w:rsidRPr="008E3154">
        <w:rPr>
          <w:color w:val="000000" w:themeColor="text1"/>
        </w:rPr>
        <w:t xml:space="preserve"> Nevertheless poorer</w:t>
      </w:r>
      <w:r w:rsidRPr="008E3154">
        <w:rPr>
          <w:color w:val="000000" w:themeColor="text1"/>
        </w:rPr>
        <w:t xml:space="preserve"> working </w:t>
      </w:r>
      <w:r w:rsidRPr="008E3154">
        <w:rPr>
          <w:color w:val="000000" w:themeColor="text1"/>
        </w:rPr>
        <w:lastRenderedPageBreak/>
        <w:t>class wives and mothers co</w:t>
      </w:r>
      <w:r w:rsidR="00335A13" w:rsidRPr="008E3154">
        <w:rPr>
          <w:color w:val="000000" w:themeColor="text1"/>
        </w:rPr>
        <w:t>uld only aspire to becoming a “</w:t>
      </w:r>
      <w:r w:rsidR="00335A13" w:rsidRPr="008E3154">
        <w:rPr>
          <w:color w:val="000000" w:themeColor="text1"/>
          <w:highlight w:val="yellow"/>
        </w:rPr>
        <w:t>happy housewife</w:t>
      </w:r>
      <w:r w:rsidR="00335A13" w:rsidRPr="008E3154">
        <w:rPr>
          <w:color w:val="000000" w:themeColor="text1"/>
        </w:rPr>
        <w:t>”</w:t>
      </w:r>
      <w:r w:rsidRPr="008E3154">
        <w:rPr>
          <w:color w:val="000000" w:themeColor="text1"/>
        </w:rPr>
        <w:t xml:space="preserve">. </w:t>
      </w:r>
      <w:r w:rsidR="00706136" w:rsidRPr="008E3154">
        <w:rPr>
          <w:color w:val="000000" w:themeColor="text1"/>
        </w:rPr>
        <w:t>T</w:t>
      </w:r>
      <w:r w:rsidR="00647B21" w:rsidRPr="008E3154">
        <w:rPr>
          <w:color w:val="000000" w:themeColor="text1"/>
        </w:rPr>
        <w:t>he</w:t>
      </w:r>
      <w:r w:rsidRPr="008E3154">
        <w:rPr>
          <w:color w:val="000000" w:themeColor="text1"/>
        </w:rPr>
        <w:t xml:space="preserve"> </w:t>
      </w:r>
      <w:r w:rsidRPr="008E3154">
        <w:rPr>
          <w:color w:val="000000" w:themeColor="text1"/>
          <w:highlight w:val="yellow"/>
        </w:rPr>
        <w:t>lived experience</w:t>
      </w:r>
      <w:r w:rsidR="00647B21" w:rsidRPr="008E3154">
        <w:rPr>
          <w:color w:val="000000" w:themeColor="text1"/>
        </w:rPr>
        <w:t xml:space="preserve"> for these women</w:t>
      </w:r>
      <w:r w:rsidRPr="008E3154">
        <w:rPr>
          <w:color w:val="000000" w:themeColor="text1"/>
        </w:rPr>
        <w:t xml:space="preserve"> was more likely to be one of sub-standard housing conditions and a daily battle to make ends meet.</w:t>
      </w:r>
      <w:r w:rsidRPr="008E3154">
        <w:rPr>
          <w:rStyle w:val="FootnoteReference"/>
          <w:color w:val="000000" w:themeColor="text1"/>
        </w:rPr>
        <w:footnoteReference w:id="38"/>
      </w:r>
      <w:r w:rsidRPr="008E3154">
        <w:rPr>
          <w:color w:val="000000" w:themeColor="text1"/>
        </w:rPr>
        <w:t xml:space="preserve"> Immigrant women were excluded altogether from this imagined domestic ideal. As Wendy Webster and Angela Davis have noted these women were set apart due to the assumption that their identify as </w:t>
      </w:r>
      <w:r w:rsidRPr="0059294E">
        <w:rPr>
          <w:color w:val="000000" w:themeColor="text1"/>
          <w:highlight w:val="yellow"/>
        </w:rPr>
        <w:t>migrant workers</w:t>
      </w:r>
      <w:r w:rsidRPr="008E3154">
        <w:rPr>
          <w:color w:val="000000" w:themeColor="text1"/>
        </w:rPr>
        <w:t xml:space="preserve"> nullified their right to a comfortable home life.</w:t>
      </w:r>
      <w:r w:rsidRPr="008E3154">
        <w:rPr>
          <w:rStyle w:val="FootnoteReference"/>
          <w:color w:val="000000" w:themeColor="text1"/>
        </w:rPr>
        <w:footnoteReference w:id="39"/>
      </w:r>
      <w:r w:rsidRPr="008E3154">
        <w:rPr>
          <w:color w:val="000000" w:themeColor="text1"/>
        </w:rPr>
        <w:t xml:space="preserve"> </w:t>
      </w:r>
    </w:p>
    <w:p w14:paraId="0EB640B3" w14:textId="43DFA13F" w:rsidR="00023800" w:rsidRPr="008E3154" w:rsidRDefault="00357F0F" w:rsidP="000F0448">
      <w:pPr>
        <w:spacing w:line="480" w:lineRule="auto"/>
        <w:ind w:firstLine="720"/>
        <w:rPr>
          <w:color w:val="000000" w:themeColor="text1"/>
        </w:rPr>
      </w:pPr>
      <w:r w:rsidRPr="008E3154">
        <w:rPr>
          <w:color w:val="000000" w:themeColor="text1"/>
        </w:rPr>
        <w:t>Seeking to subvert the trope of the “</w:t>
      </w:r>
      <w:r w:rsidRPr="008E3154">
        <w:rPr>
          <w:color w:val="000000" w:themeColor="text1"/>
          <w:highlight w:val="yellow"/>
        </w:rPr>
        <w:t>happy housewife</w:t>
      </w:r>
      <w:r w:rsidRPr="008E3154">
        <w:rPr>
          <w:color w:val="000000" w:themeColor="text1"/>
        </w:rPr>
        <w:t xml:space="preserve">”, </w:t>
      </w:r>
      <w:r w:rsidRPr="008E3154">
        <w:rPr>
          <w:color w:val="000000" w:themeColor="text1"/>
          <w:highlight w:val="yellow"/>
        </w:rPr>
        <w:t>housewives’ associations</w:t>
      </w:r>
      <w:r w:rsidRPr="008E3154">
        <w:rPr>
          <w:color w:val="000000" w:themeColor="text1"/>
        </w:rPr>
        <w:t xml:space="preserve"> themselves cautioned members in the early 1960s that a </w:t>
      </w:r>
      <w:r w:rsidRPr="008E3154">
        <w:rPr>
          <w:color w:val="000000" w:themeColor="text1"/>
          <w:highlight w:val="yellow"/>
        </w:rPr>
        <w:t>housewife</w:t>
      </w:r>
      <w:r w:rsidRPr="008E3154">
        <w:rPr>
          <w:color w:val="000000" w:themeColor="text1"/>
        </w:rPr>
        <w:t xml:space="preserve"> was more than a “frilly little woman” whose top priority in life was to create the “house beautiful”.</w:t>
      </w:r>
      <w:r w:rsidRPr="008E3154">
        <w:rPr>
          <w:rStyle w:val="FootnoteReference"/>
          <w:color w:val="000000" w:themeColor="text1"/>
        </w:rPr>
        <w:footnoteReference w:id="40"/>
      </w:r>
      <w:r w:rsidR="00892B6B" w:rsidRPr="008E3154">
        <w:rPr>
          <w:color w:val="000000" w:themeColor="text1"/>
        </w:rPr>
        <w:t xml:space="preserve"> Instead the</w:t>
      </w:r>
      <w:r w:rsidRPr="008E3154">
        <w:rPr>
          <w:color w:val="000000" w:themeColor="text1"/>
        </w:rPr>
        <w:t xml:space="preserve"> </w:t>
      </w:r>
      <w:r w:rsidRPr="008E3154">
        <w:rPr>
          <w:color w:val="000000" w:themeColor="text1"/>
          <w:highlight w:val="yellow"/>
        </w:rPr>
        <w:t>NFWI</w:t>
      </w:r>
      <w:r w:rsidR="00892B6B" w:rsidRPr="008E3154">
        <w:rPr>
          <w:color w:val="000000" w:themeColor="text1"/>
        </w:rPr>
        <w:t xml:space="preserve"> and </w:t>
      </w:r>
      <w:r w:rsidR="00892B6B" w:rsidRPr="008E3154">
        <w:rPr>
          <w:color w:val="000000" w:themeColor="text1"/>
          <w:highlight w:val="yellow"/>
        </w:rPr>
        <w:t>TG</w:t>
      </w:r>
      <w:r w:rsidRPr="008E3154">
        <w:rPr>
          <w:color w:val="000000" w:themeColor="text1"/>
        </w:rPr>
        <w:t xml:space="preserve"> continued to encourage members to engage fully in life beyond their homes through leisure and educational activities and by engaging in local and national campaigns relevant to women’s lives.</w:t>
      </w:r>
      <w:r w:rsidRPr="008E3154">
        <w:rPr>
          <w:rStyle w:val="FootnoteReference"/>
          <w:color w:val="000000" w:themeColor="text1"/>
        </w:rPr>
        <w:footnoteReference w:id="41"/>
      </w:r>
      <w:r w:rsidRPr="008E3154">
        <w:rPr>
          <w:color w:val="000000" w:themeColor="text1"/>
        </w:rPr>
        <w:t xml:space="preserve"> </w:t>
      </w:r>
      <w:r w:rsidR="00123434" w:rsidRPr="008E3154">
        <w:rPr>
          <w:color w:val="000000" w:themeColor="text1"/>
        </w:rPr>
        <w:t>Despite this</w:t>
      </w:r>
      <w:r w:rsidRPr="008E3154">
        <w:rPr>
          <w:color w:val="000000" w:themeColor="text1"/>
        </w:rPr>
        <w:t xml:space="preserve"> it is the</w:t>
      </w:r>
      <w:r w:rsidR="00C65F05" w:rsidRPr="008E3154">
        <w:rPr>
          <w:color w:val="000000" w:themeColor="text1"/>
        </w:rPr>
        <w:t xml:space="preserve"> </w:t>
      </w:r>
      <w:r w:rsidR="00146C9A" w:rsidRPr="008E3154">
        <w:rPr>
          <w:color w:val="000000" w:themeColor="text1"/>
        </w:rPr>
        <w:t>impression</w:t>
      </w:r>
      <w:r w:rsidR="00C65F05" w:rsidRPr="008E3154">
        <w:rPr>
          <w:color w:val="000000" w:themeColor="text1"/>
        </w:rPr>
        <w:t xml:space="preserve"> of the</w:t>
      </w:r>
      <w:r w:rsidRPr="008E3154">
        <w:rPr>
          <w:color w:val="000000" w:themeColor="text1"/>
        </w:rPr>
        <w:t xml:space="preserve"> “perfect” 1950s housewife that continues to resonate </w:t>
      </w:r>
      <w:r w:rsidR="00146C9A" w:rsidRPr="008E3154">
        <w:rPr>
          <w:color w:val="000000" w:themeColor="text1"/>
        </w:rPr>
        <w:t xml:space="preserve">so </w:t>
      </w:r>
      <w:r w:rsidRPr="008E3154">
        <w:rPr>
          <w:color w:val="000000" w:themeColor="text1"/>
        </w:rPr>
        <w:t>strongly with contemporary understandings of postwar domesticity.</w:t>
      </w:r>
      <w:r w:rsidRPr="008E3154">
        <w:rPr>
          <w:rStyle w:val="FootnoteReference"/>
          <w:color w:val="000000" w:themeColor="text1"/>
        </w:rPr>
        <w:footnoteReference w:id="42"/>
      </w:r>
      <w:r w:rsidR="00146C9A" w:rsidRPr="008E3154">
        <w:rPr>
          <w:color w:val="000000" w:themeColor="text1"/>
        </w:rPr>
        <w:t xml:space="preserve"> </w:t>
      </w:r>
      <w:r w:rsidR="00FA44BF" w:rsidRPr="008E3154">
        <w:rPr>
          <w:color w:val="000000" w:themeColor="text1"/>
        </w:rPr>
        <w:t>And this was</w:t>
      </w:r>
      <w:r w:rsidR="00A649A4" w:rsidRPr="008E3154">
        <w:rPr>
          <w:color w:val="000000" w:themeColor="text1"/>
        </w:rPr>
        <w:t xml:space="preserve"> the</w:t>
      </w:r>
      <w:r w:rsidR="003E26C6" w:rsidRPr="008E3154">
        <w:rPr>
          <w:color w:val="000000" w:themeColor="text1"/>
        </w:rPr>
        <w:t xml:space="preserve"> image that </w:t>
      </w:r>
      <w:r w:rsidRPr="008E3154">
        <w:rPr>
          <w:color w:val="000000" w:themeColor="text1"/>
        </w:rPr>
        <w:t xml:space="preserve">Betty </w:t>
      </w:r>
      <w:r w:rsidRPr="008E3154">
        <w:rPr>
          <w:color w:val="000000" w:themeColor="text1"/>
        </w:rPr>
        <w:lastRenderedPageBreak/>
        <w:t xml:space="preserve">Friedan used so effectively to </w:t>
      </w:r>
      <w:r w:rsidR="003E26C6" w:rsidRPr="008E3154">
        <w:rPr>
          <w:color w:val="000000" w:themeColor="text1"/>
        </w:rPr>
        <w:t>evoke the disempowering narrative of housewifery</w:t>
      </w:r>
      <w:r w:rsidR="00436455" w:rsidRPr="008E3154">
        <w:rPr>
          <w:color w:val="000000" w:themeColor="text1"/>
        </w:rPr>
        <w:t>,</w:t>
      </w:r>
      <w:r w:rsidR="004D1CEC" w:rsidRPr="008E3154">
        <w:rPr>
          <w:color w:val="000000" w:themeColor="text1"/>
        </w:rPr>
        <w:t xml:space="preserve"> </w:t>
      </w:r>
      <w:r w:rsidR="003E26C6" w:rsidRPr="008E3154">
        <w:rPr>
          <w:color w:val="000000" w:themeColor="text1"/>
        </w:rPr>
        <w:t xml:space="preserve">what she </w:t>
      </w:r>
      <w:r w:rsidRPr="008E3154">
        <w:rPr>
          <w:color w:val="000000" w:themeColor="text1"/>
        </w:rPr>
        <w:t>called “the problem that has no name”</w:t>
      </w:r>
      <w:r w:rsidR="00AE3200">
        <w:rPr>
          <w:color w:val="000000" w:themeColor="text1"/>
        </w:rPr>
        <w:t>.</w:t>
      </w:r>
      <w:r w:rsidRPr="008E3154">
        <w:rPr>
          <w:rStyle w:val="FootnoteReference"/>
          <w:color w:val="000000" w:themeColor="text1"/>
        </w:rPr>
        <w:footnoteReference w:id="43"/>
      </w:r>
      <w:r w:rsidRPr="008E3154">
        <w:rPr>
          <w:color w:val="000000" w:themeColor="text1"/>
        </w:rPr>
        <w:t xml:space="preserve"> </w:t>
      </w:r>
    </w:p>
    <w:p w14:paraId="4F7AF234" w14:textId="77777777" w:rsidR="000F0448" w:rsidRPr="008E3154" w:rsidRDefault="000F0448" w:rsidP="000F0448">
      <w:pPr>
        <w:spacing w:line="480" w:lineRule="auto"/>
        <w:ind w:firstLine="720"/>
        <w:rPr>
          <w:color w:val="000000" w:themeColor="text1"/>
        </w:rPr>
      </w:pPr>
    </w:p>
    <w:p w14:paraId="00203C18" w14:textId="77777777" w:rsidR="00357F0F" w:rsidRPr="008E3154" w:rsidRDefault="00357F0F" w:rsidP="00357F0F">
      <w:pPr>
        <w:spacing w:line="480" w:lineRule="auto"/>
        <w:rPr>
          <w:b/>
          <w:color w:val="000000" w:themeColor="text1"/>
        </w:rPr>
      </w:pPr>
      <w:r w:rsidRPr="008E3154">
        <w:rPr>
          <w:b/>
          <w:color w:val="000000" w:themeColor="text1"/>
        </w:rPr>
        <w:t>“</w:t>
      </w:r>
      <w:r w:rsidRPr="008E3154">
        <w:rPr>
          <w:b/>
          <w:color w:val="000000" w:themeColor="text1"/>
          <w:highlight w:val="yellow"/>
        </w:rPr>
        <w:t>Communities of Experience</w:t>
      </w:r>
      <w:r w:rsidRPr="008E3154">
        <w:rPr>
          <w:b/>
          <w:color w:val="000000" w:themeColor="text1"/>
        </w:rPr>
        <w:t xml:space="preserve">” and </w:t>
      </w:r>
      <w:r w:rsidRPr="008E3154">
        <w:rPr>
          <w:b/>
          <w:color w:val="000000" w:themeColor="text1"/>
          <w:highlight w:val="yellow"/>
        </w:rPr>
        <w:t>experiential expertise</w:t>
      </w:r>
      <w:r w:rsidRPr="008E3154">
        <w:rPr>
          <w:b/>
          <w:color w:val="000000" w:themeColor="text1"/>
        </w:rPr>
        <w:t xml:space="preserve"> in </w:t>
      </w:r>
      <w:r w:rsidRPr="008E3154">
        <w:rPr>
          <w:b/>
          <w:color w:val="000000" w:themeColor="text1"/>
          <w:highlight w:val="yellow"/>
        </w:rPr>
        <w:t>housewives’ associations</w:t>
      </w:r>
      <w:r w:rsidRPr="008E3154">
        <w:rPr>
          <w:b/>
          <w:color w:val="000000" w:themeColor="text1"/>
        </w:rPr>
        <w:t xml:space="preserve">, 1960-1980 </w:t>
      </w:r>
    </w:p>
    <w:p w14:paraId="6FAE1F63" w14:textId="77777777" w:rsidR="00357F0F" w:rsidRPr="008E3154" w:rsidRDefault="00357F0F" w:rsidP="00357F0F">
      <w:pPr>
        <w:spacing w:line="480" w:lineRule="auto"/>
        <w:rPr>
          <w:color w:val="000000" w:themeColor="text1"/>
        </w:rPr>
      </w:pPr>
    </w:p>
    <w:p w14:paraId="05F6FB6D" w14:textId="6D7B6541" w:rsidR="00357F0F" w:rsidRPr="008E3154" w:rsidRDefault="00357F0F" w:rsidP="00EF5BB1">
      <w:pPr>
        <w:spacing w:line="480" w:lineRule="auto"/>
        <w:ind w:firstLine="720"/>
        <w:rPr>
          <w:color w:val="000000" w:themeColor="text1"/>
        </w:rPr>
      </w:pPr>
      <w:r w:rsidRPr="008E3154">
        <w:rPr>
          <w:color w:val="000000" w:themeColor="text1"/>
        </w:rPr>
        <w:t xml:space="preserve">The dominance of the </w:t>
      </w:r>
      <w:r w:rsidRPr="008E3154">
        <w:rPr>
          <w:color w:val="000000" w:themeColor="text1"/>
          <w:highlight w:val="yellow"/>
        </w:rPr>
        <w:t>WLM</w:t>
      </w:r>
      <w:r w:rsidRPr="008E3154">
        <w:rPr>
          <w:color w:val="000000" w:themeColor="text1"/>
        </w:rPr>
        <w:t xml:space="preserve"> in histories of the </w:t>
      </w:r>
      <w:r w:rsidRPr="008E3154">
        <w:rPr>
          <w:color w:val="000000" w:themeColor="text1"/>
          <w:highlight w:val="yellow"/>
        </w:rPr>
        <w:t>women’s movement</w:t>
      </w:r>
      <w:r w:rsidRPr="008E3154">
        <w:rPr>
          <w:color w:val="000000" w:themeColor="text1"/>
        </w:rPr>
        <w:t xml:space="preserve"> has obscured </w:t>
      </w:r>
      <w:r w:rsidRPr="00A87969">
        <w:rPr>
          <w:color w:val="000000" w:themeColor="text1"/>
          <w:highlight w:val="yellow"/>
        </w:rPr>
        <w:t>activism</w:t>
      </w:r>
      <w:r w:rsidRPr="008E3154">
        <w:rPr>
          <w:color w:val="000000" w:themeColor="text1"/>
        </w:rPr>
        <w:t xml:space="preserve"> around </w:t>
      </w:r>
      <w:r w:rsidRPr="00A87969">
        <w:rPr>
          <w:color w:val="000000" w:themeColor="text1"/>
          <w:highlight w:val="yellow"/>
        </w:rPr>
        <w:t>welfare</w:t>
      </w:r>
      <w:r w:rsidRPr="008E3154">
        <w:rPr>
          <w:color w:val="000000" w:themeColor="text1"/>
        </w:rPr>
        <w:t xml:space="preserve"> within </w:t>
      </w:r>
      <w:r w:rsidRPr="008E3154">
        <w:rPr>
          <w:color w:val="000000" w:themeColor="text1"/>
          <w:highlight w:val="yellow"/>
        </w:rPr>
        <w:t>housewives’ associations</w:t>
      </w:r>
      <w:r w:rsidR="00A649A4" w:rsidRPr="008E3154">
        <w:rPr>
          <w:color w:val="000000" w:themeColor="text1"/>
        </w:rPr>
        <w:t xml:space="preserve"> during the</w:t>
      </w:r>
      <w:r w:rsidR="003F10CD" w:rsidRPr="008E3154">
        <w:rPr>
          <w:color w:val="000000" w:themeColor="text1"/>
        </w:rPr>
        <w:t>1960s and 1970s</w:t>
      </w:r>
      <w:r w:rsidR="008D5002" w:rsidRPr="008E3154">
        <w:rPr>
          <w:color w:val="000000" w:themeColor="text1"/>
        </w:rPr>
        <w:t xml:space="preserve">. By shifting the focus away from the </w:t>
      </w:r>
      <w:r w:rsidR="008D5002" w:rsidRPr="008E3154">
        <w:rPr>
          <w:color w:val="000000" w:themeColor="text1"/>
          <w:highlight w:val="yellow"/>
        </w:rPr>
        <w:t>WLM</w:t>
      </w:r>
      <w:r w:rsidR="008D5002" w:rsidRPr="008E3154">
        <w:rPr>
          <w:color w:val="000000" w:themeColor="text1"/>
        </w:rPr>
        <w:t xml:space="preserve"> it becomes clear</w:t>
      </w:r>
      <w:r w:rsidRPr="008E3154">
        <w:rPr>
          <w:color w:val="000000" w:themeColor="text1"/>
        </w:rPr>
        <w:t xml:space="preserve"> </w:t>
      </w:r>
      <w:r w:rsidR="008D5002" w:rsidRPr="008E3154">
        <w:rPr>
          <w:color w:val="000000" w:themeColor="text1"/>
        </w:rPr>
        <w:t xml:space="preserve">this </w:t>
      </w:r>
      <w:r w:rsidR="008D5002" w:rsidRPr="00A87969">
        <w:rPr>
          <w:color w:val="000000" w:themeColor="text1"/>
          <w:highlight w:val="yellow"/>
        </w:rPr>
        <w:t>activism</w:t>
      </w:r>
      <w:r w:rsidR="008D5002" w:rsidRPr="008E3154">
        <w:rPr>
          <w:color w:val="000000" w:themeColor="text1"/>
        </w:rPr>
        <w:t xml:space="preserve"> did not disappear</w:t>
      </w:r>
      <w:r w:rsidR="00E90C82" w:rsidRPr="008E3154">
        <w:rPr>
          <w:color w:val="000000" w:themeColor="text1"/>
        </w:rPr>
        <w:t xml:space="preserve"> and continued to be acknowledged on a national level</w:t>
      </w:r>
      <w:r w:rsidR="008D5002" w:rsidRPr="008E3154">
        <w:rPr>
          <w:color w:val="000000" w:themeColor="text1"/>
        </w:rPr>
        <w:t xml:space="preserve">. </w:t>
      </w:r>
      <w:r w:rsidRPr="008E3154">
        <w:rPr>
          <w:color w:val="000000" w:themeColor="text1"/>
        </w:rPr>
        <w:t xml:space="preserve">A 1975 government report </w:t>
      </w:r>
      <w:r w:rsidRPr="008E3154">
        <w:rPr>
          <w:i/>
          <w:color w:val="000000" w:themeColor="text1"/>
        </w:rPr>
        <w:t>Women in Britain</w:t>
      </w:r>
      <w:r w:rsidRPr="008E3154">
        <w:rPr>
          <w:color w:val="000000" w:themeColor="text1"/>
        </w:rPr>
        <w:t xml:space="preserve"> recorded “several hundred national women’s organisations in Britain, drawn from every section of the community”. Of these a large number were</w:t>
      </w:r>
    </w:p>
    <w:p w14:paraId="6F183A05" w14:textId="77777777" w:rsidR="00357F0F" w:rsidRPr="008E3154" w:rsidRDefault="00357F0F" w:rsidP="00357F0F">
      <w:pPr>
        <w:spacing w:line="480" w:lineRule="auto"/>
        <w:ind w:left="720"/>
        <w:rPr>
          <w:color w:val="000000" w:themeColor="text1"/>
        </w:rPr>
      </w:pPr>
      <w:r w:rsidRPr="008E3154">
        <w:rPr>
          <w:color w:val="000000" w:themeColor="text1"/>
        </w:rPr>
        <w:t xml:space="preserve">concerned with service to the community- for instance the </w:t>
      </w:r>
    </w:p>
    <w:p w14:paraId="0F76BF37" w14:textId="77777777" w:rsidR="00357F0F" w:rsidRPr="008E3154" w:rsidRDefault="00357F0F" w:rsidP="00357F0F">
      <w:pPr>
        <w:spacing w:line="480" w:lineRule="auto"/>
        <w:ind w:left="720"/>
        <w:rPr>
          <w:color w:val="000000" w:themeColor="text1"/>
        </w:rPr>
      </w:pPr>
      <w:r w:rsidRPr="00A87969">
        <w:rPr>
          <w:color w:val="000000" w:themeColor="text1"/>
          <w:highlight w:val="yellow"/>
        </w:rPr>
        <w:t>welfare</w:t>
      </w:r>
      <w:r w:rsidRPr="008E3154">
        <w:rPr>
          <w:color w:val="000000" w:themeColor="text1"/>
        </w:rPr>
        <w:t xml:space="preserve"> of families, the care of </w:t>
      </w:r>
      <w:r w:rsidRPr="00A87969">
        <w:rPr>
          <w:color w:val="000000" w:themeColor="text1"/>
          <w:highlight w:val="yellow"/>
        </w:rPr>
        <w:t>children</w:t>
      </w:r>
      <w:r w:rsidRPr="008E3154">
        <w:rPr>
          <w:color w:val="000000" w:themeColor="text1"/>
        </w:rPr>
        <w:t xml:space="preserve"> and the elderly, </w:t>
      </w:r>
    </w:p>
    <w:p w14:paraId="59925BF3" w14:textId="77777777" w:rsidR="00357F0F" w:rsidRPr="008E3154" w:rsidRDefault="00357F0F" w:rsidP="00357F0F">
      <w:pPr>
        <w:spacing w:line="480" w:lineRule="auto"/>
        <w:ind w:left="720"/>
        <w:rPr>
          <w:color w:val="000000" w:themeColor="text1"/>
        </w:rPr>
      </w:pPr>
      <w:r w:rsidRPr="008E3154">
        <w:rPr>
          <w:color w:val="000000" w:themeColor="text1"/>
        </w:rPr>
        <w:t>improving conditions in areas of towns and the countryside…</w:t>
      </w:r>
    </w:p>
    <w:p w14:paraId="5EDE513E" w14:textId="77777777" w:rsidR="00357F0F" w:rsidRPr="008E3154" w:rsidRDefault="00357F0F" w:rsidP="00357F0F">
      <w:pPr>
        <w:spacing w:line="480" w:lineRule="auto"/>
        <w:ind w:left="720"/>
        <w:rPr>
          <w:color w:val="000000" w:themeColor="text1"/>
        </w:rPr>
      </w:pPr>
      <w:r w:rsidRPr="008E3154">
        <w:rPr>
          <w:color w:val="000000" w:themeColor="text1"/>
        </w:rPr>
        <w:t xml:space="preserve">and generally stimulating the interest of ordinary women </w:t>
      </w:r>
    </w:p>
    <w:p w14:paraId="11DF9ACE" w14:textId="77777777" w:rsidR="00357F0F" w:rsidRPr="008E3154" w:rsidRDefault="00357F0F" w:rsidP="00357F0F">
      <w:pPr>
        <w:spacing w:line="480" w:lineRule="auto"/>
        <w:ind w:left="720"/>
        <w:rPr>
          <w:color w:val="000000" w:themeColor="text1"/>
        </w:rPr>
      </w:pPr>
      <w:r w:rsidRPr="008E3154">
        <w:rPr>
          <w:color w:val="000000" w:themeColor="text1"/>
        </w:rPr>
        <w:t>in her role in society.</w:t>
      </w:r>
      <w:r w:rsidRPr="008E3154">
        <w:rPr>
          <w:rStyle w:val="FootnoteReference"/>
          <w:color w:val="000000" w:themeColor="text1"/>
        </w:rPr>
        <w:footnoteReference w:id="44"/>
      </w:r>
    </w:p>
    <w:p w14:paraId="4A429E29" w14:textId="7F697407" w:rsidR="00357F0F" w:rsidRPr="008E3154" w:rsidRDefault="00357F0F" w:rsidP="00576A1A">
      <w:pPr>
        <w:spacing w:line="480" w:lineRule="auto"/>
        <w:ind w:firstLine="720"/>
        <w:rPr>
          <w:color w:val="000000" w:themeColor="text1"/>
        </w:rPr>
      </w:pPr>
      <w:r w:rsidRPr="008E3154">
        <w:rPr>
          <w:color w:val="000000" w:themeColor="text1"/>
        </w:rPr>
        <w:t xml:space="preserve">Significantly the </w:t>
      </w:r>
      <w:r w:rsidRPr="008E3154">
        <w:rPr>
          <w:color w:val="000000" w:themeColor="text1"/>
          <w:highlight w:val="yellow"/>
        </w:rPr>
        <w:t>experiential exp</w:t>
      </w:r>
      <w:r w:rsidR="003F10CD" w:rsidRPr="008E3154">
        <w:rPr>
          <w:color w:val="000000" w:themeColor="text1"/>
          <w:highlight w:val="yellow"/>
        </w:rPr>
        <w:t>ertise</w:t>
      </w:r>
      <w:r w:rsidR="003F10CD" w:rsidRPr="008E3154">
        <w:rPr>
          <w:color w:val="000000" w:themeColor="text1"/>
        </w:rPr>
        <w:t xml:space="preserve"> of “ordinary” housewives</w:t>
      </w:r>
      <w:r w:rsidRPr="008E3154">
        <w:rPr>
          <w:color w:val="000000" w:themeColor="text1"/>
        </w:rPr>
        <w:t xml:space="preserve"> is acknowl</w:t>
      </w:r>
      <w:r w:rsidR="000B616C" w:rsidRPr="008E3154">
        <w:rPr>
          <w:color w:val="000000" w:themeColor="text1"/>
        </w:rPr>
        <w:t>edged here, as evidenced in</w:t>
      </w:r>
      <w:r w:rsidR="008A727E" w:rsidRPr="008E3154">
        <w:rPr>
          <w:color w:val="000000" w:themeColor="text1"/>
        </w:rPr>
        <w:t xml:space="preserve"> the</w:t>
      </w:r>
      <w:r w:rsidRPr="008E3154">
        <w:rPr>
          <w:color w:val="000000" w:themeColor="text1"/>
        </w:rPr>
        <w:t xml:space="preserve"> observation that branches of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met regularly </w:t>
      </w:r>
    </w:p>
    <w:p w14:paraId="78BA761D" w14:textId="77777777" w:rsidR="00357F0F" w:rsidRPr="008E3154" w:rsidRDefault="00357F0F" w:rsidP="00357F0F">
      <w:pPr>
        <w:spacing w:line="480" w:lineRule="auto"/>
        <w:ind w:left="720"/>
        <w:rPr>
          <w:color w:val="000000" w:themeColor="text1"/>
        </w:rPr>
      </w:pPr>
      <w:r w:rsidRPr="008E3154">
        <w:rPr>
          <w:color w:val="000000" w:themeColor="text1"/>
        </w:rPr>
        <w:t xml:space="preserve">to hear lectures and to hold discussions of topics of </w:t>
      </w:r>
      <w:proofErr w:type="gramStart"/>
      <w:r w:rsidRPr="008E3154">
        <w:rPr>
          <w:color w:val="000000" w:themeColor="text1"/>
        </w:rPr>
        <w:t>general</w:t>
      </w:r>
      <w:proofErr w:type="gramEnd"/>
      <w:r w:rsidRPr="008E3154">
        <w:rPr>
          <w:color w:val="000000" w:themeColor="text1"/>
        </w:rPr>
        <w:t xml:space="preserve"> </w:t>
      </w:r>
    </w:p>
    <w:p w14:paraId="245233F8" w14:textId="77777777" w:rsidR="00357F0F" w:rsidRPr="008E3154" w:rsidRDefault="00357F0F" w:rsidP="00357F0F">
      <w:pPr>
        <w:spacing w:line="480" w:lineRule="auto"/>
        <w:ind w:left="720"/>
        <w:rPr>
          <w:color w:val="000000" w:themeColor="text1"/>
        </w:rPr>
      </w:pPr>
      <w:r w:rsidRPr="008E3154">
        <w:rPr>
          <w:color w:val="000000" w:themeColor="text1"/>
        </w:rPr>
        <w:lastRenderedPageBreak/>
        <w:t xml:space="preserve">interest, and resolutions are frequently passed by the </w:t>
      </w:r>
      <w:proofErr w:type="gramStart"/>
      <w:r w:rsidRPr="008E3154">
        <w:rPr>
          <w:color w:val="000000" w:themeColor="text1"/>
        </w:rPr>
        <w:t>branches</w:t>
      </w:r>
      <w:proofErr w:type="gramEnd"/>
      <w:r w:rsidRPr="008E3154">
        <w:rPr>
          <w:color w:val="000000" w:themeColor="text1"/>
        </w:rPr>
        <w:t xml:space="preserve"> </w:t>
      </w:r>
    </w:p>
    <w:p w14:paraId="00A06745" w14:textId="77777777" w:rsidR="00357F0F" w:rsidRPr="008E3154" w:rsidRDefault="00357F0F" w:rsidP="00357F0F">
      <w:pPr>
        <w:spacing w:line="480" w:lineRule="auto"/>
        <w:ind w:left="720"/>
        <w:rPr>
          <w:color w:val="000000" w:themeColor="text1"/>
        </w:rPr>
      </w:pPr>
      <w:r w:rsidRPr="008E3154">
        <w:rPr>
          <w:color w:val="000000" w:themeColor="text1"/>
        </w:rPr>
        <w:t xml:space="preserve">and at national meetings about matters </w:t>
      </w:r>
      <w:proofErr w:type="gramStart"/>
      <w:r w:rsidRPr="008E3154">
        <w:rPr>
          <w:color w:val="000000" w:themeColor="text1"/>
        </w:rPr>
        <w:t>where</w:t>
      </w:r>
      <w:proofErr w:type="gramEnd"/>
      <w:r w:rsidRPr="008E3154">
        <w:rPr>
          <w:color w:val="000000" w:themeColor="text1"/>
        </w:rPr>
        <w:t xml:space="preserve"> members’ </w:t>
      </w:r>
    </w:p>
    <w:p w14:paraId="24A6820F" w14:textId="77777777" w:rsidR="00357F0F" w:rsidRPr="008E3154" w:rsidRDefault="00357F0F" w:rsidP="00357F0F">
      <w:pPr>
        <w:spacing w:line="480" w:lineRule="auto"/>
        <w:ind w:left="720"/>
        <w:rPr>
          <w:color w:val="000000" w:themeColor="text1"/>
        </w:rPr>
      </w:pPr>
      <w:r w:rsidRPr="008E3154">
        <w:rPr>
          <w:color w:val="000000" w:themeColor="text1"/>
        </w:rPr>
        <w:t xml:space="preserve">particular knowledge and </w:t>
      </w:r>
      <w:r w:rsidRPr="008E3154">
        <w:rPr>
          <w:color w:val="000000" w:themeColor="text1"/>
          <w:highlight w:val="yellow"/>
        </w:rPr>
        <w:t>experience</w:t>
      </w:r>
      <w:r w:rsidRPr="008E3154">
        <w:rPr>
          <w:color w:val="000000" w:themeColor="text1"/>
        </w:rPr>
        <w:t xml:space="preserve"> have </w:t>
      </w:r>
      <w:proofErr w:type="gramStart"/>
      <w:r w:rsidRPr="008E3154">
        <w:rPr>
          <w:color w:val="000000" w:themeColor="text1"/>
        </w:rPr>
        <w:t>indicated</w:t>
      </w:r>
      <w:proofErr w:type="gramEnd"/>
      <w:r w:rsidRPr="008E3154">
        <w:rPr>
          <w:color w:val="000000" w:themeColor="text1"/>
        </w:rPr>
        <w:t xml:space="preserve"> </w:t>
      </w:r>
    </w:p>
    <w:p w14:paraId="22D83193" w14:textId="77777777" w:rsidR="00357F0F" w:rsidRPr="008E3154" w:rsidRDefault="00357F0F" w:rsidP="00357F0F">
      <w:pPr>
        <w:spacing w:line="480" w:lineRule="auto"/>
        <w:ind w:left="720"/>
        <w:rPr>
          <w:color w:val="000000" w:themeColor="text1"/>
        </w:rPr>
      </w:pPr>
      <w:r w:rsidRPr="008E3154">
        <w:rPr>
          <w:color w:val="000000" w:themeColor="text1"/>
        </w:rPr>
        <w:t>that reform is both necessary and possible.</w:t>
      </w:r>
      <w:r w:rsidRPr="008E3154">
        <w:rPr>
          <w:rStyle w:val="FootnoteReference"/>
          <w:color w:val="000000" w:themeColor="text1"/>
        </w:rPr>
        <w:footnoteReference w:id="45"/>
      </w:r>
    </w:p>
    <w:p w14:paraId="5AF29540" w14:textId="06DC96B2" w:rsidR="00357F0F" w:rsidRPr="008E3154" w:rsidRDefault="00357F0F" w:rsidP="00576A1A">
      <w:pPr>
        <w:spacing w:line="480" w:lineRule="auto"/>
        <w:rPr>
          <w:color w:val="000000" w:themeColor="text1"/>
        </w:rPr>
      </w:pPr>
      <w:r w:rsidRPr="008E3154">
        <w:rPr>
          <w:color w:val="000000" w:themeColor="text1"/>
        </w:rPr>
        <w:t xml:space="preserve">This “particular” </w:t>
      </w:r>
      <w:r w:rsidRPr="008E3154">
        <w:rPr>
          <w:color w:val="000000" w:themeColor="text1"/>
          <w:highlight w:val="yellow"/>
        </w:rPr>
        <w:t>experience</w:t>
      </w:r>
      <w:r w:rsidRPr="008E3154">
        <w:rPr>
          <w:color w:val="000000" w:themeColor="text1"/>
        </w:rPr>
        <w:t xml:space="preserve"> held by </w:t>
      </w:r>
      <w:r w:rsidRPr="008E3154">
        <w:rPr>
          <w:color w:val="000000" w:themeColor="text1"/>
          <w:highlight w:val="yellow"/>
        </w:rPr>
        <w:t>housewives’ associations</w:t>
      </w:r>
      <w:r w:rsidRPr="008E3154">
        <w:rPr>
          <w:color w:val="000000" w:themeColor="text1"/>
        </w:rPr>
        <w:t xml:space="preserve"> continued to legitimate their intervention in </w:t>
      </w:r>
      <w:r w:rsidRPr="00A87969">
        <w:rPr>
          <w:color w:val="000000" w:themeColor="text1"/>
          <w:highlight w:val="yellow"/>
        </w:rPr>
        <w:t>welfare policy</w:t>
      </w:r>
      <w:r w:rsidRPr="008E3154">
        <w:rPr>
          <w:color w:val="000000" w:themeColor="text1"/>
        </w:rPr>
        <w:t xml:space="preserve"> debates, however this aspect of their work in the 1960s and 1970s has not yet been fully interrogated. For example Maggie Andrews in her landmark history of the NFWI ends in 1960 with the rather pessimistic conclusion that the movement had become less interested in </w:t>
      </w:r>
      <w:r w:rsidRPr="00A87969">
        <w:rPr>
          <w:color w:val="000000" w:themeColor="text1"/>
          <w:highlight w:val="yellow"/>
        </w:rPr>
        <w:t>activism</w:t>
      </w:r>
      <w:r w:rsidR="00F50903" w:rsidRPr="008E3154">
        <w:rPr>
          <w:color w:val="000000" w:themeColor="text1"/>
        </w:rPr>
        <w:t xml:space="preserve"> by this time</w:t>
      </w:r>
      <w:r w:rsidRPr="008E3154">
        <w:rPr>
          <w:color w:val="000000" w:themeColor="text1"/>
        </w:rPr>
        <w:t>.</w:t>
      </w:r>
      <w:r w:rsidRPr="008E3154">
        <w:rPr>
          <w:rStyle w:val="FootnoteReference"/>
          <w:color w:val="000000" w:themeColor="text1"/>
        </w:rPr>
        <w:footnoteReference w:id="46"/>
      </w:r>
      <w:r w:rsidR="008A727E" w:rsidRPr="008E3154">
        <w:rPr>
          <w:color w:val="000000" w:themeColor="text1"/>
        </w:rPr>
        <w:t xml:space="preserve"> </w:t>
      </w:r>
    </w:p>
    <w:p w14:paraId="2754AD54" w14:textId="1FBCD99A" w:rsidR="00357F0F" w:rsidRPr="008E3154" w:rsidRDefault="00357F0F" w:rsidP="00357F0F">
      <w:pPr>
        <w:spacing w:line="480" w:lineRule="auto"/>
        <w:ind w:firstLine="720"/>
        <w:rPr>
          <w:color w:val="000000" w:themeColor="text1"/>
        </w:rPr>
      </w:pPr>
      <w:r w:rsidRPr="008E3154">
        <w:rPr>
          <w:color w:val="000000" w:themeColor="text1"/>
        </w:rPr>
        <w:t xml:space="preserve">The new </w:t>
      </w:r>
      <w:r w:rsidRPr="008E3154">
        <w:rPr>
          <w:color w:val="000000" w:themeColor="text1"/>
          <w:highlight w:val="yellow"/>
        </w:rPr>
        <w:t>history of experience</w:t>
      </w:r>
      <w:r w:rsidR="006B08ED" w:rsidRPr="008E3154">
        <w:rPr>
          <w:color w:val="000000" w:themeColor="text1"/>
          <w:highlight w:val="yellow"/>
        </w:rPr>
        <w:t>s</w:t>
      </w:r>
      <w:r w:rsidRPr="008E3154">
        <w:rPr>
          <w:color w:val="000000" w:themeColor="text1"/>
        </w:rPr>
        <w:t xml:space="preserve"> encourages historians to refine their approaches and to rethink “historical experiences, historical explanations and historical knowledge, and their place in the current world”.</w:t>
      </w:r>
      <w:r w:rsidRPr="008E3154">
        <w:rPr>
          <w:rStyle w:val="FootnoteReference"/>
          <w:color w:val="000000" w:themeColor="text1"/>
        </w:rPr>
        <w:footnoteReference w:id="47"/>
      </w:r>
      <w:r w:rsidRPr="008E3154">
        <w:rPr>
          <w:color w:val="000000" w:themeColor="text1"/>
        </w:rPr>
        <w:t xml:space="preserve"> In the case of </w:t>
      </w:r>
      <w:r w:rsidRPr="008E3154">
        <w:rPr>
          <w:color w:val="000000" w:themeColor="text1"/>
          <w:highlight w:val="yellow"/>
        </w:rPr>
        <w:t>housewives’ associations</w:t>
      </w:r>
      <w:r w:rsidRPr="008E3154">
        <w:rPr>
          <w:color w:val="000000" w:themeColor="text1"/>
        </w:rPr>
        <w:t xml:space="preserve"> a </w:t>
      </w:r>
      <w:r w:rsidRPr="008E3154">
        <w:rPr>
          <w:color w:val="000000" w:themeColor="text1"/>
          <w:highlight w:val="yellow"/>
        </w:rPr>
        <w:t>history of experience</w:t>
      </w:r>
      <w:r w:rsidRPr="008E3154">
        <w:rPr>
          <w:color w:val="000000" w:themeColor="text1"/>
        </w:rPr>
        <w:t xml:space="preserve"> approach demands a re-think about the </w:t>
      </w:r>
      <w:r w:rsidRPr="008E3154">
        <w:rPr>
          <w:color w:val="000000" w:themeColor="text1"/>
          <w:highlight w:val="yellow"/>
        </w:rPr>
        <w:t>experiences</w:t>
      </w:r>
      <w:r w:rsidRPr="008E3154">
        <w:rPr>
          <w:color w:val="000000" w:themeColor="text1"/>
        </w:rPr>
        <w:t xml:space="preserve"> of women who were members throughout the 1960s and 1970s. During these two decades much of the focus of historical and sociological research has been on the </w:t>
      </w:r>
      <w:r w:rsidRPr="008E3154">
        <w:rPr>
          <w:color w:val="000000" w:themeColor="text1"/>
          <w:highlight w:val="yellow"/>
        </w:rPr>
        <w:t>experiences</w:t>
      </w:r>
      <w:r w:rsidRPr="008E3154">
        <w:rPr>
          <w:color w:val="000000" w:themeColor="text1"/>
        </w:rPr>
        <w:t xml:space="preserve"> of wives and mothers engaging in paid work, the experiences of younger women adapting to </w:t>
      </w:r>
      <w:r w:rsidRPr="0059294E">
        <w:rPr>
          <w:color w:val="000000" w:themeColor="text1"/>
          <w:highlight w:val="yellow"/>
        </w:rPr>
        <w:t>motherhood</w:t>
      </w:r>
      <w:r w:rsidRPr="008E3154">
        <w:rPr>
          <w:color w:val="000000" w:themeColor="text1"/>
        </w:rPr>
        <w:t xml:space="preserve"> and domestic responsibilities and the </w:t>
      </w:r>
      <w:r w:rsidRPr="00935D7F">
        <w:rPr>
          <w:color w:val="000000" w:themeColor="text1"/>
          <w:highlight w:val="yellow"/>
        </w:rPr>
        <w:t>activism</w:t>
      </w:r>
      <w:r w:rsidRPr="008E3154">
        <w:rPr>
          <w:color w:val="000000" w:themeColor="text1"/>
        </w:rPr>
        <w:t xml:space="preserve"> of women within the </w:t>
      </w:r>
      <w:r w:rsidRPr="008E3154">
        <w:rPr>
          <w:color w:val="000000" w:themeColor="text1"/>
          <w:highlight w:val="yellow"/>
        </w:rPr>
        <w:t>WLM</w:t>
      </w:r>
      <w:r w:rsidRPr="008E3154">
        <w:rPr>
          <w:color w:val="000000" w:themeColor="text1"/>
        </w:rPr>
        <w:t>.</w:t>
      </w:r>
      <w:r w:rsidRPr="008E3154">
        <w:rPr>
          <w:rStyle w:val="FootnoteReference"/>
          <w:color w:val="000000" w:themeColor="text1"/>
        </w:rPr>
        <w:footnoteReference w:id="48"/>
      </w:r>
      <w:r w:rsidRPr="008E3154">
        <w:rPr>
          <w:color w:val="000000" w:themeColor="text1"/>
        </w:rPr>
        <w:t xml:space="preserve"> There are of course notable exceptions, for example Florence </w:t>
      </w:r>
      <w:r w:rsidRPr="008E3154">
        <w:rPr>
          <w:color w:val="000000" w:themeColor="text1"/>
        </w:rPr>
        <w:lastRenderedPageBreak/>
        <w:t xml:space="preserve">Sutcliffe-Braithwaite and Natalie Thomlinson’s oral history of working-class women’s </w:t>
      </w:r>
      <w:r w:rsidRPr="008E3154">
        <w:rPr>
          <w:color w:val="000000" w:themeColor="text1"/>
          <w:highlight w:val="yellow"/>
        </w:rPr>
        <w:t>lived experience</w:t>
      </w:r>
      <w:r w:rsidRPr="008E3154">
        <w:rPr>
          <w:color w:val="000000" w:themeColor="text1"/>
        </w:rPr>
        <w:t xml:space="preserve"> in coalfield communities.</w:t>
      </w:r>
      <w:r w:rsidRPr="008E3154">
        <w:rPr>
          <w:rStyle w:val="FootnoteReference"/>
          <w:color w:val="000000" w:themeColor="text1"/>
        </w:rPr>
        <w:footnoteReference w:id="49"/>
      </w:r>
    </w:p>
    <w:p w14:paraId="768A2F0D" w14:textId="4899E28B" w:rsidR="00357F0F" w:rsidRPr="008E3154" w:rsidRDefault="00357F0F" w:rsidP="00357F0F">
      <w:pPr>
        <w:spacing w:line="480" w:lineRule="auto"/>
        <w:ind w:firstLine="720"/>
        <w:rPr>
          <w:color w:val="000000" w:themeColor="text1"/>
        </w:rPr>
      </w:pPr>
      <w:r w:rsidRPr="008E3154">
        <w:rPr>
          <w:color w:val="000000" w:themeColor="text1"/>
        </w:rPr>
        <w:t xml:space="preserve">By taking a closer look at the activities of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during the 1960s and 1970s it becomes clear that, individually and collectively, </w:t>
      </w:r>
      <w:r w:rsidR="00AD29F2" w:rsidRPr="008E3154">
        <w:rPr>
          <w:color w:val="000000" w:themeColor="text1"/>
        </w:rPr>
        <w:t xml:space="preserve">both </w:t>
      </w:r>
      <w:r w:rsidRPr="008E3154">
        <w:rPr>
          <w:color w:val="000000" w:themeColor="text1"/>
        </w:rPr>
        <w:t>groups remained vibrant “</w:t>
      </w:r>
      <w:r w:rsidRPr="008E3154">
        <w:rPr>
          <w:color w:val="000000" w:themeColor="text1"/>
          <w:highlight w:val="yellow"/>
        </w:rPr>
        <w:t>communities of experiences</w:t>
      </w:r>
      <w:r w:rsidRPr="008E3154">
        <w:rPr>
          <w:color w:val="000000" w:themeColor="text1"/>
        </w:rPr>
        <w:t>”. Ville Kivimäki, Antti Malinen and Ville Vuolanto argue that “</w:t>
      </w:r>
      <w:r w:rsidRPr="008E3154">
        <w:rPr>
          <w:color w:val="000000" w:themeColor="text1"/>
          <w:highlight w:val="yellow"/>
        </w:rPr>
        <w:t>communities of experiences</w:t>
      </w:r>
      <w:r w:rsidRPr="008E3154">
        <w:rPr>
          <w:color w:val="000000" w:themeColor="text1"/>
        </w:rPr>
        <w:t xml:space="preserve">” are made up of people who recognise similarities in their </w:t>
      </w:r>
      <w:r w:rsidRPr="008E3154">
        <w:rPr>
          <w:color w:val="000000" w:themeColor="text1"/>
          <w:highlight w:val="yellow"/>
        </w:rPr>
        <w:t>experiences</w:t>
      </w:r>
      <w:r w:rsidRPr="008E3154">
        <w:rPr>
          <w:color w:val="000000" w:themeColor="text1"/>
        </w:rPr>
        <w:t xml:space="preserve"> and who “share and negotiate these experiences and their meanings with each other…bound together with a sense of shared experience”.</w:t>
      </w:r>
      <w:r w:rsidRPr="008E3154">
        <w:rPr>
          <w:rStyle w:val="FootnoteReference"/>
          <w:color w:val="000000" w:themeColor="text1"/>
        </w:rPr>
        <w:footnoteReference w:id="50"/>
      </w:r>
      <w:r w:rsidR="00D17271" w:rsidRPr="008E3154">
        <w:rPr>
          <w:color w:val="000000" w:themeColor="text1"/>
        </w:rPr>
        <w:t xml:space="preserve"> Engaging with</w:t>
      </w:r>
      <w:r w:rsidRPr="008E3154">
        <w:rPr>
          <w:color w:val="000000" w:themeColor="text1"/>
        </w:rPr>
        <w:t xml:space="preserve"> the idea of “</w:t>
      </w:r>
      <w:r w:rsidRPr="008E3154">
        <w:rPr>
          <w:color w:val="000000" w:themeColor="text1"/>
          <w:highlight w:val="yellow"/>
        </w:rPr>
        <w:t>communities of experience</w:t>
      </w:r>
      <w:r w:rsidRPr="008E3154">
        <w:rPr>
          <w:color w:val="000000" w:themeColor="text1"/>
        </w:rPr>
        <w:t xml:space="preserve">” shines a light on negotiations taking place within </w:t>
      </w:r>
      <w:r w:rsidRPr="008E3154">
        <w:rPr>
          <w:color w:val="000000" w:themeColor="text1"/>
          <w:highlight w:val="yellow"/>
        </w:rPr>
        <w:t>housewives’ associations</w:t>
      </w:r>
      <w:r w:rsidRPr="008E3154">
        <w:rPr>
          <w:color w:val="000000" w:themeColor="text1"/>
        </w:rPr>
        <w:t xml:space="preserve"> when the </w:t>
      </w:r>
      <w:r w:rsidRPr="008E3154">
        <w:rPr>
          <w:color w:val="000000" w:themeColor="text1"/>
          <w:highlight w:val="yellow"/>
        </w:rPr>
        <w:t>lived experience</w:t>
      </w:r>
      <w:r w:rsidRPr="008E3154">
        <w:rPr>
          <w:color w:val="000000" w:themeColor="text1"/>
        </w:rPr>
        <w:t xml:space="preserve"> of wives and mothers was evolving at a rapid pace. The </w:t>
      </w:r>
      <w:r w:rsidRPr="008E3154">
        <w:rPr>
          <w:color w:val="000000" w:themeColor="text1"/>
          <w:highlight w:val="yellow"/>
        </w:rPr>
        <w:t>welfare state</w:t>
      </w:r>
      <w:r w:rsidRPr="008E3154">
        <w:rPr>
          <w:color w:val="000000" w:themeColor="text1"/>
        </w:rPr>
        <w:t xml:space="preserve"> transformed many women’s lives for the better with its access to free health care, improved housing provision and expansion of educational and employment opportunities.</w:t>
      </w:r>
      <w:r w:rsidRPr="008E3154">
        <w:rPr>
          <w:rStyle w:val="FootnoteReference"/>
          <w:color w:val="000000" w:themeColor="text1"/>
        </w:rPr>
        <w:footnoteReference w:id="51"/>
      </w:r>
      <w:r w:rsidRPr="008E3154">
        <w:rPr>
          <w:color w:val="000000" w:themeColor="text1"/>
        </w:rPr>
        <w:t xml:space="preserve"> Paid work became an everyday </w:t>
      </w:r>
      <w:r w:rsidRPr="008E3154">
        <w:rPr>
          <w:color w:val="000000" w:themeColor="text1"/>
          <w:highlight w:val="yellow"/>
        </w:rPr>
        <w:t>experience</w:t>
      </w:r>
      <w:r w:rsidRPr="008E3154">
        <w:rPr>
          <w:color w:val="000000" w:themeColor="text1"/>
        </w:rPr>
        <w:t xml:space="preserve"> for increasing numbers of married women, making it difficult to attend monthly meetings of </w:t>
      </w:r>
      <w:r w:rsidRPr="008E3154">
        <w:rPr>
          <w:color w:val="000000" w:themeColor="text1"/>
          <w:highlight w:val="yellow"/>
        </w:rPr>
        <w:t>housewives’ associations</w:t>
      </w:r>
      <w:r w:rsidRPr="008E3154">
        <w:rPr>
          <w:color w:val="000000" w:themeColor="text1"/>
        </w:rPr>
        <w:t>.</w:t>
      </w:r>
      <w:r w:rsidRPr="008E3154">
        <w:rPr>
          <w:rStyle w:val="FootnoteReference"/>
          <w:color w:val="000000" w:themeColor="text1"/>
        </w:rPr>
        <w:footnoteReference w:id="52"/>
      </w:r>
      <w:r w:rsidRPr="008E3154">
        <w:rPr>
          <w:color w:val="000000" w:themeColor="text1"/>
        </w:rPr>
        <w:t xml:space="preserve"> Moreover new organisations, targeting younger wives and mothers, threatened the popularity of older more traditional groups.</w:t>
      </w:r>
      <w:r w:rsidRPr="008E3154">
        <w:rPr>
          <w:rStyle w:val="FootnoteReference"/>
          <w:color w:val="000000" w:themeColor="text1"/>
        </w:rPr>
        <w:footnoteReference w:id="53"/>
      </w:r>
      <w:r w:rsidRPr="008E3154">
        <w:rPr>
          <w:color w:val="000000" w:themeColor="text1"/>
        </w:rPr>
        <w:t xml:space="preserve"> Yet </w:t>
      </w:r>
      <w:r w:rsidRPr="008E3154">
        <w:rPr>
          <w:color w:val="000000" w:themeColor="text1"/>
        </w:rPr>
        <w:lastRenderedPageBreak/>
        <w:t xml:space="preserve">despite these challenges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w:t>
      </w:r>
      <w:r w:rsidR="0088132B" w:rsidRPr="008E3154">
        <w:rPr>
          <w:color w:val="000000" w:themeColor="text1"/>
        </w:rPr>
        <w:t xml:space="preserve">remained </w:t>
      </w:r>
      <w:r w:rsidR="00E30D54" w:rsidRPr="008E3154">
        <w:rPr>
          <w:color w:val="000000" w:themeColor="text1"/>
        </w:rPr>
        <w:t xml:space="preserve">two of the </w:t>
      </w:r>
      <w:r w:rsidRPr="008E3154">
        <w:rPr>
          <w:color w:val="000000" w:themeColor="text1"/>
        </w:rPr>
        <w:t>largest women’s organisation in Britain.</w:t>
      </w:r>
      <w:r w:rsidRPr="008E3154">
        <w:rPr>
          <w:rStyle w:val="FootnoteReference"/>
          <w:color w:val="000000" w:themeColor="text1"/>
        </w:rPr>
        <w:footnoteReference w:id="54"/>
      </w:r>
      <w:r w:rsidRPr="008E3154">
        <w:rPr>
          <w:color w:val="000000" w:themeColor="text1"/>
        </w:rPr>
        <w:t xml:space="preserve"> </w:t>
      </w:r>
    </w:p>
    <w:p w14:paraId="2E3C0720" w14:textId="40CBE50C" w:rsidR="00357F0F" w:rsidRPr="008E3154" w:rsidRDefault="00357F0F" w:rsidP="00357F0F">
      <w:pPr>
        <w:spacing w:line="480" w:lineRule="auto"/>
        <w:ind w:firstLine="720"/>
        <w:rPr>
          <w:color w:val="000000" w:themeColor="text1"/>
        </w:rPr>
      </w:pPr>
      <w:r w:rsidRPr="008E3154">
        <w:rPr>
          <w:color w:val="000000" w:themeColor="text1"/>
        </w:rPr>
        <w:t>Within the “</w:t>
      </w:r>
      <w:r w:rsidRPr="008E3154">
        <w:rPr>
          <w:color w:val="000000" w:themeColor="text1"/>
          <w:highlight w:val="yellow"/>
        </w:rPr>
        <w:t xml:space="preserve">communities of </w:t>
      </w:r>
      <w:r w:rsidR="00E20650" w:rsidRPr="008E3154">
        <w:rPr>
          <w:color w:val="000000" w:themeColor="text1"/>
          <w:highlight w:val="yellow"/>
        </w:rPr>
        <w:t>experience</w:t>
      </w:r>
      <w:r w:rsidR="00E20650" w:rsidRPr="008E3154">
        <w:rPr>
          <w:color w:val="000000" w:themeColor="text1"/>
        </w:rPr>
        <w:t>” sustained by the</w:t>
      </w:r>
      <w:r w:rsidRPr="008E3154">
        <w:rPr>
          <w:color w:val="000000" w:themeColor="text1"/>
        </w:rPr>
        <w:t xml:space="preserv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the “</w:t>
      </w:r>
      <w:r w:rsidRPr="008E3154">
        <w:rPr>
          <w:color w:val="000000" w:themeColor="text1"/>
          <w:highlight w:val="yellow"/>
        </w:rPr>
        <w:t>housewife as expert</w:t>
      </w:r>
      <w:r w:rsidRPr="008E3154">
        <w:rPr>
          <w:color w:val="000000" w:themeColor="text1"/>
        </w:rPr>
        <w:t xml:space="preserve">” construct remained robust. Here the </w:t>
      </w:r>
      <w:r w:rsidR="00DC7936" w:rsidRPr="008E3154">
        <w:rPr>
          <w:color w:val="000000" w:themeColor="text1"/>
        </w:rPr>
        <w:t xml:space="preserve">“ways of knowing </w:t>
      </w:r>
      <w:r w:rsidR="009F5F4A" w:rsidRPr="008E3154">
        <w:rPr>
          <w:color w:val="000000" w:themeColor="text1"/>
        </w:rPr>
        <w:t xml:space="preserve">rooted in </w:t>
      </w:r>
      <w:r w:rsidR="009F5F4A" w:rsidRPr="008E3154">
        <w:rPr>
          <w:color w:val="000000" w:themeColor="text1"/>
          <w:highlight w:val="yellow"/>
        </w:rPr>
        <w:t>experience</w:t>
      </w:r>
      <w:r w:rsidR="009F5F4A" w:rsidRPr="008E3154">
        <w:rPr>
          <w:color w:val="000000" w:themeColor="text1"/>
        </w:rPr>
        <w:t>”</w:t>
      </w:r>
      <w:r w:rsidR="00152E56" w:rsidRPr="008E3154">
        <w:rPr>
          <w:color w:val="000000" w:themeColor="text1"/>
        </w:rPr>
        <w:t>, and</w:t>
      </w:r>
      <w:r w:rsidR="004F1444" w:rsidRPr="008E3154">
        <w:rPr>
          <w:color w:val="000000" w:themeColor="text1"/>
        </w:rPr>
        <w:t xml:space="preserve"> acknowledgement that the “specialness of those ways of knowing”</w:t>
      </w:r>
      <w:r w:rsidRPr="008E3154">
        <w:rPr>
          <w:color w:val="000000" w:themeColor="text1"/>
        </w:rPr>
        <w:t xml:space="preserve"> endowed members with </w:t>
      </w:r>
      <w:r w:rsidRPr="008E3154">
        <w:rPr>
          <w:color w:val="000000" w:themeColor="text1"/>
          <w:highlight w:val="yellow"/>
        </w:rPr>
        <w:t>experiential expertise</w:t>
      </w:r>
      <w:r w:rsidRPr="008E3154">
        <w:rPr>
          <w:color w:val="000000" w:themeColor="text1"/>
        </w:rPr>
        <w:t xml:space="preserve">, underpinned </w:t>
      </w:r>
      <w:r w:rsidRPr="008E3154">
        <w:rPr>
          <w:color w:val="000000" w:themeColor="text1"/>
          <w:highlight w:val="yellow"/>
        </w:rPr>
        <w:t>activism</w:t>
      </w:r>
      <w:r w:rsidRPr="008E3154">
        <w:rPr>
          <w:color w:val="000000" w:themeColor="text1"/>
        </w:rPr>
        <w:t xml:space="preserve"> </w:t>
      </w:r>
      <w:r w:rsidR="00C91921" w:rsidRPr="008E3154">
        <w:rPr>
          <w:color w:val="000000" w:themeColor="text1"/>
        </w:rPr>
        <w:t xml:space="preserve">on </w:t>
      </w:r>
      <w:r w:rsidRPr="00935D7F">
        <w:rPr>
          <w:color w:val="000000" w:themeColor="text1"/>
          <w:highlight w:val="yellow"/>
        </w:rPr>
        <w:t>welfare</w:t>
      </w:r>
      <w:r w:rsidRPr="008E3154">
        <w:rPr>
          <w:color w:val="000000" w:themeColor="text1"/>
        </w:rPr>
        <w:t>.</w:t>
      </w:r>
      <w:r w:rsidR="004F1444" w:rsidRPr="008E3154">
        <w:rPr>
          <w:rStyle w:val="FootnoteReference"/>
          <w:color w:val="000000" w:themeColor="text1"/>
        </w:rPr>
        <w:footnoteReference w:id="55"/>
      </w:r>
      <w:r w:rsidRPr="008E3154">
        <w:rPr>
          <w:color w:val="000000" w:themeColor="text1"/>
        </w:rPr>
        <w:t xml:space="preserve"> In May 1971 the editor of the </w:t>
      </w:r>
      <w:r w:rsidRPr="008E3154">
        <w:rPr>
          <w:color w:val="000000" w:themeColor="text1"/>
          <w:highlight w:val="yellow"/>
        </w:rPr>
        <w:t>TG</w:t>
      </w:r>
      <w:r w:rsidRPr="008E3154">
        <w:rPr>
          <w:color w:val="000000" w:themeColor="text1"/>
        </w:rPr>
        <w:t xml:space="preserve"> magazine, </w:t>
      </w:r>
      <w:r w:rsidRPr="00935D7F">
        <w:rPr>
          <w:i/>
          <w:color w:val="000000" w:themeColor="text1"/>
          <w:highlight w:val="yellow"/>
        </w:rPr>
        <w:t>The Townswoman</w:t>
      </w:r>
      <w:r w:rsidRPr="008E3154">
        <w:rPr>
          <w:color w:val="000000" w:themeColor="text1"/>
        </w:rPr>
        <w:t xml:space="preserve">, wrote, “it is the collective voice which distinguishes the Townswoman in her </w:t>
      </w:r>
      <w:r w:rsidRPr="008E3154">
        <w:rPr>
          <w:i/>
          <w:color w:val="000000" w:themeColor="text1"/>
        </w:rPr>
        <w:t>major</w:t>
      </w:r>
      <w:r w:rsidRPr="008E3154">
        <w:rPr>
          <w:color w:val="000000" w:themeColor="text1"/>
        </w:rPr>
        <w:t xml:space="preserve"> role</w:t>
      </w:r>
      <w:r w:rsidR="00E53D42" w:rsidRPr="008E3154">
        <w:rPr>
          <w:color w:val="000000" w:themeColor="text1"/>
        </w:rPr>
        <w:t>”</w:t>
      </w:r>
      <w:r w:rsidR="000B798D" w:rsidRPr="008E3154">
        <w:rPr>
          <w:color w:val="000000" w:themeColor="text1"/>
        </w:rPr>
        <w:t xml:space="preserve"> from her identity as a </w:t>
      </w:r>
      <w:r w:rsidRPr="008E3154">
        <w:rPr>
          <w:color w:val="000000" w:themeColor="text1"/>
          <w:highlight w:val="yellow"/>
        </w:rPr>
        <w:t>housewife</w:t>
      </w:r>
      <w:r w:rsidR="007A76B7" w:rsidRPr="008E3154">
        <w:rPr>
          <w:color w:val="000000" w:themeColor="text1"/>
        </w:rPr>
        <w:t xml:space="preserve">, </w:t>
      </w:r>
      <w:r w:rsidR="000B798D" w:rsidRPr="008E3154">
        <w:rPr>
          <w:color w:val="000000" w:themeColor="text1"/>
        </w:rPr>
        <w:t xml:space="preserve">which for </w:t>
      </w:r>
      <w:r w:rsidR="001B67CD" w:rsidRPr="008E3154">
        <w:rPr>
          <w:color w:val="000000" w:themeColor="text1"/>
        </w:rPr>
        <w:t>t</w:t>
      </w:r>
      <w:r w:rsidR="007A76B7" w:rsidRPr="008E3154">
        <w:rPr>
          <w:color w:val="000000" w:themeColor="text1"/>
        </w:rPr>
        <w:t>oo long has been regarded as</w:t>
      </w:r>
      <w:r w:rsidR="000B798D" w:rsidRPr="008E3154">
        <w:rPr>
          <w:color w:val="000000" w:themeColor="text1"/>
        </w:rPr>
        <w:t xml:space="preserve"> the</w:t>
      </w:r>
      <w:r w:rsidRPr="008E3154">
        <w:rPr>
          <w:color w:val="000000" w:themeColor="text1"/>
        </w:rPr>
        <w:t xml:space="preserve"> </w:t>
      </w:r>
      <w:r w:rsidR="001B67CD" w:rsidRPr="008E3154">
        <w:rPr>
          <w:color w:val="000000" w:themeColor="text1"/>
        </w:rPr>
        <w:t>“</w:t>
      </w:r>
      <w:r w:rsidRPr="008E3154">
        <w:rPr>
          <w:i/>
          <w:color w:val="000000" w:themeColor="text1"/>
        </w:rPr>
        <w:t>minor</w:t>
      </w:r>
      <w:r w:rsidRPr="008E3154">
        <w:rPr>
          <w:color w:val="000000" w:themeColor="text1"/>
        </w:rPr>
        <w:t xml:space="preserve"> role of a subordinate sex”.</w:t>
      </w:r>
      <w:r w:rsidRPr="008E3154">
        <w:rPr>
          <w:rStyle w:val="FootnoteReference"/>
          <w:color w:val="000000" w:themeColor="text1"/>
        </w:rPr>
        <w:t xml:space="preserve"> </w:t>
      </w:r>
      <w:r w:rsidRPr="008E3154">
        <w:rPr>
          <w:rStyle w:val="FootnoteReference"/>
          <w:color w:val="000000" w:themeColor="text1"/>
        </w:rPr>
        <w:footnoteReference w:id="56"/>
      </w:r>
      <w:r w:rsidRPr="008E3154">
        <w:rPr>
          <w:color w:val="000000" w:themeColor="text1"/>
        </w:rPr>
        <w:t xml:space="preserve"> As the editor </w:t>
      </w:r>
      <w:r w:rsidR="00772E3F" w:rsidRPr="008E3154">
        <w:rPr>
          <w:color w:val="000000" w:themeColor="text1"/>
        </w:rPr>
        <w:t>went on to observe</w:t>
      </w:r>
      <w:r w:rsidRPr="008E3154">
        <w:rPr>
          <w:color w:val="000000" w:themeColor="text1"/>
        </w:rPr>
        <w:t xml:space="preserve"> the </w:t>
      </w:r>
      <w:r w:rsidRPr="008E3154">
        <w:rPr>
          <w:color w:val="000000" w:themeColor="text1"/>
          <w:highlight w:val="yellow"/>
        </w:rPr>
        <w:t>TG</w:t>
      </w:r>
      <w:r w:rsidRPr="008E3154">
        <w:rPr>
          <w:color w:val="000000" w:themeColor="text1"/>
        </w:rPr>
        <w:t xml:space="preserve"> member joins a national women’s organisation “for her own good, the good of her family and for the community at large” and seeks to “inform herself – an educational process – on whatever may affect their</w:t>
      </w:r>
      <w:r w:rsidR="009D21D9" w:rsidRPr="008E3154">
        <w:rPr>
          <w:color w:val="000000" w:themeColor="text1"/>
        </w:rPr>
        <w:t xml:space="preserve"> way of life, or threaten it.” </w:t>
      </w:r>
      <w:r w:rsidRPr="008E3154">
        <w:rPr>
          <w:color w:val="000000" w:themeColor="text1"/>
        </w:rPr>
        <w:t xml:space="preserve">Threats at this time included “bad housing, discrimination, the </w:t>
      </w:r>
      <w:r w:rsidRPr="00935D7F">
        <w:rPr>
          <w:color w:val="000000" w:themeColor="text1"/>
          <w:highlight w:val="yellow"/>
        </w:rPr>
        <w:t>welfare</w:t>
      </w:r>
      <w:r w:rsidRPr="008E3154">
        <w:rPr>
          <w:color w:val="000000" w:themeColor="text1"/>
        </w:rPr>
        <w:t xml:space="preserve"> of disadvantaged sections of the </w:t>
      </w:r>
      <w:r w:rsidRPr="00935D7F">
        <w:rPr>
          <w:color w:val="000000" w:themeColor="text1"/>
          <w:highlight w:val="yellow"/>
        </w:rPr>
        <w:t>community</w:t>
      </w:r>
      <w:r w:rsidRPr="008E3154">
        <w:rPr>
          <w:color w:val="000000" w:themeColor="text1"/>
        </w:rPr>
        <w:t xml:space="preserve"> and all things affecting individual and national </w:t>
      </w:r>
      <w:r w:rsidRPr="008E3154">
        <w:rPr>
          <w:color w:val="000000" w:themeColor="text1"/>
          <w:highlight w:val="yellow"/>
        </w:rPr>
        <w:t>wellbeing</w:t>
      </w:r>
      <w:r w:rsidRPr="008E3154">
        <w:rPr>
          <w:color w:val="000000" w:themeColor="text1"/>
        </w:rPr>
        <w:t>”. In expressing her informed and expert opinion</w:t>
      </w:r>
      <w:r w:rsidR="00727FFB" w:rsidRPr="008E3154">
        <w:rPr>
          <w:color w:val="000000" w:themeColor="text1"/>
        </w:rPr>
        <w:t xml:space="preserve"> as a </w:t>
      </w:r>
      <w:r w:rsidR="00727FFB" w:rsidRPr="008E3154">
        <w:rPr>
          <w:color w:val="000000" w:themeColor="text1"/>
          <w:highlight w:val="yellow"/>
        </w:rPr>
        <w:t>housewife</w:t>
      </w:r>
      <w:r w:rsidR="00727FFB" w:rsidRPr="008E3154">
        <w:rPr>
          <w:color w:val="000000" w:themeColor="text1"/>
        </w:rPr>
        <w:t>,</w:t>
      </w:r>
      <w:r w:rsidRPr="008E3154">
        <w:rPr>
          <w:color w:val="000000" w:themeColor="text1"/>
        </w:rPr>
        <w:t xml:space="preserve"> “the </w:t>
      </w:r>
      <w:r w:rsidRPr="008E3154">
        <w:rPr>
          <w:color w:val="000000" w:themeColor="text1"/>
          <w:highlight w:val="yellow"/>
        </w:rPr>
        <w:t>TG</w:t>
      </w:r>
      <w:r w:rsidRPr="008E3154">
        <w:rPr>
          <w:color w:val="000000" w:themeColor="text1"/>
        </w:rPr>
        <w:t xml:space="preserve"> member…acting in concert with her sister members, play a </w:t>
      </w:r>
      <w:r w:rsidRPr="008E3154">
        <w:rPr>
          <w:i/>
          <w:color w:val="000000" w:themeColor="text1"/>
        </w:rPr>
        <w:t>major</w:t>
      </w:r>
      <w:r w:rsidRPr="008E3154">
        <w:rPr>
          <w:color w:val="000000" w:themeColor="text1"/>
        </w:rPr>
        <w:t xml:space="preserve"> part in the </w:t>
      </w:r>
      <w:r w:rsidRPr="00935D7F">
        <w:rPr>
          <w:color w:val="000000" w:themeColor="text1"/>
          <w:highlight w:val="yellow"/>
        </w:rPr>
        <w:t>community</w:t>
      </w:r>
      <w:r w:rsidRPr="008E3154">
        <w:rPr>
          <w:color w:val="000000" w:themeColor="text1"/>
        </w:rPr>
        <w:t>’s betterment</w:t>
      </w:r>
      <w:r w:rsidR="00023800" w:rsidRPr="008E3154">
        <w:rPr>
          <w:color w:val="000000" w:themeColor="text1"/>
        </w:rPr>
        <w:t>”</w:t>
      </w:r>
      <w:r w:rsidRPr="008E3154">
        <w:rPr>
          <w:color w:val="000000" w:themeColor="text1"/>
        </w:rPr>
        <w:t>.</w:t>
      </w:r>
      <w:r w:rsidRPr="008E3154">
        <w:rPr>
          <w:rStyle w:val="FootnoteReference"/>
          <w:color w:val="000000" w:themeColor="text1"/>
        </w:rPr>
        <w:footnoteReference w:id="57"/>
      </w:r>
    </w:p>
    <w:p w14:paraId="4FEA24C6" w14:textId="74A7F3CB" w:rsidR="00357F0F" w:rsidRPr="008E3154" w:rsidRDefault="00357F0F" w:rsidP="00357F0F">
      <w:pPr>
        <w:spacing w:line="480" w:lineRule="auto"/>
        <w:ind w:firstLine="720"/>
        <w:rPr>
          <w:color w:val="000000" w:themeColor="text1"/>
        </w:rPr>
      </w:pPr>
      <w:r w:rsidRPr="008E3154">
        <w:rPr>
          <w:color w:val="000000" w:themeColor="text1"/>
        </w:rPr>
        <w:t xml:space="preserve"> As the sentiment expressed above suggests the “</w:t>
      </w:r>
      <w:r w:rsidRPr="008E3154">
        <w:rPr>
          <w:color w:val="000000" w:themeColor="text1"/>
          <w:highlight w:val="yellow"/>
        </w:rPr>
        <w:t>communities of experience</w:t>
      </w:r>
      <w:r w:rsidRPr="008E3154">
        <w:rPr>
          <w:color w:val="000000" w:themeColor="text1"/>
        </w:rPr>
        <w:t xml:space="preserve">” created by </w:t>
      </w:r>
      <w:r w:rsidRPr="008E3154">
        <w:rPr>
          <w:color w:val="000000" w:themeColor="text1"/>
          <w:highlight w:val="yellow"/>
        </w:rPr>
        <w:t>housewives’ associations</w:t>
      </w:r>
      <w:r w:rsidRPr="008E3154">
        <w:rPr>
          <w:color w:val="000000" w:themeColor="text1"/>
        </w:rPr>
        <w:t xml:space="preserve"> were based not only on the </w:t>
      </w:r>
      <w:r w:rsidRPr="008E3154">
        <w:rPr>
          <w:color w:val="000000" w:themeColor="text1"/>
          <w:highlight w:val="yellow"/>
        </w:rPr>
        <w:t>experience</w:t>
      </w:r>
      <w:r w:rsidRPr="008E3154">
        <w:rPr>
          <w:color w:val="000000" w:themeColor="text1"/>
        </w:rPr>
        <w:t xml:space="preserve"> of being a </w:t>
      </w:r>
      <w:r w:rsidRPr="008E3154">
        <w:rPr>
          <w:color w:val="000000" w:themeColor="text1"/>
          <w:highlight w:val="yellow"/>
        </w:rPr>
        <w:t>housewife</w:t>
      </w:r>
      <w:r w:rsidRPr="008E3154">
        <w:rPr>
          <w:color w:val="000000" w:themeColor="text1"/>
        </w:rPr>
        <w:t xml:space="preserve"> but also </w:t>
      </w:r>
      <w:r w:rsidR="00355B6E" w:rsidRPr="008E3154">
        <w:rPr>
          <w:color w:val="000000" w:themeColor="text1"/>
        </w:rPr>
        <w:t xml:space="preserve">on </w:t>
      </w:r>
      <w:r w:rsidRPr="008E3154">
        <w:rPr>
          <w:color w:val="000000" w:themeColor="text1"/>
        </w:rPr>
        <w:t xml:space="preserve">the experience of being a </w:t>
      </w:r>
      <w:r w:rsidRPr="008E3154">
        <w:rPr>
          <w:color w:val="000000" w:themeColor="text1"/>
        </w:rPr>
        <w:lastRenderedPageBreak/>
        <w:t xml:space="preserve">member of a </w:t>
      </w:r>
      <w:r w:rsidRPr="008E3154">
        <w:rPr>
          <w:color w:val="000000" w:themeColor="text1"/>
          <w:highlight w:val="yellow"/>
        </w:rPr>
        <w:t>housewives’ as</w:t>
      </w:r>
      <w:r w:rsidR="00E05C80" w:rsidRPr="008E3154">
        <w:rPr>
          <w:color w:val="000000" w:themeColor="text1"/>
          <w:highlight w:val="yellow"/>
        </w:rPr>
        <w:t>sociation</w:t>
      </w:r>
      <w:r w:rsidR="00E05C80" w:rsidRPr="008E3154">
        <w:rPr>
          <w:color w:val="000000" w:themeColor="text1"/>
        </w:rPr>
        <w:t>. Membership of the</w:t>
      </w:r>
      <w:r w:rsidRPr="008E3154">
        <w:rPr>
          <w:color w:val="000000" w:themeColor="text1"/>
        </w:rPr>
        <w:t xml:space="preserve"> </w:t>
      </w:r>
      <w:r w:rsidRPr="008E3154">
        <w:rPr>
          <w:color w:val="000000" w:themeColor="text1"/>
          <w:highlight w:val="yellow"/>
        </w:rPr>
        <w:t>NFWI</w:t>
      </w:r>
      <w:r w:rsidRPr="008E3154">
        <w:rPr>
          <w:color w:val="000000" w:themeColor="text1"/>
        </w:rPr>
        <w:t xml:space="preserve"> or </w:t>
      </w:r>
      <w:r w:rsidRPr="008E3154">
        <w:rPr>
          <w:color w:val="000000" w:themeColor="text1"/>
          <w:highlight w:val="yellow"/>
        </w:rPr>
        <w:t>TG</w:t>
      </w:r>
      <w:r w:rsidRPr="008E3154">
        <w:rPr>
          <w:color w:val="000000" w:themeColor="text1"/>
        </w:rPr>
        <w:t xml:space="preserve"> gave women a unique sense of belonging that enabled them to “share their </w:t>
      </w:r>
      <w:r w:rsidRPr="008E3154">
        <w:rPr>
          <w:color w:val="000000" w:themeColor="text1"/>
          <w:highlight w:val="yellow"/>
        </w:rPr>
        <w:t>experiences</w:t>
      </w:r>
      <w:r w:rsidRPr="008E3154">
        <w:rPr>
          <w:color w:val="000000" w:themeColor="text1"/>
        </w:rPr>
        <w:t xml:space="preserve"> and to relate them to other people’s experiences”.</w:t>
      </w:r>
      <w:r w:rsidRPr="008E3154">
        <w:rPr>
          <w:rStyle w:val="FootnoteReference"/>
          <w:color w:val="000000" w:themeColor="text1"/>
        </w:rPr>
        <w:footnoteReference w:id="58"/>
      </w:r>
      <w:r w:rsidR="00812C97" w:rsidRPr="008E3154">
        <w:rPr>
          <w:color w:val="000000" w:themeColor="text1"/>
        </w:rPr>
        <w:t xml:space="preserve">  </w:t>
      </w:r>
      <w:r w:rsidRPr="008E3154">
        <w:rPr>
          <w:color w:val="000000" w:themeColor="text1"/>
        </w:rPr>
        <w:t xml:space="preserve">In addition to building an influential collective identity, membership of a </w:t>
      </w:r>
      <w:r w:rsidRPr="008E3154">
        <w:rPr>
          <w:color w:val="000000" w:themeColor="text1"/>
          <w:highlight w:val="yellow"/>
        </w:rPr>
        <w:t>housewives’ association</w:t>
      </w:r>
      <w:r w:rsidRPr="008E3154">
        <w:rPr>
          <w:color w:val="000000" w:themeColor="text1"/>
        </w:rPr>
        <w:t xml:space="preserve"> gave women the skills and confidence required to be effective organisers, public speakers, leaders and activists. Endless rounds of meetings, resolutions, elections, debates and campaigning, from the local branch to the national executive</w:t>
      </w:r>
      <w:r w:rsidR="00355B6E" w:rsidRPr="008E3154">
        <w:rPr>
          <w:color w:val="000000" w:themeColor="text1"/>
        </w:rPr>
        <w:t>, instilled at a granular level</w:t>
      </w:r>
      <w:r w:rsidRPr="008E3154">
        <w:rPr>
          <w:color w:val="000000" w:themeColor="text1"/>
        </w:rPr>
        <w:t xml:space="preserve"> knowledge about </w:t>
      </w:r>
      <w:r w:rsidR="00DA7942" w:rsidRPr="008E3154">
        <w:rPr>
          <w:color w:val="000000" w:themeColor="text1"/>
        </w:rPr>
        <w:t xml:space="preserve">effective </w:t>
      </w:r>
      <w:r w:rsidRPr="008E3154">
        <w:rPr>
          <w:color w:val="000000" w:themeColor="text1"/>
        </w:rPr>
        <w:t>democratic</w:t>
      </w:r>
      <w:r w:rsidR="00CB1A66" w:rsidRPr="008E3154">
        <w:rPr>
          <w:color w:val="000000" w:themeColor="text1"/>
        </w:rPr>
        <w:t xml:space="preserve"> processes. </w:t>
      </w:r>
      <w:r w:rsidRPr="008E3154">
        <w:rPr>
          <w:color w:val="000000" w:themeColor="text1"/>
        </w:rPr>
        <w:t xml:space="preserve">This </w:t>
      </w:r>
      <w:r w:rsidR="00207243" w:rsidRPr="008E3154">
        <w:rPr>
          <w:color w:val="000000" w:themeColor="text1"/>
        </w:rPr>
        <w:t>knowledge,</w:t>
      </w:r>
      <w:r w:rsidR="009C5AA6" w:rsidRPr="008E3154">
        <w:rPr>
          <w:color w:val="000000" w:themeColor="text1"/>
        </w:rPr>
        <w:t xml:space="preserve"> coupled with</w:t>
      </w:r>
      <w:r w:rsidRPr="008E3154">
        <w:rPr>
          <w:color w:val="000000" w:themeColor="text1"/>
        </w:rPr>
        <w:t xml:space="preserve"> instruction in the machinery of governme</w:t>
      </w:r>
      <w:r w:rsidR="00E05C80" w:rsidRPr="008E3154">
        <w:rPr>
          <w:color w:val="000000" w:themeColor="text1"/>
        </w:rPr>
        <w:t>nt</w:t>
      </w:r>
      <w:r w:rsidR="009C5AA6" w:rsidRPr="008E3154">
        <w:rPr>
          <w:color w:val="000000" w:themeColor="text1"/>
        </w:rPr>
        <w:t>,</w:t>
      </w:r>
      <w:r w:rsidR="00E05C80" w:rsidRPr="008E3154">
        <w:rPr>
          <w:color w:val="000000" w:themeColor="text1"/>
        </w:rPr>
        <w:t xml:space="preserve"> </w:t>
      </w:r>
      <w:r w:rsidR="0007197F" w:rsidRPr="008E3154">
        <w:rPr>
          <w:color w:val="000000" w:themeColor="text1"/>
        </w:rPr>
        <w:t>helped ensure</w:t>
      </w:r>
      <w:r w:rsidR="00E05C80" w:rsidRPr="008E3154">
        <w:rPr>
          <w:color w:val="000000" w:themeColor="text1"/>
        </w:rPr>
        <w:t xml:space="preserve"> members of the </w:t>
      </w:r>
      <w:r w:rsidRPr="008E3154">
        <w:rPr>
          <w:color w:val="000000" w:themeColor="text1"/>
          <w:highlight w:val="yellow"/>
        </w:rPr>
        <w:t>NFWI</w:t>
      </w:r>
      <w:r w:rsidRPr="008E3154">
        <w:rPr>
          <w:color w:val="000000" w:themeColor="text1"/>
        </w:rPr>
        <w:t xml:space="preserve"> and </w:t>
      </w:r>
      <w:r w:rsidRPr="008E3154">
        <w:rPr>
          <w:color w:val="000000" w:themeColor="text1"/>
          <w:highlight w:val="yellow"/>
        </w:rPr>
        <w:t>TG</w:t>
      </w:r>
      <w:r w:rsidRPr="008E3154">
        <w:rPr>
          <w:color w:val="000000" w:themeColor="text1"/>
        </w:rPr>
        <w:t xml:space="preserve"> had the training required to hold “</w:t>
      </w:r>
      <w:r w:rsidRPr="008E3154">
        <w:rPr>
          <w:color w:val="000000" w:themeColor="text1"/>
          <w:highlight w:val="yellow"/>
        </w:rPr>
        <w:t>expertise of experience</w:t>
      </w:r>
      <w:r w:rsidRPr="008E3154">
        <w:rPr>
          <w:color w:val="000000" w:themeColor="text1"/>
        </w:rPr>
        <w:t>” in activism.</w:t>
      </w:r>
      <w:r w:rsidRPr="008E3154">
        <w:rPr>
          <w:rStyle w:val="FootnoteReference"/>
          <w:color w:val="000000" w:themeColor="text1"/>
        </w:rPr>
        <w:footnoteReference w:id="59"/>
      </w:r>
      <w:r w:rsidRPr="008E3154">
        <w:rPr>
          <w:color w:val="000000" w:themeColor="text1"/>
        </w:rPr>
        <w:t xml:space="preserve"> </w:t>
      </w:r>
    </w:p>
    <w:p w14:paraId="5BD3DA1A" w14:textId="77777777" w:rsidR="00430E40" w:rsidRPr="008E3154" w:rsidRDefault="00430E40" w:rsidP="00023800">
      <w:pPr>
        <w:spacing w:line="480" w:lineRule="auto"/>
        <w:rPr>
          <w:color w:val="000000" w:themeColor="text1"/>
        </w:rPr>
      </w:pPr>
    </w:p>
    <w:p w14:paraId="435CEE5D" w14:textId="7DEF02EF" w:rsidR="00357F0F" w:rsidRPr="008E3154" w:rsidRDefault="00357F0F" w:rsidP="00357F0F">
      <w:pPr>
        <w:spacing w:line="480" w:lineRule="auto"/>
        <w:rPr>
          <w:b/>
          <w:color w:val="000000" w:themeColor="text1"/>
        </w:rPr>
      </w:pPr>
      <w:r w:rsidRPr="008E3154">
        <w:rPr>
          <w:b/>
          <w:color w:val="000000" w:themeColor="text1"/>
        </w:rPr>
        <w:t>The “</w:t>
      </w:r>
      <w:r w:rsidRPr="008E3154">
        <w:rPr>
          <w:b/>
          <w:color w:val="000000" w:themeColor="text1"/>
          <w:highlight w:val="yellow"/>
        </w:rPr>
        <w:t>housewife as expert</w:t>
      </w:r>
      <w:r w:rsidRPr="008E3154">
        <w:rPr>
          <w:b/>
          <w:color w:val="000000" w:themeColor="text1"/>
        </w:rPr>
        <w:t xml:space="preserve">”: </w:t>
      </w:r>
      <w:r w:rsidRPr="008E3154">
        <w:rPr>
          <w:b/>
          <w:color w:val="000000" w:themeColor="text1"/>
          <w:highlight w:val="yellow"/>
        </w:rPr>
        <w:t>welfare activism</w:t>
      </w:r>
      <w:r w:rsidRPr="008E3154">
        <w:rPr>
          <w:b/>
          <w:color w:val="000000" w:themeColor="text1"/>
        </w:rPr>
        <w:t xml:space="preserve"> for “</w:t>
      </w:r>
      <w:r w:rsidRPr="008E3154">
        <w:rPr>
          <w:b/>
          <w:color w:val="000000" w:themeColor="text1"/>
          <w:highlight w:val="yellow"/>
        </w:rPr>
        <w:t xml:space="preserve">faring </w:t>
      </w:r>
      <w:proofErr w:type="gramStart"/>
      <w:r w:rsidRPr="008E3154">
        <w:rPr>
          <w:b/>
          <w:color w:val="000000" w:themeColor="text1"/>
          <w:highlight w:val="yellow"/>
        </w:rPr>
        <w:t>well</w:t>
      </w:r>
      <w:proofErr w:type="gramEnd"/>
      <w:r w:rsidR="00B8306E" w:rsidRPr="008E3154">
        <w:rPr>
          <w:b/>
          <w:color w:val="000000" w:themeColor="text1"/>
        </w:rPr>
        <w:t>”</w:t>
      </w:r>
    </w:p>
    <w:p w14:paraId="5F31464B" w14:textId="77777777" w:rsidR="00357F0F" w:rsidRPr="008E3154" w:rsidRDefault="00357F0F" w:rsidP="00357F0F">
      <w:pPr>
        <w:spacing w:line="480" w:lineRule="auto"/>
        <w:ind w:firstLine="720"/>
        <w:rPr>
          <w:color w:val="000000" w:themeColor="text1"/>
        </w:rPr>
      </w:pPr>
    </w:p>
    <w:p w14:paraId="0062834B" w14:textId="6561451F" w:rsidR="00357F0F" w:rsidRPr="008E3154" w:rsidRDefault="00357F0F" w:rsidP="00EF5BB1">
      <w:pPr>
        <w:spacing w:line="480" w:lineRule="auto"/>
        <w:ind w:firstLine="720"/>
        <w:rPr>
          <w:color w:val="000000" w:themeColor="text1"/>
        </w:rPr>
      </w:pPr>
      <w:r w:rsidRPr="008E3154">
        <w:rPr>
          <w:color w:val="000000" w:themeColor="text1"/>
        </w:rPr>
        <w:t xml:space="preserve">“Politics Replaces Jam” ran the headline in the 1 June 1971 edition of </w:t>
      </w:r>
      <w:r w:rsidRPr="008E3154">
        <w:rPr>
          <w:i/>
          <w:color w:val="000000" w:themeColor="text1"/>
        </w:rPr>
        <w:t>The Telegraph</w:t>
      </w:r>
      <w:r w:rsidRPr="008E3154">
        <w:rPr>
          <w:color w:val="000000" w:themeColor="text1"/>
        </w:rPr>
        <w:t xml:space="preserve"> newspaper. Reporting on the </w:t>
      </w:r>
      <w:r w:rsidRPr="008E3154">
        <w:rPr>
          <w:color w:val="000000" w:themeColor="text1"/>
          <w:highlight w:val="yellow"/>
        </w:rPr>
        <w:t>NFWI</w:t>
      </w:r>
      <w:r w:rsidRPr="008E3154">
        <w:rPr>
          <w:color w:val="000000" w:themeColor="text1"/>
        </w:rPr>
        <w:t xml:space="preserve"> Annual General Meeting (AGM) held at the Royal Albert Hall, Gerda Paul wrote that members had “voted to kill its old image of jam-making and allow its 500,000 members to voice their opinions on world affairs and domestic topics”.</w:t>
      </w:r>
      <w:r w:rsidRPr="008E3154">
        <w:rPr>
          <w:rStyle w:val="FootnoteReference"/>
          <w:color w:val="000000" w:themeColor="text1"/>
        </w:rPr>
        <w:footnoteReference w:id="60"/>
      </w:r>
      <w:r w:rsidRPr="008E3154">
        <w:rPr>
          <w:color w:val="000000" w:themeColor="text1"/>
        </w:rPr>
        <w:t xml:space="preserve"> This change to a 50-year old rule, hotly debated since 1967, reflected the growing desire for the </w:t>
      </w:r>
      <w:r w:rsidRPr="008E3154">
        <w:rPr>
          <w:color w:val="000000" w:themeColor="text1"/>
          <w:highlight w:val="yellow"/>
        </w:rPr>
        <w:lastRenderedPageBreak/>
        <w:t>NFWI</w:t>
      </w:r>
      <w:r w:rsidRPr="008E3154">
        <w:rPr>
          <w:color w:val="000000" w:themeColor="text1"/>
        </w:rPr>
        <w:t xml:space="preserve"> to become even more vocal on public questions.</w:t>
      </w:r>
      <w:r w:rsidRPr="008E3154">
        <w:rPr>
          <w:rStyle w:val="FootnoteReference"/>
          <w:color w:val="000000" w:themeColor="text1"/>
        </w:rPr>
        <w:footnoteReference w:id="61"/>
      </w:r>
      <w:r w:rsidRPr="008E3154">
        <w:rPr>
          <w:color w:val="000000" w:themeColor="text1"/>
        </w:rPr>
        <w:t xml:space="preserve"> The previous year a</w:t>
      </w:r>
      <w:r w:rsidR="005D0D9E" w:rsidRPr="008E3154">
        <w:rPr>
          <w:color w:val="000000" w:themeColor="text1"/>
        </w:rPr>
        <w:t xml:space="preserve">n article in </w:t>
      </w:r>
      <w:r w:rsidR="005D0D9E" w:rsidRPr="008E3154">
        <w:rPr>
          <w:i/>
          <w:color w:val="000000" w:themeColor="text1"/>
        </w:rPr>
        <w:t>The Times</w:t>
      </w:r>
      <w:r w:rsidRPr="008E3154">
        <w:rPr>
          <w:color w:val="000000" w:themeColor="text1"/>
        </w:rPr>
        <w:t xml:space="preserve"> newspaper reported that the </w:t>
      </w:r>
      <w:r w:rsidRPr="008E3154">
        <w:rPr>
          <w:color w:val="000000" w:themeColor="text1"/>
          <w:highlight w:val="yellow"/>
        </w:rPr>
        <w:t>NFWI</w:t>
      </w:r>
      <w:r w:rsidRPr="008E3154">
        <w:rPr>
          <w:color w:val="000000" w:themeColor="text1"/>
        </w:rPr>
        <w:t xml:space="preserve"> now accepted “its jam-making image was here to stay, but also want to be seen as forward-thinking, </w:t>
      </w:r>
      <w:proofErr w:type="spellStart"/>
      <w:r w:rsidRPr="008E3154">
        <w:rPr>
          <w:color w:val="000000" w:themeColor="text1"/>
        </w:rPr>
        <w:t>humanising</w:t>
      </w:r>
      <w:proofErr w:type="spellEnd"/>
      <w:r w:rsidRPr="008E3154">
        <w:rPr>
          <w:color w:val="000000" w:themeColor="text1"/>
        </w:rPr>
        <w:t xml:space="preserve"> interpreters of the </w:t>
      </w:r>
      <w:r w:rsidRPr="008E3154">
        <w:rPr>
          <w:color w:val="000000" w:themeColor="text1"/>
          <w:highlight w:val="yellow"/>
        </w:rPr>
        <w:t>welfare state</w:t>
      </w:r>
      <w:r w:rsidRPr="008E3154">
        <w:rPr>
          <w:color w:val="000000" w:themeColor="text1"/>
        </w:rPr>
        <w:t>, having hard thoughts under the hats”.</w:t>
      </w:r>
      <w:r w:rsidRPr="008E3154">
        <w:rPr>
          <w:rStyle w:val="FootnoteReference"/>
          <w:color w:val="000000" w:themeColor="text1"/>
        </w:rPr>
        <w:footnoteReference w:id="62"/>
      </w:r>
    </w:p>
    <w:p w14:paraId="745CDFF7" w14:textId="3FBAB2AA" w:rsidR="0079453D" w:rsidRPr="008E3154" w:rsidRDefault="00777B17" w:rsidP="00357F0F">
      <w:pPr>
        <w:spacing w:line="480" w:lineRule="auto"/>
        <w:ind w:firstLine="720"/>
        <w:rPr>
          <w:color w:val="000000" w:themeColor="text1"/>
        </w:rPr>
      </w:pPr>
      <w:r w:rsidRPr="008E3154">
        <w:rPr>
          <w:color w:val="000000" w:themeColor="text1"/>
        </w:rPr>
        <w:t>Acting as</w:t>
      </w:r>
      <w:r w:rsidR="00357F0F" w:rsidRPr="008E3154">
        <w:rPr>
          <w:color w:val="000000" w:themeColor="text1"/>
        </w:rPr>
        <w:t xml:space="preserve"> “</w:t>
      </w:r>
      <w:proofErr w:type="spellStart"/>
      <w:r w:rsidR="00357F0F" w:rsidRPr="008E3154">
        <w:rPr>
          <w:color w:val="000000" w:themeColor="text1"/>
        </w:rPr>
        <w:t>humanising</w:t>
      </w:r>
      <w:proofErr w:type="spellEnd"/>
      <w:r w:rsidR="00357F0F" w:rsidRPr="008E3154">
        <w:rPr>
          <w:color w:val="000000" w:themeColor="text1"/>
        </w:rPr>
        <w:t xml:space="preserve"> interpreters of the </w:t>
      </w:r>
      <w:r w:rsidR="00357F0F" w:rsidRPr="008E3154">
        <w:rPr>
          <w:color w:val="000000" w:themeColor="text1"/>
          <w:highlight w:val="yellow"/>
        </w:rPr>
        <w:t>welfare state</w:t>
      </w:r>
      <w:r w:rsidR="00357F0F" w:rsidRPr="008E3154">
        <w:rPr>
          <w:color w:val="000000" w:themeColor="text1"/>
        </w:rPr>
        <w:t xml:space="preserve">” was important to the </w:t>
      </w:r>
      <w:r w:rsidR="00357F0F" w:rsidRPr="008E3154">
        <w:rPr>
          <w:color w:val="000000" w:themeColor="text1"/>
          <w:highlight w:val="yellow"/>
        </w:rPr>
        <w:t>NFWI</w:t>
      </w:r>
      <w:r w:rsidR="00717CC7" w:rsidRPr="008E3154">
        <w:rPr>
          <w:color w:val="000000" w:themeColor="text1"/>
        </w:rPr>
        <w:t>. Throughout</w:t>
      </w:r>
      <w:r w:rsidR="00483C18" w:rsidRPr="008E3154">
        <w:rPr>
          <w:color w:val="000000" w:themeColor="text1"/>
        </w:rPr>
        <w:t xml:space="preserve"> the 1960s the movement effectively used</w:t>
      </w:r>
      <w:r w:rsidR="00717CC7" w:rsidRPr="008E3154">
        <w:rPr>
          <w:color w:val="000000" w:themeColor="text1"/>
        </w:rPr>
        <w:t xml:space="preserve"> its high profile</w:t>
      </w:r>
      <w:r w:rsidR="00867148" w:rsidRPr="008E3154">
        <w:rPr>
          <w:color w:val="000000" w:themeColor="text1"/>
        </w:rPr>
        <w:t>,</w:t>
      </w:r>
      <w:r w:rsidR="00717CC7" w:rsidRPr="008E3154">
        <w:rPr>
          <w:color w:val="000000" w:themeColor="text1"/>
        </w:rPr>
        <w:t xml:space="preserve"> </w:t>
      </w:r>
      <w:r w:rsidR="00483C18" w:rsidRPr="008E3154">
        <w:rPr>
          <w:color w:val="000000" w:themeColor="text1"/>
        </w:rPr>
        <w:t xml:space="preserve">mass membership </w:t>
      </w:r>
      <w:r w:rsidR="00717CC7" w:rsidRPr="008E3154">
        <w:rPr>
          <w:color w:val="000000" w:themeColor="text1"/>
        </w:rPr>
        <w:t xml:space="preserve">and </w:t>
      </w:r>
      <w:r w:rsidR="00F0620B" w:rsidRPr="008E3154">
        <w:rPr>
          <w:color w:val="000000" w:themeColor="text1"/>
        </w:rPr>
        <w:t xml:space="preserve">national </w:t>
      </w:r>
      <w:r w:rsidR="00717CC7" w:rsidRPr="008E3154">
        <w:rPr>
          <w:color w:val="000000" w:themeColor="text1"/>
        </w:rPr>
        <w:t>resolutions</w:t>
      </w:r>
      <w:r w:rsidR="00F0620B" w:rsidRPr="008E3154">
        <w:rPr>
          <w:color w:val="000000" w:themeColor="text1"/>
        </w:rPr>
        <w:t>,</w:t>
      </w:r>
      <w:r w:rsidR="00717CC7" w:rsidRPr="008E3154">
        <w:rPr>
          <w:color w:val="000000" w:themeColor="text1"/>
        </w:rPr>
        <w:t xml:space="preserve"> passed at its AGM</w:t>
      </w:r>
      <w:r w:rsidR="00483C18" w:rsidRPr="008E3154">
        <w:rPr>
          <w:color w:val="000000" w:themeColor="text1"/>
        </w:rPr>
        <w:t>,</w:t>
      </w:r>
      <w:r w:rsidR="00867148" w:rsidRPr="008E3154">
        <w:rPr>
          <w:color w:val="000000" w:themeColor="text1"/>
        </w:rPr>
        <w:t xml:space="preserve"> to highlight gaps </w:t>
      </w:r>
      <w:r w:rsidR="00717CC7" w:rsidRPr="008E3154">
        <w:rPr>
          <w:color w:val="000000" w:themeColor="text1"/>
        </w:rPr>
        <w:t xml:space="preserve">identified in </w:t>
      </w:r>
      <w:r w:rsidR="00717CC7" w:rsidRPr="00935D7F">
        <w:rPr>
          <w:color w:val="000000" w:themeColor="text1"/>
          <w:highlight w:val="yellow"/>
        </w:rPr>
        <w:t>welfare</w:t>
      </w:r>
      <w:r w:rsidR="00717CC7" w:rsidRPr="008E3154">
        <w:rPr>
          <w:color w:val="000000" w:themeColor="text1"/>
        </w:rPr>
        <w:t xml:space="preserve"> provision, particularly</w:t>
      </w:r>
      <w:r w:rsidR="00867148" w:rsidRPr="008E3154">
        <w:rPr>
          <w:color w:val="000000" w:themeColor="text1"/>
        </w:rPr>
        <w:t xml:space="preserve"> </w:t>
      </w:r>
      <w:r w:rsidR="001A6C70" w:rsidRPr="008E3154">
        <w:rPr>
          <w:color w:val="000000" w:themeColor="text1"/>
        </w:rPr>
        <w:t xml:space="preserve">when </w:t>
      </w:r>
      <w:r w:rsidR="003B67A2" w:rsidRPr="008E3154">
        <w:rPr>
          <w:color w:val="000000" w:themeColor="text1"/>
        </w:rPr>
        <w:t xml:space="preserve">this </w:t>
      </w:r>
      <w:r w:rsidR="001A6C70" w:rsidRPr="008E3154">
        <w:rPr>
          <w:color w:val="000000" w:themeColor="text1"/>
        </w:rPr>
        <w:t xml:space="preserve">impacted on the </w:t>
      </w:r>
      <w:r w:rsidR="001A6C70" w:rsidRPr="00935D7F">
        <w:rPr>
          <w:color w:val="000000" w:themeColor="text1"/>
          <w:highlight w:val="yellow"/>
        </w:rPr>
        <w:t>welfare</w:t>
      </w:r>
      <w:r w:rsidR="001A6C70" w:rsidRPr="008E3154">
        <w:rPr>
          <w:color w:val="000000" w:themeColor="text1"/>
        </w:rPr>
        <w:t xml:space="preserve"> of </w:t>
      </w:r>
      <w:r w:rsidR="00867148" w:rsidRPr="008E3154">
        <w:rPr>
          <w:color w:val="000000" w:themeColor="text1"/>
        </w:rPr>
        <w:t xml:space="preserve">women. </w:t>
      </w:r>
      <w:r w:rsidR="00E0724C" w:rsidRPr="008E3154">
        <w:rPr>
          <w:color w:val="000000" w:themeColor="text1"/>
        </w:rPr>
        <w:t xml:space="preserve">In 1950 the </w:t>
      </w:r>
      <w:r w:rsidR="00CE7803" w:rsidRPr="008E3154">
        <w:rPr>
          <w:color w:val="000000" w:themeColor="text1"/>
        </w:rPr>
        <w:t xml:space="preserve">WI Devon Federation had passed a resolution calling on government to raise the </w:t>
      </w:r>
      <w:r w:rsidR="006C7B2C" w:rsidRPr="008E3154">
        <w:rPr>
          <w:color w:val="000000" w:themeColor="text1"/>
        </w:rPr>
        <w:t xml:space="preserve">earnings limit on retirement pensions, pensions for widows and allowances for widowed mothers. </w:t>
      </w:r>
      <w:r w:rsidR="00277001" w:rsidRPr="008E3154">
        <w:rPr>
          <w:color w:val="000000" w:themeColor="text1"/>
        </w:rPr>
        <w:t xml:space="preserve">This issue was prompted by concerns about </w:t>
      </w:r>
      <w:r w:rsidR="002D02D3" w:rsidRPr="008E3154">
        <w:rPr>
          <w:color w:val="000000" w:themeColor="text1"/>
        </w:rPr>
        <w:t xml:space="preserve">the </w:t>
      </w:r>
      <w:r w:rsidR="00484EB0" w:rsidRPr="008E3154">
        <w:rPr>
          <w:color w:val="000000" w:themeColor="text1"/>
        </w:rPr>
        <w:t>hardship experienced by</w:t>
      </w:r>
      <w:r w:rsidR="00277001" w:rsidRPr="008E3154">
        <w:rPr>
          <w:color w:val="000000" w:themeColor="text1"/>
        </w:rPr>
        <w:t xml:space="preserve"> widows</w:t>
      </w:r>
      <w:r w:rsidR="00484EB0" w:rsidRPr="008E3154">
        <w:rPr>
          <w:color w:val="000000" w:themeColor="text1"/>
        </w:rPr>
        <w:t xml:space="preserve"> and their dependent children</w:t>
      </w:r>
      <w:r w:rsidR="002D02D3" w:rsidRPr="008E3154">
        <w:rPr>
          <w:color w:val="000000" w:themeColor="text1"/>
        </w:rPr>
        <w:t>.</w:t>
      </w:r>
      <w:r w:rsidR="00F03BBE" w:rsidRPr="008E3154">
        <w:rPr>
          <w:color w:val="000000" w:themeColor="text1"/>
        </w:rPr>
        <w:t xml:space="preserve"> Following </w:t>
      </w:r>
      <w:r w:rsidR="00277001" w:rsidRPr="008E3154">
        <w:rPr>
          <w:color w:val="000000" w:themeColor="text1"/>
        </w:rPr>
        <w:t xml:space="preserve">sustained </w:t>
      </w:r>
      <w:r w:rsidR="00F03BBE" w:rsidRPr="008E3154">
        <w:rPr>
          <w:color w:val="000000" w:themeColor="text1"/>
        </w:rPr>
        <w:t>lobbying</w:t>
      </w:r>
      <w:r w:rsidR="003E009F" w:rsidRPr="008E3154">
        <w:rPr>
          <w:color w:val="000000" w:themeColor="text1"/>
        </w:rPr>
        <w:t xml:space="preserve"> by the </w:t>
      </w:r>
      <w:r w:rsidR="003E009F" w:rsidRPr="00935D7F">
        <w:rPr>
          <w:color w:val="000000" w:themeColor="text1"/>
          <w:highlight w:val="yellow"/>
        </w:rPr>
        <w:t>NFWI</w:t>
      </w:r>
      <w:r w:rsidR="002D02D3" w:rsidRPr="008E3154">
        <w:rPr>
          <w:color w:val="000000" w:themeColor="text1"/>
        </w:rPr>
        <w:t xml:space="preserve">, working alongside the </w:t>
      </w:r>
      <w:r w:rsidR="003E009F" w:rsidRPr="00935D7F">
        <w:rPr>
          <w:color w:val="000000" w:themeColor="text1"/>
          <w:highlight w:val="yellow"/>
        </w:rPr>
        <w:t>TG</w:t>
      </w:r>
      <w:r w:rsidR="009544E3" w:rsidRPr="008E3154">
        <w:rPr>
          <w:color w:val="000000" w:themeColor="text1"/>
        </w:rPr>
        <w:t xml:space="preserve"> and a number of </w:t>
      </w:r>
      <w:r w:rsidR="003E009F" w:rsidRPr="008E3154">
        <w:rPr>
          <w:color w:val="000000" w:themeColor="text1"/>
        </w:rPr>
        <w:t xml:space="preserve">other women’s groups, the earnings rule </w:t>
      </w:r>
      <w:r w:rsidR="00CE7803" w:rsidRPr="008E3154">
        <w:rPr>
          <w:color w:val="000000" w:themeColor="text1"/>
        </w:rPr>
        <w:t xml:space="preserve">for </w:t>
      </w:r>
      <w:r w:rsidR="009544E3" w:rsidRPr="008E3154">
        <w:rPr>
          <w:color w:val="000000" w:themeColor="text1"/>
        </w:rPr>
        <w:t>widows and widowed mothers was abolished in 1964</w:t>
      </w:r>
      <w:r w:rsidR="00E96CF7" w:rsidRPr="008E3154">
        <w:rPr>
          <w:color w:val="000000" w:themeColor="text1"/>
        </w:rPr>
        <w:t>.</w:t>
      </w:r>
      <w:r w:rsidR="00F73F73" w:rsidRPr="008E3154">
        <w:rPr>
          <w:rStyle w:val="FootnoteReference"/>
          <w:color w:val="000000" w:themeColor="text1"/>
        </w:rPr>
        <w:footnoteReference w:id="63"/>
      </w:r>
      <w:r w:rsidR="00F73F73" w:rsidRPr="008E3154">
        <w:rPr>
          <w:color w:val="000000" w:themeColor="text1"/>
        </w:rPr>
        <w:t xml:space="preserve">  </w:t>
      </w:r>
    </w:p>
    <w:p w14:paraId="5EE0F40F" w14:textId="46CBAAA6" w:rsidR="00326FE1" w:rsidRPr="008E3154" w:rsidRDefault="004B2A68" w:rsidP="008368B9">
      <w:pPr>
        <w:spacing w:line="480" w:lineRule="auto"/>
        <w:ind w:firstLine="720"/>
        <w:rPr>
          <w:color w:val="000000" w:themeColor="text1"/>
        </w:rPr>
      </w:pPr>
      <w:r w:rsidRPr="008E3154">
        <w:rPr>
          <w:color w:val="000000" w:themeColor="text1"/>
        </w:rPr>
        <w:t xml:space="preserve">The </w:t>
      </w:r>
      <w:r w:rsidRPr="008E3154">
        <w:rPr>
          <w:color w:val="000000" w:themeColor="text1"/>
          <w:highlight w:val="yellow"/>
        </w:rPr>
        <w:t>experiences</w:t>
      </w:r>
      <w:r w:rsidRPr="008E3154">
        <w:rPr>
          <w:color w:val="000000" w:themeColor="text1"/>
        </w:rPr>
        <w:t xml:space="preserve"> of </w:t>
      </w:r>
      <w:r w:rsidRPr="008E3154">
        <w:rPr>
          <w:color w:val="000000" w:themeColor="text1"/>
          <w:highlight w:val="yellow"/>
        </w:rPr>
        <w:t>housewives</w:t>
      </w:r>
      <w:r w:rsidRPr="008E3154">
        <w:rPr>
          <w:color w:val="000000" w:themeColor="text1"/>
        </w:rPr>
        <w:t xml:space="preserve"> </w:t>
      </w:r>
      <w:r w:rsidR="00F73F73" w:rsidRPr="008E3154">
        <w:rPr>
          <w:color w:val="000000" w:themeColor="text1"/>
        </w:rPr>
        <w:t>and their right to “</w:t>
      </w:r>
      <w:r w:rsidR="00F73F73" w:rsidRPr="008E3154">
        <w:rPr>
          <w:color w:val="000000" w:themeColor="text1"/>
          <w:highlight w:val="yellow"/>
        </w:rPr>
        <w:t>fare well</w:t>
      </w:r>
      <w:r w:rsidR="00F73F73" w:rsidRPr="008E3154">
        <w:rPr>
          <w:color w:val="000000" w:themeColor="text1"/>
        </w:rPr>
        <w:t>”</w:t>
      </w:r>
      <w:r w:rsidR="002B6EBD" w:rsidRPr="008E3154">
        <w:rPr>
          <w:color w:val="000000" w:themeColor="text1"/>
        </w:rPr>
        <w:t xml:space="preserve"> </w:t>
      </w:r>
      <w:r w:rsidR="0064541C" w:rsidRPr="008E3154">
        <w:rPr>
          <w:color w:val="000000" w:themeColor="text1"/>
        </w:rPr>
        <w:t xml:space="preserve">continued to </w:t>
      </w:r>
      <w:r w:rsidR="002B6EBD" w:rsidRPr="008E3154">
        <w:rPr>
          <w:color w:val="000000" w:themeColor="text1"/>
        </w:rPr>
        <w:t>underpin</w:t>
      </w:r>
      <w:r w:rsidR="008368B9" w:rsidRPr="008E3154">
        <w:rPr>
          <w:color w:val="000000" w:themeColor="text1"/>
        </w:rPr>
        <w:t xml:space="preserve"> </w:t>
      </w:r>
      <w:r w:rsidR="008368B9" w:rsidRPr="008E3154">
        <w:rPr>
          <w:color w:val="000000" w:themeColor="text1"/>
          <w:highlight w:val="yellow"/>
        </w:rPr>
        <w:t>NFWI</w:t>
      </w:r>
      <w:r w:rsidR="008368B9" w:rsidRPr="008E3154">
        <w:rPr>
          <w:color w:val="000000" w:themeColor="text1"/>
        </w:rPr>
        <w:t xml:space="preserve"> campaign</w:t>
      </w:r>
      <w:r w:rsidRPr="008E3154">
        <w:rPr>
          <w:color w:val="000000" w:themeColor="text1"/>
        </w:rPr>
        <w:t>s</w:t>
      </w:r>
      <w:r w:rsidR="008A7270" w:rsidRPr="008E3154">
        <w:rPr>
          <w:color w:val="000000" w:themeColor="text1"/>
        </w:rPr>
        <w:t xml:space="preserve"> on </w:t>
      </w:r>
      <w:r w:rsidR="008A7270" w:rsidRPr="00935D7F">
        <w:rPr>
          <w:color w:val="000000" w:themeColor="text1"/>
          <w:highlight w:val="yellow"/>
        </w:rPr>
        <w:t>welfare</w:t>
      </w:r>
      <w:r w:rsidR="008A7270" w:rsidRPr="008E3154">
        <w:rPr>
          <w:color w:val="000000" w:themeColor="text1"/>
        </w:rPr>
        <w:t xml:space="preserve"> </w:t>
      </w:r>
      <w:r w:rsidR="008368B9" w:rsidRPr="008E3154">
        <w:rPr>
          <w:color w:val="000000" w:themeColor="text1"/>
        </w:rPr>
        <w:t>during the 1960s and 1970s.</w:t>
      </w:r>
      <w:r w:rsidR="00E579FB" w:rsidRPr="008E3154">
        <w:rPr>
          <w:rStyle w:val="FootnoteReference"/>
          <w:color w:val="000000" w:themeColor="text1"/>
        </w:rPr>
        <w:footnoteReference w:id="64"/>
      </w:r>
      <w:r w:rsidR="008368B9" w:rsidRPr="008E3154">
        <w:rPr>
          <w:color w:val="000000" w:themeColor="text1"/>
        </w:rPr>
        <w:t xml:space="preserve"> </w:t>
      </w:r>
      <w:r w:rsidR="00D32EF9" w:rsidRPr="008E3154">
        <w:rPr>
          <w:color w:val="000000" w:themeColor="text1"/>
        </w:rPr>
        <w:t>I</w:t>
      </w:r>
      <w:r w:rsidR="004E5861" w:rsidRPr="008E3154">
        <w:rPr>
          <w:color w:val="000000" w:themeColor="text1"/>
        </w:rPr>
        <w:t xml:space="preserve">n May 1968 a resolution moved by Newnham WI (Gloucestershire) </w:t>
      </w:r>
      <w:r w:rsidR="00D32EF9" w:rsidRPr="008E3154">
        <w:rPr>
          <w:color w:val="000000" w:themeColor="text1"/>
        </w:rPr>
        <w:t>called</w:t>
      </w:r>
      <w:r w:rsidR="00474607" w:rsidRPr="008E3154">
        <w:rPr>
          <w:color w:val="000000" w:themeColor="text1"/>
        </w:rPr>
        <w:t xml:space="preserve"> on government “to provide a sufficient allowance for a </w:t>
      </w:r>
      <w:r w:rsidR="00474607" w:rsidRPr="008E3154">
        <w:rPr>
          <w:color w:val="000000" w:themeColor="text1"/>
          <w:highlight w:val="yellow"/>
        </w:rPr>
        <w:t>housewife</w:t>
      </w:r>
      <w:r w:rsidR="00474607" w:rsidRPr="008E3154">
        <w:rPr>
          <w:color w:val="000000" w:themeColor="text1"/>
        </w:rPr>
        <w:t xml:space="preserve">, </w:t>
      </w:r>
      <w:r w:rsidR="00474607" w:rsidRPr="00935D7F">
        <w:rPr>
          <w:color w:val="000000" w:themeColor="text1"/>
          <w:highlight w:val="yellow"/>
        </w:rPr>
        <w:t>disabled</w:t>
      </w:r>
      <w:r w:rsidR="00474607" w:rsidRPr="008E3154">
        <w:rPr>
          <w:color w:val="000000" w:themeColor="text1"/>
        </w:rPr>
        <w:t xml:space="preserve"> by </w:t>
      </w:r>
      <w:r w:rsidR="00474607" w:rsidRPr="008E3154">
        <w:rPr>
          <w:color w:val="000000" w:themeColor="text1"/>
        </w:rPr>
        <w:lastRenderedPageBreak/>
        <w:t>chronic illness, injury or a congenital handicap, to remain in her own home; and to enable her family to continue to live as a unit”.</w:t>
      </w:r>
      <w:r w:rsidR="00D842A2" w:rsidRPr="008E3154">
        <w:rPr>
          <w:rStyle w:val="FootnoteReference"/>
          <w:color w:val="000000" w:themeColor="text1"/>
        </w:rPr>
        <w:footnoteReference w:id="65"/>
      </w:r>
      <w:r w:rsidR="00D32EF9" w:rsidRPr="008E3154">
        <w:rPr>
          <w:color w:val="000000" w:themeColor="text1"/>
        </w:rPr>
        <w:t xml:space="preserve"> Letters were sent to the Minister for Social Security</w:t>
      </w:r>
      <w:r w:rsidR="005E7329" w:rsidRPr="008E3154">
        <w:rPr>
          <w:color w:val="000000" w:themeColor="text1"/>
        </w:rPr>
        <w:t xml:space="preserve">, the </w:t>
      </w:r>
      <w:r w:rsidR="005E7329" w:rsidRPr="008E3154">
        <w:rPr>
          <w:color w:val="000000" w:themeColor="text1"/>
          <w:highlight w:val="yellow"/>
        </w:rPr>
        <w:t>Disablement Income Group</w:t>
      </w:r>
      <w:r w:rsidR="005E7329" w:rsidRPr="008E3154">
        <w:rPr>
          <w:color w:val="000000" w:themeColor="text1"/>
        </w:rPr>
        <w:t xml:space="preserve"> and to various women’s organisations. Reporting on the follow up work linked to this resolution </w:t>
      </w:r>
      <w:r w:rsidR="007C1F09" w:rsidRPr="008E3154">
        <w:rPr>
          <w:color w:val="000000" w:themeColor="text1"/>
        </w:rPr>
        <w:t xml:space="preserve">it was noted that in January 1975 a letter “was written to the Secretary of State for Social Services asking that a </w:t>
      </w:r>
      <w:r w:rsidR="007C1F09" w:rsidRPr="00935D7F">
        <w:rPr>
          <w:color w:val="000000" w:themeColor="text1"/>
          <w:highlight w:val="yellow"/>
        </w:rPr>
        <w:t>disability</w:t>
      </w:r>
      <w:r w:rsidR="007C1F09" w:rsidRPr="008E3154">
        <w:rPr>
          <w:color w:val="000000" w:themeColor="text1"/>
        </w:rPr>
        <w:t xml:space="preserve"> pension for the </w:t>
      </w:r>
      <w:r w:rsidR="007C1F09" w:rsidRPr="008E3154">
        <w:rPr>
          <w:color w:val="000000" w:themeColor="text1"/>
          <w:highlight w:val="yellow"/>
        </w:rPr>
        <w:t>disabled housewife</w:t>
      </w:r>
      <w:r w:rsidR="007C1F09" w:rsidRPr="008E3154">
        <w:rPr>
          <w:color w:val="000000" w:themeColor="text1"/>
        </w:rPr>
        <w:t xml:space="preserve"> should be included in the </w:t>
      </w:r>
      <w:r w:rsidR="0057519C" w:rsidRPr="008E3154">
        <w:rPr>
          <w:color w:val="000000" w:themeColor="text1"/>
        </w:rPr>
        <w:t>Social Security Bill</w:t>
      </w:r>
      <w:r w:rsidR="00CB2079" w:rsidRPr="008E3154">
        <w:rPr>
          <w:color w:val="000000" w:themeColor="text1"/>
        </w:rPr>
        <w:t>”</w:t>
      </w:r>
      <w:r w:rsidR="0057519C" w:rsidRPr="008E3154">
        <w:rPr>
          <w:color w:val="000000" w:themeColor="text1"/>
        </w:rPr>
        <w:t>.</w:t>
      </w:r>
      <w:r w:rsidR="0059444E" w:rsidRPr="008E3154">
        <w:rPr>
          <w:rStyle w:val="FootnoteReference"/>
          <w:color w:val="000000" w:themeColor="text1"/>
        </w:rPr>
        <w:footnoteReference w:id="66"/>
      </w:r>
      <w:r w:rsidR="00CB2079" w:rsidRPr="008E3154">
        <w:rPr>
          <w:color w:val="000000" w:themeColor="text1"/>
        </w:rPr>
        <w:t xml:space="preserve"> The </w:t>
      </w:r>
      <w:r w:rsidR="00CB2079" w:rsidRPr="008E3154">
        <w:rPr>
          <w:color w:val="000000" w:themeColor="text1"/>
          <w:highlight w:val="yellow"/>
        </w:rPr>
        <w:t>1975 Social Security Act</w:t>
      </w:r>
      <w:r w:rsidR="00CB2079" w:rsidRPr="008E3154">
        <w:rPr>
          <w:color w:val="000000" w:themeColor="text1"/>
        </w:rPr>
        <w:t xml:space="preserve"> did make provision for a non-contributory invalidity pension </w:t>
      </w:r>
      <w:r w:rsidR="009A5D2B" w:rsidRPr="008E3154">
        <w:rPr>
          <w:color w:val="000000" w:themeColor="text1"/>
        </w:rPr>
        <w:t xml:space="preserve">for </w:t>
      </w:r>
      <w:r w:rsidR="009A5D2B" w:rsidRPr="008E3154">
        <w:rPr>
          <w:color w:val="000000" w:themeColor="text1"/>
          <w:highlight w:val="yellow"/>
        </w:rPr>
        <w:t>housewives</w:t>
      </w:r>
      <w:r w:rsidR="009A5D2B" w:rsidRPr="008E3154">
        <w:rPr>
          <w:color w:val="000000" w:themeColor="text1"/>
        </w:rPr>
        <w:t xml:space="preserve"> who were</w:t>
      </w:r>
      <w:r w:rsidR="008502E8" w:rsidRPr="008E3154">
        <w:rPr>
          <w:color w:val="000000" w:themeColor="text1"/>
        </w:rPr>
        <w:t xml:space="preserve"> not eligible for </w:t>
      </w:r>
      <w:r w:rsidR="00F10FDB" w:rsidRPr="008E3154">
        <w:rPr>
          <w:color w:val="000000" w:themeColor="text1"/>
        </w:rPr>
        <w:t>other</w:t>
      </w:r>
      <w:r w:rsidR="008502E8" w:rsidRPr="008E3154">
        <w:rPr>
          <w:color w:val="000000" w:themeColor="text1"/>
        </w:rPr>
        <w:t xml:space="preserve"> contributory invalidity benefit</w:t>
      </w:r>
      <w:r w:rsidR="00F10FDB" w:rsidRPr="008E3154">
        <w:rPr>
          <w:color w:val="000000" w:themeColor="text1"/>
        </w:rPr>
        <w:t>s</w:t>
      </w:r>
      <w:r w:rsidR="00B017CB" w:rsidRPr="008E3154">
        <w:rPr>
          <w:color w:val="000000" w:themeColor="text1"/>
        </w:rPr>
        <w:t>,</w:t>
      </w:r>
      <w:r w:rsidR="008502E8" w:rsidRPr="008E3154">
        <w:rPr>
          <w:color w:val="000000" w:themeColor="text1"/>
        </w:rPr>
        <w:t xml:space="preserve"> </w:t>
      </w:r>
      <w:r w:rsidR="00B017CB" w:rsidRPr="008E3154">
        <w:rPr>
          <w:color w:val="000000" w:themeColor="text1"/>
        </w:rPr>
        <w:t>and if they were</w:t>
      </w:r>
      <w:r w:rsidR="00693C03" w:rsidRPr="008E3154">
        <w:rPr>
          <w:color w:val="000000" w:themeColor="text1"/>
        </w:rPr>
        <w:t xml:space="preserve"> unable to work or carry out normal household duties. In November 1977 this new benefit became payable to </w:t>
      </w:r>
      <w:r w:rsidR="00B017CB" w:rsidRPr="008E3154">
        <w:rPr>
          <w:color w:val="000000" w:themeColor="text1"/>
          <w:highlight w:val="yellow"/>
        </w:rPr>
        <w:t xml:space="preserve">disabled </w:t>
      </w:r>
      <w:r w:rsidR="00693C03" w:rsidRPr="008E3154">
        <w:rPr>
          <w:color w:val="000000" w:themeColor="text1"/>
          <w:highlight w:val="yellow"/>
        </w:rPr>
        <w:t>housewives</w:t>
      </w:r>
      <w:r w:rsidR="00693C03" w:rsidRPr="008E3154">
        <w:rPr>
          <w:color w:val="000000" w:themeColor="text1"/>
        </w:rPr>
        <w:t>.</w:t>
      </w:r>
      <w:r w:rsidR="00A45CDB" w:rsidRPr="008E3154">
        <w:rPr>
          <w:color w:val="000000" w:themeColor="text1"/>
        </w:rPr>
        <w:t xml:space="preserve"> </w:t>
      </w:r>
    </w:p>
    <w:p w14:paraId="5D4C0A9E" w14:textId="0FE37B2A" w:rsidR="00357F0F" w:rsidRPr="008E3154" w:rsidRDefault="00E26F89" w:rsidP="00CF06C4">
      <w:pPr>
        <w:spacing w:line="480" w:lineRule="auto"/>
        <w:ind w:firstLine="720"/>
        <w:rPr>
          <w:color w:val="000000" w:themeColor="text1"/>
        </w:rPr>
      </w:pPr>
      <w:r w:rsidRPr="008E3154">
        <w:rPr>
          <w:color w:val="000000" w:themeColor="text1"/>
        </w:rPr>
        <w:t xml:space="preserve">These examples </w:t>
      </w:r>
      <w:r w:rsidR="00E62067" w:rsidRPr="008E3154">
        <w:rPr>
          <w:color w:val="000000" w:themeColor="text1"/>
        </w:rPr>
        <w:t>illustrate</w:t>
      </w:r>
      <w:r w:rsidRPr="008E3154">
        <w:rPr>
          <w:color w:val="000000" w:themeColor="text1"/>
        </w:rPr>
        <w:t xml:space="preserve"> the </w:t>
      </w:r>
      <w:r w:rsidR="002F4831" w:rsidRPr="008E3154">
        <w:rPr>
          <w:color w:val="000000" w:themeColor="text1"/>
        </w:rPr>
        <w:t xml:space="preserve">growing </w:t>
      </w:r>
      <w:r w:rsidR="007D1EF2" w:rsidRPr="008E3154">
        <w:rPr>
          <w:color w:val="000000" w:themeColor="text1"/>
        </w:rPr>
        <w:t>significance</w:t>
      </w:r>
      <w:r w:rsidR="00255EAD" w:rsidRPr="008E3154">
        <w:rPr>
          <w:color w:val="000000" w:themeColor="text1"/>
        </w:rPr>
        <w:t xml:space="preserve"> given to</w:t>
      </w:r>
      <w:r w:rsidR="00274432" w:rsidRPr="008E3154">
        <w:rPr>
          <w:color w:val="000000" w:themeColor="text1"/>
        </w:rPr>
        <w:t xml:space="preserve"> </w:t>
      </w:r>
      <w:r w:rsidR="00B67E03" w:rsidRPr="008E3154">
        <w:rPr>
          <w:color w:val="000000" w:themeColor="text1"/>
        </w:rPr>
        <w:t xml:space="preserve">diverse </w:t>
      </w:r>
      <w:r w:rsidR="00C54C32" w:rsidRPr="008E3154">
        <w:rPr>
          <w:color w:val="000000" w:themeColor="text1"/>
        </w:rPr>
        <w:t xml:space="preserve">experiences of </w:t>
      </w:r>
      <w:r w:rsidR="00382E03" w:rsidRPr="008E3154">
        <w:rPr>
          <w:color w:val="000000" w:themeColor="text1"/>
          <w:highlight w:val="yellow"/>
        </w:rPr>
        <w:t>housewives</w:t>
      </w:r>
      <w:r w:rsidR="00382E03" w:rsidRPr="008E3154">
        <w:rPr>
          <w:color w:val="000000" w:themeColor="text1"/>
        </w:rPr>
        <w:t xml:space="preserve"> </w:t>
      </w:r>
      <w:r w:rsidR="00F64BE0" w:rsidRPr="008E3154">
        <w:rPr>
          <w:color w:val="000000" w:themeColor="text1"/>
        </w:rPr>
        <w:t xml:space="preserve">in relation to </w:t>
      </w:r>
      <w:r w:rsidR="00F64BE0" w:rsidRPr="00935D7F">
        <w:rPr>
          <w:color w:val="000000" w:themeColor="text1"/>
          <w:highlight w:val="yellow"/>
        </w:rPr>
        <w:t>welfare</w:t>
      </w:r>
      <w:r w:rsidR="00F64BE0" w:rsidRPr="008E3154">
        <w:rPr>
          <w:color w:val="000000" w:themeColor="text1"/>
        </w:rPr>
        <w:t xml:space="preserve">, </w:t>
      </w:r>
      <w:r w:rsidR="002F4831" w:rsidRPr="008E3154">
        <w:rPr>
          <w:color w:val="000000" w:themeColor="text1"/>
        </w:rPr>
        <w:t>and how this</w:t>
      </w:r>
      <w:r w:rsidR="00382E03" w:rsidRPr="008E3154">
        <w:rPr>
          <w:color w:val="000000" w:themeColor="text1"/>
        </w:rPr>
        <w:t xml:space="preserve"> awareness</w:t>
      </w:r>
      <w:r w:rsidR="00E62067" w:rsidRPr="008E3154">
        <w:rPr>
          <w:color w:val="000000" w:themeColor="text1"/>
        </w:rPr>
        <w:t xml:space="preserve"> translated into </w:t>
      </w:r>
      <w:r w:rsidR="00E62067" w:rsidRPr="008E3154">
        <w:rPr>
          <w:color w:val="000000" w:themeColor="text1"/>
          <w:highlight w:val="yellow"/>
        </w:rPr>
        <w:t>activism</w:t>
      </w:r>
      <w:r w:rsidR="00E62067" w:rsidRPr="008E3154">
        <w:rPr>
          <w:color w:val="000000" w:themeColor="text1"/>
        </w:rPr>
        <w:t xml:space="preserve"> on the part of</w:t>
      </w:r>
      <w:r w:rsidR="0006470A" w:rsidRPr="008E3154">
        <w:rPr>
          <w:color w:val="000000" w:themeColor="text1"/>
        </w:rPr>
        <w:t xml:space="preserve"> the </w:t>
      </w:r>
      <w:r w:rsidR="0006470A" w:rsidRPr="008E3154">
        <w:rPr>
          <w:color w:val="000000" w:themeColor="text1"/>
          <w:highlight w:val="yellow"/>
        </w:rPr>
        <w:t>NFWI</w:t>
      </w:r>
      <w:r w:rsidR="0006470A" w:rsidRPr="008E3154">
        <w:rPr>
          <w:color w:val="000000" w:themeColor="text1"/>
        </w:rPr>
        <w:t xml:space="preserve">. </w:t>
      </w:r>
      <w:r w:rsidR="00134F82" w:rsidRPr="008E3154">
        <w:rPr>
          <w:color w:val="000000" w:themeColor="text1"/>
        </w:rPr>
        <w:t xml:space="preserve">In 1973 the national executive made the decision to set up a new </w:t>
      </w:r>
      <w:r w:rsidR="00524DB7" w:rsidRPr="008E3154">
        <w:rPr>
          <w:color w:val="000000" w:themeColor="text1"/>
        </w:rPr>
        <w:t>Public Affairs Committee because of the great “</w:t>
      </w:r>
      <w:r w:rsidR="00112FD4" w:rsidRPr="008E3154">
        <w:rPr>
          <w:color w:val="000000" w:themeColor="text1"/>
        </w:rPr>
        <w:t>increase in interest an activity among members on PQ</w:t>
      </w:r>
      <w:r w:rsidR="00F64BE0" w:rsidRPr="008E3154">
        <w:rPr>
          <w:color w:val="000000" w:themeColor="text1"/>
        </w:rPr>
        <w:t xml:space="preserve"> [public questions]</w:t>
      </w:r>
      <w:r w:rsidR="00112FD4" w:rsidRPr="008E3154">
        <w:rPr>
          <w:color w:val="000000" w:themeColor="text1"/>
        </w:rPr>
        <w:t xml:space="preserve"> side of </w:t>
      </w:r>
      <w:r w:rsidR="00875788" w:rsidRPr="008E3154">
        <w:rPr>
          <w:color w:val="000000" w:themeColor="text1"/>
        </w:rPr>
        <w:t xml:space="preserve">our work, and because </w:t>
      </w:r>
      <w:r w:rsidR="00C27DE7" w:rsidRPr="008E3154">
        <w:rPr>
          <w:color w:val="000000" w:themeColor="text1"/>
        </w:rPr>
        <w:t>Government Departments and official committees now ask for our views and comments more frequently”</w:t>
      </w:r>
      <w:r w:rsidR="000E43F4" w:rsidRPr="008E3154">
        <w:rPr>
          <w:color w:val="000000" w:themeColor="text1"/>
        </w:rPr>
        <w:t>.</w:t>
      </w:r>
      <w:r w:rsidR="00814E74" w:rsidRPr="008E3154">
        <w:rPr>
          <w:rStyle w:val="FootnoteReference"/>
          <w:color w:val="000000" w:themeColor="text1"/>
        </w:rPr>
        <w:footnoteReference w:id="67"/>
      </w:r>
      <w:r w:rsidR="00CF06C4" w:rsidRPr="008E3154">
        <w:rPr>
          <w:color w:val="000000" w:themeColor="text1"/>
        </w:rPr>
        <w:t xml:space="preserve"> </w:t>
      </w:r>
      <w:r w:rsidR="00357F0F" w:rsidRPr="008E3154">
        <w:rPr>
          <w:color w:val="000000" w:themeColor="text1"/>
        </w:rPr>
        <w:t xml:space="preserve">The remit of the new Public Affairs Committee was to discuss and investigate subjects linked to “all aspects of Health, Welfare and Social </w:t>
      </w:r>
      <w:r w:rsidR="00357F0F" w:rsidRPr="008E3154">
        <w:rPr>
          <w:color w:val="000000" w:themeColor="text1"/>
        </w:rPr>
        <w:lastRenderedPageBreak/>
        <w:t xml:space="preserve">Security Benefits and pensions, taxes, consumer protection, law and order </w:t>
      </w:r>
      <w:proofErr w:type="spellStart"/>
      <w:r w:rsidR="00357F0F" w:rsidRPr="008E3154">
        <w:rPr>
          <w:color w:val="000000" w:themeColor="text1"/>
        </w:rPr>
        <w:t>etc</w:t>
      </w:r>
      <w:proofErr w:type="spellEnd"/>
      <w:r w:rsidR="00935D7F">
        <w:rPr>
          <w:color w:val="000000" w:themeColor="text1"/>
        </w:rPr>
        <w:t>”</w:t>
      </w:r>
      <w:r w:rsidR="00357F0F" w:rsidRPr="008E3154">
        <w:rPr>
          <w:color w:val="000000" w:themeColor="text1"/>
        </w:rPr>
        <w:t>.</w:t>
      </w:r>
      <w:r w:rsidR="00357F0F" w:rsidRPr="008E3154">
        <w:rPr>
          <w:rStyle w:val="FootnoteReference"/>
          <w:color w:val="000000" w:themeColor="text1"/>
        </w:rPr>
        <w:footnoteReference w:id="68"/>
      </w:r>
      <w:r w:rsidR="00357F0F" w:rsidRPr="008E3154">
        <w:rPr>
          <w:color w:val="000000" w:themeColor="text1"/>
        </w:rPr>
        <w:t xml:space="preserve"> </w:t>
      </w:r>
    </w:p>
    <w:p w14:paraId="7C802E44" w14:textId="48308A50" w:rsidR="002D0126" w:rsidRPr="008E3154" w:rsidRDefault="001F7666" w:rsidP="00357F0F">
      <w:pPr>
        <w:spacing w:line="480" w:lineRule="auto"/>
        <w:ind w:firstLine="720"/>
        <w:rPr>
          <w:color w:val="000000" w:themeColor="text1"/>
        </w:rPr>
      </w:pPr>
      <w:r w:rsidRPr="008E3154">
        <w:rPr>
          <w:color w:val="000000" w:themeColor="text1"/>
        </w:rPr>
        <w:t>T</w:t>
      </w:r>
      <w:r w:rsidR="00A03E4C" w:rsidRPr="008E3154">
        <w:rPr>
          <w:color w:val="000000" w:themeColor="text1"/>
        </w:rPr>
        <w:t xml:space="preserve">his aspect of </w:t>
      </w:r>
      <w:r w:rsidR="00A61F4E" w:rsidRPr="008E3154">
        <w:rPr>
          <w:color w:val="000000" w:themeColor="text1"/>
          <w:highlight w:val="yellow"/>
        </w:rPr>
        <w:t>NFWI</w:t>
      </w:r>
      <w:r w:rsidR="00A61F4E" w:rsidRPr="008E3154">
        <w:rPr>
          <w:color w:val="000000" w:themeColor="text1"/>
        </w:rPr>
        <w:t xml:space="preserve"> work</w:t>
      </w:r>
      <w:r w:rsidR="00A03E4C" w:rsidRPr="008E3154">
        <w:rPr>
          <w:color w:val="000000" w:themeColor="text1"/>
        </w:rPr>
        <w:t xml:space="preserve"> was</w:t>
      </w:r>
      <w:r w:rsidRPr="008E3154">
        <w:rPr>
          <w:color w:val="000000" w:themeColor="text1"/>
        </w:rPr>
        <w:t xml:space="preserve"> acknowledged at the highest level of government. W</w:t>
      </w:r>
      <w:r w:rsidR="001B1333" w:rsidRPr="008E3154">
        <w:rPr>
          <w:color w:val="000000" w:themeColor="text1"/>
        </w:rPr>
        <w:t>ith</w:t>
      </w:r>
      <w:r w:rsidR="00DC0B77" w:rsidRPr="008E3154">
        <w:rPr>
          <w:color w:val="000000" w:themeColor="text1"/>
        </w:rPr>
        <w:t xml:space="preserve"> </w:t>
      </w:r>
      <w:r w:rsidR="007D0622" w:rsidRPr="008E3154">
        <w:rPr>
          <w:color w:val="000000" w:themeColor="text1"/>
        </w:rPr>
        <w:t xml:space="preserve">official </w:t>
      </w:r>
      <w:r w:rsidR="001B1333" w:rsidRPr="008E3154">
        <w:rPr>
          <w:color w:val="000000" w:themeColor="text1"/>
        </w:rPr>
        <w:t>approval from</w:t>
      </w:r>
      <w:r w:rsidRPr="008E3154">
        <w:rPr>
          <w:color w:val="000000" w:themeColor="text1"/>
        </w:rPr>
        <w:t xml:space="preserve"> the Home Secretary</w:t>
      </w:r>
      <w:r w:rsidR="00DC0B77" w:rsidRPr="008E3154">
        <w:rPr>
          <w:color w:val="000000" w:themeColor="text1"/>
        </w:rPr>
        <w:t xml:space="preserve"> </w:t>
      </w:r>
      <w:r w:rsidR="00357F0F" w:rsidRPr="008E3154">
        <w:rPr>
          <w:color w:val="000000" w:themeColor="text1"/>
        </w:rPr>
        <w:t>representatives from government departments, for example the Department of Health and Social Security and the Department of Employment</w:t>
      </w:r>
      <w:r w:rsidR="001B1333" w:rsidRPr="008E3154">
        <w:rPr>
          <w:color w:val="000000" w:themeColor="text1"/>
        </w:rPr>
        <w:t>,</w:t>
      </w:r>
      <w:r w:rsidR="002327E1" w:rsidRPr="008E3154">
        <w:rPr>
          <w:color w:val="000000" w:themeColor="text1"/>
        </w:rPr>
        <w:t xml:space="preserve"> were appointed to the Public Affairs Committee</w:t>
      </w:r>
      <w:r w:rsidR="00357F0F" w:rsidRPr="008E3154">
        <w:rPr>
          <w:color w:val="000000" w:themeColor="text1"/>
        </w:rPr>
        <w:t xml:space="preserve">. </w:t>
      </w:r>
      <w:r w:rsidR="002327E1" w:rsidRPr="008E3154">
        <w:rPr>
          <w:color w:val="000000" w:themeColor="text1"/>
        </w:rPr>
        <w:t xml:space="preserve">This </w:t>
      </w:r>
      <w:r w:rsidR="00A61F4E" w:rsidRPr="008E3154">
        <w:rPr>
          <w:color w:val="000000" w:themeColor="text1"/>
        </w:rPr>
        <w:t>decision is illustrative of the fact</w:t>
      </w:r>
      <w:r w:rsidR="002D0126" w:rsidRPr="008E3154">
        <w:rPr>
          <w:color w:val="000000" w:themeColor="text1"/>
        </w:rPr>
        <w:t xml:space="preserve"> that </w:t>
      </w:r>
      <w:r w:rsidR="00E8150A" w:rsidRPr="008E3154">
        <w:rPr>
          <w:color w:val="000000" w:themeColor="text1"/>
        </w:rPr>
        <w:t xml:space="preserve">during the 1970s </w:t>
      </w:r>
      <w:r w:rsidR="00281DBB" w:rsidRPr="008E3154">
        <w:rPr>
          <w:color w:val="000000" w:themeColor="text1"/>
        </w:rPr>
        <w:t xml:space="preserve">the </w:t>
      </w:r>
      <w:r w:rsidR="00281DBB" w:rsidRPr="008E3154">
        <w:rPr>
          <w:color w:val="000000" w:themeColor="text1"/>
          <w:highlight w:val="yellow"/>
        </w:rPr>
        <w:t>NFWI</w:t>
      </w:r>
      <w:r w:rsidR="002327E1" w:rsidRPr="008E3154">
        <w:rPr>
          <w:color w:val="000000" w:themeColor="text1"/>
        </w:rPr>
        <w:t xml:space="preserve"> continue</w:t>
      </w:r>
      <w:r w:rsidR="00281DBB" w:rsidRPr="008E3154">
        <w:rPr>
          <w:color w:val="000000" w:themeColor="text1"/>
        </w:rPr>
        <w:t>d</w:t>
      </w:r>
      <w:r w:rsidR="002D0126" w:rsidRPr="008E3154">
        <w:rPr>
          <w:color w:val="000000" w:themeColor="text1"/>
        </w:rPr>
        <w:t xml:space="preserve"> to be regarded </w:t>
      </w:r>
      <w:r w:rsidR="005D601E" w:rsidRPr="008E3154">
        <w:rPr>
          <w:color w:val="000000" w:themeColor="text1"/>
        </w:rPr>
        <w:t xml:space="preserve">by government </w:t>
      </w:r>
      <w:r w:rsidR="002D0126" w:rsidRPr="008E3154">
        <w:rPr>
          <w:color w:val="000000" w:themeColor="text1"/>
        </w:rPr>
        <w:t xml:space="preserve">as an </w:t>
      </w:r>
      <w:r w:rsidR="002327E1" w:rsidRPr="008E3154">
        <w:rPr>
          <w:color w:val="000000" w:themeColor="text1"/>
        </w:rPr>
        <w:t xml:space="preserve">influential </w:t>
      </w:r>
      <w:r w:rsidR="002D0126" w:rsidRPr="008E3154">
        <w:rPr>
          <w:color w:val="000000" w:themeColor="text1"/>
        </w:rPr>
        <w:t xml:space="preserve">body representing </w:t>
      </w:r>
      <w:r w:rsidR="00CC760A" w:rsidRPr="008E3154">
        <w:rPr>
          <w:color w:val="000000" w:themeColor="text1"/>
        </w:rPr>
        <w:t xml:space="preserve">the </w:t>
      </w:r>
      <w:r w:rsidR="00873DDA" w:rsidRPr="008E3154">
        <w:rPr>
          <w:color w:val="000000" w:themeColor="text1"/>
        </w:rPr>
        <w:t xml:space="preserve">interests and </w:t>
      </w:r>
      <w:r w:rsidR="00CC760A" w:rsidRPr="008E3154">
        <w:rPr>
          <w:color w:val="000000" w:themeColor="text1"/>
          <w:highlight w:val="yellow"/>
        </w:rPr>
        <w:t>experiential expertise</w:t>
      </w:r>
      <w:r w:rsidR="00CC760A" w:rsidRPr="008E3154">
        <w:rPr>
          <w:color w:val="000000" w:themeColor="text1"/>
        </w:rPr>
        <w:t xml:space="preserve"> of </w:t>
      </w:r>
      <w:r w:rsidR="00CC760A" w:rsidRPr="008E3154">
        <w:rPr>
          <w:color w:val="000000" w:themeColor="text1"/>
          <w:highlight w:val="yellow"/>
        </w:rPr>
        <w:t>housewives</w:t>
      </w:r>
      <w:r w:rsidR="00CC760A" w:rsidRPr="008E3154">
        <w:rPr>
          <w:color w:val="000000" w:themeColor="text1"/>
        </w:rPr>
        <w:t xml:space="preserve">. </w:t>
      </w:r>
      <w:r w:rsidR="00E037EB" w:rsidRPr="008E3154">
        <w:rPr>
          <w:color w:val="000000" w:themeColor="text1"/>
        </w:rPr>
        <w:t xml:space="preserve">Sir Keith Joseph, </w:t>
      </w:r>
      <w:r w:rsidR="00FE6267" w:rsidRPr="008E3154">
        <w:rPr>
          <w:color w:val="000000" w:themeColor="text1"/>
        </w:rPr>
        <w:t xml:space="preserve">Secretary of State for Health and Social Services, </w:t>
      </w:r>
      <w:r w:rsidR="00254438" w:rsidRPr="008E3154">
        <w:rPr>
          <w:color w:val="000000" w:themeColor="text1"/>
        </w:rPr>
        <w:t xml:space="preserve">further supports this </w:t>
      </w:r>
      <w:r w:rsidR="00E8150A" w:rsidRPr="008E3154">
        <w:rPr>
          <w:color w:val="000000" w:themeColor="text1"/>
        </w:rPr>
        <w:t xml:space="preserve">argument </w:t>
      </w:r>
      <w:r w:rsidR="000517CB" w:rsidRPr="008E3154">
        <w:rPr>
          <w:color w:val="000000" w:themeColor="text1"/>
        </w:rPr>
        <w:t xml:space="preserve">when </w:t>
      </w:r>
      <w:r w:rsidR="00595F5C" w:rsidRPr="008E3154">
        <w:rPr>
          <w:color w:val="000000" w:themeColor="text1"/>
        </w:rPr>
        <w:t xml:space="preserve">in April 1973 </w:t>
      </w:r>
      <w:r w:rsidR="000517CB" w:rsidRPr="008E3154">
        <w:rPr>
          <w:color w:val="000000" w:themeColor="text1"/>
        </w:rPr>
        <w:t>he</w:t>
      </w:r>
      <w:r w:rsidR="00A86E5E" w:rsidRPr="008E3154">
        <w:rPr>
          <w:color w:val="000000" w:themeColor="text1"/>
        </w:rPr>
        <w:t xml:space="preserve"> </w:t>
      </w:r>
      <w:r w:rsidR="00595F5C" w:rsidRPr="008E3154">
        <w:rPr>
          <w:color w:val="000000" w:themeColor="text1"/>
        </w:rPr>
        <w:t xml:space="preserve">described the movement as </w:t>
      </w:r>
      <w:r w:rsidR="00873DDA" w:rsidRPr="008E3154">
        <w:rPr>
          <w:color w:val="000000" w:themeColor="text1"/>
        </w:rPr>
        <w:t xml:space="preserve">“a very responsible body” </w:t>
      </w:r>
      <w:r w:rsidR="000517CB" w:rsidRPr="008E3154">
        <w:rPr>
          <w:color w:val="000000" w:themeColor="text1"/>
        </w:rPr>
        <w:t>during a speech to</w:t>
      </w:r>
      <w:r w:rsidR="00A86E5E" w:rsidRPr="008E3154">
        <w:rPr>
          <w:color w:val="000000" w:themeColor="text1"/>
        </w:rPr>
        <w:t xml:space="preserve"> the House of Commons.</w:t>
      </w:r>
      <w:r w:rsidR="00887187" w:rsidRPr="008E3154">
        <w:rPr>
          <w:rStyle w:val="FootnoteReference"/>
          <w:color w:val="000000" w:themeColor="text1"/>
        </w:rPr>
        <w:footnoteReference w:id="69"/>
      </w:r>
      <w:r w:rsidR="002268F4" w:rsidRPr="008E3154">
        <w:rPr>
          <w:color w:val="000000" w:themeColor="text1"/>
        </w:rPr>
        <w:t xml:space="preserve"> </w:t>
      </w:r>
      <w:r w:rsidR="00BD5A69" w:rsidRPr="008E3154">
        <w:rPr>
          <w:color w:val="000000" w:themeColor="text1"/>
        </w:rPr>
        <w:t>However</w:t>
      </w:r>
      <w:r w:rsidR="007B1F71" w:rsidRPr="008E3154">
        <w:rPr>
          <w:color w:val="000000" w:themeColor="text1"/>
        </w:rPr>
        <w:t>,</w:t>
      </w:r>
      <w:r w:rsidR="004C2127" w:rsidRPr="008E3154">
        <w:rPr>
          <w:color w:val="000000" w:themeColor="text1"/>
        </w:rPr>
        <w:t xml:space="preserve"> recognition</w:t>
      </w:r>
      <w:r w:rsidR="007B1F71" w:rsidRPr="008E3154">
        <w:rPr>
          <w:color w:val="000000" w:themeColor="text1"/>
        </w:rPr>
        <w:t xml:space="preserve"> by government didn't equate to the </w:t>
      </w:r>
      <w:r w:rsidR="004C2127" w:rsidRPr="008E3154">
        <w:rPr>
          <w:color w:val="000000" w:themeColor="text1"/>
          <w:highlight w:val="yellow"/>
        </w:rPr>
        <w:t>NFWI</w:t>
      </w:r>
      <w:r w:rsidR="004C2127" w:rsidRPr="008E3154">
        <w:rPr>
          <w:color w:val="000000" w:themeColor="text1"/>
        </w:rPr>
        <w:t xml:space="preserve"> </w:t>
      </w:r>
      <w:r w:rsidR="007B1F71" w:rsidRPr="008E3154">
        <w:rPr>
          <w:color w:val="000000" w:themeColor="text1"/>
        </w:rPr>
        <w:t>acting</w:t>
      </w:r>
      <w:r w:rsidR="00BD5A69" w:rsidRPr="008E3154">
        <w:rPr>
          <w:color w:val="000000" w:themeColor="text1"/>
        </w:rPr>
        <w:t xml:space="preserve"> as an agent of the state</w:t>
      </w:r>
      <w:r w:rsidR="0057665B" w:rsidRPr="008E3154">
        <w:rPr>
          <w:color w:val="000000" w:themeColor="text1"/>
        </w:rPr>
        <w:t xml:space="preserve"> or </w:t>
      </w:r>
      <w:r w:rsidR="00023800" w:rsidRPr="008E3154">
        <w:rPr>
          <w:color w:val="000000" w:themeColor="text1"/>
        </w:rPr>
        <w:t>compromise</w:t>
      </w:r>
      <w:r w:rsidR="0057665B" w:rsidRPr="008E3154">
        <w:rPr>
          <w:color w:val="000000" w:themeColor="text1"/>
        </w:rPr>
        <w:t xml:space="preserve"> the </w:t>
      </w:r>
      <w:proofErr w:type="spellStart"/>
      <w:r w:rsidR="0057665B" w:rsidRPr="008E3154">
        <w:rPr>
          <w:color w:val="000000" w:themeColor="text1"/>
        </w:rPr>
        <w:t>organisation’s</w:t>
      </w:r>
      <w:proofErr w:type="spellEnd"/>
      <w:r w:rsidR="0057665B" w:rsidRPr="008E3154">
        <w:rPr>
          <w:color w:val="000000" w:themeColor="text1"/>
        </w:rPr>
        <w:t xml:space="preserve"> </w:t>
      </w:r>
      <w:r w:rsidR="00023800" w:rsidRPr="008E3154">
        <w:rPr>
          <w:color w:val="000000" w:themeColor="text1"/>
        </w:rPr>
        <w:t xml:space="preserve">willingness to </w:t>
      </w:r>
      <w:r w:rsidR="0057665B" w:rsidRPr="008E3154">
        <w:rPr>
          <w:color w:val="000000" w:themeColor="text1"/>
        </w:rPr>
        <w:t xml:space="preserve">campaign </w:t>
      </w:r>
      <w:r w:rsidR="00023800" w:rsidRPr="008E3154">
        <w:rPr>
          <w:color w:val="000000" w:themeColor="text1"/>
        </w:rPr>
        <w:t>for</w:t>
      </w:r>
      <w:r w:rsidR="0057665B" w:rsidRPr="008E3154">
        <w:rPr>
          <w:color w:val="000000" w:themeColor="text1"/>
        </w:rPr>
        <w:t xml:space="preserve"> </w:t>
      </w:r>
      <w:r w:rsidR="00023800" w:rsidRPr="008E3154">
        <w:rPr>
          <w:color w:val="000000" w:themeColor="text1"/>
        </w:rPr>
        <w:t xml:space="preserve">women’s </w:t>
      </w:r>
      <w:r w:rsidR="0057665B" w:rsidRPr="00935D7F">
        <w:rPr>
          <w:color w:val="000000" w:themeColor="text1"/>
          <w:highlight w:val="yellow"/>
        </w:rPr>
        <w:t>welfare</w:t>
      </w:r>
      <w:r w:rsidR="0057665B" w:rsidRPr="008E3154">
        <w:rPr>
          <w:color w:val="000000" w:themeColor="text1"/>
        </w:rPr>
        <w:t xml:space="preserve"> rights. </w:t>
      </w:r>
    </w:p>
    <w:p w14:paraId="64D752C3" w14:textId="1BF0E25E" w:rsidR="00C95606" w:rsidRPr="008E3154" w:rsidRDefault="00357084" w:rsidP="002268F4">
      <w:pPr>
        <w:spacing w:line="480" w:lineRule="auto"/>
        <w:ind w:firstLine="720"/>
        <w:rPr>
          <w:rFonts w:cs="Arial"/>
          <w:color w:val="000000" w:themeColor="text1"/>
        </w:rPr>
      </w:pPr>
      <w:r w:rsidRPr="008E3154">
        <w:rPr>
          <w:color w:val="000000" w:themeColor="text1"/>
        </w:rPr>
        <w:t>By the 1970s t</w:t>
      </w:r>
      <w:r w:rsidR="005F5752" w:rsidRPr="008E3154">
        <w:rPr>
          <w:color w:val="000000" w:themeColor="text1"/>
        </w:rPr>
        <w:t xml:space="preserve">he </w:t>
      </w:r>
      <w:r w:rsidR="005F5752" w:rsidRPr="008E3154">
        <w:rPr>
          <w:color w:val="000000" w:themeColor="text1"/>
          <w:highlight w:val="yellow"/>
        </w:rPr>
        <w:t>National Health Service (NHS)</w:t>
      </w:r>
      <w:r w:rsidR="005F5752" w:rsidRPr="008E3154">
        <w:rPr>
          <w:color w:val="000000" w:themeColor="text1"/>
        </w:rPr>
        <w:t xml:space="preserve"> </w:t>
      </w:r>
      <w:r w:rsidRPr="008E3154">
        <w:rPr>
          <w:color w:val="000000" w:themeColor="text1"/>
        </w:rPr>
        <w:t xml:space="preserve">had transformed </w:t>
      </w:r>
      <w:r w:rsidR="001E5864" w:rsidRPr="008E3154">
        <w:rPr>
          <w:color w:val="000000" w:themeColor="text1"/>
        </w:rPr>
        <w:t xml:space="preserve">many </w:t>
      </w:r>
      <w:r w:rsidRPr="008E3154">
        <w:rPr>
          <w:color w:val="000000" w:themeColor="text1"/>
        </w:rPr>
        <w:t>women’s lives</w:t>
      </w:r>
      <w:r w:rsidR="00F74005" w:rsidRPr="008E3154">
        <w:rPr>
          <w:color w:val="000000" w:themeColor="text1"/>
        </w:rPr>
        <w:t>,</w:t>
      </w:r>
      <w:r w:rsidR="00625EB6" w:rsidRPr="008E3154">
        <w:rPr>
          <w:color w:val="000000" w:themeColor="text1"/>
        </w:rPr>
        <w:t xml:space="preserve"> in</w:t>
      </w:r>
      <w:r w:rsidR="00A309A6" w:rsidRPr="008E3154">
        <w:rPr>
          <w:color w:val="000000" w:themeColor="text1"/>
        </w:rPr>
        <w:t xml:space="preserve"> </w:t>
      </w:r>
      <w:r w:rsidR="00E211C3" w:rsidRPr="008E3154">
        <w:rPr>
          <w:color w:val="000000" w:themeColor="text1"/>
        </w:rPr>
        <w:t xml:space="preserve">particular </w:t>
      </w:r>
      <w:r w:rsidR="00625EB6" w:rsidRPr="008E3154">
        <w:rPr>
          <w:color w:val="000000" w:themeColor="text1"/>
        </w:rPr>
        <w:t xml:space="preserve">for </w:t>
      </w:r>
      <w:r w:rsidR="00E211C3" w:rsidRPr="008E3154">
        <w:rPr>
          <w:color w:val="000000" w:themeColor="text1"/>
        </w:rPr>
        <w:t>working-class wives and mothers,</w:t>
      </w:r>
      <w:r w:rsidRPr="008E3154">
        <w:rPr>
          <w:color w:val="000000" w:themeColor="text1"/>
        </w:rPr>
        <w:t xml:space="preserve"> </w:t>
      </w:r>
      <w:r w:rsidR="00731FED" w:rsidRPr="008E3154">
        <w:rPr>
          <w:color w:val="000000" w:themeColor="text1"/>
        </w:rPr>
        <w:t xml:space="preserve">through the provision of </w:t>
      </w:r>
      <w:r w:rsidR="00251A89" w:rsidRPr="008E3154">
        <w:rPr>
          <w:color w:val="000000" w:themeColor="text1"/>
        </w:rPr>
        <w:t xml:space="preserve">universal </w:t>
      </w:r>
      <w:r w:rsidRPr="008E3154">
        <w:rPr>
          <w:color w:val="000000" w:themeColor="text1"/>
        </w:rPr>
        <w:t>free access to</w:t>
      </w:r>
      <w:r w:rsidR="00251A89" w:rsidRPr="008E3154">
        <w:rPr>
          <w:color w:val="000000" w:themeColor="text1"/>
        </w:rPr>
        <w:t xml:space="preserve"> hospitals and general practitioners (GPs).</w:t>
      </w:r>
      <w:r w:rsidR="00A309A6" w:rsidRPr="008E3154">
        <w:rPr>
          <w:rStyle w:val="FootnoteReference"/>
          <w:color w:val="000000" w:themeColor="text1"/>
        </w:rPr>
        <w:footnoteReference w:id="70"/>
      </w:r>
      <w:r w:rsidR="00251A89" w:rsidRPr="008E3154">
        <w:rPr>
          <w:color w:val="000000" w:themeColor="text1"/>
        </w:rPr>
        <w:t xml:space="preserve"> </w:t>
      </w:r>
      <w:r w:rsidR="005D7436" w:rsidRPr="008E3154">
        <w:rPr>
          <w:color w:val="000000" w:themeColor="text1"/>
        </w:rPr>
        <w:t>Nevertheless</w:t>
      </w:r>
      <w:r w:rsidR="00A309A6" w:rsidRPr="008E3154">
        <w:rPr>
          <w:color w:val="000000" w:themeColor="text1"/>
        </w:rPr>
        <w:t xml:space="preserve"> gaps in </w:t>
      </w:r>
      <w:r w:rsidR="00625EB6" w:rsidRPr="008E3154">
        <w:rPr>
          <w:color w:val="000000" w:themeColor="text1"/>
        </w:rPr>
        <w:t xml:space="preserve">health </w:t>
      </w:r>
      <w:r w:rsidR="00A309A6" w:rsidRPr="008E3154">
        <w:rPr>
          <w:color w:val="000000" w:themeColor="text1"/>
        </w:rPr>
        <w:t xml:space="preserve">services </w:t>
      </w:r>
      <w:r w:rsidR="00624249" w:rsidRPr="008E3154">
        <w:rPr>
          <w:color w:val="000000" w:themeColor="text1"/>
        </w:rPr>
        <w:t xml:space="preserve">for </w:t>
      </w:r>
      <w:r w:rsidR="001C4BFD" w:rsidRPr="008E3154">
        <w:rPr>
          <w:color w:val="000000" w:themeColor="text1"/>
        </w:rPr>
        <w:t xml:space="preserve">women </w:t>
      </w:r>
      <w:r w:rsidR="00A37B04" w:rsidRPr="008E3154">
        <w:rPr>
          <w:color w:val="000000" w:themeColor="text1"/>
        </w:rPr>
        <w:t>persisted</w:t>
      </w:r>
      <w:r w:rsidR="009859BC" w:rsidRPr="008E3154">
        <w:rPr>
          <w:color w:val="000000" w:themeColor="text1"/>
        </w:rPr>
        <w:t>.</w:t>
      </w:r>
      <w:r w:rsidR="00A37B04" w:rsidRPr="008E3154">
        <w:rPr>
          <w:color w:val="000000" w:themeColor="text1"/>
        </w:rPr>
        <w:t xml:space="preserve"> </w:t>
      </w:r>
      <w:r w:rsidR="00FE0A26" w:rsidRPr="008E3154">
        <w:rPr>
          <w:rFonts w:cs="Arial"/>
          <w:color w:val="000000" w:themeColor="text1"/>
        </w:rPr>
        <w:t xml:space="preserve">In June </w:t>
      </w:r>
      <w:r w:rsidR="005F5752" w:rsidRPr="008E3154">
        <w:rPr>
          <w:rFonts w:cs="Arial"/>
          <w:color w:val="000000" w:themeColor="text1"/>
        </w:rPr>
        <w:t>1972</w:t>
      </w:r>
      <w:r w:rsidR="00FE0A26" w:rsidRPr="008E3154">
        <w:rPr>
          <w:rFonts w:cs="Arial"/>
          <w:color w:val="000000" w:themeColor="text1"/>
        </w:rPr>
        <w:t xml:space="preserve"> the </w:t>
      </w:r>
      <w:r w:rsidR="00F74005" w:rsidRPr="008E3154">
        <w:rPr>
          <w:rFonts w:cs="Arial"/>
          <w:color w:val="000000" w:themeColor="text1"/>
        </w:rPr>
        <w:t xml:space="preserve">WI </w:t>
      </w:r>
      <w:r w:rsidR="00FE0A26" w:rsidRPr="008E3154">
        <w:rPr>
          <w:rFonts w:cs="Arial"/>
          <w:color w:val="000000" w:themeColor="text1"/>
        </w:rPr>
        <w:t>Anglesey Federation ex</w:t>
      </w:r>
      <w:r w:rsidR="00195826" w:rsidRPr="008E3154">
        <w:rPr>
          <w:rFonts w:cs="Arial"/>
          <w:color w:val="000000" w:themeColor="text1"/>
        </w:rPr>
        <w:t>ecutive committee tabled</w:t>
      </w:r>
      <w:r w:rsidR="005F5752" w:rsidRPr="008E3154">
        <w:rPr>
          <w:rFonts w:cs="Arial"/>
          <w:color w:val="000000" w:themeColor="text1"/>
        </w:rPr>
        <w:t xml:space="preserve"> a resolution </w:t>
      </w:r>
      <w:r w:rsidR="00195826" w:rsidRPr="008E3154">
        <w:rPr>
          <w:rFonts w:cs="Arial"/>
          <w:color w:val="000000" w:themeColor="text1"/>
        </w:rPr>
        <w:t xml:space="preserve">at the AGM urging the government to </w:t>
      </w:r>
      <w:r w:rsidR="002F5517" w:rsidRPr="008E3154">
        <w:rPr>
          <w:rFonts w:cs="Arial"/>
          <w:color w:val="000000" w:themeColor="text1"/>
        </w:rPr>
        <w:t>“</w:t>
      </w:r>
      <w:r w:rsidR="005F5752" w:rsidRPr="008E3154">
        <w:rPr>
          <w:rFonts w:cs="Arial"/>
          <w:color w:val="000000" w:themeColor="text1"/>
        </w:rPr>
        <w:t xml:space="preserve">make it mandatory rather than permissive, as at present, for all Local Authorities to provide a full free </w:t>
      </w:r>
      <w:r w:rsidR="005F5752" w:rsidRPr="008E3154">
        <w:rPr>
          <w:rFonts w:cs="Arial"/>
          <w:color w:val="000000" w:themeColor="text1"/>
          <w:highlight w:val="yellow"/>
        </w:rPr>
        <w:t>Family</w:t>
      </w:r>
      <w:r w:rsidR="005F5752" w:rsidRPr="008E3154">
        <w:rPr>
          <w:rFonts w:cs="Arial"/>
          <w:color w:val="000000" w:themeColor="text1"/>
        </w:rPr>
        <w:t xml:space="preserve"> </w:t>
      </w:r>
      <w:r w:rsidR="005F5752" w:rsidRPr="008E3154">
        <w:rPr>
          <w:rFonts w:cs="Arial"/>
          <w:color w:val="000000" w:themeColor="text1"/>
          <w:highlight w:val="yellow"/>
        </w:rPr>
        <w:lastRenderedPageBreak/>
        <w:t>Planning</w:t>
      </w:r>
      <w:r w:rsidR="002F5517" w:rsidRPr="008E3154">
        <w:rPr>
          <w:rFonts w:cs="Arial"/>
          <w:color w:val="000000" w:themeColor="text1"/>
        </w:rPr>
        <w:t xml:space="preserve"> Service”</w:t>
      </w:r>
      <w:r w:rsidR="005F5752" w:rsidRPr="008E3154">
        <w:rPr>
          <w:rFonts w:cs="Arial"/>
          <w:color w:val="000000" w:themeColor="text1"/>
        </w:rPr>
        <w:t>.</w:t>
      </w:r>
      <w:r w:rsidR="00C95606" w:rsidRPr="008E3154">
        <w:rPr>
          <w:rStyle w:val="FootnoteReference"/>
          <w:rFonts w:cs="Arial"/>
          <w:color w:val="000000" w:themeColor="text1"/>
        </w:rPr>
        <w:footnoteReference w:id="71"/>
      </w:r>
      <w:r w:rsidR="005F5752" w:rsidRPr="008E3154">
        <w:rPr>
          <w:rFonts w:cs="Arial"/>
          <w:color w:val="000000" w:themeColor="text1"/>
        </w:rPr>
        <w:t xml:space="preserve"> </w:t>
      </w:r>
      <w:r w:rsidR="002C43A0" w:rsidRPr="008E3154">
        <w:rPr>
          <w:rFonts w:cs="Arial"/>
          <w:color w:val="000000" w:themeColor="text1"/>
        </w:rPr>
        <w:t>Believing</w:t>
      </w:r>
      <w:r w:rsidR="0060206A" w:rsidRPr="008E3154">
        <w:rPr>
          <w:rFonts w:cs="Arial"/>
          <w:color w:val="000000" w:themeColor="text1"/>
        </w:rPr>
        <w:t xml:space="preserve"> women had the right to plan their </w:t>
      </w:r>
      <w:r w:rsidR="001A4979" w:rsidRPr="008E3154">
        <w:rPr>
          <w:rFonts w:cs="Arial"/>
          <w:color w:val="000000" w:themeColor="text1"/>
        </w:rPr>
        <w:t>families in</w:t>
      </w:r>
      <w:r w:rsidR="000A4EC6" w:rsidRPr="008E3154">
        <w:rPr>
          <w:rFonts w:cs="Arial"/>
          <w:color w:val="000000" w:themeColor="text1"/>
        </w:rPr>
        <w:t xml:space="preserve"> </w:t>
      </w:r>
      <w:r w:rsidR="00B84007" w:rsidRPr="008E3154">
        <w:rPr>
          <w:rFonts w:cs="Arial"/>
          <w:color w:val="000000" w:themeColor="text1"/>
        </w:rPr>
        <w:t xml:space="preserve">the way “they feel is best for its health, </w:t>
      </w:r>
      <w:r w:rsidR="00B84007" w:rsidRPr="00935D7F">
        <w:rPr>
          <w:rFonts w:cs="Arial"/>
          <w:color w:val="000000" w:themeColor="text1"/>
          <w:highlight w:val="yellow"/>
        </w:rPr>
        <w:t>welfare</w:t>
      </w:r>
      <w:r w:rsidR="00B84007" w:rsidRPr="008E3154">
        <w:rPr>
          <w:rFonts w:cs="Arial"/>
          <w:color w:val="000000" w:themeColor="text1"/>
        </w:rPr>
        <w:t xml:space="preserve"> and quality of life” </w:t>
      </w:r>
      <w:r w:rsidR="00673926" w:rsidRPr="008E3154">
        <w:rPr>
          <w:rFonts w:cs="Arial"/>
          <w:color w:val="000000" w:themeColor="text1"/>
        </w:rPr>
        <w:t xml:space="preserve">the movement welcomed </w:t>
      </w:r>
      <w:r w:rsidR="00C95C7E" w:rsidRPr="008E3154">
        <w:rPr>
          <w:rFonts w:cs="Arial"/>
          <w:color w:val="000000" w:themeColor="text1"/>
        </w:rPr>
        <w:t xml:space="preserve">the clause in the </w:t>
      </w:r>
      <w:r w:rsidR="00C95C7E" w:rsidRPr="008E3154">
        <w:rPr>
          <w:rFonts w:cs="Arial"/>
          <w:color w:val="000000" w:themeColor="text1"/>
          <w:highlight w:val="yellow"/>
        </w:rPr>
        <w:t xml:space="preserve">National Health Service </w:t>
      </w:r>
      <w:proofErr w:type="spellStart"/>
      <w:r w:rsidR="00C95C7E" w:rsidRPr="008E3154">
        <w:rPr>
          <w:rFonts w:cs="Arial"/>
          <w:color w:val="000000" w:themeColor="text1"/>
          <w:highlight w:val="yellow"/>
        </w:rPr>
        <w:t>Reorganisation</w:t>
      </w:r>
      <w:proofErr w:type="spellEnd"/>
      <w:r w:rsidR="00C95C7E" w:rsidRPr="008E3154">
        <w:rPr>
          <w:rFonts w:cs="Arial"/>
          <w:color w:val="000000" w:themeColor="text1"/>
          <w:highlight w:val="yellow"/>
        </w:rPr>
        <w:t xml:space="preserve"> Act of 1973</w:t>
      </w:r>
      <w:r w:rsidR="00184662" w:rsidRPr="008E3154">
        <w:rPr>
          <w:rFonts w:cs="Arial"/>
          <w:color w:val="000000" w:themeColor="text1"/>
        </w:rPr>
        <w:t xml:space="preserve"> (which came into effect in April 1974) whereby family planning became a normal </w:t>
      </w:r>
      <w:r w:rsidR="007C2FE8" w:rsidRPr="008E3154">
        <w:rPr>
          <w:rFonts w:cs="Arial"/>
          <w:color w:val="000000" w:themeColor="text1"/>
        </w:rPr>
        <w:t xml:space="preserve">NHS service provided by </w:t>
      </w:r>
      <w:r w:rsidR="002C43A0" w:rsidRPr="008E3154">
        <w:rPr>
          <w:rFonts w:cs="Arial"/>
          <w:color w:val="000000" w:themeColor="text1"/>
        </w:rPr>
        <w:t>GPs, hospitals and clinics.</w:t>
      </w:r>
      <w:r w:rsidR="006D6388" w:rsidRPr="008E3154">
        <w:rPr>
          <w:rStyle w:val="FootnoteReference"/>
          <w:rFonts w:cs="Arial"/>
          <w:color w:val="000000" w:themeColor="text1"/>
        </w:rPr>
        <w:footnoteReference w:id="72"/>
      </w:r>
    </w:p>
    <w:p w14:paraId="13144E12" w14:textId="743B4964" w:rsidR="007C5F8E" w:rsidRPr="008E3154" w:rsidRDefault="00731FED" w:rsidP="008251AA">
      <w:pPr>
        <w:spacing w:line="480" w:lineRule="auto"/>
        <w:ind w:firstLine="720"/>
        <w:rPr>
          <w:rFonts w:cs="Arial"/>
          <w:color w:val="000000" w:themeColor="text1"/>
        </w:rPr>
      </w:pPr>
      <w:r w:rsidRPr="008E3154">
        <w:rPr>
          <w:rFonts w:cs="Arial"/>
          <w:color w:val="000000" w:themeColor="text1"/>
        </w:rPr>
        <w:t xml:space="preserve">A second gap in </w:t>
      </w:r>
      <w:r w:rsidR="00677CF8" w:rsidRPr="008E3154">
        <w:rPr>
          <w:rFonts w:cs="Arial"/>
          <w:color w:val="000000" w:themeColor="text1"/>
        </w:rPr>
        <w:t xml:space="preserve">women’s </w:t>
      </w:r>
      <w:r w:rsidRPr="008E3154">
        <w:rPr>
          <w:rFonts w:cs="Arial"/>
          <w:color w:val="000000" w:themeColor="text1"/>
        </w:rPr>
        <w:t>healthcare</w:t>
      </w:r>
      <w:r w:rsidR="00677CF8" w:rsidRPr="008E3154">
        <w:rPr>
          <w:rFonts w:cs="Arial"/>
          <w:color w:val="000000" w:themeColor="text1"/>
        </w:rPr>
        <w:t xml:space="preserve"> provision</w:t>
      </w:r>
      <w:r w:rsidRPr="008E3154">
        <w:rPr>
          <w:rFonts w:cs="Arial"/>
          <w:color w:val="000000" w:themeColor="text1"/>
        </w:rPr>
        <w:t xml:space="preserve"> </w:t>
      </w:r>
      <w:r w:rsidR="009B3B7B" w:rsidRPr="008E3154">
        <w:rPr>
          <w:rFonts w:cs="Arial"/>
          <w:color w:val="000000" w:themeColor="text1"/>
        </w:rPr>
        <w:t xml:space="preserve">identified by the </w:t>
      </w:r>
      <w:r w:rsidR="009B3B7B" w:rsidRPr="008E3154">
        <w:rPr>
          <w:rFonts w:cs="Arial"/>
          <w:color w:val="000000" w:themeColor="text1"/>
          <w:highlight w:val="yellow"/>
        </w:rPr>
        <w:t>NFWI</w:t>
      </w:r>
      <w:r w:rsidR="009B3B7B" w:rsidRPr="008E3154">
        <w:rPr>
          <w:rFonts w:cs="Arial"/>
          <w:color w:val="000000" w:themeColor="text1"/>
        </w:rPr>
        <w:t xml:space="preserve"> </w:t>
      </w:r>
      <w:r w:rsidRPr="008E3154">
        <w:rPr>
          <w:rFonts w:cs="Arial"/>
          <w:color w:val="000000" w:themeColor="text1"/>
        </w:rPr>
        <w:t xml:space="preserve">was the absence of </w:t>
      </w:r>
      <w:r w:rsidR="000E0B19" w:rsidRPr="008E3154">
        <w:rPr>
          <w:rFonts w:cs="Arial"/>
          <w:color w:val="000000" w:themeColor="text1"/>
        </w:rPr>
        <w:t xml:space="preserve">a nationwide and comprehensive service for </w:t>
      </w:r>
      <w:r w:rsidR="000E0B19" w:rsidRPr="008E3154">
        <w:rPr>
          <w:rFonts w:cs="Arial"/>
          <w:color w:val="000000" w:themeColor="text1"/>
          <w:highlight w:val="yellow"/>
        </w:rPr>
        <w:t>cervical cancer screening</w:t>
      </w:r>
      <w:r w:rsidR="000E0B19" w:rsidRPr="008E3154">
        <w:rPr>
          <w:rFonts w:cs="Arial"/>
          <w:color w:val="000000" w:themeColor="text1"/>
        </w:rPr>
        <w:t xml:space="preserve">. </w:t>
      </w:r>
      <w:r w:rsidR="00504F65" w:rsidRPr="008E3154">
        <w:rPr>
          <w:rFonts w:cs="Arial"/>
          <w:color w:val="000000" w:themeColor="text1"/>
        </w:rPr>
        <w:t xml:space="preserve">In 1964 the Whitchurch on Thames WI (Berkshire) </w:t>
      </w:r>
      <w:r w:rsidR="004370FF" w:rsidRPr="008E3154">
        <w:rPr>
          <w:rFonts w:cs="Arial"/>
          <w:color w:val="000000" w:themeColor="text1"/>
        </w:rPr>
        <w:t>had moved a resolution urging the government to “treat as a matter of urgency, the provision of comprehens</w:t>
      </w:r>
      <w:r w:rsidR="00B04A76" w:rsidRPr="008E3154">
        <w:rPr>
          <w:rFonts w:cs="Arial"/>
          <w:color w:val="000000" w:themeColor="text1"/>
        </w:rPr>
        <w:t xml:space="preserve">ive facilities for routine smear tests for </w:t>
      </w:r>
      <w:r w:rsidR="00B04A76" w:rsidRPr="008E3154">
        <w:rPr>
          <w:rFonts w:cs="Arial"/>
          <w:color w:val="000000" w:themeColor="text1"/>
          <w:highlight w:val="yellow"/>
        </w:rPr>
        <w:t>cervical cancer</w:t>
      </w:r>
      <w:r w:rsidR="00B04A76" w:rsidRPr="008E3154">
        <w:rPr>
          <w:rFonts w:cs="Arial"/>
          <w:color w:val="000000" w:themeColor="text1"/>
        </w:rPr>
        <w:t>”.</w:t>
      </w:r>
      <w:r w:rsidR="00B04A76" w:rsidRPr="008E3154">
        <w:rPr>
          <w:rStyle w:val="FootnoteReference"/>
          <w:rFonts w:cs="Arial"/>
          <w:color w:val="000000" w:themeColor="text1"/>
        </w:rPr>
        <w:footnoteReference w:id="73"/>
      </w:r>
      <w:r w:rsidR="004370FF" w:rsidRPr="008E3154">
        <w:rPr>
          <w:rFonts w:cs="Arial"/>
          <w:color w:val="000000" w:themeColor="text1"/>
        </w:rPr>
        <w:t xml:space="preserve"> </w:t>
      </w:r>
      <w:r w:rsidR="006C3E6B" w:rsidRPr="008E3154">
        <w:rPr>
          <w:rFonts w:cs="Arial"/>
          <w:color w:val="000000" w:themeColor="text1"/>
        </w:rPr>
        <w:t xml:space="preserve">This issue was regarded as extremely important by </w:t>
      </w:r>
      <w:r w:rsidR="006C3E6B" w:rsidRPr="008E3154">
        <w:rPr>
          <w:rFonts w:cs="Arial"/>
          <w:color w:val="000000" w:themeColor="text1"/>
          <w:highlight w:val="yellow"/>
        </w:rPr>
        <w:t>hous</w:t>
      </w:r>
      <w:r w:rsidR="009B099D" w:rsidRPr="008E3154">
        <w:rPr>
          <w:rFonts w:cs="Arial"/>
          <w:color w:val="000000" w:themeColor="text1"/>
          <w:highlight w:val="yellow"/>
        </w:rPr>
        <w:t>ewives’ associations</w:t>
      </w:r>
      <w:r w:rsidR="009B099D" w:rsidRPr="008E3154">
        <w:rPr>
          <w:rFonts w:cs="Arial"/>
          <w:color w:val="000000" w:themeColor="text1"/>
        </w:rPr>
        <w:t xml:space="preserve"> as it was believed that </w:t>
      </w:r>
      <w:r w:rsidR="006C3E6B" w:rsidRPr="008E3154">
        <w:rPr>
          <w:rFonts w:cs="Arial"/>
          <w:color w:val="000000" w:themeColor="text1"/>
        </w:rPr>
        <w:t>older women</w:t>
      </w:r>
      <w:r w:rsidR="009B099D" w:rsidRPr="008E3154">
        <w:rPr>
          <w:rFonts w:cs="Arial"/>
          <w:color w:val="000000" w:themeColor="text1"/>
        </w:rPr>
        <w:t>,</w:t>
      </w:r>
      <w:r w:rsidR="006C3E6B" w:rsidRPr="008E3154">
        <w:rPr>
          <w:rFonts w:cs="Arial"/>
          <w:color w:val="000000" w:themeColor="text1"/>
        </w:rPr>
        <w:t xml:space="preserve"> and women with three or more children were more likely to </w:t>
      </w:r>
      <w:r w:rsidR="009B099D" w:rsidRPr="008E3154">
        <w:rPr>
          <w:rFonts w:cs="Arial"/>
          <w:color w:val="000000" w:themeColor="text1"/>
        </w:rPr>
        <w:t xml:space="preserve">be affected. Reflecting this </w:t>
      </w:r>
      <w:r w:rsidR="001A170C" w:rsidRPr="008E3154">
        <w:rPr>
          <w:rFonts w:cs="Arial"/>
          <w:color w:val="000000" w:themeColor="text1"/>
        </w:rPr>
        <w:t xml:space="preserve">the </w:t>
      </w:r>
      <w:r w:rsidR="001A170C" w:rsidRPr="008E3154">
        <w:rPr>
          <w:rFonts w:cs="Arial"/>
          <w:color w:val="000000" w:themeColor="text1"/>
          <w:highlight w:val="yellow"/>
        </w:rPr>
        <w:t>TG</w:t>
      </w:r>
      <w:r w:rsidR="001A170C" w:rsidRPr="008E3154">
        <w:rPr>
          <w:rFonts w:cs="Arial"/>
          <w:color w:val="000000" w:themeColor="text1"/>
        </w:rPr>
        <w:t xml:space="preserve"> </w:t>
      </w:r>
      <w:r w:rsidR="00164504" w:rsidRPr="008E3154">
        <w:rPr>
          <w:rFonts w:cs="Arial"/>
          <w:color w:val="000000" w:themeColor="text1"/>
        </w:rPr>
        <w:t>passed its own resolution</w:t>
      </w:r>
      <w:r w:rsidR="001A170C" w:rsidRPr="008E3154">
        <w:rPr>
          <w:rFonts w:cs="Arial"/>
          <w:color w:val="000000" w:themeColor="text1"/>
        </w:rPr>
        <w:t xml:space="preserve"> the same year</w:t>
      </w:r>
      <w:r w:rsidR="00164504" w:rsidRPr="008E3154">
        <w:rPr>
          <w:rFonts w:cs="Arial"/>
          <w:color w:val="000000" w:themeColor="text1"/>
        </w:rPr>
        <w:t xml:space="preserve"> </w:t>
      </w:r>
      <w:r w:rsidR="001A170C" w:rsidRPr="008E3154">
        <w:rPr>
          <w:rFonts w:cs="Arial"/>
          <w:color w:val="000000" w:themeColor="text1"/>
        </w:rPr>
        <w:t xml:space="preserve">calling </w:t>
      </w:r>
      <w:r w:rsidR="00577D9A" w:rsidRPr="008E3154">
        <w:rPr>
          <w:rFonts w:cs="Arial"/>
          <w:color w:val="000000" w:themeColor="text1"/>
        </w:rPr>
        <w:t>for comprehensive facilities</w:t>
      </w:r>
      <w:r w:rsidR="00232E58" w:rsidRPr="008E3154">
        <w:rPr>
          <w:rFonts w:cs="Arial"/>
          <w:color w:val="000000" w:themeColor="text1"/>
        </w:rPr>
        <w:t xml:space="preserve"> for routine smear tests and “especially training of technicians to interpret the tests and the service to be made </w:t>
      </w:r>
      <w:r w:rsidR="00774998" w:rsidRPr="008E3154">
        <w:rPr>
          <w:rFonts w:cs="Arial"/>
          <w:color w:val="000000" w:themeColor="text1"/>
        </w:rPr>
        <w:t>more widely known”.</w:t>
      </w:r>
      <w:r w:rsidR="00774998" w:rsidRPr="008E3154">
        <w:rPr>
          <w:rStyle w:val="FootnoteReference"/>
          <w:rFonts w:cs="Arial"/>
          <w:color w:val="000000" w:themeColor="text1"/>
        </w:rPr>
        <w:footnoteReference w:id="74"/>
      </w:r>
      <w:r w:rsidR="003B30E7" w:rsidRPr="008E3154">
        <w:rPr>
          <w:rFonts w:cs="Arial"/>
          <w:color w:val="000000" w:themeColor="text1"/>
        </w:rPr>
        <w:t xml:space="preserve"> </w:t>
      </w:r>
    </w:p>
    <w:p w14:paraId="6E68CBF4" w14:textId="2623173E" w:rsidR="000E0B19" w:rsidRPr="008E3154" w:rsidRDefault="00342537" w:rsidP="001D1B98">
      <w:pPr>
        <w:spacing w:line="480" w:lineRule="auto"/>
        <w:ind w:firstLine="720"/>
        <w:rPr>
          <w:rFonts w:cs="Arial"/>
          <w:color w:val="000000" w:themeColor="text1"/>
        </w:rPr>
      </w:pPr>
      <w:r w:rsidRPr="008E3154">
        <w:rPr>
          <w:rFonts w:cs="Arial"/>
          <w:color w:val="000000" w:themeColor="text1"/>
        </w:rPr>
        <w:t>Eight</w:t>
      </w:r>
      <w:r w:rsidR="00A94C67" w:rsidRPr="008E3154">
        <w:rPr>
          <w:rFonts w:cs="Arial"/>
          <w:color w:val="000000" w:themeColor="text1"/>
        </w:rPr>
        <w:t xml:space="preserve"> years later the NFWI</w:t>
      </w:r>
      <w:r w:rsidR="008251AA" w:rsidRPr="008E3154">
        <w:rPr>
          <w:rFonts w:cs="Arial"/>
          <w:color w:val="000000" w:themeColor="text1"/>
        </w:rPr>
        <w:t xml:space="preserve"> </w:t>
      </w:r>
      <w:r w:rsidR="00B93526" w:rsidRPr="008E3154">
        <w:rPr>
          <w:rFonts w:cs="Arial"/>
          <w:color w:val="000000" w:themeColor="text1"/>
        </w:rPr>
        <w:t xml:space="preserve">remained </w:t>
      </w:r>
      <w:r w:rsidR="008936BE" w:rsidRPr="008E3154">
        <w:rPr>
          <w:rFonts w:cs="Arial"/>
          <w:color w:val="000000" w:themeColor="text1"/>
        </w:rPr>
        <w:t xml:space="preserve">just as </w:t>
      </w:r>
      <w:r w:rsidR="00B93526" w:rsidRPr="008E3154">
        <w:rPr>
          <w:rFonts w:cs="Arial"/>
          <w:color w:val="000000" w:themeColor="text1"/>
        </w:rPr>
        <w:t>concerned</w:t>
      </w:r>
      <w:r w:rsidR="00A94C67" w:rsidRPr="008E3154">
        <w:rPr>
          <w:rFonts w:cs="Arial"/>
          <w:color w:val="000000" w:themeColor="text1"/>
        </w:rPr>
        <w:t xml:space="preserve"> about </w:t>
      </w:r>
      <w:r w:rsidR="00A94C67" w:rsidRPr="008E3154">
        <w:rPr>
          <w:rFonts w:cs="Arial"/>
          <w:color w:val="000000" w:themeColor="text1"/>
          <w:highlight w:val="yellow"/>
        </w:rPr>
        <w:t>cervical cancer</w:t>
      </w:r>
      <w:r w:rsidR="00A94C67" w:rsidRPr="008E3154">
        <w:rPr>
          <w:rFonts w:cs="Arial"/>
          <w:color w:val="000000" w:themeColor="text1"/>
        </w:rPr>
        <w:t xml:space="preserve"> prevention</w:t>
      </w:r>
      <w:r w:rsidR="00444B10" w:rsidRPr="008E3154">
        <w:rPr>
          <w:rFonts w:cs="Arial"/>
          <w:color w:val="000000" w:themeColor="text1"/>
        </w:rPr>
        <w:t xml:space="preserve"> and the need for an effective national screening service</w:t>
      </w:r>
      <w:r w:rsidR="001A3FDB" w:rsidRPr="008E3154">
        <w:rPr>
          <w:rFonts w:cs="Arial"/>
          <w:color w:val="000000" w:themeColor="text1"/>
        </w:rPr>
        <w:t xml:space="preserve">. </w:t>
      </w:r>
      <w:r w:rsidRPr="008E3154">
        <w:rPr>
          <w:rFonts w:cs="Arial"/>
          <w:color w:val="000000" w:themeColor="text1"/>
        </w:rPr>
        <w:t xml:space="preserve">In 1972 </w:t>
      </w:r>
      <w:r w:rsidR="008936BE" w:rsidRPr="008E3154">
        <w:rPr>
          <w:rFonts w:cs="Arial"/>
          <w:color w:val="000000" w:themeColor="text1"/>
        </w:rPr>
        <w:t xml:space="preserve">it was reported that </w:t>
      </w:r>
      <w:r w:rsidR="00B93526" w:rsidRPr="008E3154">
        <w:rPr>
          <w:rFonts w:cs="Arial"/>
          <w:color w:val="000000" w:themeColor="text1"/>
        </w:rPr>
        <w:t>the movement</w:t>
      </w:r>
      <w:r w:rsidR="002847D4" w:rsidRPr="008E3154">
        <w:rPr>
          <w:rFonts w:cs="Arial"/>
          <w:color w:val="000000" w:themeColor="text1"/>
        </w:rPr>
        <w:t xml:space="preserve"> was represented on the </w:t>
      </w:r>
      <w:r w:rsidR="002847D4" w:rsidRPr="008E3154">
        <w:rPr>
          <w:rFonts w:cs="Arial"/>
          <w:color w:val="000000" w:themeColor="text1"/>
          <w:highlight w:val="yellow"/>
        </w:rPr>
        <w:t>Women’s National Cancer Control Campaign</w:t>
      </w:r>
      <w:r w:rsidR="00FC2B55" w:rsidRPr="008E3154">
        <w:rPr>
          <w:rFonts w:cs="Arial"/>
          <w:color w:val="000000" w:themeColor="text1"/>
        </w:rPr>
        <w:t>,</w:t>
      </w:r>
      <w:r w:rsidR="00C269DA" w:rsidRPr="008E3154">
        <w:rPr>
          <w:rFonts w:cs="Arial"/>
          <w:color w:val="000000" w:themeColor="text1"/>
        </w:rPr>
        <w:t xml:space="preserve"> set up</w:t>
      </w:r>
      <w:r w:rsidR="00444B10" w:rsidRPr="008E3154">
        <w:rPr>
          <w:rFonts w:cs="Arial"/>
          <w:color w:val="000000" w:themeColor="text1"/>
        </w:rPr>
        <w:t xml:space="preserve"> to </w:t>
      </w:r>
      <w:r w:rsidR="00AB7DC6" w:rsidRPr="008E3154">
        <w:rPr>
          <w:rFonts w:cs="Arial"/>
          <w:color w:val="000000" w:themeColor="text1"/>
        </w:rPr>
        <w:t>lobby government on this issue</w:t>
      </w:r>
      <w:r w:rsidR="00A94C67" w:rsidRPr="008E3154">
        <w:rPr>
          <w:rFonts w:cs="Arial"/>
          <w:color w:val="000000" w:themeColor="text1"/>
        </w:rPr>
        <w:t>.</w:t>
      </w:r>
      <w:r w:rsidR="00AB7DC6" w:rsidRPr="008E3154">
        <w:rPr>
          <w:rStyle w:val="FootnoteReference"/>
          <w:rFonts w:cs="Arial"/>
          <w:color w:val="000000" w:themeColor="text1"/>
        </w:rPr>
        <w:footnoteReference w:id="75"/>
      </w:r>
      <w:r w:rsidR="00A94C67" w:rsidRPr="008E3154">
        <w:rPr>
          <w:rFonts w:cs="Arial"/>
          <w:color w:val="000000" w:themeColor="text1"/>
        </w:rPr>
        <w:t xml:space="preserve"> </w:t>
      </w:r>
      <w:r w:rsidR="005613DC" w:rsidRPr="008E3154">
        <w:rPr>
          <w:rFonts w:cs="Arial"/>
          <w:color w:val="000000" w:themeColor="text1"/>
        </w:rPr>
        <w:t>As part of efforts to promote screening among members, l</w:t>
      </w:r>
      <w:r w:rsidR="002847D4" w:rsidRPr="008E3154">
        <w:rPr>
          <w:rFonts w:cs="Arial"/>
          <w:color w:val="000000" w:themeColor="text1"/>
        </w:rPr>
        <w:t xml:space="preserve">ocal </w:t>
      </w:r>
      <w:r w:rsidR="00081981" w:rsidRPr="008E3154">
        <w:rPr>
          <w:rFonts w:cs="Arial"/>
          <w:color w:val="000000" w:themeColor="text1"/>
        </w:rPr>
        <w:t xml:space="preserve">WI </w:t>
      </w:r>
      <w:r w:rsidR="002847D4" w:rsidRPr="008E3154">
        <w:rPr>
          <w:rFonts w:cs="Arial"/>
          <w:color w:val="000000" w:themeColor="text1"/>
        </w:rPr>
        <w:lastRenderedPageBreak/>
        <w:t>branches were</w:t>
      </w:r>
      <w:r w:rsidR="00081981" w:rsidRPr="008E3154">
        <w:rPr>
          <w:rFonts w:cs="Arial"/>
          <w:color w:val="000000" w:themeColor="text1"/>
        </w:rPr>
        <w:t xml:space="preserve"> sent information about </w:t>
      </w:r>
      <w:r w:rsidR="00081981" w:rsidRPr="008E3154">
        <w:rPr>
          <w:rFonts w:cs="Arial"/>
          <w:color w:val="000000" w:themeColor="text1"/>
          <w:highlight w:val="yellow"/>
        </w:rPr>
        <w:t>cervical cancer</w:t>
      </w:r>
      <w:r w:rsidR="00081981" w:rsidRPr="008E3154">
        <w:rPr>
          <w:rFonts w:cs="Arial"/>
          <w:color w:val="000000" w:themeColor="text1"/>
        </w:rPr>
        <w:t xml:space="preserve"> </w:t>
      </w:r>
      <w:r w:rsidR="00C269DA" w:rsidRPr="008E3154">
        <w:rPr>
          <w:rFonts w:cs="Arial"/>
          <w:color w:val="000000" w:themeColor="text1"/>
        </w:rPr>
        <w:t xml:space="preserve">prevention </w:t>
      </w:r>
      <w:r w:rsidR="00081981" w:rsidRPr="008E3154">
        <w:rPr>
          <w:rFonts w:cs="Arial"/>
          <w:color w:val="000000" w:themeColor="text1"/>
        </w:rPr>
        <w:t>and</w:t>
      </w:r>
      <w:r w:rsidR="00B162A0" w:rsidRPr="008E3154">
        <w:rPr>
          <w:rFonts w:cs="Arial"/>
          <w:color w:val="000000" w:themeColor="text1"/>
        </w:rPr>
        <w:t xml:space="preserve"> </w:t>
      </w:r>
      <w:r w:rsidR="00C269DA" w:rsidRPr="008E3154">
        <w:rPr>
          <w:rFonts w:cs="Arial"/>
          <w:color w:val="000000" w:themeColor="text1"/>
        </w:rPr>
        <w:t xml:space="preserve">about </w:t>
      </w:r>
      <w:r w:rsidR="00B162A0" w:rsidRPr="008E3154">
        <w:rPr>
          <w:rFonts w:cs="Arial"/>
          <w:color w:val="000000" w:themeColor="text1"/>
        </w:rPr>
        <w:t xml:space="preserve">the British United Provident Association </w:t>
      </w:r>
      <w:r w:rsidR="00C673A7" w:rsidRPr="008E3154">
        <w:rPr>
          <w:rFonts w:cs="Arial"/>
          <w:color w:val="000000" w:themeColor="text1"/>
        </w:rPr>
        <w:t>(BUPA)</w:t>
      </w:r>
      <w:r w:rsidR="00B162A0" w:rsidRPr="008E3154">
        <w:rPr>
          <w:rFonts w:cs="Arial"/>
          <w:color w:val="000000" w:themeColor="text1"/>
        </w:rPr>
        <w:t xml:space="preserve"> </w:t>
      </w:r>
      <w:r w:rsidR="00913B85" w:rsidRPr="008E3154">
        <w:rPr>
          <w:rFonts w:cs="Arial"/>
          <w:color w:val="000000" w:themeColor="text1"/>
        </w:rPr>
        <w:t>Medical Centr</w:t>
      </w:r>
      <w:r w:rsidR="00846C02" w:rsidRPr="008E3154">
        <w:rPr>
          <w:rFonts w:cs="Arial"/>
          <w:color w:val="000000" w:themeColor="text1"/>
        </w:rPr>
        <w:t>e</w:t>
      </w:r>
      <w:r w:rsidR="00913B85" w:rsidRPr="008E3154">
        <w:rPr>
          <w:rFonts w:cs="Arial"/>
          <w:color w:val="000000" w:themeColor="text1"/>
        </w:rPr>
        <w:t xml:space="preserve"> transportabl</w:t>
      </w:r>
      <w:r w:rsidR="002C6D56" w:rsidRPr="008E3154">
        <w:rPr>
          <w:rFonts w:cs="Arial"/>
          <w:color w:val="000000" w:themeColor="text1"/>
        </w:rPr>
        <w:t>e unit for cervical smear testing</w:t>
      </w:r>
      <w:r w:rsidR="00913B85" w:rsidRPr="008E3154">
        <w:rPr>
          <w:rFonts w:cs="Arial"/>
          <w:color w:val="000000" w:themeColor="text1"/>
        </w:rPr>
        <w:t xml:space="preserve">. </w:t>
      </w:r>
      <w:r w:rsidR="001D1B98" w:rsidRPr="008E3154">
        <w:rPr>
          <w:rFonts w:cs="Arial"/>
          <w:color w:val="000000" w:themeColor="text1"/>
        </w:rPr>
        <w:t>T</w:t>
      </w:r>
      <w:r w:rsidR="002C6D56" w:rsidRPr="008E3154">
        <w:rPr>
          <w:rFonts w:cs="Arial"/>
          <w:color w:val="000000" w:themeColor="text1"/>
        </w:rPr>
        <w:t xml:space="preserve">he national </w:t>
      </w:r>
      <w:r w:rsidR="00553483" w:rsidRPr="008E3154">
        <w:rPr>
          <w:rFonts w:cs="Arial"/>
          <w:color w:val="000000" w:themeColor="text1"/>
        </w:rPr>
        <w:t>Public Affairs Sub-Committee</w:t>
      </w:r>
      <w:r w:rsidR="002C6D56" w:rsidRPr="008E3154">
        <w:rPr>
          <w:rFonts w:cs="Arial"/>
          <w:color w:val="000000" w:themeColor="text1"/>
        </w:rPr>
        <w:t>,</w:t>
      </w:r>
      <w:r w:rsidR="00553483" w:rsidRPr="008E3154">
        <w:rPr>
          <w:rFonts w:cs="Arial"/>
          <w:color w:val="000000" w:themeColor="text1"/>
        </w:rPr>
        <w:t xml:space="preserve"> meet</w:t>
      </w:r>
      <w:r w:rsidR="00E90158" w:rsidRPr="008E3154">
        <w:rPr>
          <w:rFonts w:cs="Arial"/>
          <w:color w:val="000000" w:themeColor="text1"/>
        </w:rPr>
        <w:t>ing in December</w:t>
      </w:r>
      <w:r w:rsidR="001D1B98" w:rsidRPr="008E3154">
        <w:rPr>
          <w:rFonts w:cs="Arial"/>
          <w:color w:val="000000" w:themeColor="text1"/>
        </w:rPr>
        <w:t xml:space="preserve"> 1973</w:t>
      </w:r>
      <w:r w:rsidR="002C6D56" w:rsidRPr="008E3154">
        <w:rPr>
          <w:rFonts w:cs="Arial"/>
          <w:color w:val="000000" w:themeColor="text1"/>
        </w:rPr>
        <w:t>,</w:t>
      </w:r>
      <w:r w:rsidR="001D1B98" w:rsidRPr="008E3154">
        <w:rPr>
          <w:rFonts w:cs="Arial"/>
          <w:color w:val="000000" w:themeColor="text1"/>
        </w:rPr>
        <w:t xml:space="preserve"> reported that local</w:t>
      </w:r>
      <w:r w:rsidR="000E0B19" w:rsidRPr="008E3154">
        <w:rPr>
          <w:rFonts w:cs="Arial"/>
          <w:color w:val="000000" w:themeColor="text1"/>
        </w:rPr>
        <w:t xml:space="preserve"> </w:t>
      </w:r>
      <w:r w:rsidR="00846C02" w:rsidRPr="008E3154">
        <w:rPr>
          <w:rFonts w:cs="Arial"/>
          <w:color w:val="000000" w:themeColor="text1"/>
        </w:rPr>
        <w:t xml:space="preserve">WI </w:t>
      </w:r>
      <w:r w:rsidR="000E0B19" w:rsidRPr="008E3154">
        <w:rPr>
          <w:rFonts w:cs="Arial"/>
          <w:color w:val="000000" w:themeColor="text1"/>
        </w:rPr>
        <w:t xml:space="preserve">members were directly supporting </w:t>
      </w:r>
      <w:r w:rsidR="00846C02" w:rsidRPr="008E3154">
        <w:rPr>
          <w:rFonts w:cs="Arial"/>
          <w:color w:val="000000" w:themeColor="text1"/>
        </w:rPr>
        <w:t>screening work</w:t>
      </w:r>
      <w:r w:rsidR="00C269DA" w:rsidRPr="008E3154">
        <w:rPr>
          <w:rFonts w:cs="Arial"/>
          <w:color w:val="000000" w:themeColor="text1"/>
        </w:rPr>
        <w:t xml:space="preserve"> in their local areas. For example</w:t>
      </w:r>
      <w:r w:rsidR="00E90158" w:rsidRPr="008E3154">
        <w:rPr>
          <w:rFonts w:cs="Arial"/>
          <w:color w:val="000000" w:themeColor="text1"/>
        </w:rPr>
        <w:t xml:space="preserve"> </w:t>
      </w:r>
      <w:r w:rsidR="00C269DA" w:rsidRPr="008E3154">
        <w:rPr>
          <w:rFonts w:cs="Arial"/>
          <w:color w:val="000000" w:themeColor="text1"/>
        </w:rPr>
        <w:t>in Westmoreland a</w:t>
      </w:r>
      <w:r w:rsidR="001F024A" w:rsidRPr="008E3154">
        <w:rPr>
          <w:rFonts w:cs="Arial"/>
          <w:color w:val="000000" w:themeColor="text1"/>
        </w:rPr>
        <w:t xml:space="preserve"> </w:t>
      </w:r>
      <w:r w:rsidR="00237CA0" w:rsidRPr="008E3154">
        <w:rPr>
          <w:rFonts w:cs="Arial"/>
          <w:color w:val="000000" w:themeColor="text1"/>
        </w:rPr>
        <w:t xml:space="preserve">mobile </w:t>
      </w:r>
      <w:r w:rsidR="001F024A" w:rsidRPr="008E3154">
        <w:rPr>
          <w:rFonts w:cs="Arial"/>
          <w:color w:val="000000" w:themeColor="text1"/>
        </w:rPr>
        <w:t>caravan</w:t>
      </w:r>
      <w:r w:rsidR="00237CA0" w:rsidRPr="008E3154">
        <w:rPr>
          <w:rFonts w:cs="Arial"/>
          <w:color w:val="000000" w:themeColor="text1"/>
        </w:rPr>
        <w:t xml:space="preserve">, </w:t>
      </w:r>
      <w:r w:rsidR="001F024A" w:rsidRPr="008E3154">
        <w:rPr>
          <w:rFonts w:cs="Arial"/>
          <w:color w:val="000000" w:themeColor="text1"/>
        </w:rPr>
        <w:t>staffed by a doctor, nurse and a clerical assistant</w:t>
      </w:r>
      <w:r w:rsidR="00846C02" w:rsidRPr="008E3154">
        <w:rPr>
          <w:rFonts w:cs="Arial"/>
          <w:color w:val="000000" w:themeColor="text1"/>
        </w:rPr>
        <w:t>,</w:t>
      </w:r>
      <w:r w:rsidR="00237CA0" w:rsidRPr="008E3154">
        <w:rPr>
          <w:rFonts w:cs="Arial"/>
          <w:color w:val="000000" w:themeColor="text1"/>
        </w:rPr>
        <w:t xml:space="preserve"> tested </w:t>
      </w:r>
      <w:r w:rsidR="00F403E0" w:rsidRPr="008E3154">
        <w:rPr>
          <w:rFonts w:cs="Arial"/>
          <w:color w:val="000000" w:themeColor="text1"/>
        </w:rPr>
        <w:t>2000 women in 14 days with the support of local</w:t>
      </w:r>
      <w:r w:rsidR="001F024A" w:rsidRPr="008E3154">
        <w:rPr>
          <w:rFonts w:cs="Arial"/>
          <w:color w:val="000000" w:themeColor="text1"/>
        </w:rPr>
        <w:t xml:space="preserve"> institute memb</w:t>
      </w:r>
      <w:r w:rsidR="00237CA0" w:rsidRPr="008E3154">
        <w:rPr>
          <w:rFonts w:cs="Arial"/>
          <w:color w:val="000000" w:themeColor="text1"/>
        </w:rPr>
        <w:t xml:space="preserve">ers </w:t>
      </w:r>
      <w:r w:rsidR="00F403E0" w:rsidRPr="008E3154">
        <w:rPr>
          <w:rFonts w:cs="Arial"/>
          <w:color w:val="000000" w:themeColor="text1"/>
        </w:rPr>
        <w:t>who had done “</w:t>
      </w:r>
      <w:r w:rsidR="00A85866" w:rsidRPr="008E3154">
        <w:rPr>
          <w:rFonts w:cs="Arial"/>
          <w:color w:val="000000" w:themeColor="text1"/>
        </w:rPr>
        <w:t>all the publicity, and did all the arranging, before and during the visits”.</w:t>
      </w:r>
      <w:r w:rsidR="00E41CED" w:rsidRPr="008E3154">
        <w:rPr>
          <w:rStyle w:val="FootnoteReference"/>
          <w:rFonts w:cs="Arial"/>
          <w:color w:val="000000" w:themeColor="text1"/>
        </w:rPr>
        <w:footnoteReference w:id="76"/>
      </w:r>
      <w:r w:rsidR="00237CA0" w:rsidRPr="008E3154">
        <w:rPr>
          <w:rFonts w:cs="Arial"/>
          <w:color w:val="000000" w:themeColor="text1"/>
        </w:rPr>
        <w:t xml:space="preserve"> </w:t>
      </w:r>
    </w:p>
    <w:p w14:paraId="1A39E6DD" w14:textId="5D15BABC" w:rsidR="000E0B19" w:rsidRPr="008E3154" w:rsidRDefault="003B0559" w:rsidP="00C16A16">
      <w:pPr>
        <w:spacing w:line="480" w:lineRule="auto"/>
        <w:ind w:firstLine="720"/>
        <w:rPr>
          <w:rFonts w:cs="Arial"/>
          <w:color w:val="000000" w:themeColor="text1"/>
        </w:rPr>
      </w:pPr>
      <w:r w:rsidRPr="00935D7F">
        <w:rPr>
          <w:rFonts w:cs="Arial"/>
          <w:color w:val="000000" w:themeColor="text1"/>
          <w:highlight w:val="yellow"/>
        </w:rPr>
        <w:t>A</w:t>
      </w:r>
      <w:r w:rsidR="005053BF" w:rsidRPr="00935D7F">
        <w:rPr>
          <w:rFonts w:cs="Arial"/>
          <w:color w:val="000000" w:themeColor="text1"/>
          <w:highlight w:val="yellow"/>
        </w:rPr>
        <w:t>ctivism</w:t>
      </w:r>
      <w:r w:rsidR="005053BF" w:rsidRPr="008E3154">
        <w:rPr>
          <w:rFonts w:cs="Arial"/>
          <w:color w:val="000000" w:themeColor="text1"/>
        </w:rPr>
        <w:t xml:space="preserve"> around </w:t>
      </w:r>
      <w:r w:rsidR="005053BF" w:rsidRPr="00935D7F">
        <w:rPr>
          <w:rFonts w:cs="Arial"/>
          <w:color w:val="000000" w:themeColor="text1"/>
          <w:highlight w:val="yellow"/>
        </w:rPr>
        <w:t>welfare</w:t>
      </w:r>
      <w:r w:rsidR="005053BF" w:rsidRPr="008E3154">
        <w:rPr>
          <w:rFonts w:cs="Arial"/>
          <w:color w:val="000000" w:themeColor="text1"/>
        </w:rPr>
        <w:t>, particularly with regards to</w:t>
      </w:r>
      <w:r w:rsidR="0087394C" w:rsidRPr="008E3154">
        <w:rPr>
          <w:rFonts w:cs="Arial"/>
          <w:color w:val="000000" w:themeColor="text1"/>
        </w:rPr>
        <w:t xml:space="preserve"> women’s everyday financial security,</w:t>
      </w:r>
      <w:r w:rsidR="005053BF" w:rsidRPr="008E3154">
        <w:rPr>
          <w:rFonts w:cs="Arial"/>
          <w:color w:val="000000" w:themeColor="text1"/>
        </w:rPr>
        <w:t xml:space="preserve"> h</w:t>
      </w:r>
      <w:r w:rsidR="00B24D4A" w:rsidRPr="008E3154">
        <w:rPr>
          <w:rFonts w:cs="Arial"/>
          <w:color w:val="000000" w:themeColor="text1"/>
        </w:rPr>
        <w:t xml:space="preserve">ealth and </w:t>
      </w:r>
      <w:r w:rsidR="00B24D4A" w:rsidRPr="008E3154">
        <w:rPr>
          <w:rFonts w:cs="Arial"/>
          <w:color w:val="000000" w:themeColor="text1"/>
          <w:highlight w:val="yellow"/>
        </w:rPr>
        <w:t>wellbeing</w:t>
      </w:r>
      <w:r w:rsidR="00B24D4A" w:rsidRPr="008E3154">
        <w:rPr>
          <w:rFonts w:cs="Arial"/>
          <w:color w:val="000000" w:themeColor="text1"/>
        </w:rPr>
        <w:t xml:space="preserve">, was </w:t>
      </w:r>
      <w:r w:rsidR="005053BF" w:rsidRPr="008E3154">
        <w:rPr>
          <w:rFonts w:cs="Arial"/>
          <w:color w:val="000000" w:themeColor="text1"/>
        </w:rPr>
        <w:t>a key</w:t>
      </w:r>
      <w:r w:rsidRPr="008E3154">
        <w:rPr>
          <w:rFonts w:cs="Arial"/>
          <w:color w:val="000000" w:themeColor="text1"/>
        </w:rPr>
        <w:t xml:space="preserve"> </w:t>
      </w:r>
      <w:r w:rsidR="002978F7" w:rsidRPr="008E3154">
        <w:rPr>
          <w:rFonts w:cs="Arial"/>
          <w:color w:val="000000" w:themeColor="text1"/>
        </w:rPr>
        <w:t xml:space="preserve">undertaking </w:t>
      </w:r>
      <w:r w:rsidR="00314505" w:rsidRPr="008E3154">
        <w:rPr>
          <w:rFonts w:cs="Arial"/>
          <w:color w:val="000000" w:themeColor="text1"/>
        </w:rPr>
        <w:t xml:space="preserve">by the </w:t>
      </w:r>
      <w:r w:rsidR="00314505" w:rsidRPr="008E3154">
        <w:rPr>
          <w:rFonts w:cs="Arial"/>
          <w:color w:val="000000" w:themeColor="text1"/>
          <w:highlight w:val="yellow"/>
        </w:rPr>
        <w:t>NFWI</w:t>
      </w:r>
      <w:r w:rsidR="00314505" w:rsidRPr="008E3154">
        <w:rPr>
          <w:rFonts w:cs="Arial"/>
          <w:color w:val="000000" w:themeColor="text1"/>
        </w:rPr>
        <w:t xml:space="preserve"> throughout the 1960s and 1970s. </w:t>
      </w:r>
      <w:r w:rsidR="002978F7" w:rsidRPr="008E3154">
        <w:rPr>
          <w:rFonts w:cs="Arial"/>
          <w:color w:val="000000" w:themeColor="text1"/>
        </w:rPr>
        <w:t xml:space="preserve">The importance of this task was </w:t>
      </w:r>
      <w:r w:rsidR="0019784F" w:rsidRPr="008E3154">
        <w:rPr>
          <w:rFonts w:cs="Arial"/>
          <w:color w:val="000000" w:themeColor="text1"/>
        </w:rPr>
        <w:t xml:space="preserve">explained to members in the November 1980 edition of the </w:t>
      </w:r>
      <w:r w:rsidR="00C16A16" w:rsidRPr="008E3154">
        <w:rPr>
          <w:rFonts w:cs="Arial"/>
          <w:color w:val="000000" w:themeColor="text1"/>
          <w:highlight w:val="yellow"/>
        </w:rPr>
        <w:t>NF</w:t>
      </w:r>
      <w:r w:rsidR="0019784F" w:rsidRPr="008E3154">
        <w:rPr>
          <w:rFonts w:cs="Arial"/>
          <w:color w:val="000000" w:themeColor="text1"/>
          <w:highlight w:val="yellow"/>
        </w:rPr>
        <w:t>WI</w:t>
      </w:r>
      <w:r w:rsidR="0019784F" w:rsidRPr="008E3154">
        <w:rPr>
          <w:rFonts w:cs="Arial"/>
          <w:color w:val="000000" w:themeColor="text1"/>
        </w:rPr>
        <w:t xml:space="preserve"> magazine </w:t>
      </w:r>
      <w:r w:rsidR="0019784F" w:rsidRPr="00935D7F">
        <w:rPr>
          <w:rFonts w:cs="Arial"/>
          <w:i/>
          <w:color w:val="000000" w:themeColor="text1"/>
          <w:highlight w:val="yellow"/>
        </w:rPr>
        <w:t>Home and Country</w:t>
      </w:r>
      <w:r w:rsidR="0019784F" w:rsidRPr="00935D7F">
        <w:rPr>
          <w:rFonts w:cs="Arial"/>
          <w:color w:val="000000" w:themeColor="text1"/>
          <w:highlight w:val="yellow"/>
        </w:rPr>
        <w:t>.</w:t>
      </w:r>
      <w:r w:rsidR="0019784F" w:rsidRPr="008E3154">
        <w:rPr>
          <w:rFonts w:cs="Arial"/>
          <w:color w:val="000000" w:themeColor="text1"/>
        </w:rPr>
        <w:t xml:space="preserve"> </w:t>
      </w:r>
      <w:r w:rsidR="00C16A16" w:rsidRPr="008E3154">
        <w:rPr>
          <w:rFonts w:cs="Arial"/>
          <w:color w:val="000000" w:themeColor="text1"/>
        </w:rPr>
        <w:t xml:space="preserve">Here the chairman, </w:t>
      </w:r>
      <w:r w:rsidR="000E0B19" w:rsidRPr="008E3154">
        <w:rPr>
          <w:color w:val="000000" w:themeColor="text1"/>
        </w:rPr>
        <w:t>Patricia Batty Shaw</w:t>
      </w:r>
      <w:r w:rsidR="00DF2F7B" w:rsidRPr="008E3154">
        <w:rPr>
          <w:color w:val="000000" w:themeColor="text1"/>
        </w:rPr>
        <w:t xml:space="preserve">, acknowledged that </w:t>
      </w:r>
      <w:r w:rsidR="00023800" w:rsidRPr="008E3154">
        <w:rPr>
          <w:color w:val="000000" w:themeColor="text1"/>
        </w:rPr>
        <w:t xml:space="preserve">the </w:t>
      </w:r>
      <w:r w:rsidR="00DF2F7B" w:rsidRPr="008E3154">
        <w:rPr>
          <w:color w:val="000000" w:themeColor="text1"/>
        </w:rPr>
        <w:t>movement</w:t>
      </w:r>
      <w:r w:rsidR="006B0A0E" w:rsidRPr="008E3154">
        <w:rPr>
          <w:color w:val="000000" w:themeColor="text1"/>
        </w:rPr>
        <w:t>’</w:t>
      </w:r>
      <w:r w:rsidR="00CB7640" w:rsidRPr="008E3154">
        <w:rPr>
          <w:color w:val="000000" w:themeColor="text1"/>
        </w:rPr>
        <w:t xml:space="preserve">s </w:t>
      </w:r>
      <w:r w:rsidR="00CB7640" w:rsidRPr="008E3154">
        <w:rPr>
          <w:color w:val="000000" w:themeColor="text1"/>
          <w:highlight w:val="yellow"/>
        </w:rPr>
        <w:t>activism</w:t>
      </w:r>
      <w:r w:rsidR="00CB7640" w:rsidRPr="008E3154">
        <w:rPr>
          <w:color w:val="000000" w:themeColor="text1"/>
        </w:rPr>
        <w:t xml:space="preserve"> </w:t>
      </w:r>
      <w:r w:rsidR="00DF2F7B" w:rsidRPr="008E3154">
        <w:rPr>
          <w:color w:val="000000" w:themeColor="text1"/>
        </w:rPr>
        <w:t xml:space="preserve">was political, but </w:t>
      </w:r>
      <w:r w:rsidR="00CB7640" w:rsidRPr="008E3154">
        <w:rPr>
          <w:color w:val="000000" w:themeColor="text1"/>
        </w:rPr>
        <w:t>stressed that it was not</w:t>
      </w:r>
      <w:r w:rsidR="00DF2F7B" w:rsidRPr="008E3154">
        <w:rPr>
          <w:color w:val="000000" w:themeColor="text1"/>
        </w:rPr>
        <w:t xml:space="preserve"> party-political. </w:t>
      </w:r>
      <w:r w:rsidR="00CB7640" w:rsidRPr="008E3154">
        <w:rPr>
          <w:color w:val="000000" w:themeColor="text1"/>
        </w:rPr>
        <w:t>S</w:t>
      </w:r>
      <w:r w:rsidR="003112F5" w:rsidRPr="008E3154">
        <w:rPr>
          <w:color w:val="000000" w:themeColor="text1"/>
        </w:rPr>
        <w:t xml:space="preserve">he </w:t>
      </w:r>
      <w:r w:rsidR="000E0B19" w:rsidRPr="008E3154">
        <w:rPr>
          <w:color w:val="000000" w:themeColor="text1"/>
        </w:rPr>
        <w:t xml:space="preserve">explained “the fact we interest ourselves in Public Affairs, pass resolutions which call for government action and seek to contribute to the </w:t>
      </w:r>
      <w:r w:rsidR="000E0B19" w:rsidRPr="00935D7F">
        <w:rPr>
          <w:color w:val="000000" w:themeColor="text1"/>
          <w:highlight w:val="yellow"/>
        </w:rPr>
        <w:t>welfare</w:t>
      </w:r>
      <w:r w:rsidR="000E0B19" w:rsidRPr="008E3154">
        <w:rPr>
          <w:color w:val="000000" w:themeColor="text1"/>
        </w:rPr>
        <w:t xml:space="preserve"> of the </w:t>
      </w:r>
      <w:r w:rsidR="000E0B19" w:rsidRPr="00935D7F">
        <w:rPr>
          <w:color w:val="000000" w:themeColor="text1"/>
          <w:highlight w:val="yellow"/>
        </w:rPr>
        <w:t>community</w:t>
      </w:r>
      <w:r w:rsidR="000E0B19" w:rsidRPr="008E3154">
        <w:rPr>
          <w:color w:val="000000" w:themeColor="text1"/>
        </w:rPr>
        <w:t xml:space="preserve"> means that we are acting ‘politically’”. She </w:t>
      </w:r>
      <w:r w:rsidR="00CB7640" w:rsidRPr="008E3154">
        <w:rPr>
          <w:color w:val="000000" w:themeColor="text1"/>
        </w:rPr>
        <w:t xml:space="preserve">went on to </w:t>
      </w:r>
      <w:r w:rsidR="000E0B19" w:rsidRPr="008E3154">
        <w:rPr>
          <w:color w:val="000000" w:themeColor="text1"/>
        </w:rPr>
        <w:t>def</w:t>
      </w:r>
      <w:r w:rsidR="00CB7640" w:rsidRPr="008E3154">
        <w:rPr>
          <w:color w:val="000000" w:themeColor="text1"/>
        </w:rPr>
        <w:t>end</w:t>
      </w:r>
      <w:r w:rsidR="000E0B19" w:rsidRPr="008E3154">
        <w:rPr>
          <w:color w:val="000000" w:themeColor="text1"/>
        </w:rPr>
        <w:t xml:space="preserve"> this position </w:t>
      </w:r>
      <w:r w:rsidR="00AD7979" w:rsidRPr="008E3154">
        <w:rPr>
          <w:color w:val="000000" w:themeColor="text1"/>
        </w:rPr>
        <w:t xml:space="preserve">by adding </w:t>
      </w:r>
      <w:r w:rsidR="000E0B19" w:rsidRPr="008E3154">
        <w:rPr>
          <w:color w:val="000000" w:themeColor="text1"/>
        </w:rPr>
        <w:t>“if we hesitate to take action for fear of being ‘political’ do we not run the risk of becoming ineffectual”.</w:t>
      </w:r>
      <w:r w:rsidR="000E0B19" w:rsidRPr="008E3154">
        <w:rPr>
          <w:rStyle w:val="FootnoteReference"/>
          <w:color w:val="000000" w:themeColor="text1"/>
        </w:rPr>
        <w:footnoteReference w:id="77"/>
      </w:r>
      <w:r w:rsidR="000E0B19" w:rsidRPr="008E3154">
        <w:rPr>
          <w:color w:val="000000" w:themeColor="text1"/>
        </w:rPr>
        <w:t xml:space="preserve">  </w:t>
      </w:r>
    </w:p>
    <w:p w14:paraId="4F43A4EA" w14:textId="4BE7B815" w:rsidR="00BC6A2B" w:rsidRPr="008E3154" w:rsidRDefault="00136363" w:rsidP="000E0B19">
      <w:pPr>
        <w:spacing w:line="480" w:lineRule="auto"/>
        <w:rPr>
          <w:color w:val="000000" w:themeColor="text1"/>
        </w:rPr>
      </w:pPr>
      <w:r w:rsidRPr="008E3154">
        <w:rPr>
          <w:color w:val="000000" w:themeColor="text1"/>
        </w:rPr>
        <w:tab/>
      </w:r>
      <w:r w:rsidR="00023800" w:rsidRPr="008E3154">
        <w:rPr>
          <w:color w:val="000000" w:themeColor="text1"/>
        </w:rPr>
        <w:t xml:space="preserve">Like the </w:t>
      </w:r>
      <w:r w:rsidR="00AB102A" w:rsidRPr="008E3154">
        <w:rPr>
          <w:color w:val="000000" w:themeColor="text1"/>
          <w:highlight w:val="yellow"/>
        </w:rPr>
        <w:t>NF</w:t>
      </w:r>
      <w:r w:rsidR="00023800" w:rsidRPr="008E3154">
        <w:rPr>
          <w:color w:val="000000" w:themeColor="text1"/>
          <w:highlight w:val="yellow"/>
        </w:rPr>
        <w:t>WI</w:t>
      </w:r>
      <w:r w:rsidR="00023800" w:rsidRPr="008E3154">
        <w:rPr>
          <w:color w:val="000000" w:themeColor="text1"/>
        </w:rPr>
        <w:t>, t</w:t>
      </w:r>
      <w:r w:rsidR="004C63EF" w:rsidRPr="008E3154">
        <w:rPr>
          <w:color w:val="000000" w:themeColor="text1"/>
        </w:rPr>
        <w:t>he</w:t>
      </w:r>
      <w:r w:rsidR="0023610C" w:rsidRPr="008E3154">
        <w:rPr>
          <w:color w:val="000000" w:themeColor="text1"/>
        </w:rPr>
        <w:t xml:space="preserve"> abili</w:t>
      </w:r>
      <w:r w:rsidR="000C0D13" w:rsidRPr="008E3154">
        <w:rPr>
          <w:color w:val="000000" w:themeColor="text1"/>
        </w:rPr>
        <w:t xml:space="preserve">ty to </w:t>
      </w:r>
      <w:r w:rsidR="00FB1F87" w:rsidRPr="008E3154">
        <w:rPr>
          <w:color w:val="000000" w:themeColor="text1"/>
        </w:rPr>
        <w:t>listen</w:t>
      </w:r>
      <w:r w:rsidR="00B6323E" w:rsidRPr="008E3154">
        <w:rPr>
          <w:color w:val="000000" w:themeColor="text1"/>
        </w:rPr>
        <w:t xml:space="preserve"> to the experiences of women and advocate for</w:t>
      </w:r>
      <w:r w:rsidR="0023610C" w:rsidRPr="008E3154">
        <w:rPr>
          <w:color w:val="000000" w:themeColor="text1"/>
        </w:rPr>
        <w:t xml:space="preserve"> the </w:t>
      </w:r>
      <w:r w:rsidR="000C0D13" w:rsidRPr="008E3154">
        <w:rPr>
          <w:color w:val="000000" w:themeColor="text1"/>
        </w:rPr>
        <w:t xml:space="preserve">everyday </w:t>
      </w:r>
      <w:r w:rsidR="0023610C" w:rsidRPr="00935D7F">
        <w:rPr>
          <w:color w:val="000000" w:themeColor="text1"/>
          <w:highlight w:val="yellow"/>
        </w:rPr>
        <w:t>welfare</w:t>
      </w:r>
      <w:r w:rsidR="0023610C" w:rsidRPr="008E3154">
        <w:rPr>
          <w:color w:val="000000" w:themeColor="text1"/>
        </w:rPr>
        <w:t xml:space="preserve"> of wives and mothers remained a key </w:t>
      </w:r>
      <w:r w:rsidR="000C0D13" w:rsidRPr="008E3154">
        <w:rPr>
          <w:color w:val="000000" w:themeColor="text1"/>
        </w:rPr>
        <w:t>objective</w:t>
      </w:r>
      <w:r w:rsidR="002D3057" w:rsidRPr="008E3154">
        <w:rPr>
          <w:color w:val="000000" w:themeColor="text1"/>
        </w:rPr>
        <w:t xml:space="preserve"> for</w:t>
      </w:r>
      <w:r w:rsidR="0023610C" w:rsidRPr="008E3154">
        <w:rPr>
          <w:color w:val="000000" w:themeColor="text1"/>
        </w:rPr>
        <w:t xml:space="preserve"> the </w:t>
      </w:r>
      <w:r w:rsidR="0023610C" w:rsidRPr="00935D7F">
        <w:rPr>
          <w:color w:val="000000" w:themeColor="text1"/>
          <w:highlight w:val="yellow"/>
        </w:rPr>
        <w:t>TG</w:t>
      </w:r>
      <w:r w:rsidR="0023610C" w:rsidRPr="008E3154">
        <w:rPr>
          <w:color w:val="000000" w:themeColor="text1"/>
        </w:rPr>
        <w:t xml:space="preserve"> throughout the</w:t>
      </w:r>
      <w:r w:rsidR="009D716D" w:rsidRPr="008E3154">
        <w:rPr>
          <w:color w:val="000000" w:themeColor="text1"/>
        </w:rPr>
        <w:t xml:space="preserve"> 1960s and</w:t>
      </w:r>
      <w:r w:rsidR="0023610C" w:rsidRPr="008E3154">
        <w:rPr>
          <w:color w:val="000000" w:themeColor="text1"/>
        </w:rPr>
        <w:t xml:space="preserve"> 1970s. </w:t>
      </w:r>
      <w:r w:rsidR="00BC297B" w:rsidRPr="008E3154">
        <w:rPr>
          <w:color w:val="000000" w:themeColor="text1"/>
        </w:rPr>
        <w:t xml:space="preserve">In addition to providing </w:t>
      </w:r>
      <w:r w:rsidR="00BC297B" w:rsidRPr="008E3154">
        <w:rPr>
          <w:color w:val="000000" w:themeColor="text1"/>
        </w:rPr>
        <w:lastRenderedPageBreak/>
        <w:t xml:space="preserve">a common meeting ground </w:t>
      </w:r>
      <w:r w:rsidR="00100813" w:rsidRPr="008E3154">
        <w:rPr>
          <w:color w:val="000000" w:themeColor="text1"/>
        </w:rPr>
        <w:t xml:space="preserve">so members </w:t>
      </w:r>
      <w:r w:rsidR="00C50954" w:rsidRPr="008E3154">
        <w:rPr>
          <w:color w:val="000000" w:themeColor="text1"/>
        </w:rPr>
        <w:t>could</w:t>
      </w:r>
      <w:r w:rsidR="00064FBD" w:rsidRPr="008E3154">
        <w:rPr>
          <w:color w:val="000000" w:themeColor="text1"/>
        </w:rPr>
        <w:t xml:space="preserve"> put forward their opinion on “matters of importance to women everywhere” </w:t>
      </w:r>
      <w:r w:rsidR="00100813" w:rsidRPr="008E3154">
        <w:rPr>
          <w:color w:val="000000" w:themeColor="text1"/>
        </w:rPr>
        <w:t>the Guild set out to “take a positive view on major issues of the day, making its voice heard in government, the media and the community</w:t>
      </w:r>
      <w:r w:rsidR="00023800" w:rsidRPr="008E3154">
        <w:rPr>
          <w:color w:val="000000" w:themeColor="text1"/>
        </w:rPr>
        <w:t>”</w:t>
      </w:r>
      <w:r w:rsidR="00100813" w:rsidRPr="008E3154">
        <w:rPr>
          <w:color w:val="000000" w:themeColor="text1"/>
        </w:rPr>
        <w:t>.</w:t>
      </w:r>
      <w:r w:rsidR="00FE147C" w:rsidRPr="008E3154">
        <w:rPr>
          <w:rStyle w:val="FootnoteReference"/>
          <w:color w:val="000000" w:themeColor="text1"/>
        </w:rPr>
        <w:footnoteReference w:id="78"/>
      </w:r>
      <w:r w:rsidR="00075002" w:rsidRPr="008E3154">
        <w:rPr>
          <w:color w:val="000000" w:themeColor="text1"/>
        </w:rPr>
        <w:t xml:space="preserve"> </w:t>
      </w:r>
      <w:r w:rsidR="00BC6A2B" w:rsidRPr="008E3154">
        <w:rPr>
          <w:color w:val="000000" w:themeColor="text1"/>
        </w:rPr>
        <w:t xml:space="preserve">In 1976 the </w:t>
      </w:r>
      <w:r w:rsidR="00BC6A2B" w:rsidRPr="00935D7F">
        <w:rPr>
          <w:color w:val="000000" w:themeColor="text1"/>
          <w:highlight w:val="yellow"/>
        </w:rPr>
        <w:t>TG</w:t>
      </w:r>
      <w:r w:rsidR="00BC6A2B" w:rsidRPr="008E3154">
        <w:rPr>
          <w:color w:val="000000" w:themeColor="text1"/>
        </w:rPr>
        <w:t xml:space="preserve">, with </w:t>
      </w:r>
      <w:r w:rsidR="008F5B35" w:rsidRPr="008E3154">
        <w:rPr>
          <w:color w:val="000000" w:themeColor="text1"/>
        </w:rPr>
        <w:t>a t</w:t>
      </w:r>
      <w:r w:rsidR="00045D5D" w:rsidRPr="008E3154">
        <w:rPr>
          <w:color w:val="000000" w:themeColor="text1"/>
        </w:rPr>
        <w:t>otal number of 2,</w:t>
      </w:r>
      <w:r w:rsidR="00C22298" w:rsidRPr="008E3154">
        <w:rPr>
          <w:color w:val="000000" w:themeColor="text1"/>
        </w:rPr>
        <w:t xml:space="preserve">692 guilds, summed up its </w:t>
      </w:r>
      <w:r w:rsidR="001E1561" w:rsidRPr="008E3154">
        <w:rPr>
          <w:color w:val="000000" w:themeColor="text1"/>
        </w:rPr>
        <w:t xml:space="preserve">overall </w:t>
      </w:r>
      <w:r w:rsidR="00C22298" w:rsidRPr="008E3154">
        <w:rPr>
          <w:color w:val="000000" w:themeColor="text1"/>
        </w:rPr>
        <w:t xml:space="preserve">purpose as providing “opportunities </w:t>
      </w:r>
      <w:r w:rsidR="004A63A1" w:rsidRPr="008E3154">
        <w:rPr>
          <w:color w:val="000000" w:themeColor="text1"/>
        </w:rPr>
        <w:t>to meet women from all walks of life, to share mutual interests, and to increase the influence of women through a progressive, nationwide organisation concerned with the fundamental issues of community life”.</w:t>
      </w:r>
      <w:r w:rsidR="009E2800" w:rsidRPr="008E3154">
        <w:rPr>
          <w:rStyle w:val="FootnoteReference"/>
          <w:color w:val="000000" w:themeColor="text1"/>
        </w:rPr>
        <w:footnoteReference w:id="79"/>
      </w:r>
    </w:p>
    <w:p w14:paraId="010F6F61" w14:textId="084F8BAB" w:rsidR="00DB477E" w:rsidRPr="008E3154" w:rsidRDefault="00DB477E" w:rsidP="00DB477E">
      <w:pPr>
        <w:spacing w:line="480" w:lineRule="auto"/>
        <w:rPr>
          <w:color w:val="000000" w:themeColor="text1"/>
        </w:rPr>
      </w:pPr>
      <w:r w:rsidRPr="008E3154">
        <w:rPr>
          <w:color w:val="000000" w:themeColor="text1"/>
        </w:rPr>
        <w:tab/>
      </w:r>
      <w:r w:rsidR="00B908A7" w:rsidRPr="008E3154">
        <w:rPr>
          <w:color w:val="000000" w:themeColor="text1"/>
        </w:rPr>
        <w:t>The national Public Questions and Current Affairs Sub-Committee</w:t>
      </w:r>
      <w:r w:rsidR="007541C7" w:rsidRPr="008E3154">
        <w:rPr>
          <w:color w:val="000000" w:themeColor="text1"/>
        </w:rPr>
        <w:t>, set up in 1956,</w:t>
      </w:r>
      <w:r w:rsidR="00B908A7" w:rsidRPr="008E3154">
        <w:rPr>
          <w:color w:val="000000" w:themeColor="text1"/>
        </w:rPr>
        <w:t xml:space="preserve"> oversaw this aspect of the </w:t>
      </w:r>
      <w:r w:rsidR="00B908A7" w:rsidRPr="008E3154">
        <w:rPr>
          <w:color w:val="000000" w:themeColor="text1"/>
          <w:highlight w:val="yellow"/>
        </w:rPr>
        <w:t>TG</w:t>
      </w:r>
      <w:r w:rsidR="00B908A7" w:rsidRPr="008E3154">
        <w:rPr>
          <w:color w:val="000000" w:themeColor="text1"/>
        </w:rPr>
        <w:t>’s work</w:t>
      </w:r>
      <w:r w:rsidR="00EE197E" w:rsidRPr="008E3154">
        <w:rPr>
          <w:color w:val="000000" w:themeColor="text1"/>
        </w:rPr>
        <w:t xml:space="preserve">. </w:t>
      </w:r>
      <w:r w:rsidR="00B20074" w:rsidRPr="008E3154">
        <w:rPr>
          <w:color w:val="000000" w:themeColor="text1"/>
        </w:rPr>
        <w:t>I</w:t>
      </w:r>
      <w:r w:rsidR="00E44CB1" w:rsidRPr="008E3154">
        <w:rPr>
          <w:color w:val="000000" w:themeColor="text1"/>
        </w:rPr>
        <w:t xml:space="preserve">t was reported in </w:t>
      </w:r>
      <w:r w:rsidR="00E44CB1" w:rsidRPr="00935D7F">
        <w:rPr>
          <w:i/>
          <w:color w:val="000000" w:themeColor="text1"/>
          <w:highlight w:val="yellow"/>
        </w:rPr>
        <w:t>The Townswoman</w:t>
      </w:r>
      <w:r w:rsidR="00B20074" w:rsidRPr="008E3154">
        <w:rPr>
          <w:color w:val="000000" w:themeColor="text1"/>
        </w:rPr>
        <w:t xml:space="preserve"> that the committee</w:t>
      </w:r>
      <w:r w:rsidR="00E44CB1" w:rsidRPr="008E3154">
        <w:rPr>
          <w:color w:val="000000" w:themeColor="text1"/>
        </w:rPr>
        <w:t xml:space="preserve"> </w:t>
      </w:r>
      <w:r w:rsidR="001E0344" w:rsidRPr="008E3154">
        <w:rPr>
          <w:color w:val="000000" w:themeColor="text1"/>
        </w:rPr>
        <w:t xml:space="preserve">was “kept very busy all </w:t>
      </w:r>
      <w:proofErr w:type="gramStart"/>
      <w:r w:rsidR="001E0344" w:rsidRPr="008E3154">
        <w:rPr>
          <w:color w:val="000000" w:themeColor="text1"/>
        </w:rPr>
        <w:t>year round</w:t>
      </w:r>
      <w:proofErr w:type="gramEnd"/>
      <w:r w:rsidR="001E0344" w:rsidRPr="008E3154">
        <w:rPr>
          <w:color w:val="000000" w:themeColor="text1"/>
        </w:rPr>
        <w:t xml:space="preserve"> answering questions from government departments and other interested bodies about our views on this and that</w:t>
      </w:r>
      <w:r w:rsidR="00935D7F">
        <w:rPr>
          <w:color w:val="000000" w:themeColor="text1"/>
        </w:rPr>
        <w:t>”</w:t>
      </w:r>
      <w:r w:rsidR="001E0344" w:rsidRPr="008E3154">
        <w:rPr>
          <w:color w:val="000000" w:themeColor="text1"/>
        </w:rPr>
        <w:t>.</w:t>
      </w:r>
      <w:r w:rsidR="00B548B3" w:rsidRPr="008E3154">
        <w:rPr>
          <w:rStyle w:val="FootnoteReference"/>
          <w:color w:val="000000" w:themeColor="text1"/>
        </w:rPr>
        <w:footnoteReference w:id="80"/>
      </w:r>
      <w:r w:rsidR="0032477B" w:rsidRPr="008E3154">
        <w:rPr>
          <w:color w:val="000000" w:themeColor="text1"/>
        </w:rPr>
        <w:t xml:space="preserve"> </w:t>
      </w:r>
      <w:r w:rsidR="004B740C" w:rsidRPr="008E3154">
        <w:rPr>
          <w:color w:val="000000" w:themeColor="text1"/>
        </w:rPr>
        <w:t>One issue the committee reported on</w:t>
      </w:r>
      <w:r w:rsidR="003F0277" w:rsidRPr="008E3154">
        <w:rPr>
          <w:color w:val="000000" w:themeColor="text1"/>
        </w:rPr>
        <w:t xml:space="preserve"> regularly</w:t>
      </w:r>
      <w:r w:rsidR="004B740C" w:rsidRPr="008E3154">
        <w:rPr>
          <w:color w:val="000000" w:themeColor="text1"/>
        </w:rPr>
        <w:t xml:space="preserve"> was the </w:t>
      </w:r>
      <w:r w:rsidR="004B740C" w:rsidRPr="008E3154">
        <w:rPr>
          <w:color w:val="000000" w:themeColor="text1"/>
          <w:highlight w:val="yellow"/>
        </w:rPr>
        <w:t>TG</w:t>
      </w:r>
      <w:r w:rsidR="004B740C" w:rsidRPr="008E3154">
        <w:rPr>
          <w:color w:val="000000" w:themeColor="text1"/>
        </w:rPr>
        <w:t xml:space="preserve">’s </w:t>
      </w:r>
      <w:r w:rsidR="00301F2C" w:rsidRPr="008E3154">
        <w:rPr>
          <w:color w:val="000000" w:themeColor="text1"/>
        </w:rPr>
        <w:t xml:space="preserve">support for </w:t>
      </w:r>
      <w:proofErr w:type="spellStart"/>
      <w:r w:rsidR="003F0277" w:rsidRPr="008E3154">
        <w:rPr>
          <w:color w:val="000000" w:themeColor="text1"/>
        </w:rPr>
        <w:t>legal</w:t>
      </w:r>
      <w:r w:rsidR="00FF0E0D" w:rsidRPr="008E3154">
        <w:rPr>
          <w:color w:val="000000" w:themeColor="text1"/>
        </w:rPr>
        <w:t>ised</w:t>
      </w:r>
      <w:proofErr w:type="spellEnd"/>
      <w:r w:rsidR="003F0277" w:rsidRPr="008E3154">
        <w:rPr>
          <w:color w:val="000000" w:themeColor="text1"/>
        </w:rPr>
        <w:t xml:space="preserve"> </w:t>
      </w:r>
      <w:r w:rsidR="003F0277" w:rsidRPr="008E3154">
        <w:rPr>
          <w:color w:val="000000" w:themeColor="text1"/>
          <w:highlight w:val="yellow"/>
        </w:rPr>
        <w:t>abortion</w:t>
      </w:r>
      <w:r w:rsidR="003F0277" w:rsidRPr="008E3154">
        <w:rPr>
          <w:color w:val="000000" w:themeColor="text1"/>
        </w:rPr>
        <w:t xml:space="preserve">. </w:t>
      </w:r>
      <w:r w:rsidR="00CE7BB1" w:rsidRPr="008E3154">
        <w:rPr>
          <w:color w:val="000000" w:themeColor="text1"/>
        </w:rPr>
        <w:t xml:space="preserve">In 1965 the </w:t>
      </w:r>
      <w:r w:rsidR="003406BF" w:rsidRPr="008E3154">
        <w:rPr>
          <w:color w:val="000000" w:themeColor="text1"/>
        </w:rPr>
        <w:t xml:space="preserve">Guild had passed by overwhelming majority a resolution </w:t>
      </w:r>
      <w:r w:rsidR="00B97688" w:rsidRPr="008E3154">
        <w:rPr>
          <w:color w:val="000000" w:themeColor="text1"/>
        </w:rPr>
        <w:t xml:space="preserve">calling on the government to introduce legal </w:t>
      </w:r>
      <w:r w:rsidR="00B97688" w:rsidRPr="008E3154">
        <w:rPr>
          <w:color w:val="000000" w:themeColor="text1"/>
          <w:highlight w:val="yellow"/>
        </w:rPr>
        <w:t>abortion</w:t>
      </w:r>
      <w:r w:rsidR="00B97688" w:rsidRPr="008E3154">
        <w:rPr>
          <w:color w:val="000000" w:themeColor="text1"/>
        </w:rPr>
        <w:t xml:space="preserve"> </w:t>
      </w:r>
      <w:r w:rsidR="007101B7" w:rsidRPr="008E3154">
        <w:rPr>
          <w:color w:val="000000" w:themeColor="text1"/>
        </w:rPr>
        <w:t>for women “where it is necessary to preserve her physical or mental health; where there is a serious risk of a defective child being born; where the pregnancy results from a sexual offence”.</w:t>
      </w:r>
      <w:r w:rsidR="00D14390" w:rsidRPr="008E3154">
        <w:rPr>
          <w:rStyle w:val="FootnoteReference"/>
          <w:color w:val="000000" w:themeColor="text1"/>
        </w:rPr>
        <w:footnoteReference w:id="81"/>
      </w:r>
      <w:r w:rsidR="00A10583" w:rsidRPr="008E3154">
        <w:rPr>
          <w:color w:val="000000" w:themeColor="text1"/>
        </w:rPr>
        <w:t xml:space="preserve"> </w:t>
      </w:r>
      <w:r w:rsidR="00FF0E0D" w:rsidRPr="008E3154">
        <w:rPr>
          <w:color w:val="000000" w:themeColor="text1"/>
        </w:rPr>
        <w:t>Refusing to shy away from what was a</w:t>
      </w:r>
      <w:r w:rsidR="006E4A4E" w:rsidRPr="008E3154">
        <w:rPr>
          <w:color w:val="000000" w:themeColor="text1"/>
        </w:rPr>
        <w:t xml:space="preserve"> controversial</w:t>
      </w:r>
      <w:r w:rsidR="00FF0E0D" w:rsidRPr="008E3154">
        <w:rPr>
          <w:color w:val="000000" w:themeColor="text1"/>
        </w:rPr>
        <w:t xml:space="preserve"> issue the Guild welcomed the passing of the </w:t>
      </w:r>
      <w:r w:rsidR="00FF0E0D" w:rsidRPr="008E3154">
        <w:rPr>
          <w:color w:val="000000" w:themeColor="text1"/>
          <w:highlight w:val="yellow"/>
        </w:rPr>
        <w:t>1967 Abortion Act</w:t>
      </w:r>
      <w:r w:rsidR="007D6B71" w:rsidRPr="008E3154">
        <w:rPr>
          <w:color w:val="000000" w:themeColor="text1"/>
        </w:rPr>
        <w:t xml:space="preserve">. </w:t>
      </w:r>
      <w:r w:rsidR="009F6EEE" w:rsidRPr="008E3154">
        <w:rPr>
          <w:color w:val="000000" w:themeColor="text1"/>
        </w:rPr>
        <w:t>Subsequent to this</w:t>
      </w:r>
      <w:r w:rsidR="009E4D5E" w:rsidRPr="008E3154">
        <w:rPr>
          <w:color w:val="000000" w:themeColor="text1"/>
        </w:rPr>
        <w:t xml:space="preserve"> the </w:t>
      </w:r>
      <w:r w:rsidR="009E4D5E" w:rsidRPr="008E3154">
        <w:rPr>
          <w:color w:val="000000" w:themeColor="text1"/>
          <w:highlight w:val="yellow"/>
        </w:rPr>
        <w:t>TG</w:t>
      </w:r>
      <w:r w:rsidR="009E4D5E" w:rsidRPr="008E3154">
        <w:rPr>
          <w:color w:val="000000" w:themeColor="text1"/>
        </w:rPr>
        <w:t xml:space="preserve"> protested any </w:t>
      </w:r>
      <w:r w:rsidR="009E4D5E" w:rsidRPr="008E3154">
        <w:rPr>
          <w:color w:val="000000" w:themeColor="text1"/>
        </w:rPr>
        <w:lastRenderedPageBreak/>
        <w:t>a</w:t>
      </w:r>
      <w:r w:rsidR="00F41BC2" w:rsidRPr="008E3154">
        <w:rPr>
          <w:color w:val="000000" w:themeColor="text1"/>
        </w:rPr>
        <w:t>ttempt to restrict grounds for</w:t>
      </w:r>
      <w:r w:rsidR="009E4D5E" w:rsidRPr="008E3154">
        <w:rPr>
          <w:color w:val="000000" w:themeColor="text1"/>
        </w:rPr>
        <w:t xml:space="preserve"> legal </w:t>
      </w:r>
      <w:r w:rsidR="009E4D5E" w:rsidRPr="008E3154">
        <w:rPr>
          <w:color w:val="000000" w:themeColor="text1"/>
          <w:highlight w:val="yellow"/>
        </w:rPr>
        <w:t>abortion</w:t>
      </w:r>
      <w:r w:rsidR="009F6EEE" w:rsidRPr="008E3154">
        <w:rPr>
          <w:color w:val="000000" w:themeColor="text1"/>
        </w:rPr>
        <w:t xml:space="preserve"> as set out under the terms of the Abortion Act</w:t>
      </w:r>
      <w:r w:rsidR="00DC0544" w:rsidRPr="008E3154">
        <w:rPr>
          <w:color w:val="000000" w:themeColor="text1"/>
        </w:rPr>
        <w:t>.</w:t>
      </w:r>
      <w:r w:rsidR="0068244A" w:rsidRPr="008E3154">
        <w:rPr>
          <w:rStyle w:val="FootnoteReference"/>
          <w:color w:val="000000" w:themeColor="text1"/>
        </w:rPr>
        <w:footnoteReference w:id="82"/>
      </w:r>
    </w:p>
    <w:p w14:paraId="7227B950" w14:textId="486C8A33" w:rsidR="006B7225" w:rsidRPr="008E3154" w:rsidRDefault="004E64EB" w:rsidP="00023800">
      <w:pPr>
        <w:spacing w:line="480" w:lineRule="auto"/>
        <w:ind w:firstLine="720"/>
        <w:rPr>
          <w:color w:val="000000" w:themeColor="text1"/>
        </w:rPr>
      </w:pPr>
      <w:r w:rsidRPr="008E3154">
        <w:rPr>
          <w:color w:val="000000" w:themeColor="text1"/>
        </w:rPr>
        <w:t xml:space="preserve">Throughout the 1970s the </w:t>
      </w:r>
      <w:r w:rsidRPr="008E3154">
        <w:rPr>
          <w:color w:val="000000" w:themeColor="text1"/>
          <w:highlight w:val="yellow"/>
        </w:rPr>
        <w:t>TG</w:t>
      </w:r>
      <w:r w:rsidRPr="008E3154">
        <w:rPr>
          <w:color w:val="000000" w:themeColor="text1"/>
        </w:rPr>
        <w:t xml:space="preserve"> continued to </w:t>
      </w:r>
      <w:r w:rsidR="003C7B17" w:rsidRPr="008E3154">
        <w:rPr>
          <w:color w:val="000000" w:themeColor="text1"/>
        </w:rPr>
        <w:t xml:space="preserve">draw on the experiences of women to frame its </w:t>
      </w:r>
      <w:r w:rsidR="003C7B17" w:rsidRPr="008E3154">
        <w:rPr>
          <w:color w:val="000000" w:themeColor="text1"/>
          <w:highlight w:val="yellow"/>
        </w:rPr>
        <w:t>welfare activism</w:t>
      </w:r>
      <w:r w:rsidR="003C7B17" w:rsidRPr="008E3154">
        <w:rPr>
          <w:color w:val="000000" w:themeColor="text1"/>
        </w:rPr>
        <w:t xml:space="preserve">. </w:t>
      </w:r>
      <w:r w:rsidR="00A4124D" w:rsidRPr="008E3154">
        <w:rPr>
          <w:color w:val="000000" w:themeColor="text1"/>
          <w:highlight w:val="yellow"/>
        </w:rPr>
        <w:t>Domestic violence</w:t>
      </w:r>
      <w:r w:rsidR="00A4124D" w:rsidRPr="008E3154">
        <w:rPr>
          <w:color w:val="000000" w:themeColor="text1"/>
        </w:rPr>
        <w:t xml:space="preserve"> (referred to at this time as battered wives) </w:t>
      </w:r>
      <w:r w:rsidR="00EF0E4C" w:rsidRPr="008E3154">
        <w:rPr>
          <w:color w:val="000000" w:themeColor="text1"/>
        </w:rPr>
        <w:t xml:space="preserve">became a pressing concern, and one shared with the </w:t>
      </w:r>
      <w:r w:rsidR="00EF0E4C" w:rsidRPr="008E3154">
        <w:rPr>
          <w:color w:val="000000" w:themeColor="text1"/>
          <w:highlight w:val="yellow"/>
        </w:rPr>
        <w:t>NFWI</w:t>
      </w:r>
      <w:r w:rsidR="00EF0E4C" w:rsidRPr="008E3154">
        <w:rPr>
          <w:color w:val="000000" w:themeColor="text1"/>
        </w:rPr>
        <w:t>.</w:t>
      </w:r>
      <w:r w:rsidR="00EF0E4C" w:rsidRPr="008E3154">
        <w:rPr>
          <w:rStyle w:val="FootnoteReference"/>
          <w:color w:val="000000" w:themeColor="text1"/>
        </w:rPr>
        <w:footnoteReference w:id="83"/>
      </w:r>
      <w:r w:rsidR="00B7238E" w:rsidRPr="008E3154">
        <w:rPr>
          <w:color w:val="000000" w:themeColor="text1"/>
        </w:rPr>
        <w:t xml:space="preserve"> In 1975 a</w:t>
      </w:r>
      <w:r w:rsidR="00B16320" w:rsidRPr="008E3154">
        <w:rPr>
          <w:color w:val="000000" w:themeColor="text1"/>
        </w:rPr>
        <w:t xml:space="preserve"> resolution proposed by </w:t>
      </w:r>
      <w:r w:rsidR="0074372F" w:rsidRPr="008E3154">
        <w:rPr>
          <w:color w:val="000000" w:themeColor="text1"/>
        </w:rPr>
        <w:t xml:space="preserve">guild member </w:t>
      </w:r>
      <w:r w:rsidR="00007EEC" w:rsidRPr="008E3154">
        <w:rPr>
          <w:color w:val="000000" w:themeColor="text1"/>
        </w:rPr>
        <w:t>No</w:t>
      </w:r>
      <w:r w:rsidR="0074372F" w:rsidRPr="008E3154">
        <w:rPr>
          <w:color w:val="000000" w:themeColor="text1"/>
        </w:rPr>
        <w:t>rma Proctor (Sheffield Bradway)</w:t>
      </w:r>
      <w:r w:rsidR="003C56BF" w:rsidRPr="008E3154">
        <w:rPr>
          <w:color w:val="000000" w:themeColor="text1"/>
        </w:rPr>
        <w:t>,</w:t>
      </w:r>
      <w:r w:rsidR="0074372F" w:rsidRPr="008E3154">
        <w:rPr>
          <w:color w:val="000000" w:themeColor="text1"/>
        </w:rPr>
        <w:t xml:space="preserve"> </w:t>
      </w:r>
      <w:r w:rsidR="00C00512" w:rsidRPr="008E3154">
        <w:rPr>
          <w:color w:val="000000" w:themeColor="text1"/>
        </w:rPr>
        <w:t xml:space="preserve">stated that </w:t>
      </w:r>
      <w:r w:rsidR="002F190F" w:rsidRPr="008E3154">
        <w:rPr>
          <w:color w:val="000000" w:themeColor="text1"/>
        </w:rPr>
        <w:t xml:space="preserve">the </w:t>
      </w:r>
      <w:r w:rsidR="002F190F" w:rsidRPr="008E3154">
        <w:rPr>
          <w:color w:val="000000" w:themeColor="text1"/>
          <w:highlight w:val="yellow"/>
        </w:rPr>
        <w:t>TG</w:t>
      </w:r>
      <w:r w:rsidR="0074372F" w:rsidRPr="008E3154">
        <w:rPr>
          <w:color w:val="000000" w:themeColor="text1"/>
        </w:rPr>
        <w:t xml:space="preserve"> was</w:t>
      </w:r>
      <w:r w:rsidR="002F190F" w:rsidRPr="008E3154">
        <w:rPr>
          <w:color w:val="000000" w:themeColor="text1"/>
        </w:rPr>
        <w:t xml:space="preserve"> “greatly concerned about the desperate situation of wives who seek refuge and help on leaving the mat</w:t>
      </w:r>
      <w:r w:rsidR="00524B05" w:rsidRPr="008E3154">
        <w:rPr>
          <w:color w:val="000000" w:themeColor="text1"/>
        </w:rPr>
        <w:t>rimonial ho</w:t>
      </w:r>
      <w:r w:rsidR="00D71B70" w:rsidRPr="008E3154">
        <w:rPr>
          <w:color w:val="000000" w:themeColor="text1"/>
        </w:rPr>
        <w:t>m</w:t>
      </w:r>
      <w:r w:rsidR="00524B05" w:rsidRPr="008E3154">
        <w:rPr>
          <w:color w:val="000000" w:themeColor="text1"/>
        </w:rPr>
        <w:t>e after physical assaults by their husbands”</w:t>
      </w:r>
      <w:r w:rsidR="0074372F" w:rsidRPr="008E3154">
        <w:rPr>
          <w:color w:val="000000" w:themeColor="text1"/>
        </w:rPr>
        <w:t>. The government was</w:t>
      </w:r>
      <w:r w:rsidR="00524B05" w:rsidRPr="008E3154">
        <w:rPr>
          <w:color w:val="000000" w:themeColor="text1"/>
        </w:rPr>
        <w:t xml:space="preserve"> urged to “take steps to help them by the provision of local authority and grant-aided charitable ‘</w:t>
      </w:r>
      <w:r w:rsidR="00524B05" w:rsidRPr="0086738D">
        <w:rPr>
          <w:color w:val="000000" w:themeColor="text1"/>
          <w:highlight w:val="yellow"/>
        </w:rPr>
        <w:t>Refuge Hostels’</w:t>
      </w:r>
      <w:r w:rsidR="00524B05" w:rsidRPr="008E3154">
        <w:rPr>
          <w:color w:val="000000" w:themeColor="text1"/>
        </w:rPr>
        <w:t xml:space="preserve"> in which they and their </w:t>
      </w:r>
      <w:r w:rsidR="00524B05" w:rsidRPr="008E3154">
        <w:rPr>
          <w:rStyle w:val="IntenseQuoteChar"/>
          <w:i w:val="0"/>
          <w:iCs w:val="0"/>
          <w:color w:val="000000" w:themeColor="text1"/>
          <w:highlight w:val="yellow"/>
        </w:rPr>
        <w:t>children</w:t>
      </w:r>
      <w:r w:rsidR="00524B05" w:rsidRPr="008E3154">
        <w:rPr>
          <w:color w:val="000000" w:themeColor="text1"/>
        </w:rPr>
        <w:t xml:space="preserve"> may obtain emergency accommodation”.</w:t>
      </w:r>
      <w:r w:rsidR="00A60DE7" w:rsidRPr="008E3154">
        <w:rPr>
          <w:rStyle w:val="FootnoteReference"/>
          <w:color w:val="000000" w:themeColor="text1"/>
        </w:rPr>
        <w:footnoteReference w:id="84"/>
      </w:r>
      <w:r w:rsidR="005855C6" w:rsidRPr="008E3154">
        <w:rPr>
          <w:color w:val="000000" w:themeColor="text1"/>
        </w:rPr>
        <w:t xml:space="preserve"> </w:t>
      </w:r>
      <w:r w:rsidR="00963A7D" w:rsidRPr="008E3154">
        <w:rPr>
          <w:color w:val="000000" w:themeColor="text1"/>
        </w:rPr>
        <w:t xml:space="preserve">An editorial in the </w:t>
      </w:r>
      <w:r w:rsidR="00235629" w:rsidRPr="008E3154">
        <w:rPr>
          <w:color w:val="000000" w:themeColor="text1"/>
        </w:rPr>
        <w:t xml:space="preserve">May 1975 edition of </w:t>
      </w:r>
      <w:r w:rsidR="00235629" w:rsidRPr="00935D7F">
        <w:rPr>
          <w:i/>
          <w:color w:val="000000" w:themeColor="text1"/>
          <w:highlight w:val="yellow"/>
        </w:rPr>
        <w:t>The Townswoman</w:t>
      </w:r>
      <w:r w:rsidR="00235629" w:rsidRPr="008E3154">
        <w:rPr>
          <w:color w:val="000000" w:themeColor="text1"/>
        </w:rPr>
        <w:t xml:space="preserve"> noted that </w:t>
      </w:r>
      <w:r w:rsidR="00700DDA" w:rsidRPr="008E3154">
        <w:rPr>
          <w:color w:val="000000" w:themeColor="text1"/>
        </w:rPr>
        <w:t>having</w:t>
      </w:r>
      <w:r w:rsidR="004F4E3A" w:rsidRPr="008E3154">
        <w:rPr>
          <w:color w:val="000000" w:themeColor="text1"/>
        </w:rPr>
        <w:t xml:space="preserve"> </w:t>
      </w:r>
      <w:r w:rsidR="00846C56" w:rsidRPr="008E3154">
        <w:rPr>
          <w:color w:val="000000" w:themeColor="text1"/>
        </w:rPr>
        <w:t xml:space="preserve">the two largest </w:t>
      </w:r>
      <w:r w:rsidR="00846C56" w:rsidRPr="008E3154">
        <w:rPr>
          <w:color w:val="000000" w:themeColor="text1"/>
          <w:highlight w:val="yellow"/>
        </w:rPr>
        <w:t>housewives’ associations</w:t>
      </w:r>
      <w:r w:rsidR="00846C56" w:rsidRPr="008E3154">
        <w:rPr>
          <w:color w:val="000000" w:themeColor="text1"/>
        </w:rPr>
        <w:t xml:space="preserve"> </w:t>
      </w:r>
      <w:r w:rsidR="00BE48D1" w:rsidRPr="008E3154">
        <w:rPr>
          <w:color w:val="000000" w:themeColor="text1"/>
        </w:rPr>
        <w:t>calling for hostel provision</w:t>
      </w:r>
      <w:r w:rsidR="000B125C" w:rsidRPr="008E3154">
        <w:rPr>
          <w:color w:val="000000" w:themeColor="text1"/>
        </w:rPr>
        <w:t xml:space="preserve"> </w:t>
      </w:r>
      <w:r w:rsidR="00E35F9D" w:rsidRPr="008E3154">
        <w:rPr>
          <w:color w:val="000000" w:themeColor="text1"/>
        </w:rPr>
        <w:t xml:space="preserve">for </w:t>
      </w:r>
      <w:r w:rsidR="000B125C" w:rsidRPr="008E3154">
        <w:rPr>
          <w:color w:val="000000" w:themeColor="text1"/>
        </w:rPr>
        <w:t>battered wives</w:t>
      </w:r>
      <w:r w:rsidR="00BE48D1" w:rsidRPr="008E3154">
        <w:rPr>
          <w:color w:val="000000" w:themeColor="text1"/>
        </w:rPr>
        <w:t xml:space="preserve"> was </w:t>
      </w:r>
      <w:r w:rsidR="00200D4E" w:rsidRPr="008E3154">
        <w:rPr>
          <w:color w:val="000000" w:themeColor="text1"/>
        </w:rPr>
        <w:t>a “hefty straw to show the Governme</w:t>
      </w:r>
      <w:r w:rsidR="008065CA" w:rsidRPr="008E3154">
        <w:rPr>
          <w:color w:val="000000" w:themeColor="text1"/>
        </w:rPr>
        <w:t>nt which way the wind is blowing in</w:t>
      </w:r>
      <w:r w:rsidR="00BE48D1" w:rsidRPr="008E3154">
        <w:rPr>
          <w:color w:val="000000" w:themeColor="text1"/>
        </w:rPr>
        <w:t xml:space="preserve"> the country</w:t>
      </w:r>
      <w:r w:rsidR="003404A6" w:rsidRPr="008E3154">
        <w:rPr>
          <w:color w:val="000000" w:themeColor="text1"/>
        </w:rPr>
        <w:t>”.</w:t>
      </w:r>
      <w:r w:rsidR="00D772F3" w:rsidRPr="008E3154">
        <w:rPr>
          <w:rStyle w:val="FootnoteReference"/>
          <w:color w:val="000000" w:themeColor="text1"/>
        </w:rPr>
        <w:footnoteReference w:id="85"/>
      </w:r>
    </w:p>
    <w:p w14:paraId="78FD2599" w14:textId="77777777" w:rsidR="006B7225" w:rsidRPr="008E3154" w:rsidRDefault="006B7225" w:rsidP="00023800">
      <w:pPr>
        <w:spacing w:line="480" w:lineRule="auto"/>
        <w:rPr>
          <w:color w:val="000000" w:themeColor="text1"/>
        </w:rPr>
      </w:pPr>
    </w:p>
    <w:p w14:paraId="7BC7C583" w14:textId="77777777" w:rsidR="00E35F9D" w:rsidRPr="008E3154" w:rsidRDefault="000645D4" w:rsidP="006A2771">
      <w:pPr>
        <w:spacing w:line="480" w:lineRule="auto"/>
        <w:rPr>
          <w:b/>
          <w:color w:val="000000" w:themeColor="text1"/>
        </w:rPr>
      </w:pPr>
      <w:r w:rsidRPr="008E3154">
        <w:rPr>
          <w:b/>
          <w:color w:val="000000" w:themeColor="text1"/>
        </w:rPr>
        <w:t>Conclusion</w:t>
      </w:r>
    </w:p>
    <w:p w14:paraId="743806D7" w14:textId="77777777" w:rsidR="00023800" w:rsidRPr="008E3154" w:rsidRDefault="00023800" w:rsidP="006A2771">
      <w:pPr>
        <w:spacing w:line="480" w:lineRule="auto"/>
        <w:rPr>
          <w:b/>
          <w:color w:val="000000" w:themeColor="text1"/>
        </w:rPr>
      </w:pPr>
    </w:p>
    <w:p w14:paraId="476CA457" w14:textId="11EA7F79" w:rsidR="007B5661" w:rsidRPr="008E3154" w:rsidRDefault="00775972" w:rsidP="00EF5BB1">
      <w:pPr>
        <w:spacing w:line="480" w:lineRule="auto"/>
        <w:ind w:firstLine="720"/>
        <w:rPr>
          <w:color w:val="000000" w:themeColor="text1"/>
        </w:rPr>
      </w:pPr>
      <w:r w:rsidRPr="008E3154">
        <w:rPr>
          <w:color w:val="000000" w:themeColor="text1"/>
          <w:highlight w:val="yellow"/>
        </w:rPr>
        <w:t xml:space="preserve">bell </w:t>
      </w:r>
      <w:r w:rsidR="0051200F" w:rsidRPr="008E3154">
        <w:rPr>
          <w:color w:val="000000" w:themeColor="text1"/>
          <w:highlight w:val="yellow"/>
        </w:rPr>
        <w:t>hooks</w:t>
      </w:r>
      <w:r w:rsidR="0051200F" w:rsidRPr="008E3154">
        <w:rPr>
          <w:color w:val="000000" w:themeColor="text1"/>
        </w:rPr>
        <w:t xml:space="preserve"> cautioned</w:t>
      </w:r>
      <w:r w:rsidRPr="008E3154">
        <w:rPr>
          <w:color w:val="000000" w:themeColor="text1"/>
        </w:rPr>
        <w:t xml:space="preserve"> </w:t>
      </w:r>
      <w:r w:rsidR="006D7FB3" w:rsidRPr="008E3154">
        <w:rPr>
          <w:color w:val="000000" w:themeColor="text1"/>
        </w:rPr>
        <w:t xml:space="preserve">that </w:t>
      </w:r>
      <w:r w:rsidRPr="008E3154">
        <w:rPr>
          <w:color w:val="000000" w:themeColor="text1"/>
        </w:rPr>
        <w:t>h</w:t>
      </w:r>
      <w:r w:rsidR="00A617D4" w:rsidRPr="008E3154">
        <w:rPr>
          <w:color w:val="000000" w:themeColor="text1"/>
        </w:rPr>
        <w:t xml:space="preserve">ierarches of experience and </w:t>
      </w:r>
      <w:r w:rsidR="00475C41" w:rsidRPr="008E3154">
        <w:rPr>
          <w:color w:val="000000" w:themeColor="text1"/>
        </w:rPr>
        <w:t>“</w:t>
      </w:r>
      <w:r w:rsidR="00475C41" w:rsidRPr="008E3154">
        <w:rPr>
          <w:color w:val="000000" w:themeColor="text1"/>
          <w:highlight w:val="yellow"/>
        </w:rPr>
        <w:t>authority of experience</w:t>
      </w:r>
      <w:r w:rsidR="00475C41" w:rsidRPr="008E3154">
        <w:rPr>
          <w:color w:val="000000" w:themeColor="text1"/>
        </w:rPr>
        <w:t>”</w:t>
      </w:r>
      <w:r w:rsidRPr="008E3154">
        <w:rPr>
          <w:color w:val="000000" w:themeColor="text1"/>
        </w:rPr>
        <w:t xml:space="preserve"> </w:t>
      </w:r>
      <w:r w:rsidR="00F87F37" w:rsidRPr="008E3154">
        <w:rPr>
          <w:color w:val="000000" w:themeColor="text1"/>
        </w:rPr>
        <w:t xml:space="preserve">can </w:t>
      </w:r>
      <w:r w:rsidRPr="008E3154">
        <w:rPr>
          <w:color w:val="000000" w:themeColor="text1"/>
        </w:rPr>
        <w:t>be used to “silence and exclude”.</w:t>
      </w:r>
      <w:r w:rsidR="008032EB" w:rsidRPr="008E3154">
        <w:rPr>
          <w:rStyle w:val="FootnoteReference"/>
          <w:color w:val="000000" w:themeColor="text1"/>
        </w:rPr>
        <w:footnoteReference w:id="86"/>
      </w:r>
      <w:r w:rsidR="008032EB" w:rsidRPr="008E3154">
        <w:rPr>
          <w:color w:val="000000" w:themeColor="text1"/>
        </w:rPr>
        <w:t xml:space="preserve"> </w:t>
      </w:r>
      <w:r w:rsidR="006D7FB3" w:rsidRPr="008E3154">
        <w:rPr>
          <w:color w:val="000000" w:themeColor="text1"/>
        </w:rPr>
        <w:t>The privi</w:t>
      </w:r>
      <w:r w:rsidR="00570A77" w:rsidRPr="008E3154">
        <w:rPr>
          <w:color w:val="000000" w:themeColor="text1"/>
        </w:rPr>
        <w:t>lege given to</w:t>
      </w:r>
      <w:r w:rsidR="007008F5" w:rsidRPr="008E3154">
        <w:rPr>
          <w:color w:val="000000" w:themeColor="text1"/>
        </w:rPr>
        <w:t xml:space="preserve"> negativ</w:t>
      </w:r>
      <w:r w:rsidR="005A7BFB" w:rsidRPr="008E3154">
        <w:rPr>
          <w:color w:val="000000" w:themeColor="text1"/>
        </w:rPr>
        <w:t xml:space="preserve">e experiences of </w:t>
      </w:r>
      <w:r w:rsidR="005A7BFB" w:rsidRPr="008E3154">
        <w:rPr>
          <w:color w:val="000000" w:themeColor="text1"/>
          <w:highlight w:val="yellow"/>
        </w:rPr>
        <w:t>housewives</w:t>
      </w:r>
      <w:r w:rsidR="005A7BFB" w:rsidRPr="008E3154">
        <w:rPr>
          <w:color w:val="000000" w:themeColor="text1"/>
        </w:rPr>
        <w:t xml:space="preserve">, the “captive” wife, </w:t>
      </w:r>
      <w:r w:rsidR="00F87F37" w:rsidRPr="008E3154">
        <w:rPr>
          <w:color w:val="000000" w:themeColor="text1"/>
        </w:rPr>
        <w:t xml:space="preserve">propagated by the </w:t>
      </w:r>
      <w:r w:rsidR="00F87F37" w:rsidRPr="008E3154">
        <w:rPr>
          <w:color w:val="000000" w:themeColor="text1"/>
          <w:highlight w:val="yellow"/>
        </w:rPr>
        <w:lastRenderedPageBreak/>
        <w:t>WLM</w:t>
      </w:r>
      <w:r w:rsidR="00F87F37" w:rsidRPr="008E3154">
        <w:rPr>
          <w:color w:val="000000" w:themeColor="text1"/>
        </w:rPr>
        <w:t xml:space="preserve"> has</w:t>
      </w:r>
      <w:r w:rsidR="00570A77" w:rsidRPr="008E3154">
        <w:rPr>
          <w:color w:val="000000" w:themeColor="text1"/>
        </w:rPr>
        <w:t xml:space="preserve"> resulted in a monolithic understanding of</w:t>
      </w:r>
      <w:r w:rsidR="00F87F37" w:rsidRPr="008E3154">
        <w:rPr>
          <w:color w:val="000000" w:themeColor="text1"/>
        </w:rPr>
        <w:t xml:space="preserve"> housewifery in the late twentieth century. </w:t>
      </w:r>
      <w:r w:rsidR="00077870" w:rsidRPr="008E3154">
        <w:rPr>
          <w:color w:val="000000" w:themeColor="text1"/>
        </w:rPr>
        <w:t xml:space="preserve">Of course </w:t>
      </w:r>
      <w:r w:rsidR="00FF0152" w:rsidRPr="008E3154">
        <w:rPr>
          <w:color w:val="000000" w:themeColor="text1"/>
        </w:rPr>
        <w:t xml:space="preserve">not all women shared this experience. </w:t>
      </w:r>
      <w:r w:rsidR="00473C4A" w:rsidRPr="008E3154">
        <w:rPr>
          <w:color w:val="000000" w:themeColor="text1"/>
        </w:rPr>
        <w:t>S</w:t>
      </w:r>
      <w:r w:rsidR="003D7197" w:rsidRPr="008E3154">
        <w:rPr>
          <w:color w:val="000000" w:themeColor="text1"/>
        </w:rPr>
        <w:t>atisfaction and fulfillmen</w:t>
      </w:r>
      <w:r w:rsidR="007B4CC2" w:rsidRPr="008E3154">
        <w:rPr>
          <w:color w:val="000000" w:themeColor="text1"/>
        </w:rPr>
        <w:t>t could b</w:t>
      </w:r>
      <w:r w:rsidR="00B00CE1" w:rsidRPr="008E3154">
        <w:rPr>
          <w:color w:val="000000" w:themeColor="text1"/>
        </w:rPr>
        <w:t xml:space="preserve">e found in unpaid domestic work, and </w:t>
      </w:r>
      <w:r w:rsidR="009A5862" w:rsidRPr="008E3154">
        <w:rPr>
          <w:color w:val="000000" w:themeColor="text1"/>
        </w:rPr>
        <w:t xml:space="preserve">in </w:t>
      </w:r>
      <w:r w:rsidR="00B00CE1" w:rsidRPr="008E3154">
        <w:rPr>
          <w:color w:val="000000" w:themeColor="text1"/>
        </w:rPr>
        <w:t xml:space="preserve">membership </w:t>
      </w:r>
      <w:r w:rsidR="000D32A6" w:rsidRPr="008E3154">
        <w:rPr>
          <w:color w:val="000000" w:themeColor="text1"/>
        </w:rPr>
        <w:t xml:space="preserve">of </w:t>
      </w:r>
      <w:r w:rsidR="000D32A6" w:rsidRPr="008E3154">
        <w:rPr>
          <w:color w:val="000000" w:themeColor="text1"/>
          <w:highlight w:val="yellow"/>
        </w:rPr>
        <w:t>housewives’ associations</w:t>
      </w:r>
      <w:r w:rsidR="000D32A6" w:rsidRPr="008E3154">
        <w:rPr>
          <w:color w:val="000000" w:themeColor="text1"/>
        </w:rPr>
        <w:t xml:space="preserve">. </w:t>
      </w:r>
      <w:r w:rsidR="00984B02" w:rsidRPr="008E3154">
        <w:rPr>
          <w:color w:val="000000" w:themeColor="text1"/>
        </w:rPr>
        <w:t>Moreover, and</w:t>
      </w:r>
      <w:r w:rsidR="000D32A6" w:rsidRPr="008E3154">
        <w:rPr>
          <w:color w:val="000000" w:themeColor="text1"/>
        </w:rPr>
        <w:t xml:space="preserve"> as </w:t>
      </w:r>
      <w:r w:rsidR="000D32A6" w:rsidRPr="008E3154">
        <w:rPr>
          <w:color w:val="000000" w:themeColor="text1"/>
          <w:highlight w:val="yellow"/>
        </w:rPr>
        <w:t>hooks</w:t>
      </w:r>
      <w:r w:rsidR="000D32A6" w:rsidRPr="008E3154">
        <w:rPr>
          <w:color w:val="000000" w:themeColor="text1"/>
        </w:rPr>
        <w:t xml:space="preserve"> has shown</w:t>
      </w:r>
      <w:r w:rsidR="00984B02" w:rsidRPr="008E3154">
        <w:rPr>
          <w:color w:val="000000" w:themeColor="text1"/>
        </w:rPr>
        <w:t>,</w:t>
      </w:r>
      <w:r w:rsidR="000D32A6" w:rsidRPr="008E3154">
        <w:rPr>
          <w:color w:val="000000" w:themeColor="text1"/>
        </w:rPr>
        <w:t xml:space="preserve"> the experiences of </w:t>
      </w:r>
      <w:r w:rsidR="00077870" w:rsidRPr="008E3154">
        <w:rPr>
          <w:color w:val="000000" w:themeColor="text1"/>
        </w:rPr>
        <w:t>women of colour and working-class women</w:t>
      </w:r>
      <w:r w:rsidR="00895581" w:rsidRPr="008E3154">
        <w:rPr>
          <w:color w:val="000000" w:themeColor="text1"/>
        </w:rPr>
        <w:t xml:space="preserve"> </w:t>
      </w:r>
      <w:r w:rsidR="000D32A6" w:rsidRPr="008E3154">
        <w:rPr>
          <w:color w:val="000000" w:themeColor="text1"/>
        </w:rPr>
        <w:t xml:space="preserve">are missing in key </w:t>
      </w:r>
      <w:r w:rsidR="00E064FD" w:rsidRPr="008E3154">
        <w:rPr>
          <w:color w:val="000000" w:themeColor="text1"/>
        </w:rPr>
        <w:t xml:space="preserve">feminist </w:t>
      </w:r>
      <w:r w:rsidR="000D32A6" w:rsidRPr="008E3154">
        <w:rPr>
          <w:color w:val="000000" w:themeColor="text1"/>
        </w:rPr>
        <w:t xml:space="preserve">texts such as </w:t>
      </w:r>
      <w:r w:rsidR="000D32A6" w:rsidRPr="008E3154">
        <w:rPr>
          <w:i/>
          <w:color w:val="000000" w:themeColor="text1"/>
        </w:rPr>
        <w:t>The Feminine Mystique</w:t>
      </w:r>
      <w:r w:rsidR="000D32A6" w:rsidRPr="008E3154">
        <w:rPr>
          <w:color w:val="000000" w:themeColor="text1"/>
        </w:rPr>
        <w:t>.</w:t>
      </w:r>
      <w:r w:rsidR="006466FA" w:rsidRPr="008E3154">
        <w:rPr>
          <w:rStyle w:val="FootnoteReference"/>
          <w:color w:val="000000" w:themeColor="text1"/>
        </w:rPr>
        <w:footnoteReference w:id="87"/>
      </w:r>
    </w:p>
    <w:p w14:paraId="0AEEE6E6" w14:textId="3ED9CFF4" w:rsidR="004B231D" w:rsidRPr="008E3154" w:rsidRDefault="00525467" w:rsidP="00C433A9">
      <w:pPr>
        <w:spacing w:line="480" w:lineRule="auto"/>
        <w:rPr>
          <w:color w:val="000000" w:themeColor="text1"/>
        </w:rPr>
      </w:pPr>
      <w:r w:rsidRPr="008E3154">
        <w:rPr>
          <w:color w:val="000000" w:themeColor="text1"/>
        </w:rPr>
        <w:tab/>
      </w:r>
      <w:r w:rsidR="00AB6CE1" w:rsidRPr="008E3154">
        <w:rPr>
          <w:color w:val="000000" w:themeColor="text1"/>
        </w:rPr>
        <w:t xml:space="preserve">By shifting attention </w:t>
      </w:r>
      <w:r w:rsidR="00A42EB3" w:rsidRPr="008E3154">
        <w:rPr>
          <w:color w:val="000000" w:themeColor="text1"/>
        </w:rPr>
        <w:t>on</w:t>
      </w:r>
      <w:r w:rsidR="00AB6CE1" w:rsidRPr="008E3154">
        <w:rPr>
          <w:color w:val="000000" w:themeColor="text1"/>
        </w:rPr>
        <w:t>to</w:t>
      </w:r>
      <w:r w:rsidR="00621498" w:rsidRPr="008E3154">
        <w:rPr>
          <w:color w:val="000000" w:themeColor="text1"/>
        </w:rPr>
        <w:t xml:space="preserve"> </w:t>
      </w:r>
      <w:r w:rsidR="00A56EC9" w:rsidRPr="008E3154">
        <w:rPr>
          <w:color w:val="000000" w:themeColor="text1"/>
        </w:rPr>
        <w:t>two</w:t>
      </w:r>
      <w:r w:rsidR="00AB6CE1" w:rsidRPr="008E3154">
        <w:rPr>
          <w:color w:val="000000" w:themeColor="text1"/>
        </w:rPr>
        <w:t xml:space="preserve"> </w:t>
      </w:r>
      <w:r w:rsidR="00AB6CE1" w:rsidRPr="008E3154">
        <w:rPr>
          <w:color w:val="000000" w:themeColor="text1"/>
          <w:highlight w:val="yellow"/>
        </w:rPr>
        <w:t>housewives</w:t>
      </w:r>
      <w:r w:rsidR="00A56EC9" w:rsidRPr="008E3154">
        <w:rPr>
          <w:color w:val="000000" w:themeColor="text1"/>
          <w:highlight w:val="yellow"/>
        </w:rPr>
        <w:t>’ associations</w:t>
      </w:r>
      <w:r w:rsidR="00A56EC9" w:rsidRPr="008E3154">
        <w:rPr>
          <w:color w:val="000000" w:themeColor="text1"/>
        </w:rPr>
        <w:t>,</w:t>
      </w:r>
      <w:r w:rsidR="00AD30DE" w:rsidRPr="008E3154">
        <w:rPr>
          <w:color w:val="000000" w:themeColor="text1"/>
        </w:rPr>
        <w:t xml:space="preserve"> </w:t>
      </w:r>
      <w:r w:rsidR="004A374B" w:rsidRPr="008E3154">
        <w:rPr>
          <w:color w:val="000000" w:themeColor="text1"/>
        </w:rPr>
        <w:t xml:space="preserve">the </w:t>
      </w:r>
      <w:r w:rsidR="00E064FD" w:rsidRPr="008E3154">
        <w:rPr>
          <w:color w:val="000000" w:themeColor="text1"/>
          <w:highlight w:val="yellow"/>
        </w:rPr>
        <w:t>NFWI</w:t>
      </w:r>
      <w:r w:rsidR="00E064FD" w:rsidRPr="008E3154">
        <w:rPr>
          <w:color w:val="000000" w:themeColor="text1"/>
        </w:rPr>
        <w:t xml:space="preserve"> and </w:t>
      </w:r>
      <w:r w:rsidR="00E064FD" w:rsidRPr="008E3154">
        <w:rPr>
          <w:color w:val="000000" w:themeColor="text1"/>
          <w:highlight w:val="yellow"/>
        </w:rPr>
        <w:t>TG</w:t>
      </w:r>
      <w:r w:rsidR="00C433A9" w:rsidRPr="008E3154">
        <w:rPr>
          <w:color w:val="000000" w:themeColor="text1"/>
        </w:rPr>
        <w:t>,</w:t>
      </w:r>
      <w:r w:rsidR="00E064FD" w:rsidRPr="008E3154">
        <w:rPr>
          <w:color w:val="000000" w:themeColor="text1"/>
        </w:rPr>
        <w:t xml:space="preserve"> and </w:t>
      </w:r>
      <w:r w:rsidR="00204744" w:rsidRPr="008E3154">
        <w:rPr>
          <w:color w:val="000000" w:themeColor="text1"/>
        </w:rPr>
        <w:t xml:space="preserve">by focusing on the </w:t>
      </w:r>
      <w:r w:rsidR="00204744" w:rsidRPr="008E3154">
        <w:rPr>
          <w:color w:val="000000" w:themeColor="text1"/>
          <w:highlight w:val="yellow"/>
        </w:rPr>
        <w:t>welfare activism</w:t>
      </w:r>
      <w:r w:rsidR="00204744" w:rsidRPr="008E3154">
        <w:rPr>
          <w:color w:val="000000" w:themeColor="text1"/>
        </w:rPr>
        <w:t xml:space="preserve"> of both groups</w:t>
      </w:r>
      <w:r w:rsidR="00C433A9" w:rsidRPr="008E3154">
        <w:rPr>
          <w:color w:val="000000" w:themeColor="text1"/>
        </w:rPr>
        <w:t>,</w:t>
      </w:r>
      <w:r w:rsidR="00204744" w:rsidRPr="008E3154">
        <w:rPr>
          <w:color w:val="000000" w:themeColor="text1"/>
        </w:rPr>
        <w:t xml:space="preserve"> alternative</w:t>
      </w:r>
      <w:r w:rsidR="00C433A9" w:rsidRPr="008E3154">
        <w:rPr>
          <w:color w:val="000000" w:themeColor="text1"/>
        </w:rPr>
        <w:t xml:space="preserve"> narratives </w:t>
      </w:r>
      <w:r w:rsidR="00FB50B3" w:rsidRPr="008E3154">
        <w:rPr>
          <w:color w:val="000000" w:themeColor="text1"/>
        </w:rPr>
        <w:t xml:space="preserve">appear </w:t>
      </w:r>
      <w:r w:rsidR="00D51AB9" w:rsidRPr="008E3154">
        <w:rPr>
          <w:color w:val="000000" w:themeColor="text1"/>
        </w:rPr>
        <w:t xml:space="preserve">that challenge understandings of the history of the </w:t>
      </w:r>
      <w:r w:rsidR="00D51AB9" w:rsidRPr="008E3154">
        <w:rPr>
          <w:color w:val="000000" w:themeColor="text1"/>
          <w:highlight w:val="yellow"/>
        </w:rPr>
        <w:t>welfare state</w:t>
      </w:r>
      <w:r w:rsidR="00D51AB9" w:rsidRPr="008E3154">
        <w:rPr>
          <w:color w:val="000000" w:themeColor="text1"/>
        </w:rPr>
        <w:t xml:space="preserve"> and the </w:t>
      </w:r>
      <w:r w:rsidR="00D51AB9" w:rsidRPr="008E3154">
        <w:rPr>
          <w:color w:val="000000" w:themeColor="text1"/>
          <w:highlight w:val="yellow"/>
        </w:rPr>
        <w:t>women’s movement</w:t>
      </w:r>
      <w:r w:rsidR="00D51AB9" w:rsidRPr="008E3154">
        <w:rPr>
          <w:color w:val="000000" w:themeColor="text1"/>
        </w:rPr>
        <w:t xml:space="preserve">. </w:t>
      </w:r>
      <w:r w:rsidR="00EE2993" w:rsidRPr="008E3154">
        <w:rPr>
          <w:color w:val="000000" w:themeColor="text1"/>
        </w:rPr>
        <w:t xml:space="preserve">For example </w:t>
      </w:r>
      <w:r w:rsidR="00367E4C" w:rsidRPr="008E3154">
        <w:rPr>
          <w:color w:val="000000" w:themeColor="text1"/>
        </w:rPr>
        <w:t>d</w:t>
      </w:r>
      <w:r w:rsidR="00067D9D" w:rsidRPr="008E3154">
        <w:rPr>
          <w:color w:val="000000" w:themeColor="text1"/>
        </w:rPr>
        <w:t xml:space="preserve">uring the 1960s and 1970s </w:t>
      </w:r>
      <w:r w:rsidR="00367E4C" w:rsidRPr="008E3154">
        <w:rPr>
          <w:color w:val="000000" w:themeColor="text1"/>
        </w:rPr>
        <w:t xml:space="preserve">the </w:t>
      </w:r>
      <w:r w:rsidR="00067D9D" w:rsidRPr="008E3154">
        <w:rPr>
          <w:color w:val="000000" w:themeColor="text1"/>
        </w:rPr>
        <w:t xml:space="preserve">membership </w:t>
      </w:r>
      <w:r w:rsidR="00367E4C" w:rsidRPr="008E3154">
        <w:rPr>
          <w:color w:val="000000" w:themeColor="text1"/>
        </w:rPr>
        <w:t xml:space="preserve">profile </w:t>
      </w:r>
      <w:r w:rsidR="00067D9D" w:rsidRPr="008E3154">
        <w:rPr>
          <w:color w:val="000000" w:themeColor="text1"/>
        </w:rPr>
        <w:t xml:space="preserve">of the </w:t>
      </w:r>
      <w:r w:rsidR="00067D9D" w:rsidRPr="008E3154">
        <w:rPr>
          <w:color w:val="000000" w:themeColor="text1"/>
          <w:highlight w:val="yellow"/>
        </w:rPr>
        <w:t>NFWI</w:t>
      </w:r>
      <w:r w:rsidR="00067D9D" w:rsidRPr="008E3154">
        <w:rPr>
          <w:color w:val="000000" w:themeColor="text1"/>
        </w:rPr>
        <w:t xml:space="preserve"> and </w:t>
      </w:r>
      <w:r w:rsidR="00067D9D" w:rsidRPr="008E3154">
        <w:rPr>
          <w:color w:val="000000" w:themeColor="text1"/>
          <w:highlight w:val="yellow"/>
        </w:rPr>
        <w:t>TG</w:t>
      </w:r>
      <w:r w:rsidR="00067D9D" w:rsidRPr="008E3154">
        <w:rPr>
          <w:color w:val="000000" w:themeColor="text1"/>
        </w:rPr>
        <w:t xml:space="preserve"> was</w:t>
      </w:r>
      <w:r w:rsidR="00367E4C" w:rsidRPr="008E3154">
        <w:rPr>
          <w:color w:val="000000" w:themeColor="text1"/>
        </w:rPr>
        <w:t xml:space="preserve"> ageing, </w:t>
      </w:r>
      <w:r w:rsidR="00F7570B" w:rsidRPr="008E3154">
        <w:rPr>
          <w:color w:val="000000" w:themeColor="text1"/>
        </w:rPr>
        <w:t>providing an interesting counterpoint to the</w:t>
      </w:r>
      <w:r w:rsidR="00403E33" w:rsidRPr="008E3154">
        <w:rPr>
          <w:color w:val="000000" w:themeColor="text1"/>
        </w:rPr>
        <w:t xml:space="preserve"> </w:t>
      </w:r>
      <w:r w:rsidR="00EE2993" w:rsidRPr="008E3154">
        <w:rPr>
          <w:color w:val="000000" w:themeColor="text1"/>
        </w:rPr>
        <w:t xml:space="preserve">welfare </w:t>
      </w:r>
      <w:r w:rsidR="00403E33" w:rsidRPr="008E3154">
        <w:rPr>
          <w:color w:val="000000" w:themeColor="text1"/>
        </w:rPr>
        <w:t xml:space="preserve">demands of the </w:t>
      </w:r>
      <w:r w:rsidR="00403E33" w:rsidRPr="008E3154">
        <w:rPr>
          <w:color w:val="000000" w:themeColor="text1"/>
          <w:highlight w:val="yellow"/>
        </w:rPr>
        <w:t>WLM</w:t>
      </w:r>
      <w:r w:rsidR="00403E33" w:rsidRPr="008E3154">
        <w:rPr>
          <w:color w:val="000000" w:themeColor="text1"/>
        </w:rPr>
        <w:t xml:space="preserve">, most often associated with the interests of younger women. </w:t>
      </w:r>
      <w:r w:rsidR="00367E4C" w:rsidRPr="008E3154">
        <w:rPr>
          <w:color w:val="000000" w:themeColor="text1"/>
        </w:rPr>
        <w:t>Nonetheless</w:t>
      </w:r>
      <w:r w:rsidR="00352D62" w:rsidRPr="008E3154">
        <w:rPr>
          <w:color w:val="000000" w:themeColor="text1"/>
        </w:rPr>
        <w:t xml:space="preserve"> an</w:t>
      </w:r>
      <w:r w:rsidR="004470AE" w:rsidRPr="008E3154">
        <w:rPr>
          <w:color w:val="000000" w:themeColor="text1"/>
        </w:rPr>
        <w:t xml:space="preserve"> “</w:t>
      </w:r>
      <w:r w:rsidR="004470AE" w:rsidRPr="008E3154">
        <w:rPr>
          <w:color w:val="000000" w:themeColor="text1"/>
          <w:highlight w:val="yellow"/>
        </w:rPr>
        <w:t>auth</w:t>
      </w:r>
      <w:r w:rsidR="00A00318" w:rsidRPr="008E3154">
        <w:rPr>
          <w:color w:val="000000" w:themeColor="text1"/>
          <w:highlight w:val="yellow"/>
        </w:rPr>
        <w:t>ority of experience</w:t>
      </w:r>
      <w:r w:rsidR="00A00318" w:rsidRPr="008E3154">
        <w:rPr>
          <w:color w:val="000000" w:themeColor="text1"/>
        </w:rPr>
        <w:t xml:space="preserve">” </w:t>
      </w:r>
      <w:r w:rsidR="00233809" w:rsidRPr="008E3154">
        <w:rPr>
          <w:color w:val="000000" w:themeColor="text1"/>
        </w:rPr>
        <w:t>was</w:t>
      </w:r>
      <w:r w:rsidR="00EE2993" w:rsidRPr="008E3154">
        <w:rPr>
          <w:color w:val="000000" w:themeColor="text1"/>
        </w:rPr>
        <w:t xml:space="preserve"> also</w:t>
      </w:r>
      <w:r w:rsidR="00C600F5" w:rsidRPr="008E3154">
        <w:rPr>
          <w:color w:val="000000" w:themeColor="text1"/>
        </w:rPr>
        <w:t xml:space="preserve"> evident</w:t>
      </w:r>
      <w:r w:rsidR="00A00318" w:rsidRPr="008E3154">
        <w:rPr>
          <w:color w:val="000000" w:themeColor="text1"/>
        </w:rPr>
        <w:t xml:space="preserve"> within </w:t>
      </w:r>
      <w:r w:rsidR="00A00318" w:rsidRPr="008E3154">
        <w:rPr>
          <w:color w:val="000000" w:themeColor="text1"/>
          <w:highlight w:val="yellow"/>
        </w:rPr>
        <w:t>housewives’ associations</w:t>
      </w:r>
      <w:r w:rsidR="004470AE" w:rsidRPr="008E3154">
        <w:rPr>
          <w:color w:val="000000" w:themeColor="text1"/>
        </w:rPr>
        <w:t xml:space="preserve">. </w:t>
      </w:r>
      <w:r w:rsidR="00FB50B3" w:rsidRPr="008E3154">
        <w:rPr>
          <w:color w:val="000000" w:themeColor="text1"/>
        </w:rPr>
        <w:t>Most</w:t>
      </w:r>
      <w:r w:rsidR="002F13D4" w:rsidRPr="008E3154">
        <w:rPr>
          <w:color w:val="000000" w:themeColor="text1"/>
        </w:rPr>
        <w:t xml:space="preserve"> </w:t>
      </w:r>
      <w:r w:rsidR="00FB50B3" w:rsidRPr="008E3154">
        <w:rPr>
          <w:color w:val="000000" w:themeColor="text1"/>
        </w:rPr>
        <w:t>members</w:t>
      </w:r>
      <w:r w:rsidR="00024A9F" w:rsidRPr="008E3154">
        <w:rPr>
          <w:color w:val="000000" w:themeColor="text1"/>
        </w:rPr>
        <w:t xml:space="preserve"> of the </w:t>
      </w:r>
      <w:r w:rsidR="00024A9F" w:rsidRPr="008E3154">
        <w:rPr>
          <w:color w:val="000000" w:themeColor="text1"/>
          <w:highlight w:val="yellow"/>
        </w:rPr>
        <w:t>NFWI</w:t>
      </w:r>
      <w:r w:rsidR="00024A9F" w:rsidRPr="008E3154">
        <w:rPr>
          <w:color w:val="000000" w:themeColor="text1"/>
        </w:rPr>
        <w:t xml:space="preserve"> and </w:t>
      </w:r>
      <w:r w:rsidR="00024A9F" w:rsidRPr="008E3154">
        <w:rPr>
          <w:color w:val="000000" w:themeColor="text1"/>
          <w:highlight w:val="yellow"/>
        </w:rPr>
        <w:t>TG</w:t>
      </w:r>
      <w:r w:rsidR="00233809" w:rsidRPr="008E3154">
        <w:rPr>
          <w:color w:val="000000" w:themeColor="text1"/>
        </w:rPr>
        <w:t xml:space="preserve"> </w:t>
      </w:r>
      <w:r w:rsidR="00024A9F" w:rsidRPr="008E3154">
        <w:rPr>
          <w:color w:val="000000" w:themeColor="text1"/>
        </w:rPr>
        <w:t>w</w:t>
      </w:r>
      <w:r w:rsidR="00FB50B3" w:rsidRPr="008E3154">
        <w:rPr>
          <w:color w:val="000000" w:themeColor="text1"/>
        </w:rPr>
        <w:t>ere</w:t>
      </w:r>
      <w:r w:rsidR="00024A9F" w:rsidRPr="008E3154">
        <w:rPr>
          <w:color w:val="000000" w:themeColor="text1"/>
        </w:rPr>
        <w:t xml:space="preserve"> </w:t>
      </w:r>
      <w:r w:rsidR="00C94BCA" w:rsidRPr="008E3154">
        <w:rPr>
          <w:color w:val="000000" w:themeColor="text1"/>
        </w:rPr>
        <w:t>W</w:t>
      </w:r>
      <w:r w:rsidR="002F13D4" w:rsidRPr="008E3154">
        <w:rPr>
          <w:color w:val="000000" w:themeColor="text1"/>
        </w:rPr>
        <w:t>hite</w:t>
      </w:r>
      <w:r w:rsidR="00FB50B3" w:rsidRPr="008E3154">
        <w:rPr>
          <w:color w:val="000000" w:themeColor="text1"/>
        </w:rPr>
        <w:t>,</w:t>
      </w:r>
      <w:r w:rsidR="00A42EB3" w:rsidRPr="008E3154">
        <w:rPr>
          <w:color w:val="000000" w:themeColor="text1"/>
        </w:rPr>
        <w:t xml:space="preserve"> </w:t>
      </w:r>
      <w:r w:rsidR="0059294E" w:rsidRPr="008E3154">
        <w:rPr>
          <w:color w:val="000000" w:themeColor="text1"/>
        </w:rPr>
        <w:t>middle-aged,</w:t>
      </w:r>
      <w:r w:rsidR="00A42EB3" w:rsidRPr="008E3154">
        <w:rPr>
          <w:color w:val="000000" w:themeColor="text1"/>
        </w:rPr>
        <w:t xml:space="preserve"> or older</w:t>
      </w:r>
      <w:r w:rsidR="004B231D" w:rsidRPr="008E3154">
        <w:rPr>
          <w:color w:val="000000" w:themeColor="text1"/>
        </w:rPr>
        <w:t>,</w:t>
      </w:r>
      <w:r w:rsidR="002F13D4" w:rsidRPr="008E3154">
        <w:rPr>
          <w:color w:val="000000" w:themeColor="text1"/>
        </w:rPr>
        <w:t xml:space="preserve"> and </w:t>
      </w:r>
      <w:r w:rsidR="00A65265" w:rsidRPr="008E3154">
        <w:rPr>
          <w:color w:val="000000" w:themeColor="text1"/>
        </w:rPr>
        <w:t>leadership roles, locally and nationally</w:t>
      </w:r>
      <w:r w:rsidR="00233809" w:rsidRPr="008E3154">
        <w:rPr>
          <w:color w:val="000000" w:themeColor="text1"/>
        </w:rPr>
        <w:t>,</w:t>
      </w:r>
      <w:r w:rsidR="00A65265" w:rsidRPr="008E3154">
        <w:rPr>
          <w:color w:val="000000" w:themeColor="text1"/>
        </w:rPr>
        <w:t xml:space="preserve"> </w:t>
      </w:r>
      <w:r w:rsidR="00233809" w:rsidRPr="008E3154">
        <w:rPr>
          <w:color w:val="000000" w:themeColor="text1"/>
        </w:rPr>
        <w:t>continued to attract</w:t>
      </w:r>
      <w:r w:rsidR="00A65265" w:rsidRPr="008E3154">
        <w:rPr>
          <w:color w:val="000000" w:themeColor="text1"/>
        </w:rPr>
        <w:t xml:space="preserve"> </w:t>
      </w:r>
      <w:r w:rsidR="00FB50B3" w:rsidRPr="008E3154">
        <w:rPr>
          <w:color w:val="000000" w:themeColor="text1"/>
        </w:rPr>
        <w:t xml:space="preserve">the </w:t>
      </w:r>
      <w:r w:rsidR="00A65265" w:rsidRPr="008E3154">
        <w:rPr>
          <w:color w:val="000000" w:themeColor="text1"/>
        </w:rPr>
        <w:t>well-ed</w:t>
      </w:r>
      <w:r w:rsidR="004B231D" w:rsidRPr="008E3154">
        <w:rPr>
          <w:color w:val="000000" w:themeColor="text1"/>
        </w:rPr>
        <w:t>ucated middle-class members.</w:t>
      </w:r>
      <w:r w:rsidR="00C95CAE">
        <w:rPr>
          <w:rStyle w:val="FootnoteReference"/>
          <w:color w:val="000000" w:themeColor="text1"/>
        </w:rPr>
        <w:footnoteReference w:id="88"/>
      </w:r>
      <w:r w:rsidR="004B231D" w:rsidRPr="008E3154">
        <w:rPr>
          <w:color w:val="000000" w:themeColor="text1"/>
        </w:rPr>
        <w:t xml:space="preserve"> </w:t>
      </w:r>
    </w:p>
    <w:p w14:paraId="2D0DD637" w14:textId="0ED640E9" w:rsidR="00BF2A12" w:rsidRPr="008E3154" w:rsidRDefault="00765CAA" w:rsidP="00324082">
      <w:pPr>
        <w:spacing w:line="480" w:lineRule="auto"/>
        <w:ind w:firstLine="720"/>
        <w:rPr>
          <w:color w:val="000000" w:themeColor="text1"/>
        </w:rPr>
      </w:pPr>
      <w:r w:rsidRPr="008E3154">
        <w:rPr>
          <w:color w:val="000000" w:themeColor="text1"/>
        </w:rPr>
        <w:t>In 1976 f</w:t>
      </w:r>
      <w:r w:rsidR="008E5B71" w:rsidRPr="008E3154">
        <w:rPr>
          <w:color w:val="000000" w:themeColor="text1"/>
        </w:rPr>
        <w:t xml:space="preserve">ormer national chairman of the </w:t>
      </w:r>
      <w:r w:rsidR="008E5B71" w:rsidRPr="008E3154">
        <w:rPr>
          <w:color w:val="000000" w:themeColor="text1"/>
          <w:highlight w:val="yellow"/>
        </w:rPr>
        <w:t>TG</w:t>
      </w:r>
      <w:r w:rsidR="008E5B71" w:rsidRPr="008E3154">
        <w:rPr>
          <w:color w:val="000000" w:themeColor="text1"/>
        </w:rPr>
        <w:t>, Marjorie E. Rice</w:t>
      </w:r>
      <w:r w:rsidR="006146BE" w:rsidRPr="008E3154">
        <w:rPr>
          <w:color w:val="000000" w:themeColor="text1"/>
        </w:rPr>
        <w:t xml:space="preserve">, </w:t>
      </w:r>
      <w:r w:rsidR="00C600F5" w:rsidRPr="008E3154">
        <w:rPr>
          <w:color w:val="000000" w:themeColor="text1"/>
        </w:rPr>
        <w:t xml:space="preserve">observed </w:t>
      </w:r>
      <w:r w:rsidR="00C433A9" w:rsidRPr="008E3154">
        <w:rPr>
          <w:color w:val="000000" w:themeColor="text1"/>
        </w:rPr>
        <w:t xml:space="preserve">“women do not, on the whole, join a guild in the hope of putting the world to rights…I suspect a majority join for friendship and companionship”. </w:t>
      </w:r>
      <w:r w:rsidR="00CB2439" w:rsidRPr="008E3154">
        <w:rPr>
          <w:color w:val="000000" w:themeColor="text1"/>
        </w:rPr>
        <w:t xml:space="preserve">Yet </w:t>
      </w:r>
      <w:r w:rsidR="00C433A9" w:rsidRPr="008E3154">
        <w:rPr>
          <w:color w:val="000000" w:themeColor="text1"/>
        </w:rPr>
        <w:t xml:space="preserve">she believed that the opportunities membership created for women prepared to work on controversial issues were invaluable and that this “prevents us from being an exclusively introverted, navel-regarding organisation and establishes </w:t>
      </w:r>
      <w:r w:rsidR="00C433A9" w:rsidRPr="008E3154">
        <w:rPr>
          <w:color w:val="000000" w:themeColor="text1"/>
        </w:rPr>
        <w:lastRenderedPageBreak/>
        <w:t xml:space="preserve">us as a caring, concerned group of people in the </w:t>
      </w:r>
      <w:r w:rsidR="00C433A9" w:rsidRPr="00FC2BD9">
        <w:rPr>
          <w:color w:val="000000" w:themeColor="text1"/>
          <w:highlight w:val="yellow"/>
        </w:rPr>
        <w:t>community</w:t>
      </w:r>
      <w:r w:rsidR="00C433A9" w:rsidRPr="008E3154">
        <w:rPr>
          <w:color w:val="000000" w:themeColor="text1"/>
        </w:rPr>
        <w:t>”.</w:t>
      </w:r>
      <w:r w:rsidR="00C433A9" w:rsidRPr="008E3154">
        <w:rPr>
          <w:rStyle w:val="FootnoteReference"/>
          <w:color w:val="000000" w:themeColor="text1"/>
        </w:rPr>
        <w:footnoteReference w:id="89"/>
      </w:r>
      <w:r w:rsidR="00324082" w:rsidRPr="008E3154">
        <w:rPr>
          <w:color w:val="000000" w:themeColor="text1"/>
        </w:rPr>
        <w:t xml:space="preserve"> Limitations in</w:t>
      </w:r>
      <w:r w:rsidR="00784AF6" w:rsidRPr="008E3154">
        <w:rPr>
          <w:color w:val="000000" w:themeColor="text1"/>
        </w:rPr>
        <w:t xml:space="preserve"> the </w:t>
      </w:r>
      <w:r w:rsidR="00EB4E48" w:rsidRPr="008E3154">
        <w:rPr>
          <w:color w:val="000000" w:themeColor="text1"/>
        </w:rPr>
        <w:t xml:space="preserve">representativeness of the </w:t>
      </w:r>
      <w:r w:rsidR="00EB4E48" w:rsidRPr="008E3154">
        <w:rPr>
          <w:color w:val="000000" w:themeColor="text1"/>
          <w:highlight w:val="yellow"/>
        </w:rPr>
        <w:t>NFWI</w:t>
      </w:r>
      <w:r w:rsidR="00EB4E48" w:rsidRPr="008E3154">
        <w:rPr>
          <w:color w:val="000000" w:themeColor="text1"/>
        </w:rPr>
        <w:t xml:space="preserve"> and </w:t>
      </w:r>
      <w:r w:rsidR="00EB4E48" w:rsidRPr="008E3154">
        <w:rPr>
          <w:color w:val="000000" w:themeColor="text1"/>
          <w:highlight w:val="yellow"/>
        </w:rPr>
        <w:t>TG</w:t>
      </w:r>
      <w:r w:rsidR="00EB4E48" w:rsidRPr="008E3154">
        <w:rPr>
          <w:color w:val="000000" w:themeColor="text1"/>
        </w:rPr>
        <w:t xml:space="preserve"> are signif</w:t>
      </w:r>
      <w:r w:rsidR="009F7079" w:rsidRPr="008E3154">
        <w:rPr>
          <w:color w:val="000000" w:themeColor="text1"/>
        </w:rPr>
        <w:t>icant</w:t>
      </w:r>
      <w:r w:rsidR="00E23ECF" w:rsidRPr="008E3154">
        <w:rPr>
          <w:color w:val="000000" w:themeColor="text1"/>
        </w:rPr>
        <w:t>. B</w:t>
      </w:r>
      <w:r w:rsidR="009F7079" w:rsidRPr="008E3154">
        <w:rPr>
          <w:color w:val="000000" w:themeColor="text1"/>
        </w:rPr>
        <w:t xml:space="preserve">ut </w:t>
      </w:r>
      <w:r w:rsidR="00F011BD" w:rsidRPr="008E3154">
        <w:rPr>
          <w:color w:val="000000" w:themeColor="text1"/>
        </w:rPr>
        <w:t xml:space="preserve">they </w:t>
      </w:r>
      <w:r w:rsidR="009F7079" w:rsidRPr="008E3154">
        <w:rPr>
          <w:color w:val="000000" w:themeColor="text1"/>
        </w:rPr>
        <w:t xml:space="preserve">should not be used to </w:t>
      </w:r>
      <w:proofErr w:type="spellStart"/>
      <w:r w:rsidR="009F7079" w:rsidRPr="008E3154">
        <w:rPr>
          <w:color w:val="000000" w:themeColor="text1"/>
        </w:rPr>
        <w:t>minimise</w:t>
      </w:r>
      <w:proofErr w:type="spellEnd"/>
      <w:r w:rsidR="004A3C5D" w:rsidRPr="008E3154">
        <w:rPr>
          <w:color w:val="000000" w:themeColor="text1"/>
        </w:rPr>
        <w:t xml:space="preserve"> agency</w:t>
      </w:r>
      <w:r w:rsidR="00F011BD" w:rsidRPr="008E3154">
        <w:rPr>
          <w:color w:val="000000" w:themeColor="text1"/>
        </w:rPr>
        <w:t xml:space="preserve"> or sub</w:t>
      </w:r>
      <w:r w:rsidR="001C124B" w:rsidRPr="008E3154">
        <w:rPr>
          <w:color w:val="000000" w:themeColor="text1"/>
        </w:rPr>
        <w:t xml:space="preserve">ject </w:t>
      </w:r>
      <w:r w:rsidR="00091096" w:rsidRPr="008E3154">
        <w:rPr>
          <w:color w:val="000000" w:themeColor="text1"/>
        </w:rPr>
        <w:t>the</w:t>
      </w:r>
      <w:r w:rsidR="001C124B" w:rsidRPr="008E3154">
        <w:rPr>
          <w:color w:val="000000" w:themeColor="text1"/>
        </w:rPr>
        <w:t xml:space="preserve"> </w:t>
      </w:r>
      <w:r w:rsidR="001C124B" w:rsidRPr="00FC2BD9">
        <w:rPr>
          <w:color w:val="000000" w:themeColor="text1"/>
          <w:highlight w:val="yellow"/>
        </w:rPr>
        <w:t>activism</w:t>
      </w:r>
      <w:r w:rsidR="00091096" w:rsidRPr="008E3154">
        <w:rPr>
          <w:color w:val="000000" w:themeColor="text1"/>
        </w:rPr>
        <w:t xml:space="preserve"> of both</w:t>
      </w:r>
      <w:r w:rsidR="00FB50B3" w:rsidRPr="008E3154">
        <w:rPr>
          <w:color w:val="000000" w:themeColor="text1"/>
        </w:rPr>
        <w:t xml:space="preserve"> organisations</w:t>
      </w:r>
      <w:r w:rsidR="001C124B" w:rsidRPr="008E3154">
        <w:rPr>
          <w:color w:val="000000" w:themeColor="text1"/>
        </w:rPr>
        <w:t xml:space="preserve"> to the “eno</w:t>
      </w:r>
      <w:r w:rsidR="00F011BD" w:rsidRPr="008E3154">
        <w:rPr>
          <w:color w:val="000000" w:themeColor="text1"/>
        </w:rPr>
        <w:t>rmous</w:t>
      </w:r>
      <w:r w:rsidR="004E68BE" w:rsidRPr="008E3154">
        <w:rPr>
          <w:color w:val="000000" w:themeColor="text1"/>
        </w:rPr>
        <w:t xml:space="preserve"> condescens</w:t>
      </w:r>
      <w:r w:rsidR="001C124B" w:rsidRPr="008E3154">
        <w:rPr>
          <w:color w:val="000000" w:themeColor="text1"/>
        </w:rPr>
        <w:t>ion of posterity”.</w:t>
      </w:r>
      <w:r w:rsidR="004E68BE" w:rsidRPr="008E3154">
        <w:rPr>
          <w:rStyle w:val="FootnoteReference"/>
          <w:color w:val="000000" w:themeColor="text1"/>
        </w:rPr>
        <w:footnoteReference w:id="90"/>
      </w:r>
      <w:r w:rsidR="001C124B" w:rsidRPr="008E3154">
        <w:rPr>
          <w:color w:val="000000" w:themeColor="text1"/>
        </w:rPr>
        <w:t xml:space="preserve">  </w:t>
      </w:r>
    </w:p>
    <w:p w14:paraId="6F968139" w14:textId="623E23EB" w:rsidR="005B24EB" w:rsidRPr="008E3154" w:rsidRDefault="00BF2A12" w:rsidP="000429BB">
      <w:pPr>
        <w:spacing w:line="480" w:lineRule="auto"/>
        <w:ind w:firstLine="720"/>
        <w:rPr>
          <w:color w:val="000000" w:themeColor="text1"/>
        </w:rPr>
      </w:pPr>
      <w:r w:rsidRPr="008E3154">
        <w:rPr>
          <w:color w:val="000000" w:themeColor="text1"/>
        </w:rPr>
        <w:t>On the contrary, both</w:t>
      </w:r>
      <w:r w:rsidR="00091096" w:rsidRPr="008E3154">
        <w:rPr>
          <w:color w:val="000000" w:themeColor="text1"/>
        </w:rPr>
        <w:t xml:space="preserve"> </w:t>
      </w:r>
      <w:r w:rsidR="00FB50B3" w:rsidRPr="008E3154">
        <w:rPr>
          <w:color w:val="000000" w:themeColor="text1"/>
        </w:rPr>
        <w:t xml:space="preserve">groups </w:t>
      </w:r>
      <w:r w:rsidR="00723323" w:rsidRPr="008E3154">
        <w:rPr>
          <w:color w:val="000000" w:themeColor="text1"/>
        </w:rPr>
        <w:t>operated within</w:t>
      </w:r>
      <w:r w:rsidR="00091096" w:rsidRPr="008E3154">
        <w:rPr>
          <w:color w:val="000000" w:themeColor="text1"/>
        </w:rPr>
        <w:t xml:space="preserve"> </w:t>
      </w:r>
      <w:r w:rsidR="00413590" w:rsidRPr="008E3154">
        <w:rPr>
          <w:color w:val="000000" w:themeColor="text1"/>
        </w:rPr>
        <w:t>“</w:t>
      </w:r>
      <w:r w:rsidR="00413590" w:rsidRPr="008E3154">
        <w:rPr>
          <w:color w:val="000000" w:themeColor="text1"/>
          <w:highlight w:val="yellow"/>
        </w:rPr>
        <w:t>communities of experience</w:t>
      </w:r>
      <w:r w:rsidR="00413590" w:rsidRPr="008E3154">
        <w:rPr>
          <w:color w:val="000000" w:themeColor="text1"/>
        </w:rPr>
        <w:t xml:space="preserve">” and </w:t>
      </w:r>
      <w:r w:rsidR="00723323" w:rsidRPr="008E3154">
        <w:rPr>
          <w:color w:val="000000" w:themeColor="text1"/>
        </w:rPr>
        <w:t>drew on</w:t>
      </w:r>
      <w:r w:rsidRPr="008E3154">
        <w:rPr>
          <w:color w:val="000000" w:themeColor="text1"/>
        </w:rPr>
        <w:t xml:space="preserve"> the </w:t>
      </w:r>
      <w:r w:rsidRPr="008E3154">
        <w:rPr>
          <w:color w:val="000000" w:themeColor="text1"/>
          <w:highlight w:val="yellow"/>
        </w:rPr>
        <w:t>experiential expertise</w:t>
      </w:r>
      <w:r w:rsidRPr="008E3154">
        <w:rPr>
          <w:color w:val="000000" w:themeColor="text1"/>
        </w:rPr>
        <w:t xml:space="preserve"> of </w:t>
      </w:r>
      <w:r w:rsidR="00723323" w:rsidRPr="008E3154">
        <w:rPr>
          <w:color w:val="000000" w:themeColor="text1"/>
          <w:highlight w:val="yellow"/>
        </w:rPr>
        <w:t>housewives</w:t>
      </w:r>
      <w:r w:rsidR="000D570D" w:rsidRPr="008E3154">
        <w:rPr>
          <w:color w:val="000000" w:themeColor="text1"/>
        </w:rPr>
        <w:t xml:space="preserve"> to</w:t>
      </w:r>
      <w:r w:rsidR="00FA0F7B" w:rsidRPr="008E3154">
        <w:rPr>
          <w:color w:val="000000" w:themeColor="text1"/>
        </w:rPr>
        <w:t xml:space="preserve"> </w:t>
      </w:r>
      <w:r w:rsidR="003B1D39" w:rsidRPr="008E3154">
        <w:rPr>
          <w:color w:val="000000" w:themeColor="text1"/>
        </w:rPr>
        <w:t xml:space="preserve">translate </w:t>
      </w:r>
      <w:r w:rsidR="00FA0F7B" w:rsidRPr="008E3154">
        <w:rPr>
          <w:color w:val="000000" w:themeColor="text1"/>
        </w:rPr>
        <w:t>these experiences “</w:t>
      </w:r>
      <w:r w:rsidR="000D570D" w:rsidRPr="008E3154">
        <w:rPr>
          <w:color w:val="000000" w:themeColor="text1"/>
        </w:rPr>
        <w:t>in</w:t>
      </w:r>
      <w:r w:rsidR="007A38D0" w:rsidRPr="008E3154">
        <w:rPr>
          <w:color w:val="000000" w:themeColor="text1"/>
        </w:rPr>
        <w:t>to acti</w:t>
      </w:r>
      <w:r w:rsidR="007F5AFB" w:rsidRPr="008E3154">
        <w:rPr>
          <w:color w:val="000000" w:themeColor="text1"/>
        </w:rPr>
        <w:t>on, identities, intentions and</w:t>
      </w:r>
      <w:r w:rsidR="007A38D0" w:rsidRPr="008E3154">
        <w:rPr>
          <w:color w:val="000000" w:themeColor="text1"/>
        </w:rPr>
        <w:t xml:space="preserve"> </w:t>
      </w:r>
      <w:r w:rsidR="005B24EB" w:rsidRPr="008E3154">
        <w:rPr>
          <w:color w:val="000000" w:themeColor="text1"/>
        </w:rPr>
        <w:t xml:space="preserve">new </w:t>
      </w:r>
      <w:r w:rsidR="007A38D0" w:rsidRPr="008E3154">
        <w:rPr>
          <w:color w:val="000000" w:themeColor="text1"/>
        </w:rPr>
        <w:t>thoughts”.</w:t>
      </w:r>
      <w:r w:rsidR="00186EA8" w:rsidRPr="008E3154">
        <w:rPr>
          <w:rStyle w:val="FootnoteReference"/>
          <w:color w:val="000000" w:themeColor="text1"/>
        </w:rPr>
        <w:footnoteReference w:id="91"/>
      </w:r>
      <w:r w:rsidR="000D570D" w:rsidRPr="008E3154">
        <w:rPr>
          <w:color w:val="000000" w:themeColor="text1"/>
        </w:rPr>
        <w:t xml:space="preserve"> </w:t>
      </w:r>
      <w:r w:rsidR="00007341" w:rsidRPr="008E3154">
        <w:rPr>
          <w:color w:val="000000" w:themeColor="text1"/>
        </w:rPr>
        <w:t>As this chapter has shown m</w:t>
      </w:r>
      <w:r w:rsidR="00A450D3" w:rsidRPr="008E3154">
        <w:rPr>
          <w:color w:val="000000" w:themeColor="text1"/>
        </w:rPr>
        <w:t>any of these actions</w:t>
      </w:r>
      <w:r w:rsidR="00007341" w:rsidRPr="008E3154">
        <w:rPr>
          <w:color w:val="000000" w:themeColor="text1"/>
        </w:rPr>
        <w:t xml:space="preserve"> were informed b</w:t>
      </w:r>
      <w:r w:rsidR="005768FF" w:rsidRPr="008E3154">
        <w:rPr>
          <w:color w:val="000000" w:themeColor="text1"/>
        </w:rPr>
        <w:t xml:space="preserve">y the burning desire to ensure </w:t>
      </w:r>
      <w:r w:rsidR="00007341" w:rsidRPr="008E3154">
        <w:rPr>
          <w:color w:val="000000" w:themeColor="text1"/>
        </w:rPr>
        <w:t>women “</w:t>
      </w:r>
      <w:r w:rsidR="00007341" w:rsidRPr="008E3154">
        <w:rPr>
          <w:color w:val="000000" w:themeColor="text1"/>
          <w:highlight w:val="yellow"/>
        </w:rPr>
        <w:t>fared well</w:t>
      </w:r>
      <w:r w:rsidR="00007341" w:rsidRPr="008E3154">
        <w:rPr>
          <w:color w:val="000000" w:themeColor="text1"/>
        </w:rPr>
        <w:t xml:space="preserve">”. </w:t>
      </w:r>
      <w:r w:rsidR="00AF730C" w:rsidRPr="008E3154">
        <w:rPr>
          <w:color w:val="000000" w:themeColor="text1"/>
        </w:rPr>
        <w:t>Experiences relating to</w:t>
      </w:r>
      <w:r w:rsidR="005B2C24" w:rsidRPr="008E3154">
        <w:rPr>
          <w:color w:val="000000" w:themeColor="text1"/>
        </w:rPr>
        <w:t xml:space="preserve"> reproductive rights</w:t>
      </w:r>
      <w:r w:rsidR="00AF730C" w:rsidRPr="008E3154">
        <w:rPr>
          <w:color w:val="000000" w:themeColor="text1"/>
        </w:rPr>
        <w:t xml:space="preserve">, cancer </w:t>
      </w:r>
      <w:r w:rsidR="001A1A58" w:rsidRPr="008E3154">
        <w:rPr>
          <w:color w:val="000000" w:themeColor="text1"/>
        </w:rPr>
        <w:t>prevention</w:t>
      </w:r>
      <w:r w:rsidR="00AF730C" w:rsidRPr="008E3154">
        <w:rPr>
          <w:color w:val="000000" w:themeColor="text1"/>
        </w:rPr>
        <w:t xml:space="preserve">, </w:t>
      </w:r>
      <w:r w:rsidR="005B2C24" w:rsidRPr="00FC2BD9">
        <w:rPr>
          <w:color w:val="000000" w:themeColor="text1"/>
          <w:highlight w:val="yellow"/>
        </w:rPr>
        <w:t>disability</w:t>
      </w:r>
      <w:r w:rsidR="005B2C24" w:rsidRPr="008E3154">
        <w:rPr>
          <w:color w:val="000000" w:themeColor="text1"/>
        </w:rPr>
        <w:t xml:space="preserve"> and </w:t>
      </w:r>
      <w:r w:rsidR="005B2C24" w:rsidRPr="008E3154">
        <w:rPr>
          <w:color w:val="000000" w:themeColor="text1"/>
          <w:highlight w:val="yellow"/>
        </w:rPr>
        <w:t>domestic violence</w:t>
      </w:r>
      <w:r w:rsidR="005B2C24" w:rsidRPr="008E3154">
        <w:rPr>
          <w:color w:val="000000" w:themeColor="text1"/>
        </w:rPr>
        <w:t xml:space="preserve"> were </w:t>
      </w:r>
      <w:r w:rsidR="005A2E0E" w:rsidRPr="008E3154">
        <w:rPr>
          <w:color w:val="000000" w:themeColor="text1"/>
        </w:rPr>
        <w:t>seen</w:t>
      </w:r>
      <w:r w:rsidR="00806AA2" w:rsidRPr="008E3154">
        <w:rPr>
          <w:color w:val="000000" w:themeColor="text1"/>
        </w:rPr>
        <w:t xml:space="preserve"> to threaten this</w:t>
      </w:r>
      <w:r w:rsidR="00652EB3" w:rsidRPr="008E3154">
        <w:rPr>
          <w:color w:val="000000" w:themeColor="text1"/>
        </w:rPr>
        <w:t xml:space="preserve"> goal and so </w:t>
      </w:r>
      <w:r w:rsidR="000429BB" w:rsidRPr="008E3154">
        <w:rPr>
          <w:color w:val="000000" w:themeColor="text1"/>
        </w:rPr>
        <w:t xml:space="preserve">transformed into </w:t>
      </w:r>
      <w:r w:rsidR="000429BB" w:rsidRPr="00FC2BD9">
        <w:rPr>
          <w:color w:val="000000" w:themeColor="text1"/>
          <w:highlight w:val="yellow"/>
        </w:rPr>
        <w:t>activism</w:t>
      </w:r>
      <w:r w:rsidR="000429BB" w:rsidRPr="008E3154">
        <w:rPr>
          <w:color w:val="000000" w:themeColor="text1"/>
        </w:rPr>
        <w:t xml:space="preserve">. As a consequence </w:t>
      </w:r>
      <w:r w:rsidR="00007341" w:rsidRPr="008E3154">
        <w:rPr>
          <w:color w:val="000000" w:themeColor="text1"/>
        </w:rPr>
        <w:t xml:space="preserve">the </w:t>
      </w:r>
      <w:r w:rsidR="00007341" w:rsidRPr="008E3154">
        <w:rPr>
          <w:color w:val="000000" w:themeColor="text1"/>
          <w:highlight w:val="yellow"/>
        </w:rPr>
        <w:t>NFWI</w:t>
      </w:r>
      <w:r w:rsidR="00007341" w:rsidRPr="008E3154">
        <w:rPr>
          <w:color w:val="000000" w:themeColor="text1"/>
        </w:rPr>
        <w:t xml:space="preserve"> and </w:t>
      </w:r>
      <w:r w:rsidR="00007341" w:rsidRPr="008E3154">
        <w:rPr>
          <w:color w:val="000000" w:themeColor="text1"/>
          <w:highlight w:val="yellow"/>
        </w:rPr>
        <w:t>T</w:t>
      </w:r>
      <w:r w:rsidR="000429BB" w:rsidRPr="008E3154">
        <w:rPr>
          <w:color w:val="000000" w:themeColor="text1"/>
          <w:highlight w:val="yellow"/>
        </w:rPr>
        <w:t>G</w:t>
      </w:r>
      <w:r w:rsidR="00821AB1" w:rsidRPr="008E3154">
        <w:rPr>
          <w:color w:val="000000" w:themeColor="text1"/>
        </w:rPr>
        <w:t xml:space="preserve"> not only</w:t>
      </w:r>
      <w:r w:rsidR="00007341" w:rsidRPr="008E3154">
        <w:rPr>
          <w:color w:val="000000" w:themeColor="text1"/>
        </w:rPr>
        <w:t xml:space="preserve"> </w:t>
      </w:r>
      <w:r w:rsidR="000429BB" w:rsidRPr="008E3154">
        <w:rPr>
          <w:color w:val="000000" w:themeColor="text1"/>
        </w:rPr>
        <w:t>identified</w:t>
      </w:r>
      <w:r w:rsidR="00007341" w:rsidRPr="008E3154">
        <w:rPr>
          <w:color w:val="000000" w:themeColor="text1"/>
        </w:rPr>
        <w:t xml:space="preserve"> </w:t>
      </w:r>
      <w:r w:rsidR="00821AB1" w:rsidRPr="008E3154">
        <w:rPr>
          <w:color w:val="000000" w:themeColor="text1"/>
        </w:rPr>
        <w:t>gaps</w:t>
      </w:r>
      <w:r w:rsidR="00007341" w:rsidRPr="008E3154">
        <w:rPr>
          <w:color w:val="000000" w:themeColor="text1"/>
        </w:rPr>
        <w:t xml:space="preserve"> in the </w:t>
      </w:r>
      <w:r w:rsidR="00007341" w:rsidRPr="008E3154">
        <w:rPr>
          <w:color w:val="000000" w:themeColor="text1"/>
          <w:highlight w:val="yellow"/>
        </w:rPr>
        <w:t>British Welfare State</w:t>
      </w:r>
      <w:r w:rsidR="00821AB1" w:rsidRPr="008E3154">
        <w:rPr>
          <w:color w:val="000000" w:themeColor="text1"/>
        </w:rPr>
        <w:t>, but</w:t>
      </w:r>
      <w:r w:rsidR="007C102F" w:rsidRPr="008E3154">
        <w:rPr>
          <w:color w:val="000000" w:themeColor="text1"/>
        </w:rPr>
        <w:t xml:space="preserve"> </w:t>
      </w:r>
      <w:r w:rsidR="005768FF" w:rsidRPr="008E3154">
        <w:rPr>
          <w:color w:val="000000" w:themeColor="text1"/>
        </w:rPr>
        <w:t xml:space="preserve">also </w:t>
      </w:r>
      <w:r w:rsidR="003B1D39" w:rsidRPr="008E3154">
        <w:rPr>
          <w:color w:val="000000" w:themeColor="text1"/>
        </w:rPr>
        <w:t>advised</w:t>
      </w:r>
      <w:r w:rsidR="007C102F" w:rsidRPr="008E3154">
        <w:rPr>
          <w:color w:val="000000" w:themeColor="text1"/>
        </w:rPr>
        <w:t xml:space="preserve"> government </w:t>
      </w:r>
      <w:r w:rsidR="006307ED" w:rsidRPr="008E3154">
        <w:rPr>
          <w:color w:val="000000" w:themeColor="text1"/>
        </w:rPr>
        <w:t>on how to make good such</w:t>
      </w:r>
      <w:r w:rsidR="00821AB1" w:rsidRPr="008E3154">
        <w:rPr>
          <w:color w:val="000000" w:themeColor="text1"/>
        </w:rPr>
        <w:t xml:space="preserve"> disparities. </w:t>
      </w:r>
      <w:r w:rsidR="003B1D39" w:rsidRPr="008E3154">
        <w:rPr>
          <w:color w:val="000000" w:themeColor="text1"/>
        </w:rPr>
        <w:t>Th</w:t>
      </w:r>
      <w:r w:rsidR="006307ED" w:rsidRPr="008E3154">
        <w:rPr>
          <w:color w:val="000000" w:themeColor="text1"/>
        </w:rPr>
        <w:t>e “</w:t>
      </w:r>
      <w:r w:rsidR="006307ED" w:rsidRPr="008E3154">
        <w:rPr>
          <w:color w:val="000000" w:themeColor="text1"/>
          <w:highlight w:val="yellow"/>
        </w:rPr>
        <w:t>housewife as expert</w:t>
      </w:r>
      <w:r w:rsidR="006307ED" w:rsidRPr="008E3154">
        <w:rPr>
          <w:color w:val="000000" w:themeColor="text1"/>
        </w:rPr>
        <w:t xml:space="preserve">” construct </w:t>
      </w:r>
      <w:r w:rsidR="006B7471" w:rsidRPr="008E3154">
        <w:rPr>
          <w:color w:val="000000" w:themeColor="text1"/>
        </w:rPr>
        <w:t>facilitated</w:t>
      </w:r>
      <w:r w:rsidR="006307ED" w:rsidRPr="008E3154">
        <w:rPr>
          <w:color w:val="000000" w:themeColor="text1"/>
        </w:rPr>
        <w:t xml:space="preserve"> this on-going </w:t>
      </w:r>
      <w:r w:rsidR="006307ED" w:rsidRPr="008E3154">
        <w:rPr>
          <w:color w:val="000000" w:themeColor="text1"/>
          <w:highlight w:val="yellow"/>
        </w:rPr>
        <w:t>activism</w:t>
      </w:r>
      <w:r w:rsidR="00BB1295" w:rsidRPr="008E3154">
        <w:rPr>
          <w:color w:val="000000" w:themeColor="text1"/>
        </w:rPr>
        <w:t>,</w:t>
      </w:r>
      <w:r w:rsidR="006307ED" w:rsidRPr="008E3154">
        <w:rPr>
          <w:color w:val="000000" w:themeColor="text1"/>
        </w:rPr>
        <w:t xml:space="preserve"> </w:t>
      </w:r>
      <w:r w:rsidR="00BB1295" w:rsidRPr="008E3154">
        <w:rPr>
          <w:color w:val="000000" w:themeColor="text1"/>
        </w:rPr>
        <w:t>and the new</w:t>
      </w:r>
      <w:r w:rsidR="00815EE2" w:rsidRPr="008E3154">
        <w:rPr>
          <w:color w:val="000000" w:themeColor="text1"/>
        </w:rPr>
        <w:t xml:space="preserve"> </w:t>
      </w:r>
      <w:r w:rsidR="002D23C0" w:rsidRPr="008E3154">
        <w:rPr>
          <w:color w:val="000000" w:themeColor="text1"/>
          <w:highlight w:val="yellow"/>
        </w:rPr>
        <w:t>history</w:t>
      </w:r>
      <w:r w:rsidR="002A4406" w:rsidRPr="008E3154">
        <w:rPr>
          <w:color w:val="000000" w:themeColor="text1"/>
          <w:highlight w:val="yellow"/>
        </w:rPr>
        <w:t xml:space="preserve"> of</w:t>
      </w:r>
      <w:r w:rsidR="006B7471" w:rsidRPr="008E3154">
        <w:rPr>
          <w:color w:val="000000" w:themeColor="text1"/>
          <w:highlight w:val="yellow"/>
        </w:rPr>
        <w:t xml:space="preserve"> experience</w:t>
      </w:r>
      <w:r w:rsidR="006B7471" w:rsidRPr="008E3154">
        <w:rPr>
          <w:color w:val="000000" w:themeColor="text1"/>
        </w:rPr>
        <w:t xml:space="preserve"> </w:t>
      </w:r>
      <w:r w:rsidR="00FB50B3" w:rsidRPr="008E3154">
        <w:rPr>
          <w:color w:val="000000" w:themeColor="text1"/>
        </w:rPr>
        <w:t xml:space="preserve">makes known </w:t>
      </w:r>
      <w:r w:rsidR="00FF5F27" w:rsidRPr="008E3154">
        <w:rPr>
          <w:color w:val="000000" w:themeColor="text1"/>
        </w:rPr>
        <w:t xml:space="preserve">its significance. </w:t>
      </w:r>
      <w:r w:rsidR="002A4406" w:rsidRPr="008E3154">
        <w:rPr>
          <w:color w:val="000000" w:themeColor="text1"/>
        </w:rPr>
        <w:t xml:space="preserve"> </w:t>
      </w:r>
      <w:r w:rsidR="005768FF" w:rsidRPr="008E3154">
        <w:rPr>
          <w:color w:val="000000" w:themeColor="text1"/>
        </w:rPr>
        <w:t xml:space="preserve"> </w:t>
      </w:r>
    </w:p>
    <w:p w14:paraId="6463E9BA" w14:textId="77777777" w:rsidR="00C433A9" w:rsidRPr="008E3154" w:rsidRDefault="00C433A9" w:rsidP="00C433A9">
      <w:pPr>
        <w:spacing w:line="480" w:lineRule="auto"/>
        <w:rPr>
          <w:color w:val="000000" w:themeColor="text1"/>
        </w:rPr>
      </w:pPr>
    </w:p>
    <w:p w14:paraId="680A6E24" w14:textId="24B13B88" w:rsidR="00C433A9" w:rsidRPr="008E3154" w:rsidRDefault="00FF0FB1" w:rsidP="00C433A9">
      <w:pPr>
        <w:spacing w:line="480" w:lineRule="auto"/>
        <w:rPr>
          <w:b/>
          <w:color w:val="000000" w:themeColor="text1"/>
        </w:rPr>
      </w:pPr>
      <w:r w:rsidRPr="008E3154">
        <w:rPr>
          <w:b/>
          <w:color w:val="000000" w:themeColor="text1"/>
        </w:rPr>
        <w:t xml:space="preserve">Selected Bibliography </w:t>
      </w:r>
    </w:p>
    <w:p w14:paraId="6BDD5015" w14:textId="77777777" w:rsidR="00963214" w:rsidRPr="008E3154" w:rsidRDefault="00963214" w:rsidP="00C433A9">
      <w:pPr>
        <w:spacing w:line="480" w:lineRule="auto"/>
        <w:rPr>
          <w:color w:val="000000" w:themeColor="text1"/>
        </w:rPr>
      </w:pPr>
    </w:p>
    <w:p w14:paraId="6240B720" w14:textId="3D294B5F" w:rsidR="005517B6" w:rsidRPr="008E3154" w:rsidRDefault="00CD088F" w:rsidP="00C433A9">
      <w:pPr>
        <w:spacing w:line="480" w:lineRule="auto"/>
        <w:rPr>
          <w:color w:val="000000" w:themeColor="text1"/>
        </w:rPr>
      </w:pPr>
      <w:r w:rsidRPr="008E3154">
        <w:rPr>
          <w:color w:val="000000" w:themeColor="text1"/>
        </w:rPr>
        <w:t>Abrams,</w:t>
      </w:r>
      <w:r w:rsidR="005517B6" w:rsidRPr="008E3154">
        <w:rPr>
          <w:color w:val="000000" w:themeColor="text1"/>
        </w:rPr>
        <w:t xml:space="preserve"> Lynn</w:t>
      </w:r>
      <w:r w:rsidRPr="008E3154">
        <w:rPr>
          <w:color w:val="000000" w:themeColor="text1"/>
        </w:rPr>
        <w:t xml:space="preserve">. 2023. </w:t>
      </w:r>
      <w:r w:rsidRPr="008E3154">
        <w:rPr>
          <w:i/>
          <w:color w:val="000000" w:themeColor="text1"/>
        </w:rPr>
        <w:t>Feminist Lives: Women, Feelings, and the Self in Post-War Britain</w:t>
      </w:r>
      <w:r w:rsidRPr="008E3154">
        <w:rPr>
          <w:color w:val="000000" w:themeColor="text1"/>
        </w:rPr>
        <w:t xml:space="preserve">. Oxford. Oxford University Press. </w:t>
      </w:r>
    </w:p>
    <w:p w14:paraId="7FF9F2E2" w14:textId="374B3663" w:rsidR="005A58D4" w:rsidRPr="008E3154" w:rsidRDefault="005A58D4" w:rsidP="00C433A9">
      <w:pPr>
        <w:spacing w:line="480" w:lineRule="auto"/>
        <w:rPr>
          <w:color w:val="000000" w:themeColor="text1"/>
        </w:rPr>
      </w:pPr>
      <w:r w:rsidRPr="008E3154">
        <w:rPr>
          <w:color w:val="000000" w:themeColor="text1"/>
        </w:rPr>
        <w:t xml:space="preserve">Andrews, Maggie. 2015. </w:t>
      </w:r>
      <w:r w:rsidRPr="008E3154">
        <w:rPr>
          <w:i/>
          <w:color w:val="000000" w:themeColor="text1"/>
        </w:rPr>
        <w:t xml:space="preserve">The Acceptable Face of Feminism: </w:t>
      </w:r>
      <w:r w:rsidR="00183039" w:rsidRPr="008E3154">
        <w:rPr>
          <w:i/>
          <w:color w:val="000000" w:themeColor="text1"/>
        </w:rPr>
        <w:t>the Women’s Institute as a Social Movement.</w:t>
      </w:r>
      <w:r w:rsidR="00183039" w:rsidRPr="008E3154">
        <w:rPr>
          <w:color w:val="000000" w:themeColor="text1"/>
        </w:rPr>
        <w:t xml:space="preserve"> London: Lawrence and Wishart Ltd. </w:t>
      </w:r>
    </w:p>
    <w:p w14:paraId="733058A8" w14:textId="603B527A" w:rsidR="00C433A9" w:rsidRPr="008E3154" w:rsidRDefault="00FF0FB1" w:rsidP="00C433A9">
      <w:pPr>
        <w:spacing w:line="480" w:lineRule="auto"/>
        <w:rPr>
          <w:color w:val="000000" w:themeColor="text1"/>
        </w:rPr>
      </w:pPr>
      <w:r w:rsidRPr="008E3154">
        <w:rPr>
          <w:color w:val="000000" w:themeColor="text1"/>
        </w:rPr>
        <w:lastRenderedPageBreak/>
        <w:t>Beaumont</w:t>
      </w:r>
      <w:r w:rsidR="00A40F5D" w:rsidRPr="008E3154">
        <w:rPr>
          <w:color w:val="000000" w:themeColor="text1"/>
        </w:rPr>
        <w:t xml:space="preserve">, Caitríona. 2013. </w:t>
      </w:r>
      <w:r w:rsidR="00A40F5D" w:rsidRPr="008E3154">
        <w:rPr>
          <w:i/>
          <w:color w:val="000000" w:themeColor="text1"/>
        </w:rPr>
        <w:t>Housewives and Citizens: Domesticity and the Women’s Movement in England, 1928-1964</w:t>
      </w:r>
      <w:r w:rsidR="00A40F5D" w:rsidRPr="008E3154">
        <w:rPr>
          <w:color w:val="000000" w:themeColor="text1"/>
        </w:rPr>
        <w:t>. Manchester: Manchester University Press</w:t>
      </w:r>
      <w:r w:rsidR="008B302D" w:rsidRPr="008E3154">
        <w:rPr>
          <w:color w:val="000000" w:themeColor="text1"/>
        </w:rPr>
        <w:t>.</w:t>
      </w:r>
    </w:p>
    <w:p w14:paraId="6D4D6DE7" w14:textId="5AE77414" w:rsidR="009F71ED" w:rsidRPr="008E3154" w:rsidRDefault="009F71ED" w:rsidP="009F71ED">
      <w:pPr>
        <w:pStyle w:val="FootnoteText"/>
        <w:spacing w:line="480" w:lineRule="auto"/>
        <w:rPr>
          <w:color w:val="000000" w:themeColor="text1"/>
        </w:rPr>
      </w:pPr>
      <w:r w:rsidRPr="008E3154">
        <w:rPr>
          <w:color w:val="000000" w:themeColor="text1"/>
        </w:rPr>
        <w:t xml:space="preserve">Davis, Angela. 2012. </w:t>
      </w:r>
      <w:r w:rsidRPr="008E3154">
        <w:rPr>
          <w:i/>
          <w:color w:val="000000" w:themeColor="text1"/>
        </w:rPr>
        <w:t>Modern Motherhood: Women and the family in England, c. 1945-2000</w:t>
      </w:r>
      <w:r w:rsidRPr="008E3154">
        <w:rPr>
          <w:color w:val="000000" w:themeColor="text1"/>
        </w:rPr>
        <w:t xml:space="preserve">. Manchester: Manchester University Press. </w:t>
      </w:r>
    </w:p>
    <w:p w14:paraId="0EFECE41" w14:textId="1133858A" w:rsidR="008B302D" w:rsidRPr="008E3154" w:rsidRDefault="005C15C2" w:rsidP="005C15C2">
      <w:pPr>
        <w:spacing w:line="480" w:lineRule="auto"/>
        <w:rPr>
          <w:color w:val="000000" w:themeColor="text1"/>
        </w:rPr>
      </w:pPr>
      <w:r w:rsidRPr="008E3154">
        <w:rPr>
          <w:color w:val="000000" w:themeColor="text1"/>
        </w:rPr>
        <w:t xml:space="preserve">Giles, Judy. 2004. </w:t>
      </w:r>
      <w:r w:rsidRPr="008E3154">
        <w:rPr>
          <w:i/>
          <w:color w:val="000000" w:themeColor="text1"/>
        </w:rPr>
        <w:t xml:space="preserve">The </w:t>
      </w:r>
      <w:proofErr w:type="spellStart"/>
      <w:r w:rsidRPr="008E3154">
        <w:rPr>
          <w:i/>
          <w:color w:val="000000" w:themeColor="text1"/>
        </w:rPr>
        <w:t>Parlour</w:t>
      </w:r>
      <w:proofErr w:type="spellEnd"/>
      <w:r w:rsidRPr="008E3154">
        <w:rPr>
          <w:i/>
          <w:color w:val="000000" w:themeColor="text1"/>
        </w:rPr>
        <w:t xml:space="preserve"> and the Suburb: Domestic Identities, Class, Femininity and Modernity</w:t>
      </w:r>
      <w:r w:rsidRPr="008E3154">
        <w:rPr>
          <w:color w:val="000000" w:themeColor="text1"/>
        </w:rPr>
        <w:t xml:space="preserve">. London: Berg. </w:t>
      </w:r>
    </w:p>
    <w:p w14:paraId="2EE91DF5" w14:textId="65B81669" w:rsidR="005517B6" w:rsidRPr="008E3154" w:rsidRDefault="005517B6" w:rsidP="005C15C2">
      <w:pPr>
        <w:spacing w:line="480" w:lineRule="auto"/>
        <w:rPr>
          <w:color w:val="000000" w:themeColor="text1"/>
        </w:rPr>
      </w:pPr>
      <w:r w:rsidRPr="008E3154">
        <w:rPr>
          <w:color w:val="000000" w:themeColor="text1"/>
        </w:rPr>
        <w:t xml:space="preserve">Hilton, Matthew and McKay, James eds. 2011. </w:t>
      </w:r>
      <w:r w:rsidRPr="008E3154">
        <w:rPr>
          <w:i/>
          <w:color w:val="000000" w:themeColor="text1"/>
        </w:rPr>
        <w:t>The Ages of Voluntarism: How we got to the Big Society</w:t>
      </w:r>
      <w:r w:rsidRPr="008E3154">
        <w:rPr>
          <w:color w:val="000000" w:themeColor="text1"/>
        </w:rPr>
        <w:t>. Oxford: Oxford University Press.</w:t>
      </w:r>
    </w:p>
    <w:p w14:paraId="0123BBFF" w14:textId="45EDD50D" w:rsidR="00A40F5D" w:rsidRPr="008E3154" w:rsidRDefault="002E43FC" w:rsidP="00C433A9">
      <w:pPr>
        <w:spacing w:line="480" w:lineRule="auto"/>
        <w:rPr>
          <w:color w:val="000000" w:themeColor="text1"/>
        </w:rPr>
      </w:pPr>
      <w:r w:rsidRPr="008E3154">
        <w:rPr>
          <w:color w:val="000000" w:themeColor="text1"/>
        </w:rPr>
        <w:t>McCarthy, Helen. 2020</w:t>
      </w:r>
      <w:r w:rsidR="00A40F5D" w:rsidRPr="008E3154">
        <w:rPr>
          <w:color w:val="000000" w:themeColor="text1"/>
        </w:rPr>
        <w:t xml:space="preserve">. </w:t>
      </w:r>
      <w:r w:rsidR="00A40F5D" w:rsidRPr="008E3154">
        <w:rPr>
          <w:i/>
          <w:color w:val="000000" w:themeColor="text1"/>
        </w:rPr>
        <w:t xml:space="preserve">Double Lives: A History </w:t>
      </w:r>
      <w:r w:rsidRPr="008E3154">
        <w:rPr>
          <w:i/>
          <w:color w:val="000000" w:themeColor="text1"/>
        </w:rPr>
        <w:t>of Working Motherhood.</w:t>
      </w:r>
      <w:r w:rsidR="0030451C" w:rsidRPr="008E3154">
        <w:rPr>
          <w:color w:val="000000" w:themeColor="text1"/>
        </w:rPr>
        <w:t xml:space="preserve"> London: Bloomsbury.</w:t>
      </w:r>
    </w:p>
    <w:p w14:paraId="557366A4" w14:textId="77777777" w:rsidR="00742603" w:rsidRDefault="00505CBB" w:rsidP="00C433A9">
      <w:pPr>
        <w:spacing w:line="480" w:lineRule="auto"/>
      </w:pPr>
      <w:r>
        <w:t xml:space="preserve">Thane, Pat. </w:t>
      </w:r>
      <w:r w:rsidR="008B302D">
        <w:t xml:space="preserve">2018. </w:t>
      </w:r>
      <w:r w:rsidR="008B302D" w:rsidRPr="00872E9A">
        <w:rPr>
          <w:i/>
        </w:rPr>
        <w:t>Divided Kingdom: A History of Britain, 1900 to the Present</w:t>
      </w:r>
      <w:r w:rsidR="008B302D">
        <w:t>. Cambridge: Cambridge University Press.</w:t>
      </w:r>
    </w:p>
    <w:p w14:paraId="21F9E9EA" w14:textId="6A67C28F" w:rsidR="00505CBB" w:rsidRDefault="00742603" w:rsidP="00C433A9">
      <w:pPr>
        <w:spacing w:line="480" w:lineRule="auto"/>
      </w:pPr>
      <w:r>
        <w:t xml:space="preserve">Webster, Wendy. 1988. </w:t>
      </w:r>
      <w:r w:rsidRPr="00872E9A">
        <w:rPr>
          <w:i/>
        </w:rPr>
        <w:t>Imagining Home: Gender, Race and National Identity, 1945-1964</w:t>
      </w:r>
      <w:r>
        <w:t xml:space="preserve">. London: Routledge. </w:t>
      </w:r>
      <w:r w:rsidR="008B302D">
        <w:t xml:space="preserve"> </w:t>
      </w:r>
    </w:p>
    <w:p w14:paraId="3A45B3DC" w14:textId="00D261AD" w:rsidR="002E43FC" w:rsidRDefault="002E43FC" w:rsidP="00C433A9">
      <w:pPr>
        <w:spacing w:line="480" w:lineRule="auto"/>
      </w:pPr>
      <w:proofErr w:type="spellStart"/>
      <w:r>
        <w:t>Zweinger-Bargielowska</w:t>
      </w:r>
      <w:proofErr w:type="spellEnd"/>
      <w:r>
        <w:t xml:space="preserve">, Ina. </w:t>
      </w:r>
      <w:r w:rsidR="00505CBB">
        <w:t xml:space="preserve">ed. </w:t>
      </w:r>
      <w:r>
        <w:t xml:space="preserve">2001. </w:t>
      </w:r>
      <w:r w:rsidRPr="00872E9A">
        <w:rPr>
          <w:i/>
        </w:rPr>
        <w:t>Women in Twentieth Century Britain</w:t>
      </w:r>
      <w:r w:rsidR="00505CBB" w:rsidRPr="00872E9A">
        <w:rPr>
          <w:i/>
        </w:rPr>
        <w:t>.</w:t>
      </w:r>
      <w:r w:rsidR="00505CBB">
        <w:t xml:space="preserve"> Harlow: Pearson Education Ltd.  </w:t>
      </w:r>
    </w:p>
    <w:p w14:paraId="2FF5CB80" w14:textId="77777777" w:rsidR="00357F0F" w:rsidRDefault="00357F0F" w:rsidP="00872E9A">
      <w:pPr>
        <w:spacing w:line="480" w:lineRule="auto"/>
      </w:pPr>
    </w:p>
    <w:p w14:paraId="79E1FA94" w14:textId="77777777" w:rsidR="006162C5" w:rsidRDefault="006162C5"/>
    <w:sectPr w:rsidR="006162C5" w:rsidSect="00B320F5">
      <w:headerReference w:type="even" r:id="rId6"/>
      <w:headerReference w:type="default" r:id="rId7"/>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3CA4" w14:textId="77777777" w:rsidR="00B320F5" w:rsidRDefault="00B320F5" w:rsidP="00357F0F">
      <w:r>
        <w:separator/>
      </w:r>
    </w:p>
  </w:endnote>
  <w:endnote w:type="continuationSeparator" w:id="0">
    <w:p w14:paraId="523C1C6B" w14:textId="77777777" w:rsidR="00B320F5" w:rsidRDefault="00B320F5" w:rsidP="0035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1AA7" w14:textId="77777777" w:rsidR="00B320F5" w:rsidRDefault="00B320F5" w:rsidP="00357F0F">
      <w:r>
        <w:separator/>
      </w:r>
    </w:p>
  </w:footnote>
  <w:footnote w:type="continuationSeparator" w:id="0">
    <w:p w14:paraId="273FAAF7" w14:textId="77777777" w:rsidR="00B320F5" w:rsidRDefault="00B320F5" w:rsidP="00357F0F">
      <w:r>
        <w:continuationSeparator/>
      </w:r>
    </w:p>
  </w:footnote>
  <w:footnote w:id="1">
    <w:p w14:paraId="35EB3081" w14:textId="77777777" w:rsidR="0051200F" w:rsidRPr="008626F6" w:rsidRDefault="0051200F" w:rsidP="00357F0F">
      <w:pPr>
        <w:pStyle w:val="FootnoteText"/>
        <w:rPr>
          <w:sz w:val="20"/>
          <w:szCs w:val="20"/>
        </w:rPr>
      </w:pPr>
      <w:r>
        <w:rPr>
          <w:rStyle w:val="FootnoteReference"/>
        </w:rPr>
        <w:footnoteRef/>
      </w:r>
      <w:r>
        <w:t xml:space="preserve"> </w:t>
      </w:r>
      <w:r w:rsidRPr="008626F6">
        <w:rPr>
          <w:sz w:val="20"/>
          <w:szCs w:val="20"/>
        </w:rPr>
        <w:t xml:space="preserve">Oakley, Ann. 1974. </w:t>
      </w:r>
      <w:r w:rsidRPr="008626F6">
        <w:rPr>
          <w:i/>
          <w:sz w:val="20"/>
          <w:szCs w:val="20"/>
        </w:rPr>
        <w:t>Housewife</w:t>
      </w:r>
      <w:r w:rsidRPr="008626F6">
        <w:rPr>
          <w:sz w:val="20"/>
          <w:szCs w:val="20"/>
        </w:rPr>
        <w:t xml:space="preserve">. London: Allen Lane. </w:t>
      </w:r>
    </w:p>
  </w:footnote>
  <w:footnote w:id="2">
    <w:p w14:paraId="5801EC0A" w14:textId="77777777" w:rsidR="00DF70B5" w:rsidRPr="008626F6" w:rsidRDefault="00DF70B5" w:rsidP="00DF70B5">
      <w:pPr>
        <w:pStyle w:val="FootnoteText"/>
        <w:rPr>
          <w:sz w:val="20"/>
          <w:szCs w:val="20"/>
        </w:rPr>
      </w:pPr>
      <w:r w:rsidRPr="008626F6">
        <w:rPr>
          <w:rStyle w:val="FootnoteReference"/>
          <w:sz w:val="20"/>
          <w:szCs w:val="20"/>
        </w:rPr>
        <w:footnoteRef/>
      </w:r>
      <w:r w:rsidRPr="008626F6">
        <w:rPr>
          <w:sz w:val="20"/>
          <w:szCs w:val="20"/>
        </w:rPr>
        <w:t xml:space="preserve"> De Beauvoir, Simone. 2015. </w:t>
      </w:r>
      <w:r w:rsidRPr="008626F6">
        <w:rPr>
          <w:i/>
          <w:sz w:val="20"/>
          <w:szCs w:val="20"/>
        </w:rPr>
        <w:t>The Second Sex</w:t>
      </w:r>
      <w:r w:rsidRPr="008626F6">
        <w:rPr>
          <w:sz w:val="20"/>
          <w:szCs w:val="20"/>
        </w:rPr>
        <w:t xml:space="preserve">. London: Vintage Classics. Friedan, Betty. 1963. </w:t>
      </w:r>
      <w:r w:rsidRPr="008626F6">
        <w:rPr>
          <w:i/>
          <w:sz w:val="20"/>
          <w:szCs w:val="20"/>
        </w:rPr>
        <w:t>The Feminine Mystique</w:t>
      </w:r>
      <w:r w:rsidRPr="008626F6">
        <w:rPr>
          <w:sz w:val="20"/>
          <w:szCs w:val="20"/>
        </w:rPr>
        <w:t xml:space="preserve">. New York: W.W. Norton. Greer, Germaine. </w:t>
      </w:r>
      <w:r w:rsidRPr="008626F6">
        <w:rPr>
          <w:i/>
          <w:sz w:val="20"/>
          <w:szCs w:val="20"/>
        </w:rPr>
        <w:t>The Female Eunuch</w:t>
      </w:r>
      <w:r w:rsidRPr="008626F6">
        <w:rPr>
          <w:sz w:val="20"/>
          <w:szCs w:val="20"/>
        </w:rPr>
        <w:t xml:space="preserve">. 1970. London: MacGibbon and Kee. </w:t>
      </w:r>
    </w:p>
  </w:footnote>
  <w:footnote w:id="3">
    <w:p w14:paraId="0210703C" w14:textId="77777777" w:rsidR="0051200F" w:rsidRPr="008626F6" w:rsidRDefault="0051200F" w:rsidP="00357F0F">
      <w:pPr>
        <w:pStyle w:val="FootnoteText"/>
        <w:rPr>
          <w:sz w:val="20"/>
          <w:szCs w:val="20"/>
        </w:rPr>
      </w:pPr>
      <w:r w:rsidRPr="008626F6">
        <w:rPr>
          <w:rStyle w:val="FootnoteReference"/>
          <w:sz w:val="20"/>
          <w:szCs w:val="20"/>
        </w:rPr>
        <w:footnoteRef/>
      </w:r>
      <w:r w:rsidRPr="008626F6">
        <w:rPr>
          <w:sz w:val="20"/>
          <w:szCs w:val="20"/>
        </w:rPr>
        <w:t xml:space="preserve"> Johnson, Lesley and Lloyd, Justine. 2004. </w:t>
      </w:r>
      <w:r w:rsidRPr="008626F6">
        <w:rPr>
          <w:i/>
          <w:sz w:val="20"/>
          <w:szCs w:val="20"/>
        </w:rPr>
        <w:t>Sentenced to Everyday Life Feminism and the Housewife</w:t>
      </w:r>
      <w:r w:rsidRPr="008626F6">
        <w:rPr>
          <w:sz w:val="20"/>
          <w:szCs w:val="20"/>
        </w:rPr>
        <w:t xml:space="preserve">. Oxford: Berg. </w:t>
      </w:r>
    </w:p>
  </w:footnote>
  <w:footnote w:id="4">
    <w:p w14:paraId="4BAE5C8D" w14:textId="77777777" w:rsidR="0051200F" w:rsidRDefault="0051200F" w:rsidP="00357F0F">
      <w:pPr>
        <w:pStyle w:val="FootnoteText"/>
      </w:pPr>
      <w:r w:rsidRPr="008626F6">
        <w:rPr>
          <w:rStyle w:val="FootnoteReference"/>
          <w:sz w:val="20"/>
          <w:szCs w:val="20"/>
        </w:rPr>
        <w:footnoteRef/>
      </w:r>
      <w:r w:rsidRPr="008626F6">
        <w:rPr>
          <w:sz w:val="20"/>
          <w:szCs w:val="20"/>
        </w:rPr>
        <w:t xml:space="preserve"> </w:t>
      </w:r>
      <w:proofErr w:type="spellStart"/>
      <w:r w:rsidRPr="008626F6">
        <w:rPr>
          <w:sz w:val="20"/>
          <w:szCs w:val="20"/>
        </w:rPr>
        <w:t>Zweiniger-Bargelowska</w:t>
      </w:r>
      <w:proofErr w:type="spellEnd"/>
      <w:r w:rsidRPr="008626F6">
        <w:rPr>
          <w:sz w:val="20"/>
          <w:szCs w:val="20"/>
        </w:rPr>
        <w:t xml:space="preserve">, Ina. 2001. Housewifery. In </w:t>
      </w:r>
      <w:r w:rsidRPr="008626F6">
        <w:rPr>
          <w:i/>
          <w:sz w:val="20"/>
          <w:szCs w:val="20"/>
        </w:rPr>
        <w:t>Women in Twentieth Century Britain</w:t>
      </w:r>
      <w:r w:rsidRPr="008626F6">
        <w:rPr>
          <w:sz w:val="20"/>
          <w:szCs w:val="20"/>
        </w:rPr>
        <w:t xml:space="preserve">, ed. Ina </w:t>
      </w:r>
      <w:proofErr w:type="spellStart"/>
      <w:r w:rsidRPr="008626F6">
        <w:rPr>
          <w:sz w:val="20"/>
          <w:szCs w:val="20"/>
        </w:rPr>
        <w:t>Zweiniger-Bargelowska</w:t>
      </w:r>
      <w:proofErr w:type="spellEnd"/>
      <w:r w:rsidRPr="00F2084C">
        <w:rPr>
          <w:sz w:val="20"/>
          <w:szCs w:val="20"/>
        </w:rPr>
        <w:t>, 151.</w:t>
      </w:r>
      <w:r w:rsidRPr="008626F6">
        <w:rPr>
          <w:sz w:val="20"/>
          <w:szCs w:val="20"/>
        </w:rPr>
        <w:t xml:space="preserve"> Harlow: Pearson Education.</w:t>
      </w:r>
      <w:r>
        <w:t xml:space="preserve"> </w:t>
      </w:r>
    </w:p>
  </w:footnote>
  <w:footnote w:id="5">
    <w:p w14:paraId="7B217440" w14:textId="27E25727" w:rsidR="0051200F" w:rsidRPr="0027089B" w:rsidRDefault="0051200F" w:rsidP="00357F0F">
      <w:pPr>
        <w:pStyle w:val="FootnoteText"/>
        <w:rPr>
          <w:sz w:val="20"/>
          <w:szCs w:val="20"/>
        </w:rPr>
      </w:pPr>
      <w:r w:rsidRPr="0027089B">
        <w:rPr>
          <w:rStyle w:val="FootnoteReference"/>
          <w:sz w:val="20"/>
          <w:szCs w:val="20"/>
        </w:rPr>
        <w:footnoteRef/>
      </w:r>
      <w:r w:rsidRPr="0027089B">
        <w:rPr>
          <w:sz w:val="20"/>
          <w:szCs w:val="20"/>
        </w:rPr>
        <w:t xml:space="preserve"> </w:t>
      </w:r>
      <w:proofErr w:type="spellStart"/>
      <w:r w:rsidRPr="0027089B">
        <w:rPr>
          <w:sz w:val="20"/>
          <w:szCs w:val="20"/>
        </w:rPr>
        <w:t>Zweiniger-Bargelowska</w:t>
      </w:r>
      <w:proofErr w:type="spellEnd"/>
      <w:r w:rsidRPr="0027089B">
        <w:rPr>
          <w:sz w:val="20"/>
          <w:szCs w:val="20"/>
        </w:rPr>
        <w:t xml:space="preserve">, </w:t>
      </w:r>
      <w:r w:rsidRPr="0027089B">
        <w:rPr>
          <w:i/>
          <w:sz w:val="20"/>
          <w:szCs w:val="20"/>
        </w:rPr>
        <w:t>Women in Twentieth Century Britain</w:t>
      </w:r>
      <w:r w:rsidR="00023800">
        <w:rPr>
          <w:sz w:val="20"/>
          <w:szCs w:val="20"/>
        </w:rPr>
        <w:t>,</w:t>
      </w:r>
      <w:r w:rsidRPr="0027089B">
        <w:rPr>
          <w:sz w:val="20"/>
          <w:szCs w:val="20"/>
        </w:rPr>
        <w:t xml:space="preserve"> 154-156. </w:t>
      </w:r>
    </w:p>
  </w:footnote>
  <w:footnote w:id="6">
    <w:p w14:paraId="4D75A2BA" w14:textId="03120EA4" w:rsidR="0051200F" w:rsidRPr="0027089B" w:rsidRDefault="0051200F" w:rsidP="00357F0F">
      <w:pPr>
        <w:pStyle w:val="FootnoteText"/>
        <w:rPr>
          <w:sz w:val="20"/>
          <w:szCs w:val="20"/>
        </w:rPr>
      </w:pPr>
      <w:r w:rsidRPr="0027089B">
        <w:rPr>
          <w:rStyle w:val="FootnoteReference"/>
          <w:sz w:val="20"/>
          <w:szCs w:val="20"/>
        </w:rPr>
        <w:footnoteRef/>
      </w:r>
      <w:r w:rsidRPr="0027089B">
        <w:rPr>
          <w:sz w:val="20"/>
          <w:szCs w:val="20"/>
        </w:rPr>
        <w:t xml:space="preserve"> </w:t>
      </w:r>
      <w:r w:rsidR="00AB102A">
        <w:rPr>
          <w:sz w:val="20"/>
          <w:szCs w:val="20"/>
        </w:rPr>
        <w:t>i</w:t>
      </w:r>
      <w:r w:rsidRPr="0027089B">
        <w:rPr>
          <w:sz w:val="20"/>
          <w:szCs w:val="20"/>
        </w:rPr>
        <w:t>bid. 154.</w:t>
      </w:r>
    </w:p>
  </w:footnote>
  <w:footnote w:id="7">
    <w:p w14:paraId="34F08D91" w14:textId="339AD4BB" w:rsidR="0051200F" w:rsidRPr="00C57BE4" w:rsidRDefault="0051200F" w:rsidP="00357F0F">
      <w:pPr>
        <w:pStyle w:val="FootnoteText"/>
        <w:rPr>
          <w:sz w:val="20"/>
          <w:szCs w:val="20"/>
        </w:rPr>
      </w:pPr>
      <w:r w:rsidRPr="0027089B">
        <w:rPr>
          <w:rStyle w:val="FootnoteReference"/>
          <w:sz w:val="20"/>
          <w:szCs w:val="20"/>
        </w:rPr>
        <w:footnoteRef/>
      </w:r>
      <w:r w:rsidRPr="0027089B">
        <w:rPr>
          <w:sz w:val="20"/>
          <w:szCs w:val="20"/>
        </w:rPr>
        <w:t xml:space="preserve"> Richie, Rachel. 2010. The Housewife and the Modern: the home and appearance in women’s magazines, 1954 -1969. Unpublished PhD dissertation, University of Manchester</w:t>
      </w:r>
      <w:r w:rsidR="00023800">
        <w:rPr>
          <w:sz w:val="20"/>
          <w:szCs w:val="20"/>
        </w:rPr>
        <w:t>,</w:t>
      </w:r>
      <w:r w:rsidRPr="0027089B">
        <w:rPr>
          <w:sz w:val="20"/>
          <w:szCs w:val="20"/>
        </w:rPr>
        <w:t xml:space="preserve"> 67. See also Scott, Gillian. 2007. “Workshops Fit for Homeworkers”: The Women’s Co-operative and Housing Reform in Mid-twentieth Century Britain. In </w:t>
      </w:r>
      <w:r w:rsidRPr="0027089B">
        <w:rPr>
          <w:i/>
          <w:sz w:val="20"/>
          <w:szCs w:val="20"/>
        </w:rPr>
        <w:t>Women and the Making of Built Space in England 1870-1950</w:t>
      </w:r>
      <w:r w:rsidRPr="0027089B">
        <w:rPr>
          <w:sz w:val="20"/>
          <w:szCs w:val="20"/>
        </w:rPr>
        <w:t>, ed</w:t>
      </w:r>
      <w:r w:rsidR="00B63D9F">
        <w:rPr>
          <w:sz w:val="20"/>
          <w:szCs w:val="20"/>
        </w:rPr>
        <w:t>s</w:t>
      </w:r>
      <w:r w:rsidRPr="0027089B">
        <w:rPr>
          <w:sz w:val="20"/>
          <w:szCs w:val="20"/>
        </w:rPr>
        <w:t>. Elizabeth Darling and Leslie Whitworth, London: Routledge</w:t>
      </w:r>
      <w:r w:rsidR="00023800" w:rsidRPr="00F2084C">
        <w:rPr>
          <w:sz w:val="20"/>
          <w:szCs w:val="20"/>
        </w:rPr>
        <w:t>,</w:t>
      </w:r>
      <w:r w:rsidRPr="00F2084C">
        <w:rPr>
          <w:sz w:val="20"/>
          <w:szCs w:val="20"/>
        </w:rPr>
        <w:t xml:space="preserve"> 179,</w:t>
      </w:r>
      <w:r w:rsidRPr="0027089B">
        <w:rPr>
          <w:sz w:val="20"/>
          <w:szCs w:val="20"/>
        </w:rPr>
        <w:t xml:space="preserve"> Beaumont, Caitríona. 2013. </w:t>
      </w:r>
      <w:r w:rsidRPr="0027089B">
        <w:rPr>
          <w:i/>
          <w:sz w:val="20"/>
          <w:szCs w:val="20"/>
        </w:rPr>
        <w:t>Housewives and Citizens: Domesticity and the Women’s Movement in England, 1928-1964</w:t>
      </w:r>
      <w:r w:rsidRPr="0027089B">
        <w:rPr>
          <w:sz w:val="20"/>
          <w:szCs w:val="20"/>
        </w:rPr>
        <w:t>. Manchester: Manchester University Press</w:t>
      </w:r>
      <w:r w:rsidR="00023800">
        <w:rPr>
          <w:sz w:val="20"/>
          <w:szCs w:val="20"/>
        </w:rPr>
        <w:t>,</w:t>
      </w:r>
      <w:r w:rsidRPr="0027089B">
        <w:rPr>
          <w:sz w:val="20"/>
          <w:szCs w:val="20"/>
        </w:rPr>
        <w:t xml:space="preserve"> 171-175, and Stott, Mary. 1978. </w:t>
      </w:r>
      <w:r w:rsidRPr="0027089B">
        <w:rPr>
          <w:i/>
          <w:sz w:val="20"/>
          <w:szCs w:val="20"/>
        </w:rPr>
        <w:t>Organisation Woman: The Story of the National Union of Townswomen’s Guilds</w:t>
      </w:r>
      <w:r w:rsidRPr="0027089B">
        <w:rPr>
          <w:sz w:val="20"/>
          <w:szCs w:val="20"/>
        </w:rPr>
        <w:t>. London: Heinemann</w:t>
      </w:r>
      <w:r w:rsidR="00023800">
        <w:rPr>
          <w:sz w:val="20"/>
          <w:szCs w:val="20"/>
        </w:rPr>
        <w:t>,</w:t>
      </w:r>
      <w:r w:rsidRPr="0027089B">
        <w:rPr>
          <w:sz w:val="20"/>
          <w:szCs w:val="20"/>
        </w:rPr>
        <w:t xml:space="preserve"> 70-75</w:t>
      </w:r>
      <w:r w:rsidR="00323B53" w:rsidRPr="00C57BE4">
        <w:rPr>
          <w:sz w:val="20"/>
          <w:szCs w:val="20"/>
        </w:rPr>
        <w:t xml:space="preserve">, Jenkins, Lyndsey. 2023. “The Voice of the true British housewife”: the politics of housewifery at </w:t>
      </w:r>
      <w:proofErr w:type="spellStart"/>
      <w:r w:rsidR="00323B53" w:rsidRPr="00C57BE4">
        <w:rPr>
          <w:sz w:val="20"/>
          <w:szCs w:val="20"/>
        </w:rPr>
        <w:t>Labour’s</w:t>
      </w:r>
      <w:proofErr w:type="spellEnd"/>
      <w:r w:rsidR="00323B53" w:rsidRPr="00C57BE4">
        <w:rPr>
          <w:sz w:val="20"/>
          <w:szCs w:val="20"/>
        </w:rPr>
        <w:t xml:space="preserve"> women’s conferences, 1945-1959. </w:t>
      </w:r>
      <w:r w:rsidR="00323B53" w:rsidRPr="00C57BE4">
        <w:rPr>
          <w:i/>
          <w:iCs/>
          <w:sz w:val="20"/>
          <w:szCs w:val="20"/>
        </w:rPr>
        <w:t>Women’s History Review</w:t>
      </w:r>
      <w:r w:rsidR="00323B53" w:rsidRPr="00C57BE4">
        <w:rPr>
          <w:sz w:val="20"/>
          <w:szCs w:val="20"/>
        </w:rPr>
        <w:t xml:space="preserve"> </w:t>
      </w:r>
      <w:hyperlink r:id="rId1" w:history="1">
        <w:r w:rsidR="00323B53" w:rsidRPr="00C57BE4">
          <w:rPr>
            <w:rStyle w:val="Hyperlink"/>
            <w:color w:val="auto"/>
            <w:sz w:val="20"/>
            <w:szCs w:val="20"/>
          </w:rPr>
          <w:t>https://www.tandfonline.com/doi/full/10.1080/09612025.2023.2267251 Accessed 23 February 2024</w:t>
        </w:r>
      </w:hyperlink>
      <w:r w:rsidR="00323B53" w:rsidRPr="00C57BE4">
        <w:rPr>
          <w:sz w:val="20"/>
          <w:szCs w:val="20"/>
        </w:rPr>
        <w:t xml:space="preserve">. </w:t>
      </w:r>
    </w:p>
  </w:footnote>
  <w:footnote w:id="8">
    <w:p w14:paraId="0B73BEE8" w14:textId="0453311C" w:rsidR="0051200F" w:rsidRPr="00C57BE4" w:rsidRDefault="0051200F" w:rsidP="00357F0F">
      <w:pPr>
        <w:pStyle w:val="FootnoteText"/>
        <w:rPr>
          <w:sz w:val="20"/>
          <w:szCs w:val="20"/>
        </w:rPr>
      </w:pPr>
      <w:r w:rsidRPr="00C57BE4">
        <w:rPr>
          <w:rStyle w:val="FootnoteReference"/>
          <w:sz w:val="20"/>
          <w:szCs w:val="20"/>
        </w:rPr>
        <w:footnoteRef/>
      </w:r>
      <w:r w:rsidRPr="00C57BE4">
        <w:rPr>
          <w:sz w:val="20"/>
          <w:szCs w:val="20"/>
        </w:rPr>
        <w:t xml:space="preserve"> Richie, The Housewife and the Modern</w:t>
      </w:r>
      <w:r w:rsidR="00023800" w:rsidRPr="00C57BE4">
        <w:rPr>
          <w:sz w:val="20"/>
          <w:szCs w:val="20"/>
        </w:rPr>
        <w:t>,</w:t>
      </w:r>
      <w:r w:rsidRPr="00C57BE4">
        <w:rPr>
          <w:sz w:val="20"/>
          <w:szCs w:val="20"/>
        </w:rPr>
        <w:t xml:space="preserve"> 67.</w:t>
      </w:r>
    </w:p>
  </w:footnote>
  <w:footnote w:id="9">
    <w:p w14:paraId="4FE92B6A" w14:textId="649A13EA" w:rsidR="00E92D28" w:rsidRPr="00E92D28" w:rsidRDefault="00E92D28">
      <w:pPr>
        <w:pStyle w:val="FootnoteText"/>
        <w:rPr>
          <w:sz w:val="20"/>
          <w:szCs w:val="20"/>
          <w:lang w:val="en-GB"/>
        </w:rPr>
      </w:pPr>
      <w:r w:rsidRPr="00C57BE4">
        <w:rPr>
          <w:rStyle w:val="FootnoteReference"/>
          <w:sz w:val="20"/>
          <w:szCs w:val="20"/>
        </w:rPr>
        <w:footnoteRef/>
      </w:r>
      <w:r w:rsidRPr="00C57BE4">
        <w:rPr>
          <w:sz w:val="20"/>
          <w:szCs w:val="20"/>
        </w:rPr>
        <w:t xml:space="preserve"> </w:t>
      </w:r>
      <w:r w:rsidRPr="00C57BE4">
        <w:rPr>
          <w:sz w:val="20"/>
          <w:szCs w:val="20"/>
          <w:lang w:val="en-GB"/>
        </w:rPr>
        <w:t xml:space="preserve">See for example Pugh, Martin. 2015. </w:t>
      </w:r>
      <w:r w:rsidRPr="00C57BE4">
        <w:rPr>
          <w:i/>
          <w:iCs/>
          <w:sz w:val="20"/>
          <w:szCs w:val="20"/>
          <w:lang w:val="en-GB"/>
        </w:rPr>
        <w:t>Women and the Women’s Movement in Britain since 1914</w:t>
      </w:r>
      <w:r w:rsidRPr="00C57BE4">
        <w:rPr>
          <w:sz w:val="20"/>
          <w:szCs w:val="20"/>
          <w:lang w:val="en-GB"/>
        </w:rPr>
        <w:t xml:space="preserve">. Basingstoke: Palgrave MacMillan. </w:t>
      </w:r>
    </w:p>
  </w:footnote>
  <w:footnote w:id="10">
    <w:p w14:paraId="3C54B4D6" w14:textId="2A7D3E42" w:rsidR="0051200F" w:rsidRPr="00DD255A" w:rsidRDefault="0051200F" w:rsidP="00357F0F">
      <w:pPr>
        <w:pStyle w:val="FootnoteText"/>
        <w:rPr>
          <w:sz w:val="20"/>
          <w:szCs w:val="20"/>
        </w:rPr>
      </w:pPr>
      <w:r w:rsidRPr="00F53BEC">
        <w:rPr>
          <w:rStyle w:val="FootnoteReference"/>
          <w:sz w:val="20"/>
          <w:szCs w:val="20"/>
        </w:rPr>
        <w:footnoteRef/>
      </w:r>
      <w:r w:rsidRPr="00F53BEC">
        <w:rPr>
          <w:sz w:val="20"/>
          <w:szCs w:val="20"/>
        </w:rPr>
        <w:t xml:space="preserve"> Pinker, Robert.</w:t>
      </w:r>
      <w:r w:rsidR="00CD68A5" w:rsidRPr="00F53BEC">
        <w:rPr>
          <w:rStyle w:val="normaltextrun"/>
          <w:rFonts w:cs="Arial"/>
          <w:color w:val="000000"/>
          <w:sz w:val="20"/>
          <w:szCs w:val="20"/>
          <w:shd w:val="clear" w:color="auto" w:fill="FFFFFF"/>
        </w:rPr>
        <w:t> 2017. The welfare state: a comparative perspective. </w:t>
      </w:r>
      <w:r w:rsidR="00F53BEC" w:rsidRPr="00F53BEC">
        <w:rPr>
          <w:rFonts w:cs="Arial"/>
          <w:color w:val="000000"/>
          <w:sz w:val="20"/>
          <w:szCs w:val="20"/>
          <w:shd w:val="clear" w:color="auto" w:fill="FFFFFF"/>
          <w:lang w:val="en-GB"/>
        </w:rPr>
        <w:t xml:space="preserve">In </w:t>
      </w:r>
      <w:r w:rsidR="00F53BEC" w:rsidRPr="00F53BEC">
        <w:rPr>
          <w:rFonts w:cs="Arial"/>
          <w:i/>
          <w:iCs/>
          <w:color w:val="000000"/>
          <w:sz w:val="20"/>
          <w:szCs w:val="20"/>
          <w:shd w:val="clear" w:color="auto" w:fill="FFFFFF"/>
          <w:lang w:val="en-GB"/>
        </w:rPr>
        <w:t>Social policy and welfare pluralism: selected writings of Robert Pinker,</w:t>
      </w:r>
      <w:r w:rsidR="00F53BEC" w:rsidRPr="00F53BEC">
        <w:rPr>
          <w:rFonts w:cs="Arial"/>
          <w:color w:val="000000"/>
          <w:sz w:val="20"/>
          <w:szCs w:val="20"/>
          <w:shd w:val="clear" w:color="auto" w:fill="FFFFFF"/>
          <w:lang w:val="en-GB"/>
        </w:rPr>
        <w:t xml:space="preserve"> ed. John Offer and Robert Pinker, 70. Bristol: Policy Press</w:t>
      </w:r>
      <w:r w:rsidR="00A359C7">
        <w:rPr>
          <w:rStyle w:val="normaltextrun"/>
          <w:rFonts w:cs="Arial"/>
          <w:color w:val="000000"/>
          <w:sz w:val="20"/>
          <w:szCs w:val="20"/>
          <w:shd w:val="clear" w:color="auto" w:fill="FFFFFF"/>
        </w:rPr>
        <w:t>. S</w:t>
      </w:r>
      <w:r w:rsidR="00C57BE4">
        <w:rPr>
          <w:rStyle w:val="normaltextrun"/>
          <w:rFonts w:cs="Arial"/>
          <w:color w:val="000000"/>
          <w:sz w:val="20"/>
          <w:szCs w:val="20"/>
          <w:shd w:val="clear" w:color="auto" w:fill="FFFFFF"/>
        </w:rPr>
        <w:t>ee</w:t>
      </w:r>
      <w:r w:rsidR="00A359C7">
        <w:rPr>
          <w:rStyle w:val="normaltextrun"/>
          <w:rFonts w:cs="Arial"/>
          <w:color w:val="000000"/>
          <w:sz w:val="20"/>
          <w:szCs w:val="20"/>
          <w:shd w:val="clear" w:color="auto" w:fill="FFFFFF"/>
        </w:rPr>
        <w:t xml:space="preserve"> also</w:t>
      </w:r>
      <w:r w:rsidR="00C57BE4">
        <w:rPr>
          <w:rStyle w:val="normaltextrun"/>
          <w:rFonts w:cs="Arial"/>
          <w:color w:val="000000"/>
          <w:sz w:val="20"/>
          <w:szCs w:val="20"/>
          <w:shd w:val="clear" w:color="auto" w:fill="FFFFFF"/>
        </w:rPr>
        <w:t xml:space="preserve"> </w:t>
      </w:r>
      <w:r w:rsidR="00CD68A5" w:rsidRPr="00C57BE4">
        <w:rPr>
          <w:rStyle w:val="normaltextrun"/>
          <w:rFonts w:cs="Arial"/>
          <w:sz w:val="20"/>
          <w:szCs w:val="20"/>
          <w:shd w:val="clear" w:color="auto" w:fill="FFFFFF"/>
        </w:rPr>
        <w:t>Introduction</w:t>
      </w:r>
      <w:r w:rsidR="00E90050">
        <w:rPr>
          <w:rStyle w:val="normaltextrun"/>
          <w:rFonts w:cs="Arial"/>
          <w:sz w:val="20"/>
          <w:szCs w:val="20"/>
          <w:shd w:val="clear" w:color="auto" w:fill="FFFFFF"/>
        </w:rPr>
        <w:t xml:space="preserve"> to this collection. Chapter 3 in this collection discusses the welfare activism of working-class women’s groups </w:t>
      </w:r>
      <w:proofErr w:type="gramStart"/>
      <w:r w:rsidR="00E90050">
        <w:rPr>
          <w:rStyle w:val="normaltextrun"/>
          <w:rFonts w:cs="Arial"/>
          <w:sz w:val="20"/>
          <w:szCs w:val="20"/>
          <w:shd w:val="clear" w:color="auto" w:fill="FFFFFF"/>
        </w:rPr>
        <w:t>at this time</w:t>
      </w:r>
      <w:proofErr w:type="gramEnd"/>
      <w:r w:rsidR="00E90050">
        <w:rPr>
          <w:rStyle w:val="normaltextrun"/>
          <w:rFonts w:cs="Arial"/>
          <w:sz w:val="20"/>
          <w:szCs w:val="20"/>
          <w:shd w:val="clear" w:color="auto" w:fill="FFFFFF"/>
        </w:rPr>
        <w:t xml:space="preserve">. </w:t>
      </w:r>
    </w:p>
  </w:footnote>
  <w:footnote w:id="11">
    <w:p w14:paraId="71A5238E" w14:textId="0C5F99DA" w:rsidR="00E92D28" w:rsidRPr="00C57BE4" w:rsidRDefault="00E92D28">
      <w:pPr>
        <w:pStyle w:val="FootnoteText"/>
        <w:rPr>
          <w:sz w:val="20"/>
          <w:szCs w:val="20"/>
        </w:rPr>
      </w:pPr>
      <w:r w:rsidRPr="00C57BE4">
        <w:rPr>
          <w:rStyle w:val="FootnoteReference"/>
          <w:sz w:val="20"/>
          <w:szCs w:val="20"/>
        </w:rPr>
        <w:footnoteRef/>
      </w:r>
      <w:r w:rsidRPr="00C57BE4">
        <w:rPr>
          <w:sz w:val="20"/>
          <w:szCs w:val="20"/>
        </w:rPr>
        <w:t xml:space="preserve"> See Beaumont, Caitríona. 2009. Housewives, Workers and Citizens: Voluntary Women’s Organisations and the Campaign for Women’s Rights in England and Wales during the Post-War Period. In </w:t>
      </w:r>
      <w:r w:rsidRPr="00C57BE4">
        <w:rPr>
          <w:i/>
          <w:iCs/>
          <w:sz w:val="20"/>
          <w:szCs w:val="20"/>
        </w:rPr>
        <w:t>NGOs in Contemporary Britain: Non-State Actors in Society and Politics since 1945</w:t>
      </w:r>
      <w:r w:rsidRPr="00C57BE4">
        <w:rPr>
          <w:sz w:val="20"/>
          <w:szCs w:val="20"/>
        </w:rPr>
        <w:t xml:space="preserve">, eds. Nick Crowson, Matthew Hilton and James McKay. 59-76. Basingstoke: Palgrave Macmillan. </w:t>
      </w:r>
    </w:p>
    <w:p w14:paraId="79C43E87" w14:textId="4A9DEDFA" w:rsidR="00E92D28" w:rsidRPr="00E92D28" w:rsidRDefault="00E92D28">
      <w:pPr>
        <w:pStyle w:val="FootnoteText"/>
        <w:rPr>
          <w:sz w:val="20"/>
          <w:szCs w:val="20"/>
          <w:lang w:val="en-GB"/>
        </w:rPr>
      </w:pPr>
    </w:p>
  </w:footnote>
  <w:footnote w:id="12">
    <w:p w14:paraId="5790E640" w14:textId="4F8C3595" w:rsidR="0051200F" w:rsidRPr="00C62AB3" w:rsidRDefault="0051200F" w:rsidP="00357F0F">
      <w:pPr>
        <w:rPr>
          <w:sz w:val="20"/>
          <w:szCs w:val="20"/>
        </w:rPr>
      </w:pPr>
      <w:r w:rsidRPr="00C62AB3">
        <w:rPr>
          <w:rStyle w:val="FootnoteReference"/>
          <w:sz w:val="20"/>
          <w:szCs w:val="20"/>
        </w:rPr>
        <w:footnoteRef/>
      </w:r>
      <w:r w:rsidRPr="00C62AB3">
        <w:rPr>
          <w:sz w:val="20"/>
          <w:szCs w:val="20"/>
        </w:rPr>
        <w:t xml:space="preserve"> For </w:t>
      </w:r>
      <w:proofErr w:type="gramStart"/>
      <w:r w:rsidRPr="00C62AB3">
        <w:rPr>
          <w:sz w:val="20"/>
          <w:szCs w:val="20"/>
        </w:rPr>
        <w:t>example</w:t>
      </w:r>
      <w:proofErr w:type="gramEnd"/>
      <w:r w:rsidRPr="00C62AB3">
        <w:rPr>
          <w:sz w:val="20"/>
          <w:szCs w:val="20"/>
        </w:rPr>
        <w:t xml:space="preserve"> the WCG was successful in campaigning for the provision of local authority funded welfare clinics, enhanced maternity services and local authority housing reforms. In 1918 the Guild affiliated to the Labour Party and continued to campaign for welfare reforms to improve working-class women’s lives. It recorded a membership of 62,000 women in 1963 and closed in 2016.  See Llewelyn Davies, Margaret. 1978. </w:t>
      </w:r>
      <w:r w:rsidRPr="00C62AB3">
        <w:rPr>
          <w:i/>
          <w:sz w:val="20"/>
          <w:szCs w:val="20"/>
        </w:rPr>
        <w:t>Maternity: Letters from Working Class Wives</w:t>
      </w:r>
      <w:r w:rsidRPr="00C62AB3">
        <w:rPr>
          <w:sz w:val="20"/>
          <w:szCs w:val="20"/>
        </w:rPr>
        <w:t xml:space="preserve">, London: Virago Reprint Library. Scott, Gillian. 1998. </w:t>
      </w:r>
      <w:r w:rsidRPr="00C62AB3">
        <w:rPr>
          <w:i/>
          <w:sz w:val="20"/>
          <w:szCs w:val="20"/>
        </w:rPr>
        <w:t>Feminism, Femininity and the Politics of Working Women: The Women’s Co-operative Guild, 1880s to the Second World War</w:t>
      </w:r>
      <w:r w:rsidRPr="00C62AB3">
        <w:rPr>
          <w:sz w:val="20"/>
          <w:szCs w:val="20"/>
        </w:rPr>
        <w:t xml:space="preserve">. London: University of London Press. See also Dwork, Deborah. 1986. </w:t>
      </w:r>
      <w:r w:rsidRPr="00C62AB3">
        <w:rPr>
          <w:i/>
          <w:sz w:val="20"/>
          <w:szCs w:val="20"/>
        </w:rPr>
        <w:t>War is Good for Babies and Other Young Children: History of the Infant and Child Welfare Movement in England, 1898-1918</w:t>
      </w:r>
      <w:r w:rsidRPr="00C62AB3">
        <w:rPr>
          <w:sz w:val="20"/>
          <w:szCs w:val="20"/>
        </w:rPr>
        <w:t xml:space="preserve">, London: Tavistock Routledge and Gorden, Peter and Doughan, David. 2001. </w:t>
      </w:r>
      <w:r w:rsidRPr="00C62AB3">
        <w:rPr>
          <w:i/>
          <w:sz w:val="20"/>
          <w:szCs w:val="20"/>
        </w:rPr>
        <w:t>Dictionary of British Women’s Organisations 1825-1960</w:t>
      </w:r>
      <w:r w:rsidRPr="00C62AB3">
        <w:rPr>
          <w:sz w:val="20"/>
          <w:szCs w:val="20"/>
        </w:rPr>
        <w:t>. London: Woburn Press</w:t>
      </w:r>
      <w:r w:rsidR="00023800">
        <w:rPr>
          <w:sz w:val="20"/>
          <w:szCs w:val="20"/>
        </w:rPr>
        <w:t>,</w:t>
      </w:r>
      <w:r w:rsidRPr="00C62AB3">
        <w:rPr>
          <w:sz w:val="20"/>
          <w:szCs w:val="20"/>
        </w:rPr>
        <w:t xml:space="preserve"> 159-160.   </w:t>
      </w:r>
    </w:p>
  </w:footnote>
  <w:footnote w:id="13">
    <w:p w14:paraId="6CDE053B" w14:textId="63DF5F29" w:rsidR="0051200F" w:rsidRPr="00C62AB3" w:rsidRDefault="0051200F" w:rsidP="00357F0F">
      <w:pPr>
        <w:pStyle w:val="FootnoteText"/>
        <w:rPr>
          <w:sz w:val="20"/>
          <w:szCs w:val="20"/>
        </w:rPr>
      </w:pPr>
      <w:r w:rsidRPr="00C62AB3">
        <w:rPr>
          <w:rStyle w:val="FootnoteReference"/>
          <w:sz w:val="20"/>
          <w:szCs w:val="20"/>
        </w:rPr>
        <w:footnoteRef/>
      </w:r>
      <w:r w:rsidRPr="00C62AB3">
        <w:rPr>
          <w:sz w:val="20"/>
          <w:szCs w:val="20"/>
        </w:rPr>
        <w:t xml:space="preserve"> Rowan, Caroline. 1982. Women in the Labour Party, 1906-20. </w:t>
      </w:r>
      <w:r w:rsidRPr="00C62AB3">
        <w:rPr>
          <w:i/>
          <w:sz w:val="20"/>
          <w:szCs w:val="20"/>
        </w:rPr>
        <w:t>Feminist Review</w:t>
      </w:r>
      <w:r w:rsidRPr="00C62AB3">
        <w:rPr>
          <w:sz w:val="20"/>
          <w:szCs w:val="20"/>
        </w:rPr>
        <w:t xml:space="preserve"> 12</w:t>
      </w:r>
      <w:r w:rsidR="00023800">
        <w:rPr>
          <w:sz w:val="20"/>
          <w:szCs w:val="20"/>
        </w:rPr>
        <w:t>,</w:t>
      </w:r>
      <w:r w:rsidRPr="00C62AB3">
        <w:rPr>
          <w:sz w:val="20"/>
          <w:szCs w:val="20"/>
        </w:rPr>
        <w:t xml:space="preserve"> 74-91. </w:t>
      </w:r>
    </w:p>
  </w:footnote>
  <w:footnote w:id="14">
    <w:p w14:paraId="1C7B9C6D" w14:textId="7733BBDF" w:rsidR="0051200F" w:rsidRPr="00C62AB3" w:rsidRDefault="0051200F" w:rsidP="00357F0F">
      <w:pPr>
        <w:pStyle w:val="FootnoteText"/>
        <w:rPr>
          <w:sz w:val="20"/>
          <w:szCs w:val="20"/>
        </w:rPr>
      </w:pPr>
      <w:r w:rsidRPr="00C62AB3">
        <w:rPr>
          <w:rStyle w:val="FootnoteReference"/>
          <w:sz w:val="20"/>
          <w:szCs w:val="20"/>
        </w:rPr>
        <w:footnoteRef/>
      </w:r>
      <w:r w:rsidRPr="00C62AB3">
        <w:rPr>
          <w:sz w:val="20"/>
          <w:szCs w:val="20"/>
        </w:rPr>
        <w:t xml:space="preserve"> Across the two organisations education, craft skills, cooking, music and drama featured among the most popular activities. Beaumont. </w:t>
      </w:r>
      <w:r w:rsidRPr="00C62AB3">
        <w:rPr>
          <w:i/>
          <w:sz w:val="20"/>
          <w:szCs w:val="20"/>
        </w:rPr>
        <w:t>Housewives and Citizens</w:t>
      </w:r>
      <w:r w:rsidR="00023800">
        <w:rPr>
          <w:sz w:val="20"/>
          <w:szCs w:val="20"/>
        </w:rPr>
        <w:t>,</w:t>
      </w:r>
      <w:r w:rsidRPr="00C62AB3">
        <w:rPr>
          <w:sz w:val="20"/>
          <w:szCs w:val="20"/>
        </w:rPr>
        <w:t xml:space="preserve"> 8-39. See also Andrews, Maggie.</w:t>
      </w:r>
      <w:r>
        <w:rPr>
          <w:sz w:val="20"/>
          <w:szCs w:val="20"/>
        </w:rPr>
        <w:t xml:space="preserve"> 2015.</w:t>
      </w:r>
      <w:r w:rsidRPr="00C62AB3">
        <w:rPr>
          <w:sz w:val="20"/>
          <w:szCs w:val="20"/>
        </w:rPr>
        <w:t xml:space="preserve"> </w:t>
      </w:r>
      <w:r w:rsidRPr="00C62AB3">
        <w:rPr>
          <w:i/>
          <w:sz w:val="20"/>
          <w:szCs w:val="20"/>
        </w:rPr>
        <w:t>The Acceptable Face of Feminism: The Women’s Institute as a Social Movement</w:t>
      </w:r>
      <w:r>
        <w:rPr>
          <w:sz w:val="20"/>
          <w:szCs w:val="20"/>
        </w:rPr>
        <w:t>.</w:t>
      </w:r>
      <w:r w:rsidRPr="00C62AB3">
        <w:rPr>
          <w:sz w:val="20"/>
          <w:szCs w:val="20"/>
        </w:rPr>
        <w:t xml:space="preserve"> London: Lawrence and Wishart Ltd.  </w:t>
      </w:r>
    </w:p>
  </w:footnote>
  <w:footnote w:id="15">
    <w:p w14:paraId="4D2CBBF7" w14:textId="2B0272DB" w:rsidR="0051200F" w:rsidRPr="00C62AB3" w:rsidRDefault="0051200F" w:rsidP="00357F0F">
      <w:pPr>
        <w:pStyle w:val="FootnoteText"/>
        <w:rPr>
          <w:sz w:val="20"/>
          <w:szCs w:val="20"/>
        </w:rPr>
      </w:pPr>
      <w:r w:rsidRPr="00C62AB3">
        <w:rPr>
          <w:rStyle w:val="FootnoteReference"/>
          <w:sz w:val="20"/>
          <w:szCs w:val="20"/>
        </w:rPr>
        <w:footnoteRef/>
      </w:r>
      <w:r w:rsidRPr="00C62AB3">
        <w:rPr>
          <w:sz w:val="20"/>
          <w:szCs w:val="20"/>
        </w:rPr>
        <w:t xml:space="preserve"> In 1954 the NFWI recorded 467,000 members and the TG c. 131,000. Beaumont. </w:t>
      </w:r>
      <w:r w:rsidRPr="00C62AB3">
        <w:rPr>
          <w:i/>
          <w:sz w:val="20"/>
          <w:szCs w:val="20"/>
        </w:rPr>
        <w:t>Housewives and Citizens</w:t>
      </w:r>
      <w:r w:rsidR="00023800">
        <w:rPr>
          <w:sz w:val="20"/>
          <w:szCs w:val="20"/>
        </w:rPr>
        <w:t>,</w:t>
      </w:r>
      <w:r w:rsidRPr="00C62AB3">
        <w:rPr>
          <w:sz w:val="20"/>
          <w:szCs w:val="20"/>
        </w:rPr>
        <w:t xml:space="preserve"> 190. </w:t>
      </w:r>
    </w:p>
  </w:footnote>
  <w:footnote w:id="16">
    <w:p w14:paraId="4833DFAD" w14:textId="5F004BB4" w:rsidR="0051200F" w:rsidRPr="00C62AB3" w:rsidRDefault="0051200F" w:rsidP="00357F0F">
      <w:pPr>
        <w:pStyle w:val="FootnoteText"/>
        <w:rPr>
          <w:sz w:val="20"/>
          <w:szCs w:val="20"/>
        </w:rPr>
      </w:pPr>
      <w:r w:rsidRPr="00C62AB3">
        <w:rPr>
          <w:rStyle w:val="FootnoteReference"/>
          <w:sz w:val="20"/>
          <w:szCs w:val="20"/>
        </w:rPr>
        <w:footnoteRef/>
      </w:r>
      <w:r w:rsidRPr="00C62AB3">
        <w:rPr>
          <w:sz w:val="20"/>
          <w:szCs w:val="20"/>
        </w:rPr>
        <w:t xml:space="preserve"> Beaumont. </w:t>
      </w:r>
      <w:r w:rsidRPr="00C62AB3">
        <w:rPr>
          <w:i/>
          <w:sz w:val="20"/>
          <w:szCs w:val="20"/>
        </w:rPr>
        <w:t>Housewives and Citizens</w:t>
      </w:r>
      <w:r w:rsidR="00023800">
        <w:rPr>
          <w:sz w:val="20"/>
          <w:szCs w:val="20"/>
        </w:rPr>
        <w:t>,</w:t>
      </w:r>
      <w:r w:rsidRPr="00C62AB3">
        <w:rPr>
          <w:sz w:val="20"/>
          <w:szCs w:val="20"/>
        </w:rPr>
        <w:t xml:space="preserve"> 8-39. </w:t>
      </w:r>
    </w:p>
  </w:footnote>
  <w:footnote w:id="17">
    <w:p w14:paraId="0918CDBD" w14:textId="639FF4A4" w:rsidR="0051200F" w:rsidRPr="003F159F" w:rsidRDefault="0051200F" w:rsidP="00357F0F">
      <w:pPr>
        <w:pStyle w:val="FootnoteText"/>
        <w:rPr>
          <w:sz w:val="20"/>
          <w:szCs w:val="20"/>
        </w:rPr>
      </w:pPr>
      <w:r w:rsidRPr="003F159F">
        <w:rPr>
          <w:rStyle w:val="FootnoteReference"/>
          <w:sz w:val="20"/>
          <w:szCs w:val="20"/>
        </w:rPr>
        <w:footnoteRef/>
      </w:r>
      <w:r w:rsidRPr="003F159F">
        <w:rPr>
          <w:sz w:val="20"/>
          <w:szCs w:val="20"/>
        </w:rPr>
        <w:t xml:space="preserve"> The National Union of Townswomen’s Guilds. 1938. </w:t>
      </w:r>
      <w:r w:rsidRPr="003F159F">
        <w:rPr>
          <w:i/>
          <w:sz w:val="20"/>
          <w:szCs w:val="20"/>
        </w:rPr>
        <w:t>Handbook</w:t>
      </w:r>
      <w:r w:rsidRPr="003F159F">
        <w:rPr>
          <w:sz w:val="20"/>
          <w:szCs w:val="20"/>
        </w:rPr>
        <w:t>. London</w:t>
      </w:r>
      <w:r w:rsidR="00023800">
        <w:rPr>
          <w:sz w:val="20"/>
          <w:szCs w:val="20"/>
        </w:rPr>
        <w:t>,</w:t>
      </w:r>
      <w:r w:rsidRPr="003F159F">
        <w:rPr>
          <w:sz w:val="20"/>
          <w:szCs w:val="20"/>
        </w:rPr>
        <w:t xml:space="preserve"> 1. </w:t>
      </w:r>
      <w:r w:rsidR="00B63D9F">
        <w:rPr>
          <w:sz w:val="20"/>
          <w:szCs w:val="20"/>
        </w:rPr>
        <w:t>The British Library.</w:t>
      </w:r>
    </w:p>
  </w:footnote>
  <w:footnote w:id="18">
    <w:p w14:paraId="17996FA1" w14:textId="77777777" w:rsidR="0051200F" w:rsidRPr="003F159F" w:rsidRDefault="0051200F" w:rsidP="00357F0F">
      <w:pPr>
        <w:pStyle w:val="FootnoteText"/>
        <w:rPr>
          <w:sz w:val="20"/>
          <w:szCs w:val="20"/>
        </w:rPr>
      </w:pPr>
      <w:r w:rsidRPr="003F159F">
        <w:rPr>
          <w:rStyle w:val="FootnoteReference"/>
          <w:sz w:val="20"/>
          <w:szCs w:val="20"/>
        </w:rPr>
        <w:footnoteRef/>
      </w:r>
      <w:r w:rsidRPr="003F159F">
        <w:rPr>
          <w:sz w:val="20"/>
          <w:szCs w:val="20"/>
        </w:rPr>
        <w:t xml:space="preserve"> Bourke, Joanna. 1994. Housewifery in Working-Class England, 1860-1914. </w:t>
      </w:r>
      <w:r w:rsidRPr="003F159F">
        <w:rPr>
          <w:i/>
          <w:sz w:val="20"/>
          <w:szCs w:val="20"/>
        </w:rPr>
        <w:t>Past and Present</w:t>
      </w:r>
      <w:r w:rsidRPr="003F159F">
        <w:rPr>
          <w:sz w:val="20"/>
          <w:szCs w:val="20"/>
        </w:rPr>
        <w:t xml:space="preserve"> 143: 167-97. Roberts, Elizabeth. 1984. </w:t>
      </w:r>
      <w:r w:rsidRPr="003F159F">
        <w:rPr>
          <w:i/>
          <w:sz w:val="20"/>
          <w:szCs w:val="20"/>
        </w:rPr>
        <w:t>A Woman’s Place: An Oral History of Working-Class Women, 1890-1940.</w:t>
      </w:r>
      <w:r w:rsidRPr="003F159F">
        <w:rPr>
          <w:sz w:val="20"/>
          <w:szCs w:val="20"/>
        </w:rPr>
        <w:t xml:space="preserve"> Oxford: Oxford University Press.</w:t>
      </w:r>
    </w:p>
  </w:footnote>
  <w:footnote w:id="19">
    <w:p w14:paraId="745C2E27" w14:textId="724CDDEC" w:rsidR="0051200F" w:rsidRPr="003F159F" w:rsidRDefault="0051200F" w:rsidP="00357F0F">
      <w:pPr>
        <w:rPr>
          <w:sz w:val="20"/>
          <w:szCs w:val="20"/>
        </w:rPr>
      </w:pPr>
      <w:r w:rsidRPr="003F159F">
        <w:rPr>
          <w:rStyle w:val="FootnoteReference"/>
          <w:sz w:val="20"/>
          <w:szCs w:val="20"/>
        </w:rPr>
        <w:footnoteRef/>
      </w:r>
      <w:r w:rsidRPr="003F159F">
        <w:rPr>
          <w:sz w:val="20"/>
          <w:szCs w:val="20"/>
        </w:rPr>
        <w:t xml:space="preserve"> Giles, Judy. 1993. A Home of One’s Own: Women and Domesticity in England, 1918-1950. </w:t>
      </w:r>
      <w:r w:rsidRPr="003F159F">
        <w:rPr>
          <w:i/>
          <w:sz w:val="20"/>
          <w:szCs w:val="20"/>
        </w:rPr>
        <w:t>Women’s Studies International Forum</w:t>
      </w:r>
      <w:r w:rsidRPr="003F159F">
        <w:rPr>
          <w:sz w:val="20"/>
          <w:szCs w:val="20"/>
        </w:rPr>
        <w:t xml:space="preserve"> 16</w:t>
      </w:r>
      <w:r w:rsidR="00B63D9F">
        <w:rPr>
          <w:sz w:val="20"/>
          <w:szCs w:val="20"/>
        </w:rPr>
        <w:t>,</w:t>
      </w:r>
      <w:r w:rsidR="00023800">
        <w:rPr>
          <w:sz w:val="20"/>
          <w:szCs w:val="20"/>
        </w:rPr>
        <w:t xml:space="preserve"> </w:t>
      </w:r>
      <w:r w:rsidRPr="003F159F">
        <w:rPr>
          <w:sz w:val="20"/>
          <w:szCs w:val="20"/>
        </w:rPr>
        <w:t>3</w:t>
      </w:r>
      <w:r w:rsidR="009D10BD">
        <w:rPr>
          <w:sz w:val="20"/>
          <w:szCs w:val="20"/>
        </w:rPr>
        <w:t>:</w:t>
      </w:r>
      <w:r w:rsidRPr="003F159F">
        <w:rPr>
          <w:sz w:val="20"/>
          <w:szCs w:val="20"/>
        </w:rPr>
        <w:t xml:space="preserve"> 239. Giles argues that this formation of the housewife role in </w:t>
      </w:r>
      <w:proofErr w:type="spellStart"/>
      <w:r w:rsidRPr="003F159F">
        <w:rPr>
          <w:sz w:val="20"/>
          <w:szCs w:val="20"/>
        </w:rPr>
        <w:t>industrialised</w:t>
      </w:r>
      <w:proofErr w:type="spellEnd"/>
      <w:r w:rsidRPr="003F159F">
        <w:rPr>
          <w:sz w:val="20"/>
          <w:szCs w:val="20"/>
        </w:rPr>
        <w:t xml:space="preserve"> nations was underpinned by economic and social transformations brought about by new scientific and technological knowledge alongside improvements in housing, healthcare and standards of living. See also Giles, Judy. 2005. Good Housekeeping: </w:t>
      </w:r>
      <w:proofErr w:type="spellStart"/>
      <w:r w:rsidRPr="003F159F">
        <w:rPr>
          <w:sz w:val="20"/>
          <w:szCs w:val="20"/>
        </w:rPr>
        <w:t>Professionalising</w:t>
      </w:r>
      <w:proofErr w:type="spellEnd"/>
      <w:r w:rsidRPr="003F159F">
        <w:rPr>
          <w:sz w:val="20"/>
          <w:szCs w:val="20"/>
        </w:rPr>
        <w:t xml:space="preserve"> the Housewife, 1920 to 1950. In </w:t>
      </w:r>
      <w:r w:rsidRPr="003F159F">
        <w:rPr>
          <w:i/>
          <w:sz w:val="20"/>
          <w:szCs w:val="20"/>
        </w:rPr>
        <w:t xml:space="preserve">Women and Work Culture: Britain c. 1850 to 1950, </w:t>
      </w:r>
      <w:r w:rsidRPr="003F159F">
        <w:rPr>
          <w:sz w:val="20"/>
          <w:szCs w:val="20"/>
        </w:rPr>
        <w:t>eds</w:t>
      </w:r>
      <w:r w:rsidRPr="003F159F">
        <w:rPr>
          <w:i/>
          <w:sz w:val="20"/>
          <w:szCs w:val="20"/>
        </w:rPr>
        <w:t xml:space="preserve">. </w:t>
      </w:r>
      <w:r w:rsidRPr="003F159F">
        <w:rPr>
          <w:sz w:val="20"/>
          <w:szCs w:val="20"/>
        </w:rPr>
        <w:t>Krista Cowman and Louise A Jackson, 70-88.</w:t>
      </w:r>
      <w:r>
        <w:t xml:space="preserve"> </w:t>
      </w:r>
      <w:r w:rsidRPr="003F159F">
        <w:rPr>
          <w:sz w:val="20"/>
          <w:szCs w:val="20"/>
        </w:rPr>
        <w:t xml:space="preserve">Abingdon: Routledge and Giles, Judy. 2004. </w:t>
      </w:r>
      <w:r w:rsidRPr="003F159F">
        <w:rPr>
          <w:i/>
          <w:sz w:val="20"/>
          <w:szCs w:val="20"/>
        </w:rPr>
        <w:t xml:space="preserve">The </w:t>
      </w:r>
      <w:proofErr w:type="spellStart"/>
      <w:r w:rsidRPr="003F159F">
        <w:rPr>
          <w:i/>
          <w:sz w:val="20"/>
          <w:szCs w:val="20"/>
        </w:rPr>
        <w:t>Parlour</w:t>
      </w:r>
      <w:proofErr w:type="spellEnd"/>
      <w:r w:rsidRPr="003F159F">
        <w:rPr>
          <w:i/>
          <w:sz w:val="20"/>
          <w:szCs w:val="20"/>
        </w:rPr>
        <w:t xml:space="preserve"> and </w:t>
      </w:r>
      <w:r>
        <w:rPr>
          <w:i/>
          <w:sz w:val="20"/>
          <w:szCs w:val="20"/>
        </w:rPr>
        <w:t>the Suburb: Domestic Identities</w:t>
      </w:r>
      <w:r w:rsidRPr="003F159F">
        <w:rPr>
          <w:i/>
          <w:sz w:val="20"/>
          <w:szCs w:val="20"/>
        </w:rPr>
        <w:t>, Class, Femininity and Modernity</w:t>
      </w:r>
      <w:r w:rsidRPr="003F159F">
        <w:rPr>
          <w:sz w:val="20"/>
          <w:szCs w:val="20"/>
        </w:rPr>
        <w:t xml:space="preserve">. London: Berg. </w:t>
      </w:r>
    </w:p>
  </w:footnote>
  <w:footnote w:id="20">
    <w:p w14:paraId="0F6396FE" w14:textId="0EA6183F" w:rsidR="0051200F" w:rsidRPr="00C74182" w:rsidRDefault="0051200F" w:rsidP="00357F0F">
      <w:pPr>
        <w:pStyle w:val="FootnoteText"/>
        <w:rPr>
          <w:sz w:val="20"/>
          <w:szCs w:val="20"/>
        </w:rPr>
      </w:pPr>
      <w:r w:rsidRPr="00C74182">
        <w:rPr>
          <w:rStyle w:val="FootnoteReference"/>
          <w:sz w:val="20"/>
          <w:szCs w:val="20"/>
        </w:rPr>
        <w:footnoteRef/>
      </w:r>
      <w:r w:rsidRPr="00C74182">
        <w:rPr>
          <w:sz w:val="20"/>
          <w:szCs w:val="20"/>
        </w:rPr>
        <w:t xml:space="preserve"> As a non-party political </w:t>
      </w:r>
      <w:proofErr w:type="gramStart"/>
      <w:r w:rsidRPr="00C74182">
        <w:rPr>
          <w:sz w:val="20"/>
          <w:szCs w:val="20"/>
        </w:rPr>
        <w:t>organisation</w:t>
      </w:r>
      <w:proofErr w:type="gramEnd"/>
      <w:r w:rsidRPr="00C74182">
        <w:rPr>
          <w:sz w:val="20"/>
          <w:szCs w:val="20"/>
        </w:rPr>
        <w:t xml:space="preserve"> the NFWI declined to publicly support the women’s suffrage campaign. Following the extension of the parliamentary vote to women the NFWI and later the TG, encouraged members to use their vote wisely and provided advice and support on how to do this in their magazines. Beaumont, Caitríona. 2018. Housewives and Citizens: Encouraging Active Citizenship in the Print Media of Housewives’ Associations During the Interwar Years. In </w:t>
      </w:r>
      <w:r w:rsidRPr="00C74182">
        <w:rPr>
          <w:i/>
          <w:sz w:val="20"/>
          <w:szCs w:val="20"/>
        </w:rPr>
        <w:t>Women’s Periodicals and Print Culture in Britain, 1918-1939: The Interwar Period</w:t>
      </w:r>
      <w:r w:rsidRPr="00C74182">
        <w:rPr>
          <w:sz w:val="20"/>
          <w:szCs w:val="20"/>
        </w:rPr>
        <w:t xml:space="preserve">, eds. Catherine Clay, Maria DiCenzo, Barbara Green and Fiona Hackney. </w:t>
      </w:r>
      <w:r w:rsidR="00270438" w:rsidRPr="00270438">
        <w:rPr>
          <w:sz w:val="20"/>
          <w:szCs w:val="20"/>
        </w:rPr>
        <w:t xml:space="preserve">408-420. </w:t>
      </w:r>
      <w:r w:rsidRPr="00C74182">
        <w:rPr>
          <w:sz w:val="20"/>
          <w:szCs w:val="20"/>
        </w:rPr>
        <w:t>Edinburgh: Edinburgh University Press</w:t>
      </w:r>
      <w:r w:rsidR="00023800">
        <w:rPr>
          <w:sz w:val="20"/>
          <w:szCs w:val="20"/>
        </w:rPr>
        <w:t>,</w:t>
      </w:r>
      <w:r w:rsidRPr="00C74182">
        <w:rPr>
          <w:sz w:val="20"/>
          <w:szCs w:val="20"/>
        </w:rPr>
        <w:t xml:space="preserve"> </w:t>
      </w:r>
    </w:p>
  </w:footnote>
  <w:footnote w:id="21">
    <w:p w14:paraId="08A3C9A3" w14:textId="23D3A696" w:rsidR="0051200F" w:rsidRPr="00C74182" w:rsidRDefault="0051200F" w:rsidP="00357F0F">
      <w:pPr>
        <w:pStyle w:val="FootnoteText"/>
        <w:rPr>
          <w:sz w:val="20"/>
          <w:szCs w:val="20"/>
        </w:rPr>
      </w:pPr>
      <w:r w:rsidRPr="00C74182">
        <w:rPr>
          <w:rStyle w:val="FootnoteReference"/>
          <w:sz w:val="20"/>
          <w:szCs w:val="20"/>
        </w:rPr>
        <w:footnoteRef/>
      </w:r>
      <w:r w:rsidRPr="00C74182">
        <w:rPr>
          <w:sz w:val="20"/>
          <w:szCs w:val="20"/>
        </w:rPr>
        <w:t xml:space="preserve"> Campaigns included demands for better housing standards, maternity services and women’s healthcare. See Beaumont, </w:t>
      </w:r>
      <w:r w:rsidRPr="00C74182">
        <w:rPr>
          <w:i/>
          <w:sz w:val="20"/>
          <w:szCs w:val="20"/>
        </w:rPr>
        <w:t>Housewives and Citizens</w:t>
      </w:r>
      <w:r w:rsidR="00023800">
        <w:rPr>
          <w:sz w:val="20"/>
          <w:szCs w:val="20"/>
        </w:rPr>
        <w:t>,</w:t>
      </w:r>
      <w:r w:rsidRPr="00C74182">
        <w:rPr>
          <w:sz w:val="20"/>
          <w:szCs w:val="20"/>
        </w:rPr>
        <w:t xml:space="preserve"> 101-134 and Thane, Pat. 1991. Visions of Gender in the Making of the British Welfare State: The Case of Women in the British Labour Party and Social Policy, 1906-1945. In </w:t>
      </w:r>
      <w:r w:rsidRPr="00C74182">
        <w:rPr>
          <w:i/>
          <w:sz w:val="20"/>
          <w:szCs w:val="20"/>
        </w:rPr>
        <w:t>Maternity and Gender Policies: Women and the Rise of European Welfare States, 1880s to 1950s</w:t>
      </w:r>
      <w:r w:rsidRPr="00C74182">
        <w:rPr>
          <w:sz w:val="20"/>
          <w:szCs w:val="20"/>
        </w:rPr>
        <w:t xml:space="preserve">, eds. Gisela Bock and Pat Thane. London: Routledge. </w:t>
      </w:r>
    </w:p>
  </w:footnote>
  <w:footnote w:id="22">
    <w:p w14:paraId="0E7B16B5" w14:textId="1281DEEA" w:rsidR="0051200F" w:rsidRPr="00184106" w:rsidRDefault="0051200F" w:rsidP="00357F0F">
      <w:pPr>
        <w:pStyle w:val="FootnoteText"/>
        <w:rPr>
          <w:sz w:val="20"/>
          <w:szCs w:val="20"/>
        </w:rPr>
      </w:pPr>
      <w:r w:rsidRPr="00184106">
        <w:rPr>
          <w:rStyle w:val="FootnoteReference"/>
          <w:sz w:val="20"/>
          <w:szCs w:val="20"/>
        </w:rPr>
        <w:footnoteRef/>
      </w:r>
      <w:r w:rsidRPr="00184106">
        <w:rPr>
          <w:sz w:val="20"/>
          <w:szCs w:val="20"/>
        </w:rPr>
        <w:t xml:space="preserve"> Zweiniger-Barg</w:t>
      </w:r>
      <w:r>
        <w:rPr>
          <w:sz w:val="20"/>
          <w:szCs w:val="20"/>
        </w:rPr>
        <w:t>i</w:t>
      </w:r>
      <w:r w:rsidRPr="00184106">
        <w:rPr>
          <w:sz w:val="20"/>
          <w:szCs w:val="20"/>
        </w:rPr>
        <w:t xml:space="preserve">elowska. </w:t>
      </w:r>
      <w:r w:rsidRPr="00184106">
        <w:rPr>
          <w:i/>
          <w:sz w:val="20"/>
          <w:szCs w:val="20"/>
        </w:rPr>
        <w:t>Women in Twentieth Century Britain</w:t>
      </w:r>
      <w:r w:rsidRPr="00184106">
        <w:rPr>
          <w:sz w:val="20"/>
          <w:szCs w:val="20"/>
        </w:rPr>
        <w:t>, 154-156. See also Zweiniger-Barg</w:t>
      </w:r>
      <w:r>
        <w:rPr>
          <w:sz w:val="20"/>
          <w:szCs w:val="20"/>
        </w:rPr>
        <w:t>i</w:t>
      </w:r>
      <w:r w:rsidRPr="00184106">
        <w:rPr>
          <w:sz w:val="20"/>
          <w:szCs w:val="20"/>
        </w:rPr>
        <w:t xml:space="preserve">elowska, Ina. 2000. </w:t>
      </w:r>
      <w:r w:rsidRPr="00184106">
        <w:rPr>
          <w:i/>
          <w:sz w:val="20"/>
          <w:szCs w:val="20"/>
        </w:rPr>
        <w:t>Austerity in Britain: rationing, controls and consumption, 1939-1955</w:t>
      </w:r>
      <w:r w:rsidRPr="00184106">
        <w:rPr>
          <w:sz w:val="20"/>
          <w:szCs w:val="20"/>
        </w:rPr>
        <w:t xml:space="preserve">. Oxford: Oxford University Press. </w:t>
      </w:r>
    </w:p>
  </w:footnote>
  <w:footnote w:id="23">
    <w:p w14:paraId="2322E2D7" w14:textId="077DF4AF" w:rsidR="0051200F" w:rsidRPr="00184106" w:rsidRDefault="0051200F" w:rsidP="00357F0F">
      <w:pPr>
        <w:pStyle w:val="FootnoteText"/>
        <w:rPr>
          <w:sz w:val="20"/>
          <w:szCs w:val="20"/>
        </w:rPr>
      </w:pPr>
      <w:r w:rsidRPr="00184106">
        <w:rPr>
          <w:rStyle w:val="FootnoteReference"/>
          <w:sz w:val="20"/>
          <w:szCs w:val="20"/>
        </w:rPr>
        <w:footnoteRef/>
      </w:r>
      <w:r w:rsidRPr="00184106">
        <w:rPr>
          <w:sz w:val="20"/>
          <w:szCs w:val="20"/>
        </w:rPr>
        <w:t xml:space="preserve"> See Giles. Good Housekeeping</w:t>
      </w:r>
      <w:r w:rsidR="00023800">
        <w:rPr>
          <w:sz w:val="20"/>
          <w:szCs w:val="20"/>
        </w:rPr>
        <w:t>,</w:t>
      </w:r>
      <w:r w:rsidRPr="00184106">
        <w:rPr>
          <w:sz w:val="20"/>
          <w:szCs w:val="20"/>
        </w:rPr>
        <w:t xml:space="preserve"> 72-75 for further discussion of the </w:t>
      </w:r>
      <w:proofErr w:type="spellStart"/>
      <w:r w:rsidRPr="00184106">
        <w:rPr>
          <w:sz w:val="20"/>
          <w:szCs w:val="20"/>
        </w:rPr>
        <w:t>professionali</w:t>
      </w:r>
      <w:r w:rsidR="00023800">
        <w:rPr>
          <w:sz w:val="20"/>
          <w:szCs w:val="20"/>
        </w:rPr>
        <w:t>s</w:t>
      </w:r>
      <w:r w:rsidRPr="00184106">
        <w:rPr>
          <w:sz w:val="20"/>
          <w:szCs w:val="20"/>
        </w:rPr>
        <w:t>ation</w:t>
      </w:r>
      <w:proofErr w:type="spellEnd"/>
      <w:r w:rsidRPr="00184106">
        <w:rPr>
          <w:sz w:val="20"/>
          <w:szCs w:val="20"/>
        </w:rPr>
        <w:t xml:space="preserve"> of housework during wartime. It is worth noting that while all major housewives’ associations continued to support rationing and austerity measures during and immediately after the war, the much smaller British Housewives’ League, set up in 1945, campaigned to end rationing during the late 1940s. Their campaign was unsuccessful and not supported by the NFWI and TG. Hinton, James. 1994. Militant housewives: The British Housewives’ League and the Attlee Government. </w:t>
      </w:r>
      <w:r w:rsidRPr="00184106">
        <w:rPr>
          <w:i/>
          <w:sz w:val="20"/>
          <w:szCs w:val="20"/>
        </w:rPr>
        <w:t>History Workshop Journal</w:t>
      </w:r>
      <w:r w:rsidRPr="00184106">
        <w:rPr>
          <w:sz w:val="20"/>
          <w:szCs w:val="20"/>
        </w:rPr>
        <w:t xml:space="preserve"> 38</w:t>
      </w:r>
      <w:r w:rsidR="009D10BD">
        <w:rPr>
          <w:sz w:val="20"/>
          <w:szCs w:val="20"/>
        </w:rPr>
        <w:t>:</w:t>
      </w:r>
      <w:r w:rsidRPr="00184106">
        <w:rPr>
          <w:sz w:val="20"/>
          <w:szCs w:val="20"/>
        </w:rPr>
        <w:t xml:space="preserve"> 132.  </w:t>
      </w:r>
    </w:p>
  </w:footnote>
  <w:footnote w:id="24">
    <w:p w14:paraId="0C6517B8" w14:textId="3F0EF6A8" w:rsidR="0051200F" w:rsidRPr="00184106" w:rsidRDefault="0051200F" w:rsidP="00357F0F">
      <w:pPr>
        <w:pStyle w:val="FootnoteText"/>
        <w:rPr>
          <w:sz w:val="20"/>
          <w:szCs w:val="20"/>
        </w:rPr>
      </w:pPr>
      <w:r w:rsidRPr="00184106">
        <w:rPr>
          <w:rStyle w:val="FootnoteReference"/>
          <w:sz w:val="20"/>
          <w:szCs w:val="20"/>
        </w:rPr>
        <w:footnoteRef/>
      </w:r>
      <w:r w:rsidRPr="00184106">
        <w:rPr>
          <w:sz w:val="20"/>
          <w:szCs w:val="20"/>
        </w:rPr>
        <w:t xml:space="preserve"> Gorden, Peter and Doughan, David. 2001. </w:t>
      </w:r>
      <w:r w:rsidRPr="00184106">
        <w:rPr>
          <w:i/>
          <w:sz w:val="20"/>
          <w:szCs w:val="20"/>
        </w:rPr>
        <w:t>Dictionary of British Women’s Organisations 1825-1960</w:t>
      </w:r>
      <w:r w:rsidRPr="00184106">
        <w:rPr>
          <w:sz w:val="20"/>
          <w:szCs w:val="20"/>
        </w:rPr>
        <w:t>. London: Woburn Press</w:t>
      </w:r>
      <w:r w:rsidR="00023800">
        <w:rPr>
          <w:sz w:val="20"/>
          <w:szCs w:val="20"/>
        </w:rPr>
        <w:t>,</w:t>
      </w:r>
      <w:r w:rsidRPr="00184106">
        <w:rPr>
          <w:sz w:val="20"/>
          <w:szCs w:val="20"/>
        </w:rPr>
        <w:t xml:space="preserve"> 168. In 1975 the WGPW was renamed The Women’s Forum. </w:t>
      </w:r>
    </w:p>
  </w:footnote>
  <w:footnote w:id="25">
    <w:p w14:paraId="1D4B9782" w14:textId="77777777" w:rsidR="0051200F" w:rsidRPr="00184106" w:rsidRDefault="0051200F" w:rsidP="00357F0F">
      <w:pPr>
        <w:pStyle w:val="FootnoteText"/>
        <w:rPr>
          <w:sz w:val="20"/>
          <w:szCs w:val="20"/>
        </w:rPr>
      </w:pPr>
      <w:r w:rsidRPr="00184106">
        <w:rPr>
          <w:rStyle w:val="FootnoteReference"/>
          <w:sz w:val="20"/>
          <w:szCs w:val="20"/>
        </w:rPr>
        <w:footnoteRef/>
      </w:r>
      <w:r w:rsidRPr="00184106">
        <w:rPr>
          <w:sz w:val="20"/>
          <w:szCs w:val="20"/>
        </w:rPr>
        <w:t xml:space="preserve"> Throughout the war the WGPW provided guidance to government on a range of welfare issues including evacuation of children and women’s welfare services. </w:t>
      </w:r>
    </w:p>
  </w:footnote>
  <w:footnote w:id="26">
    <w:p w14:paraId="78000966" w14:textId="5752171D" w:rsidR="0051200F" w:rsidRPr="006F06AA" w:rsidRDefault="0051200F" w:rsidP="00357F0F">
      <w:pPr>
        <w:pStyle w:val="FootnoteText"/>
        <w:rPr>
          <w:sz w:val="20"/>
          <w:szCs w:val="20"/>
        </w:rPr>
      </w:pPr>
      <w:r w:rsidRPr="006F06AA">
        <w:rPr>
          <w:rStyle w:val="FootnoteReference"/>
          <w:sz w:val="20"/>
          <w:szCs w:val="20"/>
        </w:rPr>
        <w:footnoteRef/>
      </w:r>
      <w:r w:rsidRPr="006F06AA">
        <w:rPr>
          <w:sz w:val="20"/>
          <w:szCs w:val="20"/>
        </w:rPr>
        <w:t xml:space="preserve"> HM Government. 1942. </w:t>
      </w:r>
      <w:r w:rsidRPr="006F06AA">
        <w:rPr>
          <w:i/>
          <w:sz w:val="20"/>
          <w:szCs w:val="20"/>
        </w:rPr>
        <w:t>Social Insurance and Allied Services</w:t>
      </w:r>
      <w:r w:rsidRPr="006F06AA">
        <w:rPr>
          <w:sz w:val="20"/>
          <w:szCs w:val="20"/>
        </w:rPr>
        <w:t>. Cmd. 6404. London: HMSO</w:t>
      </w:r>
      <w:r w:rsidR="00023800">
        <w:rPr>
          <w:sz w:val="20"/>
          <w:szCs w:val="20"/>
        </w:rPr>
        <w:t>,</w:t>
      </w:r>
      <w:r w:rsidRPr="006F06AA">
        <w:rPr>
          <w:sz w:val="20"/>
          <w:szCs w:val="20"/>
        </w:rPr>
        <w:t xml:space="preserve"> 53. </w:t>
      </w:r>
      <w:r w:rsidR="00B63D9F">
        <w:rPr>
          <w:sz w:val="20"/>
          <w:szCs w:val="20"/>
        </w:rPr>
        <w:t>The British Library.</w:t>
      </w:r>
    </w:p>
  </w:footnote>
  <w:footnote w:id="27">
    <w:p w14:paraId="34759095" w14:textId="728458DE" w:rsidR="0051200F" w:rsidRPr="006F06AA" w:rsidRDefault="0051200F" w:rsidP="00357F0F">
      <w:pPr>
        <w:pStyle w:val="FootnoteText"/>
        <w:rPr>
          <w:sz w:val="20"/>
          <w:szCs w:val="20"/>
        </w:rPr>
      </w:pPr>
      <w:r w:rsidRPr="006F06AA">
        <w:rPr>
          <w:rStyle w:val="FootnoteReference"/>
          <w:sz w:val="20"/>
          <w:szCs w:val="20"/>
        </w:rPr>
        <w:footnoteRef/>
      </w:r>
      <w:r>
        <w:rPr>
          <w:sz w:val="20"/>
          <w:szCs w:val="20"/>
        </w:rPr>
        <w:t xml:space="preserve"> Andrews</w:t>
      </w:r>
      <w:r w:rsidRPr="00C62AB3">
        <w:rPr>
          <w:sz w:val="20"/>
          <w:szCs w:val="20"/>
        </w:rPr>
        <w:t xml:space="preserve">. </w:t>
      </w:r>
      <w:r w:rsidRPr="00C62AB3">
        <w:rPr>
          <w:i/>
          <w:sz w:val="20"/>
          <w:szCs w:val="20"/>
        </w:rPr>
        <w:t>The Acceptable Face of Feminism</w:t>
      </w:r>
      <w:r w:rsidR="00023800">
        <w:rPr>
          <w:i/>
          <w:sz w:val="20"/>
          <w:szCs w:val="20"/>
        </w:rPr>
        <w:t>,</w:t>
      </w:r>
      <w:r w:rsidRPr="00C62AB3">
        <w:rPr>
          <w:i/>
          <w:sz w:val="20"/>
          <w:szCs w:val="20"/>
        </w:rPr>
        <w:t xml:space="preserve"> </w:t>
      </w:r>
      <w:r w:rsidRPr="006F06AA">
        <w:rPr>
          <w:sz w:val="20"/>
          <w:szCs w:val="20"/>
        </w:rPr>
        <w:t xml:space="preserve">149.  </w:t>
      </w:r>
    </w:p>
  </w:footnote>
  <w:footnote w:id="28">
    <w:p w14:paraId="1D3867CB" w14:textId="06208C55" w:rsidR="0051200F" w:rsidRPr="006F06AA" w:rsidRDefault="0051200F" w:rsidP="00357F0F">
      <w:pPr>
        <w:pStyle w:val="FootnoteText"/>
        <w:rPr>
          <w:sz w:val="20"/>
          <w:szCs w:val="20"/>
        </w:rPr>
      </w:pPr>
      <w:r w:rsidRPr="006F06AA">
        <w:rPr>
          <w:rStyle w:val="FootnoteReference"/>
          <w:sz w:val="20"/>
          <w:szCs w:val="20"/>
        </w:rPr>
        <w:footnoteRef/>
      </w:r>
      <w:r w:rsidRPr="006F06AA">
        <w:rPr>
          <w:sz w:val="20"/>
          <w:szCs w:val="20"/>
        </w:rPr>
        <w:t xml:space="preserve"> Richie, Th</w:t>
      </w:r>
      <w:r>
        <w:rPr>
          <w:sz w:val="20"/>
          <w:szCs w:val="20"/>
        </w:rPr>
        <w:t>e Housewife and the Modern</w:t>
      </w:r>
      <w:r w:rsidR="00023800">
        <w:rPr>
          <w:sz w:val="20"/>
          <w:szCs w:val="20"/>
        </w:rPr>
        <w:t>,</w:t>
      </w:r>
      <w:r w:rsidRPr="006F06AA">
        <w:rPr>
          <w:sz w:val="20"/>
          <w:szCs w:val="20"/>
        </w:rPr>
        <w:t xml:space="preserve"> 67</w:t>
      </w:r>
      <w:r w:rsidR="009D10BD">
        <w:rPr>
          <w:sz w:val="20"/>
          <w:szCs w:val="20"/>
        </w:rPr>
        <w:t>.</w:t>
      </w:r>
    </w:p>
  </w:footnote>
  <w:footnote w:id="29">
    <w:p w14:paraId="17F28B0C" w14:textId="028AB447" w:rsidR="0051200F" w:rsidRDefault="0051200F" w:rsidP="00357F0F">
      <w:r w:rsidRPr="006F06AA">
        <w:rPr>
          <w:rStyle w:val="FootnoteReference"/>
          <w:sz w:val="20"/>
          <w:szCs w:val="20"/>
        </w:rPr>
        <w:footnoteRef/>
      </w:r>
      <w:r w:rsidRPr="006F06AA">
        <w:rPr>
          <w:sz w:val="20"/>
          <w:szCs w:val="20"/>
        </w:rPr>
        <w:t xml:space="preserve"> Giles. Good Housekeeping</w:t>
      </w:r>
      <w:r w:rsidR="00023800">
        <w:rPr>
          <w:sz w:val="20"/>
          <w:szCs w:val="20"/>
        </w:rPr>
        <w:t>,</w:t>
      </w:r>
      <w:r w:rsidRPr="006F06AA">
        <w:rPr>
          <w:sz w:val="20"/>
          <w:szCs w:val="20"/>
        </w:rPr>
        <w:t xml:space="preserve"> 73.</w:t>
      </w:r>
      <w:r>
        <w:t xml:space="preserve"> </w:t>
      </w:r>
    </w:p>
  </w:footnote>
  <w:footnote w:id="30">
    <w:p w14:paraId="4ECD1CF5" w14:textId="3D87B32E" w:rsidR="0051200F" w:rsidRPr="00561018" w:rsidRDefault="0051200F" w:rsidP="00357F0F">
      <w:pPr>
        <w:pStyle w:val="FootnoteText"/>
        <w:rPr>
          <w:sz w:val="20"/>
          <w:szCs w:val="20"/>
        </w:rPr>
      </w:pPr>
      <w:r>
        <w:rPr>
          <w:rStyle w:val="FootnoteReference"/>
        </w:rPr>
        <w:footnoteRef/>
      </w:r>
      <w:r>
        <w:t xml:space="preserve"> </w:t>
      </w:r>
      <w:r>
        <w:rPr>
          <w:sz w:val="20"/>
          <w:szCs w:val="20"/>
        </w:rPr>
        <w:t xml:space="preserve">Crowson, Nick, Hilton, Matthew and McKay, James, eds. 2009. </w:t>
      </w:r>
      <w:r w:rsidRPr="00997FC8">
        <w:rPr>
          <w:i/>
          <w:sz w:val="20"/>
          <w:szCs w:val="20"/>
        </w:rPr>
        <w:t>NGOs in Contemporary Britain: Non-State Actors in Society and Politics since 1945</w:t>
      </w:r>
      <w:r>
        <w:rPr>
          <w:sz w:val="20"/>
          <w:szCs w:val="20"/>
        </w:rPr>
        <w:t xml:space="preserve">. </w:t>
      </w:r>
      <w:r w:rsidR="00F2084C">
        <w:rPr>
          <w:sz w:val="20"/>
          <w:szCs w:val="20"/>
        </w:rPr>
        <w:t>Basingstoke</w:t>
      </w:r>
      <w:r>
        <w:rPr>
          <w:sz w:val="20"/>
          <w:szCs w:val="20"/>
        </w:rPr>
        <w:t>: Palgrave Macmillan</w:t>
      </w:r>
      <w:r w:rsidR="00023800">
        <w:rPr>
          <w:sz w:val="20"/>
          <w:szCs w:val="20"/>
        </w:rPr>
        <w:t>,</w:t>
      </w:r>
      <w:r>
        <w:rPr>
          <w:sz w:val="20"/>
          <w:szCs w:val="20"/>
        </w:rPr>
        <w:t xml:space="preserve"> 4. </w:t>
      </w:r>
    </w:p>
  </w:footnote>
  <w:footnote w:id="31">
    <w:p w14:paraId="2DDCB56D" w14:textId="6FF62394" w:rsidR="0051200F" w:rsidRPr="00561018" w:rsidRDefault="0051200F" w:rsidP="00357F0F">
      <w:pPr>
        <w:pStyle w:val="FootnoteText"/>
        <w:rPr>
          <w:sz w:val="20"/>
          <w:szCs w:val="20"/>
        </w:rPr>
      </w:pPr>
      <w:r w:rsidRPr="00561018">
        <w:rPr>
          <w:rStyle w:val="FootnoteReference"/>
          <w:sz w:val="20"/>
          <w:szCs w:val="20"/>
        </w:rPr>
        <w:footnoteRef/>
      </w:r>
      <w:r w:rsidRPr="00561018">
        <w:rPr>
          <w:sz w:val="20"/>
          <w:szCs w:val="20"/>
        </w:rPr>
        <w:t xml:space="preserve"> </w:t>
      </w:r>
      <w:r>
        <w:rPr>
          <w:sz w:val="20"/>
          <w:szCs w:val="20"/>
        </w:rPr>
        <w:t xml:space="preserve">See Crowson, Nick, Hilton, Matthew and McKay, James, eds. 2013. </w:t>
      </w:r>
      <w:r w:rsidRPr="00EF7B8E">
        <w:rPr>
          <w:i/>
          <w:sz w:val="20"/>
          <w:szCs w:val="20"/>
        </w:rPr>
        <w:t>The Politics of Expertise: How NGOs Shaped Modern Britain</w:t>
      </w:r>
      <w:r>
        <w:rPr>
          <w:sz w:val="20"/>
          <w:szCs w:val="20"/>
        </w:rPr>
        <w:t xml:space="preserve">. Oxford: Oxford University Press. </w:t>
      </w:r>
      <w:r w:rsidRPr="00561018">
        <w:rPr>
          <w:sz w:val="20"/>
          <w:szCs w:val="20"/>
        </w:rPr>
        <w:t xml:space="preserve">See </w:t>
      </w:r>
      <w:r w:rsidRPr="00C57BE4">
        <w:rPr>
          <w:sz w:val="20"/>
          <w:szCs w:val="20"/>
        </w:rPr>
        <w:t>Introduction</w:t>
      </w:r>
      <w:r w:rsidR="00C57BE4" w:rsidRPr="00C57BE4">
        <w:rPr>
          <w:sz w:val="20"/>
          <w:szCs w:val="20"/>
        </w:rPr>
        <w:t>.</w:t>
      </w:r>
    </w:p>
  </w:footnote>
  <w:footnote w:id="32">
    <w:p w14:paraId="0728E8F3" w14:textId="507CFCDA" w:rsidR="0051200F" w:rsidRPr="00561018" w:rsidRDefault="0051200F" w:rsidP="00357F0F">
      <w:pPr>
        <w:pStyle w:val="FootnoteText"/>
        <w:rPr>
          <w:sz w:val="20"/>
          <w:szCs w:val="20"/>
        </w:rPr>
      </w:pPr>
      <w:r w:rsidRPr="00561018">
        <w:rPr>
          <w:rStyle w:val="FootnoteReference"/>
          <w:sz w:val="20"/>
          <w:szCs w:val="20"/>
        </w:rPr>
        <w:footnoteRef/>
      </w:r>
      <w:r w:rsidRPr="00561018">
        <w:rPr>
          <w:sz w:val="20"/>
          <w:szCs w:val="20"/>
        </w:rPr>
        <w:t xml:space="preserve"> Perkin, Harold. 1990. </w:t>
      </w:r>
      <w:r w:rsidRPr="004729C1">
        <w:rPr>
          <w:i/>
          <w:sz w:val="20"/>
          <w:szCs w:val="20"/>
        </w:rPr>
        <w:t>The Rise of Professional So</w:t>
      </w:r>
      <w:r>
        <w:rPr>
          <w:i/>
          <w:sz w:val="20"/>
          <w:szCs w:val="20"/>
        </w:rPr>
        <w:t xml:space="preserve">ciety: England since 1880. </w:t>
      </w:r>
      <w:r>
        <w:rPr>
          <w:sz w:val="20"/>
          <w:szCs w:val="20"/>
        </w:rPr>
        <w:t>London: Routledge.</w:t>
      </w:r>
      <w:r w:rsidRPr="00561018">
        <w:rPr>
          <w:sz w:val="20"/>
          <w:szCs w:val="20"/>
        </w:rPr>
        <w:t xml:space="preserve"> See</w:t>
      </w:r>
      <w:r w:rsidR="00AE3200">
        <w:rPr>
          <w:sz w:val="20"/>
          <w:szCs w:val="20"/>
        </w:rPr>
        <w:t xml:space="preserve"> also the</w:t>
      </w:r>
      <w:r w:rsidRPr="00561018">
        <w:rPr>
          <w:sz w:val="20"/>
          <w:szCs w:val="20"/>
        </w:rPr>
        <w:t xml:space="preserve"> Introduction</w:t>
      </w:r>
      <w:r w:rsidR="00AE3200">
        <w:rPr>
          <w:sz w:val="20"/>
          <w:szCs w:val="20"/>
        </w:rPr>
        <w:t xml:space="preserve"> to this collection. </w:t>
      </w:r>
    </w:p>
  </w:footnote>
  <w:footnote w:id="33">
    <w:p w14:paraId="477D574B" w14:textId="314FA4F5" w:rsidR="0051200F" w:rsidRPr="00561018" w:rsidRDefault="0051200F" w:rsidP="00357F0F">
      <w:pPr>
        <w:pStyle w:val="FootnoteText"/>
        <w:rPr>
          <w:sz w:val="20"/>
          <w:szCs w:val="20"/>
        </w:rPr>
      </w:pPr>
      <w:r w:rsidRPr="00561018">
        <w:rPr>
          <w:rStyle w:val="FootnoteReference"/>
          <w:sz w:val="20"/>
          <w:szCs w:val="20"/>
        </w:rPr>
        <w:footnoteRef/>
      </w:r>
      <w:r>
        <w:rPr>
          <w:sz w:val="20"/>
          <w:szCs w:val="20"/>
        </w:rPr>
        <w:t xml:space="preserve"> Hilton, Matthew and McKay, James eds. 2011. </w:t>
      </w:r>
      <w:r w:rsidRPr="00612B20">
        <w:rPr>
          <w:i/>
          <w:sz w:val="20"/>
          <w:szCs w:val="20"/>
        </w:rPr>
        <w:t>The Ages of Voluntarism: How we got to the Big Society</w:t>
      </w:r>
      <w:r>
        <w:rPr>
          <w:sz w:val="20"/>
          <w:szCs w:val="20"/>
        </w:rPr>
        <w:t>. Oxford: Oxford University Press</w:t>
      </w:r>
      <w:r w:rsidR="00023800">
        <w:rPr>
          <w:sz w:val="20"/>
          <w:szCs w:val="20"/>
        </w:rPr>
        <w:t>,</w:t>
      </w:r>
      <w:r>
        <w:rPr>
          <w:sz w:val="20"/>
          <w:szCs w:val="20"/>
        </w:rPr>
        <w:t xml:space="preserve"> 3-4. </w:t>
      </w:r>
    </w:p>
  </w:footnote>
  <w:footnote w:id="34">
    <w:p w14:paraId="2E8AA7BF" w14:textId="06DBF9F9" w:rsidR="0051200F" w:rsidRPr="006D63FC" w:rsidRDefault="0051200F" w:rsidP="00357F0F">
      <w:pPr>
        <w:pStyle w:val="FootnoteText"/>
        <w:rPr>
          <w:sz w:val="20"/>
          <w:szCs w:val="20"/>
        </w:rPr>
      </w:pPr>
      <w:r w:rsidRPr="00561018">
        <w:rPr>
          <w:rStyle w:val="FootnoteReference"/>
          <w:sz w:val="20"/>
          <w:szCs w:val="20"/>
        </w:rPr>
        <w:footnoteRef/>
      </w:r>
      <w:r w:rsidRPr="00561018">
        <w:rPr>
          <w:sz w:val="20"/>
          <w:szCs w:val="20"/>
        </w:rPr>
        <w:t xml:space="preserve"> Beaumont, Caitríona. 2015. “What is a Wife”? Reconstructing domesticity in postwar Britain </w:t>
      </w:r>
      <w:r w:rsidRPr="006D63FC">
        <w:rPr>
          <w:sz w:val="20"/>
          <w:szCs w:val="20"/>
        </w:rPr>
        <w:t xml:space="preserve">before </w:t>
      </w:r>
      <w:r w:rsidRPr="006D63FC">
        <w:rPr>
          <w:i/>
          <w:sz w:val="20"/>
          <w:szCs w:val="20"/>
        </w:rPr>
        <w:t>The Feminine Mystique</w:t>
      </w:r>
      <w:r w:rsidRPr="006D63FC">
        <w:rPr>
          <w:sz w:val="20"/>
          <w:szCs w:val="20"/>
        </w:rPr>
        <w:t xml:space="preserve">. </w:t>
      </w:r>
      <w:r w:rsidRPr="006D63FC">
        <w:rPr>
          <w:i/>
          <w:sz w:val="20"/>
          <w:szCs w:val="20"/>
        </w:rPr>
        <w:t xml:space="preserve">History of Women in the Americas </w:t>
      </w:r>
      <w:r w:rsidRPr="006D63FC">
        <w:rPr>
          <w:sz w:val="20"/>
          <w:szCs w:val="20"/>
        </w:rPr>
        <w:t>3</w:t>
      </w:r>
      <w:r w:rsidR="009D10BD">
        <w:rPr>
          <w:sz w:val="20"/>
          <w:szCs w:val="20"/>
        </w:rPr>
        <w:t>:</w:t>
      </w:r>
      <w:r w:rsidRPr="006D63FC">
        <w:rPr>
          <w:sz w:val="20"/>
          <w:szCs w:val="20"/>
        </w:rPr>
        <w:t xml:space="preserve"> 61-76</w:t>
      </w:r>
      <w:r>
        <w:rPr>
          <w:sz w:val="20"/>
          <w:szCs w:val="20"/>
        </w:rPr>
        <w:t>.</w:t>
      </w:r>
      <w:r w:rsidRPr="006D63FC">
        <w:rPr>
          <w:sz w:val="20"/>
          <w:szCs w:val="20"/>
        </w:rPr>
        <w:t xml:space="preserve"> </w:t>
      </w:r>
    </w:p>
  </w:footnote>
  <w:footnote w:id="35">
    <w:p w14:paraId="18521984" w14:textId="18B18417" w:rsidR="0051200F" w:rsidRPr="00ED4471" w:rsidRDefault="0051200F" w:rsidP="00357F0F">
      <w:pPr>
        <w:pStyle w:val="FootnoteText"/>
        <w:rPr>
          <w:sz w:val="20"/>
          <w:szCs w:val="20"/>
        </w:rPr>
      </w:pPr>
      <w:r w:rsidRPr="00ED4471">
        <w:rPr>
          <w:rStyle w:val="FootnoteReference"/>
          <w:sz w:val="20"/>
          <w:szCs w:val="20"/>
        </w:rPr>
        <w:footnoteRef/>
      </w:r>
      <w:r w:rsidRPr="00ED4471">
        <w:rPr>
          <w:i/>
          <w:sz w:val="20"/>
          <w:szCs w:val="20"/>
        </w:rPr>
        <w:t xml:space="preserve"> </w:t>
      </w:r>
      <w:r w:rsidR="009D10BD" w:rsidRPr="009D10BD">
        <w:rPr>
          <w:iCs/>
          <w:sz w:val="20"/>
          <w:szCs w:val="20"/>
        </w:rPr>
        <w:t>Anon</w:t>
      </w:r>
      <w:r w:rsidR="009D10BD">
        <w:rPr>
          <w:i/>
          <w:sz w:val="20"/>
          <w:szCs w:val="20"/>
        </w:rPr>
        <w:t xml:space="preserve">. </w:t>
      </w:r>
      <w:r w:rsidR="009D10BD" w:rsidRPr="009D10BD">
        <w:rPr>
          <w:iCs/>
          <w:sz w:val="20"/>
          <w:szCs w:val="20"/>
        </w:rPr>
        <w:t>1963</w:t>
      </w:r>
      <w:r w:rsidR="009D10BD">
        <w:rPr>
          <w:i/>
          <w:sz w:val="20"/>
          <w:szCs w:val="20"/>
        </w:rPr>
        <w:t>.</w:t>
      </w:r>
      <w:r w:rsidR="009D10BD">
        <w:rPr>
          <w:iCs/>
          <w:sz w:val="20"/>
          <w:szCs w:val="20"/>
        </w:rPr>
        <w:t xml:space="preserve"> The Housewife’s Treasury.</w:t>
      </w:r>
      <w:r w:rsidR="009D10BD">
        <w:rPr>
          <w:i/>
          <w:sz w:val="20"/>
          <w:szCs w:val="20"/>
        </w:rPr>
        <w:t xml:space="preserve"> </w:t>
      </w:r>
      <w:r w:rsidRPr="009D10BD">
        <w:rPr>
          <w:i/>
          <w:sz w:val="20"/>
          <w:szCs w:val="20"/>
        </w:rPr>
        <w:t>Woman</w:t>
      </w:r>
      <w:r w:rsidR="009D10BD">
        <w:rPr>
          <w:i/>
          <w:sz w:val="20"/>
          <w:szCs w:val="20"/>
        </w:rPr>
        <w:t>,</w:t>
      </w:r>
      <w:r w:rsidRPr="00ED4471">
        <w:rPr>
          <w:sz w:val="20"/>
          <w:szCs w:val="20"/>
        </w:rPr>
        <w:t xml:space="preserve"> April</w:t>
      </w:r>
      <w:r w:rsidR="00B85722">
        <w:rPr>
          <w:sz w:val="20"/>
          <w:szCs w:val="20"/>
        </w:rPr>
        <w:t xml:space="preserve"> 27</w:t>
      </w:r>
      <w:r w:rsidRPr="00ED4471">
        <w:rPr>
          <w:sz w:val="20"/>
          <w:szCs w:val="20"/>
        </w:rPr>
        <w:t xml:space="preserve">: 41. See Ferguson, Majorie. 1983. </w:t>
      </w:r>
      <w:r w:rsidRPr="00ED4471">
        <w:rPr>
          <w:i/>
          <w:sz w:val="20"/>
          <w:szCs w:val="20"/>
        </w:rPr>
        <w:t>Forever Feminine: women’s magazines and the cult of femininity</w:t>
      </w:r>
      <w:r w:rsidRPr="00ED4471">
        <w:rPr>
          <w:sz w:val="20"/>
          <w:szCs w:val="20"/>
        </w:rPr>
        <w:t>. London: Heinemann.</w:t>
      </w:r>
    </w:p>
  </w:footnote>
  <w:footnote w:id="36">
    <w:p w14:paraId="20A9893D" w14:textId="39B331B4" w:rsidR="0051200F" w:rsidRPr="00ED4471" w:rsidRDefault="0051200F" w:rsidP="00357F0F">
      <w:pPr>
        <w:pStyle w:val="FootnoteText"/>
        <w:rPr>
          <w:sz w:val="20"/>
          <w:szCs w:val="20"/>
        </w:rPr>
      </w:pPr>
      <w:r w:rsidRPr="00ED4471">
        <w:rPr>
          <w:rStyle w:val="FootnoteReference"/>
          <w:sz w:val="20"/>
          <w:szCs w:val="20"/>
        </w:rPr>
        <w:footnoteRef/>
      </w:r>
      <w:r w:rsidRPr="00ED4471">
        <w:rPr>
          <w:sz w:val="20"/>
          <w:szCs w:val="20"/>
        </w:rPr>
        <w:t xml:space="preserve"> By 1960 one in six of the labour force was a married woman and in 1961 over half of all women in paid employment were married, the majority of whom worked part-time in low-skilled and low-paid occupations. Jephcott, Pearl. 1962. </w:t>
      </w:r>
      <w:r w:rsidRPr="00ED4471">
        <w:rPr>
          <w:i/>
          <w:sz w:val="20"/>
          <w:szCs w:val="20"/>
        </w:rPr>
        <w:t>Married Women Working</w:t>
      </w:r>
      <w:r w:rsidRPr="00ED4471">
        <w:rPr>
          <w:sz w:val="20"/>
          <w:szCs w:val="20"/>
        </w:rPr>
        <w:t>. London: George Allen and Unwin</w:t>
      </w:r>
      <w:r w:rsidR="009D10BD">
        <w:rPr>
          <w:sz w:val="20"/>
          <w:szCs w:val="20"/>
        </w:rPr>
        <w:t>,</w:t>
      </w:r>
      <w:r w:rsidRPr="00ED4471">
        <w:rPr>
          <w:sz w:val="20"/>
          <w:szCs w:val="20"/>
        </w:rPr>
        <w:t xml:space="preserve"> 1-20. For an in-depth account of the experiences of working wives and mothers see McCarthy, Helen. 2020. </w:t>
      </w:r>
      <w:r w:rsidRPr="00ED4471">
        <w:rPr>
          <w:i/>
          <w:sz w:val="20"/>
          <w:szCs w:val="20"/>
        </w:rPr>
        <w:t>Double Lives: A History of Working Motherhood</w:t>
      </w:r>
      <w:r w:rsidRPr="00ED4471">
        <w:rPr>
          <w:sz w:val="20"/>
          <w:szCs w:val="20"/>
        </w:rPr>
        <w:t xml:space="preserve">. London: Bloomsbury Publishing. See also Wilson, Dolly. 2006. A New Look at the Affluent Worker: The Good Working Mother in Post-War Britain. </w:t>
      </w:r>
      <w:r w:rsidRPr="00ED4471">
        <w:rPr>
          <w:i/>
          <w:sz w:val="20"/>
          <w:szCs w:val="20"/>
        </w:rPr>
        <w:t>Twentieth Century British History</w:t>
      </w:r>
      <w:r w:rsidRPr="00ED4471">
        <w:rPr>
          <w:sz w:val="20"/>
          <w:szCs w:val="20"/>
        </w:rPr>
        <w:t xml:space="preserve"> 17</w:t>
      </w:r>
      <w:r w:rsidR="009D10BD">
        <w:rPr>
          <w:sz w:val="20"/>
          <w:szCs w:val="20"/>
        </w:rPr>
        <w:t>:</w:t>
      </w:r>
      <w:r w:rsidRPr="00ED4471">
        <w:rPr>
          <w:sz w:val="20"/>
          <w:szCs w:val="20"/>
        </w:rPr>
        <w:t xml:space="preserve"> 206-29. </w:t>
      </w:r>
    </w:p>
  </w:footnote>
  <w:footnote w:id="37">
    <w:p w14:paraId="2302AA0D" w14:textId="77777777" w:rsidR="0051200F" w:rsidRPr="00ED4471" w:rsidRDefault="0051200F" w:rsidP="00357F0F">
      <w:pPr>
        <w:pStyle w:val="FootnoteText"/>
        <w:rPr>
          <w:sz w:val="20"/>
          <w:szCs w:val="20"/>
        </w:rPr>
      </w:pPr>
      <w:r w:rsidRPr="00ED4471">
        <w:rPr>
          <w:rStyle w:val="FootnoteReference"/>
          <w:sz w:val="20"/>
          <w:szCs w:val="20"/>
        </w:rPr>
        <w:footnoteRef/>
      </w:r>
      <w:r w:rsidRPr="00ED4471">
        <w:rPr>
          <w:sz w:val="20"/>
          <w:szCs w:val="20"/>
        </w:rPr>
        <w:t xml:space="preserve"> See Golding, Lucy. 2022. Educated Expectations: Graduate mothers and their work in the long 1950s. Unpublished PhD Thesis, University of Oxford for an insight into the feelings and experiences of graduate mothers based on 900 questionnaires submitted to Dr Viola Klein’s 1963 social survey into educated women’s experiences of home and work. See also Worth, Eve. 2021. </w:t>
      </w:r>
      <w:r w:rsidRPr="00ED4471">
        <w:rPr>
          <w:i/>
          <w:sz w:val="20"/>
          <w:szCs w:val="20"/>
        </w:rPr>
        <w:t>The Welfare State Generation: Women, Agency and Class in Britain since 1945</w:t>
      </w:r>
      <w:r w:rsidRPr="00ED4471">
        <w:rPr>
          <w:sz w:val="20"/>
          <w:szCs w:val="20"/>
        </w:rPr>
        <w:t xml:space="preserve">. London: Bloomsbury Academic. </w:t>
      </w:r>
    </w:p>
  </w:footnote>
  <w:footnote w:id="38">
    <w:p w14:paraId="384273BD" w14:textId="0905D163" w:rsidR="0051200F" w:rsidRPr="00ED4471" w:rsidRDefault="0051200F" w:rsidP="00357F0F">
      <w:pPr>
        <w:pStyle w:val="FootnoteText"/>
        <w:rPr>
          <w:sz w:val="20"/>
          <w:szCs w:val="20"/>
        </w:rPr>
      </w:pPr>
      <w:r w:rsidRPr="00ED4471">
        <w:rPr>
          <w:rStyle w:val="FootnoteReference"/>
          <w:sz w:val="20"/>
          <w:szCs w:val="20"/>
        </w:rPr>
        <w:footnoteRef/>
      </w:r>
      <w:r w:rsidRPr="00ED4471">
        <w:rPr>
          <w:sz w:val="20"/>
          <w:szCs w:val="20"/>
        </w:rPr>
        <w:t xml:space="preserve"> In 1971 one-eighth of dwellings still lacked at least one of the basic amenities such as a kitchen sink and an indoor WC. Zweiniger-Barg</w:t>
      </w:r>
      <w:r w:rsidR="00023800">
        <w:rPr>
          <w:sz w:val="20"/>
          <w:szCs w:val="20"/>
        </w:rPr>
        <w:t>i</w:t>
      </w:r>
      <w:r w:rsidRPr="00ED4471">
        <w:rPr>
          <w:sz w:val="20"/>
          <w:szCs w:val="20"/>
        </w:rPr>
        <w:t xml:space="preserve">elowska. </w:t>
      </w:r>
      <w:r w:rsidRPr="00ED4471">
        <w:rPr>
          <w:i/>
          <w:sz w:val="20"/>
          <w:szCs w:val="20"/>
        </w:rPr>
        <w:t>Women in Twentieth Century Britain</w:t>
      </w:r>
      <w:r w:rsidR="00023800">
        <w:rPr>
          <w:sz w:val="20"/>
          <w:szCs w:val="20"/>
        </w:rPr>
        <w:t>,</w:t>
      </w:r>
      <w:r w:rsidRPr="00ED4471">
        <w:rPr>
          <w:sz w:val="20"/>
          <w:szCs w:val="20"/>
        </w:rPr>
        <w:t xml:space="preserve"> 159. See also Langhamer, C</w:t>
      </w:r>
      <w:r w:rsidR="00023800">
        <w:rPr>
          <w:sz w:val="20"/>
          <w:szCs w:val="20"/>
        </w:rPr>
        <w:t>lare</w:t>
      </w:r>
      <w:r w:rsidRPr="00ED4471">
        <w:rPr>
          <w:sz w:val="20"/>
          <w:szCs w:val="20"/>
        </w:rPr>
        <w:t xml:space="preserve">. 2005. The Meanings of Home in Postwar Britain. </w:t>
      </w:r>
      <w:r w:rsidRPr="00ED4471">
        <w:rPr>
          <w:i/>
          <w:sz w:val="20"/>
          <w:szCs w:val="20"/>
        </w:rPr>
        <w:t>Journal of Contemporary History</w:t>
      </w:r>
      <w:r w:rsidRPr="00ED4471">
        <w:rPr>
          <w:sz w:val="20"/>
          <w:szCs w:val="20"/>
        </w:rPr>
        <w:t xml:space="preserve"> 40</w:t>
      </w:r>
      <w:r w:rsidR="006D6BEB">
        <w:rPr>
          <w:sz w:val="20"/>
          <w:szCs w:val="20"/>
        </w:rPr>
        <w:t>,</w:t>
      </w:r>
      <w:r w:rsidRPr="00ED4471">
        <w:rPr>
          <w:sz w:val="20"/>
          <w:szCs w:val="20"/>
        </w:rPr>
        <w:t xml:space="preserve"> 2</w:t>
      </w:r>
      <w:r w:rsidR="009D10BD">
        <w:rPr>
          <w:sz w:val="20"/>
          <w:szCs w:val="20"/>
        </w:rPr>
        <w:t>:</w:t>
      </w:r>
      <w:r w:rsidRPr="00ED4471">
        <w:rPr>
          <w:sz w:val="20"/>
          <w:szCs w:val="20"/>
        </w:rPr>
        <w:t xml:space="preserve"> 341-362. </w:t>
      </w:r>
    </w:p>
  </w:footnote>
  <w:footnote w:id="39">
    <w:p w14:paraId="685EEA48" w14:textId="2547CE4B" w:rsidR="0051200F" w:rsidRPr="00ED4471" w:rsidRDefault="0051200F" w:rsidP="00357F0F">
      <w:pPr>
        <w:pStyle w:val="FootnoteText"/>
        <w:rPr>
          <w:sz w:val="20"/>
          <w:szCs w:val="20"/>
        </w:rPr>
      </w:pPr>
      <w:r w:rsidRPr="00ED4471">
        <w:rPr>
          <w:rStyle w:val="FootnoteReference"/>
          <w:sz w:val="20"/>
          <w:szCs w:val="20"/>
        </w:rPr>
        <w:footnoteRef/>
      </w:r>
      <w:r w:rsidRPr="00ED4471">
        <w:rPr>
          <w:sz w:val="20"/>
          <w:szCs w:val="20"/>
        </w:rPr>
        <w:t xml:space="preserve"> See Webster, Wendy. 1998. </w:t>
      </w:r>
      <w:r w:rsidRPr="00ED4471">
        <w:rPr>
          <w:i/>
          <w:sz w:val="20"/>
          <w:szCs w:val="20"/>
        </w:rPr>
        <w:t>Imagining Home: Gender, Race and National Identity, 1945-1964</w:t>
      </w:r>
      <w:r w:rsidRPr="00ED4471">
        <w:rPr>
          <w:sz w:val="20"/>
          <w:szCs w:val="20"/>
        </w:rPr>
        <w:t xml:space="preserve">. London: Routledge and Davis, Angela. 2012. </w:t>
      </w:r>
      <w:r w:rsidRPr="00ED4471">
        <w:rPr>
          <w:i/>
          <w:sz w:val="20"/>
          <w:szCs w:val="20"/>
        </w:rPr>
        <w:t>Modern</w:t>
      </w:r>
      <w:r w:rsidRPr="00CD388D">
        <w:rPr>
          <w:i/>
        </w:rPr>
        <w:t xml:space="preserve"> </w:t>
      </w:r>
      <w:r w:rsidRPr="00ED4471">
        <w:rPr>
          <w:i/>
          <w:sz w:val="20"/>
          <w:szCs w:val="20"/>
        </w:rPr>
        <w:t>Motherhood: Women and</w:t>
      </w:r>
      <w:r w:rsidRPr="00CD388D">
        <w:rPr>
          <w:i/>
        </w:rPr>
        <w:t xml:space="preserve"> the </w:t>
      </w:r>
      <w:r w:rsidRPr="00ED4471">
        <w:rPr>
          <w:i/>
          <w:sz w:val="20"/>
          <w:szCs w:val="20"/>
        </w:rPr>
        <w:t>family in England, c. 1945-2000</w:t>
      </w:r>
      <w:r w:rsidRPr="00ED4471">
        <w:rPr>
          <w:sz w:val="20"/>
          <w:szCs w:val="20"/>
        </w:rPr>
        <w:t xml:space="preserve">. Manchester: Manchester University Press. </w:t>
      </w:r>
      <w:r w:rsidR="00AE3200">
        <w:rPr>
          <w:sz w:val="20"/>
          <w:szCs w:val="20"/>
        </w:rPr>
        <w:t xml:space="preserve">See also Chapter 5 and Chapter 11 in this collection. </w:t>
      </w:r>
    </w:p>
  </w:footnote>
  <w:footnote w:id="40">
    <w:p w14:paraId="1C4EB715" w14:textId="34360C51" w:rsidR="0051200F" w:rsidRPr="00FA44BF" w:rsidRDefault="0051200F" w:rsidP="00357F0F">
      <w:pPr>
        <w:pStyle w:val="FootnoteText"/>
        <w:rPr>
          <w:sz w:val="20"/>
          <w:szCs w:val="20"/>
        </w:rPr>
      </w:pPr>
      <w:r w:rsidRPr="00FA44BF">
        <w:rPr>
          <w:rStyle w:val="FootnoteReference"/>
          <w:sz w:val="20"/>
          <w:szCs w:val="20"/>
        </w:rPr>
        <w:footnoteRef/>
      </w:r>
      <w:r w:rsidRPr="00FA44BF">
        <w:rPr>
          <w:sz w:val="20"/>
          <w:szCs w:val="20"/>
        </w:rPr>
        <w:t xml:space="preserve"> Beaumont. “What is a Wife”</w:t>
      </w:r>
      <w:r w:rsidR="00023800">
        <w:rPr>
          <w:sz w:val="20"/>
          <w:szCs w:val="20"/>
        </w:rPr>
        <w:t>,</w:t>
      </w:r>
      <w:r w:rsidRPr="00FA44BF">
        <w:rPr>
          <w:sz w:val="20"/>
          <w:szCs w:val="20"/>
        </w:rPr>
        <w:t xml:space="preserve"> 69.</w:t>
      </w:r>
    </w:p>
  </w:footnote>
  <w:footnote w:id="41">
    <w:p w14:paraId="12D25BD3" w14:textId="1F8B6F9F" w:rsidR="0051200F" w:rsidRPr="00FA44BF" w:rsidRDefault="0051200F" w:rsidP="00357F0F">
      <w:pPr>
        <w:pStyle w:val="FootnoteText"/>
        <w:rPr>
          <w:sz w:val="20"/>
          <w:szCs w:val="20"/>
        </w:rPr>
      </w:pPr>
      <w:r w:rsidRPr="00FA44BF">
        <w:rPr>
          <w:rStyle w:val="FootnoteReference"/>
          <w:sz w:val="20"/>
          <w:szCs w:val="20"/>
        </w:rPr>
        <w:footnoteRef/>
      </w:r>
      <w:r w:rsidRPr="00FA44BF">
        <w:rPr>
          <w:sz w:val="20"/>
          <w:szCs w:val="20"/>
        </w:rPr>
        <w:t xml:space="preserve"> This included lobbying for child-care, equal pay, improved housing standards, rural electrification and consumer standards. See Beaumont, Caitríona. 2016. What Do Women Want? Housewives’ Associations, Activism and Changing Representations of Women in the 1950s. </w:t>
      </w:r>
      <w:r w:rsidRPr="00FA44BF">
        <w:rPr>
          <w:i/>
          <w:sz w:val="20"/>
          <w:szCs w:val="20"/>
        </w:rPr>
        <w:t>Women’s History Review</w:t>
      </w:r>
      <w:r w:rsidRPr="00FA44BF">
        <w:rPr>
          <w:sz w:val="20"/>
          <w:szCs w:val="20"/>
        </w:rPr>
        <w:t xml:space="preserve"> 26</w:t>
      </w:r>
      <w:r w:rsidR="00B63D9F">
        <w:rPr>
          <w:sz w:val="20"/>
          <w:szCs w:val="20"/>
        </w:rPr>
        <w:t>,</w:t>
      </w:r>
      <w:r w:rsidRPr="00FA44BF">
        <w:rPr>
          <w:sz w:val="20"/>
          <w:szCs w:val="20"/>
        </w:rPr>
        <w:t xml:space="preserve"> 1</w:t>
      </w:r>
      <w:r w:rsidR="00CD68A5">
        <w:rPr>
          <w:sz w:val="20"/>
          <w:szCs w:val="20"/>
        </w:rPr>
        <w:t>:</w:t>
      </w:r>
      <w:r w:rsidRPr="00FA44BF">
        <w:rPr>
          <w:sz w:val="20"/>
          <w:szCs w:val="20"/>
        </w:rPr>
        <w:t xml:space="preserve"> 147-162. </w:t>
      </w:r>
    </w:p>
  </w:footnote>
  <w:footnote w:id="42">
    <w:p w14:paraId="2B197429" w14:textId="44888192" w:rsidR="0051200F" w:rsidRPr="00FA44BF" w:rsidRDefault="0051200F" w:rsidP="00357F0F">
      <w:pPr>
        <w:pStyle w:val="FootnoteText"/>
        <w:rPr>
          <w:sz w:val="20"/>
          <w:szCs w:val="20"/>
        </w:rPr>
      </w:pPr>
      <w:r w:rsidRPr="00FA44BF">
        <w:rPr>
          <w:rStyle w:val="FootnoteReference"/>
          <w:sz w:val="20"/>
          <w:szCs w:val="20"/>
        </w:rPr>
        <w:footnoteRef/>
      </w:r>
      <w:r w:rsidRPr="00FA44BF">
        <w:rPr>
          <w:sz w:val="20"/>
          <w:szCs w:val="20"/>
        </w:rPr>
        <w:t xml:space="preserve"> For </w:t>
      </w:r>
      <w:r w:rsidR="00B85722" w:rsidRPr="00FA44BF">
        <w:rPr>
          <w:sz w:val="20"/>
          <w:szCs w:val="20"/>
        </w:rPr>
        <w:t>example,</w:t>
      </w:r>
      <w:r w:rsidRPr="00FA44BF">
        <w:rPr>
          <w:sz w:val="20"/>
          <w:szCs w:val="20"/>
        </w:rPr>
        <w:t xml:space="preserve"> during the Covid-19 pandemic numerous newspaper headlines claimed that for women lockdown represented a return to life as </w:t>
      </w:r>
      <w:r w:rsidR="00AE3200">
        <w:rPr>
          <w:sz w:val="20"/>
          <w:szCs w:val="20"/>
        </w:rPr>
        <w:t>“</w:t>
      </w:r>
      <w:r w:rsidRPr="00FA44BF">
        <w:rPr>
          <w:sz w:val="20"/>
          <w:szCs w:val="20"/>
        </w:rPr>
        <w:t>a 1950s housewife</w:t>
      </w:r>
      <w:r w:rsidR="00AE3200">
        <w:rPr>
          <w:sz w:val="20"/>
          <w:szCs w:val="20"/>
        </w:rPr>
        <w:t>”</w:t>
      </w:r>
      <w:r w:rsidRPr="00FA44BF">
        <w:rPr>
          <w:sz w:val="20"/>
          <w:szCs w:val="20"/>
        </w:rPr>
        <w:t>.</w:t>
      </w:r>
      <w:r w:rsidR="009D10BD">
        <w:rPr>
          <w:sz w:val="20"/>
          <w:szCs w:val="20"/>
        </w:rPr>
        <w:t xml:space="preserve"> Ferguson, Donna. 2020. I </w:t>
      </w:r>
      <w:r w:rsidR="00B85722">
        <w:rPr>
          <w:sz w:val="20"/>
          <w:szCs w:val="20"/>
        </w:rPr>
        <w:t>Feel like a 1950s Housewife.</w:t>
      </w:r>
      <w:r w:rsidRPr="00FA44BF">
        <w:rPr>
          <w:sz w:val="20"/>
          <w:szCs w:val="20"/>
        </w:rPr>
        <w:t xml:space="preserve"> </w:t>
      </w:r>
      <w:r w:rsidRPr="00FA44BF">
        <w:rPr>
          <w:i/>
          <w:sz w:val="20"/>
          <w:szCs w:val="20"/>
        </w:rPr>
        <w:t xml:space="preserve">The </w:t>
      </w:r>
      <w:r w:rsidRPr="00B85722">
        <w:rPr>
          <w:i/>
          <w:sz w:val="20"/>
          <w:szCs w:val="20"/>
        </w:rPr>
        <w:t>Observer</w:t>
      </w:r>
      <w:r w:rsidR="00B85722">
        <w:rPr>
          <w:sz w:val="20"/>
          <w:szCs w:val="20"/>
        </w:rPr>
        <w:t>,</w:t>
      </w:r>
      <w:r w:rsidRPr="00FA44BF">
        <w:rPr>
          <w:sz w:val="20"/>
          <w:szCs w:val="20"/>
        </w:rPr>
        <w:t xml:space="preserve"> May </w:t>
      </w:r>
      <w:r w:rsidR="00B85722">
        <w:rPr>
          <w:sz w:val="20"/>
          <w:szCs w:val="20"/>
        </w:rPr>
        <w:t>3</w:t>
      </w:r>
      <w:r w:rsidRPr="00FA44BF">
        <w:rPr>
          <w:sz w:val="20"/>
          <w:szCs w:val="20"/>
        </w:rPr>
        <w:t>.</w:t>
      </w:r>
      <w:r w:rsidR="00B85722">
        <w:rPr>
          <w:sz w:val="20"/>
          <w:szCs w:val="20"/>
        </w:rPr>
        <w:t xml:space="preserve"> </w:t>
      </w:r>
      <w:hyperlink r:id="rId2" w:history="1">
        <w:r w:rsidR="00B85722" w:rsidRPr="00B422AC">
          <w:rPr>
            <w:rStyle w:val="Hyperlink"/>
            <w:sz w:val="20"/>
            <w:szCs w:val="20"/>
          </w:rPr>
          <w:t>https://www.theguardian.com/world/2020/may/03/i-feel-like-a-1950s-housewife-how-lockdown-has-exposed-the-gender-divide</w:t>
        </w:r>
      </w:hyperlink>
      <w:r w:rsidR="00B85722">
        <w:rPr>
          <w:sz w:val="20"/>
          <w:szCs w:val="20"/>
        </w:rPr>
        <w:t>. Accessed 25 September 2023.</w:t>
      </w:r>
    </w:p>
  </w:footnote>
  <w:footnote w:id="43">
    <w:p w14:paraId="0A8A1FD1" w14:textId="502931F0" w:rsidR="0051200F" w:rsidRPr="00FA44BF" w:rsidRDefault="0051200F" w:rsidP="00357F0F">
      <w:pPr>
        <w:pStyle w:val="FootnoteText"/>
        <w:rPr>
          <w:sz w:val="20"/>
          <w:szCs w:val="20"/>
        </w:rPr>
      </w:pPr>
      <w:r w:rsidRPr="00FA44BF">
        <w:rPr>
          <w:rStyle w:val="FootnoteReference"/>
          <w:sz w:val="20"/>
          <w:szCs w:val="20"/>
        </w:rPr>
        <w:footnoteRef/>
      </w:r>
      <w:r w:rsidRPr="00FA44BF">
        <w:rPr>
          <w:sz w:val="20"/>
          <w:szCs w:val="20"/>
        </w:rPr>
        <w:t xml:space="preserve"> This “problem” was the boredom and frustration that white, educated, middle-class American women experienced when their lives were dominated by unpaid housework and caring responsibilities. Friedan,</w:t>
      </w:r>
      <w:r>
        <w:rPr>
          <w:sz w:val="20"/>
          <w:szCs w:val="20"/>
        </w:rPr>
        <w:t xml:space="preserve"> </w:t>
      </w:r>
      <w:r w:rsidRPr="00FA44BF">
        <w:rPr>
          <w:i/>
          <w:sz w:val="20"/>
          <w:szCs w:val="20"/>
        </w:rPr>
        <w:t>The Feminine Mystique</w:t>
      </w:r>
      <w:r w:rsidR="00023800">
        <w:rPr>
          <w:sz w:val="20"/>
          <w:szCs w:val="20"/>
        </w:rPr>
        <w:t>,</w:t>
      </w:r>
      <w:r w:rsidRPr="00FA44BF">
        <w:rPr>
          <w:sz w:val="20"/>
          <w:szCs w:val="20"/>
        </w:rPr>
        <w:t xml:space="preserve"> 5.</w:t>
      </w:r>
    </w:p>
  </w:footnote>
  <w:footnote w:id="44">
    <w:p w14:paraId="6FF33D03" w14:textId="2681ECEE" w:rsidR="0051200F" w:rsidRPr="000B616C" w:rsidRDefault="0051200F" w:rsidP="00357F0F">
      <w:pPr>
        <w:pStyle w:val="FootnoteText"/>
        <w:rPr>
          <w:sz w:val="20"/>
          <w:szCs w:val="20"/>
        </w:rPr>
      </w:pPr>
      <w:r w:rsidRPr="000B616C">
        <w:rPr>
          <w:rStyle w:val="FootnoteReference"/>
          <w:sz w:val="20"/>
          <w:szCs w:val="20"/>
        </w:rPr>
        <w:footnoteRef/>
      </w:r>
      <w:r w:rsidRPr="000B616C">
        <w:rPr>
          <w:sz w:val="20"/>
          <w:szCs w:val="20"/>
        </w:rPr>
        <w:t xml:space="preserve"> </w:t>
      </w:r>
      <w:r w:rsidRPr="000B616C">
        <w:rPr>
          <w:i/>
          <w:sz w:val="20"/>
          <w:szCs w:val="20"/>
        </w:rPr>
        <w:t>Women in Britain</w:t>
      </w:r>
      <w:r w:rsidR="006D6BEB">
        <w:rPr>
          <w:sz w:val="20"/>
          <w:szCs w:val="20"/>
        </w:rPr>
        <w:t>,</w:t>
      </w:r>
      <w:r w:rsidRPr="000B616C">
        <w:rPr>
          <w:sz w:val="20"/>
          <w:szCs w:val="20"/>
        </w:rPr>
        <w:t xml:space="preserve"> 45.</w:t>
      </w:r>
    </w:p>
  </w:footnote>
  <w:footnote w:id="45">
    <w:p w14:paraId="61787CBF" w14:textId="2F0E5A9E" w:rsidR="0051200F" w:rsidRPr="000B616C" w:rsidRDefault="0051200F" w:rsidP="00357F0F">
      <w:pPr>
        <w:pStyle w:val="FootnoteText"/>
        <w:rPr>
          <w:sz w:val="20"/>
          <w:szCs w:val="20"/>
        </w:rPr>
      </w:pPr>
      <w:r w:rsidRPr="000B616C">
        <w:rPr>
          <w:rStyle w:val="FootnoteReference"/>
          <w:sz w:val="20"/>
          <w:szCs w:val="20"/>
        </w:rPr>
        <w:footnoteRef/>
      </w:r>
      <w:r w:rsidRPr="000B616C">
        <w:rPr>
          <w:sz w:val="20"/>
          <w:szCs w:val="20"/>
        </w:rPr>
        <w:t xml:space="preserve"> </w:t>
      </w:r>
      <w:r w:rsidR="00AB102A">
        <w:rPr>
          <w:sz w:val="20"/>
          <w:szCs w:val="20"/>
        </w:rPr>
        <w:t>i</w:t>
      </w:r>
      <w:r w:rsidRPr="000B616C">
        <w:rPr>
          <w:sz w:val="20"/>
          <w:szCs w:val="20"/>
        </w:rPr>
        <w:t>bid.</w:t>
      </w:r>
    </w:p>
  </w:footnote>
  <w:footnote w:id="46">
    <w:p w14:paraId="66569183" w14:textId="60AF9ACE" w:rsidR="0051200F" w:rsidRPr="000B616C" w:rsidRDefault="0051200F" w:rsidP="00357F0F">
      <w:pPr>
        <w:pStyle w:val="FootnoteText"/>
        <w:rPr>
          <w:sz w:val="20"/>
          <w:szCs w:val="20"/>
        </w:rPr>
      </w:pPr>
      <w:r w:rsidRPr="000B616C">
        <w:rPr>
          <w:rStyle w:val="FootnoteReference"/>
          <w:sz w:val="20"/>
          <w:szCs w:val="20"/>
        </w:rPr>
        <w:footnoteRef/>
      </w:r>
      <w:r w:rsidRPr="000B616C">
        <w:rPr>
          <w:sz w:val="20"/>
          <w:szCs w:val="20"/>
        </w:rPr>
        <w:t xml:space="preserve"> Andrews, </w:t>
      </w:r>
      <w:r w:rsidRPr="000B616C">
        <w:rPr>
          <w:i/>
          <w:sz w:val="20"/>
          <w:szCs w:val="20"/>
        </w:rPr>
        <w:t>The Acceptable Face of Feminism</w:t>
      </w:r>
      <w:r w:rsidR="00023800">
        <w:rPr>
          <w:sz w:val="20"/>
          <w:szCs w:val="20"/>
        </w:rPr>
        <w:t>,</w:t>
      </w:r>
      <w:r w:rsidRPr="000B616C">
        <w:rPr>
          <w:sz w:val="20"/>
          <w:szCs w:val="20"/>
        </w:rPr>
        <w:t xml:space="preserve"> 220. </w:t>
      </w:r>
    </w:p>
  </w:footnote>
  <w:footnote w:id="47">
    <w:p w14:paraId="3D80CF7B" w14:textId="77777777" w:rsidR="0051200F" w:rsidRPr="009575AB" w:rsidRDefault="0051200F" w:rsidP="00357F0F">
      <w:pPr>
        <w:pStyle w:val="FootnoteText"/>
        <w:rPr>
          <w:sz w:val="20"/>
          <w:szCs w:val="20"/>
        </w:rPr>
      </w:pPr>
      <w:r w:rsidRPr="009575AB">
        <w:rPr>
          <w:rStyle w:val="FootnoteReference"/>
          <w:sz w:val="20"/>
          <w:szCs w:val="20"/>
        </w:rPr>
        <w:footnoteRef/>
      </w:r>
      <w:r w:rsidRPr="009575AB">
        <w:rPr>
          <w:sz w:val="20"/>
          <w:szCs w:val="20"/>
        </w:rPr>
        <w:t xml:space="preserve"> Centre of Excellence in the History of Experiences (HEX). 2023. </w:t>
      </w:r>
      <w:hyperlink r:id="rId3" w:history="1">
        <w:r w:rsidRPr="009575AB">
          <w:rPr>
            <w:rStyle w:val="Hyperlink"/>
            <w:sz w:val="20"/>
            <w:szCs w:val="20"/>
          </w:rPr>
          <w:t>https://research.tuni.fi/hex/</w:t>
        </w:r>
      </w:hyperlink>
      <w:r w:rsidRPr="009575AB">
        <w:rPr>
          <w:sz w:val="20"/>
          <w:szCs w:val="20"/>
        </w:rPr>
        <w:t xml:space="preserve">. Accessed 9 September 2023. </w:t>
      </w:r>
    </w:p>
  </w:footnote>
  <w:footnote w:id="48">
    <w:p w14:paraId="11A486FD" w14:textId="6E51A4D7" w:rsidR="0051200F" w:rsidRPr="009575AB" w:rsidRDefault="0051200F" w:rsidP="00357F0F">
      <w:pPr>
        <w:pStyle w:val="FootnoteText"/>
        <w:rPr>
          <w:sz w:val="20"/>
          <w:szCs w:val="20"/>
        </w:rPr>
      </w:pPr>
      <w:r w:rsidRPr="009575AB">
        <w:rPr>
          <w:rStyle w:val="FootnoteReference"/>
          <w:sz w:val="20"/>
          <w:szCs w:val="20"/>
        </w:rPr>
        <w:footnoteRef/>
      </w:r>
      <w:r w:rsidRPr="009575AB">
        <w:rPr>
          <w:sz w:val="20"/>
          <w:szCs w:val="20"/>
        </w:rPr>
        <w:t xml:space="preserve"> See for example McCarthy, </w:t>
      </w:r>
      <w:r w:rsidRPr="009575AB">
        <w:rPr>
          <w:i/>
          <w:sz w:val="20"/>
          <w:szCs w:val="20"/>
        </w:rPr>
        <w:t>Double Burden</w:t>
      </w:r>
      <w:r w:rsidRPr="009575AB">
        <w:rPr>
          <w:sz w:val="20"/>
          <w:szCs w:val="20"/>
        </w:rPr>
        <w:t xml:space="preserve">, Abrams, Lynn. 2019. The Self and Self-Help: Women Pursuing Autonomy in Post-war Britain. </w:t>
      </w:r>
      <w:r w:rsidRPr="009575AB">
        <w:rPr>
          <w:i/>
          <w:sz w:val="20"/>
          <w:szCs w:val="20"/>
        </w:rPr>
        <w:t>Transactions of the Royal Historical Society</w:t>
      </w:r>
      <w:r w:rsidRPr="009575AB">
        <w:rPr>
          <w:sz w:val="20"/>
          <w:szCs w:val="20"/>
        </w:rPr>
        <w:t xml:space="preserve"> 29</w:t>
      </w:r>
      <w:r w:rsidR="00023800">
        <w:rPr>
          <w:sz w:val="20"/>
          <w:szCs w:val="20"/>
        </w:rPr>
        <w:t>,</w:t>
      </w:r>
      <w:r w:rsidRPr="009575AB">
        <w:rPr>
          <w:sz w:val="20"/>
          <w:szCs w:val="20"/>
        </w:rPr>
        <w:t xml:space="preserve"> 201-222 and Jolly, Margaretta. 2019. </w:t>
      </w:r>
      <w:r w:rsidRPr="009575AB">
        <w:rPr>
          <w:i/>
          <w:sz w:val="20"/>
          <w:szCs w:val="20"/>
        </w:rPr>
        <w:t>Sisterhood and After: An Oral History of the UK Women’s Liberation Movement, 1968-Present.</w:t>
      </w:r>
      <w:r w:rsidRPr="009575AB">
        <w:rPr>
          <w:sz w:val="20"/>
          <w:szCs w:val="20"/>
        </w:rPr>
        <w:t xml:space="preserve"> Oxford: Oxford University Press. </w:t>
      </w:r>
    </w:p>
  </w:footnote>
  <w:footnote w:id="49">
    <w:p w14:paraId="6FDB6190" w14:textId="013AEBC7" w:rsidR="0051200F" w:rsidRPr="009575AB" w:rsidRDefault="0051200F" w:rsidP="00357F0F">
      <w:pPr>
        <w:pStyle w:val="FootnoteText"/>
        <w:rPr>
          <w:sz w:val="20"/>
          <w:szCs w:val="20"/>
        </w:rPr>
      </w:pPr>
      <w:r w:rsidRPr="009575AB">
        <w:rPr>
          <w:rStyle w:val="FootnoteReference"/>
          <w:sz w:val="20"/>
          <w:szCs w:val="20"/>
        </w:rPr>
        <w:footnoteRef/>
      </w:r>
      <w:r w:rsidRPr="009575AB">
        <w:rPr>
          <w:sz w:val="20"/>
          <w:szCs w:val="20"/>
        </w:rPr>
        <w:t xml:space="preserve"> Sutcliffe-Braithwaite, Florence and Thomlinson, Natalie. 2022. Vernacular Discourses of Gender Equality in the Post-War British Working-Class. </w:t>
      </w:r>
      <w:r w:rsidRPr="009575AB">
        <w:rPr>
          <w:i/>
          <w:sz w:val="20"/>
          <w:szCs w:val="20"/>
        </w:rPr>
        <w:t>Past and Present</w:t>
      </w:r>
      <w:r w:rsidRPr="009575AB">
        <w:rPr>
          <w:sz w:val="20"/>
          <w:szCs w:val="20"/>
        </w:rPr>
        <w:t>, 254</w:t>
      </w:r>
      <w:r w:rsidR="006D6BEB">
        <w:rPr>
          <w:sz w:val="20"/>
          <w:szCs w:val="20"/>
        </w:rPr>
        <w:t>,</w:t>
      </w:r>
      <w:r w:rsidRPr="009575AB">
        <w:rPr>
          <w:sz w:val="20"/>
          <w:szCs w:val="20"/>
        </w:rPr>
        <w:t xml:space="preserve"> 1: 277-313. </w:t>
      </w:r>
      <w:r w:rsidR="00935D7F">
        <w:rPr>
          <w:sz w:val="20"/>
          <w:szCs w:val="20"/>
        </w:rPr>
        <w:t xml:space="preserve">See also Chapter 3 in this collection. </w:t>
      </w:r>
    </w:p>
  </w:footnote>
  <w:footnote w:id="50">
    <w:p w14:paraId="3EF24464" w14:textId="2C983466" w:rsidR="0051200F" w:rsidRPr="009575AB" w:rsidRDefault="0051200F" w:rsidP="00357F0F">
      <w:pPr>
        <w:pStyle w:val="FootnoteText"/>
        <w:rPr>
          <w:sz w:val="20"/>
          <w:szCs w:val="20"/>
        </w:rPr>
      </w:pPr>
      <w:r w:rsidRPr="009575AB">
        <w:rPr>
          <w:rStyle w:val="FootnoteReference"/>
          <w:sz w:val="20"/>
          <w:szCs w:val="20"/>
        </w:rPr>
        <w:footnoteRef/>
      </w:r>
      <w:r w:rsidRPr="009575AB">
        <w:rPr>
          <w:sz w:val="20"/>
          <w:szCs w:val="20"/>
        </w:rPr>
        <w:t xml:space="preserve"> Kivimäki, Ville, Malinen, Antti and Vuolanto, Ville. 2023. Communities of Experience. </w:t>
      </w:r>
      <w:r w:rsidRPr="009575AB">
        <w:rPr>
          <w:i/>
          <w:sz w:val="20"/>
          <w:szCs w:val="20"/>
        </w:rPr>
        <w:t>Digital Handbook of the History of Experience</w:t>
      </w:r>
      <w:r w:rsidRPr="009575AB">
        <w:rPr>
          <w:sz w:val="20"/>
          <w:szCs w:val="20"/>
        </w:rPr>
        <w:t xml:space="preserve">. </w:t>
      </w:r>
      <w:hyperlink r:id="rId4" w:history="1">
        <w:r w:rsidRPr="009575AB">
          <w:rPr>
            <w:rStyle w:val="Hyperlink"/>
            <w:sz w:val="20"/>
            <w:szCs w:val="20"/>
          </w:rPr>
          <w:t>https://sites.tuni.fi/hexhandbook/theory/communities-of-experience/</w:t>
        </w:r>
      </w:hyperlink>
      <w:r>
        <w:rPr>
          <w:sz w:val="20"/>
          <w:szCs w:val="20"/>
        </w:rPr>
        <w:t xml:space="preserve"> Accessed 9 September 2023</w:t>
      </w:r>
      <w:r w:rsidR="00023800">
        <w:rPr>
          <w:sz w:val="20"/>
          <w:szCs w:val="20"/>
        </w:rPr>
        <w:t>,</w:t>
      </w:r>
      <w:r>
        <w:rPr>
          <w:sz w:val="20"/>
          <w:szCs w:val="20"/>
        </w:rPr>
        <w:t xml:space="preserve"> 2.</w:t>
      </w:r>
    </w:p>
  </w:footnote>
  <w:footnote w:id="51">
    <w:p w14:paraId="6F36884B" w14:textId="389429C6" w:rsidR="0051200F" w:rsidRPr="009431B9" w:rsidRDefault="0051200F" w:rsidP="00357F0F">
      <w:pPr>
        <w:pStyle w:val="FootnoteText"/>
        <w:rPr>
          <w:sz w:val="20"/>
          <w:szCs w:val="20"/>
        </w:rPr>
      </w:pPr>
      <w:r w:rsidRPr="009431B9">
        <w:rPr>
          <w:rStyle w:val="FootnoteReference"/>
          <w:sz w:val="20"/>
          <w:szCs w:val="20"/>
        </w:rPr>
        <w:footnoteRef/>
      </w:r>
      <w:r w:rsidRPr="009431B9">
        <w:rPr>
          <w:sz w:val="20"/>
          <w:szCs w:val="20"/>
        </w:rPr>
        <w:t xml:space="preserve"> Thane, Pat. 2018. </w:t>
      </w:r>
      <w:r w:rsidRPr="009431B9">
        <w:rPr>
          <w:i/>
          <w:sz w:val="20"/>
          <w:szCs w:val="20"/>
        </w:rPr>
        <w:t>Divided Kingdom: A History of Britain, 1900 to the Present</w:t>
      </w:r>
      <w:r w:rsidRPr="009431B9">
        <w:rPr>
          <w:sz w:val="20"/>
          <w:szCs w:val="20"/>
        </w:rPr>
        <w:t>. Cambridge: Cambridge University Press</w:t>
      </w:r>
      <w:r w:rsidR="00023800">
        <w:rPr>
          <w:sz w:val="20"/>
          <w:szCs w:val="20"/>
        </w:rPr>
        <w:t>,</w:t>
      </w:r>
      <w:r w:rsidRPr="009431B9">
        <w:rPr>
          <w:sz w:val="20"/>
          <w:szCs w:val="20"/>
        </w:rPr>
        <w:t xml:space="preserve"> 262-290.</w:t>
      </w:r>
    </w:p>
  </w:footnote>
  <w:footnote w:id="52">
    <w:p w14:paraId="1A178887" w14:textId="5EB3D6BB" w:rsidR="0051200F" w:rsidRPr="009431B9" w:rsidRDefault="0051200F" w:rsidP="00357F0F">
      <w:pPr>
        <w:pStyle w:val="FootnoteText"/>
        <w:rPr>
          <w:sz w:val="20"/>
          <w:szCs w:val="20"/>
        </w:rPr>
      </w:pPr>
      <w:r w:rsidRPr="009431B9">
        <w:rPr>
          <w:rStyle w:val="FootnoteReference"/>
          <w:sz w:val="20"/>
          <w:szCs w:val="20"/>
        </w:rPr>
        <w:footnoteRef/>
      </w:r>
      <w:r w:rsidRPr="009431B9">
        <w:rPr>
          <w:sz w:val="20"/>
          <w:szCs w:val="20"/>
        </w:rPr>
        <w:t xml:space="preserve"> Helen McCarthy writes that in 1976 about a quarter of women with preschool aged children were working, more than double the figure in 1961. McCarthy, </w:t>
      </w:r>
      <w:r w:rsidRPr="009431B9">
        <w:rPr>
          <w:i/>
          <w:sz w:val="20"/>
          <w:szCs w:val="20"/>
        </w:rPr>
        <w:t>Double Lives</w:t>
      </w:r>
      <w:r w:rsidR="006D6BEB">
        <w:rPr>
          <w:sz w:val="20"/>
          <w:szCs w:val="20"/>
        </w:rPr>
        <w:t>,</w:t>
      </w:r>
      <w:r w:rsidRPr="009431B9">
        <w:rPr>
          <w:sz w:val="20"/>
          <w:szCs w:val="20"/>
        </w:rPr>
        <w:t xml:space="preserve"> 324. In response to the increase in married women’s work the MU, NFWI and TG encouraged local branches to hold morning, afternoon and evening meetings to cater for all members.</w:t>
      </w:r>
    </w:p>
  </w:footnote>
  <w:footnote w:id="53">
    <w:p w14:paraId="13DD7072" w14:textId="04775463" w:rsidR="0051200F" w:rsidRPr="009431B9" w:rsidRDefault="0051200F" w:rsidP="00357F0F">
      <w:pPr>
        <w:pStyle w:val="FootnoteText"/>
        <w:rPr>
          <w:sz w:val="20"/>
          <w:szCs w:val="20"/>
        </w:rPr>
      </w:pPr>
      <w:r w:rsidRPr="009431B9">
        <w:rPr>
          <w:rStyle w:val="FootnoteReference"/>
          <w:sz w:val="20"/>
          <w:szCs w:val="20"/>
        </w:rPr>
        <w:footnoteRef/>
      </w:r>
      <w:r w:rsidRPr="009431B9">
        <w:rPr>
          <w:sz w:val="20"/>
          <w:szCs w:val="20"/>
        </w:rPr>
        <w:t xml:space="preserve"> These included the National Childbirth Trust, the National Housewives’ Register and the Pre-School Playgroups Association. See Abrams. The Self and Self-Help. </w:t>
      </w:r>
    </w:p>
  </w:footnote>
  <w:footnote w:id="54">
    <w:p w14:paraId="08E3CA79" w14:textId="661EF582" w:rsidR="0051200F" w:rsidRPr="009431B9" w:rsidRDefault="0051200F" w:rsidP="00357F0F">
      <w:pPr>
        <w:pStyle w:val="FootnoteText"/>
        <w:rPr>
          <w:sz w:val="20"/>
          <w:szCs w:val="20"/>
        </w:rPr>
      </w:pPr>
      <w:r w:rsidRPr="009431B9">
        <w:rPr>
          <w:rStyle w:val="FootnoteReference"/>
          <w:sz w:val="20"/>
          <w:szCs w:val="20"/>
        </w:rPr>
        <w:footnoteRef/>
      </w:r>
      <w:r w:rsidRPr="009431B9">
        <w:rPr>
          <w:sz w:val="20"/>
          <w:szCs w:val="20"/>
        </w:rPr>
        <w:t xml:space="preserve"> In</w:t>
      </w:r>
      <w:r w:rsidR="00023800">
        <w:rPr>
          <w:sz w:val="20"/>
          <w:szCs w:val="20"/>
        </w:rPr>
        <w:t xml:space="preserve"> </w:t>
      </w:r>
      <w:r w:rsidRPr="009431B9">
        <w:rPr>
          <w:sz w:val="20"/>
          <w:szCs w:val="20"/>
        </w:rPr>
        <w:t xml:space="preserve">1971 the membership of the NFWI had declined to 442,086 while the TG experienced an overall increase to 275,700 members in 1969. Beaumont. </w:t>
      </w:r>
      <w:r w:rsidRPr="009431B9">
        <w:rPr>
          <w:i/>
          <w:sz w:val="20"/>
          <w:szCs w:val="20"/>
        </w:rPr>
        <w:t>Housewives and Citizens</w:t>
      </w:r>
      <w:r w:rsidRPr="009431B9">
        <w:rPr>
          <w:sz w:val="20"/>
          <w:szCs w:val="20"/>
        </w:rPr>
        <w:t xml:space="preserve">: 216. </w:t>
      </w:r>
    </w:p>
  </w:footnote>
  <w:footnote w:id="55">
    <w:p w14:paraId="7094E4D0" w14:textId="63036418" w:rsidR="0051200F" w:rsidRPr="004F1444" w:rsidRDefault="0051200F">
      <w:pPr>
        <w:pStyle w:val="FootnoteText"/>
        <w:rPr>
          <w:sz w:val="20"/>
          <w:szCs w:val="20"/>
        </w:rPr>
      </w:pPr>
      <w:r w:rsidRPr="004F1444">
        <w:rPr>
          <w:rStyle w:val="FootnoteReference"/>
          <w:sz w:val="20"/>
          <w:szCs w:val="20"/>
        </w:rPr>
        <w:footnoteRef/>
      </w:r>
      <w:r w:rsidRPr="004F1444">
        <w:rPr>
          <w:sz w:val="20"/>
          <w:szCs w:val="20"/>
        </w:rPr>
        <w:t xml:space="preserve"> </w:t>
      </w:r>
      <w:r>
        <w:rPr>
          <w:sz w:val="20"/>
          <w:szCs w:val="20"/>
        </w:rPr>
        <w:t xml:space="preserve">hooks, bell. 1994. </w:t>
      </w:r>
      <w:r w:rsidRPr="00812C97">
        <w:rPr>
          <w:i/>
          <w:sz w:val="20"/>
          <w:szCs w:val="20"/>
        </w:rPr>
        <w:t>Teaching to Transgress</w:t>
      </w:r>
      <w:r>
        <w:rPr>
          <w:sz w:val="20"/>
          <w:szCs w:val="20"/>
        </w:rPr>
        <w:t>. London: Taylor and Francis</w:t>
      </w:r>
      <w:r w:rsidR="00023800">
        <w:rPr>
          <w:sz w:val="20"/>
          <w:szCs w:val="20"/>
        </w:rPr>
        <w:t>,</w:t>
      </w:r>
      <w:r>
        <w:rPr>
          <w:sz w:val="20"/>
          <w:szCs w:val="20"/>
        </w:rPr>
        <w:t xml:space="preserve"> 90. </w:t>
      </w:r>
    </w:p>
  </w:footnote>
  <w:footnote w:id="56">
    <w:p w14:paraId="25DB3A5B" w14:textId="0C48B7C2" w:rsidR="0051200F" w:rsidRPr="004F1444" w:rsidRDefault="0051200F" w:rsidP="00357F0F">
      <w:pPr>
        <w:pStyle w:val="FootnoteText"/>
        <w:rPr>
          <w:sz w:val="20"/>
          <w:szCs w:val="20"/>
        </w:rPr>
      </w:pPr>
      <w:r w:rsidRPr="004F1444">
        <w:rPr>
          <w:rStyle w:val="FootnoteReference"/>
          <w:sz w:val="20"/>
          <w:szCs w:val="20"/>
        </w:rPr>
        <w:footnoteRef/>
      </w:r>
      <w:r w:rsidRPr="004F1444">
        <w:rPr>
          <w:sz w:val="20"/>
          <w:szCs w:val="20"/>
        </w:rPr>
        <w:t xml:space="preserve"> </w:t>
      </w:r>
      <w:r w:rsidR="005C6D76">
        <w:rPr>
          <w:sz w:val="20"/>
          <w:szCs w:val="20"/>
        </w:rPr>
        <w:t xml:space="preserve">Leslie, Michael. 1971. Transposing from Minor to a Major </w:t>
      </w:r>
      <w:r w:rsidR="008E4D1F">
        <w:rPr>
          <w:sz w:val="20"/>
          <w:szCs w:val="20"/>
        </w:rPr>
        <w:t xml:space="preserve">Key. </w:t>
      </w:r>
      <w:r w:rsidRPr="004F1444">
        <w:rPr>
          <w:i/>
          <w:sz w:val="20"/>
          <w:szCs w:val="20"/>
        </w:rPr>
        <w:t xml:space="preserve">The </w:t>
      </w:r>
      <w:r w:rsidRPr="008E4D1F">
        <w:rPr>
          <w:i/>
          <w:sz w:val="20"/>
          <w:szCs w:val="20"/>
        </w:rPr>
        <w:t>Townswomen</w:t>
      </w:r>
      <w:r w:rsidRPr="004F1444">
        <w:rPr>
          <w:sz w:val="20"/>
          <w:szCs w:val="20"/>
        </w:rPr>
        <w:t>, May</w:t>
      </w:r>
      <w:r w:rsidR="008E4D1F">
        <w:rPr>
          <w:sz w:val="20"/>
          <w:szCs w:val="20"/>
        </w:rPr>
        <w:t xml:space="preserve">: </w:t>
      </w:r>
      <w:r w:rsidRPr="004F1444">
        <w:rPr>
          <w:sz w:val="20"/>
          <w:szCs w:val="20"/>
        </w:rPr>
        <w:t xml:space="preserve">159. </w:t>
      </w:r>
    </w:p>
  </w:footnote>
  <w:footnote w:id="57">
    <w:p w14:paraId="665A89F3" w14:textId="0FF9DA6D" w:rsidR="0051200F" w:rsidRPr="00BC7BBA" w:rsidRDefault="0051200F" w:rsidP="00357F0F">
      <w:pPr>
        <w:pStyle w:val="FootnoteText"/>
        <w:rPr>
          <w:sz w:val="20"/>
          <w:szCs w:val="20"/>
        </w:rPr>
      </w:pPr>
      <w:r w:rsidRPr="00BC7BBA">
        <w:rPr>
          <w:rStyle w:val="FootnoteReference"/>
          <w:sz w:val="20"/>
          <w:szCs w:val="20"/>
        </w:rPr>
        <w:footnoteRef/>
      </w:r>
      <w:r w:rsidRPr="00BC7BBA">
        <w:rPr>
          <w:sz w:val="20"/>
          <w:szCs w:val="20"/>
        </w:rPr>
        <w:t xml:space="preserve"> </w:t>
      </w:r>
      <w:r w:rsidR="00AB102A">
        <w:rPr>
          <w:sz w:val="20"/>
          <w:szCs w:val="20"/>
        </w:rPr>
        <w:t>i</w:t>
      </w:r>
      <w:r w:rsidRPr="00BC7BBA">
        <w:rPr>
          <w:sz w:val="20"/>
          <w:szCs w:val="20"/>
        </w:rPr>
        <w:t>bid.</w:t>
      </w:r>
    </w:p>
  </w:footnote>
  <w:footnote w:id="58">
    <w:p w14:paraId="3A6B27C3" w14:textId="659FF8CF" w:rsidR="0051200F" w:rsidRPr="00BC7BBA" w:rsidRDefault="0051200F" w:rsidP="00357F0F">
      <w:pPr>
        <w:pStyle w:val="FootnoteText"/>
        <w:rPr>
          <w:sz w:val="20"/>
          <w:szCs w:val="20"/>
        </w:rPr>
      </w:pPr>
      <w:r w:rsidRPr="00BC7BBA">
        <w:rPr>
          <w:rStyle w:val="FootnoteReference"/>
          <w:sz w:val="20"/>
          <w:szCs w:val="20"/>
        </w:rPr>
        <w:footnoteRef/>
      </w:r>
      <w:r w:rsidRPr="00BC7BBA">
        <w:rPr>
          <w:sz w:val="20"/>
          <w:szCs w:val="20"/>
        </w:rPr>
        <w:t xml:space="preserve"> Kivimäki, Malinen and Vuolanto, </w:t>
      </w:r>
      <w:r w:rsidRPr="00BC7BBA">
        <w:rPr>
          <w:i/>
          <w:sz w:val="20"/>
          <w:szCs w:val="20"/>
        </w:rPr>
        <w:t>Communities of Experience</w:t>
      </w:r>
      <w:r>
        <w:rPr>
          <w:sz w:val="20"/>
          <w:szCs w:val="20"/>
        </w:rPr>
        <w:t>: 1.</w:t>
      </w:r>
      <w:r w:rsidRPr="00BC7BBA">
        <w:rPr>
          <w:sz w:val="20"/>
          <w:szCs w:val="20"/>
        </w:rPr>
        <w:t xml:space="preserve"> </w:t>
      </w:r>
    </w:p>
  </w:footnote>
  <w:footnote w:id="59">
    <w:p w14:paraId="4B7B08B6" w14:textId="4411DB9C" w:rsidR="0051200F" w:rsidRPr="0098105F" w:rsidRDefault="0051200F" w:rsidP="00357F0F">
      <w:pPr>
        <w:pStyle w:val="FootnoteText"/>
        <w:rPr>
          <w:sz w:val="20"/>
          <w:szCs w:val="20"/>
        </w:rPr>
      </w:pPr>
      <w:r w:rsidRPr="0098105F">
        <w:rPr>
          <w:rStyle w:val="FootnoteReference"/>
          <w:sz w:val="20"/>
          <w:szCs w:val="20"/>
        </w:rPr>
        <w:footnoteRef/>
      </w:r>
      <w:r w:rsidRPr="0098105F">
        <w:rPr>
          <w:sz w:val="20"/>
          <w:szCs w:val="20"/>
        </w:rPr>
        <w:t xml:space="preserve"> Jennifer Crane uses this phrase in her work for example in Crane, Jennifer. 2020. </w:t>
      </w:r>
      <w:r w:rsidRPr="0098105F">
        <w:rPr>
          <w:i/>
          <w:sz w:val="20"/>
          <w:szCs w:val="20"/>
        </w:rPr>
        <w:t>Child Protection in England, 1960-2000: Expertise, Experience. and Emotion</w:t>
      </w:r>
      <w:r w:rsidRPr="0098105F">
        <w:rPr>
          <w:sz w:val="20"/>
          <w:szCs w:val="20"/>
        </w:rPr>
        <w:t xml:space="preserve">. London: Palgrave and in </w:t>
      </w:r>
      <w:r w:rsidRPr="00C57BE4">
        <w:rPr>
          <w:sz w:val="20"/>
          <w:szCs w:val="20"/>
        </w:rPr>
        <w:t xml:space="preserve">Chapter </w:t>
      </w:r>
      <w:r w:rsidR="00C57BE4" w:rsidRPr="00C57BE4">
        <w:rPr>
          <w:sz w:val="20"/>
          <w:szCs w:val="20"/>
        </w:rPr>
        <w:t>7</w:t>
      </w:r>
      <w:r w:rsidRPr="0098105F">
        <w:rPr>
          <w:sz w:val="20"/>
          <w:szCs w:val="20"/>
        </w:rPr>
        <w:t xml:space="preserve">. For an account of the organisational processes of housewives’ associations see Beaumont. </w:t>
      </w:r>
      <w:r w:rsidRPr="0098105F">
        <w:rPr>
          <w:i/>
          <w:sz w:val="20"/>
          <w:szCs w:val="20"/>
        </w:rPr>
        <w:t>Housewives and Citizens.</w:t>
      </w:r>
      <w:r w:rsidRPr="0098105F">
        <w:rPr>
          <w:sz w:val="20"/>
          <w:szCs w:val="20"/>
        </w:rPr>
        <w:t xml:space="preserve"> </w:t>
      </w:r>
    </w:p>
  </w:footnote>
  <w:footnote w:id="60">
    <w:p w14:paraId="4A09FC1E" w14:textId="0F4FD069" w:rsidR="0051200F" w:rsidRPr="0098105F" w:rsidRDefault="0051200F" w:rsidP="00357F0F">
      <w:pPr>
        <w:pStyle w:val="FootnoteText"/>
        <w:rPr>
          <w:sz w:val="20"/>
          <w:szCs w:val="20"/>
        </w:rPr>
      </w:pPr>
      <w:r w:rsidRPr="0098105F">
        <w:rPr>
          <w:rStyle w:val="FootnoteReference"/>
          <w:sz w:val="20"/>
          <w:szCs w:val="20"/>
        </w:rPr>
        <w:footnoteRef/>
      </w:r>
      <w:r w:rsidRPr="0098105F">
        <w:rPr>
          <w:sz w:val="20"/>
          <w:szCs w:val="20"/>
        </w:rPr>
        <w:t xml:space="preserve"> The reference to jam making </w:t>
      </w:r>
      <w:proofErr w:type="gramStart"/>
      <w:r w:rsidRPr="0098105F">
        <w:rPr>
          <w:sz w:val="20"/>
          <w:szCs w:val="20"/>
        </w:rPr>
        <w:t>dates back to</w:t>
      </w:r>
      <w:proofErr w:type="gramEnd"/>
      <w:r w:rsidRPr="0098105F">
        <w:rPr>
          <w:sz w:val="20"/>
          <w:szCs w:val="20"/>
        </w:rPr>
        <w:t xml:space="preserve"> the First World War, when the movement played a key role in national food preservation schemes. </w:t>
      </w:r>
      <w:r w:rsidR="00A45760">
        <w:rPr>
          <w:sz w:val="20"/>
          <w:szCs w:val="20"/>
        </w:rPr>
        <w:t xml:space="preserve">Paul. Gerda. 1971. Politics Replaces Jam. </w:t>
      </w:r>
      <w:r w:rsidRPr="0098105F">
        <w:rPr>
          <w:i/>
          <w:sz w:val="20"/>
          <w:szCs w:val="20"/>
        </w:rPr>
        <w:t xml:space="preserve">The </w:t>
      </w:r>
      <w:r w:rsidRPr="00A45760">
        <w:rPr>
          <w:i/>
          <w:sz w:val="20"/>
          <w:szCs w:val="20"/>
        </w:rPr>
        <w:t>Telegraph</w:t>
      </w:r>
      <w:r w:rsidRPr="0098105F">
        <w:rPr>
          <w:sz w:val="20"/>
          <w:szCs w:val="20"/>
        </w:rPr>
        <w:t xml:space="preserve">. </w:t>
      </w:r>
      <w:r w:rsidR="00A45760">
        <w:rPr>
          <w:sz w:val="20"/>
          <w:szCs w:val="20"/>
        </w:rPr>
        <w:t>June 1</w:t>
      </w:r>
      <w:r w:rsidRPr="0098105F">
        <w:rPr>
          <w:sz w:val="20"/>
          <w:szCs w:val="20"/>
        </w:rPr>
        <w:t>.</w:t>
      </w:r>
      <w:r w:rsidR="00A45760">
        <w:rPr>
          <w:sz w:val="20"/>
          <w:szCs w:val="20"/>
        </w:rPr>
        <w:t xml:space="preserve"> NFWI 1965-1976. </w:t>
      </w:r>
      <w:r w:rsidR="00A45760" w:rsidRPr="0032477B">
        <w:rPr>
          <w:sz w:val="20"/>
          <w:szCs w:val="20"/>
        </w:rPr>
        <w:t>2/IAW/2/B/</w:t>
      </w:r>
      <w:r w:rsidR="00A45760">
        <w:rPr>
          <w:sz w:val="20"/>
          <w:szCs w:val="20"/>
        </w:rPr>
        <w:t>39</w:t>
      </w:r>
      <w:r w:rsidR="00A45760" w:rsidRPr="0032477B">
        <w:rPr>
          <w:sz w:val="20"/>
          <w:szCs w:val="20"/>
        </w:rPr>
        <w:t xml:space="preserve">. International Alliance of Women Archive, The Women’s Library, LSE. </w:t>
      </w:r>
    </w:p>
  </w:footnote>
  <w:footnote w:id="61">
    <w:p w14:paraId="7C19E81B" w14:textId="0BFAB2E5" w:rsidR="0051200F" w:rsidRPr="0098105F" w:rsidRDefault="0051200F" w:rsidP="00357F0F">
      <w:pPr>
        <w:pStyle w:val="FootnoteText"/>
        <w:rPr>
          <w:sz w:val="20"/>
          <w:szCs w:val="20"/>
        </w:rPr>
      </w:pPr>
      <w:r w:rsidRPr="0098105F">
        <w:rPr>
          <w:rStyle w:val="FootnoteReference"/>
          <w:sz w:val="20"/>
          <w:szCs w:val="20"/>
        </w:rPr>
        <w:footnoteRef/>
      </w:r>
      <w:r w:rsidRPr="0098105F">
        <w:rPr>
          <w:sz w:val="20"/>
          <w:szCs w:val="20"/>
        </w:rPr>
        <w:t xml:space="preserve"> One motivating factor for the rule change was to attract younger members and was in response to a fall in membership of nearly 20,000 in 1969. </w:t>
      </w:r>
    </w:p>
  </w:footnote>
  <w:footnote w:id="62">
    <w:p w14:paraId="1781AC87" w14:textId="7DBBE671" w:rsidR="00A45760" w:rsidRPr="0032477B" w:rsidRDefault="0051200F" w:rsidP="00A45760">
      <w:pPr>
        <w:pStyle w:val="FootnoteText"/>
        <w:rPr>
          <w:sz w:val="20"/>
          <w:szCs w:val="20"/>
        </w:rPr>
      </w:pPr>
      <w:r w:rsidRPr="0098105F">
        <w:rPr>
          <w:rStyle w:val="FootnoteReference"/>
          <w:sz w:val="20"/>
          <w:szCs w:val="20"/>
        </w:rPr>
        <w:footnoteRef/>
      </w:r>
      <w:r w:rsidRPr="0098105F">
        <w:rPr>
          <w:sz w:val="20"/>
          <w:szCs w:val="20"/>
        </w:rPr>
        <w:t xml:space="preserve"> </w:t>
      </w:r>
      <w:r w:rsidR="00A45760">
        <w:rPr>
          <w:sz w:val="20"/>
          <w:szCs w:val="20"/>
        </w:rPr>
        <w:t xml:space="preserve">Hunter Symon, Penny. 1970. Not all Jam and Jerusalem. </w:t>
      </w:r>
      <w:r w:rsidRPr="0098105F">
        <w:rPr>
          <w:i/>
          <w:sz w:val="20"/>
          <w:szCs w:val="20"/>
        </w:rPr>
        <w:t xml:space="preserve">The </w:t>
      </w:r>
      <w:r w:rsidRPr="00A45760">
        <w:rPr>
          <w:i/>
          <w:sz w:val="20"/>
          <w:szCs w:val="20"/>
        </w:rPr>
        <w:t>Times</w:t>
      </w:r>
      <w:r w:rsidRPr="0098105F">
        <w:rPr>
          <w:sz w:val="20"/>
          <w:szCs w:val="20"/>
        </w:rPr>
        <w:t>. June</w:t>
      </w:r>
      <w:r w:rsidR="00A45760">
        <w:rPr>
          <w:sz w:val="20"/>
          <w:szCs w:val="20"/>
        </w:rPr>
        <w:t xml:space="preserve"> 1</w:t>
      </w:r>
      <w:r w:rsidRPr="0098105F">
        <w:rPr>
          <w:sz w:val="20"/>
          <w:szCs w:val="20"/>
        </w:rPr>
        <w:t xml:space="preserve">. </w:t>
      </w:r>
      <w:r w:rsidR="00A45760">
        <w:rPr>
          <w:sz w:val="20"/>
          <w:szCs w:val="20"/>
        </w:rPr>
        <w:t xml:space="preserve">NFWI 1965-1976. </w:t>
      </w:r>
      <w:r w:rsidR="00A45760" w:rsidRPr="0032477B">
        <w:rPr>
          <w:sz w:val="20"/>
          <w:szCs w:val="20"/>
        </w:rPr>
        <w:t>2/IAW/2/B/</w:t>
      </w:r>
      <w:r w:rsidR="00A45760">
        <w:rPr>
          <w:sz w:val="20"/>
          <w:szCs w:val="20"/>
        </w:rPr>
        <w:t>39</w:t>
      </w:r>
      <w:r w:rsidR="00A45760" w:rsidRPr="0032477B">
        <w:rPr>
          <w:sz w:val="20"/>
          <w:szCs w:val="20"/>
        </w:rPr>
        <w:t xml:space="preserve">. International Alliance of Women Archive, The Women’s Library, LSE. </w:t>
      </w:r>
    </w:p>
    <w:p w14:paraId="08EA5284" w14:textId="64C467BF" w:rsidR="0051200F" w:rsidRPr="0098105F" w:rsidRDefault="0051200F" w:rsidP="00357F0F">
      <w:pPr>
        <w:pStyle w:val="FootnoteText"/>
        <w:rPr>
          <w:sz w:val="20"/>
          <w:szCs w:val="20"/>
        </w:rPr>
      </w:pPr>
      <w:r w:rsidRPr="0098105F">
        <w:rPr>
          <w:sz w:val="20"/>
          <w:szCs w:val="20"/>
        </w:rPr>
        <w:t xml:space="preserve">Throughout the 1960s and 1970s the press frequently wrote about the NFWI in a </w:t>
      </w:r>
      <w:proofErr w:type="spellStart"/>
      <w:r w:rsidRPr="0098105F">
        <w:rPr>
          <w:sz w:val="20"/>
          <w:szCs w:val="20"/>
        </w:rPr>
        <w:t>patronising</w:t>
      </w:r>
      <w:proofErr w:type="spellEnd"/>
      <w:r w:rsidRPr="0098105F">
        <w:rPr>
          <w:sz w:val="20"/>
          <w:szCs w:val="20"/>
        </w:rPr>
        <w:t xml:space="preserve"> tone with much attention given to the hat wearing of members at the AGM. </w:t>
      </w:r>
    </w:p>
  </w:footnote>
  <w:footnote w:id="63">
    <w:p w14:paraId="5FA8FABE" w14:textId="4033D7B1" w:rsidR="0051200F" w:rsidRPr="00306732" w:rsidRDefault="0051200F" w:rsidP="00F73F73">
      <w:pPr>
        <w:pStyle w:val="FootnoteText"/>
        <w:rPr>
          <w:sz w:val="20"/>
          <w:szCs w:val="20"/>
        </w:rPr>
      </w:pPr>
      <w:r w:rsidRPr="00306732">
        <w:rPr>
          <w:rStyle w:val="FootnoteReference"/>
          <w:sz w:val="20"/>
          <w:szCs w:val="20"/>
        </w:rPr>
        <w:footnoteRef/>
      </w:r>
      <w:r w:rsidRPr="00306732">
        <w:rPr>
          <w:sz w:val="20"/>
          <w:szCs w:val="20"/>
        </w:rPr>
        <w:t xml:space="preserve"> Beaumont. </w:t>
      </w:r>
      <w:r w:rsidRPr="00306732">
        <w:rPr>
          <w:i/>
          <w:sz w:val="20"/>
          <w:szCs w:val="20"/>
        </w:rPr>
        <w:t>Housewives and Citizens</w:t>
      </w:r>
      <w:r w:rsidR="00023800">
        <w:rPr>
          <w:sz w:val="20"/>
          <w:szCs w:val="20"/>
        </w:rPr>
        <w:t>,</w:t>
      </w:r>
      <w:r w:rsidRPr="00306732">
        <w:rPr>
          <w:sz w:val="20"/>
          <w:szCs w:val="20"/>
        </w:rPr>
        <w:t xml:space="preserve"> 204-206.</w:t>
      </w:r>
    </w:p>
  </w:footnote>
  <w:footnote w:id="64">
    <w:p w14:paraId="75B72337" w14:textId="692B78F2" w:rsidR="0051200F" w:rsidRPr="00306732" w:rsidRDefault="0051200F">
      <w:pPr>
        <w:pStyle w:val="FootnoteText"/>
        <w:rPr>
          <w:sz w:val="20"/>
          <w:szCs w:val="20"/>
        </w:rPr>
      </w:pPr>
      <w:r w:rsidRPr="00306732">
        <w:rPr>
          <w:rStyle w:val="FootnoteReference"/>
          <w:sz w:val="20"/>
          <w:szCs w:val="20"/>
        </w:rPr>
        <w:footnoteRef/>
      </w:r>
      <w:r w:rsidRPr="00306732">
        <w:rPr>
          <w:sz w:val="20"/>
          <w:szCs w:val="20"/>
        </w:rPr>
        <w:t xml:space="preserve"> The “rediscovery of poverty” which highlighted the risk of poverty among groups such as disabled people and children, informed much of the campaigning around welfare by the NFWI during the 1960s and 1970s. On the “rediscovery of poverty” see Thane, </w:t>
      </w:r>
      <w:r w:rsidRPr="00306732">
        <w:rPr>
          <w:i/>
          <w:sz w:val="20"/>
          <w:szCs w:val="20"/>
        </w:rPr>
        <w:t>Divided Kingdom</w:t>
      </w:r>
      <w:r w:rsidR="00023800">
        <w:rPr>
          <w:sz w:val="20"/>
          <w:szCs w:val="20"/>
        </w:rPr>
        <w:t>,</w:t>
      </w:r>
      <w:r w:rsidRPr="00306732">
        <w:rPr>
          <w:sz w:val="20"/>
          <w:szCs w:val="20"/>
        </w:rPr>
        <w:t xml:space="preserve"> 268-269. </w:t>
      </w:r>
    </w:p>
  </w:footnote>
  <w:footnote w:id="65">
    <w:p w14:paraId="34A9A202" w14:textId="5B785A2A" w:rsidR="0051200F" w:rsidRPr="00306732" w:rsidRDefault="0051200F">
      <w:pPr>
        <w:pStyle w:val="FootnoteText"/>
        <w:rPr>
          <w:sz w:val="20"/>
          <w:szCs w:val="20"/>
        </w:rPr>
      </w:pPr>
      <w:r w:rsidRPr="00306732">
        <w:rPr>
          <w:rStyle w:val="FootnoteReference"/>
          <w:sz w:val="20"/>
          <w:szCs w:val="20"/>
        </w:rPr>
        <w:footnoteRef/>
      </w:r>
      <w:r w:rsidRPr="00306732">
        <w:rPr>
          <w:sz w:val="20"/>
          <w:szCs w:val="20"/>
        </w:rPr>
        <w:t xml:space="preserve"> National Federation of Women’s Institutes. 1981. </w:t>
      </w:r>
      <w:r w:rsidRPr="00306732">
        <w:rPr>
          <w:i/>
          <w:sz w:val="20"/>
          <w:szCs w:val="20"/>
        </w:rPr>
        <w:t>Keeping Ourselves Informed: our concern, our resolutions, our action.</w:t>
      </w:r>
      <w:r w:rsidRPr="00306732">
        <w:rPr>
          <w:sz w:val="20"/>
          <w:szCs w:val="20"/>
        </w:rPr>
        <w:t xml:space="preserve"> London: WI Books Ltd</w:t>
      </w:r>
      <w:r w:rsidR="00023800">
        <w:rPr>
          <w:sz w:val="20"/>
          <w:szCs w:val="20"/>
        </w:rPr>
        <w:t>,</w:t>
      </w:r>
      <w:r w:rsidRPr="00306732">
        <w:rPr>
          <w:sz w:val="20"/>
          <w:szCs w:val="20"/>
        </w:rPr>
        <w:t xml:space="preserve"> 153. </w:t>
      </w:r>
      <w:r w:rsidR="00A45760">
        <w:rPr>
          <w:sz w:val="20"/>
          <w:szCs w:val="20"/>
        </w:rPr>
        <w:t>The British Library.</w:t>
      </w:r>
    </w:p>
  </w:footnote>
  <w:footnote w:id="66">
    <w:p w14:paraId="0ED92D98" w14:textId="6E0CB72C" w:rsidR="0051200F" w:rsidRPr="00306732" w:rsidRDefault="0051200F">
      <w:pPr>
        <w:pStyle w:val="FootnoteText"/>
        <w:rPr>
          <w:sz w:val="20"/>
          <w:szCs w:val="20"/>
        </w:rPr>
      </w:pPr>
      <w:r w:rsidRPr="00306732">
        <w:rPr>
          <w:rStyle w:val="FootnoteReference"/>
          <w:sz w:val="20"/>
          <w:szCs w:val="20"/>
        </w:rPr>
        <w:footnoteRef/>
      </w:r>
      <w:r w:rsidRPr="00306732">
        <w:rPr>
          <w:sz w:val="20"/>
          <w:szCs w:val="20"/>
        </w:rPr>
        <w:t xml:space="preserve"> </w:t>
      </w:r>
      <w:r w:rsidR="00AB102A">
        <w:rPr>
          <w:sz w:val="20"/>
          <w:szCs w:val="20"/>
        </w:rPr>
        <w:t>i</w:t>
      </w:r>
      <w:r w:rsidRPr="00306732">
        <w:rPr>
          <w:sz w:val="20"/>
          <w:szCs w:val="20"/>
        </w:rPr>
        <w:t>bid.</w:t>
      </w:r>
    </w:p>
  </w:footnote>
  <w:footnote w:id="67">
    <w:p w14:paraId="58BE7B24" w14:textId="34C4A720" w:rsidR="0051200F" w:rsidRPr="000301B5" w:rsidRDefault="0051200F">
      <w:pPr>
        <w:pStyle w:val="FootnoteText"/>
        <w:rPr>
          <w:sz w:val="20"/>
          <w:szCs w:val="20"/>
        </w:rPr>
      </w:pPr>
      <w:r w:rsidRPr="000301B5">
        <w:rPr>
          <w:rStyle w:val="FootnoteReference"/>
          <w:sz w:val="20"/>
          <w:szCs w:val="20"/>
        </w:rPr>
        <w:footnoteRef/>
      </w:r>
      <w:r w:rsidRPr="000301B5">
        <w:rPr>
          <w:sz w:val="20"/>
          <w:szCs w:val="20"/>
        </w:rPr>
        <w:t xml:space="preserve"> </w:t>
      </w:r>
      <w:r w:rsidRPr="000301B5">
        <w:rPr>
          <w:i/>
          <w:sz w:val="20"/>
          <w:szCs w:val="20"/>
        </w:rPr>
        <w:t>NFWI Sub Committee Bulletin</w:t>
      </w:r>
      <w:r w:rsidRPr="000301B5">
        <w:rPr>
          <w:sz w:val="20"/>
          <w:szCs w:val="20"/>
        </w:rPr>
        <w:t>. No. 5 April 1973</w:t>
      </w:r>
      <w:r w:rsidR="00023800">
        <w:rPr>
          <w:sz w:val="20"/>
          <w:szCs w:val="20"/>
        </w:rPr>
        <w:t>,</w:t>
      </w:r>
      <w:r w:rsidRPr="000301B5">
        <w:rPr>
          <w:sz w:val="20"/>
          <w:szCs w:val="20"/>
        </w:rPr>
        <w:t xml:space="preserve"> 6. Public Affairs Sub-Committee Bulletins (1972 –1975), 5FWI/D/1/1/3. NFWI Archive. The Women’s Library, London School of Economics (LSE). For </w:t>
      </w:r>
      <w:r w:rsidR="00A45760" w:rsidRPr="000301B5">
        <w:rPr>
          <w:sz w:val="20"/>
          <w:szCs w:val="20"/>
        </w:rPr>
        <w:t>example,</w:t>
      </w:r>
      <w:r w:rsidRPr="000301B5">
        <w:rPr>
          <w:sz w:val="20"/>
          <w:szCs w:val="20"/>
        </w:rPr>
        <w:t xml:space="preserve"> in 1973 a NFWI representative was invited to sit on Royal Commission on Civil Liability and Compensation for Personal Injury. </w:t>
      </w:r>
    </w:p>
  </w:footnote>
  <w:footnote w:id="68">
    <w:p w14:paraId="780B970B" w14:textId="0AD9DE92" w:rsidR="0051200F" w:rsidRPr="000301B5" w:rsidRDefault="0051200F" w:rsidP="00357F0F">
      <w:pPr>
        <w:pStyle w:val="FootnoteText"/>
        <w:rPr>
          <w:sz w:val="20"/>
          <w:szCs w:val="20"/>
        </w:rPr>
      </w:pPr>
      <w:r w:rsidRPr="000301B5">
        <w:rPr>
          <w:rStyle w:val="FootnoteReference"/>
          <w:sz w:val="20"/>
          <w:szCs w:val="20"/>
        </w:rPr>
        <w:footnoteRef/>
      </w:r>
      <w:r w:rsidRPr="000301B5">
        <w:rPr>
          <w:sz w:val="20"/>
          <w:szCs w:val="20"/>
        </w:rPr>
        <w:t xml:space="preserve"> NFWI Pamphlet. 1972. National Federation of Women’s Institutes 1967-1979. 2/IAW/2/B/38, International Alliance of Women Archive, The Women’s Library, LSE. </w:t>
      </w:r>
    </w:p>
  </w:footnote>
  <w:footnote w:id="69">
    <w:p w14:paraId="72A36E7B" w14:textId="1CB28AB2" w:rsidR="0051200F" w:rsidRPr="000301B5" w:rsidRDefault="0051200F">
      <w:pPr>
        <w:pStyle w:val="FootnoteText"/>
        <w:rPr>
          <w:sz w:val="20"/>
          <w:szCs w:val="20"/>
        </w:rPr>
      </w:pPr>
      <w:r w:rsidRPr="000301B5">
        <w:rPr>
          <w:rStyle w:val="FootnoteReference"/>
          <w:sz w:val="20"/>
          <w:szCs w:val="20"/>
        </w:rPr>
        <w:footnoteRef/>
      </w:r>
      <w:r w:rsidRPr="000301B5">
        <w:rPr>
          <w:sz w:val="20"/>
          <w:szCs w:val="20"/>
        </w:rPr>
        <w:t xml:space="preserve"> Public Affairs Sub-Committee Minutes, 12 April 1973</w:t>
      </w:r>
      <w:r w:rsidR="00023800">
        <w:rPr>
          <w:sz w:val="20"/>
          <w:szCs w:val="20"/>
        </w:rPr>
        <w:t>,</w:t>
      </w:r>
      <w:r w:rsidRPr="000301B5">
        <w:rPr>
          <w:sz w:val="20"/>
          <w:szCs w:val="20"/>
        </w:rPr>
        <w:t xml:space="preserve"> 3. Public Affairs Sub-Committee Minutes (1973-1979), 5/FWI/D/1/1/1. NFWI Archive. The Women’s Library, LSE. </w:t>
      </w:r>
    </w:p>
  </w:footnote>
  <w:footnote w:id="70">
    <w:p w14:paraId="3E65647D" w14:textId="21F20B3F" w:rsidR="0051200F" w:rsidRPr="00156EC9" w:rsidRDefault="0051200F">
      <w:pPr>
        <w:pStyle w:val="FootnoteText"/>
        <w:rPr>
          <w:sz w:val="20"/>
          <w:szCs w:val="20"/>
        </w:rPr>
      </w:pPr>
      <w:r w:rsidRPr="00156EC9">
        <w:rPr>
          <w:rStyle w:val="FootnoteReference"/>
          <w:sz w:val="20"/>
          <w:szCs w:val="20"/>
        </w:rPr>
        <w:footnoteRef/>
      </w:r>
      <w:r w:rsidRPr="00156EC9">
        <w:rPr>
          <w:sz w:val="20"/>
          <w:szCs w:val="20"/>
        </w:rPr>
        <w:t xml:space="preserve"> Thane, </w:t>
      </w:r>
      <w:r w:rsidRPr="00156EC9">
        <w:rPr>
          <w:i/>
          <w:sz w:val="20"/>
          <w:szCs w:val="20"/>
        </w:rPr>
        <w:t>Divided Kingdom</w:t>
      </w:r>
      <w:r w:rsidR="00023800">
        <w:rPr>
          <w:sz w:val="20"/>
          <w:szCs w:val="20"/>
        </w:rPr>
        <w:t>,</w:t>
      </w:r>
      <w:r w:rsidRPr="00156EC9">
        <w:rPr>
          <w:sz w:val="20"/>
          <w:szCs w:val="20"/>
        </w:rPr>
        <w:t xml:space="preserve"> 197.</w:t>
      </w:r>
    </w:p>
  </w:footnote>
  <w:footnote w:id="71">
    <w:p w14:paraId="6DF39A98" w14:textId="4E75C11B" w:rsidR="0051200F" w:rsidRPr="00156EC9" w:rsidRDefault="0051200F">
      <w:pPr>
        <w:pStyle w:val="FootnoteText"/>
        <w:rPr>
          <w:sz w:val="20"/>
          <w:szCs w:val="20"/>
        </w:rPr>
      </w:pPr>
      <w:r w:rsidRPr="00156EC9">
        <w:rPr>
          <w:rStyle w:val="FootnoteReference"/>
          <w:sz w:val="20"/>
          <w:szCs w:val="20"/>
        </w:rPr>
        <w:footnoteRef/>
      </w:r>
      <w:r w:rsidRPr="00156EC9">
        <w:rPr>
          <w:sz w:val="20"/>
          <w:szCs w:val="20"/>
        </w:rPr>
        <w:t xml:space="preserve"> National Federation of Women’s Institutes. </w:t>
      </w:r>
      <w:r w:rsidRPr="00156EC9">
        <w:rPr>
          <w:i/>
          <w:sz w:val="20"/>
          <w:szCs w:val="20"/>
        </w:rPr>
        <w:t>Keeping Ourselves Informed</w:t>
      </w:r>
      <w:r w:rsidR="00023800">
        <w:rPr>
          <w:i/>
          <w:sz w:val="20"/>
          <w:szCs w:val="20"/>
        </w:rPr>
        <w:t>,</w:t>
      </w:r>
      <w:r w:rsidRPr="00156EC9">
        <w:rPr>
          <w:i/>
          <w:sz w:val="20"/>
          <w:szCs w:val="20"/>
        </w:rPr>
        <w:t xml:space="preserve"> </w:t>
      </w:r>
      <w:r w:rsidRPr="00156EC9">
        <w:rPr>
          <w:sz w:val="20"/>
          <w:szCs w:val="20"/>
        </w:rPr>
        <w:t>66.</w:t>
      </w:r>
    </w:p>
  </w:footnote>
  <w:footnote w:id="72">
    <w:p w14:paraId="43DC3F80" w14:textId="2A7A90FC" w:rsidR="0051200F" w:rsidRPr="00156EC9" w:rsidRDefault="0051200F">
      <w:pPr>
        <w:pStyle w:val="FootnoteText"/>
        <w:rPr>
          <w:sz w:val="20"/>
          <w:szCs w:val="20"/>
        </w:rPr>
      </w:pPr>
      <w:r w:rsidRPr="00156EC9">
        <w:rPr>
          <w:rStyle w:val="FootnoteReference"/>
          <w:sz w:val="20"/>
          <w:szCs w:val="20"/>
        </w:rPr>
        <w:footnoteRef/>
      </w:r>
      <w:r w:rsidRPr="00156EC9">
        <w:rPr>
          <w:sz w:val="20"/>
          <w:szCs w:val="20"/>
        </w:rPr>
        <w:t xml:space="preserve"> </w:t>
      </w:r>
      <w:r w:rsidR="00AB102A">
        <w:rPr>
          <w:sz w:val="20"/>
          <w:szCs w:val="20"/>
        </w:rPr>
        <w:t>i</w:t>
      </w:r>
      <w:r w:rsidRPr="00156EC9">
        <w:rPr>
          <w:sz w:val="20"/>
          <w:szCs w:val="20"/>
        </w:rPr>
        <w:t xml:space="preserve">bid. </w:t>
      </w:r>
    </w:p>
  </w:footnote>
  <w:footnote w:id="73">
    <w:p w14:paraId="413190CD" w14:textId="42E26878" w:rsidR="0051200F" w:rsidRPr="00156EC9" w:rsidRDefault="0051200F">
      <w:pPr>
        <w:pStyle w:val="FootnoteText"/>
        <w:rPr>
          <w:sz w:val="20"/>
          <w:szCs w:val="20"/>
        </w:rPr>
      </w:pPr>
      <w:r w:rsidRPr="00156EC9">
        <w:rPr>
          <w:rStyle w:val="FootnoteReference"/>
          <w:sz w:val="20"/>
          <w:szCs w:val="20"/>
        </w:rPr>
        <w:footnoteRef/>
      </w:r>
      <w:r w:rsidRPr="00156EC9">
        <w:rPr>
          <w:sz w:val="20"/>
          <w:szCs w:val="20"/>
        </w:rPr>
        <w:t xml:space="preserve"> </w:t>
      </w:r>
      <w:r w:rsidR="00AB102A">
        <w:rPr>
          <w:sz w:val="20"/>
          <w:szCs w:val="20"/>
        </w:rPr>
        <w:t>i</w:t>
      </w:r>
      <w:r w:rsidRPr="00156EC9">
        <w:rPr>
          <w:sz w:val="20"/>
          <w:szCs w:val="20"/>
        </w:rPr>
        <w:t>bid. 70.</w:t>
      </w:r>
    </w:p>
  </w:footnote>
  <w:footnote w:id="74">
    <w:p w14:paraId="3F1F71A2" w14:textId="7B49AB33" w:rsidR="0051200F" w:rsidRPr="00285223" w:rsidRDefault="0051200F">
      <w:pPr>
        <w:pStyle w:val="FootnoteText"/>
        <w:rPr>
          <w:sz w:val="20"/>
          <w:szCs w:val="20"/>
        </w:rPr>
      </w:pPr>
      <w:r w:rsidRPr="00156EC9">
        <w:rPr>
          <w:rStyle w:val="FootnoteReference"/>
          <w:sz w:val="20"/>
          <w:szCs w:val="20"/>
        </w:rPr>
        <w:footnoteRef/>
      </w:r>
      <w:r w:rsidRPr="00156EC9">
        <w:rPr>
          <w:sz w:val="20"/>
          <w:szCs w:val="20"/>
        </w:rPr>
        <w:t xml:space="preserve"> Merz, Caroline. 1988. </w:t>
      </w:r>
      <w:r w:rsidRPr="00156EC9">
        <w:rPr>
          <w:i/>
          <w:sz w:val="20"/>
          <w:szCs w:val="20"/>
        </w:rPr>
        <w:t>After the Vote: The Story of the National Union of Townswomen’s Guilds in the Year of its Diamond Jubilee 1929-1989</w:t>
      </w:r>
      <w:r w:rsidRPr="00156EC9">
        <w:rPr>
          <w:sz w:val="20"/>
          <w:szCs w:val="20"/>
        </w:rPr>
        <w:t>. Norwich: National Union of Townswomen’s Guilds</w:t>
      </w:r>
      <w:r w:rsidR="00023800">
        <w:rPr>
          <w:sz w:val="20"/>
          <w:szCs w:val="20"/>
        </w:rPr>
        <w:t>,</w:t>
      </w:r>
      <w:r w:rsidRPr="00156EC9">
        <w:rPr>
          <w:sz w:val="20"/>
          <w:szCs w:val="20"/>
        </w:rPr>
        <w:t xml:space="preserve"> 47</w:t>
      </w:r>
      <w:r w:rsidRPr="00285223">
        <w:rPr>
          <w:sz w:val="20"/>
          <w:szCs w:val="20"/>
        </w:rPr>
        <w:t>.</w:t>
      </w:r>
    </w:p>
  </w:footnote>
  <w:footnote w:id="75">
    <w:p w14:paraId="688E2733" w14:textId="31C1FE76" w:rsidR="0051200F" w:rsidRPr="00285223" w:rsidRDefault="0051200F">
      <w:pPr>
        <w:pStyle w:val="FootnoteText"/>
        <w:rPr>
          <w:sz w:val="20"/>
          <w:szCs w:val="20"/>
        </w:rPr>
      </w:pPr>
      <w:r w:rsidRPr="00285223">
        <w:rPr>
          <w:rStyle w:val="FootnoteReference"/>
          <w:sz w:val="20"/>
          <w:szCs w:val="20"/>
        </w:rPr>
        <w:footnoteRef/>
      </w:r>
      <w:r w:rsidRPr="00285223">
        <w:rPr>
          <w:sz w:val="20"/>
          <w:szCs w:val="20"/>
        </w:rPr>
        <w:t xml:space="preserve"> The </w:t>
      </w:r>
      <w:r w:rsidRPr="00285223">
        <w:rPr>
          <w:rFonts w:cs="Arial"/>
          <w:sz w:val="20"/>
          <w:szCs w:val="20"/>
        </w:rPr>
        <w:t xml:space="preserve">Women’s National Cancer Control Campaign was established in March 1965 emerging out of a local Stoke Newington Cervical Cancer Prevention Campaign (1963). </w:t>
      </w:r>
    </w:p>
  </w:footnote>
  <w:footnote w:id="76">
    <w:p w14:paraId="1C040F90" w14:textId="4D764C03" w:rsidR="0051200F" w:rsidRPr="00285223" w:rsidRDefault="0051200F">
      <w:pPr>
        <w:pStyle w:val="FootnoteText"/>
        <w:rPr>
          <w:sz w:val="20"/>
          <w:szCs w:val="20"/>
        </w:rPr>
      </w:pPr>
      <w:r w:rsidRPr="00285223">
        <w:rPr>
          <w:rStyle w:val="FootnoteReference"/>
          <w:sz w:val="20"/>
          <w:szCs w:val="20"/>
        </w:rPr>
        <w:footnoteRef/>
      </w:r>
      <w:r w:rsidRPr="00285223">
        <w:rPr>
          <w:sz w:val="20"/>
          <w:szCs w:val="20"/>
        </w:rPr>
        <w:t xml:space="preserve"> Public Affairs Sub-</w:t>
      </w:r>
      <w:r w:rsidR="00023800">
        <w:rPr>
          <w:sz w:val="20"/>
          <w:szCs w:val="20"/>
        </w:rPr>
        <w:t>C</w:t>
      </w:r>
      <w:r w:rsidRPr="00285223">
        <w:rPr>
          <w:sz w:val="20"/>
          <w:szCs w:val="20"/>
        </w:rPr>
        <w:t>ommittee Minutes, 6 December 1973</w:t>
      </w:r>
      <w:r w:rsidR="00023800">
        <w:rPr>
          <w:sz w:val="20"/>
          <w:szCs w:val="20"/>
        </w:rPr>
        <w:t>,</w:t>
      </w:r>
      <w:r w:rsidRPr="00285223">
        <w:rPr>
          <w:sz w:val="20"/>
          <w:szCs w:val="20"/>
        </w:rPr>
        <w:t xml:space="preserve"> 1. Public Affairs Sub-Committee Minutes (1973-1979), 5/FWI/D/1/1/1. NFWI Archive. The Women’s Library, LSE. </w:t>
      </w:r>
    </w:p>
  </w:footnote>
  <w:footnote w:id="77">
    <w:p w14:paraId="37D3909E" w14:textId="297D7ECC" w:rsidR="0051200F" w:rsidRPr="0032477B" w:rsidRDefault="0051200F" w:rsidP="000E0B19">
      <w:pPr>
        <w:pStyle w:val="FootnoteText"/>
        <w:rPr>
          <w:sz w:val="20"/>
          <w:szCs w:val="20"/>
        </w:rPr>
      </w:pPr>
      <w:r w:rsidRPr="0032477B">
        <w:rPr>
          <w:rStyle w:val="FootnoteReference"/>
          <w:sz w:val="20"/>
          <w:szCs w:val="20"/>
        </w:rPr>
        <w:footnoteRef/>
      </w:r>
      <w:r w:rsidRPr="0032477B">
        <w:rPr>
          <w:sz w:val="20"/>
          <w:szCs w:val="20"/>
        </w:rPr>
        <w:t xml:space="preserve"> </w:t>
      </w:r>
      <w:r w:rsidR="005075CE">
        <w:rPr>
          <w:sz w:val="20"/>
          <w:szCs w:val="20"/>
        </w:rPr>
        <w:t xml:space="preserve">Batty Shaw, Patricia. 1980. A message from the National Chairman. </w:t>
      </w:r>
      <w:r w:rsidRPr="0032477B">
        <w:rPr>
          <w:i/>
          <w:sz w:val="20"/>
          <w:szCs w:val="20"/>
        </w:rPr>
        <w:t xml:space="preserve">Home </w:t>
      </w:r>
      <w:r w:rsidRPr="005075CE">
        <w:rPr>
          <w:i/>
          <w:sz w:val="20"/>
          <w:szCs w:val="20"/>
        </w:rPr>
        <w:t>and</w:t>
      </w:r>
      <w:r w:rsidRPr="0032477B">
        <w:rPr>
          <w:i/>
          <w:sz w:val="20"/>
          <w:szCs w:val="20"/>
        </w:rPr>
        <w:t xml:space="preserve"> Country</w:t>
      </w:r>
      <w:r w:rsidRPr="0032477B">
        <w:rPr>
          <w:sz w:val="20"/>
          <w:szCs w:val="20"/>
        </w:rPr>
        <w:t>. November</w:t>
      </w:r>
      <w:r w:rsidR="005075CE">
        <w:rPr>
          <w:sz w:val="20"/>
          <w:szCs w:val="20"/>
        </w:rPr>
        <w:t>:</w:t>
      </w:r>
      <w:r w:rsidRPr="0032477B">
        <w:rPr>
          <w:sz w:val="20"/>
          <w:szCs w:val="20"/>
        </w:rPr>
        <w:t xml:space="preserve"> 554.</w:t>
      </w:r>
      <w:r w:rsidR="005075CE">
        <w:rPr>
          <w:sz w:val="20"/>
          <w:szCs w:val="20"/>
        </w:rPr>
        <w:t xml:space="preserve"> The British Library. </w:t>
      </w:r>
    </w:p>
  </w:footnote>
  <w:footnote w:id="78">
    <w:p w14:paraId="3ACD466E" w14:textId="0963527B" w:rsidR="0051200F" w:rsidRPr="0032477B" w:rsidRDefault="0051200F">
      <w:pPr>
        <w:pStyle w:val="FootnoteText"/>
        <w:rPr>
          <w:sz w:val="20"/>
          <w:szCs w:val="20"/>
        </w:rPr>
      </w:pPr>
      <w:r w:rsidRPr="0032477B">
        <w:rPr>
          <w:rStyle w:val="FootnoteReference"/>
          <w:sz w:val="20"/>
          <w:szCs w:val="20"/>
        </w:rPr>
        <w:footnoteRef/>
      </w:r>
      <w:r w:rsidRPr="0032477B">
        <w:rPr>
          <w:sz w:val="20"/>
          <w:szCs w:val="20"/>
        </w:rPr>
        <w:t xml:space="preserve"> The National Union of Townswomen’s Guilds. Publicity Flyer. c. 1975. NUTG 1974-1980. 2/IAW/2/B/44. International Alliance of Women Archive, The Women’s Library, LSE. </w:t>
      </w:r>
    </w:p>
  </w:footnote>
  <w:footnote w:id="79">
    <w:p w14:paraId="460CC562" w14:textId="75648EED" w:rsidR="0051200F" w:rsidRPr="0032477B" w:rsidRDefault="0051200F">
      <w:pPr>
        <w:pStyle w:val="FootnoteText"/>
        <w:rPr>
          <w:sz w:val="20"/>
          <w:szCs w:val="20"/>
        </w:rPr>
      </w:pPr>
      <w:r w:rsidRPr="0032477B">
        <w:rPr>
          <w:rStyle w:val="FootnoteReference"/>
          <w:sz w:val="20"/>
          <w:szCs w:val="20"/>
        </w:rPr>
        <w:footnoteRef/>
      </w:r>
      <w:r w:rsidRPr="0032477B">
        <w:rPr>
          <w:sz w:val="20"/>
          <w:szCs w:val="20"/>
        </w:rPr>
        <w:t xml:space="preserve"> The National Union of Townswomen’s Guilds. What Are Townswomen’s Guilds. 1976. NUTG 1974-1980. 2/IAW/2/B/44. International Alliance of Women Archive, The Women’s Library, LSE. </w:t>
      </w:r>
    </w:p>
  </w:footnote>
  <w:footnote w:id="80">
    <w:p w14:paraId="45542628" w14:textId="6354C2D9" w:rsidR="0051200F" w:rsidRPr="0032477B" w:rsidRDefault="0051200F">
      <w:pPr>
        <w:pStyle w:val="FootnoteText"/>
        <w:rPr>
          <w:sz w:val="20"/>
          <w:szCs w:val="20"/>
        </w:rPr>
      </w:pPr>
      <w:r w:rsidRPr="0032477B">
        <w:rPr>
          <w:rStyle w:val="FootnoteReference"/>
          <w:sz w:val="20"/>
          <w:szCs w:val="20"/>
        </w:rPr>
        <w:footnoteRef/>
      </w:r>
      <w:r w:rsidRPr="0032477B">
        <w:rPr>
          <w:sz w:val="20"/>
          <w:szCs w:val="20"/>
        </w:rPr>
        <w:t xml:space="preserve"> </w:t>
      </w:r>
      <w:r w:rsidR="000939E2">
        <w:rPr>
          <w:sz w:val="20"/>
          <w:szCs w:val="20"/>
        </w:rPr>
        <w:t xml:space="preserve">Anon. 1975. Abortion (Amendment Bill). </w:t>
      </w:r>
      <w:r w:rsidRPr="0032477B">
        <w:rPr>
          <w:i/>
          <w:sz w:val="20"/>
          <w:szCs w:val="20"/>
        </w:rPr>
        <w:t xml:space="preserve">The </w:t>
      </w:r>
      <w:r w:rsidRPr="000939E2">
        <w:rPr>
          <w:i/>
          <w:sz w:val="20"/>
          <w:szCs w:val="20"/>
        </w:rPr>
        <w:t>Townswoman</w:t>
      </w:r>
      <w:r w:rsidRPr="0032477B">
        <w:rPr>
          <w:sz w:val="20"/>
          <w:szCs w:val="20"/>
        </w:rPr>
        <w:t>. September</w:t>
      </w:r>
      <w:r w:rsidR="000939E2">
        <w:rPr>
          <w:sz w:val="20"/>
          <w:szCs w:val="20"/>
        </w:rPr>
        <w:t>:</w:t>
      </w:r>
      <w:r w:rsidRPr="0032477B">
        <w:rPr>
          <w:sz w:val="20"/>
          <w:szCs w:val="20"/>
        </w:rPr>
        <w:t xml:space="preserve"> 262.</w:t>
      </w:r>
    </w:p>
  </w:footnote>
  <w:footnote w:id="81">
    <w:p w14:paraId="644083D6" w14:textId="5BC78C32" w:rsidR="0051200F" w:rsidRPr="001248EF" w:rsidRDefault="0051200F">
      <w:pPr>
        <w:pStyle w:val="FootnoteText"/>
        <w:rPr>
          <w:sz w:val="20"/>
          <w:szCs w:val="20"/>
        </w:rPr>
      </w:pPr>
      <w:r w:rsidRPr="001248EF">
        <w:rPr>
          <w:rStyle w:val="FootnoteReference"/>
          <w:sz w:val="20"/>
          <w:szCs w:val="20"/>
        </w:rPr>
        <w:footnoteRef/>
      </w:r>
      <w:r w:rsidRPr="001248EF">
        <w:rPr>
          <w:sz w:val="20"/>
          <w:szCs w:val="20"/>
        </w:rPr>
        <w:t xml:space="preserve"> Merz, </w:t>
      </w:r>
      <w:r w:rsidRPr="001248EF">
        <w:rPr>
          <w:i/>
          <w:sz w:val="20"/>
          <w:szCs w:val="20"/>
        </w:rPr>
        <w:t>After the Vote</w:t>
      </w:r>
      <w:r w:rsidR="001A1A58">
        <w:rPr>
          <w:i/>
          <w:sz w:val="20"/>
          <w:szCs w:val="20"/>
        </w:rPr>
        <w:t>,</w:t>
      </w:r>
      <w:r w:rsidRPr="001248EF">
        <w:rPr>
          <w:i/>
          <w:sz w:val="20"/>
          <w:szCs w:val="20"/>
        </w:rPr>
        <w:t xml:space="preserve"> </w:t>
      </w:r>
      <w:r w:rsidRPr="001248EF">
        <w:rPr>
          <w:sz w:val="20"/>
          <w:szCs w:val="20"/>
        </w:rPr>
        <w:t>47.</w:t>
      </w:r>
    </w:p>
  </w:footnote>
  <w:footnote w:id="82">
    <w:p w14:paraId="58C3C498" w14:textId="4886B4A9" w:rsidR="0051200F" w:rsidRPr="001248EF" w:rsidRDefault="0051200F">
      <w:pPr>
        <w:pStyle w:val="FootnoteText"/>
        <w:rPr>
          <w:sz w:val="20"/>
          <w:szCs w:val="20"/>
        </w:rPr>
      </w:pPr>
      <w:r w:rsidRPr="001248EF">
        <w:rPr>
          <w:rStyle w:val="FootnoteReference"/>
          <w:sz w:val="20"/>
          <w:szCs w:val="20"/>
        </w:rPr>
        <w:footnoteRef/>
      </w:r>
      <w:r w:rsidRPr="001248EF">
        <w:rPr>
          <w:sz w:val="20"/>
          <w:szCs w:val="20"/>
        </w:rPr>
        <w:t xml:space="preserve"> </w:t>
      </w:r>
      <w:r w:rsidR="000939E2">
        <w:rPr>
          <w:sz w:val="20"/>
          <w:szCs w:val="20"/>
        </w:rPr>
        <w:t xml:space="preserve">Anon. 1975. Abortion (Amendment Bill). </w:t>
      </w:r>
      <w:r w:rsidR="000939E2" w:rsidRPr="0032477B">
        <w:rPr>
          <w:i/>
          <w:sz w:val="20"/>
          <w:szCs w:val="20"/>
        </w:rPr>
        <w:t xml:space="preserve">The </w:t>
      </w:r>
      <w:r w:rsidR="000939E2" w:rsidRPr="000939E2">
        <w:rPr>
          <w:i/>
          <w:sz w:val="20"/>
          <w:szCs w:val="20"/>
        </w:rPr>
        <w:t>Townswoman</w:t>
      </w:r>
      <w:r w:rsidR="000939E2" w:rsidRPr="0032477B">
        <w:rPr>
          <w:sz w:val="20"/>
          <w:szCs w:val="20"/>
        </w:rPr>
        <w:t>. September</w:t>
      </w:r>
      <w:r w:rsidR="000939E2">
        <w:rPr>
          <w:sz w:val="20"/>
          <w:szCs w:val="20"/>
        </w:rPr>
        <w:t>:</w:t>
      </w:r>
      <w:r w:rsidR="000939E2" w:rsidRPr="0032477B">
        <w:rPr>
          <w:sz w:val="20"/>
          <w:szCs w:val="20"/>
        </w:rPr>
        <w:t xml:space="preserve"> 262.</w:t>
      </w:r>
    </w:p>
  </w:footnote>
  <w:footnote w:id="83">
    <w:p w14:paraId="7880CC87" w14:textId="53664006" w:rsidR="0051200F" w:rsidRPr="001248EF" w:rsidRDefault="0051200F">
      <w:pPr>
        <w:pStyle w:val="FootnoteText"/>
        <w:rPr>
          <w:sz w:val="20"/>
          <w:szCs w:val="20"/>
        </w:rPr>
      </w:pPr>
      <w:r w:rsidRPr="001248EF">
        <w:rPr>
          <w:rStyle w:val="FootnoteReference"/>
          <w:sz w:val="20"/>
          <w:szCs w:val="20"/>
        </w:rPr>
        <w:footnoteRef/>
      </w:r>
      <w:r w:rsidRPr="001248EF">
        <w:rPr>
          <w:sz w:val="20"/>
          <w:szCs w:val="20"/>
        </w:rPr>
        <w:t xml:space="preserve"> In June 1975 the NFWI called on local authorities to provide alternative accommodation for battered women and their children in every county. In 1980 the movement noted with approval an annual government grant to the National Women’s Aid Federation, alongside financial assistance by local authorities to expand refuge provision. National Federation of Women’s Institutes. </w:t>
      </w:r>
      <w:r w:rsidRPr="001248EF">
        <w:rPr>
          <w:i/>
          <w:sz w:val="20"/>
          <w:szCs w:val="20"/>
        </w:rPr>
        <w:t>Keeping Ourselves Informed</w:t>
      </w:r>
      <w:r w:rsidR="001A1A58">
        <w:rPr>
          <w:i/>
          <w:sz w:val="20"/>
          <w:szCs w:val="20"/>
        </w:rPr>
        <w:t>,</w:t>
      </w:r>
      <w:r w:rsidRPr="001248EF">
        <w:rPr>
          <w:i/>
          <w:sz w:val="20"/>
          <w:szCs w:val="20"/>
        </w:rPr>
        <w:t xml:space="preserve"> </w:t>
      </w:r>
      <w:r w:rsidRPr="001248EF">
        <w:rPr>
          <w:sz w:val="20"/>
          <w:szCs w:val="20"/>
        </w:rPr>
        <w:t>119.</w:t>
      </w:r>
    </w:p>
  </w:footnote>
  <w:footnote w:id="84">
    <w:p w14:paraId="21FA600D" w14:textId="47A3CB42" w:rsidR="0051200F" w:rsidRPr="001248EF" w:rsidRDefault="0051200F">
      <w:pPr>
        <w:pStyle w:val="FootnoteText"/>
        <w:rPr>
          <w:sz w:val="20"/>
          <w:szCs w:val="20"/>
        </w:rPr>
      </w:pPr>
      <w:r w:rsidRPr="001248EF">
        <w:rPr>
          <w:rStyle w:val="FootnoteReference"/>
          <w:sz w:val="20"/>
          <w:szCs w:val="20"/>
        </w:rPr>
        <w:footnoteRef/>
      </w:r>
      <w:r w:rsidRPr="001248EF">
        <w:rPr>
          <w:sz w:val="20"/>
          <w:szCs w:val="20"/>
        </w:rPr>
        <w:t xml:space="preserve"> </w:t>
      </w:r>
      <w:r w:rsidR="000939E2">
        <w:rPr>
          <w:sz w:val="20"/>
          <w:szCs w:val="20"/>
        </w:rPr>
        <w:t xml:space="preserve">Anon.1975. Public Questions Motions. </w:t>
      </w:r>
      <w:r w:rsidRPr="001248EF">
        <w:rPr>
          <w:i/>
          <w:sz w:val="20"/>
          <w:szCs w:val="20"/>
        </w:rPr>
        <w:t xml:space="preserve">The </w:t>
      </w:r>
      <w:r w:rsidRPr="000939E2">
        <w:rPr>
          <w:i/>
          <w:sz w:val="20"/>
          <w:szCs w:val="20"/>
        </w:rPr>
        <w:t>Townswoman</w:t>
      </w:r>
      <w:r w:rsidRPr="001248EF">
        <w:rPr>
          <w:sz w:val="20"/>
          <w:szCs w:val="20"/>
        </w:rPr>
        <w:t>. April</w:t>
      </w:r>
      <w:r w:rsidR="000939E2">
        <w:rPr>
          <w:sz w:val="20"/>
          <w:szCs w:val="20"/>
        </w:rPr>
        <w:t>:</w:t>
      </w:r>
      <w:r w:rsidRPr="001248EF">
        <w:rPr>
          <w:sz w:val="20"/>
          <w:szCs w:val="20"/>
        </w:rPr>
        <w:t xml:space="preserve"> 119.</w:t>
      </w:r>
    </w:p>
  </w:footnote>
  <w:footnote w:id="85">
    <w:p w14:paraId="283021EE" w14:textId="71B9856E" w:rsidR="0051200F" w:rsidRPr="001248EF" w:rsidRDefault="0051200F">
      <w:pPr>
        <w:pStyle w:val="FootnoteText"/>
        <w:rPr>
          <w:sz w:val="20"/>
          <w:szCs w:val="20"/>
        </w:rPr>
      </w:pPr>
      <w:r w:rsidRPr="001248EF">
        <w:rPr>
          <w:rStyle w:val="FootnoteReference"/>
          <w:sz w:val="20"/>
          <w:szCs w:val="20"/>
        </w:rPr>
        <w:footnoteRef/>
      </w:r>
      <w:r w:rsidRPr="001248EF">
        <w:rPr>
          <w:sz w:val="20"/>
          <w:szCs w:val="20"/>
        </w:rPr>
        <w:t xml:space="preserve"> </w:t>
      </w:r>
      <w:r w:rsidR="000939E2">
        <w:rPr>
          <w:sz w:val="20"/>
          <w:szCs w:val="20"/>
        </w:rPr>
        <w:t xml:space="preserve">Anon.1975. Battered wives and a hungry world. </w:t>
      </w:r>
      <w:r w:rsidRPr="001248EF">
        <w:rPr>
          <w:i/>
          <w:sz w:val="20"/>
          <w:szCs w:val="20"/>
        </w:rPr>
        <w:t xml:space="preserve">The </w:t>
      </w:r>
      <w:r w:rsidRPr="000939E2">
        <w:rPr>
          <w:i/>
          <w:sz w:val="20"/>
          <w:szCs w:val="20"/>
        </w:rPr>
        <w:t>Townsw</w:t>
      </w:r>
      <w:r w:rsidR="006D6BEB" w:rsidRPr="000939E2">
        <w:rPr>
          <w:i/>
          <w:sz w:val="20"/>
          <w:szCs w:val="20"/>
        </w:rPr>
        <w:t>o</w:t>
      </w:r>
      <w:r w:rsidRPr="000939E2">
        <w:rPr>
          <w:i/>
          <w:sz w:val="20"/>
          <w:szCs w:val="20"/>
        </w:rPr>
        <w:t>man</w:t>
      </w:r>
      <w:r w:rsidRPr="001248EF">
        <w:rPr>
          <w:sz w:val="20"/>
          <w:szCs w:val="20"/>
        </w:rPr>
        <w:t>. May</w:t>
      </w:r>
      <w:r w:rsidR="000939E2">
        <w:rPr>
          <w:sz w:val="20"/>
          <w:szCs w:val="20"/>
        </w:rPr>
        <w:t>:</w:t>
      </w:r>
      <w:r w:rsidRPr="001248EF">
        <w:rPr>
          <w:sz w:val="20"/>
          <w:szCs w:val="20"/>
        </w:rPr>
        <w:t xml:space="preserve"> 149.</w:t>
      </w:r>
    </w:p>
  </w:footnote>
  <w:footnote w:id="86">
    <w:p w14:paraId="2F52858A" w14:textId="24C3E976" w:rsidR="0051200F" w:rsidRPr="000939E2" w:rsidRDefault="0051200F">
      <w:pPr>
        <w:pStyle w:val="FootnoteText"/>
        <w:rPr>
          <w:sz w:val="20"/>
          <w:szCs w:val="20"/>
        </w:rPr>
      </w:pPr>
      <w:r w:rsidRPr="000939E2">
        <w:rPr>
          <w:rStyle w:val="FootnoteReference"/>
          <w:sz w:val="20"/>
          <w:szCs w:val="20"/>
        </w:rPr>
        <w:footnoteRef/>
      </w:r>
      <w:r w:rsidRPr="000939E2">
        <w:rPr>
          <w:sz w:val="20"/>
          <w:szCs w:val="20"/>
        </w:rPr>
        <w:t xml:space="preserve"> hooks. </w:t>
      </w:r>
      <w:r w:rsidRPr="000939E2">
        <w:rPr>
          <w:i/>
          <w:sz w:val="20"/>
          <w:szCs w:val="20"/>
        </w:rPr>
        <w:t>Teaching to Transgress</w:t>
      </w:r>
      <w:r w:rsidR="001A1A58" w:rsidRPr="000939E2">
        <w:rPr>
          <w:sz w:val="20"/>
          <w:szCs w:val="20"/>
        </w:rPr>
        <w:t>,</w:t>
      </w:r>
      <w:r w:rsidRPr="000939E2">
        <w:rPr>
          <w:sz w:val="20"/>
          <w:szCs w:val="20"/>
        </w:rPr>
        <w:t xml:space="preserve"> 90. </w:t>
      </w:r>
    </w:p>
  </w:footnote>
  <w:footnote w:id="87">
    <w:p w14:paraId="07BCD811" w14:textId="660009D8" w:rsidR="0051200F" w:rsidRPr="000939E2" w:rsidRDefault="0051200F">
      <w:pPr>
        <w:pStyle w:val="FootnoteText"/>
        <w:rPr>
          <w:sz w:val="20"/>
          <w:szCs w:val="20"/>
        </w:rPr>
      </w:pPr>
      <w:r w:rsidRPr="000939E2">
        <w:rPr>
          <w:rStyle w:val="FootnoteReference"/>
          <w:sz w:val="20"/>
          <w:szCs w:val="20"/>
        </w:rPr>
        <w:footnoteRef/>
      </w:r>
      <w:r w:rsidRPr="000939E2">
        <w:rPr>
          <w:sz w:val="20"/>
          <w:szCs w:val="20"/>
        </w:rPr>
        <w:t xml:space="preserve"> hooks, bell. 2014. </w:t>
      </w:r>
      <w:proofErr w:type="spellStart"/>
      <w:r w:rsidRPr="000939E2">
        <w:rPr>
          <w:i/>
          <w:sz w:val="20"/>
          <w:szCs w:val="20"/>
        </w:rPr>
        <w:t>Ain’t</w:t>
      </w:r>
      <w:proofErr w:type="spellEnd"/>
      <w:r w:rsidRPr="000939E2">
        <w:rPr>
          <w:i/>
          <w:sz w:val="20"/>
          <w:szCs w:val="20"/>
        </w:rPr>
        <w:t xml:space="preserve"> I </w:t>
      </w:r>
      <w:proofErr w:type="gramStart"/>
      <w:r w:rsidRPr="000939E2">
        <w:rPr>
          <w:i/>
          <w:sz w:val="20"/>
          <w:szCs w:val="20"/>
        </w:rPr>
        <w:t>a</w:t>
      </w:r>
      <w:proofErr w:type="gramEnd"/>
      <w:r w:rsidRPr="000939E2">
        <w:rPr>
          <w:i/>
          <w:sz w:val="20"/>
          <w:szCs w:val="20"/>
        </w:rPr>
        <w:t xml:space="preserve"> Woman: Black Women and Feminism</w:t>
      </w:r>
      <w:r w:rsidRPr="000939E2">
        <w:rPr>
          <w:sz w:val="20"/>
          <w:szCs w:val="20"/>
        </w:rPr>
        <w:t xml:space="preserve">. London: Routledge. </w:t>
      </w:r>
    </w:p>
  </w:footnote>
  <w:footnote w:id="88">
    <w:p w14:paraId="1854C9B2" w14:textId="782D1D40" w:rsidR="00C95CAE" w:rsidRPr="00C95CAE" w:rsidRDefault="00C95CAE">
      <w:pPr>
        <w:pStyle w:val="FootnoteText"/>
        <w:rPr>
          <w:sz w:val="20"/>
          <w:szCs w:val="20"/>
          <w:lang w:val="en-GB"/>
        </w:rPr>
      </w:pPr>
      <w:r w:rsidRPr="00C95CAE">
        <w:rPr>
          <w:rStyle w:val="FootnoteReference"/>
          <w:sz w:val="20"/>
          <w:szCs w:val="20"/>
        </w:rPr>
        <w:footnoteRef/>
      </w:r>
      <w:r w:rsidRPr="00C95CAE">
        <w:rPr>
          <w:sz w:val="20"/>
          <w:szCs w:val="20"/>
        </w:rPr>
        <w:t xml:space="preserve"> </w:t>
      </w:r>
      <w:r w:rsidRPr="00C95CAE">
        <w:rPr>
          <w:sz w:val="20"/>
          <w:szCs w:val="20"/>
          <w:lang w:val="en-GB"/>
        </w:rPr>
        <w:t>For an account of working-class women’s activism see Chapter 3 in this collection.</w:t>
      </w:r>
    </w:p>
  </w:footnote>
  <w:footnote w:id="89">
    <w:p w14:paraId="20C60F5B" w14:textId="3A426713" w:rsidR="0051200F" w:rsidRPr="006A0973" w:rsidRDefault="0051200F" w:rsidP="00C433A9">
      <w:pPr>
        <w:pStyle w:val="FootnoteText"/>
        <w:rPr>
          <w:sz w:val="20"/>
          <w:szCs w:val="20"/>
        </w:rPr>
      </w:pPr>
      <w:r w:rsidRPr="006A0973">
        <w:rPr>
          <w:rStyle w:val="FootnoteReference"/>
          <w:sz w:val="20"/>
          <w:szCs w:val="20"/>
        </w:rPr>
        <w:footnoteRef/>
      </w:r>
      <w:r w:rsidRPr="006A0973">
        <w:rPr>
          <w:sz w:val="20"/>
          <w:szCs w:val="20"/>
        </w:rPr>
        <w:t xml:space="preserve"> </w:t>
      </w:r>
      <w:r w:rsidR="00A45760">
        <w:rPr>
          <w:sz w:val="20"/>
          <w:szCs w:val="20"/>
        </w:rPr>
        <w:t xml:space="preserve">Rice, Marjorie, E. 1976. Why shouldn’t we be a pressure group? </w:t>
      </w:r>
      <w:r w:rsidRPr="006A0973">
        <w:rPr>
          <w:i/>
          <w:sz w:val="20"/>
          <w:szCs w:val="20"/>
        </w:rPr>
        <w:t xml:space="preserve">The </w:t>
      </w:r>
      <w:r w:rsidRPr="00A45760">
        <w:rPr>
          <w:i/>
          <w:sz w:val="20"/>
          <w:szCs w:val="20"/>
        </w:rPr>
        <w:t>Townswoman</w:t>
      </w:r>
      <w:r w:rsidRPr="006A0973">
        <w:rPr>
          <w:sz w:val="20"/>
          <w:szCs w:val="20"/>
        </w:rPr>
        <w:t>. January</w:t>
      </w:r>
      <w:r w:rsidR="00A45760">
        <w:rPr>
          <w:sz w:val="20"/>
          <w:szCs w:val="20"/>
        </w:rPr>
        <w:t>:</w:t>
      </w:r>
      <w:r w:rsidRPr="006A0973">
        <w:rPr>
          <w:sz w:val="20"/>
          <w:szCs w:val="20"/>
        </w:rPr>
        <w:t xml:space="preserve"> 29.</w:t>
      </w:r>
    </w:p>
  </w:footnote>
  <w:footnote w:id="90">
    <w:p w14:paraId="45CAC35D" w14:textId="1F9FE614" w:rsidR="0051200F" w:rsidRPr="004E68BE" w:rsidRDefault="0051200F">
      <w:pPr>
        <w:pStyle w:val="FootnoteText"/>
        <w:rPr>
          <w:sz w:val="20"/>
          <w:szCs w:val="20"/>
        </w:rPr>
      </w:pPr>
      <w:r w:rsidRPr="004E68BE">
        <w:rPr>
          <w:rStyle w:val="FootnoteReference"/>
          <w:sz w:val="20"/>
          <w:szCs w:val="20"/>
        </w:rPr>
        <w:footnoteRef/>
      </w:r>
      <w:r w:rsidRPr="004E68BE">
        <w:rPr>
          <w:sz w:val="20"/>
          <w:szCs w:val="20"/>
        </w:rPr>
        <w:t xml:space="preserve"> </w:t>
      </w:r>
      <w:r>
        <w:rPr>
          <w:sz w:val="20"/>
          <w:szCs w:val="20"/>
        </w:rPr>
        <w:t xml:space="preserve">Thompson, E.P. 1968. </w:t>
      </w:r>
      <w:r w:rsidRPr="002D3A1E">
        <w:rPr>
          <w:i/>
          <w:sz w:val="20"/>
          <w:szCs w:val="20"/>
        </w:rPr>
        <w:t>The Making of the English Working Class</w:t>
      </w:r>
      <w:r>
        <w:rPr>
          <w:sz w:val="20"/>
          <w:szCs w:val="20"/>
        </w:rPr>
        <w:t>. London</w:t>
      </w:r>
      <w:r w:rsidR="001A1A58">
        <w:rPr>
          <w:sz w:val="20"/>
          <w:szCs w:val="20"/>
        </w:rPr>
        <w:t>,</w:t>
      </w:r>
      <w:r>
        <w:rPr>
          <w:sz w:val="20"/>
          <w:szCs w:val="20"/>
        </w:rPr>
        <w:t xml:space="preserve"> Penguin: 13. </w:t>
      </w:r>
    </w:p>
  </w:footnote>
  <w:footnote w:id="91">
    <w:p w14:paraId="22B8D76D" w14:textId="42574B87" w:rsidR="0051200F" w:rsidRPr="007F5AFB" w:rsidRDefault="0051200F">
      <w:pPr>
        <w:pStyle w:val="FootnoteText"/>
      </w:pPr>
      <w:r w:rsidRPr="007F5AFB">
        <w:rPr>
          <w:rStyle w:val="FootnoteReference"/>
          <w:sz w:val="20"/>
          <w:szCs w:val="20"/>
        </w:rPr>
        <w:footnoteRef/>
      </w:r>
      <w:r w:rsidRPr="007F5AFB">
        <w:rPr>
          <w:sz w:val="20"/>
          <w:szCs w:val="20"/>
        </w:rPr>
        <w:t xml:space="preserve"> Kivimäki</w:t>
      </w:r>
      <w:r w:rsidRPr="00BC7BBA">
        <w:rPr>
          <w:sz w:val="20"/>
          <w:szCs w:val="20"/>
        </w:rPr>
        <w:t xml:space="preserve">, Malinen and Vuolanto, </w:t>
      </w:r>
      <w:r w:rsidRPr="00BC7BBA">
        <w:rPr>
          <w:i/>
          <w:sz w:val="20"/>
          <w:szCs w:val="20"/>
        </w:rPr>
        <w:t>Communities of Experience</w:t>
      </w:r>
      <w:r w:rsidR="001A1A58">
        <w:rPr>
          <w:sz w:val="20"/>
          <w:szCs w:val="20"/>
        </w:rPr>
        <w:t>,</w:t>
      </w:r>
      <w:r>
        <w:rPr>
          <w:sz w:val="20"/>
          <w:szCs w:val="20"/>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2809" w14:textId="77777777" w:rsidR="0051200F" w:rsidRDefault="0051200F" w:rsidP="00357F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9B6A" w14:textId="77777777" w:rsidR="0051200F" w:rsidRDefault="0051200F" w:rsidP="00357F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2A1C" w14:textId="77777777" w:rsidR="0051200F" w:rsidRDefault="0051200F" w:rsidP="00357F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F"/>
    <w:rsid w:val="000011F7"/>
    <w:rsid w:val="00007341"/>
    <w:rsid w:val="00007EEC"/>
    <w:rsid w:val="00012DA6"/>
    <w:rsid w:val="000162A6"/>
    <w:rsid w:val="00016F47"/>
    <w:rsid w:val="00022BB6"/>
    <w:rsid w:val="00023800"/>
    <w:rsid w:val="00024A9F"/>
    <w:rsid w:val="000301B5"/>
    <w:rsid w:val="0003121E"/>
    <w:rsid w:val="00032F00"/>
    <w:rsid w:val="00035517"/>
    <w:rsid w:val="0003699F"/>
    <w:rsid w:val="000405E9"/>
    <w:rsid w:val="000427C3"/>
    <w:rsid w:val="000429BB"/>
    <w:rsid w:val="00044CC6"/>
    <w:rsid w:val="00045D5D"/>
    <w:rsid w:val="00046EFE"/>
    <w:rsid w:val="000517CB"/>
    <w:rsid w:val="000549D5"/>
    <w:rsid w:val="000645D4"/>
    <w:rsid w:val="0006470A"/>
    <w:rsid w:val="00064FBD"/>
    <w:rsid w:val="000658C9"/>
    <w:rsid w:val="00066B85"/>
    <w:rsid w:val="00067D9D"/>
    <w:rsid w:val="00067E88"/>
    <w:rsid w:val="0007197F"/>
    <w:rsid w:val="00071D13"/>
    <w:rsid w:val="000739E7"/>
    <w:rsid w:val="00074426"/>
    <w:rsid w:val="0007498F"/>
    <w:rsid w:val="00075002"/>
    <w:rsid w:val="000751D6"/>
    <w:rsid w:val="00077815"/>
    <w:rsid w:val="00077870"/>
    <w:rsid w:val="00080F60"/>
    <w:rsid w:val="00081981"/>
    <w:rsid w:val="00083761"/>
    <w:rsid w:val="00084898"/>
    <w:rsid w:val="00091096"/>
    <w:rsid w:val="000939E2"/>
    <w:rsid w:val="00094EE9"/>
    <w:rsid w:val="000A2108"/>
    <w:rsid w:val="000A4EC6"/>
    <w:rsid w:val="000A5907"/>
    <w:rsid w:val="000A7033"/>
    <w:rsid w:val="000B0A2C"/>
    <w:rsid w:val="000B125C"/>
    <w:rsid w:val="000B4344"/>
    <w:rsid w:val="000B5881"/>
    <w:rsid w:val="000B616C"/>
    <w:rsid w:val="000B798D"/>
    <w:rsid w:val="000C0D13"/>
    <w:rsid w:val="000C2CFB"/>
    <w:rsid w:val="000C6463"/>
    <w:rsid w:val="000D32A6"/>
    <w:rsid w:val="000D570D"/>
    <w:rsid w:val="000D5E87"/>
    <w:rsid w:val="000D657E"/>
    <w:rsid w:val="000E0B19"/>
    <w:rsid w:val="000E1B65"/>
    <w:rsid w:val="000E43F4"/>
    <w:rsid w:val="000E5D03"/>
    <w:rsid w:val="000E5EE1"/>
    <w:rsid w:val="000F0448"/>
    <w:rsid w:val="000F268A"/>
    <w:rsid w:val="000F281A"/>
    <w:rsid w:val="000F45FC"/>
    <w:rsid w:val="000F4643"/>
    <w:rsid w:val="000F69F1"/>
    <w:rsid w:val="000F6D0A"/>
    <w:rsid w:val="000F756F"/>
    <w:rsid w:val="00100813"/>
    <w:rsid w:val="00102414"/>
    <w:rsid w:val="00112FD4"/>
    <w:rsid w:val="001142FA"/>
    <w:rsid w:val="00123434"/>
    <w:rsid w:val="00123EEF"/>
    <w:rsid w:val="001248EF"/>
    <w:rsid w:val="00134F82"/>
    <w:rsid w:val="001362E4"/>
    <w:rsid w:val="00136363"/>
    <w:rsid w:val="00143103"/>
    <w:rsid w:val="00143444"/>
    <w:rsid w:val="00144DF9"/>
    <w:rsid w:val="00146C9A"/>
    <w:rsid w:val="00147D33"/>
    <w:rsid w:val="00152E56"/>
    <w:rsid w:val="0015343E"/>
    <w:rsid w:val="00154D18"/>
    <w:rsid w:val="00156EC9"/>
    <w:rsid w:val="00157572"/>
    <w:rsid w:val="001622BD"/>
    <w:rsid w:val="00164504"/>
    <w:rsid w:val="00176DF9"/>
    <w:rsid w:val="00180BA6"/>
    <w:rsid w:val="00183039"/>
    <w:rsid w:val="00184106"/>
    <w:rsid w:val="0018464E"/>
    <w:rsid w:val="00184662"/>
    <w:rsid w:val="00186EA8"/>
    <w:rsid w:val="0018719F"/>
    <w:rsid w:val="00195826"/>
    <w:rsid w:val="0019784F"/>
    <w:rsid w:val="001A0A5D"/>
    <w:rsid w:val="001A170C"/>
    <w:rsid w:val="001A1A58"/>
    <w:rsid w:val="001A1A68"/>
    <w:rsid w:val="001A3FDB"/>
    <w:rsid w:val="001A4150"/>
    <w:rsid w:val="001A41DF"/>
    <w:rsid w:val="001A4979"/>
    <w:rsid w:val="001A6C70"/>
    <w:rsid w:val="001B115B"/>
    <w:rsid w:val="001B1333"/>
    <w:rsid w:val="001B1ADE"/>
    <w:rsid w:val="001B2512"/>
    <w:rsid w:val="001B2F40"/>
    <w:rsid w:val="001B57D1"/>
    <w:rsid w:val="001B58BB"/>
    <w:rsid w:val="001B67CD"/>
    <w:rsid w:val="001C124B"/>
    <w:rsid w:val="001C3487"/>
    <w:rsid w:val="001C4BFD"/>
    <w:rsid w:val="001D1B98"/>
    <w:rsid w:val="001D3319"/>
    <w:rsid w:val="001D6C30"/>
    <w:rsid w:val="001D71BF"/>
    <w:rsid w:val="001E0344"/>
    <w:rsid w:val="001E1561"/>
    <w:rsid w:val="001E4E04"/>
    <w:rsid w:val="001E583B"/>
    <w:rsid w:val="001E5864"/>
    <w:rsid w:val="001E6441"/>
    <w:rsid w:val="001F024A"/>
    <w:rsid w:val="001F38F1"/>
    <w:rsid w:val="001F431F"/>
    <w:rsid w:val="001F492C"/>
    <w:rsid w:val="001F63DB"/>
    <w:rsid w:val="001F7666"/>
    <w:rsid w:val="00200D4E"/>
    <w:rsid w:val="00204744"/>
    <w:rsid w:val="00207243"/>
    <w:rsid w:val="00220A3E"/>
    <w:rsid w:val="00223E34"/>
    <w:rsid w:val="002268F4"/>
    <w:rsid w:val="00231883"/>
    <w:rsid w:val="002327E1"/>
    <w:rsid w:val="00232E58"/>
    <w:rsid w:val="002330A7"/>
    <w:rsid w:val="00233809"/>
    <w:rsid w:val="00235629"/>
    <w:rsid w:val="0023610C"/>
    <w:rsid w:val="00236D16"/>
    <w:rsid w:val="0023754C"/>
    <w:rsid w:val="00237CA0"/>
    <w:rsid w:val="00241B6C"/>
    <w:rsid w:val="00242464"/>
    <w:rsid w:val="00251A89"/>
    <w:rsid w:val="00253400"/>
    <w:rsid w:val="00254438"/>
    <w:rsid w:val="00255EAD"/>
    <w:rsid w:val="0026385B"/>
    <w:rsid w:val="00263A34"/>
    <w:rsid w:val="00270438"/>
    <w:rsid w:val="0027089B"/>
    <w:rsid w:val="00270FD7"/>
    <w:rsid w:val="00271309"/>
    <w:rsid w:val="00272FBA"/>
    <w:rsid w:val="00274432"/>
    <w:rsid w:val="00277001"/>
    <w:rsid w:val="00281DBB"/>
    <w:rsid w:val="00281E66"/>
    <w:rsid w:val="002847D4"/>
    <w:rsid w:val="00285193"/>
    <w:rsid w:val="00285223"/>
    <w:rsid w:val="002902E1"/>
    <w:rsid w:val="00291A22"/>
    <w:rsid w:val="002977E1"/>
    <w:rsid w:val="002978F7"/>
    <w:rsid w:val="002A0BB5"/>
    <w:rsid w:val="002A4406"/>
    <w:rsid w:val="002B6EBD"/>
    <w:rsid w:val="002C43A0"/>
    <w:rsid w:val="002C5B96"/>
    <w:rsid w:val="002C6D56"/>
    <w:rsid w:val="002D0126"/>
    <w:rsid w:val="002D02D3"/>
    <w:rsid w:val="002D1BCF"/>
    <w:rsid w:val="002D23C0"/>
    <w:rsid w:val="002D2430"/>
    <w:rsid w:val="002D2E9B"/>
    <w:rsid w:val="002D3057"/>
    <w:rsid w:val="002D3A1E"/>
    <w:rsid w:val="002D5443"/>
    <w:rsid w:val="002D6976"/>
    <w:rsid w:val="002D6D2D"/>
    <w:rsid w:val="002D7C9D"/>
    <w:rsid w:val="002E43FC"/>
    <w:rsid w:val="002E594B"/>
    <w:rsid w:val="002E6548"/>
    <w:rsid w:val="002F0FBA"/>
    <w:rsid w:val="002F13D4"/>
    <w:rsid w:val="002F190F"/>
    <w:rsid w:val="002F1D33"/>
    <w:rsid w:val="002F1E25"/>
    <w:rsid w:val="002F2BF3"/>
    <w:rsid w:val="002F33F5"/>
    <w:rsid w:val="002F4831"/>
    <w:rsid w:val="002F4EA5"/>
    <w:rsid w:val="002F5517"/>
    <w:rsid w:val="00300893"/>
    <w:rsid w:val="00300ABD"/>
    <w:rsid w:val="00301F2C"/>
    <w:rsid w:val="00302EF0"/>
    <w:rsid w:val="0030451C"/>
    <w:rsid w:val="00306732"/>
    <w:rsid w:val="003112F5"/>
    <w:rsid w:val="00311A3B"/>
    <w:rsid w:val="00311E3F"/>
    <w:rsid w:val="00314505"/>
    <w:rsid w:val="00323B53"/>
    <w:rsid w:val="00324082"/>
    <w:rsid w:val="003246C1"/>
    <w:rsid w:val="0032477B"/>
    <w:rsid w:val="00325F61"/>
    <w:rsid w:val="00326B48"/>
    <w:rsid w:val="00326FE1"/>
    <w:rsid w:val="0033070D"/>
    <w:rsid w:val="00332756"/>
    <w:rsid w:val="00335A13"/>
    <w:rsid w:val="003404A6"/>
    <w:rsid w:val="003406BF"/>
    <w:rsid w:val="00342537"/>
    <w:rsid w:val="00344EBA"/>
    <w:rsid w:val="00345F89"/>
    <w:rsid w:val="00347EB0"/>
    <w:rsid w:val="003509B1"/>
    <w:rsid w:val="00352D62"/>
    <w:rsid w:val="00353C42"/>
    <w:rsid w:val="00354FD4"/>
    <w:rsid w:val="0035531B"/>
    <w:rsid w:val="0035574A"/>
    <w:rsid w:val="00355B6E"/>
    <w:rsid w:val="003561FD"/>
    <w:rsid w:val="0035640E"/>
    <w:rsid w:val="00357084"/>
    <w:rsid w:val="00357F0F"/>
    <w:rsid w:val="0036505E"/>
    <w:rsid w:val="00365E56"/>
    <w:rsid w:val="00366E6F"/>
    <w:rsid w:val="00367E4C"/>
    <w:rsid w:val="003774D1"/>
    <w:rsid w:val="00377876"/>
    <w:rsid w:val="00380E52"/>
    <w:rsid w:val="00382E03"/>
    <w:rsid w:val="00383005"/>
    <w:rsid w:val="003863BE"/>
    <w:rsid w:val="003901BF"/>
    <w:rsid w:val="00390702"/>
    <w:rsid w:val="0039353F"/>
    <w:rsid w:val="003A4EED"/>
    <w:rsid w:val="003A6648"/>
    <w:rsid w:val="003A78AB"/>
    <w:rsid w:val="003B0559"/>
    <w:rsid w:val="003B0F53"/>
    <w:rsid w:val="003B0FFD"/>
    <w:rsid w:val="003B1B01"/>
    <w:rsid w:val="003B1D39"/>
    <w:rsid w:val="003B30E7"/>
    <w:rsid w:val="003B3439"/>
    <w:rsid w:val="003B67A2"/>
    <w:rsid w:val="003B7EBC"/>
    <w:rsid w:val="003C07AE"/>
    <w:rsid w:val="003C56BF"/>
    <w:rsid w:val="003C5C22"/>
    <w:rsid w:val="003C7B17"/>
    <w:rsid w:val="003D7197"/>
    <w:rsid w:val="003D789E"/>
    <w:rsid w:val="003D7D32"/>
    <w:rsid w:val="003E009F"/>
    <w:rsid w:val="003E26C6"/>
    <w:rsid w:val="003F0277"/>
    <w:rsid w:val="003F10CD"/>
    <w:rsid w:val="003F159F"/>
    <w:rsid w:val="003F16B8"/>
    <w:rsid w:val="003F39EC"/>
    <w:rsid w:val="003F4A58"/>
    <w:rsid w:val="003F6A8B"/>
    <w:rsid w:val="00403E33"/>
    <w:rsid w:val="004052E7"/>
    <w:rsid w:val="00407793"/>
    <w:rsid w:val="004116DC"/>
    <w:rsid w:val="00413590"/>
    <w:rsid w:val="00416E22"/>
    <w:rsid w:val="00417E37"/>
    <w:rsid w:val="00425409"/>
    <w:rsid w:val="00430E40"/>
    <w:rsid w:val="00436455"/>
    <w:rsid w:val="004370FF"/>
    <w:rsid w:val="004372F1"/>
    <w:rsid w:val="00440239"/>
    <w:rsid w:val="004435FA"/>
    <w:rsid w:val="00444893"/>
    <w:rsid w:val="0044493F"/>
    <w:rsid w:val="00444B10"/>
    <w:rsid w:val="00444ED0"/>
    <w:rsid w:val="004470AE"/>
    <w:rsid w:val="00450887"/>
    <w:rsid w:val="004526BC"/>
    <w:rsid w:val="004529D9"/>
    <w:rsid w:val="004532EE"/>
    <w:rsid w:val="00457650"/>
    <w:rsid w:val="00462AD0"/>
    <w:rsid w:val="00463E67"/>
    <w:rsid w:val="00467128"/>
    <w:rsid w:val="004701BD"/>
    <w:rsid w:val="00470393"/>
    <w:rsid w:val="004729C1"/>
    <w:rsid w:val="00473C4A"/>
    <w:rsid w:val="00474607"/>
    <w:rsid w:val="00475060"/>
    <w:rsid w:val="004751A2"/>
    <w:rsid w:val="00475C41"/>
    <w:rsid w:val="00483C18"/>
    <w:rsid w:val="00484EB0"/>
    <w:rsid w:val="00486495"/>
    <w:rsid w:val="004A07DF"/>
    <w:rsid w:val="004A374B"/>
    <w:rsid w:val="004A3AE7"/>
    <w:rsid w:val="004A3C5D"/>
    <w:rsid w:val="004A5CD0"/>
    <w:rsid w:val="004A5CEC"/>
    <w:rsid w:val="004A63A1"/>
    <w:rsid w:val="004A63A7"/>
    <w:rsid w:val="004B231D"/>
    <w:rsid w:val="004B2A68"/>
    <w:rsid w:val="004B740C"/>
    <w:rsid w:val="004C1444"/>
    <w:rsid w:val="004C198A"/>
    <w:rsid w:val="004C1BFF"/>
    <w:rsid w:val="004C2127"/>
    <w:rsid w:val="004C438A"/>
    <w:rsid w:val="004C63EF"/>
    <w:rsid w:val="004C7075"/>
    <w:rsid w:val="004C7370"/>
    <w:rsid w:val="004D1CEC"/>
    <w:rsid w:val="004D65CC"/>
    <w:rsid w:val="004E5861"/>
    <w:rsid w:val="004E64EB"/>
    <w:rsid w:val="004E68BE"/>
    <w:rsid w:val="004E7470"/>
    <w:rsid w:val="004F1444"/>
    <w:rsid w:val="004F2EB6"/>
    <w:rsid w:val="004F3223"/>
    <w:rsid w:val="004F4E3A"/>
    <w:rsid w:val="00504F65"/>
    <w:rsid w:val="005053BF"/>
    <w:rsid w:val="00505B1F"/>
    <w:rsid w:val="00505CBB"/>
    <w:rsid w:val="005075CE"/>
    <w:rsid w:val="00511653"/>
    <w:rsid w:val="00511A9B"/>
    <w:rsid w:val="0051200F"/>
    <w:rsid w:val="0051254C"/>
    <w:rsid w:val="00517BC3"/>
    <w:rsid w:val="00524B05"/>
    <w:rsid w:val="00524DB7"/>
    <w:rsid w:val="00525467"/>
    <w:rsid w:val="0053025C"/>
    <w:rsid w:val="005415FB"/>
    <w:rsid w:val="00550A74"/>
    <w:rsid w:val="005517B6"/>
    <w:rsid w:val="00553483"/>
    <w:rsid w:val="00554C38"/>
    <w:rsid w:val="005576B6"/>
    <w:rsid w:val="00561018"/>
    <w:rsid w:val="005613DC"/>
    <w:rsid w:val="005671CB"/>
    <w:rsid w:val="005706D2"/>
    <w:rsid w:val="00570A77"/>
    <w:rsid w:val="0057519C"/>
    <w:rsid w:val="0057665B"/>
    <w:rsid w:val="005768FF"/>
    <w:rsid w:val="00576A1A"/>
    <w:rsid w:val="00577D9A"/>
    <w:rsid w:val="005809EF"/>
    <w:rsid w:val="005810CB"/>
    <w:rsid w:val="005855C6"/>
    <w:rsid w:val="005868FF"/>
    <w:rsid w:val="00590E82"/>
    <w:rsid w:val="0059294E"/>
    <w:rsid w:val="0059444E"/>
    <w:rsid w:val="00595F5C"/>
    <w:rsid w:val="005A2E0E"/>
    <w:rsid w:val="005A58D4"/>
    <w:rsid w:val="005A7BFB"/>
    <w:rsid w:val="005B24EB"/>
    <w:rsid w:val="005B2C24"/>
    <w:rsid w:val="005B7746"/>
    <w:rsid w:val="005B7CEC"/>
    <w:rsid w:val="005C1466"/>
    <w:rsid w:val="005C15C2"/>
    <w:rsid w:val="005C18A7"/>
    <w:rsid w:val="005C5D7B"/>
    <w:rsid w:val="005C60EA"/>
    <w:rsid w:val="005C6D76"/>
    <w:rsid w:val="005C6F37"/>
    <w:rsid w:val="005D0D9E"/>
    <w:rsid w:val="005D4F63"/>
    <w:rsid w:val="005D601E"/>
    <w:rsid w:val="005D7436"/>
    <w:rsid w:val="005E5751"/>
    <w:rsid w:val="005E7329"/>
    <w:rsid w:val="005E7452"/>
    <w:rsid w:val="005F13C1"/>
    <w:rsid w:val="005F3B21"/>
    <w:rsid w:val="005F43E1"/>
    <w:rsid w:val="005F5752"/>
    <w:rsid w:val="0060131A"/>
    <w:rsid w:val="0060206A"/>
    <w:rsid w:val="00605545"/>
    <w:rsid w:val="00612B20"/>
    <w:rsid w:val="0061322F"/>
    <w:rsid w:val="006146BE"/>
    <w:rsid w:val="006162C5"/>
    <w:rsid w:val="00621498"/>
    <w:rsid w:val="00622721"/>
    <w:rsid w:val="00624249"/>
    <w:rsid w:val="00625EB6"/>
    <w:rsid w:val="00630049"/>
    <w:rsid w:val="006307ED"/>
    <w:rsid w:val="00637F8A"/>
    <w:rsid w:val="00640F93"/>
    <w:rsid w:val="00640FF8"/>
    <w:rsid w:val="00644077"/>
    <w:rsid w:val="0064541C"/>
    <w:rsid w:val="006466FA"/>
    <w:rsid w:val="00647B21"/>
    <w:rsid w:val="00650087"/>
    <w:rsid w:val="00651B3C"/>
    <w:rsid w:val="00652EB3"/>
    <w:rsid w:val="00657622"/>
    <w:rsid w:val="006655CF"/>
    <w:rsid w:val="00665936"/>
    <w:rsid w:val="00667650"/>
    <w:rsid w:val="0067081A"/>
    <w:rsid w:val="00673926"/>
    <w:rsid w:val="00676524"/>
    <w:rsid w:val="00677CF8"/>
    <w:rsid w:val="0068244A"/>
    <w:rsid w:val="00685A8B"/>
    <w:rsid w:val="00692293"/>
    <w:rsid w:val="00693C03"/>
    <w:rsid w:val="006A0973"/>
    <w:rsid w:val="006A2771"/>
    <w:rsid w:val="006A344D"/>
    <w:rsid w:val="006A4819"/>
    <w:rsid w:val="006A52B1"/>
    <w:rsid w:val="006A6CA0"/>
    <w:rsid w:val="006B08ED"/>
    <w:rsid w:val="006B0A0E"/>
    <w:rsid w:val="006B53C8"/>
    <w:rsid w:val="006B7225"/>
    <w:rsid w:val="006B7471"/>
    <w:rsid w:val="006C1A12"/>
    <w:rsid w:val="006C3AC3"/>
    <w:rsid w:val="006C3E6B"/>
    <w:rsid w:val="006C7B2C"/>
    <w:rsid w:val="006D06FB"/>
    <w:rsid w:val="006D1C11"/>
    <w:rsid w:val="006D6388"/>
    <w:rsid w:val="006D63FC"/>
    <w:rsid w:val="006D6BEB"/>
    <w:rsid w:val="006D7FB3"/>
    <w:rsid w:val="006E37E3"/>
    <w:rsid w:val="006E4A4E"/>
    <w:rsid w:val="006E55AD"/>
    <w:rsid w:val="006E5B54"/>
    <w:rsid w:val="006E6DB2"/>
    <w:rsid w:val="006F06AA"/>
    <w:rsid w:val="006F446C"/>
    <w:rsid w:val="006F7CCC"/>
    <w:rsid w:val="007008F5"/>
    <w:rsid w:val="00700D2E"/>
    <w:rsid w:val="00700DDA"/>
    <w:rsid w:val="007045B5"/>
    <w:rsid w:val="00706136"/>
    <w:rsid w:val="007101B7"/>
    <w:rsid w:val="00715EDB"/>
    <w:rsid w:val="00716E0E"/>
    <w:rsid w:val="007178A6"/>
    <w:rsid w:val="00717CC7"/>
    <w:rsid w:val="00723323"/>
    <w:rsid w:val="00725AD0"/>
    <w:rsid w:val="00725E18"/>
    <w:rsid w:val="00727FFB"/>
    <w:rsid w:val="00731FED"/>
    <w:rsid w:val="007359D8"/>
    <w:rsid w:val="007368B7"/>
    <w:rsid w:val="00742603"/>
    <w:rsid w:val="0074372F"/>
    <w:rsid w:val="00743F0B"/>
    <w:rsid w:val="00744379"/>
    <w:rsid w:val="0075146A"/>
    <w:rsid w:val="007541C7"/>
    <w:rsid w:val="00755141"/>
    <w:rsid w:val="0075714D"/>
    <w:rsid w:val="00764388"/>
    <w:rsid w:val="00765CAA"/>
    <w:rsid w:val="007669C4"/>
    <w:rsid w:val="00766FF5"/>
    <w:rsid w:val="0077180D"/>
    <w:rsid w:val="00772E3F"/>
    <w:rsid w:val="00774998"/>
    <w:rsid w:val="00775909"/>
    <w:rsid w:val="00775972"/>
    <w:rsid w:val="00777466"/>
    <w:rsid w:val="00777B17"/>
    <w:rsid w:val="00780090"/>
    <w:rsid w:val="00784AF6"/>
    <w:rsid w:val="007873A9"/>
    <w:rsid w:val="00790F31"/>
    <w:rsid w:val="0079453D"/>
    <w:rsid w:val="007A08D8"/>
    <w:rsid w:val="007A1148"/>
    <w:rsid w:val="007A16DB"/>
    <w:rsid w:val="007A268C"/>
    <w:rsid w:val="007A38D0"/>
    <w:rsid w:val="007A76B7"/>
    <w:rsid w:val="007B19EE"/>
    <w:rsid w:val="007B1F71"/>
    <w:rsid w:val="007B2A77"/>
    <w:rsid w:val="007B3FA0"/>
    <w:rsid w:val="007B4CC2"/>
    <w:rsid w:val="007B5661"/>
    <w:rsid w:val="007B69F2"/>
    <w:rsid w:val="007C102F"/>
    <w:rsid w:val="007C1A46"/>
    <w:rsid w:val="007C1F09"/>
    <w:rsid w:val="007C24A0"/>
    <w:rsid w:val="007C2FE8"/>
    <w:rsid w:val="007C3CDD"/>
    <w:rsid w:val="007C46E4"/>
    <w:rsid w:val="007C5B87"/>
    <w:rsid w:val="007C5F8E"/>
    <w:rsid w:val="007C76EB"/>
    <w:rsid w:val="007D0622"/>
    <w:rsid w:val="007D1EF2"/>
    <w:rsid w:val="007D2F7A"/>
    <w:rsid w:val="007D4F13"/>
    <w:rsid w:val="007D630C"/>
    <w:rsid w:val="007D6B71"/>
    <w:rsid w:val="007E12FD"/>
    <w:rsid w:val="007F01EF"/>
    <w:rsid w:val="007F1A3F"/>
    <w:rsid w:val="007F4006"/>
    <w:rsid w:val="007F5AFB"/>
    <w:rsid w:val="007F7CD0"/>
    <w:rsid w:val="008023B5"/>
    <w:rsid w:val="008032EB"/>
    <w:rsid w:val="008065CA"/>
    <w:rsid w:val="00806AA2"/>
    <w:rsid w:val="00811B0B"/>
    <w:rsid w:val="00812C97"/>
    <w:rsid w:val="00814E74"/>
    <w:rsid w:val="00815EE2"/>
    <w:rsid w:val="00820114"/>
    <w:rsid w:val="00821AB1"/>
    <w:rsid w:val="008251AA"/>
    <w:rsid w:val="0083478C"/>
    <w:rsid w:val="008368B9"/>
    <w:rsid w:val="00846C02"/>
    <w:rsid w:val="00846C56"/>
    <w:rsid w:val="008502E8"/>
    <w:rsid w:val="008504A6"/>
    <w:rsid w:val="00850EFC"/>
    <w:rsid w:val="00851B14"/>
    <w:rsid w:val="0085330E"/>
    <w:rsid w:val="00860531"/>
    <w:rsid w:val="00860F16"/>
    <w:rsid w:val="008626F6"/>
    <w:rsid w:val="00867148"/>
    <w:rsid w:val="0086738D"/>
    <w:rsid w:val="00871AA2"/>
    <w:rsid w:val="00872755"/>
    <w:rsid w:val="00872E9A"/>
    <w:rsid w:val="0087394C"/>
    <w:rsid w:val="00873DDA"/>
    <w:rsid w:val="008752BD"/>
    <w:rsid w:val="00875788"/>
    <w:rsid w:val="0088132B"/>
    <w:rsid w:val="00887187"/>
    <w:rsid w:val="0088730D"/>
    <w:rsid w:val="0089138D"/>
    <w:rsid w:val="00892B6B"/>
    <w:rsid w:val="008936BE"/>
    <w:rsid w:val="00895581"/>
    <w:rsid w:val="00895B31"/>
    <w:rsid w:val="00896966"/>
    <w:rsid w:val="008A05BB"/>
    <w:rsid w:val="008A1C40"/>
    <w:rsid w:val="008A37F2"/>
    <w:rsid w:val="008A7270"/>
    <w:rsid w:val="008A727E"/>
    <w:rsid w:val="008A7489"/>
    <w:rsid w:val="008A7DB5"/>
    <w:rsid w:val="008B21CF"/>
    <w:rsid w:val="008B302D"/>
    <w:rsid w:val="008B4F60"/>
    <w:rsid w:val="008B5FAF"/>
    <w:rsid w:val="008C05FC"/>
    <w:rsid w:val="008C7C72"/>
    <w:rsid w:val="008D5002"/>
    <w:rsid w:val="008E3154"/>
    <w:rsid w:val="008E3C97"/>
    <w:rsid w:val="008E4D1F"/>
    <w:rsid w:val="008E5B71"/>
    <w:rsid w:val="008E68F3"/>
    <w:rsid w:val="008F42EA"/>
    <w:rsid w:val="008F5784"/>
    <w:rsid w:val="008F5B35"/>
    <w:rsid w:val="00906517"/>
    <w:rsid w:val="00913B85"/>
    <w:rsid w:val="00915A0D"/>
    <w:rsid w:val="0092548E"/>
    <w:rsid w:val="00933B70"/>
    <w:rsid w:val="00935D7F"/>
    <w:rsid w:val="00937E87"/>
    <w:rsid w:val="009431B9"/>
    <w:rsid w:val="00944509"/>
    <w:rsid w:val="009534D0"/>
    <w:rsid w:val="009544E3"/>
    <w:rsid w:val="00955580"/>
    <w:rsid w:val="009575AB"/>
    <w:rsid w:val="00962111"/>
    <w:rsid w:val="00963214"/>
    <w:rsid w:val="00963A7D"/>
    <w:rsid w:val="00964A65"/>
    <w:rsid w:val="00966CAF"/>
    <w:rsid w:val="00974317"/>
    <w:rsid w:val="0097520A"/>
    <w:rsid w:val="0098105F"/>
    <w:rsid w:val="00984B02"/>
    <w:rsid w:val="009859BC"/>
    <w:rsid w:val="009902BD"/>
    <w:rsid w:val="00992BE7"/>
    <w:rsid w:val="00997FC8"/>
    <w:rsid w:val="009A2C1C"/>
    <w:rsid w:val="009A5862"/>
    <w:rsid w:val="009A5D2B"/>
    <w:rsid w:val="009A63D6"/>
    <w:rsid w:val="009A752D"/>
    <w:rsid w:val="009B099D"/>
    <w:rsid w:val="009B3B7B"/>
    <w:rsid w:val="009B4DAD"/>
    <w:rsid w:val="009B7F39"/>
    <w:rsid w:val="009C5AA6"/>
    <w:rsid w:val="009D0F38"/>
    <w:rsid w:val="009D10BD"/>
    <w:rsid w:val="009D21D9"/>
    <w:rsid w:val="009D716D"/>
    <w:rsid w:val="009D7F4B"/>
    <w:rsid w:val="009E1F40"/>
    <w:rsid w:val="009E2800"/>
    <w:rsid w:val="009E4D5E"/>
    <w:rsid w:val="009E4E86"/>
    <w:rsid w:val="009F41E8"/>
    <w:rsid w:val="009F5653"/>
    <w:rsid w:val="009F5F4A"/>
    <w:rsid w:val="009F6EEE"/>
    <w:rsid w:val="009F7079"/>
    <w:rsid w:val="009F71ED"/>
    <w:rsid w:val="00A00318"/>
    <w:rsid w:val="00A03E4C"/>
    <w:rsid w:val="00A042EB"/>
    <w:rsid w:val="00A06810"/>
    <w:rsid w:val="00A10583"/>
    <w:rsid w:val="00A10CC8"/>
    <w:rsid w:val="00A179AE"/>
    <w:rsid w:val="00A201B9"/>
    <w:rsid w:val="00A2197A"/>
    <w:rsid w:val="00A25AC7"/>
    <w:rsid w:val="00A26A99"/>
    <w:rsid w:val="00A30880"/>
    <w:rsid w:val="00A309A6"/>
    <w:rsid w:val="00A3213C"/>
    <w:rsid w:val="00A32D25"/>
    <w:rsid w:val="00A337EE"/>
    <w:rsid w:val="00A359C7"/>
    <w:rsid w:val="00A37B04"/>
    <w:rsid w:val="00A40F5D"/>
    <w:rsid w:val="00A4124D"/>
    <w:rsid w:val="00A412D8"/>
    <w:rsid w:val="00A42EB3"/>
    <w:rsid w:val="00A450D3"/>
    <w:rsid w:val="00A45760"/>
    <w:rsid w:val="00A45CDB"/>
    <w:rsid w:val="00A46171"/>
    <w:rsid w:val="00A4707E"/>
    <w:rsid w:val="00A501FB"/>
    <w:rsid w:val="00A541FF"/>
    <w:rsid w:val="00A56EC9"/>
    <w:rsid w:val="00A6003E"/>
    <w:rsid w:val="00A60DE7"/>
    <w:rsid w:val="00A617D4"/>
    <w:rsid w:val="00A61F4E"/>
    <w:rsid w:val="00A649A4"/>
    <w:rsid w:val="00A65214"/>
    <w:rsid w:val="00A65265"/>
    <w:rsid w:val="00A723F7"/>
    <w:rsid w:val="00A7447A"/>
    <w:rsid w:val="00A75C22"/>
    <w:rsid w:val="00A83758"/>
    <w:rsid w:val="00A847E0"/>
    <w:rsid w:val="00A85866"/>
    <w:rsid w:val="00A86857"/>
    <w:rsid w:val="00A86E5E"/>
    <w:rsid w:val="00A87969"/>
    <w:rsid w:val="00A94C67"/>
    <w:rsid w:val="00AA5EB2"/>
    <w:rsid w:val="00AB0079"/>
    <w:rsid w:val="00AB0084"/>
    <w:rsid w:val="00AB0C60"/>
    <w:rsid w:val="00AB102A"/>
    <w:rsid w:val="00AB1FBC"/>
    <w:rsid w:val="00AB3DD6"/>
    <w:rsid w:val="00AB6CE1"/>
    <w:rsid w:val="00AB7DC6"/>
    <w:rsid w:val="00AC1EE1"/>
    <w:rsid w:val="00AC413A"/>
    <w:rsid w:val="00AC5300"/>
    <w:rsid w:val="00AC5678"/>
    <w:rsid w:val="00AC6338"/>
    <w:rsid w:val="00AD29F2"/>
    <w:rsid w:val="00AD30DE"/>
    <w:rsid w:val="00AD7140"/>
    <w:rsid w:val="00AD7979"/>
    <w:rsid w:val="00AD7B52"/>
    <w:rsid w:val="00AE1067"/>
    <w:rsid w:val="00AE3200"/>
    <w:rsid w:val="00AE35B3"/>
    <w:rsid w:val="00AE4902"/>
    <w:rsid w:val="00AF03EA"/>
    <w:rsid w:val="00AF5CE1"/>
    <w:rsid w:val="00AF72F9"/>
    <w:rsid w:val="00AF730C"/>
    <w:rsid w:val="00B00CE1"/>
    <w:rsid w:val="00B017CB"/>
    <w:rsid w:val="00B04A76"/>
    <w:rsid w:val="00B05875"/>
    <w:rsid w:val="00B07B19"/>
    <w:rsid w:val="00B117CB"/>
    <w:rsid w:val="00B162A0"/>
    <w:rsid w:val="00B16320"/>
    <w:rsid w:val="00B20074"/>
    <w:rsid w:val="00B24D4A"/>
    <w:rsid w:val="00B320F5"/>
    <w:rsid w:val="00B336E8"/>
    <w:rsid w:val="00B436E1"/>
    <w:rsid w:val="00B44161"/>
    <w:rsid w:val="00B45BFD"/>
    <w:rsid w:val="00B47C1A"/>
    <w:rsid w:val="00B530A3"/>
    <w:rsid w:val="00B548B3"/>
    <w:rsid w:val="00B6323E"/>
    <w:rsid w:val="00B63CFF"/>
    <w:rsid w:val="00B63D9F"/>
    <w:rsid w:val="00B66E30"/>
    <w:rsid w:val="00B67E03"/>
    <w:rsid w:val="00B7238E"/>
    <w:rsid w:val="00B82D4E"/>
    <w:rsid w:val="00B8306E"/>
    <w:rsid w:val="00B84007"/>
    <w:rsid w:val="00B85722"/>
    <w:rsid w:val="00B908A7"/>
    <w:rsid w:val="00B93526"/>
    <w:rsid w:val="00B96669"/>
    <w:rsid w:val="00B97688"/>
    <w:rsid w:val="00BB0FD2"/>
    <w:rsid w:val="00BB1295"/>
    <w:rsid w:val="00BB38F7"/>
    <w:rsid w:val="00BB7DD6"/>
    <w:rsid w:val="00BC059B"/>
    <w:rsid w:val="00BC150C"/>
    <w:rsid w:val="00BC297B"/>
    <w:rsid w:val="00BC2A20"/>
    <w:rsid w:val="00BC6A2B"/>
    <w:rsid w:val="00BC7BBA"/>
    <w:rsid w:val="00BC7E35"/>
    <w:rsid w:val="00BD5A69"/>
    <w:rsid w:val="00BE0387"/>
    <w:rsid w:val="00BE48D1"/>
    <w:rsid w:val="00BE624A"/>
    <w:rsid w:val="00BF2A12"/>
    <w:rsid w:val="00BF3EFF"/>
    <w:rsid w:val="00C00512"/>
    <w:rsid w:val="00C10D83"/>
    <w:rsid w:val="00C15431"/>
    <w:rsid w:val="00C16A16"/>
    <w:rsid w:val="00C22298"/>
    <w:rsid w:val="00C2459C"/>
    <w:rsid w:val="00C269DA"/>
    <w:rsid w:val="00C27DE7"/>
    <w:rsid w:val="00C30155"/>
    <w:rsid w:val="00C345E6"/>
    <w:rsid w:val="00C3628C"/>
    <w:rsid w:val="00C433A9"/>
    <w:rsid w:val="00C50954"/>
    <w:rsid w:val="00C52AD6"/>
    <w:rsid w:val="00C54C32"/>
    <w:rsid w:val="00C57BE4"/>
    <w:rsid w:val="00C57DDF"/>
    <w:rsid w:val="00C600F5"/>
    <w:rsid w:val="00C62AB3"/>
    <w:rsid w:val="00C64547"/>
    <w:rsid w:val="00C65AF8"/>
    <w:rsid w:val="00C65F05"/>
    <w:rsid w:val="00C673A7"/>
    <w:rsid w:val="00C717B5"/>
    <w:rsid w:val="00C74182"/>
    <w:rsid w:val="00C81222"/>
    <w:rsid w:val="00C81D7F"/>
    <w:rsid w:val="00C84BC7"/>
    <w:rsid w:val="00C91921"/>
    <w:rsid w:val="00C92C4F"/>
    <w:rsid w:val="00C94B4F"/>
    <w:rsid w:val="00C94BCA"/>
    <w:rsid w:val="00C955C6"/>
    <w:rsid w:val="00C95606"/>
    <w:rsid w:val="00C95674"/>
    <w:rsid w:val="00C95C7E"/>
    <w:rsid w:val="00C95CAE"/>
    <w:rsid w:val="00CA5D25"/>
    <w:rsid w:val="00CB1A66"/>
    <w:rsid w:val="00CB2079"/>
    <w:rsid w:val="00CB2439"/>
    <w:rsid w:val="00CB55CF"/>
    <w:rsid w:val="00CB7640"/>
    <w:rsid w:val="00CC5038"/>
    <w:rsid w:val="00CC706E"/>
    <w:rsid w:val="00CC760A"/>
    <w:rsid w:val="00CD088F"/>
    <w:rsid w:val="00CD0D93"/>
    <w:rsid w:val="00CD2D12"/>
    <w:rsid w:val="00CD42F0"/>
    <w:rsid w:val="00CD6069"/>
    <w:rsid w:val="00CD68A5"/>
    <w:rsid w:val="00CD73C8"/>
    <w:rsid w:val="00CE3519"/>
    <w:rsid w:val="00CE4766"/>
    <w:rsid w:val="00CE7803"/>
    <w:rsid w:val="00CE7BB1"/>
    <w:rsid w:val="00CF06C4"/>
    <w:rsid w:val="00CF08FA"/>
    <w:rsid w:val="00CF4469"/>
    <w:rsid w:val="00D03D3E"/>
    <w:rsid w:val="00D049FE"/>
    <w:rsid w:val="00D05B20"/>
    <w:rsid w:val="00D07C0A"/>
    <w:rsid w:val="00D14390"/>
    <w:rsid w:val="00D17271"/>
    <w:rsid w:val="00D20162"/>
    <w:rsid w:val="00D21015"/>
    <w:rsid w:val="00D21D0A"/>
    <w:rsid w:val="00D22823"/>
    <w:rsid w:val="00D23DE3"/>
    <w:rsid w:val="00D24B4F"/>
    <w:rsid w:val="00D25828"/>
    <w:rsid w:val="00D3052A"/>
    <w:rsid w:val="00D31D8E"/>
    <w:rsid w:val="00D32EF9"/>
    <w:rsid w:val="00D333D6"/>
    <w:rsid w:val="00D3559E"/>
    <w:rsid w:val="00D44388"/>
    <w:rsid w:val="00D45884"/>
    <w:rsid w:val="00D47E14"/>
    <w:rsid w:val="00D51AB9"/>
    <w:rsid w:val="00D520E3"/>
    <w:rsid w:val="00D55A1F"/>
    <w:rsid w:val="00D70F94"/>
    <w:rsid w:val="00D71B70"/>
    <w:rsid w:val="00D71BA2"/>
    <w:rsid w:val="00D7213A"/>
    <w:rsid w:val="00D73EB1"/>
    <w:rsid w:val="00D74E01"/>
    <w:rsid w:val="00D74EF8"/>
    <w:rsid w:val="00D7527D"/>
    <w:rsid w:val="00D772F3"/>
    <w:rsid w:val="00D77350"/>
    <w:rsid w:val="00D830BF"/>
    <w:rsid w:val="00D842A2"/>
    <w:rsid w:val="00D93691"/>
    <w:rsid w:val="00D94294"/>
    <w:rsid w:val="00DA014E"/>
    <w:rsid w:val="00DA3A04"/>
    <w:rsid w:val="00DA49F0"/>
    <w:rsid w:val="00DA7942"/>
    <w:rsid w:val="00DB00F1"/>
    <w:rsid w:val="00DB477E"/>
    <w:rsid w:val="00DB5053"/>
    <w:rsid w:val="00DC0544"/>
    <w:rsid w:val="00DC0A9C"/>
    <w:rsid w:val="00DC0B77"/>
    <w:rsid w:val="00DC3F1E"/>
    <w:rsid w:val="00DC7936"/>
    <w:rsid w:val="00DD255A"/>
    <w:rsid w:val="00DD562C"/>
    <w:rsid w:val="00DE3F6E"/>
    <w:rsid w:val="00DE5852"/>
    <w:rsid w:val="00DE69FC"/>
    <w:rsid w:val="00DF1E89"/>
    <w:rsid w:val="00DF23AE"/>
    <w:rsid w:val="00DF267B"/>
    <w:rsid w:val="00DF2F7B"/>
    <w:rsid w:val="00DF4FCD"/>
    <w:rsid w:val="00DF6341"/>
    <w:rsid w:val="00DF70B5"/>
    <w:rsid w:val="00E037EB"/>
    <w:rsid w:val="00E05C80"/>
    <w:rsid w:val="00E064FD"/>
    <w:rsid w:val="00E0724C"/>
    <w:rsid w:val="00E07ADB"/>
    <w:rsid w:val="00E10783"/>
    <w:rsid w:val="00E12C1A"/>
    <w:rsid w:val="00E12EEF"/>
    <w:rsid w:val="00E140C3"/>
    <w:rsid w:val="00E1599F"/>
    <w:rsid w:val="00E20650"/>
    <w:rsid w:val="00E208DB"/>
    <w:rsid w:val="00E211C3"/>
    <w:rsid w:val="00E219B1"/>
    <w:rsid w:val="00E23ECF"/>
    <w:rsid w:val="00E243C0"/>
    <w:rsid w:val="00E25AC5"/>
    <w:rsid w:val="00E26F89"/>
    <w:rsid w:val="00E27F63"/>
    <w:rsid w:val="00E30D54"/>
    <w:rsid w:val="00E32699"/>
    <w:rsid w:val="00E346E6"/>
    <w:rsid w:val="00E35F9D"/>
    <w:rsid w:val="00E41CB5"/>
    <w:rsid w:val="00E41CED"/>
    <w:rsid w:val="00E44CB1"/>
    <w:rsid w:val="00E45F4E"/>
    <w:rsid w:val="00E478C5"/>
    <w:rsid w:val="00E53D42"/>
    <w:rsid w:val="00E579FB"/>
    <w:rsid w:val="00E62067"/>
    <w:rsid w:val="00E67BF7"/>
    <w:rsid w:val="00E70086"/>
    <w:rsid w:val="00E70099"/>
    <w:rsid w:val="00E72639"/>
    <w:rsid w:val="00E8150A"/>
    <w:rsid w:val="00E8339F"/>
    <w:rsid w:val="00E876BC"/>
    <w:rsid w:val="00E90050"/>
    <w:rsid w:val="00E90158"/>
    <w:rsid w:val="00E9088F"/>
    <w:rsid w:val="00E90C82"/>
    <w:rsid w:val="00E92D28"/>
    <w:rsid w:val="00E94989"/>
    <w:rsid w:val="00E969D5"/>
    <w:rsid w:val="00E96CF7"/>
    <w:rsid w:val="00E97416"/>
    <w:rsid w:val="00EA188F"/>
    <w:rsid w:val="00EA2327"/>
    <w:rsid w:val="00EA2ED4"/>
    <w:rsid w:val="00EA65C5"/>
    <w:rsid w:val="00EB1652"/>
    <w:rsid w:val="00EB425A"/>
    <w:rsid w:val="00EB4E48"/>
    <w:rsid w:val="00EB65EC"/>
    <w:rsid w:val="00EC04AA"/>
    <w:rsid w:val="00EC0B2C"/>
    <w:rsid w:val="00EC4CA9"/>
    <w:rsid w:val="00EC5065"/>
    <w:rsid w:val="00EC5DEC"/>
    <w:rsid w:val="00ED4471"/>
    <w:rsid w:val="00ED6BA9"/>
    <w:rsid w:val="00ED7E1B"/>
    <w:rsid w:val="00EE06EA"/>
    <w:rsid w:val="00EE197E"/>
    <w:rsid w:val="00EE2993"/>
    <w:rsid w:val="00EE4EAB"/>
    <w:rsid w:val="00EE5F7F"/>
    <w:rsid w:val="00EE6B17"/>
    <w:rsid w:val="00EF0E4C"/>
    <w:rsid w:val="00EF5BB1"/>
    <w:rsid w:val="00EF7B8E"/>
    <w:rsid w:val="00F011BD"/>
    <w:rsid w:val="00F02FE5"/>
    <w:rsid w:val="00F0362A"/>
    <w:rsid w:val="00F03BBE"/>
    <w:rsid w:val="00F04A09"/>
    <w:rsid w:val="00F04DA3"/>
    <w:rsid w:val="00F04F47"/>
    <w:rsid w:val="00F05128"/>
    <w:rsid w:val="00F0620B"/>
    <w:rsid w:val="00F10FDB"/>
    <w:rsid w:val="00F14D78"/>
    <w:rsid w:val="00F172CE"/>
    <w:rsid w:val="00F2084C"/>
    <w:rsid w:val="00F34966"/>
    <w:rsid w:val="00F35271"/>
    <w:rsid w:val="00F403E0"/>
    <w:rsid w:val="00F4166C"/>
    <w:rsid w:val="00F41BC2"/>
    <w:rsid w:val="00F4420D"/>
    <w:rsid w:val="00F45AA2"/>
    <w:rsid w:val="00F5042D"/>
    <w:rsid w:val="00F50903"/>
    <w:rsid w:val="00F52088"/>
    <w:rsid w:val="00F53BEC"/>
    <w:rsid w:val="00F60F2A"/>
    <w:rsid w:val="00F61F82"/>
    <w:rsid w:val="00F64BE0"/>
    <w:rsid w:val="00F65226"/>
    <w:rsid w:val="00F6756F"/>
    <w:rsid w:val="00F73F73"/>
    <w:rsid w:val="00F74005"/>
    <w:rsid w:val="00F742B7"/>
    <w:rsid w:val="00F7570B"/>
    <w:rsid w:val="00F8001E"/>
    <w:rsid w:val="00F8456D"/>
    <w:rsid w:val="00F849AE"/>
    <w:rsid w:val="00F85FAB"/>
    <w:rsid w:val="00F87F37"/>
    <w:rsid w:val="00F90812"/>
    <w:rsid w:val="00F96575"/>
    <w:rsid w:val="00FA02A8"/>
    <w:rsid w:val="00FA0F7B"/>
    <w:rsid w:val="00FA44BF"/>
    <w:rsid w:val="00FA6BCC"/>
    <w:rsid w:val="00FB1F87"/>
    <w:rsid w:val="00FB2D27"/>
    <w:rsid w:val="00FB50B3"/>
    <w:rsid w:val="00FC16FB"/>
    <w:rsid w:val="00FC2B55"/>
    <w:rsid w:val="00FC2BD9"/>
    <w:rsid w:val="00FC3995"/>
    <w:rsid w:val="00FD4640"/>
    <w:rsid w:val="00FD5DD2"/>
    <w:rsid w:val="00FD6AB7"/>
    <w:rsid w:val="00FE0A26"/>
    <w:rsid w:val="00FE147C"/>
    <w:rsid w:val="00FE33CD"/>
    <w:rsid w:val="00FE3587"/>
    <w:rsid w:val="00FE6267"/>
    <w:rsid w:val="00FF0152"/>
    <w:rsid w:val="00FF0BAC"/>
    <w:rsid w:val="00FF0E0D"/>
    <w:rsid w:val="00FF0FB1"/>
    <w:rsid w:val="00FF423E"/>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098C9"/>
  <w14:defaultImageDpi w14:val="300"/>
  <w15:docId w15:val="{4E632D8B-A6A9-414A-BEA1-CE0FD84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57F0F"/>
  </w:style>
  <w:style w:type="paragraph" w:styleId="Header">
    <w:name w:val="header"/>
    <w:basedOn w:val="Normal"/>
    <w:link w:val="HeaderChar"/>
    <w:uiPriority w:val="99"/>
    <w:unhideWhenUsed/>
    <w:rsid w:val="00357F0F"/>
    <w:pPr>
      <w:tabs>
        <w:tab w:val="center" w:pos="4320"/>
        <w:tab w:val="right" w:pos="8640"/>
      </w:tabs>
    </w:pPr>
  </w:style>
  <w:style w:type="character" w:customStyle="1" w:styleId="FootnoteTextChar">
    <w:name w:val="Footnote Text Char"/>
    <w:basedOn w:val="DefaultParagraphFont"/>
    <w:link w:val="FootnoteText"/>
    <w:uiPriority w:val="99"/>
    <w:rsid w:val="00357F0F"/>
  </w:style>
  <w:style w:type="paragraph" w:styleId="FootnoteText">
    <w:name w:val="footnote text"/>
    <w:basedOn w:val="Normal"/>
    <w:link w:val="FootnoteTextChar"/>
    <w:uiPriority w:val="99"/>
    <w:unhideWhenUsed/>
    <w:rsid w:val="00357F0F"/>
  </w:style>
  <w:style w:type="paragraph" w:styleId="Footer">
    <w:name w:val="footer"/>
    <w:basedOn w:val="Normal"/>
    <w:link w:val="FooterChar"/>
    <w:uiPriority w:val="99"/>
    <w:unhideWhenUsed/>
    <w:rsid w:val="00C81D7F"/>
    <w:pPr>
      <w:tabs>
        <w:tab w:val="center" w:pos="4320"/>
        <w:tab w:val="right" w:pos="8640"/>
      </w:tabs>
    </w:pPr>
  </w:style>
  <w:style w:type="character" w:customStyle="1" w:styleId="FooterChar">
    <w:name w:val="Footer Char"/>
    <w:basedOn w:val="DefaultParagraphFont"/>
    <w:link w:val="Footer"/>
    <w:uiPriority w:val="99"/>
    <w:rsid w:val="00C81D7F"/>
  </w:style>
  <w:style w:type="character" w:styleId="FootnoteReference">
    <w:name w:val="footnote reference"/>
    <w:basedOn w:val="DefaultParagraphFont"/>
    <w:uiPriority w:val="99"/>
    <w:unhideWhenUsed/>
    <w:rsid w:val="00357F0F"/>
    <w:rPr>
      <w:vertAlign w:val="superscript"/>
    </w:rPr>
  </w:style>
  <w:style w:type="character" w:styleId="Hyperlink">
    <w:name w:val="Hyperlink"/>
    <w:basedOn w:val="DefaultParagraphFont"/>
    <w:uiPriority w:val="99"/>
    <w:unhideWhenUsed/>
    <w:rsid w:val="00357F0F"/>
    <w:rPr>
      <w:color w:val="0000FF" w:themeColor="hyperlink"/>
      <w:u w:val="single"/>
    </w:rPr>
  </w:style>
  <w:style w:type="character" w:styleId="PageNumber">
    <w:name w:val="page number"/>
    <w:basedOn w:val="DefaultParagraphFont"/>
    <w:uiPriority w:val="99"/>
    <w:semiHidden/>
    <w:unhideWhenUsed/>
    <w:rsid w:val="00357F0F"/>
  </w:style>
  <w:style w:type="character" w:styleId="UnresolvedMention">
    <w:name w:val="Unresolved Mention"/>
    <w:basedOn w:val="DefaultParagraphFont"/>
    <w:uiPriority w:val="99"/>
    <w:semiHidden/>
    <w:unhideWhenUsed/>
    <w:rsid w:val="00B85722"/>
    <w:rPr>
      <w:color w:val="605E5C"/>
      <w:shd w:val="clear" w:color="auto" w:fill="E1DFDD"/>
    </w:rPr>
  </w:style>
  <w:style w:type="character" w:customStyle="1" w:styleId="normaltextrun">
    <w:name w:val="normaltextrun"/>
    <w:basedOn w:val="DefaultParagraphFont"/>
    <w:rsid w:val="00CD68A5"/>
  </w:style>
  <w:style w:type="paragraph" w:styleId="IntenseQuote">
    <w:name w:val="Intense Quote"/>
    <w:basedOn w:val="Normal"/>
    <w:next w:val="Normal"/>
    <w:link w:val="IntenseQuoteChar"/>
    <w:uiPriority w:val="30"/>
    <w:qFormat/>
    <w:rsid w:val="008E31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31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tuni.fi/hex/" TargetMode="External"/><Relationship Id="rId2" Type="http://schemas.openxmlformats.org/officeDocument/2006/relationships/hyperlink" Target="https://www.theguardian.com/world/2020/may/03/i-feel-like-a-1950s-housewife-how-lockdown-has-exposed-the-gender-divide" TargetMode="External"/><Relationship Id="rId1" Type="http://schemas.openxmlformats.org/officeDocument/2006/relationships/hyperlink" Target="https://www.tandfonline.com/doi/full/10.1080/09612025.2023.2267251%20Accessed%2023%20February%202024" TargetMode="External"/><Relationship Id="rId4" Type="http://schemas.openxmlformats.org/officeDocument/2006/relationships/hyperlink" Target="https://sites.tuni.fi/hexhandbook/theory/communities-of-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5488</Words>
  <Characters>31284</Characters>
  <Application>Microsoft Office Word</Application>
  <DocSecurity>0</DocSecurity>
  <Lines>488</Lines>
  <Paragraphs>52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Beaumont</dc:creator>
  <cp:keywords/>
  <dc:description/>
  <cp:lastModifiedBy>Caitriona Beaumont</cp:lastModifiedBy>
  <cp:revision>6</cp:revision>
  <dcterms:created xsi:type="dcterms:W3CDTF">2024-04-07T11:21:00Z</dcterms:created>
  <dcterms:modified xsi:type="dcterms:W3CDTF">2024-04-11T16:22:00Z</dcterms:modified>
</cp:coreProperties>
</file>