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154E" w14:textId="2F3EF401" w:rsidR="00973552" w:rsidRPr="0052573B" w:rsidRDefault="00973552" w:rsidP="00973552">
      <w:pPr>
        <w:rPr>
          <w:b/>
        </w:rPr>
      </w:pPr>
      <w:r w:rsidRPr="0052573B">
        <w:rPr>
          <w:b/>
        </w:rPr>
        <w:t xml:space="preserve">Title </w:t>
      </w:r>
    </w:p>
    <w:p w14:paraId="20498582" w14:textId="3F9383D3" w:rsidR="00D77C7F" w:rsidRPr="0052573B" w:rsidRDefault="00D77C7F" w:rsidP="00006747">
      <w:pPr>
        <w:rPr>
          <w:rFonts w:cstheme="minorHAnsi"/>
        </w:rPr>
      </w:pPr>
      <w:r w:rsidRPr="0052573B">
        <w:rPr>
          <w:rFonts w:cstheme="minorHAnsi"/>
        </w:rPr>
        <w:t xml:space="preserve">Patients’ perspectives of recovery after COVID-19 critical illness; an interview study  </w:t>
      </w:r>
    </w:p>
    <w:p w14:paraId="56CE1510" w14:textId="688A64CA" w:rsidR="00006747" w:rsidRPr="0052573B" w:rsidRDefault="004943D4" w:rsidP="00006747">
      <w:r w:rsidRPr="0052573B">
        <w:rPr>
          <w:b/>
        </w:rPr>
        <w:t>Abstract</w:t>
      </w:r>
    </w:p>
    <w:p w14:paraId="159DC2F0" w14:textId="2E9FDD1F" w:rsidR="00D812BE" w:rsidRPr="0052573B" w:rsidRDefault="00D812BE" w:rsidP="00FE5599">
      <w:r w:rsidRPr="0052573B">
        <w:t>Background</w:t>
      </w:r>
    </w:p>
    <w:p w14:paraId="45F2AF4D" w14:textId="2A7F97A8" w:rsidR="005B171C" w:rsidRPr="0052573B" w:rsidRDefault="005B171C" w:rsidP="00FE5599">
      <w:r w:rsidRPr="0052573B">
        <w:t xml:space="preserve">Critical illness is a traumatic experience, often resulting in </w:t>
      </w:r>
      <w:r w:rsidR="005B78BE" w:rsidRPr="0052573B">
        <w:t xml:space="preserve">post intensive care syndrome, affecting people’s physical, </w:t>
      </w:r>
      <w:r w:rsidR="00E66F55" w:rsidRPr="0052573B">
        <w:t>psychological</w:t>
      </w:r>
      <w:r w:rsidR="005B78BE" w:rsidRPr="0052573B">
        <w:t>, emotional, and social well-being.</w:t>
      </w:r>
      <w:r w:rsidR="00E66F55" w:rsidRPr="0052573B">
        <w:t xml:space="preserve"> The early recovery period is associated with increased risk, negatively impacting longer-term outcomes.</w:t>
      </w:r>
    </w:p>
    <w:p w14:paraId="7F14BDFF" w14:textId="358AA752" w:rsidR="00D812BE" w:rsidRPr="0052573B" w:rsidRDefault="00D812BE" w:rsidP="00D812BE">
      <w:r w:rsidRPr="0052573B">
        <w:t>Aim</w:t>
      </w:r>
      <w:r w:rsidR="005B171C" w:rsidRPr="0052573B">
        <w:t>s</w:t>
      </w:r>
    </w:p>
    <w:p w14:paraId="434BAF88" w14:textId="6B04EEAB" w:rsidR="005B171C" w:rsidRPr="0052573B" w:rsidRDefault="005B171C" w:rsidP="005B171C">
      <w:bookmarkStart w:id="0" w:name="_Hlk96699448"/>
      <w:r w:rsidRPr="0052573B">
        <w:t xml:space="preserve">The aims of this study were to understand the recovery and rehabilitation needs of people who survive a COVID-19 </w:t>
      </w:r>
      <w:r w:rsidR="00E66F55" w:rsidRPr="0052573B">
        <w:t>critical illness</w:t>
      </w:r>
      <w:r w:rsidRPr="0052573B">
        <w:t>. Objectives were to:</w:t>
      </w:r>
    </w:p>
    <w:p w14:paraId="4999D1EB" w14:textId="404B0088" w:rsidR="005B171C" w:rsidRPr="0052573B" w:rsidRDefault="005B171C" w:rsidP="005B171C">
      <w:pPr>
        <w:pStyle w:val="ListParagraph"/>
        <w:numPr>
          <w:ilvl w:val="0"/>
          <w:numId w:val="24"/>
        </w:numPr>
      </w:pPr>
      <w:bookmarkStart w:id="1" w:name="_Hlk96699404"/>
      <w:r w:rsidRPr="0052573B">
        <w:t xml:space="preserve">Describe survivors’ experiences of COVID-19 critical illness </w:t>
      </w:r>
    </w:p>
    <w:p w14:paraId="2D16F239" w14:textId="79066689" w:rsidR="005B171C" w:rsidRPr="0052573B" w:rsidRDefault="005B171C" w:rsidP="005B171C">
      <w:pPr>
        <w:pStyle w:val="ListParagraph"/>
        <w:numPr>
          <w:ilvl w:val="0"/>
          <w:numId w:val="24"/>
        </w:numPr>
      </w:pPr>
      <w:r w:rsidRPr="0052573B">
        <w:t>Identify survivors' perspectives on the</w:t>
      </w:r>
      <w:r w:rsidR="00CC1859" w:rsidRPr="0052573B">
        <w:t xml:space="preserve"> </w:t>
      </w:r>
      <w:r w:rsidRPr="0052573B">
        <w:t>support required to optimise rehabilitation and recovery</w:t>
      </w:r>
    </w:p>
    <w:p w14:paraId="131AB614" w14:textId="7809AFE6" w:rsidR="00D812BE" w:rsidRPr="0052573B" w:rsidRDefault="005B171C" w:rsidP="00D812BE">
      <w:pPr>
        <w:pStyle w:val="ListParagraph"/>
        <w:numPr>
          <w:ilvl w:val="0"/>
          <w:numId w:val="24"/>
        </w:numPr>
      </w:pPr>
      <w:bookmarkStart w:id="2" w:name="_Hlk96699521"/>
      <w:r w:rsidRPr="0052573B">
        <w:t xml:space="preserve">Determine the extent to which </w:t>
      </w:r>
      <w:r w:rsidR="00CC1859" w:rsidRPr="0052573B">
        <w:t xml:space="preserve">findings </w:t>
      </w:r>
      <w:r w:rsidRPr="0052573B">
        <w:t xml:space="preserve">align with those </w:t>
      </w:r>
      <w:r w:rsidR="00CC1859" w:rsidRPr="0052573B">
        <w:t xml:space="preserve">of </w:t>
      </w:r>
      <w:r w:rsidRPr="0052573B">
        <w:t>other critical illnesses</w:t>
      </w:r>
      <w:r w:rsidR="001C268F" w:rsidRPr="0052573B">
        <w:t xml:space="preserve"> survivors. </w:t>
      </w:r>
    </w:p>
    <w:bookmarkEnd w:id="0"/>
    <w:bookmarkEnd w:id="1"/>
    <w:bookmarkEnd w:id="2"/>
    <w:p w14:paraId="03EF9B33" w14:textId="77777777" w:rsidR="005B171C" w:rsidRPr="0052573B" w:rsidRDefault="005B171C" w:rsidP="005B171C">
      <w:r w:rsidRPr="0052573B">
        <w:t>Design and Methods</w:t>
      </w:r>
    </w:p>
    <w:p w14:paraId="1E9CD2CB" w14:textId="3914A965" w:rsidR="005B171C" w:rsidRPr="0052573B" w:rsidRDefault="005B171C" w:rsidP="005B171C">
      <w:r w:rsidRPr="0052573B">
        <w:t>A</w:t>
      </w:r>
      <w:r w:rsidR="002C7208" w:rsidRPr="0052573B">
        <w:t>n</w:t>
      </w:r>
      <w:r w:rsidRPr="0052573B">
        <w:t xml:space="preserve"> </w:t>
      </w:r>
      <w:r w:rsidR="009F4FC5" w:rsidRPr="0052573B">
        <w:t xml:space="preserve">exploratory descriptive </w:t>
      </w:r>
      <w:r w:rsidRPr="0052573B">
        <w:t xml:space="preserve">qualitative </w:t>
      </w:r>
      <w:r w:rsidR="005B78BE" w:rsidRPr="0052573B">
        <w:t>interview study with 20 survivors of COVID-19 critical illness</w:t>
      </w:r>
      <w:r w:rsidR="00CC1859" w:rsidRPr="0052573B">
        <w:t xml:space="preserve"> from two community-based healthcare settings in London, England</w:t>
      </w:r>
      <w:r w:rsidR="005B78BE" w:rsidRPr="0052573B">
        <w:t xml:space="preserve">. Data collection took place </w:t>
      </w:r>
      <w:r w:rsidR="00CC1859" w:rsidRPr="0052573B">
        <w:t xml:space="preserve">September 2020-April 2021, at least one month after hospital discharge </w:t>
      </w:r>
      <w:r w:rsidR="00E66F55" w:rsidRPr="0052573B">
        <w:t xml:space="preserve">by telephone or </w:t>
      </w:r>
      <w:r w:rsidR="00953038" w:rsidRPr="0052573B">
        <w:t>virtual</w:t>
      </w:r>
      <w:r w:rsidR="00CC1859" w:rsidRPr="0052573B">
        <w:t xml:space="preserve"> platform</w:t>
      </w:r>
      <w:r w:rsidR="005B78BE" w:rsidRPr="0052573B">
        <w:t>. Data were subject</w:t>
      </w:r>
      <w:r w:rsidR="00E66F55" w:rsidRPr="0052573B">
        <w:t>ed</w:t>
      </w:r>
      <w:r w:rsidR="005B78BE" w:rsidRPr="0052573B">
        <w:t xml:space="preserve"> to a standard process of thematic </w:t>
      </w:r>
      <w:r w:rsidR="00C21780" w:rsidRPr="0052573B">
        <w:t>analysis</w:t>
      </w:r>
      <w:r w:rsidR="00E66F55" w:rsidRPr="0052573B">
        <w:t xml:space="preserve"> and mapped to the three core concepts of self-determination theory: autonomy, competence and relatedness.</w:t>
      </w:r>
    </w:p>
    <w:p w14:paraId="3B9F8290" w14:textId="6AAE21D7" w:rsidR="00D812BE" w:rsidRPr="0052573B" w:rsidRDefault="00D812BE" w:rsidP="00D812BE">
      <w:r w:rsidRPr="0052573B">
        <w:t xml:space="preserve">Findings </w:t>
      </w:r>
    </w:p>
    <w:p w14:paraId="6AA3DF84" w14:textId="3A41842D" w:rsidR="00310A6D" w:rsidRPr="0052573B" w:rsidRDefault="00D812BE" w:rsidP="00310A6D">
      <w:pPr>
        <w:pStyle w:val="EndNoteBibliography"/>
      </w:pPr>
      <w:r w:rsidRPr="0052573B">
        <w:t>Three key themes emerged: traumatic experience, human connection and navigating a complex system.</w:t>
      </w:r>
      <w:r w:rsidR="00E66F55" w:rsidRPr="0052573B">
        <w:t xml:space="preserve"> </w:t>
      </w:r>
      <w:r w:rsidR="00310A6D" w:rsidRPr="0052573B">
        <w:t>Part</w:t>
      </w:r>
      <w:r w:rsidR="00FE7C6F" w:rsidRPr="0052573B">
        <w:t>i</w:t>
      </w:r>
      <w:r w:rsidR="00310A6D" w:rsidRPr="0052573B">
        <w:t xml:space="preserve">cipants </w:t>
      </w:r>
      <w:r w:rsidR="00310A6D" w:rsidRPr="0052573B">
        <w:rPr>
          <w:bCs/>
        </w:rPr>
        <w:t xml:space="preserve">described how societal restrictions, fear and </w:t>
      </w:r>
      <w:r w:rsidR="00FE7C6F" w:rsidRPr="0052573B">
        <w:rPr>
          <w:bCs/>
        </w:rPr>
        <w:t>communi</w:t>
      </w:r>
      <w:r w:rsidR="00E66F55" w:rsidRPr="0052573B">
        <w:rPr>
          <w:bCs/>
        </w:rPr>
        <w:t>c</w:t>
      </w:r>
      <w:r w:rsidR="00FE7C6F" w:rsidRPr="0052573B">
        <w:rPr>
          <w:bCs/>
        </w:rPr>
        <w:t>ation problems</w:t>
      </w:r>
      <w:r w:rsidR="00310A6D" w:rsidRPr="0052573B">
        <w:rPr>
          <w:bCs/>
        </w:rPr>
        <w:t xml:space="preserve"> caused by the pandemic added to </w:t>
      </w:r>
      <w:r w:rsidR="00FE7C6F" w:rsidRPr="0052573B">
        <w:rPr>
          <w:bCs/>
        </w:rPr>
        <w:t xml:space="preserve">their trauma and the </w:t>
      </w:r>
      <w:r w:rsidR="00310A6D" w:rsidRPr="0052573B">
        <w:rPr>
          <w:bCs/>
        </w:rPr>
        <w:t>challenge of recovery.</w:t>
      </w:r>
      <w:r w:rsidR="00FE7C6F" w:rsidRPr="0052573B">
        <w:t xml:space="preserve"> T</w:t>
      </w:r>
      <w:r w:rsidR="00FE7C6F" w:rsidRPr="0052573B">
        <w:rPr>
          <w:bCs/>
        </w:rPr>
        <w:t xml:space="preserve">he importance of </w:t>
      </w:r>
      <w:r w:rsidR="00E66F55" w:rsidRPr="0052573B">
        <w:rPr>
          <w:bCs/>
        </w:rPr>
        <w:t xml:space="preserve">positive </w:t>
      </w:r>
      <w:r w:rsidR="00FE7C6F" w:rsidRPr="0052573B">
        <w:rPr>
          <w:bCs/>
        </w:rPr>
        <w:t xml:space="preserve">human connections, </w:t>
      </w:r>
      <w:r w:rsidR="00CC1859" w:rsidRPr="0052573B">
        <w:rPr>
          <w:bCs/>
        </w:rPr>
        <w:t xml:space="preserve">timely </w:t>
      </w:r>
      <w:r w:rsidR="00E66F55" w:rsidRPr="0052573B">
        <w:rPr>
          <w:bCs/>
        </w:rPr>
        <w:t xml:space="preserve">information and support to navigate the system was emphasised. </w:t>
      </w:r>
      <w:r w:rsidR="00FE7C6F" w:rsidRPr="0052573B">
        <w:rPr>
          <w:bCs/>
        </w:rPr>
        <w:t xml:space="preserve"> </w:t>
      </w:r>
    </w:p>
    <w:p w14:paraId="52B7C244" w14:textId="52BE3F6D" w:rsidR="00D812BE" w:rsidRPr="0052573B" w:rsidRDefault="00D812BE" w:rsidP="00D812BE">
      <w:r w:rsidRPr="0052573B">
        <w:t xml:space="preserve">Conclusions </w:t>
      </w:r>
    </w:p>
    <w:p w14:paraId="67940D7D" w14:textId="59201ED0" w:rsidR="005B171C" w:rsidRPr="0052573B" w:rsidRDefault="00C21780" w:rsidP="00D812BE">
      <w:r w:rsidRPr="0052573B">
        <w:t xml:space="preserve">Whilst findings to some extent mirror those of other qualitative pre-pandemic studies, </w:t>
      </w:r>
      <w:r w:rsidR="00CC1859" w:rsidRPr="0052573B">
        <w:t xml:space="preserve">our findings highlight how the </w:t>
      </w:r>
      <w:r w:rsidR="005B171C" w:rsidRPr="0052573B">
        <w:t xml:space="preserve">uncertainty </w:t>
      </w:r>
      <w:r w:rsidR="00E66F55" w:rsidRPr="0052573B">
        <w:t xml:space="preserve">and instability </w:t>
      </w:r>
      <w:r w:rsidR="005B171C" w:rsidRPr="0052573B">
        <w:t>caused by the pandemic</w:t>
      </w:r>
      <w:r w:rsidRPr="0052573B">
        <w:t xml:space="preserve"> add</w:t>
      </w:r>
      <w:r w:rsidR="00E66F55" w:rsidRPr="0052573B">
        <w:t>s</w:t>
      </w:r>
      <w:r w:rsidRPr="0052573B">
        <w:t xml:space="preserve"> to</w:t>
      </w:r>
      <w:r w:rsidR="005B171C" w:rsidRPr="0052573B">
        <w:t xml:space="preserve"> the challenge of recovery</w:t>
      </w:r>
      <w:r w:rsidRPr="0052573B">
        <w:t xml:space="preserve"> </w:t>
      </w:r>
      <w:r w:rsidR="00E66F55" w:rsidRPr="0052573B">
        <w:t xml:space="preserve">affecting all core concepts of self-determination (autonomy, competence, relatedness). </w:t>
      </w:r>
    </w:p>
    <w:p w14:paraId="7B478EF5" w14:textId="05989095" w:rsidR="00D812BE" w:rsidRPr="0052573B" w:rsidRDefault="00D812BE" w:rsidP="00FE5599">
      <w:r w:rsidRPr="0052573B">
        <w:t>Relevance to clinical practice</w:t>
      </w:r>
    </w:p>
    <w:p w14:paraId="57798C4C" w14:textId="7BE9D31B" w:rsidR="00FE5599" w:rsidRPr="0052573B" w:rsidRDefault="00CC1859" w:rsidP="00FE5599">
      <w:r w:rsidRPr="0052573B">
        <w:t xml:space="preserve">Understanding survivors’ perspectives of rehabilitation needs following COVID-19 critical illness is vital to delivery safe, high-quality care. </w:t>
      </w:r>
      <w:r w:rsidR="00E66F55" w:rsidRPr="0052573B">
        <w:t xml:space="preserve">To optimise chances of effective recovery, </w:t>
      </w:r>
      <w:r w:rsidR="005B171C" w:rsidRPr="0052573B">
        <w:t xml:space="preserve">survivors </w:t>
      </w:r>
      <w:r w:rsidRPr="0052573B">
        <w:t xml:space="preserve">desire </w:t>
      </w:r>
      <w:r w:rsidR="005B171C" w:rsidRPr="0052573B">
        <w:t xml:space="preserve">a specialist, co-ordinated and personalised recovery pathway, which reflects humanised care. </w:t>
      </w:r>
      <w:r w:rsidR="00E66F55" w:rsidRPr="0052573B">
        <w:t>This should be considered when planning future service provision.</w:t>
      </w:r>
      <w:r w:rsidR="009E605F" w:rsidRPr="0052573B">
        <w:rPr>
          <w:b/>
          <w:bCs/>
        </w:rPr>
        <w:br w:type="page"/>
      </w:r>
      <w:r w:rsidR="00FE5599" w:rsidRPr="0052573B">
        <w:rPr>
          <w:b/>
          <w:bCs/>
        </w:rPr>
        <w:lastRenderedPageBreak/>
        <w:t xml:space="preserve">Introduction </w:t>
      </w:r>
    </w:p>
    <w:p w14:paraId="6D081ACB" w14:textId="517C24AD" w:rsidR="00FE5599" w:rsidRPr="0052573B" w:rsidRDefault="001C6484" w:rsidP="00FE5599">
      <w:r w:rsidRPr="0052573B">
        <w:t xml:space="preserve">Despite mortality rates of approximately 40% for those admitted to an intensive care unit (ICU) with COVID-19 </w:t>
      </w:r>
      <w:r w:rsidR="009E605F" w:rsidRPr="0052573B">
        <w:t>during the height of the pandemic</w:t>
      </w:r>
      <w:r w:rsidR="00052DE8" w:rsidRPr="0052573B">
        <w:t xml:space="preserve"> in the United Kingdom (UK)</w:t>
      </w:r>
      <w:r w:rsidR="00BF4290" w:rsidRPr="0052573B">
        <w:t>,</w:t>
      </w:r>
      <w:r w:rsidR="007F63B1" w:rsidRPr="0052573B">
        <w:rPr>
          <w:vertAlign w:val="superscript"/>
        </w:rPr>
        <w:t>1</w:t>
      </w:r>
      <w:r w:rsidR="00052DE8" w:rsidRPr="0052573B">
        <w:t xml:space="preserve"> </w:t>
      </w:r>
      <w:r w:rsidRPr="0052573B">
        <w:t>t</w:t>
      </w:r>
      <w:r w:rsidR="00FE5599" w:rsidRPr="0052573B">
        <w:t xml:space="preserve">here are </w:t>
      </w:r>
      <w:r w:rsidRPr="0052573B">
        <w:t xml:space="preserve">also </w:t>
      </w:r>
      <w:r w:rsidR="00FE5599" w:rsidRPr="0052573B">
        <w:t>now an unprecedented number of survivors</w:t>
      </w:r>
      <w:r w:rsidR="007B19C7" w:rsidRPr="0052573B">
        <w:t>.</w:t>
      </w:r>
      <w:r w:rsidR="007F63B1" w:rsidRPr="0052573B">
        <w:rPr>
          <w:vertAlign w:val="superscript"/>
        </w:rPr>
        <w:t>2</w:t>
      </w:r>
      <w:r w:rsidR="00FE5599" w:rsidRPr="0052573B">
        <w:t xml:space="preserve"> To prioritise patient-centred rehabilitation and recovery interventions</w:t>
      </w:r>
      <w:r w:rsidR="009E605F" w:rsidRPr="0052573B">
        <w:t xml:space="preserve"> for these survivors</w:t>
      </w:r>
      <w:r w:rsidR="00FE5599" w:rsidRPr="0052573B">
        <w:t>, there is an urgent need to understand more fully the consequen</w:t>
      </w:r>
      <w:r w:rsidR="009E605F" w:rsidRPr="0052573B">
        <w:t>c</w:t>
      </w:r>
      <w:r w:rsidR="00FE5599" w:rsidRPr="0052573B">
        <w:t xml:space="preserve">es of </w:t>
      </w:r>
      <w:r w:rsidR="009E605F" w:rsidRPr="0052573B">
        <w:t xml:space="preserve">having a COVID-19 </w:t>
      </w:r>
      <w:r w:rsidR="00FE5599" w:rsidRPr="0052573B">
        <w:t xml:space="preserve">critical </w:t>
      </w:r>
      <w:r w:rsidR="00126F7D" w:rsidRPr="0052573B">
        <w:t>illness</w:t>
      </w:r>
      <w:r w:rsidR="007B19C7" w:rsidRPr="0052573B">
        <w:t>.</w:t>
      </w:r>
      <w:r w:rsidR="007F63B1" w:rsidRPr="0052573B">
        <w:rPr>
          <w:vertAlign w:val="superscript"/>
        </w:rPr>
        <w:t>3</w:t>
      </w:r>
    </w:p>
    <w:p w14:paraId="26FF789F" w14:textId="7013D9F2" w:rsidR="00735F66" w:rsidRPr="0052573B" w:rsidRDefault="00735F66" w:rsidP="00FE5599">
      <w:pPr>
        <w:rPr>
          <w:b/>
          <w:bCs/>
        </w:rPr>
      </w:pPr>
      <w:r w:rsidRPr="0052573B">
        <w:rPr>
          <w:b/>
          <w:bCs/>
        </w:rPr>
        <w:t>Background</w:t>
      </w:r>
    </w:p>
    <w:p w14:paraId="68BAE132" w14:textId="503F3444" w:rsidR="00FE5599" w:rsidRPr="0052573B" w:rsidRDefault="00FE5599" w:rsidP="007C69D8">
      <w:bookmarkStart w:id="3" w:name="_Hlk96695629"/>
      <w:r w:rsidRPr="0052573B">
        <w:t xml:space="preserve">For many people, COVID-19 is a mild condition. However, for those who develop more severe illness, advanced ventilatory support with, or without, admission to an ICU may be required. </w:t>
      </w:r>
      <w:bookmarkEnd w:id="3"/>
      <w:r w:rsidRPr="0052573B">
        <w:t>Worldwide, among all hospitalised patients with COVID-19, approximately 26-32% have required ICU</w:t>
      </w:r>
      <w:r w:rsidR="007B19C7" w:rsidRPr="0052573B">
        <w:t xml:space="preserve"> admission</w:t>
      </w:r>
      <w:r w:rsidR="006D53B6" w:rsidRPr="0052573B">
        <w:t>,</w:t>
      </w:r>
      <w:r w:rsidR="007F63B1" w:rsidRPr="0052573B">
        <w:rPr>
          <w:vertAlign w:val="superscript"/>
        </w:rPr>
        <w:t>4</w:t>
      </w:r>
      <w:r w:rsidR="006D53B6" w:rsidRPr="0052573B">
        <w:t xml:space="preserve"> although these numbers have fallen since the roll-out of the vaccination programme.</w:t>
      </w:r>
      <w:r w:rsidR="00FB5035" w:rsidRPr="0052573B">
        <w:t xml:space="preserve"> Newer variants, such as Omicron </w:t>
      </w:r>
      <w:r w:rsidR="00D97729" w:rsidRPr="0052573B">
        <w:t xml:space="preserve">are also associated with </w:t>
      </w:r>
      <w:r w:rsidR="00FB5035" w:rsidRPr="0052573B">
        <w:t>a lower ICU admission rate than those from earlier in the pandemic.</w:t>
      </w:r>
      <w:r w:rsidR="00547456" w:rsidRPr="0052573B">
        <w:rPr>
          <w:vertAlign w:val="superscript"/>
        </w:rPr>
        <w:t>5</w:t>
      </w:r>
    </w:p>
    <w:p w14:paraId="645E3692" w14:textId="6AEB7CB5" w:rsidR="00FE5599" w:rsidRPr="0052573B" w:rsidRDefault="00FE5599" w:rsidP="00FE5599">
      <w:r w:rsidRPr="0052573B">
        <w:t>Critical illness causes long-lasting physical, cognitive, and psychosocial problems</w:t>
      </w:r>
      <w:r w:rsidR="00D97729" w:rsidRPr="0052573B">
        <w:t>, negatively impacting</w:t>
      </w:r>
      <w:r w:rsidRPr="0052573B">
        <w:t xml:space="preserve"> people’s quality of life; termed post-intensive care syndrome (PICS)</w:t>
      </w:r>
      <w:r w:rsidR="007B19C7" w:rsidRPr="0052573B">
        <w:t>.</w:t>
      </w:r>
      <w:r w:rsidR="00547456" w:rsidRPr="0052573B">
        <w:rPr>
          <w:vertAlign w:val="superscript"/>
        </w:rPr>
        <w:t>6</w:t>
      </w:r>
      <w:r w:rsidR="007F63B1" w:rsidRPr="0052573B">
        <w:rPr>
          <w:vertAlign w:val="superscript"/>
        </w:rPr>
        <w:t>,</w:t>
      </w:r>
      <w:r w:rsidR="00547456" w:rsidRPr="0052573B">
        <w:rPr>
          <w:vertAlign w:val="superscript"/>
        </w:rPr>
        <w:t>7</w:t>
      </w:r>
      <w:r w:rsidR="007F63B1" w:rsidRPr="0052573B">
        <w:rPr>
          <w:vertAlign w:val="superscript"/>
        </w:rPr>
        <w:t>,</w:t>
      </w:r>
      <w:r w:rsidR="00547456" w:rsidRPr="0052573B">
        <w:rPr>
          <w:vertAlign w:val="superscript"/>
        </w:rPr>
        <w:t>8</w:t>
      </w:r>
      <w:r w:rsidRPr="0052573B">
        <w:t xml:space="preserve"> </w:t>
      </w:r>
      <w:r w:rsidR="00FB5035" w:rsidRPr="0052573B">
        <w:t>Poorer q</w:t>
      </w:r>
      <w:r w:rsidRPr="0052573B">
        <w:t xml:space="preserve">uality of life </w:t>
      </w:r>
      <w:r w:rsidR="00FB5035" w:rsidRPr="0052573B">
        <w:t xml:space="preserve">compared to </w:t>
      </w:r>
      <w:r w:rsidRPr="0052573B">
        <w:t>population norms is repeatedly identified in survivors of critical illness for up to five years, with both physical and mental health domains compromised</w:t>
      </w:r>
      <w:r w:rsidR="007B19C7" w:rsidRPr="0052573B">
        <w:t>.</w:t>
      </w:r>
      <w:r w:rsidR="00547456" w:rsidRPr="0052573B">
        <w:rPr>
          <w:vertAlign w:val="superscript"/>
        </w:rPr>
        <w:t>9</w:t>
      </w:r>
      <w:r w:rsidRPr="0052573B">
        <w:t xml:space="preserve"> Post-traumatic stress disorder (PTSD) also compromises physical recovery</w:t>
      </w:r>
      <w:r w:rsidR="00C85F7F" w:rsidRPr="0052573B">
        <w:t>,</w:t>
      </w:r>
      <w:r w:rsidR="00547456" w:rsidRPr="0052573B">
        <w:rPr>
          <w:vertAlign w:val="superscript"/>
        </w:rPr>
        <w:t>10</w:t>
      </w:r>
      <w:r w:rsidR="007F63B1" w:rsidRPr="0052573B">
        <w:rPr>
          <w:vertAlign w:val="superscript"/>
        </w:rPr>
        <w:t>,1</w:t>
      </w:r>
      <w:r w:rsidR="00547456" w:rsidRPr="0052573B">
        <w:rPr>
          <w:vertAlign w:val="superscript"/>
        </w:rPr>
        <w:t>1</w:t>
      </w:r>
      <w:r w:rsidRPr="0052573B">
        <w:t xml:space="preserve"> meaning people are less likely to return to work and require increased health and social care services</w:t>
      </w:r>
      <w:r w:rsidR="007B19C7" w:rsidRPr="0052573B">
        <w:t>.</w:t>
      </w:r>
      <w:r w:rsidR="007F63B1" w:rsidRPr="0052573B">
        <w:rPr>
          <w:vertAlign w:val="superscript"/>
        </w:rPr>
        <w:t>1</w:t>
      </w:r>
      <w:r w:rsidR="00547456" w:rsidRPr="0052573B">
        <w:rPr>
          <w:vertAlign w:val="superscript"/>
        </w:rPr>
        <w:t>2</w:t>
      </w:r>
      <w:r w:rsidR="007F63B1" w:rsidRPr="0052573B">
        <w:rPr>
          <w:vertAlign w:val="superscript"/>
        </w:rPr>
        <w:t>,1</w:t>
      </w:r>
      <w:r w:rsidR="00547456" w:rsidRPr="0052573B">
        <w:rPr>
          <w:vertAlign w:val="superscript"/>
        </w:rPr>
        <w:t>3</w:t>
      </w:r>
    </w:p>
    <w:p w14:paraId="0D605F1A" w14:textId="4D7D51CA" w:rsidR="00FE5599" w:rsidRPr="0052573B" w:rsidRDefault="00FE5599" w:rsidP="00FE5599">
      <w:r w:rsidRPr="0052573B">
        <w:t>A meta-synthesis by Baumgarten et al.</w:t>
      </w:r>
      <w:r w:rsidR="00C85F7F" w:rsidRPr="0052573B">
        <w:t xml:space="preserve"> </w:t>
      </w:r>
      <w:r w:rsidRPr="0052573B">
        <w:t xml:space="preserve">highlights ICU as a place, which makes people feel vulnerable, isolated, </w:t>
      </w:r>
      <w:r w:rsidR="007A3FEE" w:rsidRPr="0052573B">
        <w:t>exhausted,</w:t>
      </w:r>
      <w:r w:rsidRPr="0052573B">
        <w:t xml:space="preserve"> and overly dependent on others.</w:t>
      </w:r>
      <w:r w:rsidR="00BF4290" w:rsidRPr="0052573B">
        <w:rPr>
          <w:vertAlign w:val="superscript"/>
        </w:rPr>
        <w:t>1</w:t>
      </w:r>
      <w:r w:rsidR="00547456" w:rsidRPr="0052573B">
        <w:rPr>
          <w:vertAlign w:val="superscript"/>
        </w:rPr>
        <w:t>4</w:t>
      </w:r>
      <w:r w:rsidRPr="0052573B">
        <w:t xml:space="preserve"> Corner et al. </w:t>
      </w:r>
      <w:r w:rsidR="008B1784" w:rsidRPr="0052573B">
        <w:t xml:space="preserve">also </w:t>
      </w:r>
      <w:r w:rsidRPr="0052573B">
        <w:t xml:space="preserve">note that the early rehabilitation period is </w:t>
      </w:r>
      <w:r w:rsidR="00FB5035" w:rsidRPr="0052573B">
        <w:t xml:space="preserve">associated with increased risk </w:t>
      </w:r>
      <w:r w:rsidRPr="0052573B">
        <w:t>of subsequent psychological distress, negatively impacting longer-term recovery.</w:t>
      </w:r>
      <w:r w:rsidR="00BF4290" w:rsidRPr="0052573B">
        <w:rPr>
          <w:vertAlign w:val="superscript"/>
        </w:rPr>
        <w:t>1</w:t>
      </w:r>
      <w:r w:rsidR="00547456" w:rsidRPr="0052573B">
        <w:rPr>
          <w:vertAlign w:val="superscript"/>
        </w:rPr>
        <w:t>5</w:t>
      </w:r>
      <w:r w:rsidRPr="0052573B">
        <w:t xml:space="preserve"> </w:t>
      </w:r>
    </w:p>
    <w:p w14:paraId="6DCBC775" w14:textId="6D2DAB80" w:rsidR="00FE5599" w:rsidRPr="0052573B" w:rsidRDefault="00FE5599" w:rsidP="00FE5599">
      <w:r w:rsidRPr="0052573B">
        <w:t>The need to improv</w:t>
      </w:r>
      <w:r w:rsidR="00D97729" w:rsidRPr="0052573B">
        <w:t>e</w:t>
      </w:r>
      <w:r w:rsidRPr="0052573B">
        <w:t xml:space="preserve"> the health and wellbeing of people recovering from a critical illness is emphasised worldwi</w:t>
      </w:r>
      <w:r w:rsidR="00C85F7F" w:rsidRPr="0052573B">
        <w:t>de</w:t>
      </w:r>
      <w:r w:rsidRPr="0052573B">
        <w:t>.</w:t>
      </w:r>
      <w:r w:rsidR="00547456" w:rsidRPr="0052573B">
        <w:rPr>
          <w:vertAlign w:val="superscript"/>
        </w:rPr>
        <w:t>6</w:t>
      </w:r>
      <w:r w:rsidR="00BF4290" w:rsidRPr="0052573B">
        <w:rPr>
          <w:vertAlign w:val="superscript"/>
        </w:rPr>
        <w:t>,1</w:t>
      </w:r>
      <w:r w:rsidR="00547456" w:rsidRPr="0052573B">
        <w:rPr>
          <w:vertAlign w:val="superscript"/>
        </w:rPr>
        <w:t>6</w:t>
      </w:r>
      <w:r w:rsidR="00BF4290" w:rsidRPr="0052573B">
        <w:rPr>
          <w:vertAlign w:val="superscript"/>
        </w:rPr>
        <w:t>,1</w:t>
      </w:r>
      <w:r w:rsidR="00547456" w:rsidRPr="0052573B">
        <w:rPr>
          <w:vertAlign w:val="superscript"/>
        </w:rPr>
        <w:t>7</w:t>
      </w:r>
      <w:r w:rsidRPr="0052573B">
        <w:t xml:space="preserve"> </w:t>
      </w:r>
      <w:r w:rsidR="00D07B2B" w:rsidRPr="0052573B">
        <w:t>National g</w:t>
      </w:r>
      <w:r w:rsidRPr="0052573B">
        <w:t>uidance has been produced by the National Institute of Health and Care Excellence (NICE)</w:t>
      </w:r>
      <w:r w:rsidR="00BF4290" w:rsidRPr="0052573B">
        <w:rPr>
          <w:vertAlign w:val="superscript"/>
        </w:rPr>
        <w:t>1</w:t>
      </w:r>
      <w:r w:rsidR="00547456" w:rsidRPr="0052573B">
        <w:rPr>
          <w:vertAlign w:val="superscript"/>
        </w:rPr>
        <w:t>8</w:t>
      </w:r>
      <w:r w:rsidR="00BF4290" w:rsidRPr="0052573B">
        <w:rPr>
          <w:vertAlign w:val="superscript"/>
        </w:rPr>
        <w:t>,1</w:t>
      </w:r>
      <w:r w:rsidR="00547456" w:rsidRPr="0052573B">
        <w:rPr>
          <w:vertAlign w:val="superscript"/>
        </w:rPr>
        <w:t>9</w:t>
      </w:r>
      <w:r w:rsidRPr="0052573B">
        <w:rPr>
          <w:vertAlign w:val="superscript"/>
        </w:rPr>
        <w:t xml:space="preserve"> </w:t>
      </w:r>
      <w:r w:rsidRPr="0052573B">
        <w:t xml:space="preserve">and </w:t>
      </w:r>
      <w:r w:rsidR="00232776" w:rsidRPr="0052573B">
        <w:t>professional bodies</w:t>
      </w:r>
      <w:r w:rsidR="00547456" w:rsidRPr="0052573B">
        <w:rPr>
          <w:vertAlign w:val="superscript"/>
        </w:rPr>
        <w:t>20</w:t>
      </w:r>
      <w:r w:rsidR="00232776" w:rsidRPr="0052573B">
        <w:t xml:space="preserve"> and </w:t>
      </w:r>
      <w:r w:rsidR="00052DE8" w:rsidRPr="0052573B">
        <w:t xml:space="preserve">guidance specifically </w:t>
      </w:r>
      <w:r w:rsidR="00D07B2B" w:rsidRPr="0052573B">
        <w:t xml:space="preserve">on rehabilitation after </w:t>
      </w:r>
      <w:r w:rsidRPr="0052573B">
        <w:t xml:space="preserve">COVID-19 critical illness </w:t>
      </w:r>
      <w:r w:rsidR="00052DE8" w:rsidRPr="0052573B">
        <w:t>has also been published</w:t>
      </w:r>
      <w:r w:rsidRPr="0052573B">
        <w:t>.</w:t>
      </w:r>
      <w:r w:rsidR="00BF4290" w:rsidRPr="0052573B">
        <w:rPr>
          <w:vertAlign w:val="superscript"/>
        </w:rPr>
        <w:t>2</w:t>
      </w:r>
      <w:r w:rsidR="00547456" w:rsidRPr="0052573B">
        <w:rPr>
          <w:vertAlign w:val="superscript"/>
        </w:rPr>
        <w:t>1</w:t>
      </w:r>
    </w:p>
    <w:p w14:paraId="3DAFC0D3" w14:textId="6A3AB1D3" w:rsidR="00FE5599" w:rsidRPr="0052573B" w:rsidRDefault="00FE5599" w:rsidP="00FE5599">
      <w:r w:rsidRPr="0052573B">
        <w:t xml:space="preserve">Whilst outcome data </w:t>
      </w:r>
      <w:r w:rsidR="00820D1E" w:rsidRPr="0052573B">
        <w:t xml:space="preserve">from COVID-19 </w:t>
      </w:r>
      <w:r w:rsidR="007B19C7" w:rsidRPr="0052573B">
        <w:t xml:space="preserve">such as mortality </w:t>
      </w:r>
      <w:r w:rsidRPr="0052573B">
        <w:t>are starting to emerge,</w:t>
      </w:r>
      <w:r w:rsidR="00BF4290" w:rsidRPr="0052573B">
        <w:rPr>
          <w:vertAlign w:val="superscript"/>
        </w:rPr>
        <w:t>1,2</w:t>
      </w:r>
      <w:r w:rsidR="00547456" w:rsidRPr="0052573B">
        <w:rPr>
          <w:vertAlign w:val="superscript"/>
        </w:rPr>
        <w:t>2</w:t>
      </w:r>
      <w:r w:rsidR="00BF4290" w:rsidRPr="0052573B">
        <w:rPr>
          <w:vertAlign w:val="superscript"/>
        </w:rPr>
        <w:t>,2</w:t>
      </w:r>
      <w:r w:rsidR="00547456" w:rsidRPr="0052573B">
        <w:rPr>
          <w:vertAlign w:val="superscript"/>
        </w:rPr>
        <w:t>3</w:t>
      </w:r>
      <w:r w:rsidRPr="0052573B">
        <w:t xml:space="preserve"> </w:t>
      </w:r>
      <w:r w:rsidR="00052DE8" w:rsidRPr="0052573B">
        <w:t xml:space="preserve">COVID-19 </w:t>
      </w:r>
      <w:r w:rsidRPr="0052573B">
        <w:t xml:space="preserve">survivors’ personal experiences </w:t>
      </w:r>
      <w:r w:rsidR="00E0387D" w:rsidRPr="0052573B">
        <w:t>are</w:t>
      </w:r>
      <w:r w:rsidRPr="0052573B">
        <w:t xml:space="preserve"> an </w:t>
      </w:r>
      <w:r w:rsidR="00D13096" w:rsidRPr="0052573B">
        <w:t xml:space="preserve">important, but </w:t>
      </w:r>
      <w:r w:rsidRPr="0052573B">
        <w:t>un</w:t>
      </w:r>
      <w:r w:rsidR="00D13096" w:rsidRPr="0052573B">
        <w:t xml:space="preserve">der </w:t>
      </w:r>
      <w:r w:rsidRPr="0052573B">
        <w:t xml:space="preserve">researched area. Drawing parallels with other ICU survivors’ experiences </w:t>
      </w:r>
      <w:r w:rsidR="00D55F7F" w:rsidRPr="0052573B">
        <w:t>has intuitive resonance</w:t>
      </w:r>
      <w:r w:rsidRPr="0052573B">
        <w:t xml:space="preserve">. However, </w:t>
      </w:r>
      <w:r w:rsidR="00991288" w:rsidRPr="0052573B">
        <w:t xml:space="preserve">patients admitted to ICU with </w:t>
      </w:r>
      <w:r w:rsidR="00E00C98" w:rsidRPr="0052573B">
        <w:t>COVID-19</w:t>
      </w:r>
      <w:r w:rsidR="00A87363" w:rsidRPr="0052573B">
        <w:t xml:space="preserve"> </w:t>
      </w:r>
      <w:r w:rsidR="00991288" w:rsidRPr="0052573B">
        <w:t xml:space="preserve">were </w:t>
      </w:r>
      <w:r w:rsidR="00E00C98" w:rsidRPr="0052573B">
        <w:t>younger</w:t>
      </w:r>
      <w:r w:rsidR="00F93B41" w:rsidRPr="0052573B">
        <w:t>, had fewer</w:t>
      </w:r>
      <w:r w:rsidR="00E00C98" w:rsidRPr="0052573B">
        <w:t xml:space="preserve"> prior comorbidit</w:t>
      </w:r>
      <w:r w:rsidR="00991288" w:rsidRPr="0052573B">
        <w:t>ies</w:t>
      </w:r>
      <w:r w:rsidR="00E00C98" w:rsidRPr="0052573B">
        <w:t xml:space="preserve">, </w:t>
      </w:r>
      <w:r w:rsidR="00991288" w:rsidRPr="0052573B">
        <w:t xml:space="preserve">and </w:t>
      </w:r>
      <w:r w:rsidR="00F93B41" w:rsidRPr="0052573B">
        <w:t xml:space="preserve">were </w:t>
      </w:r>
      <w:r w:rsidR="00991288" w:rsidRPr="0052573B">
        <w:t>more likely to be male</w:t>
      </w:r>
      <w:r w:rsidR="00E00C98" w:rsidRPr="0052573B">
        <w:t>.</w:t>
      </w:r>
      <w:r w:rsidR="002161A7" w:rsidRPr="0052573B">
        <w:rPr>
          <w:vertAlign w:val="superscript"/>
        </w:rPr>
        <w:t>24</w:t>
      </w:r>
      <w:r w:rsidR="00991288" w:rsidRPr="0052573B">
        <w:t xml:space="preserve"> Those from a black or minority ethnic group </w:t>
      </w:r>
      <w:r w:rsidR="000F3612" w:rsidRPr="0052573B">
        <w:t xml:space="preserve">and those with a higher body mass index </w:t>
      </w:r>
      <w:r w:rsidR="00991288" w:rsidRPr="0052573B">
        <w:t>were also more severely affected</w:t>
      </w:r>
      <w:r w:rsidR="000F3612" w:rsidRPr="0052573B">
        <w:t>.</w:t>
      </w:r>
      <w:r w:rsidR="002161A7" w:rsidRPr="0052573B">
        <w:rPr>
          <w:vertAlign w:val="superscript"/>
        </w:rPr>
        <w:t>25</w:t>
      </w:r>
      <w:r w:rsidR="000F3612" w:rsidRPr="0052573B">
        <w:t xml:space="preserve"> </w:t>
      </w:r>
      <w:r w:rsidR="00991288" w:rsidRPr="0052573B">
        <w:t xml:space="preserve">Alongside these demographic factors, the </w:t>
      </w:r>
      <w:r w:rsidRPr="0052573B">
        <w:t xml:space="preserve">health and social care </w:t>
      </w:r>
      <w:r w:rsidR="00991288" w:rsidRPr="0052573B">
        <w:t>system had to be</w:t>
      </w:r>
      <w:r w:rsidRPr="0052573B">
        <w:t xml:space="preserve"> remodelled, </w:t>
      </w:r>
      <w:r w:rsidR="005C41EF" w:rsidRPr="0052573B">
        <w:t>w</w:t>
      </w:r>
      <w:r w:rsidRPr="0052573B">
        <w:t>ide societal restrictions</w:t>
      </w:r>
      <w:r w:rsidR="00991288" w:rsidRPr="0052573B">
        <w:t xml:space="preserve"> were in place</w:t>
      </w:r>
      <w:r w:rsidR="00A87363" w:rsidRPr="0052573B">
        <w:t xml:space="preserve"> </w:t>
      </w:r>
      <w:r w:rsidRPr="0052573B">
        <w:t xml:space="preserve">and </w:t>
      </w:r>
      <w:r w:rsidR="005C41EF" w:rsidRPr="0052573B">
        <w:t xml:space="preserve">concern about </w:t>
      </w:r>
      <w:r w:rsidRPr="0052573B">
        <w:t xml:space="preserve">the perceived </w:t>
      </w:r>
      <w:r w:rsidR="005C41EF" w:rsidRPr="0052573B">
        <w:t xml:space="preserve">or actual </w:t>
      </w:r>
      <w:r w:rsidRPr="0052573B">
        <w:t xml:space="preserve">risk </w:t>
      </w:r>
      <w:r w:rsidR="00BE397D" w:rsidRPr="0052573B">
        <w:t xml:space="preserve">of COVID-19 </w:t>
      </w:r>
      <w:r w:rsidRPr="0052573B">
        <w:t xml:space="preserve">to family, </w:t>
      </w:r>
      <w:r w:rsidR="00A87363" w:rsidRPr="0052573B">
        <w:t>friends,</w:t>
      </w:r>
      <w:r w:rsidR="00D13096" w:rsidRPr="0052573B">
        <w:t xml:space="preserve"> and healthcare </w:t>
      </w:r>
      <w:r w:rsidRPr="0052573B">
        <w:t>staff</w:t>
      </w:r>
      <w:r w:rsidR="005C41EF" w:rsidRPr="0052573B">
        <w:t xml:space="preserve"> was evident.</w:t>
      </w:r>
      <w:r w:rsidR="00F93B41" w:rsidRPr="0052573B">
        <w:t xml:space="preserve"> </w:t>
      </w:r>
      <w:proofErr w:type="spellStart"/>
      <w:r w:rsidR="005C41EF" w:rsidRPr="0052573B">
        <w:t>Prati</w:t>
      </w:r>
      <w:proofErr w:type="spellEnd"/>
      <w:r w:rsidR="005C41EF" w:rsidRPr="0052573B">
        <w:t xml:space="preserve"> et al</w:t>
      </w:r>
      <w:r w:rsidR="00A87363" w:rsidRPr="0052573B">
        <w:t>.</w:t>
      </w:r>
      <w:r w:rsidR="005C41EF" w:rsidRPr="0052573B">
        <w:t xml:space="preserve"> note that the impact on the mental health of the general population</w:t>
      </w:r>
      <w:r w:rsidR="00D13096" w:rsidRPr="0052573B">
        <w:t xml:space="preserve"> </w:t>
      </w:r>
      <w:r w:rsidR="005C41EF" w:rsidRPr="0052573B">
        <w:t>varied</w:t>
      </w:r>
      <w:r w:rsidR="00F93B41" w:rsidRPr="0052573B">
        <w:t xml:space="preserve">. </w:t>
      </w:r>
      <w:r w:rsidR="007C1452" w:rsidRPr="0052573B">
        <w:t>However, t</w:t>
      </w:r>
      <w:r w:rsidR="00A87363" w:rsidRPr="0052573B">
        <w:t xml:space="preserve">he </w:t>
      </w:r>
      <w:r w:rsidR="00B30E56" w:rsidRPr="0052573B">
        <w:t>effect</w:t>
      </w:r>
      <w:r w:rsidR="00F93B41" w:rsidRPr="0052573B">
        <w:t xml:space="preserve"> of these factors </w:t>
      </w:r>
      <w:r w:rsidR="00A87363" w:rsidRPr="0052573B">
        <w:t xml:space="preserve">on people’s recovery </w:t>
      </w:r>
      <w:r w:rsidR="00F93B41" w:rsidRPr="0052573B">
        <w:t xml:space="preserve">after ICU also </w:t>
      </w:r>
      <w:r w:rsidR="00D13096" w:rsidRPr="0052573B">
        <w:t>need</w:t>
      </w:r>
      <w:r w:rsidR="00F93B41" w:rsidRPr="0052573B">
        <w:t>s</w:t>
      </w:r>
      <w:r w:rsidR="00D13096" w:rsidRPr="0052573B">
        <w:t xml:space="preserve"> consider</w:t>
      </w:r>
      <w:r w:rsidR="00820D1E" w:rsidRPr="0052573B">
        <w:t>ation</w:t>
      </w:r>
      <w:r w:rsidR="002161A7" w:rsidRPr="0052573B">
        <w:t>.</w:t>
      </w:r>
      <w:r w:rsidR="007E60A6" w:rsidRPr="0052573B">
        <w:rPr>
          <w:vertAlign w:val="superscript"/>
        </w:rPr>
        <w:t>26</w:t>
      </w:r>
      <w:r w:rsidRPr="0052573B">
        <w:t xml:space="preserve"> </w:t>
      </w:r>
      <w:r w:rsidR="00BE397D" w:rsidRPr="0052573B">
        <w:t xml:space="preserve"> </w:t>
      </w:r>
    </w:p>
    <w:p w14:paraId="1D679067" w14:textId="1F725F67" w:rsidR="00B72B2F" w:rsidRPr="0052573B" w:rsidRDefault="00973552" w:rsidP="00072CD9">
      <w:pPr>
        <w:rPr>
          <w:b/>
        </w:rPr>
      </w:pPr>
      <w:r w:rsidRPr="0052573B">
        <w:rPr>
          <w:b/>
        </w:rPr>
        <w:t xml:space="preserve">Study aims </w:t>
      </w:r>
    </w:p>
    <w:p w14:paraId="300AA70B" w14:textId="77777777" w:rsidR="00CC1859" w:rsidRPr="0052573B" w:rsidRDefault="00CC1859" w:rsidP="00CC1859">
      <w:r w:rsidRPr="0052573B">
        <w:t>The aims of this study were to understand the recovery and rehabilitation needs of people who survive a COVID-19 critical illness. Objectives were to:</w:t>
      </w:r>
    </w:p>
    <w:p w14:paraId="23B71A0E" w14:textId="77777777" w:rsidR="00CC1859" w:rsidRPr="0052573B" w:rsidRDefault="00CC1859" w:rsidP="00CC1859">
      <w:pPr>
        <w:pStyle w:val="ListParagraph"/>
        <w:numPr>
          <w:ilvl w:val="0"/>
          <w:numId w:val="24"/>
        </w:numPr>
      </w:pPr>
      <w:r w:rsidRPr="0052573B">
        <w:t xml:space="preserve">Describe survivors’ experiences of COVID-19 critical illness </w:t>
      </w:r>
    </w:p>
    <w:p w14:paraId="426F4262" w14:textId="77777777" w:rsidR="00CC1859" w:rsidRPr="0052573B" w:rsidRDefault="00CC1859" w:rsidP="00CC1859">
      <w:pPr>
        <w:pStyle w:val="ListParagraph"/>
        <w:numPr>
          <w:ilvl w:val="0"/>
          <w:numId w:val="24"/>
        </w:numPr>
      </w:pPr>
      <w:r w:rsidRPr="0052573B">
        <w:lastRenderedPageBreak/>
        <w:t>Identify survivors' perspectives on the support required to optimise rehabilitation and recovery</w:t>
      </w:r>
    </w:p>
    <w:p w14:paraId="5DB5DCA3" w14:textId="77777777" w:rsidR="001C268F" w:rsidRPr="0052573B" w:rsidRDefault="001C268F" w:rsidP="001C268F">
      <w:pPr>
        <w:pStyle w:val="ListParagraph"/>
        <w:numPr>
          <w:ilvl w:val="0"/>
          <w:numId w:val="24"/>
        </w:numPr>
      </w:pPr>
      <w:r w:rsidRPr="0052573B">
        <w:t xml:space="preserve">Determine the extent to which findings align with those of other critical illnesses survivors. </w:t>
      </w:r>
    </w:p>
    <w:p w14:paraId="3A0718BD" w14:textId="77777777" w:rsidR="00036D8C" w:rsidRPr="0052573B" w:rsidRDefault="00B72B2F" w:rsidP="00036D8C">
      <w:pPr>
        <w:rPr>
          <w:b/>
        </w:rPr>
      </w:pPr>
      <w:r w:rsidRPr="0052573B">
        <w:rPr>
          <w:b/>
        </w:rPr>
        <w:t xml:space="preserve">Design and </w:t>
      </w:r>
      <w:r w:rsidR="00973552" w:rsidRPr="0052573B">
        <w:rPr>
          <w:b/>
        </w:rPr>
        <w:t>Methods</w:t>
      </w:r>
    </w:p>
    <w:p w14:paraId="692E0427" w14:textId="5B0ED1F5" w:rsidR="001353B3" w:rsidRPr="0052573B" w:rsidRDefault="00036D8C" w:rsidP="001353B3">
      <w:r w:rsidRPr="0052573B">
        <w:rPr>
          <w:bCs/>
        </w:rPr>
        <w:t>A</w:t>
      </w:r>
      <w:r w:rsidR="00EE6AE7" w:rsidRPr="0052573B">
        <w:rPr>
          <w:bCs/>
        </w:rPr>
        <w:t xml:space="preserve">n exploratory descriptive </w:t>
      </w:r>
      <w:r w:rsidRPr="0052573B">
        <w:t>qualitative methodology</w:t>
      </w:r>
      <w:r w:rsidR="004420BB" w:rsidRPr="0052573B">
        <w:rPr>
          <w:vertAlign w:val="superscript"/>
        </w:rPr>
        <w:t>27</w:t>
      </w:r>
      <w:r w:rsidR="00EE6AE7" w:rsidRPr="0052573B">
        <w:t xml:space="preserve"> </w:t>
      </w:r>
      <w:r w:rsidRPr="0052573B">
        <w:t xml:space="preserve">was employed to </w:t>
      </w:r>
      <w:r w:rsidR="00EE6AE7" w:rsidRPr="0052573B">
        <w:t>gain understanding of</w:t>
      </w:r>
      <w:r w:rsidRPr="0052573B">
        <w:t xml:space="preserve"> people’s subjective realities</w:t>
      </w:r>
      <w:r w:rsidR="00E0387D" w:rsidRPr="0052573B">
        <w:t>.</w:t>
      </w:r>
      <w:r w:rsidR="00BF4290" w:rsidRPr="0052573B">
        <w:rPr>
          <w:vertAlign w:val="superscript"/>
        </w:rPr>
        <w:t>2</w:t>
      </w:r>
      <w:r w:rsidR="004420BB" w:rsidRPr="0052573B">
        <w:rPr>
          <w:vertAlign w:val="superscript"/>
        </w:rPr>
        <w:t>8</w:t>
      </w:r>
      <w:r w:rsidR="00E0387D" w:rsidRPr="0052573B">
        <w:t xml:space="preserve"> </w:t>
      </w:r>
      <w:r w:rsidR="00944A90" w:rsidRPr="0052573B">
        <w:t>A</w:t>
      </w:r>
      <w:r w:rsidR="001353B3" w:rsidRPr="0052573B">
        <w:t xml:space="preserve">pproval was granted from the Health Research Authority (285898) and </w:t>
      </w:r>
      <w:r w:rsidR="00944A90" w:rsidRPr="0052573B">
        <w:t xml:space="preserve">the </w:t>
      </w:r>
      <w:r w:rsidR="00600C6A" w:rsidRPr="0052573B">
        <w:t>Institute of Health and Social Care e</w:t>
      </w:r>
      <w:r w:rsidR="00944A90" w:rsidRPr="0052573B">
        <w:t xml:space="preserve">thics committee at </w:t>
      </w:r>
      <w:r w:rsidR="00E0387D" w:rsidRPr="0052573B">
        <w:t>XXX</w:t>
      </w:r>
      <w:r w:rsidR="001353B3" w:rsidRPr="0052573B">
        <w:t xml:space="preserve"> (ETH1920-0176)</w:t>
      </w:r>
      <w:r w:rsidR="00E0387D" w:rsidRPr="0052573B">
        <w:t>.</w:t>
      </w:r>
    </w:p>
    <w:p w14:paraId="53790980" w14:textId="0F6DFE0B" w:rsidR="00006747" w:rsidRPr="0052573B" w:rsidRDefault="002E0A01" w:rsidP="00AB36EB">
      <w:r w:rsidRPr="0052573B">
        <w:rPr>
          <w:b/>
          <w:i/>
        </w:rPr>
        <w:t xml:space="preserve">Setting, </w:t>
      </w:r>
      <w:r w:rsidR="00B72B2F" w:rsidRPr="0052573B">
        <w:rPr>
          <w:b/>
          <w:i/>
        </w:rPr>
        <w:t xml:space="preserve">Sample </w:t>
      </w:r>
      <w:r w:rsidR="0040649D" w:rsidRPr="0052573B">
        <w:rPr>
          <w:b/>
          <w:i/>
        </w:rPr>
        <w:t xml:space="preserve">and </w:t>
      </w:r>
      <w:r w:rsidR="00E65D14" w:rsidRPr="0052573B">
        <w:rPr>
          <w:b/>
          <w:i/>
        </w:rPr>
        <w:t>R</w:t>
      </w:r>
      <w:r w:rsidR="0040649D" w:rsidRPr="0052573B">
        <w:rPr>
          <w:b/>
          <w:i/>
        </w:rPr>
        <w:t xml:space="preserve">ecruitment </w:t>
      </w:r>
    </w:p>
    <w:p w14:paraId="377904E3" w14:textId="0C0B5493" w:rsidR="0092731D" w:rsidRPr="0052573B" w:rsidRDefault="00C968FD" w:rsidP="0092731D">
      <w:r w:rsidRPr="0052573B">
        <w:t>In partnership with local secondary care hospitals, w</w:t>
      </w:r>
      <w:r w:rsidR="0092731D" w:rsidRPr="0052573B">
        <w:t xml:space="preserve">e recruited a sample of COVID-19 survivors </w:t>
      </w:r>
      <w:r w:rsidR="009A25C6" w:rsidRPr="0052573B">
        <w:t xml:space="preserve">(See Box I) </w:t>
      </w:r>
      <w:r w:rsidR="00D07B2B" w:rsidRPr="0052573B">
        <w:t xml:space="preserve">from </w:t>
      </w:r>
      <w:r w:rsidR="0092731D" w:rsidRPr="0052573B">
        <w:t xml:space="preserve">two community </w:t>
      </w:r>
      <w:r w:rsidR="00820D1E" w:rsidRPr="0052573B">
        <w:t xml:space="preserve">healthcare </w:t>
      </w:r>
      <w:r w:rsidR="0092731D" w:rsidRPr="0052573B">
        <w:t>organisations</w:t>
      </w:r>
      <w:r w:rsidR="00820D1E" w:rsidRPr="0052573B">
        <w:t xml:space="preserve"> in England.</w:t>
      </w:r>
      <w:r w:rsidR="00545510" w:rsidRPr="0052573B">
        <w:t xml:space="preserve"> </w:t>
      </w:r>
      <w:r w:rsidR="007F429E" w:rsidRPr="0052573B">
        <w:t>Purposive sampling, with an aim to achieve maximum variation, was chosen to ensure the sample were most likely to answer the research question.</w:t>
      </w:r>
      <w:r w:rsidR="002161A7" w:rsidRPr="0052573B">
        <w:rPr>
          <w:vertAlign w:val="superscript"/>
        </w:rPr>
        <w:t>29</w:t>
      </w:r>
      <w:r w:rsidR="007F429E" w:rsidRPr="0052573B">
        <w:t xml:space="preserve"> We</w:t>
      </w:r>
      <w:r w:rsidR="008D1BE5" w:rsidRPr="0052573B">
        <w:t xml:space="preserve"> </w:t>
      </w:r>
      <w:r w:rsidR="000B14F3" w:rsidRPr="0052573B">
        <w:t xml:space="preserve">also </w:t>
      </w:r>
      <w:r w:rsidR="00AC737C" w:rsidRPr="0052573B">
        <w:t>incorporated snowballing, whereby those who took part were encouraged to promote the study to others.</w:t>
      </w:r>
      <w:r w:rsidR="008D1BE5" w:rsidRPr="0052573B">
        <w:t xml:space="preserve"> </w:t>
      </w:r>
      <w:r w:rsidR="00AC737C" w:rsidRPr="0052573B">
        <w:t xml:space="preserve">  </w:t>
      </w:r>
    </w:p>
    <w:p w14:paraId="6017CA72" w14:textId="5702DBC4" w:rsidR="009A25C6" w:rsidRPr="0052573B" w:rsidRDefault="009A25C6" w:rsidP="0092731D">
      <w:r w:rsidRPr="0052573B">
        <w:t xml:space="preserve">Box </w:t>
      </w:r>
      <w:r w:rsidR="00155E4B" w:rsidRPr="0052573B">
        <w:t>1</w:t>
      </w:r>
      <w:r w:rsidRPr="0052573B">
        <w:t xml:space="preserve">: Inclusion and exclusion criteria </w:t>
      </w:r>
    </w:p>
    <w:p w14:paraId="40E6798B" w14:textId="423DE78D" w:rsidR="006E4AC3" w:rsidRPr="0052573B" w:rsidRDefault="00545510" w:rsidP="00356AF2">
      <w:r w:rsidRPr="0052573B">
        <w:t>Virtual meetings with key healthcare staff including two patient experience facilitators helped identify potential participants</w:t>
      </w:r>
      <w:r w:rsidR="00AC737C" w:rsidRPr="0052573B">
        <w:t xml:space="preserve">, who were then </w:t>
      </w:r>
      <w:r w:rsidR="009C1B6B" w:rsidRPr="0052573B">
        <w:t xml:space="preserve">screened by a nominated staff member at </w:t>
      </w:r>
      <w:r w:rsidRPr="0052573B">
        <w:t>each</w:t>
      </w:r>
      <w:r w:rsidR="009C1B6B" w:rsidRPr="0052573B">
        <w:t xml:space="preserve"> data collection site. All those who met the inclusion criteria were invited to participate via an information sheet given to them </w:t>
      </w:r>
      <w:r w:rsidRPr="0052573B">
        <w:t xml:space="preserve">in person </w:t>
      </w:r>
      <w:r w:rsidR="009C1B6B" w:rsidRPr="0052573B">
        <w:t xml:space="preserve">whilst they were still in a community bed. Those already discharged were sent an invitation by post. Potential participants </w:t>
      </w:r>
      <w:r w:rsidR="0092731D" w:rsidRPr="0052573B">
        <w:t>directly register</w:t>
      </w:r>
      <w:r w:rsidR="00D07B2B" w:rsidRPr="0052573B">
        <w:t>ed</w:t>
      </w:r>
      <w:r w:rsidR="0092731D" w:rsidRPr="0052573B">
        <w:t xml:space="preserve"> their interest </w:t>
      </w:r>
      <w:r w:rsidR="00AC737C" w:rsidRPr="0052573B">
        <w:t xml:space="preserve">via telephone, email, </w:t>
      </w:r>
      <w:r w:rsidR="0092731D" w:rsidRPr="0052573B">
        <w:t xml:space="preserve">or </w:t>
      </w:r>
      <w:r w:rsidRPr="0052573B">
        <w:t>the</w:t>
      </w:r>
      <w:r w:rsidR="0092731D" w:rsidRPr="0052573B">
        <w:t xml:space="preserve"> nominated </w:t>
      </w:r>
      <w:r w:rsidRPr="0052573B">
        <w:t>staff member</w:t>
      </w:r>
      <w:r w:rsidR="0092731D" w:rsidRPr="0052573B">
        <w:t xml:space="preserve">. All participants were sent a letter of thanks at the end of the study.  </w:t>
      </w:r>
    </w:p>
    <w:p w14:paraId="5BE8EFCD" w14:textId="3FEA434F" w:rsidR="00920DC0" w:rsidRPr="0052573B" w:rsidRDefault="00920DC0" w:rsidP="00920DC0">
      <w:r w:rsidRPr="0052573B">
        <w:t>Recruitment took place September 2020 to April 2021</w:t>
      </w:r>
      <w:r w:rsidR="00DB49E0" w:rsidRPr="0052573B">
        <w:t xml:space="preserve">. </w:t>
      </w:r>
      <w:r w:rsidR="008455F8" w:rsidRPr="0052573B">
        <w:t>Most</w:t>
      </w:r>
      <w:r w:rsidRPr="0052573B">
        <w:t xml:space="preserve"> participants contracted COVID-19 during wave one </w:t>
      </w:r>
      <w:r w:rsidR="00DB49E0" w:rsidRPr="0052573B">
        <w:t>of the UK pandemic</w:t>
      </w:r>
      <w:r w:rsidRPr="0052573B">
        <w:t>,</w:t>
      </w:r>
      <w:r w:rsidR="00DB49E0" w:rsidRPr="0052573B">
        <w:t xml:space="preserve"> </w:t>
      </w:r>
      <w:r w:rsidRPr="0052573B">
        <w:t>March-May 2020</w:t>
      </w:r>
      <w:r w:rsidR="002161A7" w:rsidRPr="0052573B">
        <w:t>,</w:t>
      </w:r>
      <w:r w:rsidR="004420BB" w:rsidRPr="0052573B">
        <w:rPr>
          <w:vertAlign w:val="superscript"/>
        </w:rPr>
        <w:t>30</w:t>
      </w:r>
      <w:r w:rsidR="007302F6" w:rsidRPr="0052573B">
        <w:t xml:space="preserve"> </w:t>
      </w:r>
      <w:r w:rsidR="008455F8" w:rsidRPr="0052573B">
        <w:t>although</w:t>
      </w:r>
      <w:r w:rsidR="007302F6" w:rsidRPr="0052573B">
        <w:t xml:space="preserve"> four </w:t>
      </w:r>
      <w:r w:rsidR="008455F8" w:rsidRPr="0052573B">
        <w:t xml:space="preserve">participants fell </w:t>
      </w:r>
      <w:r w:rsidR="00396B1A" w:rsidRPr="0052573B">
        <w:t xml:space="preserve">ill in the first quarter of 2021 </w:t>
      </w:r>
      <w:r w:rsidR="007302F6" w:rsidRPr="0052573B">
        <w:t>(see table 1).</w:t>
      </w:r>
    </w:p>
    <w:p w14:paraId="5C93A70A" w14:textId="14DEC2DE" w:rsidR="00356AF2" w:rsidRPr="0052573B" w:rsidRDefault="00356AF2" w:rsidP="00356AF2">
      <w:pPr>
        <w:rPr>
          <w:b/>
          <w:bCs/>
          <w:i/>
          <w:iCs/>
        </w:rPr>
      </w:pPr>
      <w:r w:rsidRPr="0052573B">
        <w:rPr>
          <w:b/>
          <w:bCs/>
          <w:i/>
          <w:iCs/>
        </w:rPr>
        <w:t>Data collection methods and tools</w:t>
      </w:r>
    </w:p>
    <w:p w14:paraId="277C23A5" w14:textId="60370205" w:rsidR="00356AF2" w:rsidRPr="0052573B" w:rsidRDefault="00DB49E0" w:rsidP="00356AF2">
      <w:r w:rsidRPr="0052573B">
        <w:t xml:space="preserve">Data were collected using </w:t>
      </w:r>
      <w:r w:rsidR="00356AF2" w:rsidRPr="0052573B">
        <w:t xml:space="preserve">one-to-one audio-recorded semi structured interviews, lasting no more than one hour. All interviews took place </w:t>
      </w:r>
      <w:r w:rsidR="00EF56F4" w:rsidRPr="0052573B">
        <w:t xml:space="preserve">at least one month </w:t>
      </w:r>
      <w:r w:rsidR="00356AF2" w:rsidRPr="0052573B">
        <w:t>after discharge home. Interviews took place by telephone or using a secure virtual platform (such as Microsoft Teams or Zoom)</w:t>
      </w:r>
      <w:r w:rsidR="00C70ADB" w:rsidRPr="0052573B">
        <w:t>, according to participants’ preference</w:t>
      </w:r>
      <w:r w:rsidR="00356AF2" w:rsidRPr="0052573B">
        <w:t xml:space="preserve">. </w:t>
      </w:r>
    </w:p>
    <w:p w14:paraId="607031D4" w14:textId="5DCAA94A" w:rsidR="00356AF2" w:rsidRPr="0052573B" w:rsidRDefault="002A1640" w:rsidP="00356AF2">
      <w:r w:rsidRPr="0052573B">
        <w:t>Researchers conducted all interviews using a topic guide</w:t>
      </w:r>
      <w:r w:rsidR="002161A7" w:rsidRPr="0052573B">
        <w:t xml:space="preserve"> (supplementary file 1)</w:t>
      </w:r>
      <w:r w:rsidRPr="0052573B">
        <w:t>. Questions were informed by published literature, reviewed by our patient representative, and the tool was piloted in the first interview. After establishing key demographics (age, sex, marital status, ethnicity, place of residence, co-morbidities, date of illness) open questions were divided into three sections: experiences of COVID-19 critical illness; impact of COVID-19; mitigating factors.</w:t>
      </w:r>
      <w:r w:rsidR="00356AF2" w:rsidRPr="0052573B">
        <w:t xml:space="preserve"> Participants were invited to add other information they felt relevant before the close of the interview.</w:t>
      </w:r>
    </w:p>
    <w:p w14:paraId="4B347765" w14:textId="77777777" w:rsidR="00356AF2" w:rsidRPr="0052573B" w:rsidRDefault="00356AF2" w:rsidP="00356AF2">
      <w:pPr>
        <w:rPr>
          <w:b/>
          <w:bCs/>
          <w:i/>
          <w:iCs/>
        </w:rPr>
      </w:pPr>
      <w:r w:rsidRPr="0052573B">
        <w:rPr>
          <w:b/>
          <w:bCs/>
          <w:i/>
          <w:iCs/>
        </w:rPr>
        <w:t>Data analysis</w:t>
      </w:r>
    </w:p>
    <w:p w14:paraId="111CF194" w14:textId="338DE85B" w:rsidR="000A3561" w:rsidRPr="0052573B" w:rsidRDefault="00356AF2" w:rsidP="00356AF2">
      <w:pPr>
        <w:rPr>
          <w:vertAlign w:val="superscript"/>
        </w:rPr>
      </w:pPr>
      <w:r w:rsidRPr="0052573B">
        <w:t>Anonymised and verbatim-transcribed interview data were uploaded to NVIVO</w:t>
      </w:r>
      <w:r w:rsidRPr="0052573B">
        <w:rPr>
          <w:vertAlign w:val="subscript"/>
        </w:rPr>
        <w:t>1</w:t>
      </w:r>
      <w:r w:rsidR="00547456" w:rsidRPr="0052573B">
        <w:rPr>
          <w:vertAlign w:val="subscript"/>
        </w:rPr>
        <w:t>3</w:t>
      </w:r>
      <w:r w:rsidR="000A3561" w:rsidRPr="0052573B">
        <w:rPr>
          <w:vertAlign w:val="subscript"/>
        </w:rPr>
        <w:t xml:space="preserve">. </w:t>
      </w:r>
      <w:r w:rsidRPr="0052573B">
        <w:t xml:space="preserve"> </w:t>
      </w:r>
      <w:r w:rsidR="000A3561" w:rsidRPr="0052573B">
        <w:t>Interview notes from researchers were added to transcripts. Transcripts were not returned to participants as there is little evidence that this improves research credibility.</w:t>
      </w:r>
      <w:r w:rsidR="00494209" w:rsidRPr="0052573B">
        <w:rPr>
          <w:vertAlign w:val="superscript"/>
        </w:rPr>
        <w:t>31</w:t>
      </w:r>
    </w:p>
    <w:p w14:paraId="36D52E51" w14:textId="41641920" w:rsidR="00356AF2" w:rsidRPr="0052573B" w:rsidRDefault="000A3561" w:rsidP="00356AF2">
      <w:r w:rsidRPr="0052573B">
        <w:lastRenderedPageBreak/>
        <w:t xml:space="preserve">Data </w:t>
      </w:r>
      <w:r w:rsidR="00356AF2" w:rsidRPr="0052573B">
        <w:t>underwent a standard process of thematic analysis as described by Braun &amp; Clark</w:t>
      </w:r>
      <w:r w:rsidR="00155E4B" w:rsidRPr="0052573B">
        <w:t>.</w:t>
      </w:r>
      <w:r w:rsidR="00494209" w:rsidRPr="0052573B">
        <w:rPr>
          <w:vertAlign w:val="superscript"/>
        </w:rPr>
        <w:t>32</w:t>
      </w:r>
      <w:r w:rsidR="00356AF2" w:rsidRPr="0052573B">
        <w:t xml:space="preserve"> </w:t>
      </w:r>
      <w:r w:rsidR="00B07127" w:rsidRPr="0052573B">
        <w:t xml:space="preserve">Analysis started with an inductive approach so that the voice of the participants was foremost. </w:t>
      </w:r>
      <w:r w:rsidRPr="0052573B">
        <w:t>An initial coding framework was developed by both research assistants</w:t>
      </w:r>
      <w:r w:rsidR="00626B08" w:rsidRPr="0052573B">
        <w:t xml:space="preserve"> (AJ/NM)</w:t>
      </w:r>
      <w:r w:rsidRPr="0052573B">
        <w:t xml:space="preserve"> independently open coding two transcripts. This resulted in an initial 17 codes, with agreed definitions, that were subsequently used to review all other transcripts. As additional codes were identified, an iterative process was used whereby previous transcripts were re-reviewed. Each research assistant coded transcripts of interviews conducted by the other. Meetings between both research assistants were held weekly to discuss and agree codes.</w:t>
      </w:r>
      <w:r w:rsidR="00626B08" w:rsidRPr="0052573B">
        <w:t xml:space="preserve"> </w:t>
      </w:r>
      <w:r w:rsidRPr="0052573B">
        <w:t xml:space="preserve">Draft themes </w:t>
      </w:r>
      <w:r w:rsidR="00B07127" w:rsidRPr="0052573B">
        <w:t xml:space="preserve">and subthemes </w:t>
      </w:r>
      <w:r w:rsidRPr="0052573B">
        <w:t>were reviewed by the wh</w:t>
      </w:r>
      <w:r w:rsidR="00B07127" w:rsidRPr="0052573B">
        <w:t>o</w:t>
      </w:r>
      <w:r w:rsidRPr="0052573B">
        <w:t>le project team and a</w:t>
      </w:r>
      <w:r w:rsidR="00356AF2" w:rsidRPr="0052573B">
        <w:t xml:space="preserve"> consensus approach </w:t>
      </w:r>
      <w:r w:rsidRPr="0052573B">
        <w:t xml:space="preserve">was used to </w:t>
      </w:r>
      <w:r w:rsidR="00356AF2" w:rsidRPr="0052573B">
        <w:t xml:space="preserve">resolve any differences in interpretation </w:t>
      </w:r>
      <w:r w:rsidRPr="0052573B">
        <w:t>and</w:t>
      </w:r>
      <w:r w:rsidR="00356AF2" w:rsidRPr="0052573B">
        <w:t xml:space="preserve"> </w:t>
      </w:r>
      <w:r w:rsidR="00BF467E" w:rsidRPr="0052573B">
        <w:t xml:space="preserve">determine </w:t>
      </w:r>
      <w:r w:rsidR="00356AF2" w:rsidRPr="0052573B">
        <w:t>final themes</w:t>
      </w:r>
      <w:r w:rsidRPr="0052573B">
        <w:t xml:space="preserve"> (Figure </w:t>
      </w:r>
      <w:r w:rsidR="00626B08" w:rsidRPr="0052573B">
        <w:t>1</w:t>
      </w:r>
      <w:r w:rsidRPr="0052573B">
        <w:t>)</w:t>
      </w:r>
      <w:r w:rsidR="00356AF2" w:rsidRPr="0052573B">
        <w:t xml:space="preserve">. </w:t>
      </w:r>
    </w:p>
    <w:p w14:paraId="048E475F" w14:textId="412C215B" w:rsidR="00BE397D" w:rsidRPr="0052573B" w:rsidRDefault="00B07127" w:rsidP="00B81BE8">
      <w:pPr>
        <w:rPr>
          <w:bCs/>
        </w:rPr>
      </w:pPr>
      <w:r w:rsidRPr="0052573B">
        <w:t>A deductive process whereby data were mapped against a conceptual framework was then undertaken t</w:t>
      </w:r>
      <w:r w:rsidR="00356AF2" w:rsidRPr="0052573B">
        <w:t>o assess the extent to which findings were congruent with those from pre-pandemic ICU survivors, reported by Corner et al.</w:t>
      </w:r>
      <w:r w:rsidR="00BF4290" w:rsidRPr="0052573B">
        <w:rPr>
          <w:vertAlign w:val="superscript"/>
        </w:rPr>
        <w:t>1</w:t>
      </w:r>
      <w:r w:rsidR="00547456" w:rsidRPr="0052573B">
        <w:rPr>
          <w:vertAlign w:val="superscript"/>
        </w:rPr>
        <w:t>5</w:t>
      </w:r>
      <w:r w:rsidR="00356AF2" w:rsidRPr="0052573B">
        <w:t xml:space="preserve"> focusing on the three core concepts of self-determination theory: autonomy, competence, and relatedness.</w:t>
      </w:r>
      <w:r w:rsidR="00494209" w:rsidRPr="0052573B">
        <w:rPr>
          <w:vertAlign w:val="superscript"/>
        </w:rPr>
        <w:t>33</w:t>
      </w:r>
      <w:r w:rsidR="00BE397D" w:rsidRPr="0052573B">
        <w:rPr>
          <w:vertAlign w:val="superscript"/>
        </w:rPr>
        <w:t xml:space="preserve"> </w:t>
      </w:r>
      <w:r w:rsidR="004A4EC2" w:rsidRPr="0052573B">
        <w:rPr>
          <w:bCs/>
        </w:rPr>
        <w:t>Findings from Corner et al</w:t>
      </w:r>
      <w:r w:rsidR="00494209" w:rsidRPr="0052573B">
        <w:rPr>
          <w:bCs/>
        </w:rPr>
        <w:t>.</w:t>
      </w:r>
      <w:r w:rsidR="004A4EC2" w:rsidRPr="0052573B">
        <w:rPr>
          <w:bCs/>
        </w:rPr>
        <w:t>’s study showed that c</w:t>
      </w:r>
      <w:r w:rsidR="008D453C" w:rsidRPr="0052573B">
        <w:rPr>
          <w:bCs/>
        </w:rPr>
        <w:t>ritical illness</w:t>
      </w:r>
      <w:r w:rsidR="00146A08" w:rsidRPr="0052573B">
        <w:rPr>
          <w:bCs/>
        </w:rPr>
        <w:t xml:space="preserve"> negatively impacts </w:t>
      </w:r>
      <w:r w:rsidR="008D453C" w:rsidRPr="0052573B">
        <w:rPr>
          <w:bCs/>
        </w:rPr>
        <w:t>patients</w:t>
      </w:r>
      <w:r w:rsidR="00146A08" w:rsidRPr="0052573B">
        <w:rPr>
          <w:bCs/>
        </w:rPr>
        <w:t xml:space="preserve">’ sense of </w:t>
      </w:r>
      <w:r w:rsidR="008D453C" w:rsidRPr="0052573B">
        <w:rPr>
          <w:bCs/>
        </w:rPr>
        <w:t>autonomy</w:t>
      </w:r>
      <w:r w:rsidR="00146A08" w:rsidRPr="0052573B">
        <w:rPr>
          <w:bCs/>
        </w:rPr>
        <w:t xml:space="preserve">, </w:t>
      </w:r>
      <w:r w:rsidR="008D453C" w:rsidRPr="0052573B">
        <w:rPr>
          <w:bCs/>
        </w:rPr>
        <w:t>competence, and relatedness</w:t>
      </w:r>
      <w:r w:rsidR="00146A08" w:rsidRPr="0052573B">
        <w:rPr>
          <w:bCs/>
        </w:rPr>
        <w:t xml:space="preserve">, which in turn can reduce the motivation required to effectively engage </w:t>
      </w:r>
      <w:r w:rsidR="008D453C" w:rsidRPr="0052573B">
        <w:rPr>
          <w:bCs/>
        </w:rPr>
        <w:t>in rehabilitation.</w:t>
      </w:r>
      <w:r w:rsidR="00494209" w:rsidRPr="0052573B">
        <w:rPr>
          <w:bCs/>
          <w:vertAlign w:val="superscript"/>
        </w:rPr>
        <w:t>15</w:t>
      </w:r>
      <w:r w:rsidR="00146A08" w:rsidRPr="0052573B">
        <w:rPr>
          <w:bCs/>
        </w:rPr>
        <w:t xml:space="preserve"> Th</w:t>
      </w:r>
      <w:r w:rsidR="004A4EC2" w:rsidRPr="0052573B">
        <w:rPr>
          <w:bCs/>
        </w:rPr>
        <w:t>is study sought to determine the</w:t>
      </w:r>
      <w:r w:rsidR="00146A08" w:rsidRPr="0052573B">
        <w:rPr>
          <w:bCs/>
        </w:rPr>
        <w:t xml:space="preserve"> degree to which this is further affected by the </w:t>
      </w:r>
      <w:r w:rsidR="004A4EC2" w:rsidRPr="0052573B">
        <w:rPr>
          <w:bCs/>
        </w:rPr>
        <w:t xml:space="preserve">unique features of </w:t>
      </w:r>
      <w:r w:rsidR="00146A08" w:rsidRPr="0052573B">
        <w:rPr>
          <w:bCs/>
        </w:rPr>
        <w:t>COVID-19</w:t>
      </w:r>
      <w:r w:rsidR="004A4EC2" w:rsidRPr="0052573B">
        <w:rPr>
          <w:bCs/>
        </w:rPr>
        <w:t>.</w:t>
      </w:r>
    </w:p>
    <w:p w14:paraId="696E70FA" w14:textId="44081158" w:rsidR="00B81BE8" w:rsidRPr="0052573B" w:rsidRDefault="00B81BE8" w:rsidP="00B81BE8">
      <w:pPr>
        <w:rPr>
          <w:b/>
          <w:i/>
          <w:iCs/>
        </w:rPr>
      </w:pPr>
      <w:r w:rsidRPr="0052573B">
        <w:rPr>
          <w:b/>
          <w:i/>
          <w:iCs/>
        </w:rPr>
        <w:t>Rigour: Research team and reflexivity</w:t>
      </w:r>
    </w:p>
    <w:p w14:paraId="4CF1194F" w14:textId="211B9126" w:rsidR="00B81BE8" w:rsidRPr="0052573B" w:rsidRDefault="00E0387D" w:rsidP="00B81BE8">
      <w:r w:rsidRPr="0052573B">
        <w:t>Th</w:t>
      </w:r>
      <w:r w:rsidR="00820D1E" w:rsidRPr="0052573B">
        <w:t>e</w:t>
      </w:r>
      <w:r w:rsidRPr="0052573B">
        <w:t xml:space="preserve"> study was</w:t>
      </w:r>
      <w:r w:rsidR="00F8463F" w:rsidRPr="0052573B">
        <w:t xml:space="preserve"> </w:t>
      </w:r>
      <w:r w:rsidRPr="0052573B">
        <w:t xml:space="preserve">registered on the COVID-19 Mental Health Studies Register: </w:t>
      </w:r>
      <w:hyperlink r:id="rId10" w:history="1">
        <w:r w:rsidRPr="0052573B">
          <w:rPr>
            <w:rStyle w:val="Hyperlink"/>
          </w:rPr>
          <w:t>https://www.maudsleybrc.nihr.ac.uk/research/covid-19-studies/</w:t>
        </w:r>
      </w:hyperlink>
      <w:r w:rsidRPr="0052573B">
        <w:t xml:space="preserve"> and </w:t>
      </w:r>
      <w:r w:rsidR="00DB398F" w:rsidRPr="0052573B">
        <w:rPr>
          <w:bCs/>
        </w:rPr>
        <w:t>is reported in line with the consolidated criteria for reporting qualitative research (COREQ) 32 item checklist.</w:t>
      </w:r>
      <w:r w:rsidR="00494209" w:rsidRPr="0052573B">
        <w:rPr>
          <w:bCs/>
          <w:vertAlign w:val="superscript"/>
        </w:rPr>
        <w:t>34</w:t>
      </w:r>
      <w:r w:rsidR="00DB398F" w:rsidRPr="0052573B">
        <w:rPr>
          <w:bCs/>
        </w:rPr>
        <w:t xml:space="preserve"> </w:t>
      </w:r>
      <w:r w:rsidR="00B81BE8" w:rsidRPr="0052573B">
        <w:rPr>
          <w:bCs/>
        </w:rPr>
        <w:t>Led by a Professor in critical care nursing (SB</w:t>
      </w:r>
      <w:r w:rsidR="00DB398F" w:rsidRPr="0052573B">
        <w:rPr>
          <w:bCs/>
        </w:rPr>
        <w:t>)</w:t>
      </w:r>
      <w:r w:rsidR="00B81BE8" w:rsidRPr="0052573B">
        <w:rPr>
          <w:bCs/>
        </w:rPr>
        <w:t xml:space="preserve"> </w:t>
      </w:r>
      <w:r w:rsidR="00DB398F" w:rsidRPr="0052573B">
        <w:rPr>
          <w:bCs/>
        </w:rPr>
        <w:t xml:space="preserve">the team included </w:t>
      </w:r>
      <w:r w:rsidR="00B81BE8" w:rsidRPr="0052573B">
        <w:rPr>
          <w:bCs/>
        </w:rPr>
        <w:t>experienced clinical-academic nurses</w:t>
      </w:r>
      <w:r w:rsidR="00DB398F" w:rsidRPr="0052573B">
        <w:rPr>
          <w:bCs/>
        </w:rPr>
        <w:t>,</w:t>
      </w:r>
      <w:r w:rsidR="00B81BE8" w:rsidRPr="0052573B">
        <w:rPr>
          <w:bCs/>
        </w:rPr>
        <w:t xml:space="preserve"> (SB/NT/AJ/MH)</w:t>
      </w:r>
      <w:r w:rsidR="00AF490A" w:rsidRPr="0052573B">
        <w:rPr>
          <w:bCs/>
        </w:rPr>
        <w:t xml:space="preserve">, midwives (NM) </w:t>
      </w:r>
      <w:r w:rsidR="00B81BE8" w:rsidRPr="0052573B">
        <w:rPr>
          <w:bCs/>
        </w:rPr>
        <w:t>and doctors (HF) from critical and community care</w:t>
      </w:r>
      <w:r w:rsidR="00AF490A" w:rsidRPr="0052573B">
        <w:rPr>
          <w:bCs/>
        </w:rPr>
        <w:t xml:space="preserve"> and</w:t>
      </w:r>
      <w:r w:rsidR="00B81BE8" w:rsidRPr="0052573B">
        <w:rPr>
          <w:bCs/>
        </w:rPr>
        <w:t xml:space="preserve"> a clinical psychologist (GP)</w:t>
      </w:r>
      <w:r w:rsidR="00AF490A" w:rsidRPr="0052573B">
        <w:rPr>
          <w:bCs/>
        </w:rPr>
        <w:t xml:space="preserve">. </w:t>
      </w:r>
      <w:r w:rsidR="00B81BE8" w:rsidRPr="0052573B">
        <w:rPr>
          <w:bCs/>
        </w:rPr>
        <w:t xml:space="preserve">A </w:t>
      </w:r>
      <w:r w:rsidR="008D2133" w:rsidRPr="0052573B">
        <w:rPr>
          <w:bCs/>
        </w:rPr>
        <w:t xml:space="preserve">patient/carer representative with a defined disability </w:t>
      </w:r>
      <w:r w:rsidR="00AF490A" w:rsidRPr="0052573B">
        <w:rPr>
          <w:bCs/>
        </w:rPr>
        <w:t xml:space="preserve">and experience as the partner of an ICU survivor (HC) </w:t>
      </w:r>
      <w:r w:rsidR="00B81BE8" w:rsidRPr="0052573B">
        <w:rPr>
          <w:bCs/>
        </w:rPr>
        <w:t xml:space="preserve">sat on the project steering group and two patient experience facilitators </w:t>
      </w:r>
      <w:r w:rsidR="00820D1E" w:rsidRPr="0052573B">
        <w:rPr>
          <w:bCs/>
        </w:rPr>
        <w:t>helped</w:t>
      </w:r>
      <w:r w:rsidR="00B81BE8" w:rsidRPr="0052573B">
        <w:rPr>
          <w:bCs/>
        </w:rPr>
        <w:t xml:space="preserve"> promot</w:t>
      </w:r>
      <w:r w:rsidR="00820D1E" w:rsidRPr="0052573B">
        <w:rPr>
          <w:bCs/>
        </w:rPr>
        <w:t>e</w:t>
      </w:r>
      <w:r w:rsidR="00B81BE8" w:rsidRPr="0052573B">
        <w:rPr>
          <w:bCs/>
        </w:rPr>
        <w:t xml:space="preserve"> the study, </w:t>
      </w:r>
      <w:r w:rsidR="008D2133" w:rsidRPr="0052573B">
        <w:rPr>
          <w:bCs/>
        </w:rPr>
        <w:t>recruit</w:t>
      </w:r>
      <w:r w:rsidR="00820D1E" w:rsidRPr="0052573B">
        <w:rPr>
          <w:bCs/>
        </w:rPr>
        <w:t xml:space="preserve"> participants,</w:t>
      </w:r>
      <w:r w:rsidR="00B81BE8" w:rsidRPr="0052573B">
        <w:rPr>
          <w:bCs/>
        </w:rPr>
        <w:t xml:space="preserve"> and disseminat</w:t>
      </w:r>
      <w:r w:rsidR="00820D1E" w:rsidRPr="0052573B">
        <w:rPr>
          <w:bCs/>
        </w:rPr>
        <w:t>e findings</w:t>
      </w:r>
      <w:r w:rsidR="00AF490A" w:rsidRPr="0052573B">
        <w:rPr>
          <w:bCs/>
        </w:rPr>
        <w:t xml:space="preserve"> (EB/NP)</w:t>
      </w:r>
      <w:r w:rsidR="00B81BE8" w:rsidRPr="0052573B">
        <w:rPr>
          <w:bCs/>
        </w:rPr>
        <w:t xml:space="preserve">. </w:t>
      </w:r>
      <w:r w:rsidR="00AF490A" w:rsidRPr="0052573B">
        <w:rPr>
          <w:bCs/>
        </w:rPr>
        <w:t xml:space="preserve">All data collection </w:t>
      </w:r>
      <w:r w:rsidR="00B81BE8" w:rsidRPr="0052573B">
        <w:rPr>
          <w:bCs/>
        </w:rPr>
        <w:t>was overseen by experienced qualitative researchers (NM/SB/NT).</w:t>
      </w:r>
    </w:p>
    <w:p w14:paraId="400862C2" w14:textId="2287A1FC" w:rsidR="00820D1E" w:rsidRPr="0052573B" w:rsidRDefault="00820D1E" w:rsidP="00820D1E">
      <w:pPr>
        <w:rPr>
          <w:bCs/>
        </w:rPr>
      </w:pPr>
      <w:r w:rsidRPr="0052573B">
        <w:rPr>
          <w:bCs/>
        </w:rPr>
        <w:t>Participants provided informed consent prior to interview. To mitigate the trauma of discussing critical illness experiences, a distress protocol written by our clinical psychologist and patient representative guided our practice. Nursing and midwifery council registered researchers (NM/AJ) conducted all interviews at least one month after hospital discharge</w:t>
      </w:r>
      <w:r w:rsidR="00F97949" w:rsidRPr="0052573B">
        <w:rPr>
          <w:bCs/>
        </w:rPr>
        <w:t>, in accordance with best practice.</w:t>
      </w:r>
      <w:r w:rsidR="00F97949" w:rsidRPr="0052573B">
        <w:rPr>
          <w:bCs/>
          <w:vertAlign w:val="superscript"/>
        </w:rPr>
        <w:t xml:space="preserve">35 </w:t>
      </w:r>
      <w:r w:rsidR="00F97949" w:rsidRPr="0052573B">
        <w:rPr>
          <w:bCs/>
        </w:rPr>
        <w:t>P</w:t>
      </w:r>
      <w:r w:rsidRPr="0052573B">
        <w:rPr>
          <w:bCs/>
        </w:rPr>
        <w:t xml:space="preserve">articipants were </w:t>
      </w:r>
      <w:r w:rsidR="00F97949" w:rsidRPr="0052573B">
        <w:rPr>
          <w:bCs/>
        </w:rPr>
        <w:t xml:space="preserve">also </w:t>
      </w:r>
      <w:r w:rsidRPr="0052573B">
        <w:rPr>
          <w:bCs/>
        </w:rPr>
        <w:t>encouraged to take steps they felt would support them (e.g., having someone with them).</w:t>
      </w:r>
    </w:p>
    <w:p w14:paraId="4D0528E4" w14:textId="0B81EEF2" w:rsidR="00820D1E" w:rsidRPr="0052573B" w:rsidRDefault="00B81BE8" w:rsidP="002E0A01">
      <w:pPr>
        <w:rPr>
          <w:bCs/>
        </w:rPr>
      </w:pPr>
      <w:r w:rsidRPr="0052573B">
        <w:rPr>
          <w:bCs/>
        </w:rPr>
        <w:t>To account for researcher influences on the data, a reflexive diary was kept by all team members</w:t>
      </w:r>
      <w:r w:rsidR="006E4AC3" w:rsidRPr="0052573B">
        <w:rPr>
          <w:bCs/>
        </w:rPr>
        <w:t>.</w:t>
      </w:r>
      <w:r w:rsidR="00547456" w:rsidRPr="0052573B">
        <w:rPr>
          <w:bCs/>
          <w:vertAlign w:val="superscript"/>
        </w:rPr>
        <w:t>3</w:t>
      </w:r>
      <w:r w:rsidR="00F97949" w:rsidRPr="0052573B">
        <w:rPr>
          <w:bCs/>
          <w:vertAlign w:val="superscript"/>
        </w:rPr>
        <w:t>6</w:t>
      </w:r>
      <w:r w:rsidR="006E4AC3" w:rsidRPr="0052573B">
        <w:rPr>
          <w:bCs/>
        </w:rPr>
        <w:t xml:space="preserve"> </w:t>
      </w:r>
      <w:r w:rsidRPr="0052573B">
        <w:rPr>
          <w:bCs/>
        </w:rPr>
        <w:t>All decisions regarding data collection and analysis were discussed and agreed by the whole team and a written record was kept demonstrating transparency, truth, consistency, confirmability and applicability.</w:t>
      </w:r>
      <w:r w:rsidR="00BF4290" w:rsidRPr="0052573B">
        <w:rPr>
          <w:bCs/>
          <w:vertAlign w:val="superscript"/>
        </w:rPr>
        <w:t>3</w:t>
      </w:r>
      <w:r w:rsidR="00F97949" w:rsidRPr="0052573B">
        <w:rPr>
          <w:bCs/>
          <w:vertAlign w:val="superscript"/>
        </w:rPr>
        <w:t>7</w:t>
      </w:r>
    </w:p>
    <w:p w14:paraId="1968A475" w14:textId="2ABA0736" w:rsidR="00C70ADB" w:rsidRPr="0052573B" w:rsidRDefault="00D07B2B" w:rsidP="002E0A01">
      <w:pPr>
        <w:rPr>
          <w:b/>
        </w:rPr>
      </w:pPr>
      <w:r w:rsidRPr="0052573B">
        <w:rPr>
          <w:b/>
        </w:rPr>
        <w:t>Findings</w:t>
      </w:r>
    </w:p>
    <w:p w14:paraId="53D64A60" w14:textId="04AFA6F3" w:rsidR="00C70ADB" w:rsidRPr="0052573B" w:rsidRDefault="00C70ADB" w:rsidP="00C70ADB">
      <w:r w:rsidRPr="0052573B">
        <w:t>Twenty participants were recruited (see Table 1). Male: female ratio was 1:3</w:t>
      </w:r>
      <w:r w:rsidR="00D07B2B" w:rsidRPr="0052573B">
        <w:t>. T</w:t>
      </w:r>
      <w:r w:rsidRPr="0052573B">
        <w:t xml:space="preserve">he sample was predominantly white British with a mean age of 61 years (range 48-76). Patient-reported overall length of stay in hospital was on average three months, with half the sample reporting being transferred to a </w:t>
      </w:r>
      <w:r w:rsidR="009513FC" w:rsidRPr="0052573B">
        <w:t xml:space="preserve">community </w:t>
      </w:r>
      <w:r w:rsidRPr="0052573B">
        <w:t xml:space="preserve">rehabilitation unit </w:t>
      </w:r>
      <w:r w:rsidR="009513FC" w:rsidRPr="0052573B">
        <w:t xml:space="preserve">following </w:t>
      </w:r>
      <w:r w:rsidRPr="0052573B">
        <w:t>the acute hospital stay.</w:t>
      </w:r>
    </w:p>
    <w:p w14:paraId="5E9CF0FC" w14:textId="3D1E704A" w:rsidR="00E403D4" w:rsidRPr="0052573B" w:rsidRDefault="00C70ADB" w:rsidP="00E403D4">
      <w:bookmarkStart w:id="4" w:name="_Hlk96697810"/>
      <w:r w:rsidRPr="0052573B">
        <w:t xml:space="preserve">Table 1: Sample characteristics </w:t>
      </w:r>
      <w:bookmarkStart w:id="5" w:name="_Hlk94863692"/>
    </w:p>
    <w:bookmarkEnd w:id="4"/>
    <w:bookmarkEnd w:id="5"/>
    <w:p w14:paraId="08698B6F" w14:textId="5A546043" w:rsidR="00A26B27" w:rsidRPr="0052573B" w:rsidRDefault="00A26B27" w:rsidP="00C70ADB">
      <w:pPr>
        <w:rPr>
          <w:b/>
          <w:bCs/>
        </w:rPr>
      </w:pPr>
      <w:r w:rsidRPr="0052573B">
        <w:rPr>
          <w:b/>
          <w:bCs/>
        </w:rPr>
        <w:lastRenderedPageBreak/>
        <w:t xml:space="preserve">Themes </w:t>
      </w:r>
    </w:p>
    <w:p w14:paraId="51B25368" w14:textId="5E64739B" w:rsidR="00626B08" w:rsidRPr="0052573B" w:rsidRDefault="00C70ADB" w:rsidP="005830E2">
      <w:r w:rsidRPr="0052573B">
        <w:t>Three key themes emerged: (</w:t>
      </w:r>
      <w:proofErr w:type="spellStart"/>
      <w:r w:rsidRPr="0052573B">
        <w:t>i</w:t>
      </w:r>
      <w:proofErr w:type="spellEnd"/>
      <w:r w:rsidRPr="0052573B">
        <w:t>) traumatic experience, (ii) human connections and (iii) navigating a complex system</w:t>
      </w:r>
      <w:r w:rsidR="000A5C5C" w:rsidRPr="0052573B">
        <w:t xml:space="preserve">; all </w:t>
      </w:r>
      <w:r w:rsidR="00764418" w:rsidRPr="0052573B">
        <w:t xml:space="preserve">underpinned by </w:t>
      </w:r>
      <w:r w:rsidR="000A5C5C" w:rsidRPr="0052573B">
        <w:t>an overarching theme of u</w:t>
      </w:r>
      <w:r w:rsidR="00764418" w:rsidRPr="0052573B">
        <w:t>ncertainty and instability.</w:t>
      </w:r>
      <w:r w:rsidR="002161A7" w:rsidRPr="0052573B">
        <w:t xml:space="preserve"> </w:t>
      </w:r>
      <w:r w:rsidR="00626B08" w:rsidRPr="0052573B">
        <w:t xml:space="preserve">Figure 1 details the final three themes and subthemes. A list of the initial codes which were amalgamated to produce </w:t>
      </w:r>
      <w:r w:rsidR="002161A7" w:rsidRPr="0052573B">
        <w:t xml:space="preserve">can be seen in </w:t>
      </w:r>
      <w:r w:rsidR="00626B08" w:rsidRPr="0052573B">
        <w:t>supplementary file</w:t>
      </w:r>
      <w:r w:rsidR="002161A7" w:rsidRPr="0052573B">
        <w:t xml:space="preserve"> 2</w:t>
      </w:r>
      <w:r w:rsidR="00626B08" w:rsidRPr="0052573B">
        <w:t>.</w:t>
      </w:r>
    </w:p>
    <w:p w14:paraId="06304976" w14:textId="7ABF8419" w:rsidR="00FE7C6F" w:rsidRPr="0052573B" w:rsidRDefault="00626B08" w:rsidP="005830E2">
      <w:r w:rsidRPr="0052573B">
        <w:t>Figure 1: Themes, subthemes and categories</w:t>
      </w:r>
    </w:p>
    <w:p w14:paraId="42734A0B" w14:textId="53C6A18C" w:rsidR="005830E2" w:rsidRPr="0052573B" w:rsidRDefault="005830E2" w:rsidP="005830E2">
      <w:pPr>
        <w:rPr>
          <w:b/>
          <w:bCs/>
          <w:i/>
          <w:iCs/>
        </w:rPr>
      </w:pPr>
      <w:r w:rsidRPr="0052573B">
        <w:rPr>
          <w:b/>
          <w:bCs/>
          <w:i/>
          <w:iCs/>
        </w:rPr>
        <w:t xml:space="preserve">Traumatic Experience </w:t>
      </w:r>
    </w:p>
    <w:p w14:paraId="338F4A35" w14:textId="77777777" w:rsidR="00EE385E" w:rsidRPr="0052573B" w:rsidRDefault="0043592D" w:rsidP="006044D2">
      <w:r w:rsidRPr="0052573B">
        <w:t xml:space="preserve">Participants described a very traumatic experience, which stayed with them after </w:t>
      </w:r>
      <w:r w:rsidR="00EA24E4" w:rsidRPr="0052573B">
        <w:t xml:space="preserve">hospital </w:t>
      </w:r>
      <w:r w:rsidRPr="0052573B">
        <w:t xml:space="preserve">discharge, negatively affecting their well-being. </w:t>
      </w:r>
      <w:r w:rsidR="00EA24E4" w:rsidRPr="0052573B">
        <w:t xml:space="preserve">Participants described </w:t>
      </w:r>
      <w:r w:rsidR="003A31B4" w:rsidRPr="0052573B">
        <w:t>an</w:t>
      </w:r>
      <w:r w:rsidRPr="0052573B">
        <w:t xml:space="preserve"> acute awareness </w:t>
      </w:r>
      <w:r w:rsidR="003A31B4" w:rsidRPr="0052573B">
        <w:t xml:space="preserve">of how </w:t>
      </w:r>
      <w:proofErr w:type="spellStart"/>
      <w:r w:rsidR="003A31B4" w:rsidRPr="0052573B">
        <w:t>ill</w:t>
      </w:r>
      <w:proofErr w:type="spellEnd"/>
      <w:r w:rsidR="003A31B4" w:rsidRPr="0052573B">
        <w:t xml:space="preserve"> they </w:t>
      </w:r>
      <w:r w:rsidR="00983266" w:rsidRPr="0052573B">
        <w:t>had been</w:t>
      </w:r>
      <w:r w:rsidR="003A31B4" w:rsidRPr="0052573B">
        <w:t xml:space="preserve"> and uncertainty about </w:t>
      </w:r>
      <w:r w:rsidRPr="0052573B">
        <w:t xml:space="preserve">the </w:t>
      </w:r>
      <w:r w:rsidR="003A31B4" w:rsidRPr="0052573B">
        <w:t>chance of survival</w:t>
      </w:r>
      <w:r w:rsidR="00DE6F31" w:rsidRPr="0052573B">
        <w:t xml:space="preserve">, leaving </w:t>
      </w:r>
      <w:r w:rsidR="00EA24E4" w:rsidRPr="0052573B">
        <w:t xml:space="preserve">them </w:t>
      </w:r>
      <w:r w:rsidRPr="0052573B">
        <w:t>feeling frightened</w:t>
      </w:r>
      <w:r w:rsidR="00B76012" w:rsidRPr="0052573B">
        <w:t xml:space="preserve">. </w:t>
      </w:r>
      <w:r w:rsidR="00B76012" w:rsidRPr="0052573B">
        <w:rPr>
          <w:rFonts w:ascii="Calibri" w:eastAsia="Calibri" w:hAnsi="Calibri" w:cs="Times New Roman"/>
        </w:rPr>
        <w:t>Even after hospital discharge, participants remained fearful and this impacted on their confidence to resume everyday activities:</w:t>
      </w:r>
      <w:r w:rsidR="00B76012" w:rsidRPr="0052573B">
        <w:t xml:space="preserve"> “</w:t>
      </w:r>
      <w:r w:rsidR="00B76012" w:rsidRPr="0052573B">
        <w:rPr>
          <w:i/>
          <w:iCs/>
        </w:rPr>
        <w:t>We used to go to the mall where we can sit to eat at the mall just a few people in there, I don’t like to mix with a crowd of people because I’m still scared</w:t>
      </w:r>
      <w:r w:rsidR="00B76012" w:rsidRPr="0052573B">
        <w:t>” (P5).</w:t>
      </w:r>
      <w:r w:rsidR="006044D2" w:rsidRPr="0052573B">
        <w:t xml:space="preserve"> </w:t>
      </w:r>
    </w:p>
    <w:p w14:paraId="5FF93909" w14:textId="57AA1909" w:rsidR="006044D2" w:rsidRPr="0052573B" w:rsidRDefault="006044D2" w:rsidP="006044D2">
      <w:r w:rsidRPr="0052573B">
        <w:t>The recovery period was a time for much reflection. Hope for the future was expressed, but participants also described a survivors’ guilt, including a struggle to understand why they had been ‘lucky’, particularly if they had risk factors such as obesity or other pre-existing health conditions: “</w:t>
      </w:r>
      <w:r w:rsidRPr="0052573B">
        <w:rPr>
          <w:i/>
          <w:iCs/>
        </w:rPr>
        <w:t xml:space="preserve">I think the other really difficult thing for me - I may </w:t>
      </w:r>
      <w:proofErr w:type="spellStart"/>
      <w:r w:rsidRPr="0052573B">
        <w:rPr>
          <w:i/>
          <w:iCs/>
        </w:rPr>
        <w:t>cry</w:t>
      </w:r>
      <w:proofErr w:type="spellEnd"/>
      <w:r w:rsidRPr="0052573B">
        <w:rPr>
          <w:i/>
          <w:iCs/>
        </w:rPr>
        <w:t xml:space="preserve"> again - is this feeling of survivor's guilt which is huge…It's almost like, 'Why didn't I [die]? What's so special about me?'</w:t>
      </w:r>
      <w:r w:rsidR="00820D1E" w:rsidRPr="0052573B">
        <w:rPr>
          <w:i/>
          <w:iCs/>
        </w:rPr>
        <w:t>…</w:t>
      </w:r>
      <w:r w:rsidRPr="0052573B">
        <w:rPr>
          <w:i/>
          <w:iCs/>
        </w:rPr>
        <w:t xml:space="preserve">Yeah, that's really hard” (P18). </w:t>
      </w:r>
    </w:p>
    <w:p w14:paraId="1E28D82A" w14:textId="546F94BE" w:rsidR="003A31B4" w:rsidRPr="0052573B" w:rsidRDefault="0043592D" w:rsidP="005830E2">
      <w:r w:rsidRPr="0052573B">
        <w:t>A key element underpinning fear was the ‘surreal’ surroundings, with the hospital environment described as resembling a ‘science fiction film’</w:t>
      </w:r>
      <w:r w:rsidR="003A31B4" w:rsidRPr="0052573B">
        <w:t>: “</w:t>
      </w:r>
      <w:r w:rsidR="003A31B4" w:rsidRPr="0052573B">
        <w:rPr>
          <w:i/>
          <w:iCs/>
        </w:rPr>
        <w:t>I can see myself like waking up at times and see loads of people on the ward all masked up and it was quite frightening, it looked like a science fiction film that I was in</w:t>
      </w:r>
      <w:r w:rsidR="003A31B4" w:rsidRPr="0052573B">
        <w:t xml:space="preserve">” (P4). </w:t>
      </w:r>
      <w:r w:rsidR="00166CD8" w:rsidRPr="0052573B">
        <w:t>F</w:t>
      </w:r>
      <w:r w:rsidR="005830E2" w:rsidRPr="0052573B">
        <w:t>ear w</w:t>
      </w:r>
      <w:r w:rsidR="003A31B4" w:rsidRPr="0052573B">
        <w:t>as further</w:t>
      </w:r>
      <w:r w:rsidR="005830E2" w:rsidRPr="0052573B">
        <w:t xml:space="preserve"> exacerbated by hearing that hospitals were running out of oxygen </w:t>
      </w:r>
      <w:r w:rsidR="003A31B4" w:rsidRPr="0052573B">
        <w:t xml:space="preserve">with some participants describing having to be transferred to an alternative hospital with oxygen supplies. </w:t>
      </w:r>
    </w:p>
    <w:p w14:paraId="6BCA6C2E" w14:textId="174E50CB" w:rsidR="000001FA" w:rsidRPr="0052573B" w:rsidRDefault="00184F07" w:rsidP="00184F07">
      <w:pPr>
        <w:rPr>
          <w:rFonts w:ascii="Calibri" w:eastAsia="Calibri" w:hAnsi="Calibri" w:cs="Times New Roman"/>
        </w:rPr>
      </w:pPr>
      <w:r w:rsidRPr="0052573B">
        <w:rPr>
          <w:rFonts w:ascii="Calibri" w:eastAsia="Calibri" w:hAnsi="Calibri" w:cs="Times New Roman"/>
        </w:rPr>
        <w:t>Participants described a wide range of post COVID</w:t>
      </w:r>
      <w:r w:rsidR="00983266" w:rsidRPr="0052573B">
        <w:rPr>
          <w:rFonts w:ascii="Calibri" w:eastAsia="Calibri" w:hAnsi="Calibri" w:cs="Times New Roman"/>
        </w:rPr>
        <w:t>-19</w:t>
      </w:r>
      <w:r w:rsidRPr="0052573B">
        <w:rPr>
          <w:rFonts w:ascii="Calibri" w:eastAsia="Calibri" w:hAnsi="Calibri" w:cs="Times New Roman"/>
        </w:rPr>
        <w:t xml:space="preserve"> health impacts spanning both physical and mental health. Symptoms reported included</w:t>
      </w:r>
      <w:r w:rsidR="000001FA" w:rsidRPr="0052573B">
        <w:rPr>
          <w:rFonts w:ascii="Calibri" w:eastAsia="Calibri" w:hAnsi="Calibri" w:cs="Times New Roman"/>
        </w:rPr>
        <w:t xml:space="preserve"> </w:t>
      </w:r>
      <w:r w:rsidRPr="0052573B">
        <w:rPr>
          <w:rFonts w:ascii="Calibri" w:eastAsia="Calibri" w:hAnsi="Calibri" w:cs="Times New Roman"/>
        </w:rPr>
        <w:t>pain, breathing difficulties, fatigue (which also affected mobility), memory and other cognitive difficulties, sleeping problems</w:t>
      </w:r>
      <w:r w:rsidR="00EE385E" w:rsidRPr="0052573B">
        <w:rPr>
          <w:rFonts w:ascii="Calibri" w:eastAsia="Calibri" w:hAnsi="Calibri" w:cs="Times New Roman"/>
        </w:rPr>
        <w:t xml:space="preserve"> </w:t>
      </w:r>
      <w:r w:rsidRPr="0052573B">
        <w:rPr>
          <w:rFonts w:ascii="Calibri" w:eastAsia="Calibri" w:hAnsi="Calibri" w:cs="Times New Roman"/>
        </w:rPr>
        <w:t xml:space="preserve">and mental health challenges including anxiety, depression, and symptoms of PTSD. </w:t>
      </w:r>
      <w:r w:rsidR="000001FA" w:rsidRPr="0052573B">
        <w:rPr>
          <w:rFonts w:ascii="Calibri" w:eastAsia="Calibri" w:hAnsi="Calibri" w:cs="Times New Roman"/>
        </w:rPr>
        <w:t>P</w:t>
      </w:r>
      <w:r w:rsidRPr="0052573B">
        <w:rPr>
          <w:rFonts w:ascii="Calibri" w:eastAsia="Calibri" w:hAnsi="Calibri" w:cs="Times New Roman"/>
        </w:rPr>
        <w:t>articipants</w:t>
      </w:r>
      <w:r w:rsidR="000001FA" w:rsidRPr="0052573B">
        <w:rPr>
          <w:rFonts w:ascii="Calibri" w:eastAsia="Calibri" w:hAnsi="Calibri" w:cs="Times New Roman"/>
        </w:rPr>
        <w:t xml:space="preserve"> also </w:t>
      </w:r>
      <w:r w:rsidRPr="0052573B">
        <w:rPr>
          <w:rFonts w:ascii="Calibri" w:eastAsia="Calibri" w:hAnsi="Calibri" w:cs="Times New Roman"/>
        </w:rPr>
        <w:t>described the emotional toll that being so acutely unwell had taken on them and their families</w:t>
      </w:r>
      <w:r w:rsidR="00E324D6" w:rsidRPr="0052573B">
        <w:rPr>
          <w:rFonts w:ascii="Calibri" w:eastAsia="Calibri" w:hAnsi="Calibri" w:cs="Times New Roman"/>
        </w:rPr>
        <w:t>:</w:t>
      </w:r>
      <w:r w:rsidRPr="0052573B">
        <w:rPr>
          <w:rFonts w:ascii="Calibri" w:eastAsia="Calibri" w:hAnsi="Calibri" w:cs="Times New Roman"/>
        </w:rPr>
        <w:t xml:space="preserve"> “</w:t>
      </w:r>
      <w:r w:rsidRPr="0052573B">
        <w:rPr>
          <w:rFonts w:ascii="Calibri" w:eastAsia="Calibri" w:hAnsi="Calibri" w:cs="Times New Roman"/>
          <w:i/>
          <w:iCs/>
        </w:rPr>
        <w:t>My daughter walked into the study, I was sat there with my husband, just you know taking it all in and my daughter came in and three of us just broke down crying</w:t>
      </w:r>
      <w:r w:rsidRPr="0052573B">
        <w:rPr>
          <w:rFonts w:ascii="Calibri" w:eastAsia="Calibri" w:hAnsi="Calibri" w:cs="Times New Roman"/>
        </w:rPr>
        <w:t>” (P17).</w:t>
      </w:r>
      <w:r w:rsidR="003F2B91" w:rsidRPr="0052573B">
        <w:rPr>
          <w:rFonts w:ascii="Calibri" w:eastAsia="Calibri" w:hAnsi="Calibri" w:cs="Times New Roman"/>
        </w:rPr>
        <w:t xml:space="preserve"> </w:t>
      </w:r>
      <w:r w:rsidR="000001FA" w:rsidRPr="0052573B">
        <w:t xml:space="preserve">In some cases, participants’ experiences had </w:t>
      </w:r>
      <w:r w:rsidR="00983266" w:rsidRPr="0052573B">
        <w:t xml:space="preserve">also </w:t>
      </w:r>
      <w:r w:rsidR="000001FA" w:rsidRPr="0052573B">
        <w:t>prompted them to discuss their end of life wishes. Highlighting the high number of deaths witnessed, one participant said, “</w:t>
      </w:r>
      <w:r w:rsidR="000001FA" w:rsidRPr="0052573B">
        <w:rPr>
          <w:i/>
          <w:iCs/>
        </w:rPr>
        <w:t>I had people dying next to me every day. I know the last rights in every language, in every religion going now</w:t>
      </w:r>
      <w:r w:rsidR="000001FA" w:rsidRPr="0052573B">
        <w:t>” (P14).</w:t>
      </w:r>
    </w:p>
    <w:p w14:paraId="747CD226" w14:textId="47895205" w:rsidR="00983266" w:rsidRPr="0052573B" w:rsidRDefault="00E324D6" w:rsidP="002E0A01">
      <w:pPr>
        <w:rPr>
          <w:rFonts w:ascii="Calibri" w:eastAsia="Calibri" w:hAnsi="Calibri" w:cs="Times New Roman"/>
        </w:rPr>
      </w:pPr>
      <w:r w:rsidRPr="0052573B">
        <w:rPr>
          <w:rFonts w:ascii="Calibri" w:eastAsia="Calibri" w:hAnsi="Calibri" w:cs="Times New Roman"/>
        </w:rPr>
        <w:t>Participants</w:t>
      </w:r>
      <w:r w:rsidR="0032768C" w:rsidRPr="0052573B">
        <w:rPr>
          <w:rFonts w:ascii="Calibri" w:eastAsia="Calibri" w:hAnsi="Calibri" w:cs="Times New Roman"/>
        </w:rPr>
        <w:t>’</w:t>
      </w:r>
      <w:r w:rsidRPr="0052573B">
        <w:rPr>
          <w:rFonts w:ascii="Calibri" w:eastAsia="Calibri" w:hAnsi="Calibri" w:cs="Times New Roman"/>
        </w:rPr>
        <w:t xml:space="preserve"> </w:t>
      </w:r>
      <w:r w:rsidR="00184F07" w:rsidRPr="0052573B">
        <w:rPr>
          <w:rFonts w:ascii="Calibri" w:eastAsia="Calibri" w:hAnsi="Calibri" w:cs="Times New Roman"/>
        </w:rPr>
        <w:t>trauma appeared exacerbated by others’ reactions to the</w:t>
      </w:r>
      <w:r w:rsidRPr="0052573B">
        <w:rPr>
          <w:rFonts w:ascii="Calibri" w:eastAsia="Calibri" w:hAnsi="Calibri" w:cs="Times New Roman"/>
        </w:rPr>
        <w:t>ir condition</w:t>
      </w:r>
      <w:r w:rsidR="0032768C" w:rsidRPr="0052573B">
        <w:rPr>
          <w:rFonts w:ascii="Calibri" w:eastAsia="Calibri" w:hAnsi="Calibri" w:cs="Times New Roman"/>
        </w:rPr>
        <w:t>. S</w:t>
      </w:r>
      <w:r w:rsidRPr="0052573B">
        <w:rPr>
          <w:rFonts w:ascii="Calibri" w:eastAsia="Calibri" w:hAnsi="Calibri" w:cs="Times New Roman"/>
        </w:rPr>
        <w:t>ome describ</w:t>
      </w:r>
      <w:r w:rsidR="0032768C" w:rsidRPr="0052573B">
        <w:rPr>
          <w:rFonts w:ascii="Calibri" w:eastAsia="Calibri" w:hAnsi="Calibri" w:cs="Times New Roman"/>
        </w:rPr>
        <w:t>ed</w:t>
      </w:r>
      <w:r w:rsidRPr="0052573B">
        <w:rPr>
          <w:rFonts w:ascii="Calibri" w:eastAsia="Calibri" w:hAnsi="Calibri" w:cs="Times New Roman"/>
        </w:rPr>
        <w:t xml:space="preserve"> how healthcare </w:t>
      </w:r>
      <w:r w:rsidR="00EA24E4" w:rsidRPr="0052573B">
        <w:rPr>
          <w:rFonts w:ascii="Calibri" w:eastAsia="Calibri" w:hAnsi="Calibri" w:cs="Times New Roman"/>
        </w:rPr>
        <w:t xml:space="preserve">staff </w:t>
      </w:r>
      <w:r w:rsidRPr="0052573B">
        <w:rPr>
          <w:rFonts w:ascii="Calibri" w:eastAsia="Calibri" w:hAnsi="Calibri" w:cs="Times New Roman"/>
        </w:rPr>
        <w:t xml:space="preserve">seemed </w:t>
      </w:r>
      <w:r w:rsidR="00184F07" w:rsidRPr="0052573B">
        <w:rPr>
          <w:rFonts w:ascii="Calibri" w:eastAsia="Calibri" w:hAnsi="Calibri" w:cs="Times New Roman"/>
        </w:rPr>
        <w:t>fearful of treating and caring for them</w:t>
      </w:r>
      <w:r w:rsidRPr="0052573B">
        <w:rPr>
          <w:rFonts w:ascii="Calibri" w:eastAsia="Calibri" w:hAnsi="Calibri" w:cs="Times New Roman"/>
        </w:rPr>
        <w:t xml:space="preserve"> and the </w:t>
      </w:r>
      <w:r w:rsidR="00184F07" w:rsidRPr="0052573B">
        <w:rPr>
          <w:rFonts w:ascii="Calibri" w:eastAsia="Calibri" w:hAnsi="Calibri" w:cs="Times New Roman"/>
        </w:rPr>
        <w:t xml:space="preserve">lasting impact </w:t>
      </w:r>
      <w:r w:rsidR="0032768C" w:rsidRPr="0052573B">
        <w:rPr>
          <w:rFonts w:ascii="Calibri" w:eastAsia="Calibri" w:hAnsi="Calibri" w:cs="Times New Roman"/>
        </w:rPr>
        <w:t xml:space="preserve">these feelings of being stigmatised </w:t>
      </w:r>
      <w:r w:rsidRPr="0052573B">
        <w:rPr>
          <w:rFonts w:ascii="Calibri" w:eastAsia="Calibri" w:hAnsi="Calibri" w:cs="Times New Roman"/>
        </w:rPr>
        <w:t xml:space="preserve">had </w:t>
      </w:r>
      <w:r w:rsidR="00184F07" w:rsidRPr="0052573B">
        <w:rPr>
          <w:rFonts w:ascii="Calibri" w:eastAsia="Calibri" w:hAnsi="Calibri" w:cs="Times New Roman"/>
        </w:rPr>
        <w:t>on their mental wellbeing</w:t>
      </w:r>
      <w:r w:rsidR="0032768C" w:rsidRPr="0052573B">
        <w:rPr>
          <w:rFonts w:ascii="Calibri" w:eastAsia="Calibri" w:hAnsi="Calibri" w:cs="Times New Roman"/>
        </w:rPr>
        <w:t>, deepening their sense of abandonment</w:t>
      </w:r>
      <w:r w:rsidRPr="0052573B">
        <w:rPr>
          <w:rFonts w:ascii="Calibri" w:eastAsia="Calibri" w:hAnsi="Calibri" w:cs="Times New Roman"/>
        </w:rPr>
        <w:t>:</w:t>
      </w:r>
      <w:r w:rsidR="00166CD8" w:rsidRPr="0052573B">
        <w:rPr>
          <w:rFonts w:ascii="Calibri" w:eastAsia="Calibri" w:hAnsi="Calibri" w:cs="Times New Roman"/>
        </w:rPr>
        <w:t xml:space="preserve"> </w:t>
      </w:r>
      <w:r w:rsidR="00184F07" w:rsidRPr="0052573B">
        <w:rPr>
          <w:rFonts w:ascii="Calibri" w:eastAsia="Calibri" w:hAnsi="Calibri" w:cs="Times New Roman"/>
        </w:rPr>
        <w:t>“</w:t>
      </w:r>
      <w:r w:rsidR="00184F07" w:rsidRPr="0052573B">
        <w:rPr>
          <w:rFonts w:ascii="Calibri" w:eastAsia="Calibri" w:hAnsi="Calibri" w:cs="Times New Roman"/>
          <w:i/>
          <w:iCs/>
        </w:rPr>
        <w:t>The consultant came, he didn’t examine me, he stood as far away from me as he possibly could…probably his own fear</w:t>
      </w:r>
      <w:r w:rsidR="00184F07" w:rsidRPr="0052573B">
        <w:rPr>
          <w:rFonts w:ascii="Calibri" w:eastAsia="Calibri" w:hAnsi="Calibri" w:cs="Times New Roman"/>
        </w:rPr>
        <w:t xml:space="preserve">…[also] </w:t>
      </w:r>
      <w:r w:rsidR="00184F07" w:rsidRPr="0052573B">
        <w:rPr>
          <w:rFonts w:ascii="Calibri" w:eastAsia="Calibri" w:hAnsi="Calibri" w:cs="Times New Roman"/>
          <w:i/>
          <w:iCs/>
        </w:rPr>
        <w:t>one person looked at me like I had leprosy...I think that’s had a massive impact on me, a massive impact</w:t>
      </w:r>
      <w:r w:rsidR="00184F07" w:rsidRPr="0052573B">
        <w:rPr>
          <w:rFonts w:ascii="Calibri" w:eastAsia="Calibri" w:hAnsi="Calibri" w:cs="Times New Roman"/>
        </w:rPr>
        <w:t xml:space="preserve">” (P17). </w:t>
      </w:r>
    </w:p>
    <w:p w14:paraId="05C4787A" w14:textId="7E2F3858" w:rsidR="00C70ADB" w:rsidRPr="0052573B" w:rsidRDefault="006E4A29" w:rsidP="002E0A01">
      <w:r w:rsidRPr="0052573B">
        <w:t xml:space="preserve">Whilst many participants described symptoms of anxiety, depression, or PTSD (in themselves or family members) few had accessed any counselling or psychological support, even when offered. </w:t>
      </w:r>
      <w:r w:rsidRPr="0052573B">
        <w:lastRenderedPageBreak/>
        <w:t>Some had returned to work, but for others this remained uncertain bringing additional financial pressures</w:t>
      </w:r>
      <w:r w:rsidR="00EE385E" w:rsidRPr="0052573B">
        <w:t xml:space="preserve">: </w:t>
      </w:r>
      <w:r w:rsidRPr="0052573B">
        <w:t>“</w:t>
      </w:r>
      <w:r w:rsidRPr="0052573B">
        <w:rPr>
          <w:i/>
          <w:iCs/>
        </w:rPr>
        <w:t>we’re both nurses…I want to work; I want to go back to work already… I don’t even go for a month off from work [previously] because I don’t take holidays like tha</w:t>
      </w:r>
      <w:r w:rsidR="00EE385E" w:rsidRPr="0052573B">
        <w:rPr>
          <w:i/>
          <w:iCs/>
        </w:rPr>
        <w:t>t</w:t>
      </w:r>
      <w:r w:rsidRPr="0052573B">
        <w:t>” (P5</w:t>
      </w:r>
      <w:r w:rsidR="00983266" w:rsidRPr="0052573B">
        <w:t>-wife</w:t>
      </w:r>
      <w:r w:rsidRPr="0052573B">
        <w:t xml:space="preserve">). </w:t>
      </w:r>
    </w:p>
    <w:p w14:paraId="465C318A" w14:textId="53C33059" w:rsidR="00076A33" w:rsidRPr="0052573B" w:rsidRDefault="00076A33" w:rsidP="002E0A01">
      <w:pPr>
        <w:rPr>
          <w:b/>
          <w:bCs/>
          <w:i/>
          <w:iCs/>
        </w:rPr>
      </w:pPr>
      <w:r w:rsidRPr="0052573B">
        <w:rPr>
          <w:b/>
          <w:bCs/>
          <w:i/>
          <w:iCs/>
        </w:rPr>
        <w:t xml:space="preserve">Human connection </w:t>
      </w:r>
    </w:p>
    <w:p w14:paraId="5A9B8C62" w14:textId="620A9D88" w:rsidR="00EE385E" w:rsidRPr="0052573B" w:rsidRDefault="00DC2570" w:rsidP="00A966B8">
      <w:r w:rsidRPr="0052573B">
        <w:t xml:space="preserve">The importance of human connection was emphasised and the positive difference it made to </w:t>
      </w:r>
      <w:r w:rsidR="0089295D" w:rsidRPr="0052573B">
        <w:t>participants’</w:t>
      </w:r>
      <w:r w:rsidR="00504A33" w:rsidRPr="0052573B">
        <w:t xml:space="preserve"> </w:t>
      </w:r>
      <w:r w:rsidRPr="0052573B">
        <w:t>perception</w:t>
      </w:r>
      <w:r w:rsidR="0089295D" w:rsidRPr="0052573B">
        <w:t>s</w:t>
      </w:r>
      <w:r w:rsidRPr="0052573B">
        <w:t xml:space="preserve"> of receiving high quality care. Not everyone had a positive experience. However, where connections with healthcare staff were made, they were highly valued. In particular</w:t>
      </w:r>
      <w:r w:rsidR="00504A33" w:rsidRPr="0052573B">
        <w:t>,</w:t>
      </w:r>
      <w:r w:rsidRPr="0052573B">
        <w:t xml:space="preserve"> acts of kindness, and staff going </w:t>
      </w:r>
      <w:r w:rsidR="00ED5429" w:rsidRPr="0052573B">
        <w:t>above</w:t>
      </w:r>
      <w:r w:rsidRPr="0052573B">
        <w:t xml:space="preserve"> and beyond purely clinical duties</w:t>
      </w:r>
      <w:r w:rsidR="0089295D" w:rsidRPr="0052573B">
        <w:t>,</w:t>
      </w:r>
      <w:r w:rsidRPr="0052573B">
        <w:t xml:space="preserve"> made participants feel like they were ‘seen’ and were being cared for as individual</w:t>
      </w:r>
      <w:r w:rsidR="00B76012" w:rsidRPr="0052573B">
        <w:t>s</w:t>
      </w:r>
      <w:r w:rsidRPr="0052573B">
        <w:t>, rather than ‘just’ another COVID patient</w:t>
      </w:r>
      <w:r w:rsidR="00EE385E" w:rsidRPr="0052573B">
        <w:t>: “</w:t>
      </w:r>
      <w:r w:rsidR="00EE385E" w:rsidRPr="0052573B">
        <w:rPr>
          <w:i/>
          <w:iCs/>
        </w:rPr>
        <w:t>There was a staff nurse…she bought a card … took me out so I could spend half an hour with my wife... that was just the most memorable instances of lots and lots of very kind things that she did for me</w:t>
      </w:r>
      <w:r w:rsidR="00EE385E" w:rsidRPr="0052573B">
        <w:t xml:space="preserve">” (P11). </w:t>
      </w:r>
      <w:r w:rsidR="00B76012" w:rsidRPr="0052573B">
        <w:t xml:space="preserve">Participants described the </w:t>
      </w:r>
      <w:r w:rsidR="00EE385E" w:rsidRPr="0052573B">
        <w:t>importance of regular contact with people, regardless of their position in the hospital. Particularly striking examples were given in relation to auxiliary staff such as cleaners, who often engaged in everyday ‘small talk’: “</w:t>
      </w:r>
      <w:r w:rsidR="00EE385E" w:rsidRPr="0052573B">
        <w:rPr>
          <w:i/>
          <w:iCs/>
        </w:rPr>
        <w:t>The cleaner was just, he was phenomenal, every day he come in and talked about anything other than COVID and being ill</w:t>
      </w:r>
      <w:r w:rsidR="00EE385E" w:rsidRPr="0052573B">
        <w:t xml:space="preserve">.” (P17). </w:t>
      </w:r>
      <w:r w:rsidR="00B76012" w:rsidRPr="0052573B">
        <w:t xml:space="preserve"> </w:t>
      </w:r>
    </w:p>
    <w:p w14:paraId="324A6787" w14:textId="001A01BD" w:rsidR="00504A33" w:rsidRPr="0052573B" w:rsidRDefault="00504A33" w:rsidP="00504A33">
      <w:r w:rsidRPr="0052573B">
        <w:t xml:space="preserve">Positive human connections were, however, affected by the need for personal protective equipment (PPE). </w:t>
      </w:r>
      <w:r w:rsidR="00B76012" w:rsidRPr="0052573B">
        <w:t>Whilst s</w:t>
      </w:r>
      <w:r w:rsidRPr="0052573B">
        <w:t xml:space="preserve">taff did their best to overcome the communication challenges </w:t>
      </w:r>
      <w:r w:rsidR="000F7CE6" w:rsidRPr="0052573B">
        <w:t>PPE</w:t>
      </w:r>
      <w:r w:rsidRPr="0052573B">
        <w:t xml:space="preserve"> posed</w:t>
      </w:r>
      <w:r w:rsidR="000F7CE6" w:rsidRPr="0052573B">
        <w:t>, it was seen as a barrier to building rapport and trust. During this time, e</w:t>
      </w:r>
      <w:r w:rsidRPr="0052573B">
        <w:t>ye contact and touch took on increased importance</w:t>
      </w:r>
      <w:r w:rsidR="000F7CE6" w:rsidRPr="0052573B">
        <w:t>:</w:t>
      </w:r>
      <w:r w:rsidRPr="0052573B">
        <w:t xml:space="preserve"> </w:t>
      </w:r>
    </w:p>
    <w:p w14:paraId="218FBF10" w14:textId="4C9214CA" w:rsidR="00504A33" w:rsidRPr="0052573B" w:rsidRDefault="00504A33" w:rsidP="00504A33">
      <w:r w:rsidRPr="0052573B">
        <w:t>“</w:t>
      </w:r>
      <w:r w:rsidRPr="0052573B">
        <w:rPr>
          <w:i/>
          <w:iCs/>
        </w:rPr>
        <w:t>Yellow masks like bird beaks, ducks… I said to the lady in the bed next to me, we were giggling, I said ‘oh the ducks have come to take us</w:t>
      </w:r>
      <w:r w:rsidRPr="0052573B">
        <w:t>” (P6).</w:t>
      </w:r>
    </w:p>
    <w:p w14:paraId="22A183C8" w14:textId="1E7EC8C5" w:rsidR="00504A33" w:rsidRPr="0052573B" w:rsidRDefault="00504A33" w:rsidP="00504A33">
      <w:r w:rsidRPr="0052573B">
        <w:t>“</w:t>
      </w:r>
      <w:r w:rsidRPr="0052573B">
        <w:rPr>
          <w:i/>
          <w:iCs/>
        </w:rPr>
        <w:t>They write their name across their chest …But that was, it wasn’t easy… I found some of the mask wearers more difficult to understand…</w:t>
      </w:r>
      <w:r w:rsidRPr="0052573B">
        <w:t xml:space="preserve"> </w:t>
      </w:r>
      <w:r w:rsidRPr="0052573B">
        <w:rPr>
          <w:i/>
          <w:iCs/>
        </w:rPr>
        <w:t>We've not for the last year been able to touch people…just the hold of the hand and the look in the eye</w:t>
      </w:r>
      <w:r w:rsidRPr="0052573B">
        <w:t xml:space="preserve">” (P17). </w:t>
      </w:r>
    </w:p>
    <w:p w14:paraId="294967A0" w14:textId="7DF4E0A1" w:rsidR="00504A33" w:rsidRPr="0052573B" w:rsidRDefault="00504A33" w:rsidP="00504A33">
      <w:r w:rsidRPr="0052573B">
        <w:t xml:space="preserve">The quality and nature of communication was also affected by the </w:t>
      </w:r>
      <w:r w:rsidR="00405D18" w:rsidRPr="0052573B">
        <w:t>social</w:t>
      </w:r>
      <w:r w:rsidR="00EE385E" w:rsidRPr="0052573B">
        <w:t xml:space="preserve"> distancing </w:t>
      </w:r>
      <w:r w:rsidR="00405D18" w:rsidRPr="0052573B">
        <w:t xml:space="preserve">rules and the </w:t>
      </w:r>
      <w:r w:rsidRPr="0052573B">
        <w:t>ban on hospital visiting. Th</w:t>
      </w:r>
      <w:r w:rsidR="00EB6D95" w:rsidRPr="0052573B">
        <w:t>e</w:t>
      </w:r>
      <w:r w:rsidRPr="0052573B">
        <w:t xml:space="preserve"> </w:t>
      </w:r>
      <w:r w:rsidR="00FA7A41" w:rsidRPr="0052573B">
        <w:t>subsequent reliance on</w:t>
      </w:r>
      <w:r w:rsidRPr="0052573B">
        <w:t xml:space="preserve"> virtual communication</w:t>
      </w:r>
      <w:r w:rsidR="00FA7A41" w:rsidRPr="0052573B">
        <w:t xml:space="preserve"> </w:t>
      </w:r>
      <w:r w:rsidRPr="0052573B">
        <w:t>was</w:t>
      </w:r>
      <w:r w:rsidR="00FA7A41" w:rsidRPr="0052573B">
        <w:t xml:space="preserve">, overall, </w:t>
      </w:r>
      <w:r w:rsidRPr="0052573B">
        <w:t>perceived as a good thing,</w:t>
      </w:r>
      <w:r w:rsidR="00EE385E" w:rsidRPr="0052573B">
        <w:t xml:space="preserve"> which enabled participants to maintain contact with family and friends and facilitated engagement in social activities, help</w:t>
      </w:r>
      <w:r w:rsidR="00405D18" w:rsidRPr="0052573B">
        <w:t>ing</w:t>
      </w:r>
      <w:r w:rsidR="00EE385E" w:rsidRPr="0052573B">
        <w:t xml:space="preserve"> retain their sense of being connected beings. H</w:t>
      </w:r>
      <w:r w:rsidRPr="0052573B">
        <w:t>owever</w:t>
      </w:r>
      <w:r w:rsidR="0090609C" w:rsidRPr="0052573B">
        <w:t xml:space="preserve">, </w:t>
      </w:r>
      <w:r w:rsidRPr="0052573B">
        <w:t>some participants</w:t>
      </w:r>
      <w:r w:rsidR="0090609C" w:rsidRPr="0052573B">
        <w:t xml:space="preserve"> </w:t>
      </w:r>
      <w:r w:rsidRPr="0052573B">
        <w:t>experienced a sense of pressure to keep up with respond</w:t>
      </w:r>
      <w:r w:rsidR="00030FDD" w:rsidRPr="0052573B">
        <w:t>ing</w:t>
      </w:r>
      <w:r w:rsidRPr="0052573B">
        <w:t xml:space="preserve"> to messages updating on their condition and treatment</w:t>
      </w:r>
      <w:r w:rsidR="0090609C" w:rsidRPr="0052573B">
        <w:t>:</w:t>
      </w:r>
      <w:r w:rsidRPr="0052573B">
        <w:t xml:space="preserve"> </w:t>
      </w:r>
    </w:p>
    <w:p w14:paraId="0019220C" w14:textId="1D342071" w:rsidR="00504A33" w:rsidRPr="0052573B" w:rsidRDefault="00504A33" w:rsidP="00504A33">
      <w:r w:rsidRPr="0052573B">
        <w:t>“</w:t>
      </w:r>
      <w:r w:rsidRPr="0052573B">
        <w:rPr>
          <w:i/>
          <w:iCs/>
        </w:rPr>
        <w:t>Now, they're doing FaceTime on iPads, aren't they? They weren't at that time….so I didn't have any contact…I remember the nurse saying, 'I'll bring your phone over.'… I remember hearing [X’s] voice…I'm so sorry, I'm going to get upset now…I didn't understand why they weren't there</w:t>
      </w:r>
      <w:r w:rsidRPr="0052573B">
        <w:t xml:space="preserve">” (P18). </w:t>
      </w:r>
    </w:p>
    <w:p w14:paraId="5F3BCD52" w14:textId="77777777" w:rsidR="00504A33" w:rsidRPr="0052573B" w:rsidRDefault="00504A33" w:rsidP="00504A33">
      <w:r w:rsidRPr="0052573B">
        <w:t>“</w:t>
      </w:r>
      <w:r w:rsidRPr="0052573B">
        <w:rPr>
          <w:i/>
          <w:iCs/>
        </w:rPr>
        <w:t>People text you and go, how are you? I keep saying I'm okay but because I want, I don’t want to say, actually I'm feeling SH1T</w:t>
      </w:r>
      <w:r w:rsidRPr="0052573B">
        <w:t xml:space="preserve">” (P17). </w:t>
      </w:r>
    </w:p>
    <w:p w14:paraId="10627A3A" w14:textId="77777777" w:rsidR="00ED5429" w:rsidRPr="0052573B" w:rsidRDefault="00ED5429" w:rsidP="00ED5429">
      <w:pPr>
        <w:rPr>
          <w:b/>
          <w:bCs/>
          <w:i/>
          <w:iCs/>
        </w:rPr>
      </w:pPr>
      <w:r w:rsidRPr="0052573B">
        <w:rPr>
          <w:b/>
          <w:bCs/>
          <w:i/>
          <w:iCs/>
        </w:rPr>
        <w:t xml:space="preserve">Navigating a complex system </w:t>
      </w:r>
    </w:p>
    <w:p w14:paraId="6D8A2A2E" w14:textId="7FB6CA07" w:rsidR="00FB690E" w:rsidRPr="0052573B" w:rsidRDefault="00ED5429" w:rsidP="00FB690E">
      <w:r w:rsidRPr="0052573B">
        <w:t xml:space="preserve">No uniform package of discharge care was evident, with provision seemingly dependent on where people lived. </w:t>
      </w:r>
      <w:r w:rsidR="00CC6A72" w:rsidRPr="0052573B">
        <w:t>Some p</w:t>
      </w:r>
      <w:r w:rsidR="00030FDD" w:rsidRPr="0052573B">
        <w:t xml:space="preserve">articipants </w:t>
      </w:r>
      <w:r w:rsidR="00CC6A72" w:rsidRPr="0052573B">
        <w:t>considered the</w:t>
      </w:r>
      <w:r w:rsidR="00CE7626" w:rsidRPr="0052573B">
        <w:t>se</w:t>
      </w:r>
      <w:r w:rsidR="00CC6A72" w:rsidRPr="0052573B">
        <w:t xml:space="preserve"> disparities reflective of a N</w:t>
      </w:r>
      <w:r w:rsidR="00787865" w:rsidRPr="0052573B">
        <w:t>ational Health Service (NHS)</w:t>
      </w:r>
      <w:r w:rsidR="00CC6A72" w:rsidRPr="0052573B">
        <w:t xml:space="preserve"> in a state of crisis</w:t>
      </w:r>
      <w:r w:rsidR="00CE7626" w:rsidRPr="0052573B">
        <w:t>.</w:t>
      </w:r>
      <w:r w:rsidR="00CC6A72" w:rsidRPr="0052573B">
        <w:t xml:space="preserve"> </w:t>
      </w:r>
      <w:r w:rsidR="00CE7626" w:rsidRPr="0052573B">
        <w:t>S</w:t>
      </w:r>
      <w:r w:rsidRPr="0052573B">
        <w:t xml:space="preserve">taff were </w:t>
      </w:r>
      <w:r w:rsidR="00CE7626" w:rsidRPr="0052573B">
        <w:t>described as doing</w:t>
      </w:r>
      <w:r w:rsidRPr="0052573B">
        <w:t xml:space="preserve"> “</w:t>
      </w:r>
      <w:r w:rsidRPr="0052573B">
        <w:rPr>
          <w:i/>
          <w:iCs/>
        </w:rPr>
        <w:t>the best they could</w:t>
      </w:r>
      <w:r w:rsidRPr="0052573B">
        <w:t xml:space="preserve">” (P16) in extremely challenging circumstances. </w:t>
      </w:r>
      <w:r w:rsidR="00485FBB" w:rsidRPr="0052573B">
        <w:t xml:space="preserve">However, </w:t>
      </w:r>
      <w:r w:rsidR="00FB690E" w:rsidRPr="0052573B">
        <w:t xml:space="preserve">participants </w:t>
      </w:r>
      <w:r w:rsidR="00485FBB" w:rsidRPr="0052573B">
        <w:t xml:space="preserve">expressed </w:t>
      </w:r>
      <w:r w:rsidR="00D24FD0" w:rsidRPr="0052573B">
        <w:t>concern</w:t>
      </w:r>
      <w:r w:rsidR="00485FBB" w:rsidRPr="0052573B">
        <w:t xml:space="preserve"> about </w:t>
      </w:r>
      <w:r w:rsidR="00FB690E" w:rsidRPr="0052573B">
        <w:t xml:space="preserve">the speed with which discharge from </w:t>
      </w:r>
      <w:r w:rsidR="00D24FD0" w:rsidRPr="0052573B">
        <w:t>the</w:t>
      </w:r>
      <w:r w:rsidR="00FB690E" w:rsidRPr="0052573B">
        <w:t xml:space="preserve"> acute setting </w:t>
      </w:r>
      <w:r w:rsidR="00485FBB" w:rsidRPr="0052573B">
        <w:t xml:space="preserve">occurred, particularly during the early </w:t>
      </w:r>
      <w:r w:rsidR="00FB690E" w:rsidRPr="0052573B">
        <w:t>pandemic</w:t>
      </w:r>
      <w:r w:rsidR="00485FBB" w:rsidRPr="0052573B">
        <w:t xml:space="preserve"> period</w:t>
      </w:r>
      <w:r w:rsidR="00FB690E" w:rsidRPr="0052573B">
        <w:t>:</w:t>
      </w:r>
      <w:r w:rsidR="003C7CD2" w:rsidRPr="0052573B">
        <w:t xml:space="preserve"> </w:t>
      </w:r>
      <w:r w:rsidR="00FB690E" w:rsidRPr="0052573B">
        <w:t>“</w:t>
      </w:r>
      <w:r w:rsidR="00FB690E" w:rsidRPr="0052573B">
        <w:rPr>
          <w:i/>
          <w:iCs/>
        </w:rPr>
        <w:t xml:space="preserve">I was </w:t>
      </w:r>
      <w:r w:rsidR="00FB690E" w:rsidRPr="0052573B">
        <w:rPr>
          <w:i/>
          <w:iCs/>
        </w:rPr>
        <w:lastRenderedPageBreak/>
        <w:t>really scared that something dramatic would go wrong at home…So yeah that, it was a huge fear of going home and dealing with it myself</w:t>
      </w:r>
      <w:r w:rsidR="00FB690E" w:rsidRPr="0052573B">
        <w:t xml:space="preserve">” (P1).  </w:t>
      </w:r>
    </w:p>
    <w:p w14:paraId="1EEA414D" w14:textId="2F528829" w:rsidR="00CE7626" w:rsidRPr="0052573B" w:rsidRDefault="00D24FD0" w:rsidP="00CE7626">
      <w:r w:rsidRPr="0052573B">
        <w:t>P</w:t>
      </w:r>
      <w:r w:rsidR="00633438" w:rsidRPr="0052573B">
        <w:t>erceptions of</w:t>
      </w:r>
      <w:r w:rsidR="00CE7626" w:rsidRPr="0052573B">
        <w:t xml:space="preserve"> after care and support varied depending </w:t>
      </w:r>
      <w:r w:rsidR="00633438" w:rsidRPr="0052573B">
        <w:t xml:space="preserve">on </w:t>
      </w:r>
      <w:r w:rsidRPr="0052573B">
        <w:t xml:space="preserve">how </w:t>
      </w:r>
      <w:r w:rsidR="00CE7626" w:rsidRPr="0052573B">
        <w:t xml:space="preserve">well </w:t>
      </w:r>
      <w:r w:rsidR="00633438" w:rsidRPr="0052573B">
        <w:t xml:space="preserve">people felt their </w:t>
      </w:r>
      <w:r w:rsidR="00CE7626" w:rsidRPr="0052573B">
        <w:t xml:space="preserve">needs were met, </w:t>
      </w:r>
      <w:r w:rsidR="00633438" w:rsidRPr="0052573B">
        <w:t xml:space="preserve">the </w:t>
      </w:r>
      <w:r w:rsidR="00CE7626" w:rsidRPr="0052573B">
        <w:t xml:space="preserve">mode of service delivery, and </w:t>
      </w:r>
      <w:r w:rsidR="00633438" w:rsidRPr="0052573B">
        <w:t>their home living status</w:t>
      </w:r>
      <w:r w:rsidR="00CE7626" w:rsidRPr="0052573B">
        <w:t xml:space="preserve">. Unfortunately, </w:t>
      </w:r>
      <w:r w:rsidR="00633438" w:rsidRPr="0052573B">
        <w:t>however, some</w:t>
      </w:r>
      <w:r w:rsidR="00CE7626" w:rsidRPr="0052573B">
        <w:t xml:space="preserve"> participants described feeling ‘neglected’ and ‘left to get on with it’</w:t>
      </w:r>
      <w:r w:rsidRPr="0052573B">
        <w:t>:</w:t>
      </w:r>
      <w:r w:rsidR="00CE7626" w:rsidRPr="0052573B">
        <w:t xml:space="preserve"> “</w:t>
      </w:r>
      <w:r w:rsidR="00CE7626" w:rsidRPr="0052573B">
        <w:rPr>
          <w:i/>
          <w:iCs/>
        </w:rPr>
        <w:t>I had the district nurse come out the day after discharge…she just basically said, we’re not coming out to see patients...</w:t>
      </w:r>
      <w:r w:rsidR="00030FDD" w:rsidRPr="0052573B">
        <w:rPr>
          <w:i/>
          <w:iCs/>
        </w:rPr>
        <w:t>t</w:t>
      </w:r>
      <w:r w:rsidR="00CE7626" w:rsidRPr="0052573B">
        <w:rPr>
          <w:i/>
          <w:iCs/>
        </w:rPr>
        <w:t>he physiotherapist didn’t come and see me, she spoke to me on the phone twice and sent me exercises to do…</w:t>
      </w:r>
      <w:r w:rsidR="00030FDD" w:rsidRPr="0052573B">
        <w:rPr>
          <w:i/>
          <w:iCs/>
        </w:rPr>
        <w:t>m</w:t>
      </w:r>
      <w:r w:rsidR="00CE7626" w:rsidRPr="0052573B">
        <w:rPr>
          <w:i/>
          <w:iCs/>
        </w:rPr>
        <w:t>y GP has been useless…just been left to get on with it, and all you hear is, we don’t know enough about COVID to know what to do.</w:t>
      </w:r>
      <w:r w:rsidR="00CE7626" w:rsidRPr="0052573B">
        <w:t xml:space="preserve">” (P1). </w:t>
      </w:r>
    </w:p>
    <w:p w14:paraId="31929A55" w14:textId="53F45E79" w:rsidR="000001FA" w:rsidRPr="0052573B" w:rsidRDefault="00633438" w:rsidP="00421D3A">
      <w:pPr>
        <w:rPr>
          <w:noProof/>
        </w:rPr>
      </w:pPr>
      <w:r w:rsidRPr="0052573B">
        <w:t xml:space="preserve">Participants who had the opportunity to go to a rehabilitation unit </w:t>
      </w:r>
      <w:r w:rsidR="00030FDD" w:rsidRPr="0052573B">
        <w:t xml:space="preserve">before </w:t>
      </w:r>
      <w:r w:rsidRPr="0052573B">
        <w:t xml:space="preserve">returning home reported varying experiences. For some, </w:t>
      </w:r>
      <w:r w:rsidR="00D24FD0" w:rsidRPr="0052573B">
        <w:t>these</w:t>
      </w:r>
      <w:r w:rsidRPr="0052573B">
        <w:t xml:space="preserve"> units were </w:t>
      </w:r>
      <w:r w:rsidR="007E5EAE" w:rsidRPr="0052573B">
        <w:t>seen as</w:t>
      </w:r>
      <w:r w:rsidR="00787865" w:rsidRPr="0052573B">
        <w:t xml:space="preserve"> </w:t>
      </w:r>
      <w:r w:rsidRPr="0052573B">
        <w:t>an important bridge to home and</w:t>
      </w:r>
      <w:r w:rsidR="00D24FD0" w:rsidRPr="0052573B">
        <w:t xml:space="preserve"> </w:t>
      </w:r>
      <w:r w:rsidRPr="0052573B">
        <w:t>describe</w:t>
      </w:r>
      <w:r w:rsidR="00D24FD0" w:rsidRPr="0052573B">
        <w:t xml:space="preserve">d as </w:t>
      </w:r>
      <w:r w:rsidRPr="0052573B">
        <w:t>a space, and the support, to aid adjustment back to everyday life</w:t>
      </w:r>
      <w:r w:rsidR="000001FA" w:rsidRPr="0052573B">
        <w:t xml:space="preserve">; to </w:t>
      </w:r>
      <w:r w:rsidRPr="0052573B">
        <w:t>begin the journey of rebuilding self-confidence</w:t>
      </w:r>
      <w:r w:rsidR="00D0649F" w:rsidRPr="0052573B">
        <w:t>:</w:t>
      </w:r>
      <w:r w:rsidRPr="0052573B">
        <w:t xml:space="preserve"> “</w:t>
      </w:r>
      <w:r w:rsidRPr="0052573B">
        <w:rPr>
          <w:i/>
          <w:iCs/>
        </w:rPr>
        <w:t>It was just a self-boosting thing for me…it was like an easing back into life…</w:t>
      </w:r>
      <w:r w:rsidRPr="0052573B">
        <w:t xml:space="preserve"> </w:t>
      </w:r>
      <w:r w:rsidRPr="0052573B">
        <w:rPr>
          <w:i/>
          <w:iCs/>
        </w:rPr>
        <w:t>the esteem building, like confidence building again…I don’t know if I could have done that coming straight home, I really don’t</w:t>
      </w:r>
      <w:r w:rsidRPr="0052573B">
        <w:t>” (P4). However, not everyone had the opportunity to go to a rehabilitation unit and</w:t>
      </w:r>
      <w:r w:rsidR="00D24FD0" w:rsidRPr="0052573B">
        <w:t xml:space="preserve"> </w:t>
      </w:r>
      <w:r w:rsidRPr="0052573B">
        <w:t xml:space="preserve">experiences were not </w:t>
      </w:r>
      <w:r w:rsidR="00D24FD0" w:rsidRPr="0052573B">
        <w:t xml:space="preserve">always </w:t>
      </w:r>
      <w:r w:rsidRPr="0052573B">
        <w:t xml:space="preserve">as positive as expected. Less positive experiences focused on </w:t>
      </w:r>
      <w:r w:rsidRPr="0052573B">
        <w:rPr>
          <w:noProof/>
        </w:rPr>
        <w:t xml:space="preserve">inadequate provision of therapy services, faciliaties such as gyms being closed 'because of covid', being far from home and poor communication. </w:t>
      </w:r>
      <w:r w:rsidR="006044D2" w:rsidRPr="0052573B">
        <w:t xml:space="preserve">Some participants who became ill later in the pandemic had been followed up in COVID-19 specific clinics, but this was not true for everyone. Follow up care was also affected by cancellation of elective services and </w:t>
      </w:r>
      <w:r w:rsidR="00A678B0" w:rsidRPr="0052573B">
        <w:t>the mode of follow up service delivery. Virtual appointments, particularly for therapy services were often perceived as inferior to face to face sessions, leading those with financial means to privately fund access to face-to-face support.</w:t>
      </w:r>
    </w:p>
    <w:p w14:paraId="719286CB" w14:textId="27310E4A" w:rsidR="00421D3A" w:rsidRPr="0052573B" w:rsidRDefault="00A678B0" w:rsidP="00421D3A">
      <w:r w:rsidRPr="0052573B">
        <w:t>Participants’ own mindset and t</w:t>
      </w:r>
      <w:r w:rsidR="00421D3A" w:rsidRPr="0052573B">
        <w:t xml:space="preserve">he degree to which </w:t>
      </w:r>
      <w:r w:rsidRPr="0052573B">
        <w:t>they</w:t>
      </w:r>
      <w:r w:rsidR="00D0649F" w:rsidRPr="0052573B">
        <w:t xml:space="preserve"> received </w:t>
      </w:r>
      <w:r w:rsidR="003E4CFF" w:rsidRPr="0052573B">
        <w:t>encourage</w:t>
      </w:r>
      <w:r w:rsidR="00D0649F" w:rsidRPr="0052573B">
        <w:t xml:space="preserve">ment </w:t>
      </w:r>
      <w:r w:rsidR="003E4CFF" w:rsidRPr="0052573B">
        <w:t xml:space="preserve">by </w:t>
      </w:r>
      <w:r w:rsidR="00D0649F" w:rsidRPr="0052573B">
        <w:t xml:space="preserve">healthcare </w:t>
      </w:r>
      <w:r w:rsidR="003E4CFF" w:rsidRPr="0052573B">
        <w:t>staff</w:t>
      </w:r>
      <w:r w:rsidR="00405D18" w:rsidRPr="0052573B">
        <w:t xml:space="preserve">, </w:t>
      </w:r>
      <w:r w:rsidR="00030FDD" w:rsidRPr="0052573B">
        <w:t xml:space="preserve">family and friends </w:t>
      </w:r>
      <w:r w:rsidR="003E4CFF" w:rsidRPr="0052573B">
        <w:t xml:space="preserve">was </w:t>
      </w:r>
      <w:r w:rsidR="003C7CD2" w:rsidRPr="0052573B">
        <w:t xml:space="preserve">perceived to be </w:t>
      </w:r>
      <w:r w:rsidR="00421D3A" w:rsidRPr="0052573B">
        <w:t xml:space="preserve">critical to </w:t>
      </w:r>
      <w:r w:rsidR="001B16BC" w:rsidRPr="0052573B">
        <w:t xml:space="preserve">recovery; to </w:t>
      </w:r>
      <w:r w:rsidR="003E4CFF" w:rsidRPr="0052573B">
        <w:t xml:space="preserve">their </w:t>
      </w:r>
      <w:r w:rsidR="00421D3A" w:rsidRPr="0052573B">
        <w:t xml:space="preserve">ability to keep going and </w:t>
      </w:r>
      <w:r w:rsidR="003E4CFF" w:rsidRPr="0052573B">
        <w:t xml:space="preserve">to </w:t>
      </w:r>
      <w:r w:rsidR="000001FA" w:rsidRPr="0052573B">
        <w:t>keep</w:t>
      </w:r>
      <w:r w:rsidR="00421D3A" w:rsidRPr="0052573B">
        <w:t xml:space="preserve"> positive</w:t>
      </w:r>
      <w:r w:rsidR="006044D2" w:rsidRPr="0052573B">
        <w:t xml:space="preserve">. Friends and family provided practical everyday help with tasks such as cooking meals, </w:t>
      </w:r>
      <w:r w:rsidR="00405D18" w:rsidRPr="0052573B">
        <w:t xml:space="preserve">making phone calls </w:t>
      </w:r>
      <w:r w:rsidR="006044D2" w:rsidRPr="0052573B">
        <w:t xml:space="preserve">and ongoing emotional support and love, and participants expressed concern for those without </w:t>
      </w:r>
      <w:r w:rsidR="007E5EAE" w:rsidRPr="0052573B">
        <w:t xml:space="preserve">access to these </w:t>
      </w:r>
      <w:r w:rsidR="006044D2" w:rsidRPr="0052573B">
        <w:t>support</w:t>
      </w:r>
      <w:r w:rsidR="00405D18" w:rsidRPr="0052573B">
        <w:t xml:space="preserve"> mechanisms</w:t>
      </w:r>
      <w:r w:rsidR="006044D2" w:rsidRPr="0052573B">
        <w:t xml:space="preserve">:  </w:t>
      </w:r>
    </w:p>
    <w:p w14:paraId="365FB2C6" w14:textId="6EDECAA0" w:rsidR="00A678B0" w:rsidRPr="0052573B" w:rsidRDefault="00A678B0" w:rsidP="00421D3A">
      <w:r w:rsidRPr="0052573B">
        <w:t>“</w:t>
      </w:r>
      <w:proofErr w:type="spellStart"/>
      <w:r w:rsidRPr="0052573B">
        <w:rPr>
          <w:i/>
          <w:iCs/>
        </w:rPr>
        <w:t>C’est</w:t>
      </w:r>
      <w:proofErr w:type="spellEnd"/>
      <w:r w:rsidRPr="0052573B">
        <w:rPr>
          <w:i/>
          <w:iCs/>
        </w:rPr>
        <w:t xml:space="preserve"> la vie is whether you get help, or you don’t get help. You adapt and you conquer</w:t>
      </w:r>
      <w:r w:rsidRPr="0052573B">
        <w:t xml:space="preserve">” (P19). </w:t>
      </w:r>
    </w:p>
    <w:p w14:paraId="242A6CAD" w14:textId="023D4092" w:rsidR="00DB3483" w:rsidRPr="0052573B" w:rsidRDefault="00421D3A" w:rsidP="00DB3483">
      <w:pPr>
        <w:rPr>
          <w:color w:val="000000"/>
        </w:rPr>
      </w:pPr>
      <w:r w:rsidRPr="0052573B">
        <w:t>“</w:t>
      </w:r>
      <w:r w:rsidRPr="0052573B">
        <w:rPr>
          <w:i/>
          <w:iCs/>
          <w:color w:val="000000"/>
        </w:rPr>
        <w:t>… they wouldn't let me give up</w:t>
      </w:r>
      <w:r w:rsidRPr="0052573B">
        <w:t xml:space="preserve"> </w:t>
      </w:r>
      <w:r w:rsidRPr="0052573B">
        <w:rPr>
          <w:i/>
          <w:iCs/>
          <w:color w:val="000000"/>
        </w:rPr>
        <w:t>… I said I couldn't do this, and I couldn't do that, and a couple of the nurses said, 'Oh yes you can</w:t>
      </w:r>
      <w:r w:rsidR="006044D2" w:rsidRPr="0052573B">
        <w:t>…</w:t>
      </w:r>
      <w:r w:rsidR="00DB3483" w:rsidRPr="0052573B">
        <w:rPr>
          <w:i/>
          <w:iCs/>
        </w:rPr>
        <w:t>You've got to have a lot of support. If someone lived on their own, they would fold up, I'll tell you</w:t>
      </w:r>
      <w:r w:rsidR="00DB3483" w:rsidRPr="0052573B">
        <w:t>” (P20).</w:t>
      </w:r>
    </w:p>
    <w:p w14:paraId="5D3170FA" w14:textId="57F9FDEE" w:rsidR="00DB3483" w:rsidRPr="0052573B" w:rsidRDefault="00DB3483" w:rsidP="00ED5429">
      <w:r w:rsidRPr="0052573B">
        <w:t xml:space="preserve">The </w:t>
      </w:r>
      <w:r w:rsidR="006D603C" w:rsidRPr="0052573B">
        <w:t>desire</w:t>
      </w:r>
      <w:r w:rsidRPr="0052573B">
        <w:t xml:space="preserve"> to exercise autonomy and control over </w:t>
      </w:r>
      <w:r w:rsidR="00405D18" w:rsidRPr="0052573B">
        <w:t xml:space="preserve">their </w:t>
      </w:r>
      <w:r w:rsidRPr="0052573B">
        <w:t>recovery</w:t>
      </w:r>
      <w:r w:rsidR="006044D2" w:rsidRPr="0052573B">
        <w:t xml:space="preserve"> </w:t>
      </w:r>
      <w:r w:rsidRPr="0052573B">
        <w:t>was clearly evident</w:t>
      </w:r>
      <w:r w:rsidR="007E5EAE" w:rsidRPr="0052573B">
        <w:t xml:space="preserve"> from participants’ interviews</w:t>
      </w:r>
      <w:r w:rsidRPr="0052573B">
        <w:t>. However, this took up a lot of time and energy at a point when people were feeling physically and mentally weak. Participants described feeling overwhelmed with the task of managing their rehabilitation</w:t>
      </w:r>
      <w:r w:rsidR="007E5EAE" w:rsidRPr="0052573B">
        <w:t>, for example</w:t>
      </w:r>
      <w:r w:rsidRPr="0052573B">
        <w:t xml:space="preserve"> making phone calls</w:t>
      </w:r>
      <w:r w:rsidR="007E5EAE" w:rsidRPr="0052573B">
        <w:t xml:space="preserve"> and</w:t>
      </w:r>
      <w:r w:rsidRPr="0052573B">
        <w:t xml:space="preserve"> chasing appointments</w:t>
      </w:r>
      <w:r w:rsidR="00405D18" w:rsidRPr="0052573B">
        <w:t>.</w:t>
      </w:r>
      <w:r w:rsidRPr="0052573B">
        <w:t xml:space="preserve"> </w:t>
      </w:r>
      <w:r w:rsidR="00722778" w:rsidRPr="0052573B">
        <w:t>Participants expressed a need for someone to help them navigate through what was an otherwise complex and frustrating system</w:t>
      </w:r>
      <w:r w:rsidR="009A3B59" w:rsidRPr="0052573B">
        <w:t xml:space="preserve"> to help</w:t>
      </w:r>
      <w:r w:rsidR="00722778" w:rsidRPr="0052573B">
        <w:t xml:space="preserve"> reduce the burden on them and their family</w:t>
      </w:r>
      <w:r w:rsidR="005E09E4" w:rsidRPr="0052573B">
        <w:t xml:space="preserve">: </w:t>
      </w:r>
      <w:r w:rsidR="00722778" w:rsidRPr="0052573B">
        <w:t>“</w:t>
      </w:r>
      <w:r w:rsidR="00722778" w:rsidRPr="0052573B">
        <w:rPr>
          <w:i/>
          <w:iCs/>
        </w:rPr>
        <w:t>It’s nice to have that regular person that you’re talking to so, I don’t have to explain it again and again…she’s aware of what went on and yeah, like I say the first thing is, ‘How are you doing now? How are you feeling?</w:t>
      </w:r>
      <w:r w:rsidR="00722778" w:rsidRPr="0052573B">
        <w:t xml:space="preserve">” (P13). </w:t>
      </w:r>
    </w:p>
    <w:p w14:paraId="6DC0D0E4" w14:textId="725F1056" w:rsidR="006044D2" w:rsidRPr="0052573B" w:rsidRDefault="006044D2" w:rsidP="006044D2">
      <w:r w:rsidRPr="0052573B">
        <w:t xml:space="preserve">Participants described a range of factors they perceived helped their recovery and rehabilitation. These included religion and spirituality, being able to re-engage in normal social activities and being able to go outside. However, the pandemic meant that these things were not always possible or </w:t>
      </w:r>
      <w:r w:rsidRPr="0052573B">
        <w:lastRenderedPageBreak/>
        <w:t xml:space="preserve">were more difficult: </w:t>
      </w:r>
      <w:r w:rsidRPr="0052573B">
        <w:rPr>
          <w:i/>
          <w:iCs/>
        </w:rPr>
        <w:t>“I need fresh air more…</w:t>
      </w:r>
      <w:r w:rsidRPr="0052573B">
        <w:t xml:space="preserve"> </w:t>
      </w:r>
      <w:r w:rsidRPr="0052573B">
        <w:rPr>
          <w:i/>
          <w:iCs/>
        </w:rPr>
        <w:t>I want to go fishing. I want to get out. The trouble is with Covid, you can't even go abroad for a holiday in the sun, can you</w:t>
      </w:r>
      <w:r w:rsidRPr="0052573B">
        <w:t>” (P20).</w:t>
      </w:r>
      <w:r w:rsidR="007E5EAE" w:rsidRPr="0052573B">
        <w:t xml:space="preserve"> Self-help support groups were also viewed as beneficial, offering the opportunity to share and normalise experiences. These groups were seen as particularly helpful to filling the gaps in information provided by the healthcare team about what to expect during recovery in terms of both symptoms and length of recovery period: “</w:t>
      </w:r>
      <w:r w:rsidR="007E5EAE" w:rsidRPr="0052573B">
        <w:rPr>
          <w:i/>
          <w:iCs/>
        </w:rPr>
        <w:t>You know you’re not going crazy, what you’re feeling is real, there’s other people out there feeling the same as you</w:t>
      </w:r>
      <w:r w:rsidR="007E5EAE" w:rsidRPr="0052573B">
        <w:t xml:space="preserve">” (P1). </w:t>
      </w:r>
    </w:p>
    <w:p w14:paraId="118CF13D" w14:textId="77777777" w:rsidR="00405D18" w:rsidRPr="0052573B" w:rsidRDefault="00236057" w:rsidP="003721EF">
      <w:r w:rsidRPr="0052573B">
        <w:t>The importance of honest, clear, and timely information, tailored to individual circumstances was viewed as critical to helping understand their experience</w:t>
      </w:r>
      <w:r w:rsidR="00D41889" w:rsidRPr="0052573B">
        <w:t xml:space="preserve"> and to support their ongoing recovery</w:t>
      </w:r>
      <w:r w:rsidRPr="0052573B">
        <w:t xml:space="preserve">. In particular, knowing the sequence of </w:t>
      </w:r>
      <w:r w:rsidR="00805564" w:rsidRPr="0052573B">
        <w:t xml:space="preserve">treatment and </w:t>
      </w:r>
      <w:r w:rsidRPr="0052573B">
        <w:t>events</w:t>
      </w:r>
      <w:r w:rsidR="00805564" w:rsidRPr="0052573B">
        <w:t xml:space="preserve"> </w:t>
      </w:r>
      <w:r w:rsidRPr="0052573B">
        <w:t xml:space="preserve">was considered </w:t>
      </w:r>
      <w:r w:rsidR="009A3B59" w:rsidRPr="0052573B">
        <w:t>important</w:t>
      </w:r>
      <w:r w:rsidRPr="0052573B">
        <w:t xml:space="preserve"> to their ability to construct an account of illness</w:t>
      </w:r>
      <w:r w:rsidR="00805564" w:rsidRPr="0052573B">
        <w:t xml:space="preserve"> and</w:t>
      </w:r>
      <w:r w:rsidR="006D603C" w:rsidRPr="0052573B">
        <w:t xml:space="preserve"> contextualise their own recovery: </w:t>
      </w:r>
      <w:r w:rsidRPr="0052573B">
        <w:t>“</w:t>
      </w:r>
      <w:r w:rsidRPr="0052573B">
        <w:rPr>
          <w:i/>
          <w:iCs/>
        </w:rPr>
        <w:t>It was important to know the day I woke up, the day they stopped sedation, they day I spoke to my partner for the first time again…not so much the treatment but those three things were really important to me</w:t>
      </w:r>
      <w:r w:rsidRPr="0052573B">
        <w:t xml:space="preserve">” (P1). </w:t>
      </w:r>
    </w:p>
    <w:p w14:paraId="697D4D8F" w14:textId="1BF3B94D" w:rsidR="003721EF" w:rsidRPr="0052573B" w:rsidRDefault="00405D18" w:rsidP="003721EF">
      <w:r w:rsidRPr="0052573B">
        <w:t>A high degree of uncertainty was expressed about what ongoing care would or should look like and s</w:t>
      </w:r>
      <w:r w:rsidR="00CF70AB" w:rsidRPr="0052573B">
        <w:t>ome p</w:t>
      </w:r>
      <w:r w:rsidR="00805564" w:rsidRPr="0052573B">
        <w:t>articipants</w:t>
      </w:r>
      <w:r w:rsidRPr="0052573B">
        <w:t xml:space="preserve"> </w:t>
      </w:r>
      <w:r w:rsidR="00805564" w:rsidRPr="0052573B">
        <w:t xml:space="preserve">described </w:t>
      </w:r>
      <w:r w:rsidR="00D41889" w:rsidRPr="0052573B">
        <w:t xml:space="preserve">how </w:t>
      </w:r>
      <w:r w:rsidR="00236057" w:rsidRPr="0052573B">
        <w:t>a lack of information about what symptoms to expect during recovery</w:t>
      </w:r>
      <w:r w:rsidR="00D41889" w:rsidRPr="0052573B">
        <w:t xml:space="preserve"> exacerbated their fear of being discharged from hospital</w:t>
      </w:r>
      <w:r w:rsidR="006D603C" w:rsidRPr="0052573B">
        <w:t>:</w:t>
      </w:r>
      <w:r w:rsidR="00236057" w:rsidRPr="0052573B">
        <w:t xml:space="preserve"> “</w:t>
      </w:r>
      <w:r w:rsidR="00236057" w:rsidRPr="0052573B">
        <w:rPr>
          <w:i/>
          <w:iCs/>
        </w:rPr>
        <w:t>My hair came out in absolute clumps for about a month…it was only one of my GP’s that said to me… ‘it’s quite normal that this happens’ but you know just little things that I would like to have known</w:t>
      </w:r>
      <w:r w:rsidR="00236057" w:rsidRPr="0052573B">
        <w:t>” (P15).</w:t>
      </w:r>
      <w:r w:rsidR="00DE6F31" w:rsidRPr="0052573B">
        <w:t xml:space="preserve"> </w:t>
      </w:r>
      <w:r w:rsidRPr="0052573B">
        <w:t>Overall, p</w:t>
      </w:r>
      <w:r w:rsidR="00DE6F31" w:rsidRPr="0052573B">
        <w:t xml:space="preserve">articipants described </w:t>
      </w:r>
      <w:r w:rsidR="007E5EAE" w:rsidRPr="0052573B">
        <w:t xml:space="preserve">feeling </w:t>
      </w:r>
      <w:r w:rsidR="00DE6F31" w:rsidRPr="0052573B">
        <w:t>frustrat</w:t>
      </w:r>
      <w:r w:rsidR="007E5EAE" w:rsidRPr="0052573B">
        <w:t>ed,</w:t>
      </w:r>
      <w:r w:rsidR="00DE6F31" w:rsidRPr="0052573B">
        <w:t xml:space="preserve"> </w:t>
      </w:r>
      <w:r w:rsidR="007E5EAE" w:rsidRPr="0052573B">
        <w:t xml:space="preserve">with </w:t>
      </w:r>
      <w:r w:rsidR="00DE6F31" w:rsidRPr="0052573B">
        <w:t>some experienc</w:t>
      </w:r>
      <w:r w:rsidR="007E5EAE" w:rsidRPr="0052573B">
        <w:t>ing</w:t>
      </w:r>
      <w:r w:rsidR="00DE6F31" w:rsidRPr="0052573B">
        <w:t xml:space="preserve"> a clear lack of signposting to services: “</w:t>
      </w:r>
      <w:r w:rsidR="00DE6F31" w:rsidRPr="0052573B">
        <w:rPr>
          <w:i/>
          <w:iCs/>
        </w:rPr>
        <w:t>You should know where to signpost us, you should know where to be able to give us that help and support… but nothing, we’ve had to do it ourselves and wing it…there should be no difference in COVID recovery to any other recovery provision…having designated teams that you know in your area you can contact for that support, and not being sent out leaflets of how to do things.</w:t>
      </w:r>
      <w:r w:rsidR="00DE6F31" w:rsidRPr="0052573B">
        <w:t xml:space="preserve">” (P1). </w:t>
      </w:r>
    </w:p>
    <w:p w14:paraId="55797CF7" w14:textId="6A9B9C9A" w:rsidR="003721EF" w:rsidRPr="0052573B" w:rsidRDefault="00DE6F31" w:rsidP="003721EF">
      <w:r w:rsidRPr="0052573B">
        <w:t xml:space="preserve">The following quote encapsulates </w:t>
      </w:r>
      <w:r w:rsidR="007E5EAE" w:rsidRPr="0052573B">
        <w:t>a view e</w:t>
      </w:r>
      <w:r w:rsidR="005C5E61" w:rsidRPr="0052573B">
        <w:t>x</w:t>
      </w:r>
      <w:r w:rsidRPr="0052573B">
        <w:t xml:space="preserve">pressed by many </w:t>
      </w:r>
      <w:r w:rsidR="00CF70AB" w:rsidRPr="0052573B">
        <w:t>participants</w:t>
      </w:r>
      <w:r w:rsidR="009A3B59" w:rsidRPr="0052573B">
        <w:t>:</w:t>
      </w:r>
      <w:r w:rsidR="00CF70AB" w:rsidRPr="0052573B">
        <w:t xml:space="preserve"> </w:t>
      </w:r>
      <w:r w:rsidR="003721EF" w:rsidRPr="0052573B">
        <w:t>“</w:t>
      </w:r>
      <w:r w:rsidR="003721EF" w:rsidRPr="0052573B">
        <w:rPr>
          <w:i/>
          <w:iCs/>
        </w:rPr>
        <w:t>People just need to understand that it's not just as simple as surviving and being okay</w:t>
      </w:r>
      <w:r w:rsidR="003721EF" w:rsidRPr="0052573B">
        <w:t>” (P18).</w:t>
      </w:r>
    </w:p>
    <w:p w14:paraId="101E8BBC" w14:textId="77777777" w:rsidR="00EF571C" w:rsidRPr="0052573B" w:rsidRDefault="00EF571C" w:rsidP="00EF571C">
      <w:pPr>
        <w:rPr>
          <w:b/>
          <w:bCs/>
        </w:rPr>
      </w:pPr>
      <w:r w:rsidRPr="0052573B">
        <w:rPr>
          <w:b/>
          <w:bCs/>
        </w:rPr>
        <w:t>Discussion</w:t>
      </w:r>
    </w:p>
    <w:p w14:paraId="7EE35A20" w14:textId="578C9654" w:rsidR="00EF571C" w:rsidRPr="0052573B" w:rsidRDefault="00EF571C" w:rsidP="00EF571C">
      <w:r w:rsidRPr="0052573B">
        <w:t xml:space="preserve">Whilst our findings to some extent mirror those of other qualitative pre-pandemic studies exploring critical illness experiences, the uncertainty and instability created by the worldwide COVID-19 pandemic added to the challenge of </w:t>
      </w:r>
      <w:r w:rsidR="00CF70AB" w:rsidRPr="0052573B">
        <w:t>successful rehabilitation and re</w:t>
      </w:r>
      <w:r w:rsidRPr="0052573B">
        <w:t xml:space="preserve">covery.  </w:t>
      </w:r>
    </w:p>
    <w:p w14:paraId="73056B9E" w14:textId="6861120E" w:rsidR="00EF571C" w:rsidRPr="0052573B" w:rsidRDefault="00EF571C" w:rsidP="00EF571C">
      <w:r w:rsidRPr="0052573B">
        <w:t>According to self-</w:t>
      </w:r>
      <w:r w:rsidR="00BE397D" w:rsidRPr="0052573B">
        <w:t>determination</w:t>
      </w:r>
      <w:r w:rsidRPr="0052573B">
        <w:t xml:space="preserve"> theory, effective rehabilitation and recovery can only be fully achieved when the core concepts of autonomy (the ability to be in control of oneself), competence (the ability to manage a situation) and relatedness (the ability to have an emotional connection with others) are met.</w:t>
      </w:r>
      <w:r w:rsidR="00F97949" w:rsidRPr="0052573B">
        <w:rPr>
          <w:vertAlign w:val="superscript"/>
        </w:rPr>
        <w:t>33</w:t>
      </w:r>
      <w:r w:rsidRPr="0052573B">
        <w:t xml:space="preserve"> Our findings, based on the experiences of people recovering from COVID-19 support those of Corner et al.,</w:t>
      </w:r>
      <w:r w:rsidR="00BF4290" w:rsidRPr="0052573B">
        <w:rPr>
          <w:vertAlign w:val="superscript"/>
        </w:rPr>
        <w:t>1</w:t>
      </w:r>
      <w:r w:rsidR="00547456" w:rsidRPr="0052573B">
        <w:rPr>
          <w:vertAlign w:val="superscript"/>
        </w:rPr>
        <w:t>5</w:t>
      </w:r>
      <w:r w:rsidRPr="0052573B">
        <w:t xml:space="preserve"> highlighting that critical illness negatively affects all these concepts, both during and after the in-hospital period. </w:t>
      </w:r>
    </w:p>
    <w:p w14:paraId="31FE7F1D" w14:textId="53C415F1" w:rsidR="00EF571C" w:rsidRPr="0052573B" w:rsidRDefault="00EF571C" w:rsidP="00EF571C">
      <w:pPr>
        <w:rPr>
          <w:noProof/>
        </w:rPr>
      </w:pPr>
      <w:r w:rsidRPr="0052573B">
        <w:t>Our COVID-19 ICU survivors expressed a strong fear of death, combined with substantial concern about the risk of passing the virus to others, affecting their autonomy, competence, and relatedness. Similar to the findings of Corner et al.,</w:t>
      </w:r>
      <w:r w:rsidR="00BF4290" w:rsidRPr="0052573B">
        <w:rPr>
          <w:vertAlign w:val="superscript"/>
        </w:rPr>
        <w:t>1</w:t>
      </w:r>
      <w:r w:rsidR="00547456" w:rsidRPr="0052573B">
        <w:rPr>
          <w:vertAlign w:val="superscript"/>
        </w:rPr>
        <w:t>5</w:t>
      </w:r>
      <w:r w:rsidRPr="0052573B">
        <w:t xml:space="preserve"> human connection emerged as a critical component of effective care and a likely precursor to people’s successful recovery after discharge. Effective human connections were, however, negatively </w:t>
      </w:r>
      <w:r w:rsidR="00405D18" w:rsidRPr="0052573B">
        <w:t xml:space="preserve">affected </w:t>
      </w:r>
      <w:r w:rsidRPr="0052573B">
        <w:t xml:space="preserve">by the communication challenges incurred due to the need for PPE, visiting restrictions and the fearful or negative attitudes of some health and social care staff. </w:t>
      </w:r>
      <w:r w:rsidR="00405D18" w:rsidRPr="0052573B">
        <w:t>T</w:t>
      </w:r>
      <w:r w:rsidRPr="0052573B">
        <w:t xml:space="preserve">he isolation previously reported by ICU survivors </w:t>
      </w:r>
      <w:r w:rsidR="00405D18" w:rsidRPr="0052573B">
        <w:t>appears</w:t>
      </w:r>
      <w:r w:rsidRPr="0052573B">
        <w:t xml:space="preserve"> exacerbated for those recovering from COVID-19, especially with the stigmatisation of some groups</w:t>
      </w:r>
      <w:r w:rsidR="00B93DE0" w:rsidRPr="0052573B">
        <w:t>, such as those with obesity</w:t>
      </w:r>
      <w:r w:rsidRPr="0052573B">
        <w:t xml:space="preserve">. </w:t>
      </w:r>
      <w:r w:rsidR="00405D18" w:rsidRPr="0052573B">
        <w:t>Our f</w:t>
      </w:r>
      <w:r w:rsidR="00B93DE0" w:rsidRPr="0052573B">
        <w:t xml:space="preserve">indings resonate with a </w:t>
      </w:r>
      <w:r w:rsidR="0094178A" w:rsidRPr="0052573B">
        <w:t xml:space="preserve">powerful quote from </w:t>
      </w:r>
      <w:r w:rsidR="00DE6D1F" w:rsidRPr="0052573B">
        <w:t xml:space="preserve">Dr </w:t>
      </w:r>
      <w:r w:rsidR="00B93DE0" w:rsidRPr="0052573B">
        <w:rPr>
          <w:noProof/>
        </w:rPr>
        <w:t>Maya Angelou: "</w:t>
      </w:r>
      <w:r w:rsidR="00B93DE0" w:rsidRPr="0052573B">
        <w:rPr>
          <w:i/>
          <w:iCs/>
          <w:noProof/>
        </w:rPr>
        <w:t xml:space="preserve">People will forget </w:t>
      </w:r>
      <w:r w:rsidR="00B93DE0" w:rsidRPr="0052573B">
        <w:rPr>
          <w:i/>
          <w:iCs/>
          <w:noProof/>
        </w:rPr>
        <w:lastRenderedPageBreak/>
        <w:t xml:space="preserve">what you said, people will </w:t>
      </w:r>
      <w:r w:rsidR="00DE6D1F" w:rsidRPr="0052573B">
        <w:rPr>
          <w:i/>
          <w:iCs/>
          <w:noProof/>
        </w:rPr>
        <w:t>f</w:t>
      </w:r>
      <w:r w:rsidR="00B93DE0" w:rsidRPr="0052573B">
        <w:rPr>
          <w:i/>
          <w:iCs/>
          <w:noProof/>
        </w:rPr>
        <w:t>orget what you did, but people will never forget how you made them feel</w:t>
      </w:r>
      <w:r w:rsidR="00B93DE0" w:rsidRPr="0052573B">
        <w:rPr>
          <w:noProof/>
        </w:rPr>
        <w:t>"</w:t>
      </w:r>
      <w:r w:rsidR="00DE6D1F" w:rsidRPr="0052573B">
        <w:rPr>
          <w:noProof/>
        </w:rPr>
        <w:t>(mayaangelo.com)</w:t>
      </w:r>
      <w:r w:rsidR="00405D18" w:rsidRPr="0052573B">
        <w:rPr>
          <w:noProof/>
        </w:rPr>
        <w:t>.</w:t>
      </w:r>
    </w:p>
    <w:p w14:paraId="0B5F58F9" w14:textId="7C609513" w:rsidR="00EF571C" w:rsidRPr="0052573B" w:rsidRDefault="00EF571C" w:rsidP="00A452ED">
      <w:r w:rsidRPr="0052573B">
        <w:t>Any perceived dehumanisation of care is likely to increase the risk of post-traumatic stress symptoms and add to the post critical illness health burden</w:t>
      </w:r>
      <w:bookmarkStart w:id="6" w:name="_Hlk92194136"/>
      <w:r w:rsidRPr="0052573B">
        <w:t>.</w:t>
      </w:r>
      <w:r w:rsidR="00BF4290" w:rsidRPr="0052573B">
        <w:rPr>
          <w:vertAlign w:val="superscript"/>
        </w:rPr>
        <w:t>3</w:t>
      </w:r>
      <w:r w:rsidRPr="0052573B">
        <w:t xml:space="preserve"> </w:t>
      </w:r>
      <w:bookmarkEnd w:id="6"/>
      <w:r w:rsidRPr="0052573B">
        <w:t>Data supporting longer term mental health impacts is still in its infancy. However, Morin et al.</w:t>
      </w:r>
      <w:r w:rsidR="00A452ED" w:rsidRPr="0052573B">
        <w:rPr>
          <w:vertAlign w:val="superscript"/>
        </w:rPr>
        <w:t>2</w:t>
      </w:r>
      <w:r w:rsidR="00547456" w:rsidRPr="0052573B">
        <w:rPr>
          <w:vertAlign w:val="superscript"/>
        </w:rPr>
        <w:t>3</w:t>
      </w:r>
      <w:r w:rsidRPr="0052573B">
        <w:t xml:space="preserve"> reported anxiety (23%), depression (18%), and </w:t>
      </w:r>
      <w:r w:rsidR="0085762B" w:rsidRPr="0052573B">
        <w:t>PTSD</w:t>
      </w:r>
      <w:r w:rsidRPr="0052573B">
        <w:t xml:space="preserve"> (7%) in 94 patients admitted to ICU post COVID</w:t>
      </w:r>
      <w:r w:rsidR="007938E6" w:rsidRPr="0052573B">
        <w:t>-19</w:t>
      </w:r>
      <w:r w:rsidRPr="0052573B">
        <w:t xml:space="preserve"> four months after discharge. Huang et al.</w:t>
      </w:r>
      <w:r w:rsidR="00A452ED" w:rsidRPr="0052573B">
        <w:rPr>
          <w:vertAlign w:val="superscript"/>
        </w:rPr>
        <w:t>2</w:t>
      </w:r>
      <w:r w:rsidR="00547456" w:rsidRPr="0052573B">
        <w:rPr>
          <w:vertAlign w:val="superscript"/>
        </w:rPr>
        <w:t>2</w:t>
      </w:r>
      <w:r w:rsidRPr="0052573B">
        <w:t xml:space="preserve"> also report</w:t>
      </w:r>
      <w:r w:rsidR="007938E6" w:rsidRPr="0052573B">
        <w:t>ed</w:t>
      </w:r>
      <w:r w:rsidRPr="0052573B">
        <w:t xml:space="preserve"> an increased risk of anxiety and depression for those admitted to ICU in Wuhan, China, at the six month follow up point. </w:t>
      </w:r>
      <w:r w:rsidR="007938E6" w:rsidRPr="0052573B">
        <w:t xml:space="preserve">Additionally, </w:t>
      </w:r>
      <w:r w:rsidRPr="0052573B">
        <w:t>Parker et al.</w:t>
      </w:r>
      <w:r w:rsidR="00A452ED" w:rsidRPr="0052573B">
        <w:rPr>
          <w:vertAlign w:val="superscript"/>
        </w:rPr>
        <w:t>1</w:t>
      </w:r>
      <w:r w:rsidRPr="0052573B">
        <w:t xml:space="preserve"> </w:t>
      </w:r>
      <w:r w:rsidR="007938E6" w:rsidRPr="0052573B">
        <w:t>reported that</w:t>
      </w:r>
      <w:r w:rsidRPr="0052573B">
        <w:t xml:space="preserve"> 20% (</w:t>
      </w:r>
      <w:r w:rsidRPr="0052573B">
        <w:rPr>
          <w:i/>
          <w:iCs/>
        </w:rPr>
        <w:t>n</w:t>
      </w:r>
      <w:r w:rsidRPr="0052573B">
        <w:t xml:space="preserve">=36) of patients </w:t>
      </w:r>
      <w:r w:rsidR="007938E6" w:rsidRPr="0052573B">
        <w:t>had</w:t>
      </w:r>
      <w:r w:rsidRPr="0052573B">
        <w:t xml:space="preserve"> clinically significant anxiety and depression symptoms and 57% clinically significant post-traumatic stress symptoms approximately 2-3 months after hospital discharge. The effects of the COVID-19 pandemic are also likely to exacerbate patients’ delirium and increase the risk of long-term cognitive impairment.</w:t>
      </w:r>
      <w:r w:rsidR="00A452ED" w:rsidRPr="0052573B">
        <w:rPr>
          <w:vertAlign w:val="superscript"/>
        </w:rPr>
        <w:t>3</w:t>
      </w:r>
      <w:r w:rsidR="00F97949" w:rsidRPr="0052573B">
        <w:rPr>
          <w:vertAlign w:val="superscript"/>
        </w:rPr>
        <w:t>8</w:t>
      </w:r>
      <w:r w:rsidRPr="0052573B">
        <w:t xml:space="preserve"> </w:t>
      </w:r>
      <w:r w:rsidR="007938E6" w:rsidRPr="0052573B">
        <w:t>Furthermore, o</w:t>
      </w:r>
      <w:r w:rsidRPr="0052573B">
        <w:t>ur findings and those from other COVID-19 studies</w:t>
      </w:r>
      <w:r w:rsidR="00A452ED" w:rsidRPr="0052573B">
        <w:rPr>
          <w:vertAlign w:val="superscript"/>
        </w:rPr>
        <w:t>1,2</w:t>
      </w:r>
      <w:r w:rsidR="00547456" w:rsidRPr="0052573B">
        <w:rPr>
          <w:vertAlign w:val="superscript"/>
        </w:rPr>
        <w:t>2</w:t>
      </w:r>
      <w:r w:rsidR="00A452ED" w:rsidRPr="0052573B">
        <w:rPr>
          <w:vertAlign w:val="superscript"/>
        </w:rPr>
        <w:t>,2</w:t>
      </w:r>
      <w:r w:rsidR="00547456" w:rsidRPr="0052573B">
        <w:rPr>
          <w:vertAlign w:val="superscript"/>
        </w:rPr>
        <w:t>3</w:t>
      </w:r>
      <w:r w:rsidRPr="0052573B">
        <w:t xml:space="preserve"> support the frequent incapacitating problems of weakness and fatigue</w:t>
      </w:r>
      <w:r w:rsidR="007938E6" w:rsidRPr="0052573B">
        <w:t xml:space="preserve"> </w:t>
      </w:r>
      <w:r w:rsidRPr="0052573B">
        <w:t>highlighted in non-COVID-19 studies</w:t>
      </w:r>
      <w:r w:rsidR="00A62D52" w:rsidRPr="0052573B">
        <w:t xml:space="preserve">, </w:t>
      </w:r>
      <w:r w:rsidRPr="0052573B">
        <w:t>which</w:t>
      </w:r>
      <w:r w:rsidR="007938E6" w:rsidRPr="0052573B">
        <w:t xml:space="preserve"> </w:t>
      </w:r>
      <w:r w:rsidRPr="0052573B">
        <w:t>compound the problem.</w:t>
      </w:r>
      <w:r w:rsidR="00A452ED" w:rsidRPr="0052573B">
        <w:rPr>
          <w:vertAlign w:val="superscript"/>
        </w:rPr>
        <w:t>3</w:t>
      </w:r>
      <w:r w:rsidR="00F97949" w:rsidRPr="0052573B">
        <w:rPr>
          <w:vertAlign w:val="superscript"/>
        </w:rPr>
        <w:t>9</w:t>
      </w:r>
      <w:r w:rsidRPr="0052573B">
        <w:rPr>
          <w:vertAlign w:val="superscript"/>
        </w:rPr>
        <w:t xml:space="preserve"> </w:t>
      </w:r>
    </w:p>
    <w:p w14:paraId="72139A2B" w14:textId="25EDB801" w:rsidR="009E7187" w:rsidRPr="0052573B" w:rsidRDefault="009E7187" w:rsidP="009E7187">
      <w:r w:rsidRPr="0052573B">
        <w:t xml:space="preserve">During COVID-19, digital technology, such as iPads for virtual visiting and online platforms for follow up appointments became important mechanisms by which communication was sustained. Data from a multi-centre survey by </w:t>
      </w:r>
      <w:bookmarkStart w:id="7" w:name="_Hlk96700381"/>
      <w:r w:rsidRPr="0052573B">
        <w:t>Rose et al.</w:t>
      </w:r>
      <w:r w:rsidR="00F97949" w:rsidRPr="0052573B">
        <w:rPr>
          <w:vertAlign w:val="superscript"/>
        </w:rPr>
        <w:t>40</w:t>
      </w:r>
      <w:r w:rsidRPr="0052573B">
        <w:t xml:space="preserve"> </w:t>
      </w:r>
      <w:bookmarkEnd w:id="7"/>
      <w:r w:rsidRPr="0052573B">
        <w:t>support the role of virtual visiting in patient recovery and staff morale, whilst other authors suggest virtual care systems can improve inclusion of vulnerable populations.</w:t>
      </w:r>
      <w:r w:rsidR="00A452ED" w:rsidRPr="0052573B">
        <w:rPr>
          <w:vertAlign w:val="superscript"/>
        </w:rPr>
        <w:t>1</w:t>
      </w:r>
      <w:r w:rsidRPr="0052573B">
        <w:t xml:space="preserve"> However, our findings and those from studies with other population groups</w:t>
      </w:r>
      <w:r w:rsidR="00F97949" w:rsidRPr="0052573B">
        <w:rPr>
          <w:vertAlign w:val="superscript"/>
        </w:rPr>
        <w:t>41</w:t>
      </w:r>
      <w:r w:rsidRPr="0052573B">
        <w:t xml:space="preserve"> suggest that, whilst digital resources certainly are valued by some, they may not suit everyone and may add to anxieties, meaning that improvements in inclusivity are not achieved.  </w:t>
      </w:r>
    </w:p>
    <w:p w14:paraId="658A5000" w14:textId="0980EB44" w:rsidR="00EF571C" w:rsidRPr="0052573B" w:rsidRDefault="00EF571C" w:rsidP="00EF571C">
      <w:r w:rsidRPr="0052573B">
        <w:t>Our findings highlight the challenges COVID-19 survivors and their families faced trying to navigate the post hospital discharge pathway, with inadequate access to post-ICU follow-up and rehabilitation services leading to an inconsistent and less than ideal experience for many survivors. This added to the burden of recovery both for the patient and their family. Whilst the burden of care placed on family members of ICU survivors is also reported in the pre-pandemic literature,</w:t>
      </w:r>
      <w:r w:rsidR="00F97949" w:rsidRPr="0052573B">
        <w:rPr>
          <w:vertAlign w:val="superscript"/>
        </w:rPr>
        <w:t>42</w:t>
      </w:r>
      <w:r w:rsidRPr="0052573B">
        <w:t xml:space="preserve"> this has been exacerbated during COVID-19 due to systems being overwhelmed, staff redeployment and the worldwide shortage of health and social care professionals.</w:t>
      </w:r>
      <w:r w:rsidR="00A452ED" w:rsidRPr="0052573B">
        <w:rPr>
          <w:vertAlign w:val="superscript"/>
        </w:rPr>
        <w:t>3</w:t>
      </w:r>
      <w:r w:rsidRPr="0052573B">
        <w:t xml:space="preserve"> Psychological support was offered to many of our participants, but</w:t>
      </w:r>
      <w:r w:rsidR="00B93DE0" w:rsidRPr="0052573B">
        <w:t xml:space="preserve"> only </w:t>
      </w:r>
      <w:r w:rsidRPr="0052573B">
        <w:t>few accepted, with suggestion that the offer was often poorly timed or not sufficiently focused on their needs, a problem also identified in previous studies.</w:t>
      </w:r>
      <w:r w:rsidR="009D3B09" w:rsidRPr="0052573B">
        <w:rPr>
          <w:vertAlign w:val="superscript"/>
        </w:rPr>
        <w:t>42</w:t>
      </w:r>
      <w:r w:rsidRPr="0052573B">
        <w:rPr>
          <w:vertAlign w:val="superscript"/>
        </w:rPr>
        <w:t xml:space="preserve"> </w:t>
      </w:r>
      <w:r w:rsidRPr="0052573B">
        <w:t xml:space="preserve">   </w:t>
      </w:r>
    </w:p>
    <w:p w14:paraId="062BF036" w14:textId="77777777" w:rsidR="00EF571C" w:rsidRPr="0052573B" w:rsidRDefault="00EF571C" w:rsidP="00EF571C">
      <w:pPr>
        <w:rPr>
          <w:b/>
          <w:bCs/>
        </w:rPr>
      </w:pPr>
      <w:r w:rsidRPr="0052573B">
        <w:rPr>
          <w:b/>
          <w:bCs/>
        </w:rPr>
        <w:t xml:space="preserve">Limitations </w:t>
      </w:r>
    </w:p>
    <w:p w14:paraId="5C36CCCE" w14:textId="405E4F3A" w:rsidR="00EF56F4" w:rsidRPr="0052573B" w:rsidRDefault="009E7187" w:rsidP="00EF571C">
      <w:r w:rsidRPr="0052573B">
        <w:t>Whilst we met our target sample size, the findings of this study are unlikely to reflect those of all COVID-19 survivors who required ICU admission. O</w:t>
      </w:r>
      <w:r w:rsidR="00EF571C" w:rsidRPr="0052573B">
        <w:t xml:space="preserve">ur data were collected at different timepoints during the pandemic and the vaccination programme, and this may account for different experiences as COVID-19 has become normalised in society. </w:t>
      </w:r>
      <w:r w:rsidR="007460D5" w:rsidRPr="0052573B">
        <w:t>Recall bias may also have affected some of the narratives, although this is more of an issue after one year.</w:t>
      </w:r>
      <w:r w:rsidR="002161A7" w:rsidRPr="0052573B">
        <w:rPr>
          <w:vertAlign w:val="superscript"/>
        </w:rPr>
        <w:t>43,44</w:t>
      </w:r>
      <w:r w:rsidR="007460D5" w:rsidRPr="0052573B">
        <w:t xml:space="preserve"> All our participants were interviewed within six months of their hospital admission.</w:t>
      </w:r>
    </w:p>
    <w:p w14:paraId="0FD8F00C" w14:textId="2F113BB1" w:rsidR="00B238DB" w:rsidRPr="0052573B" w:rsidRDefault="00AA5F42" w:rsidP="00EF571C">
      <w:r w:rsidRPr="0052573B">
        <w:t xml:space="preserve">Although our sample were self-selecting, demographic details in table 1 support that we achieved our aim of maximum variations sampling, with regard age, sex, length of hospital stay, experience of rehabilitation units and degree of critical illness. </w:t>
      </w:r>
      <w:r w:rsidR="009E7187" w:rsidRPr="0052573B">
        <w:t>We acknowledge</w:t>
      </w:r>
      <w:r w:rsidRPr="0052573B">
        <w:t>, however,</w:t>
      </w:r>
      <w:r w:rsidR="009E7187" w:rsidRPr="0052573B">
        <w:t xml:space="preserve"> that not all patients diagnosed with COVID-19 during the peak of the pandemic had access to an ICU bed and our findings do not represent their experiences or ongoing needs.   </w:t>
      </w:r>
    </w:p>
    <w:p w14:paraId="2C446609" w14:textId="284F9376" w:rsidR="00EF571C" w:rsidRPr="0052573B" w:rsidRDefault="00EF571C" w:rsidP="00EF571C">
      <w:pPr>
        <w:rPr>
          <w:b/>
          <w:bCs/>
        </w:rPr>
      </w:pPr>
      <w:r w:rsidRPr="0052573B">
        <w:rPr>
          <w:b/>
          <w:bCs/>
        </w:rPr>
        <w:t xml:space="preserve">Implications for practice </w:t>
      </w:r>
    </w:p>
    <w:p w14:paraId="570B3A97" w14:textId="7D406DFC" w:rsidR="00EF571C" w:rsidRPr="0052573B" w:rsidRDefault="00EF571C" w:rsidP="00EF571C">
      <w:r w:rsidRPr="0052573B">
        <w:lastRenderedPageBreak/>
        <w:t xml:space="preserve">Societal uncertainty </w:t>
      </w:r>
      <w:r w:rsidR="00D93C2F" w:rsidRPr="0052573B">
        <w:t>and</w:t>
      </w:r>
      <w:r w:rsidRPr="0052573B">
        <w:t xml:space="preserve"> instability caused by the pandemic underpins the traumatic experiences of COVID</w:t>
      </w:r>
      <w:r w:rsidR="00EF55A2" w:rsidRPr="0052573B">
        <w:t>-19</w:t>
      </w:r>
      <w:r w:rsidRPr="0052573B">
        <w:t xml:space="preserve"> survivors, negatively affecting recovery. These factors must be considered when planning future service provision. COVID-19 ICU survivors require a specialist, co-ordinated and personalised recovery pathway focused on the patient and family. Tailored discharge processes, which reflect humanised care should ensure people leave hospital at the right time, go to the right place, and receive specialist community-based support appropriate to their needs to minimise the risk of readmission. </w:t>
      </w:r>
    </w:p>
    <w:p w14:paraId="4AFF726C" w14:textId="43835518" w:rsidR="00405D18" w:rsidRPr="0052573B" w:rsidRDefault="00A452ED" w:rsidP="00EF571C">
      <w:r w:rsidRPr="0052573B">
        <w:t>E</w:t>
      </w:r>
      <w:r w:rsidR="00EF571C" w:rsidRPr="0052573B">
        <w:t>ffective critical care rehabilitation requires a coordinated and comprehensive approach, a responsibility shared between secondary and primary care teams.</w:t>
      </w:r>
      <w:r w:rsidR="00690B58" w:rsidRPr="0052573B">
        <w:rPr>
          <w:vertAlign w:val="superscript"/>
        </w:rPr>
        <w:t>45</w:t>
      </w:r>
      <w:r w:rsidR="00EF571C" w:rsidRPr="0052573B">
        <w:t xml:space="preserve"> </w:t>
      </w:r>
      <w:proofErr w:type="spellStart"/>
      <w:r w:rsidR="00EF571C" w:rsidRPr="0052573B">
        <w:t>Hosey</w:t>
      </w:r>
      <w:proofErr w:type="spellEnd"/>
      <w:r w:rsidR="00EF571C" w:rsidRPr="0052573B">
        <w:t xml:space="preserve"> and Needham</w:t>
      </w:r>
      <w:r w:rsidR="00A62D52" w:rsidRPr="0052573B">
        <w:t xml:space="preserve"> </w:t>
      </w:r>
      <w:r w:rsidR="00EF571C" w:rsidRPr="0052573B">
        <w:t>highlight the importance of collaboration between the fields of critical care and rehabilitation to address the significant need that continues to grow,</w:t>
      </w:r>
      <w:r w:rsidR="00A62D52" w:rsidRPr="0052573B">
        <w:rPr>
          <w:vertAlign w:val="superscript"/>
        </w:rPr>
        <w:t>3</w:t>
      </w:r>
      <w:r w:rsidR="00690B58" w:rsidRPr="0052573B">
        <w:rPr>
          <w:vertAlign w:val="superscript"/>
        </w:rPr>
        <w:t>8</w:t>
      </w:r>
      <w:r w:rsidR="00EF571C" w:rsidRPr="0052573B">
        <w:t xml:space="preserve"> with some evidence of this now in existence. Our findings suggest that a </w:t>
      </w:r>
      <w:proofErr w:type="spellStart"/>
      <w:r w:rsidR="00EF571C" w:rsidRPr="0052573B">
        <w:t>care</w:t>
      </w:r>
      <w:proofErr w:type="spellEnd"/>
      <w:r w:rsidR="00EF571C" w:rsidRPr="0052573B">
        <w:t xml:space="preserve"> navigation role, similar to that often taken on by families</w:t>
      </w:r>
      <w:r w:rsidR="00B73482" w:rsidRPr="0052573B">
        <w:t xml:space="preserve"> and described by Health Education England (</w:t>
      </w:r>
      <w:hyperlink r:id="rId11" w:history="1">
        <w:r w:rsidR="00B73482" w:rsidRPr="0052573B">
          <w:rPr>
            <w:rStyle w:val="Hyperlink"/>
          </w:rPr>
          <w:t>https://www.hee.nhs.uk/our-work/care-navigation</w:t>
        </w:r>
      </w:hyperlink>
      <w:r w:rsidR="00B73482" w:rsidRPr="0052573B">
        <w:t>)</w:t>
      </w:r>
      <w:r w:rsidR="00EF571C" w:rsidRPr="0052573B">
        <w:t xml:space="preserve">, may be even more important for ICU survivors of COVID-19. </w:t>
      </w:r>
      <w:r w:rsidR="00405D18" w:rsidRPr="0052573B">
        <w:t>In line with previous research,</w:t>
      </w:r>
      <w:r w:rsidR="00690B58" w:rsidRPr="0052573B">
        <w:rPr>
          <w:vertAlign w:val="superscript"/>
        </w:rPr>
        <w:t>42,45</w:t>
      </w:r>
      <w:r w:rsidR="00405D18" w:rsidRPr="0052573B">
        <w:t xml:space="preserve"> the importance of providing patients and their families with timely, accurate and honest information delivered in a language understandable by all</w:t>
      </w:r>
      <w:r w:rsidR="009E7187" w:rsidRPr="0052573B">
        <w:t xml:space="preserve"> is also emphasised</w:t>
      </w:r>
      <w:r w:rsidR="00405D18" w:rsidRPr="0052573B">
        <w:t xml:space="preserve">. </w:t>
      </w:r>
    </w:p>
    <w:p w14:paraId="22B25B5F" w14:textId="77777777" w:rsidR="00EF571C" w:rsidRPr="0052573B" w:rsidRDefault="00EF571C" w:rsidP="00EF571C">
      <w:pPr>
        <w:rPr>
          <w:b/>
          <w:bCs/>
        </w:rPr>
      </w:pPr>
      <w:r w:rsidRPr="0052573B">
        <w:rPr>
          <w:b/>
          <w:bCs/>
        </w:rPr>
        <w:t xml:space="preserve">Research recommendations </w:t>
      </w:r>
    </w:p>
    <w:p w14:paraId="2F681F82" w14:textId="2A554F7E" w:rsidR="00EF571C" w:rsidRPr="0052573B" w:rsidRDefault="00EF571C" w:rsidP="00EF571C">
      <w:r w:rsidRPr="0052573B">
        <w:t xml:space="preserve">Further qualitative research to better understand the needs of COVID-19 ICU survivors and their family members is urgently needed. Current work by THIS Institute, capturing ICU survivors and family members stories since the pandemic in the UK will hopefully generate learning to improve future experiences. </w:t>
      </w:r>
      <w:hyperlink r:id="rId12" w:history="1">
        <w:r w:rsidRPr="0052573B">
          <w:rPr>
            <w:rStyle w:val="Hyperlink"/>
          </w:rPr>
          <w:t>https://www.thisinstitute.cam.ac.uk/research-projects/covid-19-intensive-care-patient-experiences/</w:t>
        </w:r>
      </w:hyperlink>
      <w:r w:rsidRPr="0052573B">
        <w:t xml:space="preserve">. It is also hoped this will provide further understanding about what methods can </w:t>
      </w:r>
      <w:r w:rsidR="00EF55A2" w:rsidRPr="0052573B">
        <w:t xml:space="preserve">be </w:t>
      </w:r>
      <w:r w:rsidRPr="0052573B">
        <w:t xml:space="preserve">most effectively deployed to support recovery and return to work. The additional collection of </w:t>
      </w:r>
      <w:r w:rsidR="00744883" w:rsidRPr="0052573B">
        <w:t xml:space="preserve">family members’ </w:t>
      </w:r>
      <w:r w:rsidRPr="0052573B">
        <w:t xml:space="preserve">experiences and perspectives is important, recognising the impact that any critical illness has on the wider family unit. </w:t>
      </w:r>
    </w:p>
    <w:p w14:paraId="488D8974" w14:textId="77777777" w:rsidR="00EF571C" w:rsidRPr="0052573B" w:rsidRDefault="00EF571C" w:rsidP="00EF571C">
      <w:pPr>
        <w:rPr>
          <w:b/>
          <w:bCs/>
        </w:rPr>
      </w:pPr>
      <w:r w:rsidRPr="0052573B">
        <w:rPr>
          <w:b/>
          <w:bCs/>
        </w:rPr>
        <w:t>Conclusion</w:t>
      </w:r>
    </w:p>
    <w:p w14:paraId="3A23BD0E" w14:textId="1AABCEAF" w:rsidR="00854477" w:rsidRPr="0052573B" w:rsidRDefault="00EF571C" w:rsidP="002E0A01">
      <w:bookmarkStart w:id="8" w:name="_Hlk96695285"/>
      <w:r w:rsidRPr="0052573B">
        <w:t xml:space="preserve">This study sought to understand the recovery and rehabilitation needs of COVID-19 ICU survivors based on their narrated experiences. To our knowledge this is the first published qualitative study to do this. The uncertainty </w:t>
      </w:r>
      <w:r w:rsidR="00125611" w:rsidRPr="0052573B">
        <w:t>and</w:t>
      </w:r>
      <w:r w:rsidRPr="0052573B">
        <w:t xml:space="preserve"> instability caused by the pandemic, which added to the challenge of recovery, must be considered when planning future service provision. </w:t>
      </w:r>
      <w:r w:rsidR="00AB14D1" w:rsidRPr="0052573B">
        <w:t xml:space="preserve">These </w:t>
      </w:r>
      <w:r w:rsidRPr="0052573B">
        <w:t xml:space="preserve">survivors require a specialist, co-ordinated and personalised recovery pathway, which reflects humanised care </w:t>
      </w:r>
      <w:bookmarkStart w:id="9" w:name="_Hlk96698478"/>
      <w:r w:rsidRPr="0052573B">
        <w:t>if they are to achieve the core concepts of self-determination (autonomy, competence, relatedness)</w:t>
      </w:r>
      <w:r w:rsidR="00B238DB" w:rsidRPr="0052573B">
        <w:t xml:space="preserve"> and</w:t>
      </w:r>
      <w:r w:rsidRPr="0052573B">
        <w:t xml:space="preserve"> optimise chances of effective recovery.</w:t>
      </w:r>
    </w:p>
    <w:p w14:paraId="68A8A5AC" w14:textId="25D75FB4" w:rsidR="00FD1C8F" w:rsidRPr="0052573B" w:rsidRDefault="00310A6D" w:rsidP="008729DA">
      <w:pPr>
        <w:rPr>
          <w:bCs/>
        </w:rPr>
      </w:pPr>
      <w:bookmarkStart w:id="10" w:name="_Hlk96697466"/>
      <w:bookmarkEnd w:id="9"/>
      <w:r w:rsidRPr="0052573B">
        <w:rPr>
          <w:b/>
        </w:rPr>
        <w:t xml:space="preserve">Keywords: </w:t>
      </w:r>
      <w:r w:rsidRPr="0052573B">
        <w:rPr>
          <w:bCs/>
        </w:rPr>
        <w:t>Critical illness; COVID-19; Rehabilitation; Qualitative; Interviews</w:t>
      </w:r>
      <w:bookmarkEnd w:id="8"/>
      <w:bookmarkEnd w:id="10"/>
    </w:p>
    <w:p w14:paraId="51E648D9" w14:textId="52502BAE" w:rsidR="008729DA" w:rsidRPr="0052573B" w:rsidRDefault="004E263A" w:rsidP="008729DA">
      <w:pPr>
        <w:rPr>
          <w:bCs/>
        </w:rPr>
      </w:pPr>
      <w:r w:rsidRPr="0052573B">
        <w:rPr>
          <w:rFonts w:cstheme="minorHAnsi"/>
          <w:b/>
        </w:rPr>
        <w:t xml:space="preserve">References </w:t>
      </w:r>
    </w:p>
    <w:p w14:paraId="22E07C60" w14:textId="0A5B0EDE" w:rsidR="005E3A98" w:rsidRPr="0052573B" w:rsidRDefault="005E3A98" w:rsidP="005E3A98">
      <w:pPr>
        <w:pStyle w:val="ListParagraph"/>
        <w:numPr>
          <w:ilvl w:val="0"/>
          <w:numId w:val="25"/>
        </w:numPr>
        <w:spacing w:after="0" w:line="360" w:lineRule="auto"/>
      </w:pPr>
      <w:r w:rsidRPr="0052573B">
        <w:t xml:space="preserve">Parker AJ, </w:t>
      </w:r>
      <w:proofErr w:type="spellStart"/>
      <w:r w:rsidRPr="0052573B">
        <w:t>Humbir</w:t>
      </w:r>
      <w:proofErr w:type="spellEnd"/>
      <w:r w:rsidRPr="0052573B">
        <w:t xml:space="preserve"> A, Tiwary P et al. Recovery after critical illness in COVID-19 ICU survivors. </w:t>
      </w:r>
      <w:r w:rsidRPr="0052573B">
        <w:rPr>
          <w:i/>
          <w:iCs/>
        </w:rPr>
        <w:t>British Journal of Anaesthesia 2021</w:t>
      </w:r>
      <w:r w:rsidRPr="0052573B">
        <w:t xml:space="preserve">: </w:t>
      </w:r>
      <w:hyperlink r:id="rId13" w:history="1">
        <w:r w:rsidRPr="0052573B">
          <w:rPr>
            <w:rStyle w:val="Hyperlink"/>
          </w:rPr>
          <w:t>https://doi.org/10.1016/j.bja.2021.03.005</w:t>
        </w:r>
      </w:hyperlink>
    </w:p>
    <w:p w14:paraId="1DD707C8" w14:textId="419E203B" w:rsidR="005E3A98" w:rsidRPr="0052573B" w:rsidRDefault="005E3A98" w:rsidP="005E3A98">
      <w:pPr>
        <w:pStyle w:val="ListParagraph"/>
        <w:numPr>
          <w:ilvl w:val="0"/>
          <w:numId w:val="25"/>
        </w:numPr>
        <w:spacing w:after="0" w:line="360" w:lineRule="auto"/>
        <w:rPr>
          <w:rFonts w:cstheme="minorHAnsi"/>
        </w:rPr>
      </w:pPr>
      <w:r w:rsidRPr="0052573B">
        <w:rPr>
          <w:rFonts w:cstheme="minorHAnsi"/>
        </w:rPr>
        <w:t xml:space="preserve">Prescott HC. Outcomes for patients following hospitalization for COVID-19. </w:t>
      </w:r>
      <w:r w:rsidRPr="0052573B">
        <w:rPr>
          <w:rFonts w:cstheme="minorHAnsi"/>
          <w:i/>
          <w:iCs/>
        </w:rPr>
        <w:t>JAMA</w:t>
      </w:r>
      <w:r w:rsidRPr="0052573B">
        <w:rPr>
          <w:rFonts w:cstheme="minorHAnsi"/>
        </w:rPr>
        <w:t xml:space="preserve"> 2021; 325: 1511–12.</w:t>
      </w:r>
    </w:p>
    <w:p w14:paraId="35A12A75" w14:textId="4F02DAA2" w:rsidR="005E3A98" w:rsidRPr="0052573B" w:rsidRDefault="005E3A98" w:rsidP="005E3A98">
      <w:pPr>
        <w:pStyle w:val="ListParagraph"/>
        <w:numPr>
          <w:ilvl w:val="0"/>
          <w:numId w:val="25"/>
        </w:numPr>
        <w:spacing w:after="0" w:line="360" w:lineRule="auto"/>
        <w:rPr>
          <w:rFonts w:cstheme="minorHAnsi"/>
        </w:rPr>
      </w:pPr>
      <w:proofErr w:type="spellStart"/>
      <w:r w:rsidRPr="0052573B">
        <w:rPr>
          <w:rFonts w:cstheme="minorHAnsi"/>
        </w:rPr>
        <w:t>Parotto</w:t>
      </w:r>
      <w:proofErr w:type="spellEnd"/>
      <w:r w:rsidRPr="0052573B">
        <w:rPr>
          <w:rFonts w:cstheme="minorHAnsi"/>
        </w:rPr>
        <w:t xml:space="preserve"> M, </w:t>
      </w:r>
      <w:proofErr w:type="spellStart"/>
      <w:r w:rsidRPr="0052573B">
        <w:rPr>
          <w:rFonts w:cstheme="minorHAnsi"/>
        </w:rPr>
        <w:t>Myatra</w:t>
      </w:r>
      <w:proofErr w:type="spellEnd"/>
      <w:r w:rsidRPr="0052573B">
        <w:rPr>
          <w:rFonts w:cstheme="minorHAnsi"/>
        </w:rPr>
        <w:t xml:space="preserve"> SN, </w:t>
      </w:r>
      <w:proofErr w:type="spellStart"/>
      <w:r w:rsidRPr="0052573B">
        <w:rPr>
          <w:rFonts w:cstheme="minorHAnsi"/>
        </w:rPr>
        <w:t>Munblit</w:t>
      </w:r>
      <w:proofErr w:type="spellEnd"/>
      <w:r w:rsidRPr="0052573B">
        <w:rPr>
          <w:rFonts w:cstheme="minorHAnsi"/>
        </w:rPr>
        <w:t xml:space="preserve"> D et al. Recovery after prolonged ICU treatment in patients with COVID-19. </w:t>
      </w:r>
      <w:r w:rsidRPr="0052573B">
        <w:rPr>
          <w:rFonts w:cstheme="minorHAnsi"/>
          <w:i/>
          <w:iCs/>
        </w:rPr>
        <w:t>The Lancet</w:t>
      </w:r>
      <w:r w:rsidRPr="0052573B">
        <w:rPr>
          <w:rFonts w:cstheme="minorHAnsi"/>
        </w:rPr>
        <w:t xml:space="preserve"> 2021; 9: </w:t>
      </w:r>
      <w:hyperlink r:id="rId14" w:history="1">
        <w:r w:rsidRPr="0052573B">
          <w:rPr>
            <w:rStyle w:val="Hyperlink"/>
            <w:rFonts w:cstheme="minorHAnsi"/>
          </w:rPr>
          <w:t>https://doi.org/10.1016/S2213-2600(21)00318-0</w:t>
        </w:r>
      </w:hyperlink>
    </w:p>
    <w:p w14:paraId="625BB6BF" w14:textId="143A16EF" w:rsidR="005E3A98" w:rsidRPr="0052573B" w:rsidRDefault="005E3A98" w:rsidP="005E3A98">
      <w:pPr>
        <w:pStyle w:val="EndNoteBibliography"/>
        <w:numPr>
          <w:ilvl w:val="0"/>
          <w:numId w:val="25"/>
        </w:numPr>
        <w:spacing w:after="0" w:line="360" w:lineRule="auto"/>
        <w:rPr>
          <w:rFonts w:asciiTheme="minorHAnsi" w:hAnsiTheme="minorHAnsi" w:cstheme="minorHAnsi"/>
          <w:lang w:val="en-GB"/>
        </w:rPr>
      </w:pPr>
      <w:r w:rsidRPr="0052573B">
        <w:rPr>
          <w:rFonts w:asciiTheme="minorHAnsi" w:hAnsiTheme="minorHAnsi" w:cstheme="minorHAnsi"/>
          <w:lang w:val="en-GB"/>
        </w:rPr>
        <w:lastRenderedPageBreak/>
        <w:t xml:space="preserve">Centers for Disease Prevention and Control (CDC). Coronavirus 2019 (COVID-19): Interim Clinical Guidance for Management of Patients with Confirmed Coronavirus Disease (COVID-19). Available online at: https://www.cdc.gov/coronavirus/2019-ncov/hcp/clinical-guidance-management-patients.html. Accessed 22 May 2020.  </w:t>
      </w:r>
    </w:p>
    <w:p w14:paraId="138E8706" w14:textId="083C6AD4" w:rsidR="00547456" w:rsidRPr="0052573B" w:rsidRDefault="00547456" w:rsidP="009D0717">
      <w:pPr>
        <w:pStyle w:val="ListParagraph"/>
        <w:numPr>
          <w:ilvl w:val="0"/>
          <w:numId w:val="25"/>
        </w:numPr>
        <w:rPr>
          <w:rFonts w:eastAsia="Calibri" w:cstheme="minorHAnsi"/>
          <w:noProof/>
        </w:rPr>
      </w:pPr>
      <w:proofErr w:type="spellStart"/>
      <w:r w:rsidRPr="0052573B">
        <w:rPr>
          <w:rFonts w:cstheme="minorHAnsi"/>
        </w:rPr>
        <w:t>Lewnard</w:t>
      </w:r>
      <w:proofErr w:type="spellEnd"/>
      <w:r w:rsidR="00BC60BE" w:rsidRPr="0052573B">
        <w:rPr>
          <w:rFonts w:cstheme="minorHAnsi"/>
        </w:rPr>
        <w:t xml:space="preserve"> JA,</w:t>
      </w:r>
      <w:r w:rsidRPr="0052573B">
        <w:rPr>
          <w:rFonts w:cstheme="minorHAnsi"/>
        </w:rPr>
        <w:t xml:space="preserve"> Hong</w:t>
      </w:r>
      <w:r w:rsidR="009D0717" w:rsidRPr="0052573B">
        <w:rPr>
          <w:rFonts w:cstheme="minorHAnsi"/>
        </w:rPr>
        <w:t xml:space="preserve"> V, </w:t>
      </w:r>
      <w:r w:rsidRPr="0052573B">
        <w:rPr>
          <w:rFonts w:cstheme="minorHAnsi"/>
        </w:rPr>
        <w:t>Patel</w:t>
      </w:r>
      <w:r w:rsidR="009D0717" w:rsidRPr="0052573B">
        <w:rPr>
          <w:rFonts w:cstheme="minorHAnsi"/>
        </w:rPr>
        <w:t xml:space="preserve"> M et al.</w:t>
      </w:r>
      <w:r w:rsidR="009D0717" w:rsidRPr="0052573B">
        <w:t xml:space="preserve"> </w:t>
      </w:r>
      <w:r w:rsidR="009D0717" w:rsidRPr="0052573B">
        <w:rPr>
          <w:rFonts w:eastAsia="Calibri" w:cstheme="minorHAnsi"/>
          <w:noProof/>
        </w:rPr>
        <w:t xml:space="preserve">Clinical outcomes associated with Omicron (B.1.1.529) variant and BA.1/BA.1.1 or BA.2 subvariant infection in southern California. </w:t>
      </w:r>
      <w:proofErr w:type="spellStart"/>
      <w:r w:rsidRPr="0052573B">
        <w:rPr>
          <w:rFonts w:cstheme="minorHAnsi"/>
        </w:rPr>
        <w:t>medRxiv</w:t>
      </w:r>
      <w:proofErr w:type="spellEnd"/>
      <w:r w:rsidRPr="0052573B">
        <w:rPr>
          <w:rFonts w:cstheme="minorHAnsi"/>
        </w:rPr>
        <w:t xml:space="preserve"> 2022.01.11.22269045; </w:t>
      </w:r>
      <w:proofErr w:type="spellStart"/>
      <w:r w:rsidRPr="0052573B">
        <w:rPr>
          <w:rFonts w:cstheme="minorHAnsi"/>
        </w:rPr>
        <w:t>doi</w:t>
      </w:r>
      <w:proofErr w:type="spellEnd"/>
      <w:r w:rsidRPr="0052573B">
        <w:rPr>
          <w:rFonts w:cstheme="minorHAnsi"/>
        </w:rPr>
        <w:t xml:space="preserve">: </w:t>
      </w:r>
      <w:hyperlink r:id="rId15" w:history="1">
        <w:r w:rsidR="009D0717" w:rsidRPr="0052573B">
          <w:rPr>
            <w:rStyle w:val="Hyperlink"/>
            <w:rFonts w:cstheme="minorHAnsi"/>
          </w:rPr>
          <w:t>https://doi.org/10.1101/2022.01.11.22269045</w:t>
        </w:r>
      </w:hyperlink>
    </w:p>
    <w:p w14:paraId="5D4B146A" w14:textId="3288EC00" w:rsidR="005E3A98" w:rsidRPr="0052573B" w:rsidRDefault="005E3A98" w:rsidP="009D0717">
      <w:pPr>
        <w:pStyle w:val="ListParagraph"/>
        <w:numPr>
          <w:ilvl w:val="0"/>
          <w:numId w:val="25"/>
        </w:numPr>
        <w:rPr>
          <w:rFonts w:eastAsia="Calibri" w:cstheme="minorHAnsi"/>
          <w:noProof/>
        </w:rPr>
      </w:pPr>
      <w:r w:rsidRPr="0052573B">
        <w:rPr>
          <w:rFonts w:cstheme="minorHAnsi"/>
          <w:lang w:val="de-DE"/>
        </w:rPr>
        <w:t xml:space="preserve">Needham DM, Davidson J, Cohen H et al. </w:t>
      </w:r>
      <w:r w:rsidRPr="0052573B">
        <w:rPr>
          <w:rFonts w:cstheme="minorHAnsi"/>
        </w:rPr>
        <w:t xml:space="preserve">Improving long-term outcomes after discharge from intensive care unit: report from a stakeholders' conference. </w:t>
      </w:r>
      <w:r w:rsidRPr="0052573B">
        <w:rPr>
          <w:rFonts w:cstheme="minorHAnsi"/>
          <w:i/>
          <w:iCs/>
        </w:rPr>
        <w:t>Crit Care Med</w:t>
      </w:r>
      <w:r w:rsidRPr="0052573B">
        <w:rPr>
          <w:rFonts w:cstheme="minorHAnsi"/>
        </w:rPr>
        <w:t xml:space="preserve"> 2012; 40(2):502-9.</w:t>
      </w:r>
    </w:p>
    <w:p w14:paraId="5193AEBA" w14:textId="362002B1"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rPr>
        <w:t xml:space="preserve">Marra A, Pandharipande PP, Girard TD et al. Co-Occurrence of Post-Intensive Care Syndrome Problems Among 406 Survivors of Critical Illness. </w:t>
      </w:r>
      <w:r w:rsidRPr="0052573B">
        <w:rPr>
          <w:rFonts w:asciiTheme="minorHAnsi" w:hAnsiTheme="minorHAnsi" w:cstheme="minorHAnsi"/>
          <w:i/>
          <w:iCs/>
        </w:rPr>
        <w:t>Crit Care Med</w:t>
      </w:r>
      <w:r w:rsidRPr="0052573B">
        <w:rPr>
          <w:rFonts w:asciiTheme="minorHAnsi" w:hAnsiTheme="minorHAnsi" w:cstheme="minorHAnsi"/>
        </w:rPr>
        <w:t xml:space="preserve"> 2018; 46(9):1393-401.</w:t>
      </w:r>
    </w:p>
    <w:p w14:paraId="6E147ACB" w14:textId="3AB6B2E7"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rPr>
        <w:t xml:space="preserve">Brown SM, Bose S, Banner-Goodspeed V, et al. Approaches to addressing post–intensive care syndrome among intensive care unit survivors. A narrative review. </w:t>
      </w:r>
      <w:r w:rsidRPr="0052573B">
        <w:rPr>
          <w:rFonts w:asciiTheme="minorHAnsi" w:hAnsiTheme="minorHAnsi" w:cstheme="minorHAnsi"/>
          <w:i/>
          <w:iCs/>
        </w:rPr>
        <w:t>Ann Am Thorac Soc</w:t>
      </w:r>
      <w:r w:rsidRPr="0052573B">
        <w:rPr>
          <w:rFonts w:asciiTheme="minorHAnsi" w:hAnsiTheme="minorHAnsi" w:cstheme="minorHAnsi"/>
        </w:rPr>
        <w:t>. 2019; 16(8):947-956. doi:10.1513/AnnalsATS.201812-913FR</w:t>
      </w:r>
    </w:p>
    <w:p w14:paraId="7A950C56" w14:textId="2857B43D"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lang w:val="en-GB"/>
        </w:rPr>
        <w:t xml:space="preserve">Parker AM, Sricharoenchai T, Raparla S et al. </w:t>
      </w:r>
      <w:r w:rsidRPr="0052573B">
        <w:rPr>
          <w:rFonts w:asciiTheme="minorHAnsi" w:hAnsiTheme="minorHAnsi" w:cstheme="minorHAnsi"/>
        </w:rPr>
        <w:t xml:space="preserve">Posttraumatic stress disorder in critical illness survivors: a metaanalysis. </w:t>
      </w:r>
      <w:r w:rsidRPr="0052573B">
        <w:rPr>
          <w:rFonts w:asciiTheme="minorHAnsi" w:hAnsiTheme="minorHAnsi" w:cstheme="minorHAnsi"/>
          <w:i/>
          <w:iCs/>
        </w:rPr>
        <w:t>Crit Care Med</w:t>
      </w:r>
      <w:r w:rsidRPr="0052573B">
        <w:rPr>
          <w:rFonts w:asciiTheme="minorHAnsi" w:hAnsiTheme="minorHAnsi" w:cstheme="minorHAnsi"/>
        </w:rPr>
        <w:t xml:space="preserve"> 2015; 43(5):1121-9.</w:t>
      </w:r>
    </w:p>
    <w:p w14:paraId="0719F5C0" w14:textId="7D32EFFF" w:rsidR="005E3A98" w:rsidRPr="0052573B" w:rsidRDefault="005E3A98" w:rsidP="005E3A98">
      <w:pPr>
        <w:pStyle w:val="EndNoteBibliography"/>
        <w:numPr>
          <w:ilvl w:val="0"/>
          <w:numId w:val="25"/>
        </w:numPr>
        <w:spacing w:after="0" w:line="360" w:lineRule="auto"/>
        <w:rPr>
          <w:rFonts w:asciiTheme="minorHAnsi" w:hAnsiTheme="minorHAnsi" w:cstheme="minorHAnsi"/>
          <w:lang w:val="en-GB"/>
        </w:rPr>
      </w:pPr>
      <w:r w:rsidRPr="0052573B">
        <w:rPr>
          <w:rFonts w:asciiTheme="minorHAnsi" w:hAnsiTheme="minorHAnsi" w:cstheme="minorHAnsi"/>
        </w:rPr>
        <w:t xml:space="preserve">Gerth AMJ, Hatch RA, Young JD et al. Changes in health-related quality of life after discharge from an intensive care unit: a systematic review. </w:t>
      </w:r>
      <w:r w:rsidRPr="0052573B">
        <w:rPr>
          <w:rFonts w:asciiTheme="minorHAnsi" w:hAnsiTheme="minorHAnsi" w:cstheme="minorHAnsi"/>
          <w:i/>
          <w:iCs/>
        </w:rPr>
        <w:t>Anaesthesia</w:t>
      </w:r>
      <w:r w:rsidRPr="0052573B">
        <w:rPr>
          <w:rFonts w:asciiTheme="minorHAnsi" w:hAnsiTheme="minorHAnsi" w:cstheme="minorHAnsi"/>
        </w:rPr>
        <w:t xml:space="preserve"> 2019; 74(1):100-8.</w:t>
      </w:r>
    </w:p>
    <w:p w14:paraId="28DD7A90" w14:textId="3FD65A5E" w:rsidR="005E3A98" w:rsidRPr="0052573B" w:rsidRDefault="005E3A98" w:rsidP="005E3A98">
      <w:pPr>
        <w:pStyle w:val="EndNoteBibliography"/>
        <w:numPr>
          <w:ilvl w:val="0"/>
          <w:numId w:val="25"/>
        </w:numPr>
        <w:spacing w:after="0" w:line="360" w:lineRule="auto"/>
        <w:rPr>
          <w:rFonts w:asciiTheme="minorHAnsi" w:hAnsiTheme="minorHAnsi" w:cstheme="minorHAnsi"/>
          <w:lang w:val="en-GB"/>
        </w:rPr>
      </w:pPr>
      <w:r w:rsidRPr="0052573B">
        <w:rPr>
          <w:rFonts w:asciiTheme="minorHAnsi" w:hAnsiTheme="minorHAnsi" w:cstheme="minorHAnsi"/>
        </w:rPr>
        <w:t xml:space="preserve">Pacella ML, Hruska B, Delahanty DL. The physical health consequences of PTSD and PTSD symptoms: a meta-analytic review. </w:t>
      </w:r>
      <w:r w:rsidRPr="0052573B">
        <w:rPr>
          <w:rFonts w:asciiTheme="minorHAnsi" w:hAnsiTheme="minorHAnsi" w:cstheme="minorHAnsi"/>
          <w:i/>
          <w:iCs/>
        </w:rPr>
        <w:t>J Anxiety Disord</w:t>
      </w:r>
      <w:r w:rsidRPr="0052573B">
        <w:rPr>
          <w:rFonts w:asciiTheme="minorHAnsi" w:hAnsiTheme="minorHAnsi" w:cstheme="minorHAnsi"/>
        </w:rPr>
        <w:t xml:space="preserve"> 2013; 27(1):33-46.</w:t>
      </w:r>
    </w:p>
    <w:p w14:paraId="30D9D59C" w14:textId="1F520D64"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rPr>
        <w:t xml:space="preserve">Zatzick D, Jurkovich GJ, Rivara FP et al. A national US study of posttraumatic stress disorder, depression, and work and functional outcomes after hospitalization for traumatic injury. </w:t>
      </w:r>
      <w:r w:rsidRPr="0052573B">
        <w:rPr>
          <w:rFonts w:asciiTheme="minorHAnsi" w:hAnsiTheme="minorHAnsi" w:cstheme="minorHAnsi"/>
          <w:i/>
          <w:iCs/>
        </w:rPr>
        <w:t>Ann Surg</w:t>
      </w:r>
      <w:r w:rsidRPr="0052573B">
        <w:rPr>
          <w:rFonts w:asciiTheme="minorHAnsi" w:hAnsiTheme="minorHAnsi" w:cstheme="minorHAnsi"/>
        </w:rPr>
        <w:t xml:space="preserve"> 2008; 248(3):429-37.</w:t>
      </w:r>
    </w:p>
    <w:p w14:paraId="1E2C17EA" w14:textId="77777777"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rPr>
        <w:t xml:space="preserve">Davydow DS, Hough CL, Zatzick D, et al. (2014) Psychiatric symptoms and acute care service utilization over the course of the year following medical-surgical ICU admission: a longitudinal investigation. </w:t>
      </w:r>
      <w:r w:rsidRPr="0052573B">
        <w:rPr>
          <w:rFonts w:asciiTheme="minorHAnsi" w:hAnsiTheme="minorHAnsi" w:cstheme="minorHAnsi"/>
          <w:i/>
          <w:iCs/>
        </w:rPr>
        <w:t>Crit Care Med</w:t>
      </w:r>
      <w:r w:rsidRPr="0052573B">
        <w:rPr>
          <w:rFonts w:asciiTheme="minorHAnsi" w:hAnsiTheme="minorHAnsi" w:cstheme="minorHAnsi"/>
        </w:rPr>
        <w:t xml:space="preserve"> 42(12):2473-81.</w:t>
      </w:r>
    </w:p>
    <w:p w14:paraId="2109B4A0" w14:textId="3C93A3F5"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cstheme="minorHAnsi"/>
        </w:rPr>
        <w:t xml:space="preserve">Baumgarten M, Poulsen I. Patients' experiences of being mechanically ventilated in an ICU: a qualitative meta-synthesis. </w:t>
      </w:r>
      <w:r w:rsidRPr="0052573B">
        <w:rPr>
          <w:rFonts w:cstheme="minorHAnsi"/>
          <w:i/>
          <w:iCs/>
        </w:rPr>
        <w:t>Scandinavian Journal of Caring Sciences</w:t>
      </w:r>
      <w:r w:rsidRPr="0052573B">
        <w:rPr>
          <w:rFonts w:cstheme="minorHAnsi"/>
        </w:rPr>
        <w:t xml:space="preserve"> 2015; 29 (2): 205-214. </w:t>
      </w:r>
      <w:hyperlink r:id="rId16" w:history="1">
        <w:r w:rsidRPr="0052573B">
          <w:rPr>
            <w:rStyle w:val="Hyperlink"/>
            <w:rFonts w:cstheme="minorHAnsi"/>
          </w:rPr>
          <w:t>https://doi.org/10.1111/scs.12177</w:t>
        </w:r>
      </w:hyperlink>
    </w:p>
    <w:p w14:paraId="53E8819A" w14:textId="10D5680D" w:rsidR="005E3A98" w:rsidRPr="0052573B" w:rsidRDefault="005E3A98" w:rsidP="005E3A98">
      <w:pPr>
        <w:pStyle w:val="NormalWeb"/>
        <w:numPr>
          <w:ilvl w:val="0"/>
          <w:numId w:val="25"/>
        </w:numPr>
        <w:spacing w:before="0" w:beforeAutospacing="0" w:after="0" w:afterAutospacing="0" w:line="360" w:lineRule="auto"/>
        <w:rPr>
          <w:rFonts w:asciiTheme="minorHAnsi" w:hAnsiTheme="minorHAnsi" w:cstheme="minorHAnsi"/>
          <w:sz w:val="22"/>
          <w:szCs w:val="22"/>
          <w:lang w:val="de-DE"/>
        </w:rPr>
      </w:pPr>
      <w:r w:rsidRPr="0052573B">
        <w:rPr>
          <w:rFonts w:asciiTheme="minorHAnsi" w:hAnsiTheme="minorHAnsi" w:cstheme="minorHAnsi"/>
          <w:sz w:val="22"/>
          <w:szCs w:val="22"/>
        </w:rPr>
        <w:t xml:space="preserve">Corner EJ, Murray EJ, Brett SJ. Qualitative, grounded theory exploration of patients’ experience of early mobilisation, rehabilitation and recovery after critical illness. </w:t>
      </w:r>
      <w:r w:rsidRPr="0052573B">
        <w:rPr>
          <w:rFonts w:asciiTheme="minorHAnsi" w:hAnsiTheme="minorHAnsi" w:cstheme="minorHAnsi"/>
          <w:i/>
          <w:iCs/>
          <w:sz w:val="22"/>
          <w:szCs w:val="22"/>
          <w:lang w:val="de-DE"/>
        </w:rPr>
        <w:t xml:space="preserve">BMJ Open 2019; </w:t>
      </w:r>
      <w:r w:rsidRPr="0052573B">
        <w:rPr>
          <w:rFonts w:asciiTheme="minorHAnsi" w:hAnsiTheme="minorHAnsi" w:cstheme="minorHAnsi"/>
          <w:sz w:val="22"/>
          <w:szCs w:val="22"/>
          <w:lang w:val="de-DE"/>
        </w:rPr>
        <w:t xml:space="preserve"> 9:e026348. doi:10.1136/ bmjopen-2018-026348 </w:t>
      </w:r>
    </w:p>
    <w:p w14:paraId="15C5A076" w14:textId="66DF6F7A"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lang w:val="de-DE"/>
        </w:rPr>
        <w:t xml:space="preserve">Elliott D, Davidson JE, Harvey MA, et al. </w:t>
      </w:r>
      <w:r w:rsidRPr="0052573B">
        <w:rPr>
          <w:rFonts w:asciiTheme="minorHAnsi" w:hAnsiTheme="minorHAnsi" w:cstheme="minorHAnsi"/>
        </w:rPr>
        <w:t xml:space="preserve">Exploring the scope of post-intensive care syndrome therapy and care: engagement of non-critical care providers and survivors in a second stakeholders meeting. </w:t>
      </w:r>
      <w:r w:rsidRPr="0052573B">
        <w:rPr>
          <w:rFonts w:asciiTheme="minorHAnsi" w:hAnsiTheme="minorHAnsi" w:cstheme="minorHAnsi"/>
          <w:i/>
          <w:iCs/>
        </w:rPr>
        <w:t>Crit Care Med</w:t>
      </w:r>
      <w:r w:rsidRPr="0052573B">
        <w:rPr>
          <w:rFonts w:asciiTheme="minorHAnsi" w:hAnsiTheme="minorHAnsi" w:cstheme="minorHAnsi"/>
        </w:rPr>
        <w:t>. 2014; 42 (12): 2518-2526.</w:t>
      </w:r>
    </w:p>
    <w:p w14:paraId="5611661D" w14:textId="4938D019"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lang w:val="de-DE"/>
        </w:rPr>
        <w:lastRenderedPageBreak/>
        <w:t xml:space="preserve">Reay H, Arulkumaran N, Brett SJ. </w:t>
      </w:r>
      <w:r w:rsidRPr="0052573B">
        <w:rPr>
          <w:rFonts w:asciiTheme="minorHAnsi" w:hAnsiTheme="minorHAnsi" w:cstheme="minorHAnsi"/>
        </w:rPr>
        <w:t xml:space="preserve">Priorities for Future Intensive Care Research in the UK: Results of a James Lind Alliance Priority Setting Partnership. </w:t>
      </w:r>
      <w:r w:rsidRPr="0052573B">
        <w:rPr>
          <w:rFonts w:asciiTheme="minorHAnsi" w:hAnsiTheme="minorHAnsi" w:cstheme="minorHAnsi"/>
          <w:i/>
          <w:iCs/>
        </w:rPr>
        <w:t>Journal of the Intensive Care Society</w:t>
      </w:r>
      <w:r w:rsidRPr="0052573B">
        <w:rPr>
          <w:rFonts w:asciiTheme="minorHAnsi" w:hAnsiTheme="minorHAnsi" w:cstheme="minorHAnsi"/>
        </w:rPr>
        <w:t xml:space="preserve"> 2014; 15(4):288-96.</w:t>
      </w:r>
    </w:p>
    <w:p w14:paraId="07B426E6" w14:textId="4EC2D307" w:rsidR="005E3A98" w:rsidRPr="0052573B" w:rsidRDefault="005E3A98" w:rsidP="005E3A98">
      <w:pPr>
        <w:pStyle w:val="EndNoteBibliography"/>
        <w:numPr>
          <w:ilvl w:val="0"/>
          <w:numId w:val="25"/>
        </w:numPr>
        <w:spacing w:after="0" w:line="360" w:lineRule="auto"/>
        <w:rPr>
          <w:rFonts w:asciiTheme="minorHAnsi" w:hAnsiTheme="minorHAnsi" w:cstheme="minorHAnsi"/>
          <w:lang w:val="en-GB"/>
        </w:rPr>
      </w:pPr>
      <w:r w:rsidRPr="0052573B">
        <w:rPr>
          <w:rFonts w:asciiTheme="minorHAnsi" w:hAnsiTheme="minorHAnsi" w:cstheme="minorHAnsi"/>
        </w:rPr>
        <w:t>National Institute for Health and Care Excellence (NICE) Rehabilitation after Critical Illness. [CG83]. UK. 2009.</w:t>
      </w:r>
    </w:p>
    <w:p w14:paraId="6279F4EC" w14:textId="10E3C51C" w:rsidR="005E3A98" w:rsidRPr="0052573B" w:rsidRDefault="005E3A98" w:rsidP="005E3A98">
      <w:pPr>
        <w:pStyle w:val="EndNoteBibliography"/>
        <w:numPr>
          <w:ilvl w:val="0"/>
          <w:numId w:val="25"/>
        </w:numPr>
        <w:spacing w:after="0" w:line="360" w:lineRule="auto"/>
        <w:rPr>
          <w:rFonts w:asciiTheme="minorHAnsi" w:hAnsiTheme="minorHAnsi" w:cstheme="minorHAnsi"/>
          <w:lang w:val="en-GB"/>
        </w:rPr>
      </w:pPr>
      <w:r w:rsidRPr="0052573B">
        <w:rPr>
          <w:rFonts w:asciiTheme="minorHAnsi" w:hAnsiTheme="minorHAnsi" w:cstheme="minorHAnsi"/>
        </w:rPr>
        <w:t xml:space="preserve">National Institute for Clinical Excellence (NICE) Rehabilitation after critical illness in adults: Quality standard 158. 2017. Available from: nice.org.uk/guidance/qs158 2017 </w:t>
      </w:r>
    </w:p>
    <w:p w14:paraId="0B67A00F" w14:textId="6E63233E"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rPr>
          <w:rFonts w:asciiTheme="minorHAnsi" w:hAnsiTheme="minorHAnsi" w:cstheme="minorHAnsi"/>
        </w:rPr>
        <w:t xml:space="preserve">Faculty of Intensive Care medicine (FICM). </w:t>
      </w:r>
      <w:r w:rsidRPr="0052573B">
        <w:rPr>
          <w:rFonts w:asciiTheme="minorHAnsi" w:hAnsiTheme="minorHAnsi" w:cstheme="minorHAnsi"/>
          <w:i/>
          <w:iCs/>
        </w:rPr>
        <w:t>Life after critical illness; a guide for developing and delivering aftercare services for critically ill patients</w:t>
      </w:r>
      <w:r w:rsidRPr="0052573B">
        <w:rPr>
          <w:rFonts w:asciiTheme="minorHAnsi" w:hAnsiTheme="minorHAnsi" w:cstheme="minorHAnsi"/>
        </w:rPr>
        <w:t xml:space="preserve">. 2021. Available at: </w:t>
      </w:r>
      <w:hyperlink r:id="rId17" w:history="1">
        <w:r w:rsidRPr="0052573B">
          <w:rPr>
            <w:rStyle w:val="Hyperlink"/>
            <w:rFonts w:asciiTheme="minorHAnsi" w:hAnsiTheme="minorHAnsi" w:cstheme="minorHAnsi"/>
          </w:rPr>
          <w:t>https://ficm.ac.uk/criticalfutures/life-after-critical-illness</w:t>
        </w:r>
      </w:hyperlink>
    </w:p>
    <w:p w14:paraId="7EE9CA0A" w14:textId="0AF8AB04" w:rsidR="005E3A98" w:rsidRPr="0052573B" w:rsidRDefault="005E3A98" w:rsidP="005E3A98">
      <w:pPr>
        <w:pStyle w:val="EndNoteBibliography"/>
        <w:numPr>
          <w:ilvl w:val="0"/>
          <w:numId w:val="25"/>
        </w:numPr>
        <w:spacing w:after="0" w:line="360" w:lineRule="auto"/>
        <w:rPr>
          <w:rFonts w:asciiTheme="minorHAnsi" w:hAnsiTheme="minorHAnsi" w:cstheme="minorHAnsi"/>
          <w:lang w:val="en-GB"/>
        </w:rPr>
      </w:pPr>
      <w:r w:rsidRPr="0052573B">
        <w:rPr>
          <w:rFonts w:asciiTheme="minorHAnsi" w:hAnsiTheme="minorHAnsi" w:cstheme="minorHAnsi"/>
        </w:rPr>
        <w:t xml:space="preserve">Faculty of Intensive Care medicine (FICM). (2020) FICM Position Statement and Provisional Guidance: </w:t>
      </w:r>
      <w:r w:rsidRPr="0052573B">
        <w:rPr>
          <w:rFonts w:asciiTheme="minorHAnsi" w:hAnsiTheme="minorHAnsi" w:cstheme="minorHAnsi"/>
          <w:i/>
        </w:rPr>
        <w:t>Recovery and Rehabilitation for Patients Following the Pandemic</w:t>
      </w:r>
      <w:r w:rsidRPr="0052573B">
        <w:rPr>
          <w:rFonts w:asciiTheme="minorHAnsi" w:hAnsiTheme="minorHAnsi" w:cstheme="minorHAnsi"/>
        </w:rPr>
        <w:t xml:space="preserve">. Available at:  </w:t>
      </w:r>
      <w:hyperlink r:id="rId18" w:history="1">
        <w:r w:rsidRPr="0052573B">
          <w:rPr>
            <w:rStyle w:val="Hyperlink"/>
            <w:rFonts w:asciiTheme="minorHAnsi" w:hAnsiTheme="minorHAnsi" w:cstheme="minorHAnsi"/>
          </w:rPr>
          <w:t>https://www.ficm.ac.uk/sites/default/files/ficm_rehab_provisional_guidance.pdf</w:t>
        </w:r>
      </w:hyperlink>
    </w:p>
    <w:p w14:paraId="0BA6645F" w14:textId="739EAB3A" w:rsidR="005E3A98" w:rsidRPr="0052573B" w:rsidRDefault="005E3A98" w:rsidP="005E3A98">
      <w:pPr>
        <w:pStyle w:val="ListParagraph"/>
        <w:numPr>
          <w:ilvl w:val="0"/>
          <w:numId w:val="25"/>
        </w:numPr>
        <w:spacing w:after="0" w:line="360" w:lineRule="auto"/>
      </w:pPr>
      <w:r w:rsidRPr="0052573B">
        <w:t xml:space="preserve">Huang C, Huang L, Wang Y, et al. 6-month consequences of COVID-19 in patients discharged from hospital: a cohort study. </w:t>
      </w:r>
      <w:r w:rsidRPr="0052573B">
        <w:rPr>
          <w:i/>
          <w:iCs/>
        </w:rPr>
        <w:t>Lancet</w:t>
      </w:r>
      <w:r w:rsidRPr="0052573B">
        <w:t xml:space="preserve"> 2021; 397: 220–32.</w:t>
      </w:r>
    </w:p>
    <w:p w14:paraId="3146364C" w14:textId="33493650" w:rsidR="007E60A6" w:rsidRPr="0052573B" w:rsidRDefault="005E3A98" w:rsidP="007E60A6">
      <w:pPr>
        <w:pStyle w:val="ListParagraph"/>
        <w:numPr>
          <w:ilvl w:val="0"/>
          <w:numId w:val="25"/>
        </w:numPr>
        <w:spacing w:after="0" w:line="360" w:lineRule="auto"/>
      </w:pPr>
      <w:r w:rsidRPr="0052573B">
        <w:t xml:space="preserve">Morin L, </w:t>
      </w:r>
      <w:proofErr w:type="spellStart"/>
      <w:r w:rsidRPr="0052573B">
        <w:t>Savale</w:t>
      </w:r>
      <w:proofErr w:type="spellEnd"/>
      <w:r w:rsidRPr="0052573B">
        <w:t xml:space="preserve"> L, Pham T, et al. Four-month clinical status of a cohort of patients after hospitalization for COVID-19. </w:t>
      </w:r>
      <w:r w:rsidRPr="0052573B">
        <w:rPr>
          <w:i/>
          <w:iCs/>
        </w:rPr>
        <w:t>JAMA</w:t>
      </w:r>
      <w:r w:rsidRPr="0052573B">
        <w:t xml:space="preserve"> 2021; 325: 1525–34. </w:t>
      </w:r>
    </w:p>
    <w:p w14:paraId="5D91E3B2" w14:textId="0D22A891" w:rsidR="007E60A6" w:rsidRPr="0052573B" w:rsidRDefault="007E60A6" w:rsidP="007E60A6">
      <w:pPr>
        <w:pStyle w:val="ListParagraph"/>
        <w:numPr>
          <w:ilvl w:val="0"/>
          <w:numId w:val="25"/>
        </w:numPr>
        <w:spacing w:after="0" w:line="360" w:lineRule="auto"/>
      </w:pPr>
      <w:r w:rsidRPr="0052573B">
        <w:t xml:space="preserve">Pauley E, Drake TM, </w:t>
      </w:r>
      <w:proofErr w:type="spellStart"/>
      <w:r w:rsidRPr="0052573B">
        <w:t>Sigfrid</w:t>
      </w:r>
      <w:proofErr w:type="spellEnd"/>
      <w:r w:rsidRPr="0052573B">
        <w:t xml:space="preserve"> L et al</w:t>
      </w:r>
      <w:r w:rsidR="00BC60BE" w:rsidRPr="0052573B">
        <w:t xml:space="preserve">. </w:t>
      </w:r>
      <w:r w:rsidRPr="0052573B">
        <w:t xml:space="preserve">Recovery from Covid-19 critical illness: a secondary analysis of the ISARIC4C CCP-UK cohort study and the RECOVER trial. </w:t>
      </w:r>
      <w:r w:rsidRPr="0052573B">
        <w:rPr>
          <w:i/>
          <w:iCs/>
        </w:rPr>
        <w:t>J</w:t>
      </w:r>
      <w:r w:rsidR="00BC60BE" w:rsidRPr="0052573B">
        <w:rPr>
          <w:i/>
          <w:iCs/>
        </w:rPr>
        <w:t>ICS</w:t>
      </w:r>
      <w:r w:rsidR="00BC60BE" w:rsidRPr="0052573B">
        <w:t xml:space="preserve"> 2021</w:t>
      </w:r>
      <w:r w:rsidRPr="0052573B">
        <w:t xml:space="preserve">, </w:t>
      </w:r>
      <w:proofErr w:type="spellStart"/>
      <w:r w:rsidRPr="0052573B">
        <w:t>doi</w:t>
      </w:r>
      <w:proofErr w:type="spellEnd"/>
      <w:r w:rsidRPr="0052573B">
        <w:t>: 10.1177/17511437211052226</w:t>
      </w:r>
      <w:r w:rsidR="00BC60BE" w:rsidRPr="0052573B">
        <w:t>.</w:t>
      </w:r>
    </w:p>
    <w:p w14:paraId="40D91555" w14:textId="35D08352" w:rsidR="007E60A6" w:rsidRPr="0052573B" w:rsidRDefault="007E60A6" w:rsidP="007E60A6">
      <w:pPr>
        <w:pStyle w:val="ListParagraph"/>
        <w:numPr>
          <w:ilvl w:val="0"/>
          <w:numId w:val="25"/>
        </w:numPr>
        <w:spacing w:after="0" w:line="360" w:lineRule="auto"/>
      </w:pPr>
      <w:proofErr w:type="spellStart"/>
      <w:r w:rsidRPr="0052573B">
        <w:t>Sudre</w:t>
      </w:r>
      <w:proofErr w:type="spellEnd"/>
      <w:r w:rsidRPr="0052573B">
        <w:t xml:space="preserve"> CH, Murray B, </w:t>
      </w:r>
      <w:proofErr w:type="spellStart"/>
      <w:r w:rsidRPr="0052573B">
        <w:t>Varsavsky</w:t>
      </w:r>
      <w:proofErr w:type="spellEnd"/>
      <w:r w:rsidRPr="0052573B">
        <w:t xml:space="preserve"> T, et al. Attributes and predictors of long COVID. </w:t>
      </w:r>
      <w:r w:rsidRPr="0052573B">
        <w:rPr>
          <w:i/>
          <w:iCs/>
        </w:rPr>
        <w:t>Nat Med</w:t>
      </w:r>
      <w:r w:rsidRPr="0052573B">
        <w:t xml:space="preserve">. 2021 Apr;27(4):626-631. </w:t>
      </w:r>
      <w:proofErr w:type="spellStart"/>
      <w:r w:rsidRPr="0052573B">
        <w:t>doi</w:t>
      </w:r>
      <w:proofErr w:type="spellEnd"/>
      <w:r w:rsidRPr="0052573B">
        <w:t xml:space="preserve">: 10.1038/s41591-021-01292-y. </w:t>
      </w:r>
    </w:p>
    <w:p w14:paraId="1AB57235" w14:textId="370FFA5B" w:rsidR="007E60A6" w:rsidRPr="0052573B" w:rsidRDefault="007E60A6" w:rsidP="007E60A6">
      <w:pPr>
        <w:pStyle w:val="ListParagraph"/>
        <w:numPr>
          <w:ilvl w:val="0"/>
          <w:numId w:val="25"/>
        </w:numPr>
        <w:spacing w:after="0" w:line="360" w:lineRule="auto"/>
      </w:pPr>
      <w:proofErr w:type="spellStart"/>
      <w:r w:rsidRPr="0052573B">
        <w:t>Prati</w:t>
      </w:r>
      <w:proofErr w:type="spellEnd"/>
      <w:r w:rsidRPr="0052573B">
        <w:t xml:space="preserve"> G, Mancini AD. The psychological impact of COVID-19 pandemic lockdowns: a review and meta-analysis of longitudinal studies and natural experiments. </w:t>
      </w:r>
      <w:proofErr w:type="spellStart"/>
      <w:r w:rsidRPr="0052573B">
        <w:rPr>
          <w:i/>
          <w:iCs/>
        </w:rPr>
        <w:t>Psychol</w:t>
      </w:r>
      <w:proofErr w:type="spellEnd"/>
      <w:r w:rsidRPr="0052573B">
        <w:rPr>
          <w:i/>
          <w:iCs/>
        </w:rPr>
        <w:t xml:space="preserve"> Med.</w:t>
      </w:r>
      <w:r w:rsidRPr="0052573B">
        <w:t xml:space="preserve"> 2021;51(2):201-211. doi:10.1017/S0033291721000015</w:t>
      </w:r>
    </w:p>
    <w:p w14:paraId="7B045783" w14:textId="33CD76B0" w:rsidR="004420BB" w:rsidRPr="0052573B" w:rsidRDefault="004420BB" w:rsidP="004420BB">
      <w:pPr>
        <w:pStyle w:val="ListParagraph"/>
        <w:numPr>
          <w:ilvl w:val="0"/>
          <w:numId w:val="25"/>
        </w:numPr>
        <w:spacing w:after="0" w:line="360" w:lineRule="auto"/>
      </w:pPr>
      <w:r w:rsidRPr="0052573B">
        <w:t>Hunter DJ, McCallum J</w:t>
      </w:r>
      <w:r w:rsidR="00BC60BE" w:rsidRPr="0052573B">
        <w:t xml:space="preserve">, </w:t>
      </w:r>
      <w:r w:rsidRPr="0052573B">
        <w:t>Howes, D</w:t>
      </w:r>
      <w:r w:rsidR="00BC60BE" w:rsidRPr="0052573B">
        <w:t xml:space="preserve">. </w:t>
      </w:r>
      <w:r w:rsidRPr="0052573B">
        <w:t>Defining Exploratory-Descriptive Qualitative (EDQ) research and considering its application to healthcare. in Proceedings of Worldwide Nursing Conference 2018. Worldwide Nursing Conference 2018. http://nursing-conf.org/accepted-papers/#acc-5b9bb119a6443</w:t>
      </w:r>
    </w:p>
    <w:p w14:paraId="1EB7304D" w14:textId="65E9132D" w:rsidR="005E3A98" w:rsidRPr="0052573B" w:rsidRDefault="005E3A98" w:rsidP="005E3A98">
      <w:pPr>
        <w:pStyle w:val="EndNoteBibliography"/>
        <w:numPr>
          <w:ilvl w:val="0"/>
          <w:numId w:val="25"/>
        </w:numPr>
        <w:spacing w:after="0" w:line="360" w:lineRule="auto"/>
        <w:rPr>
          <w:rFonts w:asciiTheme="minorHAnsi" w:eastAsiaTheme="minorHAnsi" w:hAnsiTheme="minorHAnsi" w:cstheme="minorBidi"/>
          <w:noProof w:val="0"/>
          <w:lang w:val="en-GB"/>
        </w:rPr>
      </w:pPr>
      <w:proofErr w:type="spellStart"/>
      <w:r w:rsidRPr="0052573B">
        <w:rPr>
          <w:rFonts w:asciiTheme="minorHAnsi" w:eastAsiaTheme="minorHAnsi" w:hAnsiTheme="minorHAnsi" w:cstheme="minorBidi"/>
          <w:noProof w:val="0"/>
          <w:lang w:val="en-GB"/>
        </w:rPr>
        <w:t>Sandelowski</w:t>
      </w:r>
      <w:proofErr w:type="spellEnd"/>
      <w:r w:rsidRPr="0052573B">
        <w:rPr>
          <w:rFonts w:asciiTheme="minorHAnsi" w:eastAsiaTheme="minorHAnsi" w:hAnsiTheme="minorHAnsi" w:cstheme="minorBidi"/>
          <w:noProof w:val="0"/>
          <w:lang w:val="en-GB"/>
        </w:rPr>
        <w:t xml:space="preserve"> M. Using qualitative research. </w:t>
      </w:r>
      <w:r w:rsidRPr="0052573B">
        <w:rPr>
          <w:rFonts w:asciiTheme="minorHAnsi" w:eastAsiaTheme="minorHAnsi" w:hAnsiTheme="minorHAnsi" w:cstheme="minorBidi"/>
          <w:i/>
          <w:iCs/>
          <w:noProof w:val="0"/>
          <w:lang w:val="en-GB"/>
        </w:rPr>
        <w:t>Qualitative Health Research</w:t>
      </w:r>
      <w:r w:rsidRPr="0052573B">
        <w:rPr>
          <w:rFonts w:asciiTheme="minorHAnsi" w:eastAsiaTheme="minorHAnsi" w:hAnsiTheme="minorHAnsi" w:cstheme="minorBidi"/>
          <w:noProof w:val="0"/>
          <w:lang w:val="en-GB"/>
        </w:rPr>
        <w:t xml:space="preserve"> 2004; 14, 1366–1386. doi:10.1177/1049732304269672.</w:t>
      </w:r>
    </w:p>
    <w:p w14:paraId="39918448" w14:textId="09ABEBA2" w:rsidR="004420BB" w:rsidRPr="0052573B" w:rsidRDefault="004420BB" w:rsidP="005E3A98">
      <w:pPr>
        <w:pStyle w:val="EndNoteBibliography"/>
        <w:numPr>
          <w:ilvl w:val="0"/>
          <w:numId w:val="25"/>
        </w:numPr>
        <w:spacing w:after="0" w:line="360" w:lineRule="auto"/>
        <w:rPr>
          <w:rFonts w:asciiTheme="minorHAnsi" w:eastAsiaTheme="minorHAnsi" w:hAnsiTheme="minorHAnsi" w:cstheme="minorBidi"/>
          <w:noProof w:val="0"/>
          <w:lang w:val="en-GB"/>
        </w:rPr>
      </w:pPr>
      <w:r w:rsidRPr="0052573B">
        <w:rPr>
          <w:rFonts w:asciiTheme="minorHAnsi" w:eastAsiaTheme="minorHAnsi" w:hAnsiTheme="minorHAnsi" w:cstheme="minorBidi"/>
          <w:noProof w:val="0"/>
          <w:lang w:val="en-GB"/>
        </w:rPr>
        <w:t xml:space="preserve">Kelly S. (2010) Qualitative interviewing techniques and styles. In: </w:t>
      </w:r>
      <w:proofErr w:type="spellStart"/>
      <w:r w:rsidRPr="0052573B">
        <w:rPr>
          <w:rFonts w:asciiTheme="minorHAnsi" w:eastAsiaTheme="minorHAnsi" w:hAnsiTheme="minorHAnsi" w:cstheme="minorBidi"/>
          <w:noProof w:val="0"/>
          <w:lang w:val="en-GB"/>
        </w:rPr>
        <w:t>Bourgeault</w:t>
      </w:r>
      <w:proofErr w:type="spellEnd"/>
      <w:r w:rsidRPr="0052573B">
        <w:rPr>
          <w:rFonts w:asciiTheme="minorHAnsi" w:eastAsiaTheme="minorHAnsi" w:hAnsiTheme="minorHAnsi" w:cstheme="minorBidi"/>
          <w:noProof w:val="0"/>
          <w:lang w:val="en-GB"/>
        </w:rPr>
        <w:t xml:space="preserve"> I, Dingwall R, de Vries R. (eds) The Sage Handbook of Qualitative Methods in Health Research, Thousand Oaks: Sage Publications.</w:t>
      </w:r>
    </w:p>
    <w:p w14:paraId="2D0CFF9D" w14:textId="451A33FB" w:rsidR="00494209" w:rsidRPr="0052573B" w:rsidRDefault="004420BB" w:rsidP="004420BB">
      <w:pPr>
        <w:pStyle w:val="EndNoteBibliography"/>
        <w:numPr>
          <w:ilvl w:val="0"/>
          <w:numId w:val="25"/>
        </w:numPr>
        <w:spacing w:after="0" w:line="360" w:lineRule="auto"/>
        <w:rPr>
          <w:rFonts w:asciiTheme="minorHAnsi" w:eastAsiaTheme="minorHAnsi" w:hAnsiTheme="minorHAnsi" w:cstheme="minorBidi"/>
          <w:noProof w:val="0"/>
          <w:lang w:val="en-GB"/>
        </w:rPr>
      </w:pPr>
      <w:r w:rsidRPr="0052573B">
        <w:rPr>
          <w:rFonts w:asciiTheme="minorHAnsi" w:eastAsiaTheme="minorHAnsi" w:hAnsiTheme="minorHAnsi" w:cstheme="minorBidi"/>
          <w:noProof w:val="0"/>
          <w:lang w:val="en-GB"/>
        </w:rPr>
        <w:lastRenderedPageBreak/>
        <w:t xml:space="preserve">National Office of Statistics. </w:t>
      </w:r>
      <w:r w:rsidR="00BC60BE" w:rsidRPr="0052573B">
        <w:rPr>
          <w:rFonts w:asciiTheme="minorHAnsi" w:eastAsiaTheme="minorHAnsi" w:hAnsiTheme="minorHAnsi" w:cstheme="minorBidi"/>
          <w:noProof w:val="0"/>
          <w:lang w:val="en-GB"/>
        </w:rPr>
        <w:t>Coronavirus (COVID-19) Infection Survey: England</w:t>
      </w:r>
      <w:r w:rsidR="00494209" w:rsidRPr="0052573B">
        <w:rPr>
          <w:rFonts w:asciiTheme="minorHAnsi" w:eastAsiaTheme="minorHAnsi" w:hAnsiTheme="minorHAnsi" w:cstheme="minorBidi"/>
          <w:noProof w:val="0"/>
          <w:lang w:val="en-GB"/>
        </w:rPr>
        <w:t>:</w:t>
      </w:r>
      <w:r w:rsidRPr="0052573B">
        <w:rPr>
          <w:rFonts w:asciiTheme="minorHAnsi" w:eastAsiaTheme="minorHAnsi" w:hAnsiTheme="minorHAnsi" w:cstheme="minorBidi"/>
          <w:noProof w:val="0"/>
          <w:lang w:val="en-GB"/>
        </w:rPr>
        <w:t xml:space="preserve"> </w:t>
      </w:r>
      <w:hyperlink r:id="rId19" w:history="1">
        <w:r w:rsidRPr="0052573B">
          <w:rPr>
            <w:rStyle w:val="Hyperlink"/>
            <w:rFonts w:asciiTheme="minorHAnsi" w:eastAsiaTheme="minorHAnsi" w:hAnsiTheme="minorHAnsi" w:cstheme="minorBidi"/>
            <w:noProof w:val="0"/>
            <w:lang w:val="en-GB"/>
          </w:rPr>
          <w:t>https://www.ons.gov.uk/peoplepopulationandcommunity/healthandsocialcare/conditionsanddiseases/datasets/coronaviruscovid19infectionsurveydata</w:t>
        </w:r>
      </w:hyperlink>
    </w:p>
    <w:p w14:paraId="3F493CB8" w14:textId="66B6E766" w:rsidR="004420BB" w:rsidRPr="0052573B" w:rsidRDefault="00494209" w:rsidP="004420BB">
      <w:pPr>
        <w:pStyle w:val="EndNoteBibliography"/>
        <w:numPr>
          <w:ilvl w:val="0"/>
          <w:numId w:val="25"/>
        </w:numPr>
        <w:spacing w:after="0" w:line="360" w:lineRule="auto"/>
        <w:rPr>
          <w:rFonts w:asciiTheme="minorHAnsi" w:eastAsiaTheme="minorHAnsi" w:hAnsiTheme="minorHAnsi" w:cstheme="minorBidi"/>
          <w:noProof w:val="0"/>
          <w:lang w:val="en-GB"/>
        </w:rPr>
      </w:pPr>
      <w:r w:rsidRPr="0052573B">
        <w:rPr>
          <w:rFonts w:asciiTheme="minorHAnsi" w:eastAsiaTheme="minorHAnsi" w:hAnsiTheme="minorHAnsi" w:cstheme="minorBidi"/>
          <w:noProof w:val="0"/>
          <w:lang w:val="en-GB"/>
        </w:rPr>
        <w:t>Thomas DR. Feedback from research participants: are member checks useful in qualitative research? Qualitative Research in Psychology 2017; 14 (1): 234-241.</w:t>
      </w:r>
    </w:p>
    <w:p w14:paraId="394A3A6C" w14:textId="29BA967D" w:rsidR="005E3A98" w:rsidRPr="0052573B" w:rsidRDefault="005E3A98" w:rsidP="005E3A98">
      <w:pPr>
        <w:pStyle w:val="EndNoteBibliography"/>
        <w:numPr>
          <w:ilvl w:val="0"/>
          <w:numId w:val="25"/>
        </w:numPr>
        <w:spacing w:after="0" w:line="360" w:lineRule="auto"/>
        <w:rPr>
          <w:rFonts w:asciiTheme="minorHAnsi" w:hAnsiTheme="minorHAnsi" w:cstheme="minorHAnsi"/>
          <w:color w:val="000000" w:themeColor="text1"/>
          <w:u w:val="single"/>
          <w:lang w:val="en-GB"/>
        </w:rPr>
      </w:pPr>
      <w:r w:rsidRPr="0052573B">
        <w:rPr>
          <w:rFonts w:asciiTheme="minorHAnsi" w:hAnsiTheme="minorHAnsi" w:cstheme="minorHAnsi"/>
        </w:rPr>
        <w:t xml:space="preserve">Braun V, Clarke, V. Using thematic analysis in psychology. </w:t>
      </w:r>
      <w:r w:rsidRPr="0052573B">
        <w:rPr>
          <w:rFonts w:asciiTheme="minorHAnsi" w:hAnsiTheme="minorHAnsi" w:cstheme="minorHAnsi"/>
          <w:i/>
          <w:iCs/>
        </w:rPr>
        <w:t>Qualitative Research in Psychology</w:t>
      </w:r>
      <w:r w:rsidRPr="0052573B">
        <w:rPr>
          <w:rFonts w:asciiTheme="minorHAnsi" w:hAnsiTheme="minorHAnsi" w:cstheme="minorHAnsi"/>
        </w:rPr>
        <w:t xml:space="preserve"> 2006; 3: 77–101. doi:10.1191/1478088706qp063oa</w:t>
      </w:r>
    </w:p>
    <w:p w14:paraId="4E735AB6" w14:textId="20DB3713" w:rsidR="005E3A98" w:rsidRPr="0052573B" w:rsidRDefault="005E3A98" w:rsidP="005E3A98">
      <w:pPr>
        <w:pStyle w:val="NormalWeb"/>
        <w:numPr>
          <w:ilvl w:val="0"/>
          <w:numId w:val="25"/>
        </w:numPr>
        <w:spacing w:before="0" w:beforeAutospacing="0" w:after="0" w:afterAutospacing="0" w:line="360" w:lineRule="auto"/>
        <w:rPr>
          <w:rFonts w:asciiTheme="minorHAnsi" w:hAnsiTheme="minorHAnsi" w:cstheme="minorHAnsi"/>
          <w:sz w:val="22"/>
          <w:szCs w:val="22"/>
        </w:rPr>
      </w:pPr>
      <w:r w:rsidRPr="0052573B">
        <w:rPr>
          <w:rFonts w:asciiTheme="minorHAnsi" w:hAnsiTheme="minorHAnsi" w:cstheme="minorHAnsi"/>
          <w:sz w:val="22"/>
          <w:szCs w:val="22"/>
        </w:rPr>
        <w:t xml:space="preserve">Deci EL, Ryan RM. </w:t>
      </w:r>
      <w:r w:rsidRPr="0052573B">
        <w:rPr>
          <w:rFonts w:asciiTheme="minorHAnsi" w:hAnsiTheme="minorHAnsi" w:cstheme="minorHAnsi"/>
          <w:i/>
          <w:iCs/>
          <w:sz w:val="22"/>
          <w:szCs w:val="22"/>
        </w:rPr>
        <w:t xml:space="preserve">Intrinsic motivation and self-determination in human </w:t>
      </w:r>
      <w:proofErr w:type="spellStart"/>
      <w:r w:rsidRPr="0052573B">
        <w:rPr>
          <w:rFonts w:asciiTheme="minorHAnsi" w:hAnsiTheme="minorHAnsi" w:cstheme="minorHAnsi"/>
          <w:i/>
          <w:iCs/>
          <w:sz w:val="22"/>
          <w:szCs w:val="22"/>
        </w:rPr>
        <w:t>behavior</w:t>
      </w:r>
      <w:proofErr w:type="spellEnd"/>
      <w:r w:rsidRPr="0052573B">
        <w:rPr>
          <w:rFonts w:asciiTheme="minorHAnsi" w:hAnsiTheme="minorHAnsi" w:cstheme="minorHAnsi"/>
          <w:sz w:val="22"/>
          <w:szCs w:val="22"/>
        </w:rPr>
        <w:t>. New York, NY: Plenum. 1985.</w:t>
      </w:r>
    </w:p>
    <w:p w14:paraId="57C99A00" w14:textId="417CD159" w:rsidR="005E3A98" w:rsidRPr="0052573B" w:rsidRDefault="005E3A98" w:rsidP="005E3A98">
      <w:pPr>
        <w:pStyle w:val="EndNoteBibliography"/>
        <w:numPr>
          <w:ilvl w:val="0"/>
          <w:numId w:val="25"/>
        </w:numPr>
        <w:spacing w:after="0" w:line="360" w:lineRule="auto"/>
        <w:rPr>
          <w:rFonts w:asciiTheme="minorHAnsi" w:hAnsiTheme="minorHAnsi" w:cstheme="minorHAnsi"/>
        </w:rPr>
      </w:pPr>
      <w:r w:rsidRPr="0052573B">
        <w:t xml:space="preserve">Tong A, Sainsbury P, Craig J. Consolidated criteria for reporting qualitative research (COREQ); a 32 item checklist for interviews and focus groups. </w:t>
      </w:r>
      <w:r w:rsidRPr="0052573B">
        <w:rPr>
          <w:i/>
          <w:iCs/>
        </w:rPr>
        <w:t>International Journal for Quality in Health Care</w:t>
      </w:r>
      <w:r w:rsidRPr="0052573B">
        <w:t xml:space="preserve"> 2007; 19 (6): 349-357.</w:t>
      </w:r>
    </w:p>
    <w:p w14:paraId="0109C8C8" w14:textId="6E4ACDC1" w:rsidR="005E3A98" w:rsidRPr="0052573B" w:rsidRDefault="005E3A98" w:rsidP="005E3A98">
      <w:pPr>
        <w:pStyle w:val="EndNoteBibliography"/>
        <w:numPr>
          <w:ilvl w:val="0"/>
          <w:numId w:val="25"/>
        </w:numPr>
        <w:spacing w:after="0" w:line="360" w:lineRule="auto"/>
        <w:rPr>
          <w:rFonts w:asciiTheme="minorHAnsi" w:hAnsiTheme="minorHAnsi" w:cstheme="minorHAnsi"/>
          <w:color w:val="000000" w:themeColor="text1"/>
          <w:u w:val="single"/>
          <w:lang w:val="en-GB"/>
        </w:rPr>
      </w:pPr>
      <w:r w:rsidRPr="0052573B">
        <w:rPr>
          <w:rFonts w:asciiTheme="minorHAnsi" w:hAnsiTheme="minorHAnsi" w:cstheme="minorHAnsi"/>
          <w:color w:val="000000" w:themeColor="text1"/>
          <w:lang w:val="de-DE"/>
        </w:rPr>
        <w:t xml:space="preserve">Jajje AE, DiLillo D, Hoffman L et al. </w:t>
      </w:r>
      <w:r w:rsidRPr="0052573B">
        <w:rPr>
          <w:rFonts w:asciiTheme="minorHAnsi" w:hAnsiTheme="minorHAnsi" w:cstheme="minorHAnsi"/>
          <w:color w:val="000000" w:themeColor="text1"/>
        </w:rPr>
        <w:t xml:space="preserve">A meta-analysis of participant reactions to trauma research; does it hurt to ask? </w:t>
      </w:r>
      <w:r w:rsidRPr="0052573B">
        <w:rPr>
          <w:rFonts w:asciiTheme="minorHAnsi" w:hAnsiTheme="minorHAnsi" w:cstheme="minorHAnsi"/>
          <w:i/>
          <w:iCs/>
          <w:color w:val="000000" w:themeColor="text1"/>
        </w:rPr>
        <w:t>Clin Psychol Rev</w:t>
      </w:r>
      <w:r w:rsidRPr="0052573B">
        <w:rPr>
          <w:rFonts w:asciiTheme="minorHAnsi" w:hAnsiTheme="minorHAnsi" w:cstheme="minorHAnsi"/>
          <w:color w:val="000000" w:themeColor="text1"/>
        </w:rPr>
        <w:t xml:space="preserve"> 2015; 40:40-56. doi: 10.1016/j.cpr.2015.05.004.</w:t>
      </w:r>
    </w:p>
    <w:p w14:paraId="1064EE8C" w14:textId="2E8B3A3A" w:rsidR="005E3A98" w:rsidRPr="0052573B" w:rsidRDefault="005E3A98" w:rsidP="005E3A98">
      <w:pPr>
        <w:pStyle w:val="ListParagraph"/>
        <w:numPr>
          <w:ilvl w:val="0"/>
          <w:numId w:val="25"/>
        </w:numPr>
        <w:spacing w:after="0" w:line="360" w:lineRule="auto"/>
        <w:rPr>
          <w:rFonts w:cstheme="minorHAnsi"/>
        </w:rPr>
      </w:pPr>
      <w:r w:rsidRPr="0052573B">
        <w:rPr>
          <w:rFonts w:cstheme="minorHAnsi"/>
          <w:shd w:val="clear" w:color="auto" w:fill="FFFFFF"/>
        </w:rPr>
        <w:t>Dodgson JE. Reflexivity in Qualitative Research.</w:t>
      </w:r>
      <w:r w:rsidRPr="0052573B">
        <w:rPr>
          <w:rStyle w:val="apple-converted-space"/>
          <w:rFonts w:cstheme="minorHAnsi"/>
          <w:shd w:val="clear" w:color="auto" w:fill="FFFFFF"/>
        </w:rPr>
        <w:t> </w:t>
      </w:r>
      <w:r w:rsidRPr="0052573B">
        <w:rPr>
          <w:rFonts w:cstheme="minorHAnsi"/>
          <w:i/>
          <w:iCs/>
        </w:rPr>
        <w:t>Journal of Human Lactation</w:t>
      </w:r>
      <w:r w:rsidRPr="0052573B">
        <w:rPr>
          <w:rFonts w:cstheme="minorHAnsi"/>
          <w:shd w:val="clear" w:color="auto" w:fill="FFFFFF"/>
        </w:rPr>
        <w:t xml:space="preserve"> 2015; </w:t>
      </w:r>
      <w:r w:rsidRPr="0052573B">
        <w:rPr>
          <w:rFonts w:cstheme="minorHAnsi"/>
          <w:iCs/>
        </w:rPr>
        <w:t>35</w:t>
      </w:r>
      <w:r w:rsidRPr="0052573B">
        <w:rPr>
          <w:rFonts w:cstheme="minorHAnsi"/>
          <w:shd w:val="clear" w:color="auto" w:fill="FFFFFF"/>
        </w:rPr>
        <w:t>(2), 220–222.</w:t>
      </w:r>
      <w:r w:rsidRPr="0052573B">
        <w:rPr>
          <w:rStyle w:val="apple-converted-space"/>
          <w:rFonts w:cstheme="minorHAnsi"/>
          <w:shd w:val="clear" w:color="auto" w:fill="FFFFFF"/>
        </w:rPr>
        <w:t> </w:t>
      </w:r>
      <w:hyperlink r:id="rId20" w:history="1">
        <w:r w:rsidRPr="0052573B">
          <w:rPr>
            <w:rStyle w:val="Hyperlink"/>
            <w:rFonts w:cstheme="minorHAnsi"/>
            <w:color w:val="006ACC"/>
          </w:rPr>
          <w:t>https://doi.org/10.1177/0890334419830990</w:t>
        </w:r>
      </w:hyperlink>
    </w:p>
    <w:p w14:paraId="7984AD49" w14:textId="77777777" w:rsidR="005E3A98" w:rsidRPr="0052573B" w:rsidRDefault="005E3A98" w:rsidP="005E3A98">
      <w:pPr>
        <w:pStyle w:val="EndNoteBibliography"/>
        <w:numPr>
          <w:ilvl w:val="0"/>
          <w:numId w:val="25"/>
        </w:numPr>
        <w:spacing w:after="0" w:line="360" w:lineRule="auto"/>
        <w:rPr>
          <w:rStyle w:val="Hyperlink"/>
          <w:rFonts w:asciiTheme="minorHAnsi" w:hAnsiTheme="minorHAnsi" w:cstheme="minorHAnsi"/>
          <w:color w:val="auto"/>
          <w:u w:val="none"/>
        </w:rPr>
      </w:pPr>
      <w:r w:rsidRPr="0052573B">
        <w:rPr>
          <w:rFonts w:asciiTheme="minorHAnsi" w:hAnsiTheme="minorHAnsi" w:cstheme="minorHAnsi"/>
        </w:rPr>
        <w:t xml:space="preserve">Noble H, Smith J. Issues of validity and reliability in qualitative research. </w:t>
      </w:r>
      <w:r w:rsidRPr="0052573B">
        <w:rPr>
          <w:rFonts w:asciiTheme="minorHAnsi" w:hAnsiTheme="minorHAnsi" w:cstheme="minorHAnsi"/>
          <w:i/>
          <w:iCs/>
        </w:rPr>
        <w:t>Evidence-Based Nursing</w:t>
      </w:r>
      <w:r w:rsidRPr="0052573B">
        <w:rPr>
          <w:rFonts w:asciiTheme="minorHAnsi" w:hAnsiTheme="minorHAnsi" w:cstheme="minorHAnsi"/>
        </w:rPr>
        <w:t xml:space="preserve"> 2015; 18 (2): </w:t>
      </w:r>
      <w:hyperlink r:id="rId21" w:history="1">
        <w:r w:rsidRPr="0052573B">
          <w:rPr>
            <w:rStyle w:val="Hyperlink"/>
            <w:rFonts w:asciiTheme="minorHAnsi" w:hAnsiTheme="minorHAnsi" w:cstheme="minorHAnsi"/>
          </w:rPr>
          <w:t>http://dx.doi.org/10.1136/eb-2015-102054</w:t>
        </w:r>
      </w:hyperlink>
    </w:p>
    <w:p w14:paraId="4A260415" w14:textId="4E4649A9" w:rsidR="005E3A98" w:rsidRPr="0052573B" w:rsidRDefault="005E3A98" w:rsidP="005E3A98">
      <w:pPr>
        <w:pStyle w:val="EndNoteBibliography"/>
        <w:numPr>
          <w:ilvl w:val="0"/>
          <w:numId w:val="25"/>
        </w:numPr>
        <w:spacing w:after="0" w:line="360" w:lineRule="auto"/>
        <w:rPr>
          <w:rStyle w:val="Hyperlink"/>
          <w:rFonts w:asciiTheme="minorHAnsi" w:hAnsiTheme="minorHAnsi" w:cstheme="minorHAnsi"/>
          <w:color w:val="auto"/>
          <w:u w:val="none"/>
        </w:rPr>
      </w:pPr>
      <w:r w:rsidRPr="0052573B">
        <w:t xml:space="preserve">Hosey MM. Needham DM. Survivorship after COVID-19 ICU stay. </w:t>
      </w:r>
      <w:r w:rsidRPr="0052573B">
        <w:rPr>
          <w:i/>
          <w:iCs/>
        </w:rPr>
        <w:t>Nat Rev Dis Primers</w:t>
      </w:r>
      <w:r w:rsidRPr="0052573B">
        <w:t xml:space="preserve"> 2020; 6, 60. </w:t>
      </w:r>
      <w:hyperlink r:id="rId22" w:history="1">
        <w:r w:rsidRPr="0052573B">
          <w:rPr>
            <w:rStyle w:val="Hyperlink"/>
          </w:rPr>
          <w:t>https://doi.org/10.1038/s41572-020-0201-1</w:t>
        </w:r>
      </w:hyperlink>
    </w:p>
    <w:p w14:paraId="13BB1E19" w14:textId="5D2E9205" w:rsidR="005E3A98" w:rsidRPr="0052573B" w:rsidRDefault="005E3A98" w:rsidP="005E3A98">
      <w:pPr>
        <w:pStyle w:val="ListParagraph"/>
        <w:numPr>
          <w:ilvl w:val="0"/>
          <w:numId w:val="25"/>
        </w:numPr>
        <w:spacing w:after="0" w:line="360" w:lineRule="auto"/>
      </w:pPr>
      <w:r w:rsidRPr="0052573B">
        <w:t>Bench S, Czuber-Dochan W, Shah A, et al. Exploring adult critical illness survivors' experiences of fatigue: A qualitative study</w:t>
      </w:r>
      <w:r w:rsidRPr="0052573B">
        <w:rPr>
          <w:i/>
          <w:iCs/>
        </w:rPr>
        <w:t xml:space="preserve">. J Adv </w:t>
      </w:r>
      <w:proofErr w:type="spellStart"/>
      <w:r w:rsidRPr="0052573B">
        <w:rPr>
          <w:i/>
          <w:iCs/>
        </w:rPr>
        <w:t>Nurs</w:t>
      </w:r>
      <w:proofErr w:type="spellEnd"/>
      <w:r w:rsidRPr="0052573B">
        <w:t xml:space="preserve">. 2021;77(12):4836-4846. </w:t>
      </w:r>
      <w:proofErr w:type="spellStart"/>
      <w:r w:rsidRPr="0052573B">
        <w:t>doi</w:t>
      </w:r>
      <w:proofErr w:type="spellEnd"/>
      <w:r w:rsidRPr="0052573B">
        <w:t xml:space="preserve">: 10.1111/jan.14995. </w:t>
      </w:r>
      <w:hyperlink r:id="rId23" w:history="1">
        <w:r w:rsidRPr="0052573B">
          <w:rPr>
            <w:rStyle w:val="Hyperlink"/>
          </w:rPr>
          <w:t>https://doi.org/10.1111/jan.14995</w:t>
        </w:r>
      </w:hyperlink>
    </w:p>
    <w:p w14:paraId="68883FEF" w14:textId="77777777" w:rsidR="005E3A98" w:rsidRPr="0052573B" w:rsidRDefault="005E3A98" w:rsidP="005E3A98">
      <w:pPr>
        <w:pStyle w:val="ListParagraph"/>
        <w:numPr>
          <w:ilvl w:val="0"/>
          <w:numId w:val="25"/>
        </w:numPr>
        <w:spacing w:after="0" w:line="360" w:lineRule="auto"/>
      </w:pPr>
      <w:r w:rsidRPr="0052573B">
        <w:t xml:space="preserve">Rose L, Yu L, Casey J et al. (2021) Communication and Virtual Visiting for Families of Patients in Intensive Care during the COVID-19 Pandemic: A UK National Survey. </w:t>
      </w:r>
      <w:r w:rsidRPr="0052573B">
        <w:rPr>
          <w:i/>
          <w:iCs/>
        </w:rPr>
        <w:t xml:space="preserve">Ann Am </w:t>
      </w:r>
      <w:proofErr w:type="spellStart"/>
      <w:r w:rsidRPr="0052573B">
        <w:rPr>
          <w:i/>
          <w:iCs/>
        </w:rPr>
        <w:t>Thorac</w:t>
      </w:r>
      <w:proofErr w:type="spellEnd"/>
      <w:r w:rsidRPr="0052573B">
        <w:rPr>
          <w:i/>
          <w:iCs/>
        </w:rPr>
        <w:t xml:space="preserve"> Soc</w:t>
      </w:r>
      <w:r w:rsidRPr="0052573B">
        <w:t xml:space="preserve"> 18(10):1685-1692. </w:t>
      </w:r>
      <w:proofErr w:type="spellStart"/>
      <w:r w:rsidRPr="0052573B">
        <w:t>doi</w:t>
      </w:r>
      <w:proofErr w:type="spellEnd"/>
      <w:r w:rsidRPr="0052573B">
        <w:t>: 10.1513/AnnalsATS.202012-1500OC.</w:t>
      </w:r>
    </w:p>
    <w:p w14:paraId="7CF21E35" w14:textId="1CD4E9EA" w:rsidR="005E3A98" w:rsidRPr="0052573B" w:rsidRDefault="005E3A98" w:rsidP="005E3A98">
      <w:pPr>
        <w:pStyle w:val="ListParagraph"/>
        <w:numPr>
          <w:ilvl w:val="0"/>
          <w:numId w:val="25"/>
        </w:numPr>
        <w:spacing w:after="0" w:line="360" w:lineRule="auto"/>
      </w:pPr>
      <w:r w:rsidRPr="0052573B">
        <w:t xml:space="preserve">Gilbert AW, </w:t>
      </w:r>
      <w:proofErr w:type="spellStart"/>
      <w:r w:rsidRPr="0052573B">
        <w:t>Billany</w:t>
      </w:r>
      <w:proofErr w:type="spellEnd"/>
      <w:r w:rsidRPr="0052573B">
        <w:t xml:space="preserve"> JCT, Adam R et al. Rapid implementation of virtual clinics due to COVID-19: report and early evaluation of a quality improvement initiative. </w:t>
      </w:r>
      <w:r w:rsidRPr="0052573B">
        <w:rPr>
          <w:i/>
          <w:iCs/>
        </w:rPr>
        <w:t>BMJ Open Quality 2020;</w:t>
      </w:r>
      <w:r w:rsidRPr="0052573B">
        <w:t xml:space="preserve"> </w:t>
      </w:r>
      <w:proofErr w:type="gramStart"/>
      <w:r w:rsidRPr="0052573B">
        <w:t>9:e</w:t>
      </w:r>
      <w:proofErr w:type="gramEnd"/>
      <w:r w:rsidRPr="0052573B">
        <w:t>000985. doi:10.1136/bmjoq-2020-000985.</w:t>
      </w:r>
    </w:p>
    <w:p w14:paraId="46B7582B" w14:textId="739B53D7" w:rsidR="005E3A98" w:rsidRPr="0052573B" w:rsidRDefault="005E3A98" w:rsidP="005E3A98">
      <w:pPr>
        <w:pStyle w:val="ListParagraph"/>
        <w:numPr>
          <w:ilvl w:val="0"/>
          <w:numId w:val="25"/>
        </w:numPr>
        <w:spacing w:after="0" w:line="360" w:lineRule="auto"/>
        <w:rPr>
          <w:rStyle w:val="Hyperlink"/>
          <w:color w:val="auto"/>
          <w:u w:val="none"/>
        </w:rPr>
      </w:pPr>
      <w:r w:rsidRPr="0052573B">
        <w:t xml:space="preserve">Bench S, Cornish J, Xyrichis A. Intensive care discharge summaries for general practice staff: a focus group study. </w:t>
      </w:r>
      <w:r w:rsidRPr="0052573B">
        <w:rPr>
          <w:i/>
          <w:iCs/>
        </w:rPr>
        <w:t>British Journal of General Practice</w:t>
      </w:r>
      <w:r w:rsidRPr="0052573B">
        <w:t xml:space="preserve"> 2016; 66 (653): e904-e912. </w:t>
      </w:r>
      <w:hyperlink r:id="rId24" w:history="1">
        <w:r w:rsidRPr="0052573B">
          <w:rPr>
            <w:rStyle w:val="Hyperlink"/>
          </w:rPr>
          <w:t>https://doi.org/10.3399/bjgp16X688045</w:t>
        </w:r>
      </w:hyperlink>
    </w:p>
    <w:p w14:paraId="4A0A35A5" w14:textId="1928B2D4" w:rsidR="00BC60BE" w:rsidRPr="0052573B" w:rsidRDefault="009D3B09" w:rsidP="00BC60BE">
      <w:pPr>
        <w:pStyle w:val="ListParagraph"/>
        <w:numPr>
          <w:ilvl w:val="0"/>
          <w:numId w:val="25"/>
        </w:numPr>
        <w:spacing w:after="0" w:line="360" w:lineRule="auto"/>
      </w:pPr>
      <w:proofErr w:type="spellStart"/>
      <w:r w:rsidRPr="0052573B">
        <w:lastRenderedPageBreak/>
        <w:t>Althubaiti</w:t>
      </w:r>
      <w:proofErr w:type="spellEnd"/>
      <w:r w:rsidRPr="0052573B">
        <w:t xml:space="preserve"> A</w:t>
      </w:r>
      <w:r w:rsidR="00BC60BE" w:rsidRPr="0052573B">
        <w:t xml:space="preserve">. </w:t>
      </w:r>
      <w:r w:rsidRPr="0052573B">
        <w:t xml:space="preserve">Information bias in health research: definition, pitfalls, and adjustment methods. </w:t>
      </w:r>
      <w:r w:rsidRPr="0052573B">
        <w:rPr>
          <w:i/>
          <w:iCs/>
        </w:rPr>
        <w:t>Journal of Multidisciplinary Healthcare</w:t>
      </w:r>
      <w:r w:rsidRPr="0052573B">
        <w:t xml:space="preserve">. 2016, 9:211-217 </w:t>
      </w:r>
      <w:hyperlink r:id="rId25" w:history="1">
        <w:r w:rsidR="00BC60BE" w:rsidRPr="0052573B">
          <w:rPr>
            <w:rStyle w:val="Hyperlink"/>
          </w:rPr>
          <w:t>https://www.ncbi.nlm.nih.gov/pmc/articles/PMC4862344/</w:t>
        </w:r>
      </w:hyperlink>
    </w:p>
    <w:p w14:paraId="28EC41F0" w14:textId="50B8AD8E" w:rsidR="009D3B09" w:rsidRPr="0052573B" w:rsidRDefault="009D3B09" w:rsidP="009D3B09">
      <w:pPr>
        <w:pStyle w:val="ListParagraph"/>
        <w:numPr>
          <w:ilvl w:val="0"/>
          <w:numId w:val="25"/>
        </w:numPr>
        <w:spacing w:after="0" w:line="360" w:lineRule="auto"/>
      </w:pPr>
      <w:r w:rsidRPr="0052573B">
        <w:t>Hassan E</w:t>
      </w:r>
      <w:r w:rsidR="00BC60BE" w:rsidRPr="0052573B">
        <w:t xml:space="preserve">. </w:t>
      </w:r>
      <w:r w:rsidRPr="0052573B">
        <w:t>Recall bias can be a threat to retrospective and prospective research designs</w:t>
      </w:r>
      <w:r w:rsidR="00BC60BE" w:rsidRPr="0052573B">
        <w:t xml:space="preserve">. </w:t>
      </w:r>
      <w:r w:rsidRPr="0052573B">
        <w:rPr>
          <w:i/>
          <w:iCs/>
        </w:rPr>
        <w:t xml:space="preserve">The </w:t>
      </w:r>
      <w:r w:rsidR="00BC60BE" w:rsidRPr="0052573B">
        <w:rPr>
          <w:i/>
          <w:iCs/>
        </w:rPr>
        <w:t>I</w:t>
      </w:r>
      <w:r w:rsidRPr="0052573B">
        <w:rPr>
          <w:i/>
          <w:iCs/>
        </w:rPr>
        <w:t xml:space="preserve">nternet </w:t>
      </w:r>
      <w:r w:rsidR="00BC60BE" w:rsidRPr="0052573B">
        <w:rPr>
          <w:i/>
          <w:iCs/>
        </w:rPr>
        <w:t>J</w:t>
      </w:r>
      <w:r w:rsidRPr="0052573B">
        <w:rPr>
          <w:i/>
          <w:iCs/>
        </w:rPr>
        <w:t>ournal of Epidemiology</w:t>
      </w:r>
      <w:r w:rsidR="00BC60BE" w:rsidRPr="0052573B">
        <w:rPr>
          <w:i/>
          <w:iCs/>
        </w:rPr>
        <w:t xml:space="preserve"> </w:t>
      </w:r>
      <w:r w:rsidR="00BC60BE" w:rsidRPr="0052573B">
        <w:t>2005,</w:t>
      </w:r>
      <w:r w:rsidRPr="0052573B">
        <w:t xml:space="preserve"> 3:2 https://ispub.com/IJE/3/2/13060</w:t>
      </w:r>
    </w:p>
    <w:p w14:paraId="6E3147C5" w14:textId="690EE291" w:rsidR="009D3B09" w:rsidRPr="0052573B" w:rsidRDefault="005E3A98" w:rsidP="009D3B09">
      <w:pPr>
        <w:pStyle w:val="ListParagraph"/>
        <w:numPr>
          <w:ilvl w:val="0"/>
          <w:numId w:val="25"/>
        </w:numPr>
        <w:spacing w:after="0" w:line="360" w:lineRule="auto"/>
      </w:pPr>
      <w:r w:rsidRPr="0052573B">
        <w:t xml:space="preserve">Bench S, Day T, Heelas K, et al. Evaluating the feasibility and effectiveness of a critical care discharge information pack for patients and their families: a pilot cluster randomised controlled trial. </w:t>
      </w:r>
      <w:r w:rsidRPr="0052573B">
        <w:rPr>
          <w:i/>
          <w:iCs/>
        </w:rPr>
        <w:t xml:space="preserve">BMJ Open </w:t>
      </w:r>
      <w:proofErr w:type="gramStart"/>
      <w:r w:rsidRPr="0052573B">
        <w:rPr>
          <w:i/>
          <w:iCs/>
        </w:rPr>
        <w:t xml:space="preserve">2015;  </w:t>
      </w:r>
      <w:r w:rsidRPr="0052573B">
        <w:t>5</w:t>
      </w:r>
      <w:proofErr w:type="gramEnd"/>
      <w:r w:rsidRPr="0052573B">
        <w:t xml:space="preserve">:e006852. </w:t>
      </w:r>
      <w:proofErr w:type="spellStart"/>
      <w:r w:rsidRPr="0052573B">
        <w:t>doi</w:t>
      </w:r>
      <w:proofErr w:type="spellEnd"/>
      <w:r w:rsidRPr="0052573B">
        <w:t>: 10.1136/bmjopen-2014-006852</w:t>
      </w:r>
    </w:p>
    <w:p w14:paraId="4B59A56F" w14:textId="32337A16" w:rsidR="00FE7C6F" w:rsidRPr="0052573B" w:rsidRDefault="00FE7C6F" w:rsidP="004943D4">
      <w:pPr>
        <w:pStyle w:val="EndNoteBibliography"/>
        <w:spacing w:after="0" w:line="360" w:lineRule="auto"/>
        <w:rPr>
          <w:rFonts w:asciiTheme="minorHAnsi" w:hAnsiTheme="minorHAnsi" w:cstheme="minorHAnsi"/>
        </w:rPr>
      </w:pPr>
    </w:p>
    <w:p w14:paraId="5EA3AD3A" w14:textId="77777777" w:rsidR="00FE7C6F" w:rsidRPr="0052573B" w:rsidRDefault="00FE7C6F" w:rsidP="00FE7C6F">
      <w:pPr>
        <w:pStyle w:val="EndNoteBibliography"/>
        <w:spacing w:after="0" w:line="360" w:lineRule="auto"/>
        <w:rPr>
          <w:rFonts w:asciiTheme="minorHAnsi" w:hAnsiTheme="minorHAnsi" w:cstheme="minorHAnsi"/>
          <w:b/>
          <w:bCs/>
        </w:rPr>
      </w:pPr>
      <w:r w:rsidRPr="0052573B">
        <w:rPr>
          <w:rFonts w:asciiTheme="minorHAnsi" w:hAnsiTheme="minorHAnsi" w:cstheme="minorHAnsi"/>
          <w:b/>
          <w:bCs/>
        </w:rPr>
        <w:t xml:space="preserve">Impacts </w:t>
      </w:r>
    </w:p>
    <w:tbl>
      <w:tblPr>
        <w:tblStyle w:val="TableGrid"/>
        <w:tblW w:w="0" w:type="auto"/>
        <w:tblLook w:val="04A0" w:firstRow="1" w:lastRow="0" w:firstColumn="1" w:lastColumn="0" w:noHBand="0" w:noVBand="1"/>
      </w:tblPr>
      <w:tblGrid>
        <w:gridCol w:w="9016"/>
      </w:tblGrid>
      <w:tr w:rsidR="00FE7C6F" w:rsidRPr="0052573B" w14:paraId="426506D1" w14:textId="77777777" w:rsidTr="00ED0B0C">
        <w:tc>
          <w:tcPr>
            <w:tcW w:w="9016" w:type="dxa"/>
          </w:tcPr>
          <w:p w14:paraId="483968A1" w14:textId="77777777" w:rsidR="00FE7C6F" w:rsidRPr="0052573B" w:rsidRDefault="00FE7C6F" w:rsidP="00ED0B0C">
            <w:pPr>
              <w:pStyle w:val="EndNoteBibliography"/>
              <w:spacing w:line="360" w:lineRule="auto"/>
              <w:rPr>
                <w:b/>
              </w:rPr>
            </w:pPr>
            <w:r w:rsidRPr="0052573B">
              <w:rPr>
                <w:b/>
              </w:rPr>
              <w:t>What is known about the topic</w:t>
            </w:r>
          </w:p>
          <w:p w14:paraId="5D6FCB2B" w14:textId="77777777" w:rsidR="00FE7C6F" w:rsidRPr="0052573B" w:rsidRDefault="00FE7C6F" w:rsidP="00ED0B0C">
            <w:pPr>
              <w:pStyle w:val="EndNoteBibliography"/>
              <w:numPr>
                <w:ilvl w:val="0"/>
                <w:numId w:val="20"/>
              </w:numPr>
              <w:ind w:left="714" w:hanging="357"/>
            </w:pPr>
            <w:bookmarkStart w:id="11" w:name="_Hlk96697175"/>
            <w:r w:rsidRPr="0052573B">
              <w:t xml:space="preserve">Critical illness is a traumatic experience leaving people with long lasting physical, psychological, social and emotional problems, which negatively affect their quality of life </w:t>
            </w:r>
          </w:p>
          <w:p w14:paraId="24D212EE" w14:textId="77777777" w:rsidR="00FE7C6F" w:rsidRPr="0052573B" w:rsidRDefault="00FE7C6F" w:rsidP="00ED0B0C">
            <w:pPr>
              <w:rPr>
                <w:b/>
              </w:rPr>
            </w:pPr>
            <w:r w:rsidRPr="0052573B">
              <w:rPr>
                <w:b/>
              </w:rPr>
              <w:t>What this paper adds</w:t>
            </w:r>
          </w:p>
          <w:p w14:paraId="2A2CF3ED" w14:textId="77777777" w:rsidR="00FE7C6F" w:rsidRPr="0052573B" w:rsidRDefault="00FE7C6F" w:rsidP="00ED0B0C">
            <w:pPr>
              <w:pStyle w:val="ListParagraph"/>
              <w:numPr>
                <w:ilvl w:val="0"/>
                <w:numId w:val="20"/>
              </w:numPr>
              <w:ind w:left="714" w:hanging="357"/>
              <w:rPr>
                <w:bCs/>
              </w:rPr>
            </w:pPr>
            <w:r w:rsidRPr="0052573B">
              <w:rPr>
                <w:bCs/>
              </w:rPr>
              <w:t>Stresses the importance of human connections and describes how societal restrictions, fear and uncertainty caused by the pandemic add to the challenge of recovery after critical illness</w:t>
            </w:r>
          </w:p>
          <w:p w14:paraId="19969F2B" w14:textId="77777777" w:rsidR="00FE7C6F" w:rsidRPr="0052573B" w:rsidRDefault="00FE7C6F" w:rsidP="00ED0B0C">
            <w:pPr>
              <w:pStyle w:val="ListParagraph"/>
              <w:numPr>
                <w:ilvl w:val="0"/>
                <w:numId w:val="20"/>
              </w:numPr>
              <w:rPr>
                <w:bCs/>
              </w:rPr>
            </w:pPr>
            <w:r w:rsidRPr="0052573B">
              <w:rPr>
                <w:bCs/>
              </w:rPr>
              <w:t>Highlights the need to provide survivors with a specialist, co-ordinated and personalised recovery pathway, which reflects humanised care to optimise chances of effective recovery</w:t>
            </w:r>
            <w:bookmarkEnd w:id="11"/>
          </w:p>
        </w:tc>
      </w:tr>
    </w:tbl>
    <w:p w14:paraId="38C363BB" w14:textId="77777777" w:rsidR="00FE7C6F" w:rsidRPr="0052573B" w:rsidRDefault="00FE7C6F" w:rsidP="00FE7C6F">
      <w:pPr>
        <w:pStyle w:val="EndNoteBibliography"/>
        <w:spacing w:after="0" w:line="360" w:lineRule="auto"/>
        <w:rPr>
          <w:rFonts w:asciiTheme="minorHAnsi" w:hAnsiTheme="minorHAnsi" w:cstheme="minorHAnsi"/>
          <w:b/>
          <w:bCs/>
        </w:rPr>
      </w:pPr>
    </w:p>
    <w:p w14:paraId="11D29FF3" w14:textId="4D326E65" w:rsidR="00310A6D" w:rsidRPr="0052573B" w:rsidRDefault="00310A6D" w:rsidP="00310A6D">
      <w:pPr>
        <w:rPr>
          <w:b/>
        </w:rPr>
      </w:pPr>
      <w:r w:rsidRPr="0052573B">
        <w:rPr>
          <w:b/>
        </w:rPr>
        <w:t xml:space="preserve">Tables </w:t>
      </w:r>
      <w:r w:rsidR="00FE7C6F" w:rsidRPr="0052573B">
        <w:rPr>
          <w:b/>
        </w:rPr>
        <w:t xml:space="preserve">and Boxes </w:t>
      </w:r>
    </w:p>
    <w:p w14:paraId="0C8E708D" w14:textId="77777777" w:rsidR="00FE7C6F" w:rsidRPr="0052573B" w:rsidRDefault="00FE7C6F" w:rsidP="00FE7C6F">
      <w:r w:rsidRPr="0052573B">
        <w:t xml:space="preserve">Box 1: Inclusion and exclusion criteria </w:t>
      </w:r>
    </w:p>
    <w:tbl>
      <w:tblPr>
        <w:tblStyle w:val="TableGrid"/>
        <w:tblW w:w="0" w:type="auto"/>
        <w:tblLook w:val="04A0" w:firstRow="1" w:lastRow="0" w:firstColumn="1" w:lastColumn="0" w:noHBand="0" w:noVBand="1"/>
      </w:tblPr>
      <w:tblGrid>
        <w:gridCol w:w="9016"/>
      </w:tblGrid>
      <w:tr w:rsidR="00FE7C6F" w:rsidRPr="0052573B" w14:paraId="12D5ED8F" w14:textId="77777777" w:rsidTr="00ED0B0C">
        <w:trPr>
          <w:trHeight w:val="3228"/>
        </w:trPr>
        <w:tc>
          <w:tcPr>
            <w:tcW w:w="9016" w:type="dxa"/>
          </w:tcPr>
          <w:p w14:paraId="4F808958" w14:textId="77777777" w:rsidR="00FE7C6F" w:rsidRPr="0052573B" w:rsidRDefault="00FE7C6F" w:rsidP="00ED0B0C">
            <w:r w:rsidRPr="0052573B">
              <w:t>Inclusion criteria</w:t>
            </w:r>
          </w:p>
          <w:p w14:paraId="1121D0AF" w14:textId="77777777" w:rsidR="00FE7C6F" w:rsidRPr="0052573B" w:rsidRDefault="00FE7C6F" w:rsidP="00ED0B0C">
            <w:pPr>
              <w:pStyle w:val="ListParagraph"/>
              <w:numPr>
                <w:ilvl w:val="0"/>
                <w:numId w:val="17"/>
              </w:numPr>
            </w:pPr>
            <w:r w:rsidRPr="0052573B">
              <w:t>Adult (&gt;18 years) who received invasive/non-invasive ventilation in any acute hospital-based location following a confirmed diagnosis of COVID-19</w:t>
            </w:r>
          </w:p>
          <w:p w14:paraId="594F89A3" w14:textId="12BB4BE5" w:rsidR="00FE7C6F" w:rsidRPr="0052573B" w:rsidRDefault="00FE7C6F" w:rsidP="00ED0B0C">
            <w:pPr>
              <w:pStyle w:val="ListParagraph"/>
              <w:numPr>
                <w:ilvl w:val="0"/>
                <w:numId w:val="17"/>
              </w:numPr>
            </w:pPr>
            <w:r w:rsidRPr="0052573B">
              <w:t xml:space="preserve">Resident in a bed-based rehabilitation unit or ward at one of the data collection sites OR in own home, but currently or previously under the care of the community rehabilitation team </w:t>
            </w:r>
          </w:p>
          <w:p w14:paraId="5B6017AB" w14:textId="77777777" w:rsidR="00FE7C6F" w:rsidRPr="0052573B" w:rsidRDefault="00FE7C6F" w:rsidP="00ED0B0C">
            <w:pPr>
              <w:pStyle w:val="ListParagraph"/>
              <w:numPr>
                <w:ilvl w:val="0"/>
                <w:numId w:val="17"/>
              </w:numPr>
            </w:pPr>
            <w:r w:rsidRPr="0052573B">
              <w:t xml:space="preserve">Access to a telephone or online platform (laptop/computer) </w:t>
            </w:r>
          </w:p>
          <w:p w14:paraId="1078D2B7" w14:textId="77777777" w:rsidR="00FE7C6F" w:rsidRPr="0052573B" w:rsidRDefault="00FE7C6F" w:rsidP="00ED0B0C">
            <w:pPr>
              <w:pStyle w:val="ListParagraph"/>
              <w:numPr>
                <w:ilvl w:val="0"/>
                <w:numId w:val="17"/>
              </w:numPr>
            </w:pPr>
            <w:r w:rsidRPr="0052573B">
              <w:t>Discharged from an acute hospital setting for at least a month</w:t>
            </w:r>
          </w:p>
          <w:p w14:paraId="063876EC" w14:textId="77777777" w:rsidR="00FE7C6F" w:rsidRPr="0052573B" w:rsidRDefault="00FE7C6F" w:rsidP="00ED0B0C">
            <w:pPr>
              <w:pStyle w:val="ListParagraph"/>
              <w:numPr>
                <w:ilvl w:val="0"/>
                <w:numId w:val="17"/>
              </w:numPr>
            </w:pPr>
            <w:r w:rsidRPr="0052573B">
              <w:t>Able to give informed consent to participate.</w:t>
            </w:r>
          </w:p>
          <w:p w14:paraId="3F36F74E" w14:textId="77777777" w:rsidR="00FE7C6F" w:rsidRPr="0052573B" w:rsidRDefault="00FE7C6F" w:rsidP="00ED0B0C">
            <w:r w:rsidRPr="0052573B">
              <w:t>Exclusion criteria</w:t>
            </w:r>
          </w:p>
          <w:p w14:paraId="3ABA2E53" w14:textId="77777777" w:rsidR="00FE7C6F" w:rsidRPr="0052573B" w:rsidRDefault="00FE7C6F" w:rsidP="00ED0B0C">
            <w:pPr>
              <w:pStyle w:val="ListParagraph"/>
              <w:numPr>
                <w:ilvl w:val="0"/>
                <w:numId w:val="20"/>
              </w:numPr>
            </w:pPr>
            <w:r w:rsidRPr="0052573B">
              <w:t>Unable to understand/speak English with no access to an interpreter</w:t>
            </w:r>
          </w:p>
          <w:p w14:paraId="138FE878" w14:textId="77777777" w:rsidR="00FE7C6F" w:rsidRPr="0052573B" w:rsidRDefault="00FE7C6F" w:rsidP="00ED0B0C"/>
        </w:tc>
      </w:tr>
    </w:tbl>
    <w:p w14:paraId="6BC0EB04" w14:textId="02666057" w:rsidR="00310A6D" w:rsidRPr="0052573B" w:rsidRDefault="00310A6D" w:rsidP="004943D4">
      <w:pPr>
        <w:pStyle w:val="EndNoteBibliography"/>
        <w:spacing w:after="0" w:line="360" w:lineRule="auto"/>
        <w:rPr>
          <w:rFonts w:asciiTheme="minorHAnsi" w:hAnsiTheme="minorHAnsi" w:cstheme="minorHAnsi"/>
          <w:lang w:val="en-GB"/>
        </w:rPr>
      </w:pPr>
    </w:p>
    <w:p w14:paraId="207A81BE" w14:textId="77777777" w:rsidR="00FE7C6F" w:rsidRPr="0052573B" w:rsidRDefault="00FE7C6F" w:rsidP="00FE7C6F">
      <w:r w:rsidRPr="0052573B">
        <w:t xml:space="preserve">Table 1: Sample characteristics* </w:t>
      </w:r>
    </w:p>
    <w:tbl>
      <w:tblPr>
        <w:tblStyle w:val="TableGrid"/>
        <w:tblW w:w="8926" w:type="dxa"/>
        <w:tblLayout w:type="fixed"/>
        <w:tblLook w:val="04A0" w:firstRow="1" w:lastRow="0" w:firstColumn="1" w:lastColumn="0" w:noHBand="0" w:noVBand="1"/>
      </w:tblPr>
      <w:tblGrid>
        <w:gridCol w:w="1129"/>
        <w:gridCol w:w="851"/>
        <w:gridCol w:w="567"/>
        <w:gridCol w:w="1417"/>
        <w:gridCol w:w="993"/>
        <w:gridCol w:w="1134"/>
        <w:gridCol w:w="1275"/>
        <w:gridCol w:w="1560"/>
      </w:tblGrid>
      <w:tr w:rsidR="00FE7C6F" w:rsidRPr="0052573B" w14:paraId="1C37C349" w14:textId="77777777" w:rsidTr="00ED0B0C">
        <w:trPr>
          <w:trHeight w:val="983"/>
        </w:trPr>
        <w:tc>
          <w:tcPr>
            <w:tcW w:w="1129" w:type="dxa"/>
            <w:hideMark/>
          </w:tcPr>
          <w:p w14:paraId="16D0285F" w14:textId="77777777" w:rsidR="00FE7C6F" w:rsidRPr="0052573B" w:rsidRDefault="00FE7C6F" w:rsidP="00ED0B0C">
            <w:pPr>
              <w:rPr>
                <w:b/>
                <w:bCs/>
                <w:sz w:val="20"/>
                <w:szCs w:val="20"/>
              </w:rPr>
            </w:pPr>
            <w:r w:rsidRPr="0052573B">
              <w:rPr>
                <w:b/>
                <w:bCs/>
                <w:sz w:val="20"/>
                <w:szCs w:val="20"/>
              </w:rPr>
              <w:t xml:space="preserve">Participant </w:t>
            </w:r>
          </w:p>
        </w:tc>
        <w:tc>
          <w:tcPr>
            <w:tcW w:w="851" w:type="dxa"/>
            <w:hideMark/>
          </w:tcPr>
          <w:p w14:paraId="4AA98FE4" w14:textId="77777777" w:rsidR="00FE7C6F" w:rsidRPr="0052573B" w:rsidRDefault="00FE7C6F" w:rsidP="00ED0B0C">
            <w:pPr>
              <w:rPr>
                <w:b/>
                <w:bCs/>
                <w:sz w:val="20"/>
                <w:szCs w:val="20"/>
              </w:rPr>
            </w:pPr>
            <w:r w:rsidRPr="0052573B">
              <w:rPr>
                <w:b/>
                <w:bCs/>
                <w:sz w:val="20"/>
                <w:szCs w:val="20"/>
              </w:rPr>
              <w:t>Age (years)</w:t>
            </w:r>
          </w:p>
        </w:tc>
        <w:tc>
          <w:tcPr>
            <w:tcW w:w="567" w:type="dxa"/>
            <w:hideMark/>
          </w:tcPr>
          <w:p w14:paraId="6601ED53" w14:textId="77777777" w:rsidR="00FE7C6F" w:rsidRPr="0052573B" w:rsidRDefault="00FE7C6F" w:rsidP="00ED0B0C">
            <w:pPr>
              <w:rPr>
                <w:b/>
                <w:bCs/>
                <w:sz w:val="20"/>
                <w:szCs w:val="20"/>
              </w:rPr>
            </w:pPr>
            <w:r w:rsidRPr="0052573B">
              <w:rPr>
                <w:b/>
                <w:bCs/>
                <w:sz w:val="20"/>
                <w:szCs w:val="20"/>
              </w:rPr>
              <w:t>Sex</w:t>
            </w:r>
          </w:p>
        </w:tc>
        <w:tc>
          <w:tcPr>
            <w:tcW w:w="1417" w:type="dxa"/>
            <w:hideMark/>
          </w:tcPr>
          <w:p w14:paraId="72FA7EA3" w14:textId="77777777" w:rsidR="00FE7C6F" w:rsidRPr="0052573B" w:rsidRDefault="00FE7C6F" w:rsidP="00ED0B0C">
            <w:pPr>
              <w:rPr>
                <w:b/>
                <w:bCs/>
                <w:sz w:val="20"/>
                <w:szCs w:val="20"/>
              </w:rPr>
            </w:pPr>
            <w:r w:rsidRPr="0052573B">
              <w:rPr>
                <w:b/>
                <w:bCs/>
                <w:sz w:val="20"/>
                <w:szCs w:val="20"/>
              </w:rPr>
              <w:t xml:space="preserve">Marital status/Living arrangement  </w:t>
            </w:r>
          </w:p>
        </w:tc>
        <w:tc>
          <w:tcPr>
            <w:tcW w:w="993" w:type="dxa"/>
            <w:hideMark/>
          </w:tcPr>
          <w:p w14:paraId="0ED92C3A" w14:textId="77777777" w:rsidR="00FE7C6F" w:rsidRPr="0052573B" w:rsidRDefault="00FE7C6F" w:rsidP="00ED0B0C">
            <w:pPr>
              <w:rPr>
                <w:b/>
                <w:bCs/>
                <w:sz w:val="20"/>
                <w:szCs w:val="20"/>
              </w:rPr>
            </w:pPr>
            <w:r w:rsidRPr="0052573B">
              <w:rPr>
                <w:b/>
                <w:bCs/>
                <w:sz w:val="20"/>
                <w:szCs w:val="20"/>
              </w:rPr>
              <w:t>Ethnicity</w:t>
            </w:r>
          </w:p>
        </w:tc>
        <w:tc>
          <w:tcPr>
            <w:tcW w:w="1134" w:type="dxa"/>
            <w:hideMark/>
          </w:tcPr>
          <w:p w14:paraId="3C826E09" w14:textId="77777777" w:rsidR="00FE7C6F" w:rsidRPr="0052573B" w:rsidRDefault="00FE7C6F" w:rsidP="00ED0B0C">
            <w:pPr>
              <w:rPr>
                <w:b/>
                <w:bCs/>
                <w:sz w:val="20"/>
                <w:szCs w:val="20"/>
              </w:rPr>
            </w:pPr>
            <w:r w:rsidRPr="0052573B">
              <w:rPr>
                <w:b/>
                <w:bCs/>
                <w:sz w:val="20"/>
                <w:szCs w:val="20"/>
              </w:rPr>
              <w:t>Medical History/ Risk factors</w:t>
            </w:r>
          </w:p>
        </w:tc>
        <w:tc>
          <w:tcPr>
            <w:tcW w:w="1275" w:type="dxa"/>
          </w:tcPr>
          <w:p w14:paraId="72C41540" w14:textId="77777777" w:rsidR="00FE7C6F" w:rsidRPr="0052573B" w:rsidRDefault="00FE7C6F" w:rsidP="00ED0B0C">
            <w:pPr>
              <w:rPr>
                <w:b/>
                <w:bCs/>
                <w:sz w:val="20"/>
                <w:szCs w:val="20"/>
              </w:rPr>
            </w:pPr>
            <w:r w:rsidRPr="0052573B">
              <w:rPr>
                <w:b/>
                <w:bCs/>
                <w:sz w:val="20"/>
                <w:szCs w:val="20"/>
              </w:rPr>
              <w:t>Work</w:t>
            </w:r>
          </w:p>
        </w:tc>
        <w:tc>
          <w:tcPr>
            <w:tcW w:w="1560" w:type="dxa"/>
            <w:hideMark/>
          </w:tcPr>
          <w:p w14:paraId="67702B1D" w14:textId="77777777" w:rsidR="00FE7C6F" w:rsidRPr="0052573B" w:rsidRDefault="00FE7C6F" w:rsidP="00ED0B0C">
            <w:pPr>
              <w:rPr>
                <w:b/>
                <w:bCs/>
                <w:sz w:val="20"/>
                <w:szCs w:val="20"/>
              </w:rPr>
            </w:pPr>
            <w:r w:rsidRPr="0052573B">
              <w:rPr>
                <w:b/>
                <w:bCs/>
                <w:sz w:val="20"/>
                <w:szCs w:val="20"/>
              </w:rPr>
              <w:t>Timeline/</w:t>
            </w:r>
          </w:p>
          <w:p w14:paraId="5532E2E8" w14:textId="77777777" w:rsidR="00FE7C6F" w:rsidRPr="0052573B" w:rsidRDefault="00FE7C6F" w:rsidP="00ED0B0C">
            <w:pPr>
              <w:rPr>
                <w:b/>
                <w:bCs/>
                <w:sz w:val="20"/>
                <w:szCs w:val="20"/>
              </w:rPr>
            </w:pPr>
            <w:r w:rsidRPr="0052573B">
              <w:rPr>
                <w:b/>
                <w:bCs/>
                <w:sz w:val="20"/>
                <w:szCs w:val="20"/>
              </w:rPr>
              <w:t>Treatment</w:t>
            </w:r>
          </w:p>
        </w:tc>
      </w:tr>
      <w:tr w:rsidR="00FE7C6F" w:rsidRPr="0052573B" w14:paraId="1A92D5B1" w14:textId="77777777" w:rsidTr="00ED0B0C">
        <w:trPr>
          <w:trHeight w:val="1080"/>
        </w:trPr>
        <w:tc>
          <w:tcPr>
            <w:tcW w:w="1129" w:type="dxa"/>
            <w:hideMark/>
          </w:tcPr>
          <w:p w14:paraId="224B9BAB" w14:textId="77777777" w:rsidR="00FE7C6F" w:rsidRPr="0052573B" w:rsidRDefault="00FE7C6F" w:rsidP="00ED0B0C">
            <w:pPr>
              <w:rPr>
                <w:sz w:val="20"/>
                <w:szCs w:val="20"/>
              </w:rPr>
            </w:pPr>
            <w:r w:rsidRPr="0052573B">
              <w:rPr>
                <w:sz w:val="20"/>
                <w:szCs w:val="20"/>
              </w:rPr>
              <w:lastRenderedPageBreak/>
              <w:t xml:space="preserve">P1 </w:t>
            </w:r>
          </w:p>
        </w:tc>
        <w:tc>
          <w:tcPr>
            <w:tcW w:w="851" w:type="dxa"/>
            <w:hideMark/>
          </w:tcPr>
          <w:p w14:paraId="499FA1EC" w14:textId="77777777" w:rsidR="00FE7C6F" w:rsidRPr="0052573B" w:rsidRDefault="00FE7C6F" w:rsidP="00ED0B0C">
            <w:pPr>
              <w:rPr>
                <w:sz w:val="20"/>
                <w:szCs w:val="20"/>
              </w:rPr>
            </w:pPr>
            <w:r w:rsidRPr="0052573B">
              <w:rPr>
                <w:sz w:val="20"/>
                <w:szCs w:val="20"/>
              </w:rPr>
              <w:t>55</w:t>
            </w:r>
          </w:p>
        </w:tc>
        <w:tc>
          <w:tcPr>
            <w:tcW w:w="567" w:type="dxa"/>
            <w:hideMark/>
          </w:tcPr>
          <w:p w14:paraId="0C13BA6C" w14:textId="77777777" w:rsidR="00FE7C6F" w:rsidRPr="0052573B" w:rsidRDefault="00FE7C6F" w:rsidP="00ED0B0C">
            <w:pPr>
              <w:rPr>
                <w:sz w:val="20"/>
                <w:szCs w:val="20"/>
              </w:rPr>
            </w:pPr>
            <w:r w:rsidRPr="0052573B">
              <w:rPr>
                <w:sz w:val="20"/>
                <w:szCs w:val="20"/>
              </w:rPr>
              <w:t>F</w:t>
            </w:r>
          </w:p>
        </w:tc>
        <w:tc>
          <w:tcPr>
            <w:tcW w:w="1417" w:type="dxa"/>
            <w:hideMark/>
          </w:tcPr>
          <w:p w14:paraId="6BE372FC" w14:textId="77777777" w:rsidR="00FE7C6F" w:rsidRPr="0052573B" w:rsidRDefault="00FE7C6F" w:rsidP="00ED0B0C">
            <w:pPr>
              <w:rPr>
                <w:sz w:val="20"/>
                <w:szCs w:val="20"/>
              </w:rPr>
            </w:pPr>
            <w:proofErr w:type="gramStart"/>
            <w:r w:rsidRPr="0052573B">
              <w:rPr>
                <w:sz w:val="20"/>
                <w:szCs w:val="20"/>
              </w:rPr>
              <w:t>Engaged-lives</w:t>
            </w:r>
            <w:proofErr w:type="gramEnd"/>
            <w:r w:rsidRPr="0052573B">
              <w:rPr>
                <w:sz w:val="20"/>
                <w:szCs w:val="20"/>
              </w:rPr>
              <w:t xml:space="preserve"> with others  </w:t>
            </w:r>
          </w:p>
        </w:tc>
        <w:tc>
          <w:tcPr>
            <w:tcW w:w="993" w:type="dxa"/>
            <w:hideMark/>
          </w:tcPr>
          <w:p w14:paraId="0FBF1EC4" w14:textId="77777777" w:rsidR="00FE7C6F" w:rsidRPr="0052573B" w:rsidRDefault="00FE7C6F" w:rsidP="00ED0B0C">
            <w:pPr>
              <w:rPr>
                <w:sz w:val="20"/>
                <w:szCs w:val="20"/>
              </w:rPr>
            </w:pPr>
            <w:r w:rsidRPr="0052573B">
              <w:rPr>
                <w:sz w:val="20"/>
                <w:szCs w:val="20"/>
              </w:rPr>
              <w:t>White British</w:t>
            </w:r>
          </w:p>
        </w:tc>
        <w:tc>
          <w:tcPr>
            <w:tcW w:w="1134" w:type="dxa"/>
            <w:hideMark/>
          </w:tcPr>
          <w:p w14:paraId="320C0A5D" w14:textId="77777777" w:rsidR="00FE7C6F" w:rsidRPr="0052573B" w:rsidRDefault="00FE7C6F" w:rsidP="00ED0B0C">
            <w:pPr>
              <w:rPr>
                <w:sz w:val="20"/>
                <w:szCs w:val="20"/>
              </w:rPr>
            </w:pPr>
            <w:r w:rsidRPr="0052573B">
              <w:rPr>
                <w:sz w:val="20"/>
                <w:szCs w:val="20"/>
              </w:rPr>
              <w:t>1 LTC</w:t>
            </w:r>
          </w:p>
        </w:tc>
        <w:tc>
          <w:tcPr>
            <w:tcW w:w="1275" w:type="dxa"/>
          </w:tcPr>
          <w:p w14:paraId="12F65E5D" w14:textId="77777777" w:rsidR="00FE7C6F" w:rsidRPr="0052573B" w:rsidRDefault="00FE7C6F" w:rsidP="00ED0B0C">
            <w:pPr>
              <w:rPr>
                <w:sz w:val="20"/>
                <w:szCs w:val="20"/>
              </w:rPr>
            </w:pPr>
            <w:r w:rsidRPr="0052573B">
              <w:rPr>
                <w:sz w:val="20"/>
                <w:szCs w:val="20"/>
              </w:rPr>
              <w:t>Health or social care</w:t>
            </w:r>
          </w:p>
        </w:tc>
        <w:tc>
          <w:tcPr>
            <w:tcW w:w="1560" w:type="dxa"/>
            <w:hideMark/>
          </w:tcPr>
          <w:p w14:paraId="108EE1B1" w14:textId="77777777" w:rsidR="00FE7C6F" w:rsidRPr="0052573B" w:rsidRDefault="00FE7C6F" w:rsidP="00ED0B0C">
            <w:pPr>
              <w:rPr>
                <w:sz w:val="20"/>
                <w:szCs w:val="20"/>
              </w:rPr>
            </w:pPr>
            <w:r w:rsidRPr="0052573B">
              <w:rPr>
                <w:sz w:val="20"/>
                <w:szCs w:val="20"/>
              </w:rPr>
              <w:t xml:space="preserve">March/April 2020. </w:t>
            </w:r>
          </w:p>
          <w:p w14:paraId="5474F6DA" w14:textId="77777777" w:rsidR="00FE7C6F" w:rsidRPr="0052573B" w:rsidRDefault="00FE7C6F" w:rsidP="00ED0B0C">
            <w:pPr>
              <w:rPr>
                <w:sz w:val="20"/>
                <w:szCs w:val="20"/>
              </w:rPr>
            </w:pPr>
            <w:r w:rsidRPr="0052573B">
              <w:rPr>
                <w:sz w:val="20"/>
                <w:szCs w:val="20"/>
              </w:rPr>
              <w:t>Total admission not known</w:t>
            </w:r>
          </w:p>
          <w:p w14:paraId="262EE1D6" w14:textId="77777777" w:rsidR="00FE7C6F" w:rsidRPr="0052573B" w:rsidRDefault="00FE7C6F" w:rsidP="00ED0B0C">
            <w:pPr>
              <w:rPr>
                <w:sz w:val="20"/>
                <w:szCs w:val="20"/>
              </w:rPr>
            </w:pPr>
            <w:r w:rsidRPr="0052573B">
              <w:rPr>
                <w:sz w:val="20"/>
                <w:szCs w:val="20"/>
              </w:rPr>
              <w:t xml:space="preserve">ICU 22 days. </w:t>
            </w:r>
          </w:p>
          <w:p w14:paraId="6F9AA402" w14:textId="77777777" w:rsidR="00FE7C6F" w:rsidRPr="0052573B" w:rsidRDefault="00FE7C6F" w:rsidP="00ED0B0C">
            <w:pPr>
              <w:rPr>
                <w:sz w:val="20"/>
                <w:szCs w:val="20"/>
              </w:rPr>
            </w:pPr>
            <w:r w:rsidRPr="0052573B">
              <w:rPr>
                <w:sz w:val="20"/>
                <w:szCs w:val="20"/>
              </w:rPr>
              <w:t>Tracheostomy</w:t>
            </w:r>
          </w:p>
        </w:tc>
      </w:tr>
      <w:tr w:rsidR="00FE7C6F" w:rsidRPr="0052573B" w14:paraId="11D26AD9" w14:textId="77777777" w:rsidTr="00ED0B0C">
        <w:trPr>
          <w:trHeight w:val="930"/>
        </w:trPr>
        <w:tc>
          <w:tcPr>
            <w:tcW w:w="1129" w:type="dxa"/>
            <w:hideMark/>
          </w:tcPr>
          <w:p w14:paraId="0E1CAF9C" w14:textId="77777777" w:rsidR="00FE7C6F" w:rsidRPr="0052573B" w:rsidRDefault="00FE7C6F" w:rsidP="00ED0B0C">
            <w:pPr>
              <w:rPr>
                <w:sz w:val="20"/>
                <w:szCs w:val="20"/>
              </w:rPr>
            </w:pPr>
            <w:r w:rsidRPr="0052573B">
              <w:rPr>
                <w:sz w:val="20"/>
                <w:szCs w:val="20"/>
              </w:rPr>
              <w:t>P2</w:t>
            </w:r>
          </w:p>
        </w:tc>
        <w:tc>
          <w:tcPr>
            <w:tcW w:w="851" w:type="dxa"/>
            <w:hideMark/>
          </w:tcPr>
          <w:p w14:paraId="7D89B202" w14:textId="77777777" w:rsidR="00FE7C6F" w:rsidRPr="0052573B" w:rsidRDefault="00FE7C6F" w:rsidP="00ED0B0C">
            <w:pPr>
              <w:rPr>
                <w:sz w:val="20"/>
                <w:szCs w:val="20"/>
              </w:rPr>
            </w:pPr>
            <w:r w:rsidRPr="0052573B">
              <w:rPr>
                <w:sz w:val="20"/>
                <w:szCs w:val="20"/>
              </w:rPr>
              <w:t>74</w:t>
            </w:r>
          </w:p>
        </w:tc>
        <w:tc>
          <w:tcPr>
            <w:tcW w:w="567" w:type="dxa"/>
            <w:hideMark/>
          </w:tcPr>
          <w:p w14:paraId="267EFBBA" w14:textId="77777777" w:rsidR="00FE7C6F" w:rsidRPr="0052573B" w:rsidRDefault="00FE7C6F" w:rsidP="00ED0B0C">
            <w:pPr>
              <w:rPr>
                <w:sz w:val="20"/>
                <w:szCs w:val="20"/>
              </w:rPr>
            </w:pPr>
            <w:r w:rsidRPr="0052573B">
              <w:rPr>
                <w:sz w:val="20"/>
                <w:szCs w:val="20"/>
              </w:rPr>
              <w:t>M</w:t>
            </w:r>
          </w:p>
        </w:tc>
        <w:tc>
          <w:tcPr>
            <w:tcW w:w="1417" w:type="dxa"/>
            <w:hideMark/>
          </w:tcPr>
          <w:p w14:paraId="708BD1EE" w14:textId="77777777" w:rsidR="00FE7C6F" w:rsidRPr="0052573B" w:rsidRDefault="00FE7C6F" w:rsidP="00ED0B0C">
            <w:pPr>
              <w:rPr>
                <w:sz w:val="20"/>
                <w:szCs w:val="20"/>
              </w:rPr>
            </w:pPr>
            <w:r w:rsidRPr="0052573B">
              <w:rPr>
                <w:sz w:val="20"/>
                <w:szCs w:val="20"/>
              </w:rPr>
              <w:t>Married</w:t>
            </w:r>
          </w:p>
        </w:tc>
        <w:tc>
          <w:tcPr>
            <w:tcW w:w="993" w:type="dxa"/>
            <w:hideMark/>
          </w:tcPr>
          <w:p w14:paraId="3F017C9D" w14:textId="77777777" w:rsidR="00FE7C6F" w:rsidRPr="0052573B" w:rsidRDefault="00FE7C6F" w:rsidP="00ED0B0C">
            <w:pPr>
              <w:rPr>
                <w:sz w:val="20"/>
                <w:szCs w:val="20"/>
              </w:rPr>
            </w:pPr>
            <w:r w:rsidRPr="0052573B">
              <w:rPr>
                <w:sz w:val="20"/>
                <w:szCs w:val="20"/>
              </w:rPr>
              <w:t>White British</w:t>
            </w:r>
          </w:p>
        </w:tc>
        <w:tc>
          <w:tcPr>
            <w:tcW w:w="1134" w:type="dxa"/>
            <w:hideMark/>
          </w:tcPr>
          <w:p w14:paraId="37167544" w14:textId="77777777" w:rsidR="00FE7C6F" w:rsidRPr="0052573B" w:rsidRDefault="00FE7C6F" w:rsidP="00ED0B0C">
            <w:pPr>
              <w:rPr>
                <w:sz w:val="20"/>
                <w:szCs w:val="20"/>
              </w:rPr>
            </w:pPr>
            <w:r w:rsidRPr="0052573B">
              <w:rPr>
                <w:sz w:val="20"/>
                <w:szCs w:val="20"/>
              </w:rPr>
              <w:t>&gt;1 LTC</w:t>
            </w:r>
          </w:p>
        </w:tc>
        <w:tc>
          <w:tcPr>
            <w:tcW w:w="1275" w:type="dxa"/>
          </w:tcPr>
          <w:p w14:paraId="739D908F" w14:textId="77777777" w:rsidR="00FE7C6F" w:rsidRPr="0052573B" w:rsidRDefault="00FE7C6F" w:rsidP="00ED0B0C">
            <w:pPr>
              <w:rPr>
                <w:sz w:val="20"/>
                <w:szCs w:val="20"/>
              </w:rPr>
            </w:pPr>
            <w:r w:rsidRPr="0052573B">
              <w:rPr>
                <w:sz w:val="20"/>
                <w:szCs w:val="20"/>
              </w:rPr>
              <w:t>Retired</w:t>
            </w:r>
          </w:p>
        </w:tc>
        <w:tc>
          <w:tcPr>
            <w:tcW w:w="1560" w:type="dxa"/>
            <w:hideMark/>
          </w:tcPr>
          <w:p w14:paraId="7EBFBC80" w14:textId="77777777" w:rsidR="00FE7C6F" w:rsidRPr="0052573B" w:rsidRDefault="00FE7C6F" w:rsidP="00ED0B0C">
            <w:pPr>
              <w:rPr>
                <w:sz w:val="20"/>
                <w:szCs w:val="20"/>
              </w:rPr>
            </w:pPr>
            <w:r w:rsidRPr="0052573B">
              <w:rPr>
                <w:sz w:val="20"/>
                <w:szCs w:val="20"/>
              </w:rPr>
              <w:t xml:space="preserve">March-June 2020. </w:t>
            </w:r>
          </w:p>
          <w:p w14:paraId="1CAF72C3" w14:textId="77777777" w:rsidR="00FE7C6F" w:rsidRPr="0052573B" w:rsidRDefault="00FE7C6F" w:rsidP="00ED0B0C">
            <w:pPr>
              <w:rPr>
                <w:sz w:val="20"/>
                <w:szCs w:val="20"/>
              </w:rPr>
            </w:pPr>
            <w:r w:rsidRPr="0052573B">
              <w:rPr>
                <w:sz w:val="20"/>
                <w:szCs w:val="20"/>
              </w:rPr>
              <w:t>Total admission 108 days</w:t>
            </w:r>
          </w:p>
        </w:tc>
      </w:tr>
      <w:tr w:rsidR="00FE7C6F" w:rsidRPr="0052573B" w14:paraId="7CDC8BCA" w14:textId="77777777" w:rsidTr="00ED0B0C">
        <w:trPr>
          <w:trHeight w:val="930"/>
        </w:trPr>
        <w:tc>
          <w:tcPr>
            <w:tcW w:w="1129" w:type="dxa"/>
            <w:hideMark/>
          </w:tcPr>
          <w:p w14:paraId="5059CFA9" w14:textId="77777777" w:rsidR="00FE7C6F" w:rsidRPr="0052573B" w:rsidRDefault="00FE7C6F" w:rsidP="00ED0B0C">
            <w:pPr>
              <w:rPr>
                <w:sz w:val="20"/>
                <w:szCs w:val="20"/>
              </w:rPr>
            </w:pPr>
            <w:r w:rsidRPr="0052573B">
              <w:rPr>
                <w:sz w:val="20"/>
                <w:szCs w:val="20"/>
              </w:rPr>
              <w:t>P3</w:t>
            </w:r>
          </w:p>
        </w:tc>
        <w:tc>
          <w:tcPr>
            <w:tcW w:w="851" w:type="dxa"/>
            <w:hideMark/>
          </w:tcPr>
          <w:p w14:paraId="20807584" w14:textId="77777777" w:rsidR="00FE7C6F" w:rsidRPr="0052573B" w:rsidRDefault="00FE7C6F" w:rsidP="00ED0B0C">
            <w:pPr>
              <w:rPr>
                <w:sz w:val="20"/>
                <w:szCs w:val="20"/>
              </w:rPr>
            </w:pPr>
            <w:r w:rsidRPr="0052573B">
              <w:rPr>
                <w:sz w:val="20"/>
                <w:szCs w:val="20"/>
              </w:rPr>
              <w:t>65</w:t>
            </w:r>
          </w:p>
        </w:tc>
        <w:tc>
          <w:tcPr>
            <w:tcW w:w="567" w:type="dxa"/>
            <w:hideMark/>
          </w:tcPr>
          <w:p w14:paraId="7B290ABD" w14:textId="77777777" w:rsidR="00FE7C6F" w:rsidRPr="0052573B" w:rsidRDefault="00FE7C6F" w:rsidP="00ED0B0C">
            <w:pPr>
              <w:rPr>
                <w:sz w:val="20"/>
                <w:szCs w:val="20"/>
              </w:rPr>
            </w:pPr>
            <w:r w:rsidRPr="0052573B">
              <w:rPr>
                <w:sz w:val="20"/>
                <w:szCs w:val="20"/>
              </w:rPr>
              <w:t>M</w:t>
            </w:r>
          </w:p>
        </w:tc>
        <w:tc>
          <w:tcPr>
            <w:tcW w:w="1417" w:type="dxa"/>
            <w:hideMark/>
          </w:tcPr>
          <w:p w14:paraId="708DE0EE" w14:textId="77777777" w:rsidR="00FE7C6F" w:rsidRPr="0052573B" w:rsidRDefault="00FE7C6F" w:rsidP="00ED0B0C">
            <w:pPr>
              <w:rPr>
                <w:sz w:val="20"/>
                <w:szCs w:val="20"/>
              </w:rPr>
            </w:pPr>
            <w:r w:rsidRPr="0052573B">
              <w:rPr>
                <w:sz w:val="20"/>
                <w:szCs w:val="20"/>
              </w:rPr>
              <w:t>Married</w:t>
            </w:r>
          </w:p>
        </w:tc>
        <w:tc>
          <w:tcPr>
            <w:tcW w:w="993" w:type="dxa"/>
            <w:hideMark/>
          </w:tcPr>
          <w:p w14:paraId="0DFAF670" w14:textId="77777777" w:rsidR="00FE7C6F" w:rsidRPr="0052573B" w:rsidRDefault="00FE7C6F" w:rsidP="00ED0B0C">
            <w:pPr>
              <w:rPr>
                <w:sz w:val="20"/>
                <w:szCs w:val="20"/>
              </w:rPr>
            </w:pPr>
            <w:r w:rsidRPr="0052573B">
              <w:rPr>
                <w:sz w:val="20"/>
                <w:szCs w:val="20"/>
              </w:rPr>
              <w:t>Asian/ Asian British</w:t>
            </w:r>
          </w:p>
        </w:tc>
        <w:tc>
          <w:tcPr>
            <w:tcW w:w="1134" w:type="dxa"/>
            <w:hideMark/>
          </w:tcPr>
          <w:p w14:paraId="6FCCD06C" w14:textId="77777777" w:rsidR="00FE7C6F" w:rsidRPr="0052573B" w:rsidRDefault="00FE7C6F" w:rsidP="00ED0B0C">
            <w:pPr>
              <w:rPr>
                <w:sz w:val="20"/>
                <w:szCs w:val="20"/>
              </w:rPr>
            </w:pPr>
            <w:r w:rsidRPr="0052573B">
              <w:rPr>
                <w:sz w:val="20"/>
                <w:szCs w:val="20"/>
              </w:rPr>
              <w:t xml:space="preserve">1 LTC </w:t>
            </w:r>
          </w:p>
        </w:tc>
        <w:tc>
          <w:tcPr>
            <w:tcW w:w="1275" w:type="dxa"/>
          </w:tcPr>
          <w:p w14:paraId="1F649FBF" w14:textId="77777777" w:rsidR="00FE7C6F" w:rsidRPr="0052573B" w:rsidRDefault="00FE7C6F" w:rsidP="00ED0B0C">
            <w:pPr>
              <w:rPr>
                <w:sz w:val="20"/>
                <w:szCs w:val="20"/>
              </w:rPr>
            </w:pPr>
            <w:r w:rsidRPr="0052573B">
              <w:rPr>
                <w:sz w:val="20"/>
                <w:szCs w:val="20"/>
              </w:rPr>
              <w:t>Retired</w:t>
            </w:r>
          </w:p>
        </w:tc>
        <w:tc>
          <w:tcPr>
            <w:tcW w:w="1560" w:type="dxa"/>
            <w:hideMark/>
          </w:tcPr>
          <w:p w14:paraId="72511410" w14:textId="77777777" w:rsidR="00FE7C6F" w:rsidRPr="0052573B" w:rsidRDefault="00FE7C6F" w:rsidP="00ED0B0C">
            <w:pPr>
              <w:rPr>
                <w:sz w:val="20"/>
                <w:szCs w:val="20"/>
              </w:rPr>
            </w:pPr>
            <w:r w:rsidRPr="0052573B">
              <w:rPr>
                <w:sz w:val="20"/>
                <w:szCs w:val="20"/>
              </w:rPr>
              <w:t xml:space="preserve">April-July 2020 </w:t>
            </w:r>
          </w:p>
          <w:p w14:paraId="2B7B9410" w14:textId="77777777" w:rsidR="00FE7C6F" w:rsidRPr="0052573B" w:rsidRDefault="00FE7C6F" w:rsidP="00ED0B0C">
            <w:pPr>
              <w:rPr>
                <w:sz w:val="20"/>
                <w:szCs w:val="20"/>
              </w:rPr>
            </w:pPr>
            <w:r w:rsidRPr="0052573B">
              <w:rPr>
                <w:sz w:val="20"/>
                <w:szCs w:val="20"/>
              </w:rPr>
              <w:t>Total admission 104 days</w:t>
            </w:r>
          </w:p>
          <w:p w14:paraId="3EEBF32B" w14:textId="77777777" w:rsidR="00FE7C6F" w:rsidRPr="0052573B" w:rsidRDefault="00FE7C6F" w:rsidP="00ED0B0C">
            <w:pPr>
              <w:rPr>
                <w:sz w:val="20"/>
                <w:szCs w:val="20"/>
              </w:rPr>
            </w:pPr>
            <w:r w:rsidRPr="0052573B">
              <w:rPr>
                <w:sz w:val="20"/>
                <w:szCs w:val="20"/>
              </w:rPr>
              <w:t xml:space="preserve">ICU 68 days. </w:t>
            </w:r>
          </w:p>
        </w:tc>
      </w:tr>
      <w:tr w:rsidR="00FE7C6F" w:rsidRPr="0052573B" w14:paraId="02BF88B1" w14:textId="77777777" w:rsidTr="00ED0B0C">
        <w:trPr>
          <w:trHeight w:val="840"/>
        </w:trPr>
        <w:tc>
          <w:tcPr>
            <w:tcW w:w="1129" w:type="dxa"/>
            <w:hideMark/>
          </w:tcPr>
          <w:p w14:paraId="33EBB60D" w14:textId="77777777" w:rsidR="00FE7C6F" w:rsidRPr="0052573B" w:rsidRDefault="00FE7C6F" w:rsidP="00ED0B0C">
            <w:pPr>
              <w:rPr>
                <w:sz w:val="20"/>
                <w:szCs w:val="20"/>
              </w:rPr>
            </w:pPr>
            <w:r w:rsidRPr="0052573B">
              <w:rPr>
                <w:sz w:val="20"/>
                <w:szCs w:val="20"/>
              </w:rPr>
              <w:t>P4</w:t>
            </w:r>
          </w:p>
        </w:tc>
        <w:tc>
          <w:tcPr>
            <w:tcW w:w="851" w:type="dxa"/>
            <w:hideMark/>
          </w:tcPr>
          <w:p w14:paraId="74B3D953" w14:textId="77777777" w:rsidR="00FE7C6F" w:rsidRPr="0052573B" w:rsidRDefault="00FE7C6F" w:rsidP="00ED0B0C">
            <w:pPr>
              <w:rPr>
                <w:sz w:val="20"/>
                <w:szCs w:val="20"/>
              </w:rPr>
            </w:pPr>
            <w:r w:rsidRPr="0052573B">
              <w:rPr>
                <w:sz w:val="20"/>
                <w:szCs w:val="20"/>
              </w:rPr>
              <w:t>71</w:t>
            </w:r>
          </w:p>
        </w:tc>
        <w:tc>
          <w:tcPr>
            <w:tcW w:w="567" w:type="dxa"/>
            <w:hideMark/>
          </w:tcPr>
          <w:p w14:paraId="32A545BB" w14:textId="77777777" w:rsidR="00FE7C6F" w:rsidRPr="0052573B" w:rsidRDefault="00FE7C6F" w:rsidP="00ED0B0C">
            <w:pPr>
              <w:rPr>
                <w:sz w:val="20"/>
                <w:szCs w:val="20"/>
              </w:rPr>
            </w:pPr>
            <w:r w:rsidRPr="0052573B">
              <w:rPr>
                <w:sz w:val="20"/>
                <w:szCs w:val="20"/>
              </w:rPr>
              <w:t>M</w:t>
            </w:r>
          </w:p>
        </w:tc>
        <w:tc>
          <w:tcPr>
            <w:tcW w:w="1417" w:type="dxa"/>
            <w:hideMark/>
          </w:tcPr>
          <w:p w14:paraId="0970E516" w14:textId="77777777" w:rsidR="00FE7C6F" w:rsidRPr="0052573B" w:rsidRDefault="00FE7C6F" w:rsidP="00ED0B0C">
            <w:pPr>
              <w:rPr>
                <w:sz w:val="20"/>
                <w:szCs w:val="20"/>
              </w:rPr>
            </w:pPr>
            <w:r w:rsidRPr="0052573B">
              <w:rPr>
                <w:sz w:val="20"/>
                <w:szCs w:val="20"/>
              </w:rPr>
              <w:t>Married</w:t>
            </w:r>
          </w:p>
        </w:tc>
        <w:tc>
          <w:tcPr>
            <w:tcW w:w="993" w:type="dxa"/>
            <w:hideMark/>
          </w:tcPr>
          <w:p w14:paraId="4B1141C7" w14:textId="77777777" w:rsidR="00FE7C6F" w:rsidRPr="0052573B" w:rsidRDefault="00FE7C6F" w:rsidP="00ED0B0C">
            <w:pPr>
              <w:rPr>
                <w:sz w:val="20"/>
                <w:szCs w:val="20"/>
              </w:rPr>
            </w:pPr>
            <w:r w:rsidRPr="0052573B">
              <w:rPr>
                <w:sz w:val="20"/>
                <w:szCs w:val="20"/>
              </w:rPr>
              <w:t>White British</w:t>
            </w:r>
          </w:p>
        </w:tc>
        <w:tc>
          <w:tcPr>
            <w:tcW w:w="1134" w:type="dxa"/>
            <w:hideMark/>
          </w:tcPr>
          <w:p w14:paraId="70153F64" w14:textId="77777777" w:rsidR="00FE7C6F" w:rsidRPr="0052573B" w:rsidRDefault="00FE7C6F" w:rsidP="00ED0B0C">
            <w:pPr>
              <w:rPr>
                <w:sz w:val="20"/>
                <w:szCs w:val="20"/>
              </w:rPr>
            </w:pPr>
            <w:r w:rsidRPr="0052573B">
              <w:rPr>
                <w:sz w:val="20"/>
                <w:szCs w:val="20"/>
              </w:rPr>
              <w:t>No pre-existing conditions</w:t>
            </w:r>
          </w:p>
        </w:tc>
        <w:tc>
          <w:tcPr>
            <w:tcW w:w="1275" w:type="dxa"/>
          </w:tcPr>
          <w:p w14:paraId="7A2DBFD5" w14:textId="77777777" w:rsidR="00FE7C6F" w:rsidRPr="0052573B" w:rsidRDefault="00FE7C6F" w:rsidP="00ED0B0C">
            <w:pPr>
              <w:rPr>
                <w:sz w:val="20"/>
                <w:szCs w:val="20"/>
              </w:rPr>
            </w:pPr>
            <w:r w:rsidRPr="0052573B">
              <w:rPr>
                <w:sz w:val="20"/>
                <w:szCs w:val="20"/>
              </w:rPr>
              <w:t>Unknown</w:t>
            </w:r>
          </w:p>
        </w:tc>
        <w:tc>
          <w:tcPr>
            <w:tcW w:w="1560" w:type="dxa"/>
            <w:hideMark/>
          </w:tcPr>
          <w:p w14:paraId="48254CC8" w14:textId="77777777" w:rsidR="00FE7C6F" w:rsidRPr="0052573B" w:rsidRDefault="00FE7C6F" w:rsidP="00ED0B0C">
            <w:pPr>
              <w:rPr>
                <w:sz w:val="20"/>
                <w:szCs w:val="20"/>
              </w:rPr>
            </w:pPr>
            <w:r w:rsidRPr="0052573B">
              <w:rPr>
                <w:sz w:val="20"/>
                <w:szCs w:val="20"/>
              </w:rPr>
              <w:t xml:space="preserve">March-May 2020 </w:t>
            </w:r>
          </w:p>
          <w:p w14:paraId="59FF7EFA" w14:textId="77777777" w:rsidR="00FE7C6F" w:rsidRPr="0052573B" w:rsidRDefault="00FE7C6F" w:rsidP="00ED0B0C">
            <w:pPr>
              <w:rPr>
                <w:sz w:val="20"/>
                <w:szCs w:val="20"/>
              </w:rPr>
            </w:pPr>
            <w:r w:rsidRPr="0052573B">
              <w:rPr>
                <w:sz w:val="20"/>
                <w:szCs w:val="20"/>
              </w:rPr>
              <w:t>Total admission not known</w:t>
            </w:r>
          </w:p>
          <w:p w14:paraId="39B7335C" w14:textId="77777777" w:rsidR="00FE7C6F" w:rsidRPr="0052573B" w:rsidRDefault="00FE7C6F" w:rsidP="00ED0B0C">
            <w:pPr>
              <w:rPr>
                <w:sz w:val="20"/>
                <w:szCs w:val="20"/>
              </w:rPr>
            </w:pPr>
            <w:r w:rsidRPr="0052573B">
              <w:rPr>
                <w:sz w:val="20"/>
                <w:szCs w:val="20"/>
              </w:rPr>
              <w:t>ICU 30 days</w:t>
            </w:r>
          </w:p>
          <w:p w14:paraId="443A1189" w14:textId="77777777" w:rsidR="00FE7C6F" w:rsidRPr="0052573B" w:rsidRDefault="00FE7C6F" w:rsidP="00ED0B0C">
            <w:pPr>
              <w:rPr>
                <w:sz w:val="20"/>
                <w:szCs w:val="20"/>
              </w:rPr>
            </w:pPr>
          </w:p>
        </w:tc>
      </w:tr>
      <w:tr w:rsidR="00FE7C6F" w:rsidRPr="0052573B" w14:paraId="6412B319" w14:textId="77777777" w:rsidTr="00ED0B0C">
        <w:trPr>
          <w:trHeight w:val="1728"/>
        </w:trPr>
        <w:tc>
          <w:tcPr>
            <w:tcW w:w="1129" w:type="dxa"/>
            <w:hideMark/>
          </w:tcPr>
          <w:p w14:paraId="08EBB290" w14:textId="77777777" w:rsidR="00FE7C6F" w:rsidRPr="0052573B" w:rsidRDefault="00FE7C6F" w:rsidP="00ED0B0C">
            <w:pPr>
              <w:rPr>
                <w:sz w:val="20"/>
                <w:szCs w:val="20"/>
              </w:rPr>
            </w:pPr>
            <w:r w:rsidRPr="0052573B">
              <w:rPr>
                <w:sz w:val="20"/>
                <w:szCs w:val="20"/>
              </w:rPr>
              <w:t xml:space="preserve">P5 </w:t>
            </w:r>
          </w:p>
        </w:tc>
        <w:tc>
          <w:tcPr>
            <w:tcW w:w="851" w:type="dxa"/>
            <w:hideMark/>
          </w:tcPr>
          <w:p w14:paraId="552E03FF" w14:textId="77777777" w:rsidR="00FE7C6F" w:rsidRPr="0052573B" w:rsidRDefault="00FE7C6F" w:rsidP="00ED0B0C">
            <w:pPr>
              <w:rPr>
                <w:sz w:val="20"/>
                <w:szCs w:val="20"/>
              </w:rPr>
            </w:pPr>
            <w:r w:rsidRPr="0052573B">
              <w:rPr>
                <w:sz w:val="20"/>
                <w:szCs w:val="20"/>
              </w:rPr>
              <w:t>61</w:t>
            </w:r>
          </w:p>
        </w:tc>
        <w:tc>
          <w:tcPr>
            <w:tcW w:w="567" w:type="dxa"/>
            <w:hideMark/>
          </w:tcPr>
          <w:p w14:paraId="615C3B9F" w14:textId="77777777" w:rsidR="00FE7C6F" w:rsidRPr="0052573B" w:rsidRDefault="00FE7C6F" w:rsidP="00ED0B0C">
            <w:pPr>
              <w:rPr>
                <w:sz w:val="20"/>
                <w:szCs w:val="20"/>
              </w:rPr>
            </w:pPr>
            <w:r w:rsidRPr="0052573B">
              <w:rPr>
                <w:sz w:val="20"/>
                <w:szCs w:val="20"/>
              </w:rPr>
              <w:t>M</w:t>
            </w:r>
          </w:p>
        </w:tc>
        <w:tc>
          <w:tcPr>
            <w:tcW w:w="1417" w:type="dxa"/>
            <w:hideMark/>
          </w:tcPr>
          <w:p w14:paraId="2A682631" w14:textId="77777777" w:rsidR="00FE7C6F" w:rsidRPr="0052573B" w:rsidRDefault="00FE7C6F" w:rsidP="00ED0B0C">
            <w:pPr>
              <w:rPr>
                <w:sz w:val="20"/>
                <w:szCs w:val="20"/>
              </w:rPr>
            </w:pPr>
            <w:r w:rsidRPr="0052573B">
              <w:rPr>
                <w:sz w:val="20"/>
                <w:szCs w:val="20"/>
              </w:rPr>
              <w:t>Married</w:t>
            </w:r>
          </w:p>
        </w:tc>
        <w:tc>
          <w:tcPr>
            <w:tcW w:w="993" w:type="dxa"/>
            <w:hideMark/>
          </w:tcPr>
          <w:p w14:paraId="788E010F" w14:textId="77777777" w:rsidR="00FE7C6F" w:rsidRPr="0052573B" w:rsidRDefault="00FE7C6F" w:rsidP="00ED0B0C">
            <w:pPr>
              <w:rPr>
                <w:sz w:val="20"/>
                <w:szCs w:val="20"/>
              </w:rPr>
            </w:pPr>
            <w:r w:rsidRPr="0052573B">
              <w:rPr>
                <w:sz w:val="20"/>
                <w:szCs w:val="20"/>
              </w:rPr>
              <w:t>Asian/ Asian British</w:t>
            </w:r>
          </w:p>
        </w:tc>
        <w:tc>
          <w:tcPr>
            <w:tcW w:w="1134" w:type="dxa"/>
            <w:hideMark/>
          </w:tcPr>
          <w:p w14:paraId="7ACBA5CA" w14:textId="77777777" w:rsidR="00FE7C6F" w:rsidRPr="0052573B" w:rsidRDefault="00FE7C6F" w:rsidP="00ED0B0C">
            <w:pPr>
              <w:rPr>
                <w:sz w:val="20"/>
                <w:szCs w:val="20"/>
              </w:rPr>
            </w:pPr>
            <w:r w:rsidRPr="0052573B">
              <w:rPr>
                <w:sz w:val="20"/>
                <w:szCs w:val="20"/>
              </w:rPr>
              <w:t>1 LTC</w:t>
            </w:r>
          </w:p>
        </w:tc>
        <w:tc>
          <w:tcPr>
            <w:tcW w:w="1275" w:type="dxa"/>
          </w:tcPr>
          <w:p w14:paraId="71A434A2" w14:textId="77777777" w:rsidR="00FE7C6F" w:rsidRPr="0052573B" w:rsidRDefault="00FE7C6F" w:rsidP="00ED0B0C">
            <w:pPr>
              <w:rPr>
                <w:sz w:val="20"/>
                <w:szCs w:val="20"/>
              </w:rPr>
            </w:pPr>
            <w:r w:rsidRPr="0052573B">
              <w:rPr>
                <w:sz w:val="20"/>
                <w:szCs w:val="20"/>
              </w:rPr>
              <w:t>Health or social care</w:t>
            </w:r>
          </w:p>
        </w:tc>
        <w:tc>
          <w:tcPr>
            <w:tcW w:w="1560" w:type="dxa"/>
            <w:hideMark/>
          </w:tcPr>
          <w:p w14:paraId="43842D9A" w14:textId="52144AB7" w:rsidR="00FE7C6F" w:rsidRPr="0052573B" w:rsidRDefault="00FE7C6F" w:rsidP="00ED0B0C">
            <w:pPr>
              <w:rPr>
                <w:sz w:val="20"/>
                <w:szCs w:val="20"/>
              </w:rPr>
            </w:pPr>
            <w:r w:rsidRPr="0052573B">
              <w:rPr>
                <w:sz w:val="20"/>
                <w:szCs w:val="20"/>
              </w:rPr>
              <w:t xml:space="preserve">April-June </w:t>
            </w:r>
            <w:r w:rsidR="00997FE5" w:rsidRPr="0052573B">
              <w:rPr>
                <w:sz w:val="20"/>
                <w:szCs w:val="20"/>
              </w:rPr>
              <w:t>2020</w:t>
            </w:r>
          </w:p>
          <w:p w14:paraId="40D64570" w14:textId="77777777" w:rsidR="00FE7C6F" w:rsidRPr="0052573B" w:rsidRDefault="00FE7C6F" w:rsidP="00ED0B0C">
            <w:pPr>
              <w:rPr>
                <w:sz w:val="20"/>
                <w:szCs w:val="20"/>
              </w:rPr>
            </w:pPr>
            <w:r w:rsidRPr="0052573B">
              <w:rPr>
                <w:sz w:val="20"/>
                <w:szCs w:val="20"/>
              </w:rPr>
              <w:t>Total admission not known</w:t>
            </w:r>
          </w:p>
          <w:p w14:paraId="7732A104" w14:textId="77777777" w:rsidR="00FE7C6F" w:rsidRPr="0052573B" w:rsidRDefault="00FE7C6F" w:rsidP="00ED0B0C">
            <w:pPr>
              <w:rPr>
                <w:sz w:val="20"/>
                <w:szCs w:val="20"/>
              </w:rPr>
            </w:pPr>
            <w:r w:rsidRPr="0052573B">
              <w:rPr>
                <w:sz w:val="20"/>
                <w:szCs w:val="20"/>
              </w:rPr>
              <w:t>ICU &gt; 42 days</w:t>
            </w:r>
          </w:p>
          <w:p w14:paraId="6C5813A8" w14:textId="77777777" w:rsidR="00FE7C6F" w:rsidRPr="0052573B" w:rsidRDefault="00FE7C6F" w:rsidP="00ED0B0C">
            <w:pPr>
              <w:rPr>
                <w:sz w:val="20"/>
                <w:szCs w:val="20"/>
              </w:rPr>
            </w:pPr>
            <w:r w:rsidRPr="0052573B">
              <w:rPr>
                <w:sz w:val="20"/>
                <w:szCs w:val="20"/>
              </w:rPr>
              <w:t xml:space="preserve">Tracheostomy </w:t>
            </w:r>
          </w:p>
          <w:p w14:paraId="09F701F4" w14:textId="77777777" w:rsidR="00FE7C6F" w:rsidRPr="0052573B" w:rsidRDefault="00FE7C6F" w:rsidP="00ED0B0C">
            <w:pPr>
              <w:rPr>
                <w:sz w:val="20"/>
                <w:szCs w:val="20"/>
              </w:rPr>
            </w:pPr>
            <w:r w:rsidRPr="0052573B">
              <w:rPr>
                <w:sz w:val="20"/>
                <w:szCs w:val="20"/>
              </w:rPr>
              <w:t>Wife present during interview</w:t>
            </w:r>
          </w:p>
        </w:tc>
      </w:tr>
      <w:tr w:rsidR="00FE7C6F" w:rsidRPr="0052573B" w14:paraId="38A3B2D5" w14:textId="77777777" w:rsidTr="00ED0B0C">
        <w:trPr>
          <w:trHeight w:val="1152"/>
        </w:trPr>
        <w:tc>
          <w:tcPr>
            <w:tcW w:w="1129" w:type="dxa"/>
            <w:hideMark/>
          </w:tcPr>
          <w:p w14:paraId="3C6DAE88" w14:textId="77777777" w:rsidR="00FE7C6F" w:rsidRPr="0052573B" w:rsidRDefault="00FE7C6F" w:rsidP="00ED0B0C">
            <w:pPr>
              <w:rPr>
                <w:sz w:val="20"/>
                <w:szCs w:val="20"/>
              </w:rPr>
            </w:pPr>
            <w:r w:rsidRPr="0052573B">
              <w:rPr>
                <w:sz w:val="20"/>
                <w:szCs w:val="20"/>
              </w:rPr>
              <w:t>P6</w:t>
            </w:r>
          </w:p>
        </w:tc>
        <w:tc>
          <w:tcPr>
            <w:tcW w:w="851" w:type="dxa"/>
            <w:hideMark/>
          </w:tcPr>
          <w:p w14:paraId="56CD7930" w14:textId="77777777" w:rsidR="00FE7C6F" w:rsidRPr="0052573B" w:rsidRDefault="00FE7C6F" w:rsidP="00ED0B0C">
            <w:pPr>
              <w:rPr>
                <w:sz w:val="20"/>
                <w:szCs w:val="20"/>
              </w:rPr>
            </w:pPr>
            <w:r w:rsidRPr="0052573B">
              <w:rPr>
                <w:sz w:val="20"/>
                <w:szCs w:val="20"/>
              </w:rPr>
              <w:t>63</w:t>
            </w:r>
          </w:p>
        </w:tc>
        <w:tc>
          <w:tcPr>
            <w:tcW w:w="567" w:type="dxa"/>
            <w:hideMark/>
          </w:tcPr>
          <w:p w14:paraId="23AF01DA" w14:textId="77777777" w:rsidR="00FE7C6F" w:rsidRPr="0052573B" w:rsidRDefault="00FE7C6F" w:rsidP="00ED0B0C">
            <w:pPr>
              <w:rPr>
                <w:sz w:val="20"/>
                <w:szCs w:val="20"/>
              </w:rPr>
            </w:pPr>
            <w:r w:rsidRPr="0052573B">
              <w:rPr>
                <w:sz w:val="20"/>
                <w:szCs w:val="20"/>
              </w:rPr>
              <w:t>F</w:t>
            </w:r>
          </w:p>
        </w:tc>
        <w:tc>
          <w:tcPr>
            <w:tcW w:w="1417" w:type="dxa"/>
            <w:hideMark/>
          </w:tcPr>
          <w:p w14:paraId="0BE6D2C1" w14:textId="77777777" w:rsidR="00FE7C6F" w:rsidRPr="0052573B" w:rsidRDefault="00FE7C6F" w:rsidP="00ED0B0C">
            <w:pPr>
              <w:rPr>
                <w:sz w:val="20"/>
                <w:szCs w:val="20"/>
              </w:rPr>
            </w:pPr>
            <w:r w:rsidRPr="0052573B">
              <w:rPr>
                <w:sz w:val="20"/>
                <w:szCs w:val="20"/>
              </w:rPr>
              <w:t>Married</w:t>
            </w:r>
          </w:p>
        </w:tc>
        <w:tc>
          <w:tcPr>
            <w:tcW w:w="993" w:type="dxa"/>
            <w:hideMark/>
          </w:tcPr>
          <w:p w14:paraId="312FDF53" w14:textId="77777777" w:rsidR="00FE7C6F" w:rsidRPr="0052573B" w:rsidRDefault="00FE7C6F" w:rsidP="00ED0B0C">
            <w:pPr>
              <w:rPr>
                <w:sz w:val="20"/>
                <w:szCs w:val="20"/>
              </w:rPr>
            </w:pPr>
            <w:r w:rsidRPr="0052573B">
              <w:rPr>
                <w:sz w:val="20"/>
                <w:szCs w:val="20"/>
              </w:rPr>
              <w:t>White British/ Jewish</w:t>
            </w:r>
          </w:p>
        </w:tc>
        <w:tc>
          <w:tcPr>
            <w:tcW w:w="1134" w:type="dxa"/>
            <w:hideMark/>
          </w:tcPr>
          <w:p w14:paraId="1497493F" w14:textId="77777777" w:rsidR="00FE7C6F" w:rsidRPr="0052573B" w:rsidRDefault="00FE7C6F" w:rsidP="00ED0B0C">
            <w:pPr>
              <w:rPr>
                <w:sz w:val="20"/>
                <w:szCs w:val="20"/>
              </w:rPr>
            </w:pPr>
            <w:r w:rsidRPr="0052573B">
              <w:rPr>
                <w:sz w:val="20"/>
                <w:szCs w:val="20"/>
              </w:rPr>
              <w:t xml:space="preserve">1 LTC </w:t>
            </w:r>
          </w:p>
        </w:tc>
        <w:tc>
          <w:tcPr>
            <w:tcW w:w="1275" w:type="dxa"/>
          </w:tcPr>
          <w:p w14:paraId="0AE1C46A" w14:textId="77777777" w:rsidR="00FE7C6F" w:rsidRPr="0052573B" w:rsidRDefault="00FE7C6F" w:rsidP="00ED0B0C">
            <w:pPr>
              <w:rPr>
                <w:sz w:val="20"/>
                <w:szCs w:val="20"/>
              </w:rPr>
            </w:pPr>
            <w:r w:rsidRPr="0052573B">
              <w:rPr>
                <w:sz w:val="20"/>
                <w:szCs w:val="20"/>
              </w:rPr>
              <w:t>Office-based professional</w:t>
            </w:r>
          </w:p>
        </w:tc>
        <w:tc>
          <w:tcPr>
            <w:tcW w:w="1560" w:type="dxa"/>
            <w:hideMark/>
          </w:tcPr>
          <w:p w14:paraId="1238D7C6" w14:textId="77777777" w:rsidR="00FE7C6F" w:rsidRPr="0052573B" w:rsidRDefault="00FE7C6F" w:rsidP="00ED0B0C">
            <w:pPr>
              <w:rPr>
                <w:sz w:val="20"/>
                <w:szCs w:val="20"/>
              </w:rPr>
            </w:pPr>
            <w:r w:rsidRPr="0052573B">
              <w:rPr>
                <w:sz w:val="20"/>
                <w:szCs w:val="20"/>
              </w:rPr>
              <w:t>April 2020</w:t>
            </w:r>
          </w:p>
          <w:p w14:paraId="29BA826D" w14:textId="77777777" w:rsidR="00FE7C6F" w:rsidRPr="0052573B" w:rsidRDefault="00FE7C6F" w:rsidP="00ED0B0C">
            <w:pPr>
              <w:rPr>
                <w:sz w:val="20"/>
                <w:szCs w:val="20"/>
              </w:rPr>
            </w:pPr>
            <w:r w:rsidRPr="0052573B">
              <w:rPr>
                <w:sz w:val="20"/>
                <w:szCs w:val="20"/>
              </w:rPr>
              <w:t>Total admission 9-10 days</w:t>
            </w:r>
          </w:p>
          <w:p w14:paraId="732A4B9D" w14:textId="77777777" w:rsidR="00FE7C6F" w:rsidRPr="0052573B" w:rsidRDefault="00FE7C6F" w:rsidP="00ED0B0C">
            <w:pPr>
              <w:rPr>
                <w:sz w:val="20"/>
                <w:szCs w:val="20"/>
              </w:rPr>
            </w:pPr>
            <w:r w:rsidRPr="0052573B">
              <w:rPr>
                <w:sz w:val="20"/>
                <w:szCs w:val="20"/>
              </w:rPr>
              <w:t>ICU for part of stay</w:t>
            </w:r>
          </w:p>
        </w:tc>
      </w:tr>
      <w:tr w:rsidR="00FE7C6F" w:rsidRPr="0052573B" w14:paraId="7B75D775" w14:textId="77777777" w:rsidTr="00ED0B0C">
        <w:trPr>
          <w:trHeight w:val="864"/>
        </w:trPr>
        <w:tc>
          <w:tcPr>
            <w:tcW w:w="1129" w:type="dxa"/>
            <w:hideMark/>
          </w:tcPr>
          <w:p w14:paraId="7B106553" w14:textId="77777777" w:rsidR="00FE7C6F" w:rsidRPr="0052573B" w:rsidRDefault="00FE7C6F" w:rsidP="00ED0B0C">
            <w:pPr>
              <w:rPr>
                <w:sz w:val="20"/>
                <w:szCs w:val="20"/>
              </w:rPr>
            </w:pPr>
            <w:r w:rsidRPr="0052573B">
              <w:rPr>
                <w:sz w:val="20"/>
                <w:szCs w:val="20"/>
              </w:rPr>
              <w:t>P7</w:t>
            </w:r>
          </w:p>
        </w:tc>
        <w:tc>
          <w:tcPr>
            <w:tcW w:w="851" w:type="dxa"/>
            <w:hideMark/>
          </w:tcPr>
          <w:p w14:paraId="3F0C1A16" w14:textId="77777777" w:rsidR="00FE7C6F" w:rsidRPr="0052573B" w:rsidRDefault="00FE7C6F" w:rsidP="00ED0B0C">
            <w:pPr>
              <w:rPr>
                <w:sz w:val="20"/>
                <w:szCs w:val="20"/>
              </w:rPr>
            </w:pPr>
            <w:r w:rsidRPr="0052573B">
              <w:rPr>
                <w:sz w:val="20"/>
                <w:szCs w:val="20"/>
              </w:rPr>
              <w:t>62</w:t>
            </w:r>
          </w:p>
        </w:tc>
        <w:tc>
          <w:tcPr>
            <w:tcW w:w="567" w:type="dxa"/>
            <w:hideMark/>
          </w:tcPr>
          <w:p w14:paraId="4E519E6D" w14:textId="77777777" w:rsidR="00FE7C6F" w:rsidRPr="0052573B" w:rsidRDefault="00FE7C6F" w:rsidP="00ED0B0C">
            <w:pPr>
              <w:rPr>
                <w:sz w:val="20"/>
                <w:szCs w:val="20"/>
              </w:rPr>
            </w:pPr>
            <w:r w:rsidRPr="0052573B">
              <w:rPr>
                <w:sz w:val="20"/>
                <w:szCs w:val="20"/>
              </w:rPr>
              <w:t>M</w:t>
            </w:r>
          </w:p>
        </w:tc>
        <w:tc>
          <w:tcPr>
            <w:tcW w:w="1417" w:type="dxa"/>
            <w:hideMark/>
          </w:tcPr>
          <w:p w14:paraId="2C378CAC" w14:textId="77777777" w:rsidR="00FE7C6F" w:rsidRPr="0052573B" w:rsidRDefault="00FE7C6F" w:rsidP="00ED0B0C">
            <w:pPr>
              <w:rPr>
                <w:sz w:val="20"/>
                <w:szCs w:val="20"/>
              </w:rPr>
            </w:pPr>
            <w:r w:rsidRPr="0052573B">
              <w:rPr>
                <w:sz w:val="20"/>
                <w:szCs w:val="20"/>
              </w:rPr>
              <w:t>Married</w:t>
            </w:r>
          </w:p>
        </w:tc>
        <w:tc>
          <w:tcPr>
            <w:tcW w:w="993" w:type="dxa"/>
            <w:hideMark/>
          </w:tcPr>
          <w:p w14:paraId="6A1C6A7D" w14:textId="77777777" w:rsidR="00FE7C6F" w:rsidRPr="0052573B" w:rsidRDefault="00FE7C6F" w:rsidP="00ED0B0C">
            <w:pPr>
              <w:rPr>
                <w:sz w:val="20"/>
                <w:szCs w:val="20"/>
              </w:rPr>
            </w:pPr>
            <w:r w:rsidRPr="0052573B">
              <w:rPr>
                <w:sz w:val="20"/>
                <w:szCs w:val="20"/>
              </w:rPr>
              <w:t>White, British Jewish</w:t>
            </w:r>
          </w:p>
        </w:tc>
        <w:tc>
          <w:tcPr>
            <w:tcW w:w="1134" w:type="dxa"/>
            <w:hideMark/>
          </w:tcPr>
          <w:p w14:paraId="5F2E2C9A" w14:textId="77777777" w:rsidR="00FE7C6F" w:rsidRPr="0052573B" w:rsidRDefault="00FE7C6F" w:rsidP="00ED0B0C">
            <w:pPr>
              <w:rPr>
                <w:sz w:val="20"/>
                <w:szCs w:val="20"/>
              </w:rPr>
            </w:pPr>
            <w:r w:rsidRPr="0052573B">
              <w:rPr>
                <w:sz w:val="20"/>
                <w:szCs w:val="20"/>
              </w:rPr>
              <w:t xml:space="preserve">1 LTC </w:t>
            </w:r>
          </w:p>
        </w:tc>
        <w:tc>
          <w:tcPr>
            <w:tcW w:w="1275" w:type="dxa"/>
          </w:tcPr>
          <w:p w14:paraId="0971FF11" w14:textId="77777777" w:rsidR="00FE7C6F" w:rsidRPr="0052573B" w:rsidRDefault="00FE7C6F" w:rsidP="00ED0B0C">
            <w:pPr>
              <w:rPr>
                <w:sz w:val="20"/>
                <w:szCs w:val="20"/>
              </w:rPr>
            </w:pPr>
            <w:r w:rsidRPr="0052573B">
              <w:rPr>
                <w:sz w:val="20"/>
                <w:szCs w:val="20"/>
              </w:rPr>
              <w:t>Unknown</w:t>
            </w:r>
          </w:p>
        </w:tc>
        <w:tc>
          <w:tcPr>
            <w:tcW w:w="1560" w:type="dxa"/>
            <w:hideMark/>
          </w:tcPr>
          <w:p w14:paraId="7552F0F6" w14:textId="77777777" w:rsidR="00FE7C6F" w:rsidRPr="0052573B" w:rsidRDefault="00FE7C6F" w:rsidP="00ED0B0C">
            <w:pPr>
              <w:rPr>
                <w:sz w:val="20"/>
                <w:szCs w:val="20"/>
              </w:rPr>
            </w:pPr>
            <w:r w:rsidRPr="0052573B">
              <w:rPr>
                <w:sz w:val="20"/>
                <w:szCs w:val="20"/>
              </w:rPr>
              <w:t xml:space="preserve">March 2020. </w:t>
            </w:r>
          </w:p>
          <w:p w14:paraId="09F2F9A4" w14:textId="77777777" w:rsidR="00FE7C6F" w:rsidRPr="0052573B" w:rsidRDefault="00FE7C6F" w:rsidP="00ED0B0C">
            <w:pPr>
              <w:rPr>
                <w:sz w:val="20"/>
                <w:szCs w:val="20"/>
              </w:rPr>
            </w:pPr>
            <w:r w:rsidRPr="0052573B">
              <w:rPr>
                <w:sz w:val="20"/>
                <w:szCs w:val="20"/>
              </w:rPr>
              <w:t>Total admission approx. 110-115 days</w:t>
            </w:r>
          </w:p>
          <w:p w14:paraId="495FCE30" w14:textId="77777777" w:rsidR="00FE7C6F" w:rsidRPr="0052573B" w:rsidRDefault="00FE7C6F" w:rsidP="00ED0B0C">
            <w:pPr>
              <w:rPr>
                <w:sz w:val="20"/>
                <w:szCs w:val="20"/>
              </w:rPr>
            </w:pPr>
            <w:r w:rsidRPr="0052573B">
              <w:rPr>
                <w:sz w:val="20"/>
                <w:szCs w:val="20"/>
              </w:rPr>
              <w:t>ICU 49 days</w:t>
            </w:r>
          </w:p>
        </w:tc>
      </w:tr>
      <w:tr w:rsidR="00FE7C6F" w:rsidRPr="0052573B" w14:paraId="69037BB9" w14:textId="77777777" w:rsidTr="00ED0B0C">
        <w:trPr>
          <w:trHeight w:val="930"/>
        </w:trPr>
        <w:tc>
          <w:tcPr>
            <w:tcW w:w="1129" w:type="dxa"/>
            <w:hideMark/>
          </w:tcPr>
          <w:p w14:paraId="72D7A367" w14:textId="77777777" w:rsidR="00FE7C6F" w:rsidRPr="0052573B" w:rsidRDefault="00FE7C6F" w:rsidP="00ED0B0C">
            <w:pPr>
              <w:rPr>
                <w:sz w:val="20"/>
                <w:szCs w:val="20"/>
              </w:rPr>
            </w:pPr>
            <w:r w:rsidRPr="0052573B">
              <w:rPr>
                <w:sz w:val="20"/>
                <w:szCs w:val="20"/>
              </w:rPr>
              <w:t>P8</w:t>
            </w:r>
          </w:p>
        </w:tc>
        <w:tc>
          <w:tcPr>
            <w:tcW w:w="851" w:type="dxa"/>
            <w:hideMark/>
          </w:tcPr>
          <w:p w14:paraId="55A4A904" w14:textId="77777777" w:rsidR="00FE7C6F" w:rsidRPr="0052573B" w:rsidRDefault="00FE7C6F" w:rsidP="00ED0B0C">
            <w:pPr>
              <w:rPr>
                <w:sz w:val="20"/>
                <w:szCs w:val="20"/>
              </w:rPr>
            </w:pPr>
            <w:r w:rsidRPr="0052573B">
              <w:rPr>
                <w:sz w:val="20"/>
                <w:szCs w:val="20"/>
              </w:rPr>
              <w:t>69</w:t>
            </w:r>
          </w:p>
        </w:tc>
        <w:tc>
          <w:tcPr>
            <w:tcW w:w="567" w:type="dxa"/>
            <w:hideMark/>
          </w:tcPr>
          <w:p w14:paraId="28F4EF5F" w14:textId="77777777" w:rsidR="00FE7C6F" w:rsidRPr="0052573B" w:rsidRDefault="00FE7C6F" w:rsidP="00ED0B0C">
            <w:pPr>
              <w:rPr>
                <w:sz w:val="20"/>
                <w:szCs w:val="20"/>
              </w:rPr>
            </w:pPr>
            <w:r w:rsidRPr="0052573B">
              <w:rPr>
                <w:sz w:val="20"/>
                <w:szCs w:val="20"/>
              </w:rPr>
              <w:t>M</w:t>
            </w:r>
          </w:p>
        </w:tc>
        <w:tc>
          <w:tcPr>
            <w:tcW w:w="1417" w:type="dxa"/>
            <w:hideMark/>
          </w:tcPr>
          <w:p w14:paraId="578FDF16" w14:textId="77777777" w:rsidR="00FE7C6F" w:rsidRPr="0052573B" w:rsidRDefault="00FE7C6F" w:rsidP="00ED0B0C">
            <w:pPr>
              <w:rPr>
                <w:sz w:val="20"/>
                <w:szCs w:val="20"/>
              </w:rPr>
            </w:pPr>
            <w:r w:rsidRPr="0052573B">
              <w:rPr>
                <w:sz w:val="20"/>
                <w:szCs w:val="20"/>
              </w:rPr>
              <w:t>Married</w:t>
            </w:r>
          </w:p>
        </w:tc>
        <w:tc>
          <w:tcPr>
            <w:tcW w:w="993" w:type="dxa"/>
            <w:hideMark/>
          </w:tcPr>
          <w:p w14:paraId="456E2516" w14:textId="77777777" w:rsidR="00FE7C6F" w:rsidRPr="0052573B" w:rsidRDefault="00FE7C6F" w:rsidP="00ED0B0C">
            <w:pPr>
              <w:rPr>
                <w:sz w:val="20"/>
                <w:szCs w:val="20"/>
              </w:rPr>
            </w:pPr>
            <w:r w:rsidRPr="0052573B">
              <w:rPr>
                <w:sz w:val="20"/>
                <w:szCs w:val="20"/>
              </w:rPr>
              <w:t>White, British</w:t>
            </w:r>
          </w:p>
        </w:tc>
        <w:tc>
          <w:tcPr>
            <w:tcW w:w="1134" w:type="dxa"/>
            <w:hideMark/>
          </w:tcPr>
          <w:p w14:paraId="2D918B85" w14:textId="77777777" w:rsidR="00FE7C6F" w:rsidRPr="0052573B" w:rsidRDefault="00FE7C6F" w:rsidP="00ED0B0C">
            <w:pPr>
              <w:rPr>
                <w:sz w:val="20"/>
                <w:szCs w:val="20"/>
              </w:rPr>
            </w:pPr>
            <w:r w:rsidRPr="0052573B">
              <w:rPr>
                <w:sz w:val="20"/>
                <w:szCs w:val="20"/>
              </w:rPr>
              <w:t xml:space="preserve">1 LTC </w:t>
            </w:r>
          </w:p>
        </w:tc>
        <w:tc>
          <w:tcPr>
            <w:tcW w:w="1275" w:type="dxa"/>
          </w:tcPr>
          <w:p w14:paraId="43A22E94" w14:textId="77777777" w:rsidR="00FE7C6F" w:rsidRPr="0052573B" w:rsidRDefault="00FE7C6F" w:rsidP="00ED0B0C">
            <w:pPr>
              <w:rPr>
                <w:sz w:val="20"/>
                <w:szCs w:val="20"/>
              </w:rPr>
            </w:pPr>
            <w:r w:rsidRPr="0052573B">
              <w:rPr>
                <w:sz w:val="20"/>
                <w:szCs w:val="20"/>
              </w:rPr>
              <w:t>Transport based profession</w:t>
            </w:r>
          </w:p>
        </w:tc>
        <w:tc>
          <w:tcPr>
            <w:tcW w:w="1560" w:type="dxa"/>
            <w:hideMark/>
          </w:tcPr>
          <w:p w14:paraId="3FE1C59F" w14:textId="32B1E402" w:rsidR="00FE7C6F" w:rsidRPr="0052573B" w:rsidRDefault="00FE7C6F" w:rsidP="00ED0B0C">
            <w:pPr>
              <w:rPr>
                <w:sz w:val="20"/>
                <w:szCs w:val="20"/>
              </w:rPr>
            </w:pPr>
            <w:r w:rsidRPr="0052573B">
              <w:rPr>
                <w:sz w:val="20"/>
                <w:szCs w:val="20"/>
              </w:rPr>
              <w:t>March</w:t>
            </w:r>
            <w:r w:rsidR="00997FE5" w:rsidRPr="0052573B">
              <w:rPr>
                <w:sz w:val="20"/>
                <w:szCs w:val="20"/>
              </w:rPr>
              <w:t>-</w:t>
            </w:r>
            <w:r w:rsidRPr="0052573B">
              <w:rPr>
                <w:sz w:val="20"/>
                <w:szCs w:val="20"/>
              </w:rPr>
              <w:t xml:space="preserve">April 2020 </w:t>
            </w:r>
          </w:p>
          <w:p w14:paraId="53674724" w14:textId="77777777" w:rsidR="00FE7C6F" w:rsidRPr="0052573B" w:rsidRDefault="00FE7C6F" w:rsidP="00ED0B0C">
            <w:pPr>
              <w:rPr>
                <w:sz w:val="20"/>
                <w:szCs w:val="20"/>
              </w:rPr>
            </w:pPr>
            <w:r w:rsidRPr="0052573B">
              <w:rPr>
                <w:sz w:val="20"/>
                <w:szCs w:val="20"/>
              </w:rPr>
              <w:t>Total admission unknown</w:t>
            </w:r>
          </w:p>
          <w:p w14:paraId="3C211CE0" w14:textId="77777777" w:rsidR="00FE7C6F" w:rsidRPr="0052573B" w:rsidRDefault="00FE7C6F" w:rsidP="00ED0B0C">
            <w:pPr>
              <w:rPr>
                <w:sz w:val="20"/>
                <w:szCs w:val="20"/>
              </w:rPr>
            </w:pPr>
            <w:r w:rsidRPr="0052573B">
              <w:rPr>
                <w:sz w:val="20"/>
                <w:szCs w:val="20"/>
              </w:rPr>
              <w:t>ICU 16 days</w:t>
            </w:r>
          </w:p>
          <w:p w14:paraId="5D5D8D52" w14:textId="77777777" w:rsidR="00FE7C6F" w:rsidRPr="0052573B" w:rsidRDefault="00FE7C6F" w:rsidP="00ED0B0C">
            <w:pPr>
              <w:rPr>
                <w:sz w:val="20"/>
                <w:szCs w:val="20"/>
              </w:rPr>
            </w:pPr>
          </w:p>
        </w:tc>
      </w:tr>
      <w:tr w:rsidR="00FE7C6F" w:rsidRPr="0052573B" w14:paraId="5AD8E84E" w14:textId="77777777" w:rsidTr="00ED0B0C">
        <w:trPr>
          <w:trHeight w:val="864"/>
        </w:trPr>
        <w:tc>
          <w:tcPr>
            <w:tcW w:w="1129" w:type="dxa"/>
            <w:hideMark/>
          </w:tcPr>
          <w:p w14:paraId="45AE487D" w14:textId="77777777" w:rsidR="00FE7C6F" w:rsidRPr="0052573B" w:rsidRDefault="00FE7C6F" w:rsidP="00ED0B0C">
            <w:pPr>
              <w:rPr>
                <w:sz w:val="20"/>
                <w:szCs w:val="20"/>
              </w:rPr>
            </w:pPr>
            <w:r w:rsidRPr="0052573B">
              <w:rPr>
                <w:sz w:val="20"/>
                <w:szCs w:val="20"/>
              </w:rPr>
              <w:t>P9</w:t>
            </w:r>
          </w:p>
        </w:tc>
        <w:tc>
          <w:tcPr>
            <w:tcW w:w="851" w:type="dxa"/>
            <w:hideMark/>
          </w:tcPr>
          <w:p w14:paraId="4A1FCCE9" w14:textId="77777777" w:rsidR="00FE7C6F" w:rsidRPr="0052573B" w:rsidRDefault="00FE7C6F" w:rsidP="00ED0B0C">
            <w:pPr>
              <w:rPr>
                <w:sz w:val="20"/>
                <w:szCs w:val="20"/>
              </w:rPr>
            </w:pPr>
            <w:r w:rsidRPr="0052573B">
              <w:rPr>
                <w:sz w:val="20"/>
                <w:szCs w:val="20"/>
              </w:rPr>
              <w:t>71</w:t>
            </w:r>
          </w:p>
        </w:tc>
        <w:tc>
          <w:tcPr>
            <w:tcW w:w="567" w:type="dxa"/>
            <w:hideMark/>
          </w:tcPr>
          <w:p w14:paraId="4104D6E5" w14:textId="77777777" w:rsidR="00FE7C6F" w:rsidRPr="0052573B" w:rsidRDefault="00FE7C6F" w:rsidP="00ED0B0C">
            <w:pPr>
              <w:rPr>
                <w:sz w:val="20"/>
                <w:szCs w:val="20"/>
              </w:rPr>
            </w:pPr>
            <w:r w:rsidRPr="0052573B">
              <w:rPr>
                <w:sz w:val="20"/>
                <w:szCs w:val="20"/>
              </w:rPr>
              <w:t>M</w:t>
            </w:r>
          </w:p>
        </w:tc>
        <w:tc>
          <w:tcPr>
            <w:tcW w:w="1417" w:type="dxa"/>
            <w:hideMark/>
          </w:tcPr>
          <w:p w14:paraId="71B4D745" w14:textId="77777777" w:rsidR="00FE7C6F" w:rsidRPr="0052573B" w:rsidRDefault="00FE7C6F" w:rsidP="00ED0B0C">
            <w:pPr>
              <w:rPr>
                <w:sz w:val="20"/>
                <w:szCs w:val="20"/>
              </w:rPr>
            </w:pPr>
            <w:r w:rsidRPr="0052573B">
              <w:rPr>
                <w:sz w:val="20"/>
                <w:szCs w:val="20"/>
              </w:rPr>
              <w:t xml:space="preserve">Married </w:t>
            </w:r>
          </w:p>
        </w:tc>
        <w:tc>
          <w:tcPr>
            <w:tcW w:w="993" w:type="dxa"/>
            <w:hideMark/>
          </w:tcPr>
          <w:p w14:paraId="41B3683B" w14:textId="77777777" w:rsidR="00FE7C6F" w:rsidRPr="0052573B" w:rsidRDefault="00FE7C6F" w:rsidP="00ED0B0C">
            <w:pPr>
              <w:rPr>
                <w:sz w:val="20"/>
                <w:szCs w:val="20"/>
              </w:rPr>
            </w:pPr>
            <w:r w:rsidRPr="0052573B">
              <w:rPr>
                <w:sz w:val="20"/>
                <w:szCs w:val="20"/>
              </w:rPr>
              <w:t>White, British, Jewish</w:t>
            </w:r>
          </w:p>
        </w:tc>
        <w:tc>
          <w:tcPr>
            <w:tcW w:w="1134" w:type="dxa"/>
            <w:hideMark/>
          </w:tcPr>
          <w:p w14:paraId="1AB26425" w14:textId="77777777" w:rsidR="00FE7C6F" w:rsidRPr="0052573B" w:rsidRDefault="00FE7C6F" w:rsidP="00ED0B0C">
            <w:pPr>
              <w:rPr>
                <w:sz w:val="20"/>
                <w:szCs w:val="20"/>
              </w:rPr>
            </w:pPr>
            <w:r w:rsidRPr="0052573B">
              <w:rPr>
                <w:sz w:val="20"/>
                <w:szCs w:val="20"/>
              </w:rPr>
              <w:t xml:space="preserve">1 LTC </w:t>
            </w:r>
          </w:p>
        </w:tc>
        <w:tc>
          <w:tcPr>
            <w:tcW w:w="1275" w:type="dxa"/>
          </w:tcPr>
          <w:p w14:paraId="48B8A892" w14:textId="77777777" w:rsidR="00FE7C6F" w:rsidRPr="0052573B" w:rsidRDefault="00FE7C6F" w:rsidP="00ED0B0C">
            <w:pPr>
              <w:rPr>
                <w:sz w:val="20"/>
                <w:szCs w:val="20"/>
              </w:rPr>
            </w:pPr>
            <w:r w:rsidRPr="0052573B">
              <w:rPr>
                <w:sz w:val="20"/>
                <w:szCs w:val="20"/>
              </w:rPr>
              <w:t>Office-based professional</w:t>
            </w:r>
          </w:p>
        </w:tc>
        <w:tc>
          <w:tcPr>
            <w:tcW w:w="1560" w:type="dxa"/>
            <w:hideMark/>
          </w:tcPr>
          <w:p w14:paraId="6F27CDAA" w14:textId="77777777" w:rsidR="00FE7C6F" w:rsidRPr="0052573B" w:rsidRDefault="00FE7C6F" w:rsidP="00ED0B0C">
            <w:pPr>
              <w:rPr>
                <w:sz w:val="20"/>
                <w:szCs w:val="20"/>
              </w:rPr>
            </w:pPr>
            <w:r w:rsidRPr="0052573B">
              <w:rPr>
                <w:sz w:val="20"/>
                <w:szCs w:val="20"/>
              </w:rPr>
              <w:t>March 2020</w:t>
            </w:r>
          </w:p>
          <w:p w14:paraId="6509F0C9" w14:textId="77777777" w:rsidR="00FE7C6F" w:rsidRPr="0052573B" w:rsidRDefault="00FE7C6F" w:rsidP="00ED0B0C">
            <w:pPr>
              <w:rPr>
                <w:sz w:val="20"/>
                <w:szCs w:val="20"/>
              </w:rPr>
            </w:pPr>
            <w:r w:rsidRPr="0052573B">
              <w:rPr>
                <w:sz w:val="20"/>
                <w:szCs w:val="20"/>
              </w:rPr>
              <w:t>Total admission not known</w:t>
            </w:r>
          </w:p>
          <w:p w14:paraId="49673CF0" w14:textId="77777777" w:rsidR="00FE7C6F" w:rsidRPr="0052573B" w:rsidRDefault="00FE7C6F" w:rsidP="00ED0B0C">
            <w:pPr>
              <w:rPr>
                <w:sz w:val="20"/>
                <w:szCs w:val="20"/>
              </w:rPr>
            </w:pPr>
            <w:r w:rsidRPr="0052573B">
              <w:rPr>
                <w:sz w:val="20"/>
                <w:szCs w:val="20"/>
              </w:rPr>
              <w:t>ICU 4-5 days</w:t>
            </w:r>
          </w:p>
          <w:p w14:paraId="1899AEF0" w14:textId="77777777" w:rsidR="00FE7C6F" w:rsidRPr="0052573B" w:rsidRDefault="00FE7C6F" w:rsidP="00ED0B0C">
            <w:pPr>
              <w:rPr>
                <w:sz w:val="20"/>
                <w:szCs w:val="20"/>
              </w:rPr>
            </w:pPr>
          </w:p>
        </w:tc>
      </w:tr>
      <w:tr w:rsidR="00FE7C6F" w:rsidRPr="0052573B" w14:paraId="0904723F" w14:textId="77777777" w:rsidTr="00ED0B0C">
        <w:trPr>
          <w:trHeight w:val="864"/>
        </w:trPr>
        <w:tc>
          <w:tcPr>
            <w:tcW w:w="1129" w:type="dxa"/>
            <w:hideMark/>
          </w:tcPr>
          <w:p w14:paraId="4E54DE3D" w14:textId="77777777" w:rsidR="00FE7C6F" w:rsidRPr="0052573B" w:rsidRDefault="00FE7C6F" w:rsidP="00ED0B0C">
            <w:pPr>
              <w:rPr>
                <w:sz w:val="20"/>
                <w:szCs w:val="20"/>
              </w:rPr>
            </w:pPr>
            <w:r w:rsidRPr="0052573B">
              <w:rPr>
                <w:sz w:val="20"/>
                <w:szCs w:val="20"/>
              </w:rPr>
              <w:t>P10</w:t>
            </w:r>
          </w:p>
        </w:tc>
        <w:tc>
          <w:tcPr>
            <w:tcW w:w="851" w:type="dxa"/>
            <w:hideMark/>
          </w:tcPr>
          <w:p w14:paraId="28DEA533" w14:textId="77777777" w:rsidR="00FE7C6F" w:rsidRPr="0052573B" w:rsidRDefault="00FE7C6F" w:rsidP="00ED0B0C">
            <w:pPr>
              <w:rPr>
                <w:sz w:val="20"/>
                <w:szCs w:val="20"/>
              </w:rPr>
            </w:pPr>
            <w:r w:rsidRPr="0052573B">
              <w:rPr>
                <w:sz w:val="20"/>
                <w:szCs w:val="20"/>
              </w:rPr>
              <w:t>48</w:t>
            </w:r>
          </w:p>
        </w:tc>
        <w:tc>
          <w:tcPr>
            <w:tcW w:w="567" w:type="dxa"/>
            <w:hideMark/>
          </w:tcPr>
          <w:p w14:paraId="0074639B" w14:textId="77777777" w:rsidR="00FE7C6F" w:rsidRPr="0052573B" w:rsidRDefault="00FE7C6F" w:rsidP="00ED0B0C">
            <w:pPr>
              <w:rPr>
                <w:sz w:val="20"/>
                <w:szCs w:val="20"/>
              </w:rPr>
            </w:pPr>
            <w:r w:rsidRPr="0052573B">
              <w:rPr>
                <w:sz w:val="20"/>
                <w:szCs w:val="20"/>
              </w:rPr>
              <w:t>M</w:t>
            </w:r>
          </w:p>
        </w:tc>
        <w:tc>
          <w:tcPr>
            <w:tcW w:w="1417" w:type="dxa"/>
            <w:hideMark/>
          </w:tcPr>
          <w:p w14:paraId="0C1DEF21" w14:textId="77777777" w:rsidR="00FE7C6F" w:rsidRPr="0052573B" w:rsidRDefault="00FE7C6F" w:rsidP="00ED0B0C">
            <w:pPr>
              <w:rPr>
                <w:sz w:val="20"/>
                <w:szCs w:val="20"/>
              </w:rPr>
            </w:pPr>
            <w:proofErr w:type="gramStart"/>
            <w:r w:rsidRPr="0052573B">
              <w:rPr>
                <w:sz w:val="20"/>
                <w:szCs w:val="20"/>
              </w:rPr>
              <w:t>Divorced-lives</w:t>
            </w:r>
            <w:proofErr w:type="gramEnd"/>
            <w:r w:rsidRPr="0052573B">
              <w:rPr>
                <w:sz w:val="20"/>
                <w:szCs w:val="20"/>
              </w:rPr>
              <w:t xml:space="preserve"> alone </w:t>
            </w:r>
          </w:p>
        </w:tc>
        <w:tc>
          <w:tcPr>
            <w:tcW w:w="993" w:type="dxa"/>
            <w:hideMark/>
          </w:tcPr>
          <w:p w14:paraId="736B72D8" w14:textId="77777777" w:rsidR="00FE7C6F" w:rsidRPr="0052573B" w:rsidRDefault="00FE7C6F" w:rsidP="00ED0B0C">
            <w:pPr>
              <w:rPr>
                <w:sz w:val="20"/>
                <w:szCs w:val="20"/>
              </w:rPr>
            </w:pPr>
            <w:r w:rsidRPr="0052573B">
              <w:rPr>
                <w:sz w:val="20"/>
                <w:szCs w:val="20"/>
              </w:rPr>
              <w:t>Black African</w:t>
            </w:r>
          </w:p>
        </w:tc>
        <w:tc>
          <w:tcPr>
            <w:tcW w:w="1134" w:type="dxa"/>
            <w:hideMark/>
          </w:tcPr>
          <w:p w14:paraId="7C21B41A" w14:textId="77777777" w:rsidR="00FE7C6F" w:rsidRPr="0052573B" w:rsidRDefault="00FE7C6F" w:rsidP="00ED0B0C">
            <w:pPr>
              <w:rPr>
                <w:sz w:val="20"/>
                <w:szCs w:val="20"/>
              </w:rPr>
            </w:pPr>
            <w:r w:rsidRPr="0052573B">
              <w:rPr>
                <w:sz w:val="20"/>
                <w:szCs w:val="20"/>
              </w:rPr>
              <w:t>1 LTC</w:t>
            </w:r>
          </w:p>
        </w:tc>
        <w:tc>
          <w:tcPr>
            <w:tcW w:w="1275" w:type="dxa"/>
          </w:tcPr>
          <w:p w14:paraId="340733C5" w14:textId="77777777" w:rsidR="00FE7C6F" w:rsidRPr="0052573B" w:rsidRDefault="00FE7C6F" w:rsidP="00ED0B0C">
            <w:pPr>
              <w:rPr>
                <w:sz w:val="20"/>
                <w:szCs w:val="20"/>
              </w:rPr>
            </w:pPr>
            <w:r w:rsidRPr="0052573B">
              <w:rPr>
                <w:sz w:val="20"/>
                <w:szCs w:val="20"/>
              </w:rPr>
              <w:t>Unemployed</w:t>
            </w:r>
          </w:p>
        </w:tc>
        <w:tc>
          <w:tcPr>
            <w:tcW w:w="1560" w:type="dxa"/>
            <w:hideMark/>
          </w:tcPr>
          <w:p w14:paraId="1359DCD1" w14:textId="77777777" w:rsidR="00FE7C6F" w:rsidRPr="0052573B" w:rsidRDefault="00FE7C6F" w:rsidP="00ED0B0C">
            <w:pPr>
              <w:rPr>
                <w:sz w:val="20"/>
                <w:szCs w:val="20"/>
              </w:rPr>
            </w:pPr>
            <w:r w:rsidRPr="0052573B">
              <w:rPr>
                <w:sz w:val="20"/>
                <w:szCs w:val="20"/>
              </w:rPr>
              <w:t>March 2020</w:t>
            </w:r>
          </w:p>
          <w:p w14:paraId="79790601" w14:textId="77777777" w:rsidR="00FE7C6F" w:rsidRPr="0052573B" w:rsidRDefault="00FE7C6F" w:rsidP="00ED0B0C">
            <w:pPr>
              <w:rPr>
                <w:sz w:val="20"/>
                <w:szCs w:val="20"/>
              </w:rPr>
            </w:pPr>
            <w:r w:rsidRPr="0052573B">
              <w:rPr>
                <w:sz w:val="20"/>
                <w:szCs w:val="20"/>
              </w:rPr>
              <w:t>Total admission approx. 150 days</w:t>
            </w:r>
          </w:p>
          <w:p w14:paraId="32E84A87" w14:textId="77777777" w:rsidR="00FE7C6F" w:rsidRPr="0052573B" w:rsidRDefault="00FE7C6F" w:rsidP="00ED0B0C">
            <w:pPr>
              <w:rPr>
                <w:sz w:val="20"/>
                <w:szCs w:val="20"/>
              </w:rPr>
            </w:pPr>
            <w:r w:rsidRPr="0052573B">
              <w:rPr>
                <w:sz w:val="20"/>
                <w:szCs w:val="20"/>
              </w:rPr>
              <w:t>ICU 8 days</w:t>
            </w:r>
          </w:p>
          <w:p w14:paraId="147FE1C1" w14:textId="77777777" w:rsidR="00FE7C6F" w:rsidRPr="0052573B" w:rsidRDefault="00FE7C6F" w:rsidP="00ED0B0C">
            <w:pPr>
              <w:rPr>
                <w:sz w:val="20"/>
                <w:szCs w:val="20"/>
              </w:rPr>
            </w:pPr>
            <w:r w:rsidRPr="0052573B">
              <w:rPr>
                <w:sz w:val="20"/>
                <w:szCs w:val="20"/>
              </w:rPr>
              <w:t xml:space="preserve">Ventilated </w:t>
            </w:r>
          </w:p>
        </w:tc>
      </w:tr>
      <w:tr w:rsidR="00FE7C6F" w:rsidRPr="0052573B" w14:paraId="45EE98A9" w14:textId="77777777" w:rsidTr="00ED0B0C">
        <w:trPr>
          <w:trHeight w:val="864"/>
        </w:trPr>
        <w:tc>
          <w:tcPr>
            <w:tcW w:w="1129" w:type="dxa"/>
            <w:hideMark/>
          </w:tcPr>
          <w:p w14:paraId="0A9F9928" w14:textId="77777777" w:rsidR="00FE7C6F" w:rsidRPr="0052573B" w:rsidRDefault="00FE7C6F" w:rsidP="00ED0B0C">
            <w:pPr>
              <w:rPr>
                <w:sz w:val="20"/>
                <w:szCs w:val="20"/>
              </w:rPr>
            </w:pPr>
            <w:r w:rsidRPr="0052573B">
              <w:rPr>
                <w:sz w:val="20"/>
                <w:szCs w:val="20"/>
              </w:rPr>
              <w:t>P11</w:t>
            </w:r>
          </w:p>
        </w:tc>
        <w:tc>
          <w:tcPr>
            <w:tcW w:w="851" w:type="dxa"/>
            <w:hideMark/>
          </w:tcPr>
          <w:p w14:paraId="27C344D6" w14:textId="77777777" w:rsidR="00FE7C6F" w:rsidRPr="0052573B" w:rsidRDefault="00FE7C6F" w:rsidP="00ED0B0C">
            <w:pPr>
              <w:rPr>
                <w:sz w:val="20"/>
                <w:szCs w:val="20"/>
              </w:rPr>
            </w:pPr>
            <w:r w:rsidRPr="0052573B">
              <w:rPr>
                <w:sz w:val="20"/>
                <w:szCs w:val="20"/>
              </w:rPr>
              <w:t>58</w:t>
            </w:r>
          </w:p>
        </w:tc>
        <w:tc>
          <w:tcPr>
            <w:tcW w:w="567" w:type="dxa"/>
            <w:hideMark/>
          </w:tcPr>
          <w:p w14:paraId="09348D27" w14:textId="77777777" w:rsidR="00FE7C6F" w:rsidRPr="0052573B" w:rsidRDefault="00FE7C6F" w:rsidP="00ED0B0C">
            <w:pPr>
              <w:rPr>
                <w:sz w:val="20"/>
                <w:szCs w:val="20"/>
              </w:rPr>
            </w:pPr>
            <w:r w:rsidRPr="0052573B">
              <w:rPr>
                <w:sz w:val="20"/>
                <w:szCs w:val="20"/>
              </w:rPr>
              <w:t>M</w:t>
            </w:r>
          </w:p>
        </w:tc>
        <w:tc>
          <w:tcPr>
            <w:tcW w:w="1417" w:type="dxa"/>
            <w:hideMark/>
          </w:tcPr>
          <w:p w14:paraId="4017C89D" w14:textId="77777777" w:rsidR="00FE7C6F" w:rsidRPr="0052573B" w:rsidRDefault="00FE7C6F" w:rsidP="00ED0B0C">
            <w:pPr>
              <w:rPr>
                <w:sz w:val="20"/>
                <w:szCs w:val="20"/>
              </w:rPr>
            </w:pPr>
            <w:r w:rsidRPr="0052573B">
              <w:rPr>
                <w:sz w:val="20"/>
                <w:szCs w:val="20"/>
              </w:rPr>
              <w:t>Married</w:t>
            </w:r>
          </w:p>
        </w:tc>
        <w:tc>
          <w:tcPr>
            <w:tcW w:w="993" w:type="dxa"/>
            <w:hideMark/>
          </w:tcPr>
          <w:p w14:paraId="6B7818C2" w14:textId="77777777" w:rsidR="00FE7C6F" w:rsidRPr="0052573B" w:rsidRDefault="00FE7C6F" w:rsidP="00ED0B0C">
            <w:pPr>
              <w:rPr>
                <w:sz w:val="20"/>
                <w:szCs w:val="20"/>
              </w:rPr>
            </w:pPr>
            <w:r w:rsidRPr="0052573B">
              <w:rPr>
                <w:sz w:val="20"/>
                <w:szCs w:val="20"/>
              </w:rPr>
              <w:t>White British</w:t>
            </w:r>
          </w:p>
        </w:tc>
        <w:tc>
          <w:tcPr>
            <w:tcW w:w="1134" w:type="dxa"/>
            <w:hideMark/>
          </w:tcPr>
          <w:p w14:paraId="795AAFA0" w14:textId="77777777" w:rsidR="00FE7C6F" w:rsidRPr="0052573B" w:rsidRDefault="00FE7C6F" w:rsidP="00ED0B0C">
            <w:pPr>
              <w:rPr>
                <w:sz w:val="20"/>
                <w:szCs w:val="20"/>
              </w:rPr>
            </w:pPr>
            <w:r w:rsidRPr="0052573B">
              <w:rPr>
                <w:sz w:val="20"/>
                <w:szCs w:val="20"/>
              </w:rPr>
              <w:t>1 LTC</w:t>
            </w:r>
          </w:p>
        </w:tc>
        <w:tc>
          <w:tcPr>
            <w:tcW w:w="1275" w:type="dxa"/>
          </w:tcPr>
          <w:p w14:paraId="271095B9" w14:textId="77777777" w:rsidR="00FE7C6F" w:rsidRPr="0052573B" w:rsidRDefault="00FE7C6F" w:rsidP="00ED0B0C">
            <w:pPr>
              <w:rPr>
                <w:sz w:val="20"/>
                <w:szCs w:val="20"/>
              </w:rPr>
            </w:pPr>
            <w:r w:rsidRPr="0052573B">
              <w:rPr>
                <w:sz w:val="20"/>
                <w:szCs w:val="20"/>
              </w:rPr>
              <w:t xml:space="preserve">Unknown </w:t>
            </w:r>
          </w:p>
        </w:tc>
        <w:tc>
          <w:tcPr>
            <w:tcW w:w="1560" w:type="dxa"/>
            <w:hideMark/>
          </w:tcPr>
          <w:p w14:paraId="424C92C7" w14:textId="77777777" w:rsidR="00FE7C6F" w:rsidRPr="0052573B" w:rsidRDefault="00FE7C6F" w:rsidP="00ED0B0C">
            <w:pPr>
              <w:rPr>
                <w:sz w:val="20"/>
                <w:szCs w:val="20"/>
              </w:rPr>
            </w:pPr>
            <w:r w:rsidRPr="0052573B">
              <w:rPr>
                <w:sz w:val="20"/>
                <w:szCs w:val="20"/>
              </w:rPr>
              <w:t>March-July 2020</w:t>
            </w:r>
          </w:p>
          <w:p w14:paraId="0EA7BB75" w14:textId="77777777" w:rsidR="00FE7C6F" w:rsidRPr="0052573B" w:rsidRDefault="00FE7C6F" w:rsidP="00ED0B0C">
            <w:pPr>
              <w:rPr>
                <w:sz w:val="20"/>
                <w:szCs w:val="20"/>
              </w:rPr>
            </w:pPr>
            <w:r w:rsidRPr="0052573B">
              <w:rPr>
                <w:sz w:val="20"/>
                <w:szCs w:val="20"/>
              </w:rPr>
              <w:t>Total admission unknown</w:t>
            </w:r>
          </w:p>
          <w:p w14:paraId="53CF1ED7" w14:textId="77777777" w:rsidR="00FE7C6F" w:rsidRPr="0052573B" w:rsidRDefault="00FE7C6F" w:rsidP="00ED0B0C">
            <w:pPr>
              <w:rPr>
                <w:sz w:val="20"/>
                <w:szCs w:val="20"/>
              </w:rPr>
            </w:pPr>
            <w:r w:rsidRPr="0052573B">
              <w:rPr>
                <w:sz w:val="20"/>
                <w:szCs w:val="20"/>
              </w:rPr>
              <w:t xml:space="preserve">ICU </w:t>
            </w:r>
            <w:proofErr w:type="gramStart"/>
            <w:r w:rsidRPr="0052573B">
              <w:rPr>
                <w:sz w:val="20"/>
                <w:szCs w:val="20"/>
              </w:rPr>
              <w:t>stay</w:t>
            </w:r>
            <w:proofErr w:type="gramEnd"/>
            <w:r w:rsidRPr="0052573B">
              <w:rPr>
                <w:sz w:val="20"/>
                <w:szCs w:val="20"/>
              </w:rPr>
              <w:t xml:space="preserve"> unknown</w:t>
            </w:r>
          </w:p>
          <w:p w14:paraId="4BDF05CE" w14:textId="77777777" w:rsidR="00FE7C6F" w:rsidRPr="0052573B" w:rsidRDefault="00FE7C6F" w:rsidP="00ED0B0C">
            <w:pPr>
              <w:rPr>
                <w:sz w:val="20"/>
                <w:szCs w:val="20"/>
              </w:rPr>
            </w:pPr>
            <w:r w:rsidRPr="0052573B">
              <w:rPr>
                <w:sz w:val="20"/>
                <w:szCs w:val="20"/>
              </w:rPr>
              <w:lastRenderedPageBreak/>
              <w:t xml:space="preserve">Rehab 4-5 weeks </w:t>
            </w:r>
          </w:p>
        </w:tc>
      </w:tr>
      <w:tr w:rsidR="00FE7C6F" w:rsidRPr="0052573B" w14:paraId="34522D9B" w14:textId="77777777" w:rsidTr="00ED0B0C">
        <w:trPr>
          <w:trHeight w:val="416"/>
        </w:trPr>
        <w:tc>
          <w:tcPr>
            <w:tcW w:w="1129" w:type="dxa"/>
            <w:hideMark/>
          </w:tcPr>
          <w:p w14:paraId="6D6369A7" w14:textId="77777777" w:rsidR="00FE7C6F" w:rsidRPr="0052573B" w:rsidRDefault="00FE7C6F" w:rsidP="00ED0B0C">
            <w:pPr>
              <w:rPr>
                <w:sz w:val="20"/>
                <w:szCs w:val="20"/>
              </w:rPr>
            </w:pPr>
            <w:r w:rsidRPr="0052573B">
              <w:rPr>
                <w:sz w:val="20"/>
                <w:szCs w:val="20"/>
              </w:rPr>
              <w:lastRenderedPageBreak/>
              <w:t>P12</w:t>
            </w:r>
          </w:p>
        </w:tc>
        <w:tc>
          <w:tcPr>
            <w:tcW w:w="851" w:type="dxa"/>
            <w:noWrap/>
            <w:hideMark/>
          </w:tcPr>
          <w:p w14:paraId="19D918D7" w14:textId="77777777" w:rsidR="00FE7C6F" w:rsidRPr="0052573B" w:rsidRDefault="00FE7C6F" w:rsidP="00ED0B0C">
            <w:pPr>
              <w:rPr>
                <w:sz w:val="20"/>
                <w:szCs w:val="20"/>
              </w:rPr>
            </w:pPr>
            <w:r w:rsidRPr="0052573B">
              <w:rPr>
                <w:sz w:val="20"/>
                <w:szCs w:val="20"/>
              </w:rPr>
              <w:t>56</w:t>
            </w:r>
          </w:p>
        </w:tc>
        <w:tc>
          <w:tcPr>
            <w:tcW w:w="567" w:type="dxa"/>
            <w:hideMark/>
          </w:tcPr>
          <w:p w14:paraId="389ABC9C" w14:textId="77777777" w:rsidR="00FE7C6F" w:rsidRPr="0052573B" w:rsidRDefault="00FE7C6F" w:rsidP="00ED0B0C">
            <w:pPr>
              <w:rPr>
                <w:sz w:val="20"/>
                <w:szCs w:val="20"/>
              </w:rPr>
            </w:pPr>
            <w:r w:rsidRPr="0052573B">
              <w:rPr>
                <w:sz w:val="20"/>
                <w:szCs w:val="20"/>
              </w:rPr>
              <w:t>M</w:t>
            </w:r>
          </w:p>
        </w:tc>
        <w:tc>
          <w:tcPr>
            <w:tcW w:w="1417" w:type="dxa"/>
            <w:hideMark/>
          </w:tcPr>
          <w:p w14:paraId="2342719C" w14:textId="77777777" w:rsidR="00FE7C6F" w:rsidRPr="0052573B" w:rsidRDefault="00FE7C6F" w:rsidP="00ED0B0C">
            <w:pPr>
              <w:rPr>
                <w:sz w:val="20"/>
                <w:szCs w:val="20"/>
              </w:rPr>
            </w:pPr>
            <w:r w:rsidRPr="0052573B">
              <w:rPr>
                <w:sz w:val="20"/>
                <w:szCs w:val="20"/>
              </w:rPr>
              <w:t>Married</w:t>
            </w:r>
          </w:p>
        </w:tc>
        <w:tc>
          <w:tcPr>
            <w:tcW w:w="993" w:type="dxa"/>
            <w:hideMark/>
          </w:tcPr>
          <w:p w14:paraId="470D2558" w14:textId="77777777" w:rsidR="00FE7C6F" w:rsidRPr="0052573B" w:rsidRDefault="00FE7C6F" w:rsidP="00ED0B0C">
            <w:pPr>
              <w:rPr>
                <w:sz w:val="20"/>
                <w:szCs w:val="20"/>
              </w:rPr>
            </w:pPr>
            <w:r w:rsidRPr="0052573B">
              <w:rPr>
                <w:sz w:val="20"/>
                <w:szCs w:val="20"/>
              </w:rPr>
              <w:t>White Other</w:t>
            </w:r>
          </w:p>
        </w:tc>
        <w:tc>
          <w:tcPr>
            <w:tcW w:w="1134" w:type="dxa"/>
            <w:hideMark/>
          </w:tcPr>
          <w:p w14:paraId="5E5E793C" w14:textId="77777777" w:rsidR="00FE7C6F" w:rsidRPr="0052573B" w:rsidRDefault="00FE7C6F" w:rsidP="00ED0B0C">
            <w:pPr>
              <w:rPr>
                <w:sz w:val="20"/>
                <w:szCs w:val="20"/>
              </w:rPr>
            </w:pPr>
            <w:r w:rsidRPr="0052573B">
              <w:rPr>
                <w:sz w:val="20"/>
                <w:szCs w:val="20"/>
              </w:rPr>
              <w:t>&gt;1 LTC</w:t>
            </w:r>
          </w:p>
        </w:tc>
        <w:tc>
          <w:tcPr>
            <w:tcW w:w="1275" w:type="dxa"/>
          </w:tcPr>
          <w:p w14:paraId="695DCB96" w14:textId="77777777" w:rsidR="00FE7C6F" w:rsidRPr="0052573B" w:rsidRDefault="00FE7C6F" w:rsidP="00ED0B0C">
            <w:pPr>
              <w:rPr>
                <w:sz w:val="20"/>
                <w:szCs w:val="20"/>
              </w:rPr>
            </w:pPr>
            <w:r w:rsidRPr="0052573B">
              <w:rPr>
                <w:sz w:val="20"/>
                <w:szCs w:val="20"/>
              </w:rPr>
              <w:t xml:space="preserve">Office-based professional   </w:t>
            </w:r>
          </w:p>
        </w:tc>
        <w:tc>
          <w:tcPr>
            <w:tcW w:w="1560" w:type="dxa"/>
            <w:hideMark/>
          </w:tcPr>
          <w:p w14:paraId="4E581CB2" w14:textId="77777777" w:rsidR="00FE7C6F" w:rsidRPr="0052573B" w:rsidRDefault="00FE7C6F" w:rsidP="00ED0B0C">
            <w:pPr>
              <w:rPr>
                <w:sz w:val="20"/>
                <w:szCs w:val="20"/>
              </w:rPr>
            </w:pPr>
            <w:r w:rsidRPr="0052573B">
              <w:rPr>
                <w:sz w:val="20"/>
                <w:szCs w:val="20"/>
              </w:rPr>
              <w:t>March-July 2020</w:t>
            </w:r>
          </w:p>
          <w:p w14:paraId="2551C563" w14:textId="77777777" w:rsidR="00FE7C6F" w:rsidRPr="0052573B" w:rsidRDefault="00FE7C6F" w:rsidP="00ED0B0C">
            <w:pPr>
              <w:rPr>
                <w:sz w:val="20"/>
                <w:szCs w:val="20"/>
              </w:rPr>
            </w:pPr>
            <w:r w:rsidRPr="0052573B">
              <w:rPr>
                <w:sz w:val="20"/>
                <w:szCs w:val="20"/>
              </w:rPr>
              <w:t xml:space="preserve">Total admission107 days. </w:t>
            </w:r>
          </w:p>
          <w:p w14:paraId="4D0E2FF2" w14:textId="77777777" w:rsidR="00FE7C6F" w:rsidRPr="0052573B" w:rsidRDefault="00FE7C6F" w:rsidP="00ED0B0C">
            <w:pPr>
              <w:rPr>
                <w:sz w:val="20"/>
                <w:szCs w:val="20"/>
              </w:rPr>
            </w:pPr>
            <w:r w:rsidRPr="0052573B">
              <w:rPr>
                <w:sz w:val="20"/>
                <w:szCs w:val="20"/>
              </w:rPr>
              <w:t>ICU 16 days</w:t>
            </w:r>
          </w:p>
        </w:tc>
      </w:tr>
      <w:tr w:rsidR="00FE7C6F" w:rsidRPr="0052573B" w14:paraId="5CD5A5C9" w14:textId="77777777" w:rsidTr="00ED0B0C">
        <w:trPr>
          <w:trHeight w:val="864"/>
        </w:trPr>
        <w:tc>
          <w:tcPr>
            <w:tcW w:w="1129" w:type="dxa"/>
            <w:hideMark/>
          </w:tcPr>
          <w:p w14:paraId="4FAC7337" w14:textId="77777777" w:rsidR="00FE7C6F" w:rsidRPr="0052573B" w:rsidRDefault="00FE7C6F" w:rsidP="00ED0B0C">
            <w:pPr>
              <w:rPr>
                <w:sz w:val="20"/>
                <w:szCs w:val="20"/>
              </w:rPr>
            </w:pPr>
            <w:r w:rsidRPr="0052573B">
              <w:rPr>
                <w:sz w:val="20"/>
                <w:szCs w:val="20"/>
              </w:rPr>
              <w:t>P13</w:t>
            </w:r>
          </w:p>
        </w:tc>
        <w:tc>
          <w:tcPr>
            <w:tcW w:w="851" w:type="dxa"/>
            <w:hideMark/>
          </w:tcPr>
          <w:p w14:paraId="25CCF201" w14:textId="77777777" w:rsidR="00FE7C6F" w:rsidRPr="0052573B" w:rsidRDefault="00FE7C6F" w:rsidP="00ED0B0C">
            <w:pPr>
              <w:rPr>
                <w:sz w:val="20"/>
                <w:szCs w:val="20"/>
              </w:rPr>
            </w:pPr>
            <w:r w:rsidRPr="0052573B">
              <w:rPr>
                <w:sz w:val="20"/>
                <w:szCs w:val="20"/>
              </w:rPr>
              <w:t>52</w:t>
            </w:r>
          </w:p>
        </w:tc>
        <w:tc>
          <w:tcPr>
            <w:tcW w:w="567" w:type="dxa"/>
            <w:hideMark/>
          </w:tcPr>
          <w:p w14:paraId="426CCEDB" w14:textId="77777777" w:rsidR="00FE7C6F" w:rsidRPr="0052573B" w:rsidRDefault="00FE7C6F" w:rsidP="00ED0B0C">
            <w:pPr>
              <w:rPr>
                <w:sz w:val="20"/>
                <w:szCs w:val="20"/>
              </w:rPr>
            </w:pPr>
            <w:r w:rsidRPr="0052573B">
              <w:rPr>
                <w:sz w:val="20"/>
                <w:szCs w:val="20"/>
              </w:rPr>
              <w:t>M</w:t>
            </w:r>
          </w:p>
        </w:tc>
        <w:tc>
          <w:tcPr>
            <w:tcW w:w="1417" w:type="dxa"/>
            <w:hideMark/>
          </w:tcPr>
          <w:p w14:paraId="63486DC4" w14:textId="77777777" w:rsidR="00FE7C6F" w:rsidRPr="0052573B" w:rsidRDefault="00FE7C6F" w:rsidP="00ED0B0C">
            <w:pPr>
              <w:rPr>
                <w:sz w:val="20"/>
                <w:szCs w:val="20"/>
              </w:rPr>
            </w:pPr>
            <w:r w:rsidRPr="0052573B">
              <w:rPr>
                <w:sz w:val="20"/>
                <w:szCs w:val="20"/>
              </w:rPr>
              <w:t xml:space="preserve">Married </w:t>
            </w:r>
          </w:p>
        </w:tc>
        <w:tc>
          <w:tcPr>
            <w:tcW w:w="993" w:type="dxa"/>
            <w:hideMark/>
          </w:tcPr>
          <w:p w14:paraId="6CA7D99C" w14:textId="77777777" w:rsidR="00FE7C6F" w:rsidRPr="0052573B" w:rsidRDefault="00FE7C6F" w:rsidP="00ED0B0C">
            <w:pPr>
              <w:rPr>
                <w:sz w:val="20"/>
                <w:szCs w:val="20"/>
              </w:rPr>
            </w:pPr>
            <w:r w:rsidRPr="0052573B">
              <w:rPr>
                <w:sz w:val="20"/>
                <w:szCs w:val="20"/>
              </w:rPr>
              <w:t>White Irish</w:t>
            </w:r>
          </w:p>
        </w:tc>
        <w:tc>
          <w:tcPr>
            <w:tcW w:w="1134" w:type="dxa"/>
            <w:hideMark/>
          </w:tcPr>
          <w:p w14:paraId="7E54149A" w14:textId="77777777" w:rsidR="00FE7C6F" w:rsidRPr="0052573B" w:rsidRDefault="00FE7C6F" w:rsidP="00ED0B0C">
            <w:pPr>
              <w:rPr>
                <w:sz w:val="20"/>
                <w:szCs w:val="20"/>
              </w:rPr>
            </w:pPr>
            <w:r w:rsidRPr="0052573B">
              <w:rPr>
                <w:sz w:val="20"/>
                <w:szCs w:val="20"/>
              </w:rPr>
              <w:t>1 LTC</w:t>
            </w:r>
          </w:p>
        </w:tc>
        <w:tc>
          <w:tcPr>
            <w:tcW w:w="1275" w:type="dxa"/>
          </w:tcPr>
          <w:p w14:paraId="7AA75D8A" w14:textId="77777777" w:rsidR="00FE7C6F" w:rsidRPr="0052573B" w:rsidRDefault="00FE7C6F" w:rsidP="00ED0B0C">
            <w:pPr>
              <w:rPr>
                <w:sz w:val="20"/>
                <w:szCs w:val="20"/>
              </w:rPr>
            </w:pPr>
            <w:r w:rsidRPr="0052573B">
              <w:rPr>
                <w:sz w:val="20"/>
                <w:szCs w:val="20"/>
              </w:rPr>
              <w:t xml:space="preserve">Unknown </w:t>
            </w:r>
          </w:p>
        </w:tc>
        <w:tc>
          <w:tcPr>
            <w:tcW w:w="1560" w:type="dxa"/>
            <w:hideMark/>
          </w:tcPr>
          <w:p w14:paraId="01BC723E" w14:textId="77777777" w:rsidR="00FE7C6F" w:rsidRPr="0052573B" w:rsidRDefault="00FE7C6F" w:rsidP="00ED0B0C">
            <w:pPr>
              <w:rPr>
                <w:sz w:val="20"/>
                <w:szCs w:val="20"/>
              </w:rPr>
            </w:pPr>
            <w:r w:rsidRPr="0052573B">
              <w:rPr>
                <w:sz w:val="20"/>
                <w:szCs w:val="20"/>
              </w:rPr>
              <w:t>December 2020 – January 2021</w:t>
            </w:r>
          </w:p>
          <w:p w14:paraId="357778C9" w14:textId="77777777" w:rsidR="00FE7C6F" w:rsidRPr="0052573B" w:rsidRDefault="00FE7C6F" w:rsidP="00ED0B0C">
            <w:pPr>
              <w:rPr>
                <w:sz w:val="20"/>
                <w:szCs w:val="20"/>
              </w:rPr>
            </w:pPr>
            <w:r w:rsidRPr="0052573B">
              <w:rPr>
                <w:sz w:val="20"/>
                <w:szCs w:val="20"/>
              </w:rPr>
              <w:t>Total admission unknown</w:t>
            </w:r>
          </w:p>
          <w:p w14:paraId="43617CB5" w14:textId="77777777" w:rsidR="00FE7C6F" w:rsidRPr="0052573B" w:rsidRDefault="00FE7C6F" w:rsidP="00ED0B0C">
            <w:pPr>
              <w:rPr>
                <w:sz w:val="20"/>
                <w:szCs w:val="20"/>
              </w:rPr>
            </w:pPr>
            <w:r w:rsidRPr="0052573B">
              <w:rPr>
                <w:sz w:val="20"/>
                <w:szCs w:val="20"/>
              </w:rPr>
              <w:t>ICU &gt;9 days</w:t>
            </w:r>
          </w:p>
          <w:p w14:paraId="0DF9F364" w14:textId="77777777" w:rsidR="00FE7C6F" w:rsidRPr="0052573B" w:rsidRDefault="00FE7C6F" w:rsidP="00ED0B0C">
            <w:pPr>
              <w:rPr>
                <w:sz w:val="20"/>
                <w:szCs w:val="20"/>
              </w:rPr>
            </w:pPr>
            <w:r w:rsidRPr="0052573B">
              <w:rPr>
                <w:sz w:val="20"/>
                <w:szCs w:val="20"/>
              </w:rPr>
              <w:t>Ventilated</w:t>
            </w:r>
          </w:p>
          <w:p w14:paraId="48FAE951" w14:textId="77777777" w:rsidR="00FE7C6F" w:rsidRPr="0052573B" w:rsidRDefault="00FE7C6F" w:rsidP="00ED0B0C">
            <w:pPr>
              <w:rPr>
                <w:sz w:val="20"/>
                <w:szCs w:val="20"/>
              </w:rPr>
            </w:pPr>
            <w:r w:rsidRPr="0052573B">
              <w:rPr>
                <w:sz w:val="20"/>
                <w:szCs w:val="20"/>
              </w:rPr>
              <w:t xml:space="preserve">Rehab ward before discharge </w:t>
            </w:r>
          </w:p>
        </w:tc>
      </w:tr>
      <w:tr w:rsidR="00FE7C6F" w:rsidRPr="0052573B" w14:paraId="6B630B22" w14:textId="77777777" w:rsidTr="00ED0B0C">
        <w:trPr>
          <w:trHeight w:val="576"/>
        </w:trPr>
        <w:tc>
          <w:tcPr>
            <w:tcW w:w="1129" w:type="dxa"/>
            <w:hideMark/>
          </w:tcPr>
          <w:p w14:paraId="0B45F64D" w14:textId="77777777" w:rsidR="00FE7C6F" w:rsidRPr="0052573B" w:rsidRDefault="00FE7C6F" w:rsidP="00ED0B0C">
            <w:pPr>
              <w:rPr>
                <w:sz w:val="20"/>
                <w:szCs w:val="20"/>
              </w:rPr>
            </w:pPr>
            <w:r w:rsidRPr="0052573B">
              <w:rPr>
                <w:sz w:val="20"/>
                <w:szCs w:val="20"/>
              </w:rPr>
              <w:t>P14</w:t>
            </w:r>
          </w:p>
        </w:tc>
        <w:tc>
          <w:tcPr>
            <w:tcW w:w="851" w:type="dxa"/>
            <w:hideMark/>
          </w:tcPr>
          <w:p w14:paraId="16069921" w14:textId="77777777" w:rsidR="00FE7C6F" w:rsidRPr="0052573B" w:rsidRDefault="00FE7C6F" w:rsidP="00ED0B0C">
            <w:pPr>
              <w:rPr>
                <w:sz w:val="20"/>
                <w:szCs w:val="20"/>
              </w:rPr>
            </w:pPr>
            <w:r w:rsidRPr="0052573B">
              <w:rPr>
                <w:sz w:val="20"/>
                <w:szCs w:val="20"/>
              </w:rPr>
              <w:t>63</w:t>
            </w:r>
          </w:p>
        </w:tc>
        <w:tc>
          <w:tcPr>
            <w:tcW w:w="567" w:type="dxa"/>
            <w:hideMark/>
          </w:tcPr>
          <w:p w14:paraId="162D4076" w14:textId="77777777" w:rsidR="00FE7C6F" w:rsidRPr="0052573B" w:rsidRDefault="00FE7C6F" w:rsidP="00ED0B0C">
            <w:pPr>
              <w:rPr>
                <w:sz w:val="20"/>
                <w:szCs w:val="20"/>
              </w:rPr>
            </w:pPr>
            <w:r w:rsidRPr="0052573B">
              <w:rPr>
                <w:sz w:val="20"/>
                <w:szCs w:val="20"/>
              </w:rPr>
              <w:t>M</w:t>
            </w:r>
          </w:p>
        </w:tc>
        <w:tc>
          <w:tcPr>
            <w:tcW w:w="1417" w:type="dxa"/>
            <w:hideMark/>
          </w:tcPr>
          <w:p w14:paraId="610EAE8E" w14:textId="77777777" w:rsidR="00FE7C6F" w:rsidRPr="0052573B" w:rsidRDefault="00FE7C6F" w:rsidP="00ED0B0C">
            <w:pPr>
              <w:rPr>
                <w:sz w:val="20"/>
                <w:szCs w:val="20"/>
              </w:rPr>
            </w:pPr>
            <w:r w:rsidRPr="0052573B">
              <w:rPr>
                <w:sz w:val="20"/>
                <w:szCs w:val="20"/>
              </w:rPr>
              <w:t>Divorced</w:t>
            </w:r>
          </w:p>
        </w:tc>
        <w:tc>
          <w:tcPr>
            <w:tcW w:w="993" w:type="dxa"/>
            <w:hideMark/>
          </w:tcPr>
          <w:p w14:paraId="0B4B6690" w14:textId="77777777" w:rsidR="00FE7C6F" w:rsidRPr="0052573B" w:rsidRDefault="00FE7C6F" w:rsidP="00ED0B0C">
            <w:pPr>
              <w:rPr>
                <w:sz w:val="20"/>
                <w:szCs w:val="20"/>
              </w:rPr>
            </w:pPr>
            <w:r w:rsidRPr="0052573B">
              <w:rPr>
                <w:sz w:val="20"/>
                <w:szCs w:val="20"/>
              </w:rPr>
              <w:t>White British</w:t>
            </w:r>
          </w:p>
        </w:tc>
        <w:tc>
          <w:tcPr>
            <w:tcW w:w="1134" w:type="dxa"/>
            <w:hideMark/>
          </w:tcPr>
          <w:p w14:paraId="66AA6825" w14:textId="77777777" w:rsidR="00FE7C6F" w:rsidRPr="0052573B" w:rsidRDefault="00FE7C6F" w:rsidP="00ED0B0C">
            <w:pPr>
              <w:rPr>
                <w:sz w:val="20"/>
                <w:szCs w:val="20"/>
              </w:rPr>
            </w:pPr>
            <w:r w:rsidRPr="0052573B">
              <w:rPr>
                <w:sz w:val="20"/>
                <w:szCs w:val="20"/>
              </w:rPr>
              <w:t>&gt;1 LTC</w:t>
            </w:r>
          </w:p>
        </w:tc>
        <w:tc>
          <w:tcPr>
            <w:tcW w:w="1275" w:type="dxa"/>
          </w:tcPr>
          <w:p w14:paraId="326A385F" w14:textId="77777777" w:rsidR="00FE7C6F" w:rsidRPr="0052573B" w:rsidRDefault="00FE7C6F" w:rsidP="00ED0B0C">
            <w:pPr>
              <w:rPr>
                <w:sz w:val="20"/>
                <w:szCs w:val="20"/>
              </w:rPr>
            </w:pPr>
            <w:r w:rsidRPr="0052573B">
              <w:rPr>
                <w:sz w:val="20"/>
                <w:szCs w:val="20"/>
              </w:rPr>
              <w:t>Office-based professional</w:t>
            </w:r>
          </w:p>
        </w:tc>
        <w:tc>
          <w:tcPr>
            <w:tcW w:w="1560" w:type="dxa"/>
            <w:hideMark/>
          </w:tcPr>
          <w:p w14:paraId="300161B0" w14:textId="77777777" w:rsidR="00FE7C6F" w:rsidRPr="0052573B" w:rsidRDefault="00FE7C6F" w:rsidP="00ED0B0C">
            <w:pPr>
              <w:rPr>
                <w:sz w:val="20"/>
                <w:szCs w:val="20"/>
              </w:rPr>
            </w:pPr>
            <w:r w:rsidRPr="0052573B">
              <w:rPr>
                <w:sz w:val="20"/>
                <w:szCs w:val="20"/>
              </w:rPr>
              <w:t xml:space="preserve">March-April 2020: </w:t>
            </w:r>
          </w:p>
          <w:p w14:paraId="400D7A39" w14:textId="77777777" w:rsidR="00FE7C6F" w:rsidRPr="0052573B" w:rsidRDefault="00FE7C6F" w:rsidP="00ED0B0C">
            <w:pPr>
              <w:rPr>
                <w:sz w:val="20"/>
                <w:szCs w:val="20"/>
              </w:rPr>
            </w:pPr>
            <w:r w:rsidRPr="0052573B">
              <w:rPr>
                <w:sz w:val="20"/>
                <w:szCs w:val="20"/>
              </w:rPr>
              <w:t xml:space="preserve">Total admission: 16 days. </w:t>
            </w:r>
          </w:p>
          <w:p w14:paraId="6016BC04" w14:textId="77777777" w:rsidR="00FE7C6F" w:rsidRPr="0052573B" w:rsidRDefault="00FE7C6F" w:rsidP="00ED0B0C">
            <w:pPr>
              <w:rPr>
                <w:sz w:val="20"/>
                <w:szCs w:val="20"/>
              </w:rPr>
            </w:pPr>
            <w:r w:rsidRPr="0052573B">
              <w:rPr>
                <w:sz w:val="20"/>
                <w:szCs w:val="20"/>
              </w:rPr>
              <w:t xml:space="preserve">ICU stay 12 days in ICU </w:t>
            </w:r>
          </w:p>
          <w:p w14:paraId="6337C117" w14:textId="77777777" w:rsidR="00FE7C6F" w:rsidRPr="0052573B" w:rsidRDefault="00FE7C6F" w:rsidP="00ED0B0C">
            <w:pPr>
              <w:rPr>
                <w:sz w:val="20"/>
                <w:szCs w:val="20"/>
              </w:rPr>
            </w:pPr>
            <w:r w:rsidRPr="0052573B">
              <w:rPr>
                <w:sz w:val="20"/>
                <w:szCs w:val="20"/>
              </w:rPr>
              <w:t xml:space="preserve">CPAP </w:t>
            </w:r>
          </w:p>
          <w:p w14:paraId="6CF76ED0" w14:textId="77777777" w:rsidR="00FE7C6F" w:rsidRPr="0052573B" w:rsidRDefault="00FE7C6F" w:rsidP="00ED0B0C">
            <w:pPr>
              <w:rPr>
                <w:sz w:val="20"/>
                <w:szCs w:val="20"/>
              </w:rPr>
            </w:pPr>
            <w:r w:rsidRPr="0052573B">
              <w:rPr>
                <w:sz w:val="20"/>
                <w:szCs w:val="20"/>
              </w:rPr>
              <w:t xml:space="preserve">No rehab </w:t>
            </w:r>
          </w:p>
        </w:tc>
      </w:tr>
      <w:tr w:rsidR="00FE7C6F" w:rsidRPr="0052573B" w14:paraId="7D6E23E7" w14:textId="77777777" w:rsidTr="00ED0B0C">
        <w:trPr>
          <w:trHeight w:val="1152"/>
        </w:trPr>
        <w:tc>
          <w:tcPr>
            <w:tcW w:w="1129" w:type="dxa"/>
            <w:hideMark/>
          </w:tcPr>
          <w:p w14:paraId="51AF1501" w14:textId="77777777" w:rsidR="00FE7C6F" w:rsidRPr="0052573B" w:rsidRDefault="00FE7C6F" w:rsidP="00ED0B0C">
            <w:pPr>
              <w:rPr>
                <w:sz w:val="20"/>
                <w:szCs w:val="20"/>
              </w:rPr>
            </w:pPr>
            <w:r w:rsidRPr="0052573B">
              <w:rPr>
                <w:sz w:val="20"/>
                <w:szCs w:val="20"/>
              </w:rPr>
              <w:t>P15</w:t>
            </w:r>
          </w:p>
        </w:tc>
        <w:tc>
          <w:tcPr>
            <w:tcW w:w="851" w:type="dxa"/>
            <w:hideMark/>
          </w:tcPr>
          <w:p w14:paraId="44C5B8BB" w14:textId="77777777" w:rsidR="00FE7C6F" w:rsidRPr="0052573B" w:rsidRDefault="00FE7C6F" w:rsidP="00ED0B0C">
            <w:pPr>
              <w:rPr>
                <w:sz w:val="20"/>
                <w:szCs w:val="20"/>
              </w:rPr>
            </w:pPr>
            <w:r w:rsidRPr="0052573B">
              <w:rPr>
                <w:sz w:val="20"/>
                <w:szCs w:val="20"/>
              </w:rPr>
              <w:t>61</w:t>
            </w:r>
          </w:p>
        </w:tc>
        <w:tc>
          <w:tcPr>
            <w:tcW w:w="567" w:type="dxa"/>
            <w:hideMark/>
          </w:tcPr>
          <w:p w14:paraId="704CB0F4" w14:textId="77777777" w:rsidR="00FE7C6F" w:rsidRPr="0052573B" w:rsidRDefault="00FE7C6F" w:rsidP="00ED0B0C">
            <w:pPr>
              <w:rPr>
                <w:sz w:val="20"/>
                <w:szCs w:val="20"/>
              </w:rPr>
            </w:pPr>
            <w:r w:rsidRPr="0052573B">
              <w:rPr>
                <w:sz w:val="20"/>
                <w:szCs w:val="20"/>
              </w:rPr>
              <w:t>F</w:t>
            </w:r>
          </w:p>
        </w:tc>
        <w:tc>
          <w:tcPr>
            <w:tcW w:w="1417" w:type="dxa"/>
            <w:hideMark/>
          </w:tcPr>
          <w:p w14:paraId="492D645F" w14:textId="77777777" w:rsidR="00FE7C6F" w:rsidRPr="0052573B" w:rsidRDefault="00FE7C6F" w:rsidP="00ED0B0C">
            <w:pPr>
              <w:rPr>
                <w:sz w:val="20"/>
                <w:szCs w:val="20"/>
              </w:rPr>
            </w:pPr>
            <w:r w:rsidRPr="0052573B">
              <w:rPr>
                <w:sz w:val="20"/>
                <w:szCs w:val="20"/>
              </w:rPr>
              <w:t>Married</w:t>
            </w:r>
          </w:p>
        </w:tc>
        <w:tc>
          <w:tcPr>
            <w:tcW w:w="993" w:type="dxa"/>
            <w:hideMark/>
          </w:tcPr>
          <w:p w14:paraId="6D70615B" w14:textId="77777777" w:rsidR="00FE7C6F" w:rsidRPr="0052573B" w:rsidRDefault="00FE7C6F" w:rsidP="00ED0B0C">
            <w:pPr>
              <w:rPr>
                <w:sz w:val="20"/>
                <w:szCs w:val="20"/>
              </w:rPr>
            </w:pPr>
            <w:r w:rsidRPr="0052573B">
              <w:rPr>
                <w:sz w:val="20"/>
                <w:szCs w:val="20"/>
              </w:rPr>
              <w:t>White British</w:t>
            </w:r>
          </w:p>
        </w:tc>
        <w:tc>
          <w:tcPr>
            <w:tcW w:w="1134" w:type="dxa"/>
            <w:hideMark/>
          </w:tcPr>
          <w:p w14:paraId="0B53DFE4" w14:textId="77777777" w:rsidR="00FE7C6F" w:rsidRPr="0052573B" w:rsidRDefault="00FE7C6F" w:rsidP="00ED0B0C">
            <w:pPr>
              <w:rPr>
                <w:sz w:val="20"/>
                <w:szCs w:val="20"/>
              </w:rPr>
            </w:pPr>
            <w:r w:rsidRPr="0052573B">
              <w:rPr>
                <w:sz w:val="20"/>
                <w:szCs w:val="20"/>
              </w:rPr>
              <w:t xml:space="preserve">1 LTC  </w:t>
            </w:r>
          </w:p>
        </w:tc>
        <w:tc>
          <w:tcPr>
            <w:tcW w:w="1275" w:type="dxa"/>
          </w:tcPr>
          <w:p w14:paraId="2BC0DCCF" w14:textId="77777777" w:rsidR="00FE7C6F" w:rsidRPr="0052573B" w:rsidRDefault="00FE7C6F" w:rsidP="00ED0B0C">
            <w:pPr>
              <w:rPr>
                <w:sz w:val="20"/>
                <w:szCs w:val="20"/>
              </w:rPr>
            </w:pPr>
            <w:r w:rsidRPr="0052573B">
              <w:rPr>
                <w:sz w:val="20"/>
                <w:szCs w:val="20"/>
              </w:rPr>
              <w:t>Transport industries</w:t>
            </w:r>
          </w:p>
        </w:tc>
        <w:tc>
          <w:tcPr>
            <w:tcW w:w="1560" w:type="dxa"/>
            <w:hideMark/>
          </w:tcPr>
          <w:p w14:paraId="20E3C6C5" w14:textId="77777777" w:rsidR="00FE7C6F" w:rsidRPr="0052573B" w:rsidRDefault="00FE7C6F" w:rsidP="00ED0B0C">
            <w:pPr>
              <w:rPr>
                <w:sz w:val="20"/>
                <w:szCs w:val="20"/>
              </w:rPr>
            </w:pPr>
            <w:r w:rsidRPr="0052573B">
              <w:rPr>
                <w:sz w:val="20"/>
                <w:szCs w:val="20"/>
              </w:rPr>
              <w:t xml:space="preserve">March-May 2020: </w:t>
            </w:r>
          </w:p>
          <w:p w14:paraId="5D4D37AD" w14:textId="77777777" w:rsidR="00FE7C6F" w:rsidRPr="0052573B" w:rsidRDefault="00FE7C6F" w:rsidP="00ED0B0C">
            <w:pPr>
              <w:rPr>
                <w:sz w:val="20"/>
                <w:szCs w:val="20"/>
              </w:rPr>
            </w:pPr>
            <w:r w:rsidRPr="0052573B">
              <w:rPr>
                <w:sz w:val="20"/>
                <w:szCs w:val="20"/>
              </w:rPr>
              <w:t>ICU &gt;40 days</w:t>
            </w:r>
          </w:p>
          <w:p w14:paraId="765DC5F4" w14:textId="77777777" w:rsidR="00FE7C6F" w:rsidRPr="0052573B" w:rsidRDefault="00FE7C6F" w:rsidP="00ED0B0C">
            <w:pPr>
              <w:rPr>
                <w:sz w:val="20"/>
                <w:szCs w:val="20"/>
              </w:rPr>
            </w:pPr>
            <w:r w:rsidRPr="0052573B">
              <w:rPr>
                <w:sz w:val="20"/>
                <w:szCs w:val="20"/>
              </w:rPr>
              <w:t>Ventilated</w:t>
            </w:r>
          </w:p>
          <w:p w14:paraId="0680273E" w14:textId="77777777" w:rsidR="00FE7C6F" w:rsidRPr="0052573B" w:rsidRDefault="00FE7C6F" w:rsidP="00ED0B0C">
            <w:pPr>
              <w:rPr>
                <w:sz w:val="20"/>
                <w:szCs w:val="20"/>
              </w:rPr>
            </w:pPr>
          </w:p>
        </w:tc>
      </w:tr>
      <w:tr w:rsidR="00FE7C6F" w:rsidRPr="0052573B" w14:paraId="268ACEB2" w14:textId="77777777" w:rsidTr="00ED0B0C">
        <w:trPr>
          <w:trHeight w:val="576"/>
        </w:trPr>
        <w:tc>
          <w:tcPr>
            <w:tcW w:w="1129" w:type="dxa"/>
            <w:hideMark/>
          </w:tcPr>
          <w:p w14:paraId="05643F78" w14:textId="77777777" w:rsidR="00FE7C6F" w:rsidRPr="0052573B" w:rsidRDefault="00FE7C6F" w:rsidP="00ED0B0C">
            <w:pPr>
              <w:rPr>
                <w:sz w:val="20"/>
                <w:szCs w:val="20"/>
              </w:rPr>
            </w:pPr>
            <w:r w:rsidRPr="0052573B">
              <w:rPr>
                <w:sz w:val="20"/>
                <w:szCs w:val="20"/>
              </w:rPr>
              <w:t>P16</w:t>
            </w:r>
          </w:p>
        </w:tc>
        <w:tc>
          <w:tcPr>
            <w:tcW w:w="851" w:type="dxa"/>
            <w:hideMark/>
          </w:tcPr>
          <w:p w14:paraId="71E39D75" w14:textId="77777777" w:rsidR="00FE7C6F" w:rsidRPr="0052573B" w:rsidRDefault="00FE7C6F" w:rsidP="00ED0B0C">
            <w:pPr>
              <w:rPr>
                <w:sz w:val="20"/>
                <w:szCs w:val="20"/>
              </w:rPr>
            </w:pPr>
            <w:r w:rsidRPr="0052573B">
              <w:rPr>
                <w:sz w:val="20"/>
                <w:szCs w:val="20"/>
              </w:rPr>
              <w:t>50</w:t>
            </w:r>
          </w:p>
        </w:tc>
        <w:tc>
          <w:tcPr>
            <w:tcW w:w="567" w:type="dxa"/>
            <w:hideMark/>
          </w:tcPr>
          <w:p w14:paraId="441C7A8E" w14:textId="77777777" w:rsidR="00FE7C6F" w:rsidRPr="0052573B" w:rsidRDefault="00FE7C6F" w:rsidP="00ED0B0C">
            <w:pPr>
              <w:rPr>
                <w:sz w:val="20"/>
                <w:szCs w:val="20"/>
              </w:rPr>
            </w:pPr>
            <w:r w:rsidRPr="0052573B">
              <w:rPr>
                <w:sz w:val="20"/>
                <w:szCs w:val="20"/>
              </w:rPr>
              <w:t>M</w:t>
            </w:r>
          </w:p>
        </w:tc>
        <w:tc>
          <w:tcPr>
            <w:tcW w:w="1417" w:type="dxa"/>
            <w:hideMark/>
          </w:tcPr>
          <w:p w14:paraId="1396668A" w14:textId="77777777" w:rsidR="00FE7C6F" w:rsidRPr="0052573B" w:rsidRDefault="00FE7C6F" w:rsidP="00ED0B0C">
            <w:pPr>
              <w:rPr>
                <w:sz w:val="20"/>
                <w:szCs w:val="20"/>
              </w:rPr>
            </w:pPr>
            <w:r w:rsidRPr="0052573B">
              <w:rPr>
                <w:sz w:val="20"/>
                <w:szCs w:val="20"/>
              </w:rPr>
              <w:t>Long-term cohabiting relationship</w:t>
            </w:r>
          </w:p>
        </w:tc>
        <w:tc>
          <w:tcPr>
            <w:tcW w:w="993" w:type="dxa"/>
            <w:hideMark/>
          </w:tcPr>
          <w:p w14:paraId="0BE88484" w14:textId="77777777" w:rsidR="00FE7C6F" w:rsidRPr="0052573B" w:rsidRDefault="00FE7C6F" w:rsidP="00ED0B0C">
            <w:pPr>
              <w:rPr>
                <w:sz w:val="20"/>
                <w:szCs w:val="20"/>
              </w:rPr>
            </w:pPr>
            <w:r w:rsidRPr="0052573B">
              <w:rPr>
                <w:sz w:val="20"/>
                <w:szCs w:val="20"/>
              </w:rPr>
              <w:t>White British</w:t>
            </w:r>
          </w:p>
        </w:tc>
        <w:tc>
          <w:tcPr>
            <w:tcW w:w="1134" w:type="dxa"/>
            <w:hideMark/>
          </w:tcPr>
          <w:p w14:paraId="72308142" w14:textId="77777777" w:rsidR="00FE7C6F" w:rsidRPr="0052573B" w:rsidRDefault="00FE7C6F" w:rsidP="00ED0B0C">
            <w:pPr>
              <w:rPr>
                <w:sz w:val="20"/>
                <w:szCs w:val="20"/>
              </w:rPr>
            </w:pPr>
            <w:r w:rsidRPr="0052573B">
              <w:rPr>
                <w:sz w:val="20"/>
                <w:szCs w:val="20"/>
              </w:rPr>
              <w:t>1 LTC</w:t>
            </w:r>
          </w:p>
        </w:tc>
        <w:tc>
          <w:tcPr>
            <w:tcW w:w="1275" w:type="dxa"/>
          </w:tcPr>
          <w:p w14:paraId="49DBC1DA" w14:textId="77777777" w:rsidR="00FE7C6F" w:rsidRPr="0052573B" w:rsidRDefault="00FE7C6F" w:rsidP="00ED0B0C">
            <w:pPr>
              <w:rPr>
                <w:sz w:val="20"/>
                <w:szCs w:val="20"/>
              </w:rPr>
            </w:pPr>
            <w:r w:rsidRPr="0052573B">
              <w:rPr>
                <w:sz w:val="20"/>
                <w:szCs w:val="20"/>
              </w:rPr>
              <w:t>Transport industries</w:t>
            </w:r>
          </w:p>
        </w:tc>
        <w:tc>
          <w:tcPr>
            <w:tcW w:w="1560" w:type="dxa"/>
            <w:hideMark/>
          </w:tcPr>
          <w:p w14:paraId="0EA8B239" w14:textId="77777777" w:rsidR="00FE7C6F" w:rsidRPr="0052573B" w:rsidRDefault="00FE7C6F" w:rsidP="00ED0B0C">
            <w:pPr>
              <w:rPr>
                <w:sz w:val="20"/>
                <w:szCs w:val="20"/>
              </w:rPr>
            </w:pPr>
            <w:r w:rsidRPr="0052573B">
              <w:rPr>
                <w:sz w:val="20"/>
                <w:szCs w:val="20"/>
              </w:rPr>
              <w:t>March-April 2020</w:t>
            </w:r>
          </w:p>
          <w:p w14:paraId="78C9E901" w14:textId="77777777" w:rsidR="00FE7C6F" w:rsidRPr="0052573B" w:rsidRDefault="00FE7C6F" w:rsidP="00ED0B0C">
            <w:pPr>
              <w:rPr>
                <w:sz w:val="20"/>
                <w:szCs w:val="20"/>
              </w:rPr>
            </w:pPr>
            <w:r w:rsidRPr="0052573B">
              <w:rPr>
                <w:sz w:val="20"/>
                <w:szCs w:val="20"/>
              </w:rPr>
              <w:t>Total admission &gt;7 days</w:t>
            </w:r>
          </w:p>
          <w:p w14:paraId="74FCC352" w14:textId="77777777" w:rsidR="00FE7C6F" w:rsidRPr="0052573B" w:rsidRDefault="00FE7C6F" w:rsidP="00ED0B0C">
            <w:pPr>
              <w:rPr>
                <w:sz w:val="20"/>
                <w:szCs w:val="20"/>
              </w:rPr>
            </w:pPr>
            <w:r w:rsidRPr="0052573B">
              <w:rPr>
                <w:sz w:val="20"/>
                <w:szCs w:val="20"/>
              </w:rPr>
              <w:t>ICU 4-5 days</w:t>
            </w:r>
          </w:p>
          <w:p w14:paraId="1FDE19A7" w14:textId="77777777" w:rsidR="00FE7C6F" w:rsidRPr="0052573B" w:rsidRDefault="00FE7C6F" w:rsidP="00ED0B0C">
            <w:pPr>
              <w:rPr>
                <w:sz w:val="20"/>
                <w:szCs w:val="20"/>
              </w:rPr>
            </w:pPr>
            <w:r w:rsidRPr="0052573B">
              <w:rPr>
                <w:sz w:val="20"/>
                <w:szCs w:val="20"/>
              </w:rPr>
              <w:t xml:space="preserve">CPAP </w:t>
            </w:r>
          </w:p>
        </w:tc>
      </w:tr>
      <w:tr w:rsidR="00FE7C6F" w:rsidRPr="0052573B" w14:paraId="1BA13D1D" w14:textId="77777777" w:rsidTr="00ED0B0C">
        <w:trPr>
          <w:trHeight w:val="864"/>
        </w:trPr>
        <w:tc>
          <w:tcPr>
            <w:tcW w:w="1129" w:type="dxa"/>
            <w:hideMark/>
          </w:tcPr>
          <w:p w14:paraId="362850E4" w14:textId="77777777" w:rsidR="00FE7C6F" w:rsidRPr="0052573B" w:rsidRDefault="00FE7C6F" w:rsidP="00ED0B0C">
            <w:pPr>
              <w:rPr>
                <w:sz w:val="20"/>
                <w:szCs w:val="20"/>
              </w:rPr>
            </w:pPr>
            <w:r w:rsidRPr="0052573B">
              <w:rPr>
                <w:sz w:val="20"/>
                <w:szCs w:val="20"/>
              </w:rPr>
              <w:t xml:space="preserve">P17 </w:t>
            </w:r>
          </w:p>
        </w:tc>
        <w:tc>
          <w:tcPr>
            <w:tcW w:w="851" w:type="dxa"/>
            <w:hideMark/>
          </w:tcPr>
          <w:p w14:paraId="43B40695" w14:textId="77777777" w:rsidR="00FE7C6F" w:rsidRPr="0052573B" w:rsidRDefault="00FE7C6F" w:rsidP="00ED0B0C">
            <w:pPr>
              <w:rPr>
                <w:sz w:val="20"/>
                <w:szCs w:val="20"/>
              </w:rPr>
            </w:pPr>
            <w:r w:rsidRPr="0052573B">
              <w:rPr>
                <w:sz w:val="20"/>
                <w:szCs w:val="20"/>
              </w:rPr>
              <w:t>52</w:t>
            </w:r>
          </w:p>
        </w:tc>
        <w:tc>
          <w:tcPr>
            <w:tcW w:w="567" w:type="dxa"/>
            <w:hideMark/>
          </w:tcPr>
          <w:p w14:paraId="6C6D4E1B" w14:textId="77777777" w:rsidR="00FE7C6F" w:rsidRPr="0052573B" w:rsidRDefault="00FE7C6F" w:rsidP="00ED0B0C">
            <w:pPr>
              <w:rPr>
                <w:sz w:val="20"/>
                <w:szCs w:val="20"/>
              </w:rPr>
            </w:pPr>
            <w:r w:rsidRPr="0052573B">
              <w:rPr>
                <w:sz w:val="20"/>
                <w:szCs w:val="20"/>
              </w:rPr>
              <w:t>F</w:t>
            </w:r>
          </w:p>
        </w:tc>
        <w:tc>
          <w:tcPr>
            <w:tcW w:w="1417" w:type="dxa"/>
            <w:hideMark/>
          </w:tcPr>
          <w:p w14:paraId="385A42B1" w14:textId="77777777" w:rsidR="00FE7C6F" w:rsidRPr="0052573B" w:rsidRDefault="00FE7C6F" w:rsidP="00ED0B0C">
            <w:pPr>
              <w:rPr>
                <w:sz w:val="20"/>
                <w:szCs w:val="20"/>
              </w:rPr>
            </w:pPr>
            <w:r w:rsidRPr="0052573B">
              <w:rPr>
                <w:sz w:val="20"/>
                <w:szCs w:val="20"/>
              </w:rPr>
              <w:t xml:space="preserve">Married </w:t>
            </w:r>
          </w:p>
        </w:tc>
        <w:tc>
          <w:tcPr>
            <w:tcW w:w="993" w:type="dxa"/>
            <w:hideMark/>
          </w:tcPr>
          <w:p w14:paraId="79BD54E4" w14:textId="77777777" w:rsidR="00FE7C6F" w:rsidRPr="0052573B" w:rsidRDefault="00FE7C6F" w:rsidP="00ED0B0C">
            <w:pPr>
              <w:rPr>
                <w:sz w:val="20"/>
                <w:szCs w:val="20"/>
              </w:rPr>
            </w:pPr>
            <w:r w:rsidRPr="0052573B">
              <w:rPr>
                <w:sz w:val="20"/>
                <w:szCs w:val="20"/>
              </w:rPr>
              <w:t>White British</w:t>
            </w:r>
          </w:p>
        </w:tc>
        <w:tc>
          <w:tcPr>
            <w:tcW w:w="1134" w:type="dxa"/>
            <w:hideMark/>
          </w:tcPr>
          <w:p w14:paraId="6F6EB1CD" w14:textId="77777777" w:rsidR="00FE7C6F" w:rsidRPr="0052573B" w:rsidRDefault="00FE7C6F" w:rsidP="00ED0B0C">
            <w:pPr>
              <w:rPr>
                <w:sz w:val="20"/>
                <w:szCs w:val="20"/>
              </w:rPr>
            </w:pPr>
            <w:r w:rsidRPr="0052573B">
              <w:rPr>
                <w:sz w:val="20"/>
                <w:szCs w:val="20"/>
              </w:rPr>
              <w:t>None</w:t>
            </w:r>
          </w:p>
        </w:tc>
        <w:tc>
          <w:tcPr>
            <w:tcW w:w="1275" w:type="dxa"/>
          </w:tcPr>
          <w:p w14:paraId="04A7F2CC" w14:textId="77777777" w:rsidR="00FE7C6F" w:rsidRPr="0052573B" w:rsidRDefault="00FE7C6F" w:rsidP="00ED0B0C">
            <w:pPr>
              <w:rPr>
                <w:sz w:val="20"/>
                <w:szCs w:val="20"/>
              </w:rPr>
            </w:pPr>
            <w:r w:rsidRPr="0052573B">
              <w:rPr>
                <w:sz w:val="20"/>
                <w:szCs w:val="20"/>
              </w:rPr>
              <w:t>Health or social care</w:t>
            </w:r>
          </w:p>
        </w:tc>
        <w:tc>
          <w:tcPr>
            <w:tcW w:w="1560" w:type="dxa"/>
            <w:hideMark/>
          </w:tcPr>
          <w:p w14:paraId="3A1A302F" w14:textId="77777777" w:rsidR="00FE7C6F" w:rsidRPr="0052573B" w:rsidRDefault="00FE7C6F" w:rsidP="00ED0B0C">
            <w:pPr>
              <w:rPr>
                <w:sz w:val="20"/>
                <w:szCs w:val="20"/>
              </w:rPr>
            </w:pPr>
            <w:r w:rsidRPr="0052573B">
              <w:rPr>
                <w:sz w:val="20"/>
                <w:szCs w:val="20"/>
              </w:rPr>
              <w:t xml:space="preserve">Jan 2021 </w:t>
            </w:r>
          </w:p>
          <w:p w14:paraId="19B75E22" w14:textId="77777777" w:rsidR="00FE7C6F" w:rsidRPr="0052573B" w:rsidRDefault="00FE7C6F" w:rsidP="00ED0B0C">
            <w:pPr>
              <w:rPr>
                <w:sz w:val="20"/>
                <w:szCs w:val="20"/>
              </w:rPr>
            </w:pPr>
            <w:r w:rsidRPr="0052573B">
              <w:rPr>
                <w:sz w:val="20"/>
                <w:szCs w:val="20"/>
              </w:rPr>
              <w:t>Total admission 14 days</w:t>
            </w:r>
          </w:p>
          <w:p w14:paraId="2AA2F6C6" w14:textId="77777777" w:rsidR="00FE7C6F" w:rsidRPr="0052573B" w:rsidRDefault="00FE7C6F" w:rsidP="00ED0B0C">
            <w:pPr>
              <w:rPr>
                <w:sz w:val="20"/>
                <w:szCs w:val="20"/>
              </w:rPr>
            </w:pPr>
            <w:r w:rsidRPr="0052573B">
              <w:rPr>
                <w:sz w:val="20"/>
                <w:szCs w:val="20"/>
              </w:rPr>
              <w:t xml:space="preserve">ICU </w:t>
            </w:r>
            <w:proofErr w:type="gramStart"/>
            <w:r w:rsidRPr="0052573B">
              <w:rPr>
                <w:sz w:val="20"/>
                <w:szCs w:val="20"/>
              </w:rPr>
              <w:t>stay</w:t>
            </w:r>
            <w:proofErr w:type="gramEnd"/>
            <w:r w:rsidRPr="0052573B">
              <w:rPr>
                <w:sz w:val="20"/>
                <w:szCs w:val="20"/>
              </w:rPr>
              <w:t xml:space="preserve"> unknown</w:t>
            </w:r>
          </w:p>
          <w:p w14:paraId="48E1DB27" w14:textId="77777777" w:rsidR="00FE7C6F" w:rsidRPr="0052573B" w:rsidRDefault="00FE7C6F" w:rsidP="00ED0B0C">
            <w:pPr>
              <w:rPr>
                <w:sz w:val="20"/>
                <w:szCs w:val="20"/>
              </w:rPr>
            </w:pPr>
            <w:r w:rsidRPr="0052573B">
              <w:rPr>
                <w:sz w:val="20"/>
                <w:szCs w:val="20"/>
              </w:rPr>
              <w:t xml:space="preserve">CPAP </w:t>
            </w:r>
          </w:p>
        </w:tc>
      </w:tr>
      <w:tr w:rsidR="00FE7C6F" w:rsidRPr="0052573B" w14:paraId="72352408" w14:textId="77777777" w:rsidTr="00ED0B0C">
        <w:trPr>
          <w:trHeight w:val="288"/>
        </w:trPr>
        <w:tc>
          <w:tcPr>
            <w:tcW w:w="1129" w:type="dxa"/>
            <w:hideMark/>
          </w:tcPr>
          <w:p w14:paraId="13B24220" w14:textId="77777777" w:rsidR="00FE7C6F" w:rsidRPr="0052573B" w:rsidRDefault="00FE7C6F" w:rsidP="00ED0B0C">
            <w:pPr>
              <w:rPr>
                <w:sz w:val="20"/>
                <w:szCs w:val="20"/>
              </w:rPr>
            </w:pPr>
            <w:r w:rsidRPr="0052573B">
              <w:rPr>
                <w:sz w:val="20"/>
                <w:szCs w:val="20"/>
              </w:rPr>
              <w:t>P18</w:t>
            </w:r>
          </w:p>
        </w:tc>
        <w:tc>
          <w:tcPr>
            <w:tcW w:w="851" w:type="dxa"/>
            <w:noWrap/>
            <w:hideMark/>
          </w:tcPr>
          <w:p w14:paraId="389F8F21" w14:textId="77777777" w:rsidR="00FE7C6F" w:rsidRPr="0052573B" w:rsidRDefault="00FE7C6F" w:rsidP="00ED0B0C">
            <w:pPr>
              <w:rPr>
                <w:sz w:val="20"/>
                <w:szCs w:val="20"/>
              </w:rPr>
            </w:pPr>
            <w:r w:rsidRPr="0052573B">
              <w:rPr>
                <w:sz w:val="20"/>
                <w:szCs w:val="20"/>
              </w:rPr>
              <w:t>52</w:t>
            </w:r>
          </w:p>
        </w:tc>
        <w:tc>
          <w:tcPr>
            <w:tcW w:w="567" w:type="dxa"/>
            <w:noWrap/>
            <w:hideMark/>
          </w:tcPr>
          <w:p w14:paraId="5C42C618" w14:textId="77777777" w:rsidR="00FE7C6F" w:rsidRPr="0052573B" w:rsidRDefault="00FE7C6F" w:rsidP="00ED0B0C">
            <w:pPr>
              <w:rPr>
                <w:sz w:val="20"/>
                <w:szCs w:val="20"/>
              </w:rPr>
            </w:pPr>
            <w:r w:rsidRPr="0052573B">
              <w:rPr>
                <w:sz w:val="20"/>
                <w:szCs w:val="20"/>
              </w:rPr>
              <w:t>F</w:t>
            </w:r>
          </w:p>
        </w:tc>
        <w:tc>
          <w:tcPr>
            <w:tcW w:w="1417" w:type="dxa"/>
            <w:noWrap/>
            <w:hideMark/>
          </w:tcPr>
          <w:p w14:paraId="08B67026" w14:textId="77777777" w:rsidR="00FE7C6F" w:rsidRPr="0052573B" w:rsidRDefault="00FE7C6F" w:rsidP="00ED0B0C">
            <w:pPr>
              <w:rPr>
                <w:sz w:val="20"/>
                <w:szCs w:val="20"/>
              </w:rPr>
            </w:pPr>
            <w:proofErr w:type="gramStart"/>
            <w:r w:rsidRPr="0052573B">
              <w:rPr>
                <w:sz w:val="20"/>
                <w:szCs w:val="20"/>
              </w:rPr>
              <w:t>Single-lives</w:t>
            </w:r>
            <w:proofErr w:type="gramEnd"/>
            <w:r w:rsidRPr="0052573B">
              <w:rPr>
                <w:sz w:val="20"/>
                <w:szCs w:val="20"/>
              </w:rPr>
              <w:t xml:space="preserve"> alone</w:t>
            </w:r>
          </w:p>
        </w:tc>
        <w:tc>
          <w:tcPr>
            <w:tcW w:w="993" w:type="dxa"/>
            <w:noWrap/>
            <w:hideMark/>
          </w:tcPr>
          <w:p w14:paraId="59F904B8" w14:textId="77777777" w:rsidR="00FE7C6F" w:rsidRPr="0052573B" w:rsidRDefault="00FE7C6F" w:rsidP="00ED0B0C">
            <w:pPr>
              <w:rPr>
                <w:sz w:val="20"/>
                <w:szCs w:val="20"/>
              </w:rPr>
            </w:pPr>
            <w:r w:rsidRPr="0052573B">
              <w:rPr>
                <w:sz w:val="20"/>
                <w:szCs w:val="20"/>
              </w:rPr>
              <w:t xml:space="preserve">White British </w:t>
            </w:r>
          </w:p>
        </w:tc>
        <w:tc>
          <w:tcPr>
            <w:tcW w:w="1134" w:type="dxa"/>
            <w:noWrap/>
            <w:hideMark/>
          </w:tcPr>
          <w:p w14:paraId="4136F969" w14:textId="77777777" w:rsidR="00FE7C6F" w:rsidRPr="0052573B" w:rsidRDefault="00FE7C6F" w:rsidP="00ED0B0C">
            <w:pPr>
              <w:rPr>
                <w:sz w:val="20"/>
                <w:szCs w:val="20"/>
              </w:rPr>
            </w:pPr>
            <w:r w:rsidRPr="0052573B">
              <w:rPr>
                <w:sz w:val="20"/>
                <w:szCs w:val="20"/>
              </w:rPr>
              <w:t>&gt;1 LTC</w:t>
            </w:r>
          </w:p>
        </w:tc>
        <w:tc>
          <w:tcPr>
            <w:tcW w:w="1275" w:type="dxa"/>
          </w:tcPr>
          <w:p w14:paraId="750B0091" w14:textId="77777777" w:rsidR="00FE7C6F" w:rsidRPr="0052573B" w:rsidRDefault="00FE7C6F" w:rsidP="00ED0B0C">
            <w:pPr>
              <w:rPr>
                <w:sz w:val="20"/>
                <w:szCs w:val="20"/>
              </w:rPr>
            </w:pPr>
            <w:r w:rsidRPr="0052573B">
              <w:rPr>
                <w:sz w:val="20"/>
                <w:szCs w:val="20"/>
              </w:rPr>
              <w:t>Education</w:t>
            </w:r>
          </w:p>
        </w:tc>
        <w:tc>
          <w:tcPr>
            <w:tcW w:w="1560" w:type="dxa"/>
            <w:noWrap/>
            <w:hideMark/>
          </w:tcPr>
          <w:p w14:paraId="4221A932" w14:textId="77777777" w:rsidR="00FE7C6F" w:rsidRPr="0052573B" w:rsidRDefault="00FE7C6F" w:rsidP="00ED0B0C">
            <w:pPr>
              <w:rPr>
                <w:sz w:val="20"/>
                <w:szCs w:val="20"/>
              </w:rPr>
            </w:pPr>
            <w:r w:rsidRPr="0052573B">
              <w:rPr>
                <w:sz w:val="20"/>
                <w:szCs w:val="20"/>
              </w:rPr>
              <w:t>March 2020</w:t>
            </w:r>
          </w:p>
          <w:p w14:paraId="2064BA02" w14:textId="77777777" w:rsidR="00FE7C6F" w:rsidRPr="0052573B" w:rsidRDefault="00FE7C6F" w:rsidP="00ED0B0C">
            <w:pPr>
              <w:rPr>
                <w:sz w:val="20"/>
                <w:szCs w:val="20"/>
              </w:rPr>
            </w:pPr>
            <w:r w:rsidRPr="0052573B">
              <w:rPr>
                <w:sz w:val="20"/>
                <w:szCs w:val="20"/>
              </w:rPr>
              <w:t xml:space="preserve">ICU stay and total admission unknown </w:t>
            </w:r>
          </w:p>
          <w:p w14:paraId="5340A635" w14:textId="77777777" w:rsidR="00FE7C6F" w:rsidRPr="0052573B" w:rsidRDefault="00FE7C6F" w:rsidP="00ED0B0C">
            <w:pPr>
              <w:rPr>
                <w:sz w:val="20"/>
                <w:szCs w:val="20"/>
              </w:rPr>
            </w:pPr>
          </w:p>
        </w:tc>
      </w:tr>
      <w:tr w:rsidR="00FE7C6F" w:rsidRPr="0052573B" w14:paraId="36ECBA4E" w14:textId="77777777" w:rsidTr="00ED0B0C">
        <w:trPr>
          <w:trHeight w:val="864"/>
        </w:trPr>
        <w:tc>
          <w:tcPr>
            <w:tcW w:w="1129" w:type="dxa"/>
            <w:hideMark/>
          </w:tcPr>
          <w:p w14:paraId="7BB42C81" w14:textId="77777777" w:rsidR="00FE7C6F" w:rsidRPr="0052573B" w:rsidRDefault="00FE7C6F" w:rsidP="00ED0B0C">
            <w:pPr>
              <w:rPr>
                <w:sz w:val="20"/>
                <w:szCs w:val="20"/>
              </w:rPr>
            </w:pPr>
            <w:r w:rsidRPr="0052573B">
              <w:rPr>
                <w:sz w:val="20"/>
                <w:szCs w:val="20"/>
              </w:rPr>
              <w:t>P19</w:t>
            </w:r>
          </w:p>
        </w:tc>
        <w:tc>
          <w:tcPr>
            <w:tcW w:w="851" w:type="dxa"/>
            <w:noWrap/>
            <w:hideMark/>
          </w:tcPr>
          <w:p w14:paraId="4A1C5CC1" w14:textId="77777777" w:rsidR="00FE7C6F" w:rsidRPr="0052573B" w:rsidRDefault="00FE7C6F" w:rsidP="00ED0B0C">
            <w:pPr>
              <w:rPr>
                <w:sz w:val="20"/>
                <w:szCs w:val="20"/>
              </w:rPr>
            </w:pPr>
            <w:r w:rsidRPr="0052573B">
              <w:rPr>
                <w:sz w:val="20"/>
                <w:szCs w:val="20"/>
              </w:rPr>
              <w:t>60</w:t>
            </w:r>
          </w:p>
        </w:tc>
        <w:tc>
          <w:tcPr>
            <w:tcW w:w="567" w:type="dxa"/>
            <w:noWrap/>
            <w:hideMark/>
          </w:tcPr>
          <w:p w14:paraId="3D1F36C0" w14:textId="77777777" w:rsidR="00FE7C6F" w:rsidRPr="0052573B" w:rsidRDefault="00FE7C6F" w:rsidP="00ED0B0C">
            <w:pPr>
              <w:rPr>
                <w:sz w:val="20"/>
                <w:szCs w:val="20"/>
              </w:rPr>
            </w:pPr>
            <w:r w:rsidRPr="0052573B">
              <w:rPr>
                <w:sz w:val="20"/>
                <w:szCs w:val="20"/>
              </w:rPr>
              <w:t>M</w:t>
            </w:r>
          </w:p>
        </w:tc>
        <w:tc>
          <w:tcPr>
            <w:tcW w:w="1417" w:type="dxa"/>
            <w:noWrap/>
            <w:hideMark/>
          </w:tcPr>
          <w:p w14:paraId="71842708" w14:textId="77777777" w:rsidR="00FE7C6F" w:rsidRPr="0052573B" w:rsidRDefault="00FE7C6F" w:rsidP="00ED0B0C">
            <w:pPr>
              <w:rPr>
                <w:sz w:val="20"/>
                <w:szCs w:val="20"/>
              </w:rPr>
            </w:pPr>
            <w:r w:rsidRPr="0052573B">
              <w:rPr>
                <w:sz w:val="20"/>
                <w:szCs w:val="20"/>
              </w:rPr>
              <w:t>Married</w:t>
            </w:r>
          </w:p>
        </w:tc>
        <w:tc>
          <w:tcPr>
            <w:tcW w:w="993" w:type="dxa"/>
            <w:noWrap/>
            <w:hideMark/>
          </w:tcPr>
          <w:p w14:paraId="75DA6274" w14:textId="77777777" w:rsidR="00FE7C6F" w:rsidRPr="0052573B" w:rsidRDefault="00FE7C6F" w:rsidP="00ED0B0C">
            <w:pPr>
              <w:rPr>
                <w:sz w:val="20"/>
                <w:szCs w:val="20"/>
              </w:rPr>
            </w:pPr>
            <w:r w:rsidRPr="0052573B">
              <w:rPr>
                <w:sz w:val="20"/>
                <w:szCs w:val="20"/>
              </w:rPr>
              <w:t>White British</w:t>
            </w:r>
          </w:p>
        </w:tc>
        <w:tc>
          <w:tcPr>
            <w:tcW w:w="1134" w:type="dxa"/>
            <w:noWrap/>
            <w:hideMark/>
          </w:tcPr>
          <w:p w14:paraId="55FFE26B" w14:textId="77777777" w:rsidR="00FE7C6F" w:rsidRPr="0052573B" w:rsidRDefault="00FE7C6F" w:rsidP="00ED0B0C">
            <w:pPr>
              <w:rPr>
                <w:sz w:val="20"/>
                <w:szCs w:val="20"/>
              </w:rPr>
            </w:pPr>
            <w:r w:rsidRPr="0052573B">
              <w:rPr>
                <w:sz w:val="20"/>
                <w:szCs w:val="20"/>
              </w:rPr>
              <w:t xml:space="preserve">None </w:t>
            </w:r>
          </w:p>
        </w:tc>
        <w:tc>
          <w:tcPr>
            <w:tcW w:w="1275" w:type="dxa"/>
          </w:tcPr>
          <w:p w14:paraId="549DFA76" w14:textId="77777777" w:rsidR="00FE7C6F" w:rsidRPr="0052573B" w:rsidRDefault="00FE7C6F" w:rsidP="00ED0B0C">
            <w:pPr>
              <w:rPr>
                <w:sz w:val="20"/>
                <w:szCs w:val="20"/>
              </w:rPr>
            </w:pPr>
            <w:r w:rsidRPr="0052573B">
              <w:rPr>
                <w:sz w:val="20"/>
                <w:szCs w:val="20"/>
              </w:rPr>
              <w:t>Office-based professional</w:t>
            </w:r>
          </w:p>
        </w:tc>
        <w:tc>
          <w:tcPr>
            <w:tcW w:w="1560" w:type="dxa"/>
            <w:noWrap/>
            <w:hideMark/>
          </w:tcPr>
          <w:p w14:paraId="4B9E67AB" w14:textId="77777777" w:rsidR="00FE7C6F" w:rsidRPr="0052573B" w:rsidRDefault="00FE7C6F" w:rsidP="00ED0B0C">
            <w:pPr>
              <w:rPr>
                <w:sz w:val="20"/>
                <w:szCs w:val="20"/>
              </w:rPr>
            </w:pPr>
            <w:r w:rsidRPr="0052573B">
              <w:rPr>
                <w:sz w:val="20"/>
                <w:szCs w:val="20"/>
              </w:rPr>
              <w:t>2021</w:t>
            </w:r>
          </w:p>
          <w:p w14:paraId="16FBED0E" w14:textId="77777777" w:rsidR="00FE7C6F" w:rsidRPr="0052573B" w:rsidRDefault="00FE7C6F" w:rsidP="00ED0B0C">
            <w:pPr>
              <w:rPr>
                <w:sz w:val="20"/>
                <w:szCs w:val="20"/>
              </w:rPr>
            </w:pPr>
            <w:r w:rsidRPr="0052573B">
              <w:rPr>
                <w:sz w:val="20"/>
                <w:szCs w:val="20"/>
              </w:rPr>
              <w:t>ICU &gt; 16 days</w:t>
            </w:r>
          </w:p>
          <w:p w14:paraId="59C1F512" w14:textId="77777777" w:rsidR="00FE7C6F" w:rsidRPr="0052573B" w:rsidRDefault="00FE7C6F" w:rsidP="00ED0B0C">
            <w:pPr>
              <w:rPr>
                <w:sz w:val="20"/>
                <w:szCs w:val="20"/>
              </w:rPr>
            </w:pPr>
            <w:r w:rsidRPr="0052573B">
              <w:rPr>
                <w:sz w:val="20"/>
                <w:szCs w:val="20"/>
              </w:rPr>
              <w:t>Ventilated</w:t>
            </w:r>
          </w:p>
          <w:p w14:paraId="00E39C38" w14:textId="77777777" w:rsidR="00FE7C6F" w:rsidRPr="0052573B" w:rsidRDefault="00FE7C6F" w:rsidP="00ED0B0C">
            <w:pPr>
              <w:rPr>
                <w:sz w:val="20"/>
                <w:szCs w:val="20"/>
              </w:rPr>
            </w:pPr>
          </w:p>
        </w:tc>
      </w:tr>
      <w:tr w:rsidR="00FE7C6F" w:rsidRPr="0052573B" w14:paraId="1836211A" w14:textId="77777777" w:rsidTr="00ED0B0C">
        <w:trPr>
          <w:trHeight w:val="576"/>
        </w:trPr>
        <w:tc>
          <w:tcPr>
            <w:tcW w:w="1129" w:type="dxa"/>
            <w:hideMark/>
          </w:tcPr>
          <w:p w14:paraId="32B41163" w14:textId="77777777" w:rsidR="00FE7C6F" w:rsidRPr="0052573B" w:rsidRDefault="00FE7C6F" w:rsidP="00ED0B0C">
            <w:pPr>
              <w:rPr>
                <w:sz w:val="20"/>
                <w:szCs w:val="20"/>
              </w:rPr>
            </w:pPr>
            <w:r w:rsidRPr="0052573B">
              <w:rPr>
                <w:sz w:val="20"/>
                <w:szCs w:val="20"/>
              </w:rPr>
              <w:t>P20</w:t>
            </w:r>
          </w:p>
        </w:tc>
        <w:tc>
          <w:tcPr>
            <w:tcW w:w="851" w:type="dxa"/>
            <w:noWrap/>
            <w:hideMark/>
          </w:tcPr>
          <w:p w14:paraId="410BDA1B" w14:textId="77777777" w:rsidR="00FE7C6F" w:rsidRPr="0052573B" w:rsidRDefault="00FE7C6F" w:rsidP="00ED0B0C">
            <w:pPr>
              <w:rPr>
                <w:sz w:val="20"/>
                <w:szCs w:val="20"/>
              </w:rPr>
            </w:pPr>
            <w:r w:rsidRPr="0052573B">
              <w:rPr>
                <w:sz w:val="20"/>
                <w:szCs w:val="20"/>
              </w:rPr>
              <w:t>76</w:t>
            </w:r>
          </w:p>
        </w:tc>
        <w:tc>
          <w:tcPr>
            <w:tcW w:w="567" w:type="dxa"/>
            <w:noWrap/>
            <w:hideMark/>
          </w:tcPr>
          <w:p w14:paraId="7EBB2129" w14:textId="77777777" w:rsidR="00FE7C6F" w:rsidRPr="0052573B" w:rsidRDefault="00FE7C6F" w:rsidP="00ED0B0C">
            <w:pPr>
              <w:rPr>
                <w:sz w:val="20"/>
                <w:szCs w:val="20"/>
              </w:rPr>
            </w:pPr>
            <w:r w:rsidRPr="0052573B">
              <w:rPr>
                <w:sz w:val="20"/>
                <w:szCs w:val="20"/>
              </w:rPr>
              <w:t>M</w:t>
            </w:r>
          </w:p>
        </w:tc>
        <w:tc>
          <w:tcPr>
            <w:tcW w:w="1417" w:type="dxa"/>
            <w:noWrap/>
            <w:hideMark/>
          </w:tcPr>
          <w:p w14:paraId="6BF41C8D" w14:textId="77777777" w:rsidR="00FE7C6F" w:rsidRPr="0052573B" w:rsidRDefault="00FE7C6F" w:rsidP="00ED0B0C">
            <w:pPr>
              <w:rPr>
                <w:sz w:val="20"/>
                <w:szCs w:val="20"/>
              </w:rPr>
            </w:pPr>
            <w:r w:rsidRPr="0052573B">
              <w:rPr>
                <w:sz w:val="20"/>
                <w:szCs w:val="20"/>
              </w:rPr>
              <w:t>Married</w:t>
            </w:r>
          </w:p>
        </w:tc>
        <w:tc>
          <w:tcPr>
            <w:tcW w:w="993" w:type="dxa"/>
            <w:noWrap/>
            <w:hideMark/>
          </w:tcPr>
          <w:p w14:paraId="0EF83467" w14:textId="77777777" w:rsidR="00FE7C6F" w:rsidRPr="0052573B" w:rsidRDefault="00FE7C6F" w:rsidP="00ED0B0C">
            <w:pPr>
              <w:rPr>
                <w:sz w:val="20"/>
                <w:szCs w:val="20"/>
              </w:rPr>
            </w:pPr>
            <w:r w:rsidRPr="0052573B">
              <w:rPr>
                <w:sz w:val="20"/>
                <w:szCs w:val="20"/>
              </w:rPr>
              <w:t>White British</w:t>
            </w:r>
          </w:p>
        </w:tc>
        <w:tc>
          <w:tcPr>
            <w:tcW w:w="1134" w:type="dxa"/>
            <w:noWrap/>
            <w:hideMark/>
          </w:tcPr>
          <w:p w14:paraId="62FF0B8A" w14:textId="77777777" w:rsidR="00FE7C6F" w:rsidRPr="0052573B" w:rsidRDefault="00FE7C6F" w:rsidP="00ED0B0C">
            <w:pPr>
              <w:rPr>
                <w:sz w:val="20"/>
                <w:szCs w:val="20"/>
              </w:rPr>
            </w:pPr>
            <w:r w:rsidRPr="0052573B">
              <w:rPr>
                <w:sz w:val="20"/>
                <w:szCs w:val="20"/>
              </w:rPr>
              <w:t xml:space="preserve">1 LTC </w:t>
            </w:r>
          </w:p>
        </w:tc>
        <w:tc>
          <w:tcPr>
            <w:tcW w:w="1275" w:type="dxa"/>
          </w:tcPr>
          <w:p w14:paraId="6D6A88D8" w14:textId="77777777" w:rsidR="00FE7C6F" w:rsidRPr="0052573B" w:rsidRDefault="00FE7C6F" w:rsidP="00ED0B0C">
            <w:pPr>
              <w:rPr>
                <w:sz w:val="20"/>
                <w:szCs w:val="20"/>
              </w:rPr>
            </w:pPr>
            <w:r w:rsidRPr="0052573B">
              <w:rPr>
                <w:sz w:val="20"/>
                <w:szCs w:val="20"/>
              </w:rPr>
              <w:t>Retired</w:t>
            </w:r>
          </w:p>
        </w:tc>
        <w:tc>
          <w:tcPr>
            <w:tcW w:w="1560" w:type="dxa"/>
            <w:noWrap/>
            <w:hideMark/>
          </w:tcPr>
          <w:p w14:paraId="2B10ACE6" w14:textId="77777777" w:rsidR="00FE7C6F" w:rsidRPr="0052573B" w:rsidRDefault="00FE7C6F" w:rsidP="00ED0B0C">
            <w:pPr>
              <w:rPr>
                <w:sz w:val="20"/>
                <w:szCs w:val="20"/>
              </w:rPr>
            </w:pPr>
            <w:r w:rsidRPr="0052573B">
              <w:rPr>
                <w:sz w:val="20"/>
                <w:szCs w:val="20"/>
              </w:rPr>
              <w:t>January – February 2021</w:t>
            </w:r>
          </w:p>
          <w:p w14:paraId="39C5B2B8" w14:textId="77777777" w:rsidR="00FE7C6F" w:rsidRPr="0052573B" w:rsidRDefault="00FE7C6F" w:rsidP="00ED0B0C">
            <w:pPr>
              <w:rPr>
                <w:sz w:val="20"/>
                <w:szCs w:val="20"/>
              </w:rPr>
            </w:pPr>
            <w:r w:rsidRPr="0052573B">
              <w:rPr>
                <w:sz w:val="20"/>
                <w:szCs w:val="20"/>
              </w:rPr>
              <w:t>Total admission unknown</w:t>
            </w:r>
          </w:p>
          <w:p w14:paraId="70661B67" w14:textId="77777777" w:rsidR="00FE7C6F" w:rsidRPr="0052573B" w:rsidRDefault="00FE7C6F" w:rsidP="00ED0B0C">
            <w:pPr>
              <w:rPr>
                <w:sz w:val="20"/>
                <w:szCs w:val="20"/>
              </w:rPr>
            </w:pPr>
            <w:r w:rsidRPr="0052573B">
              <w:rPr>
                <w:sz w:val="20"/>
                <w:szCs w:val="20"/>
              </w:rPr>
              <w:t>ICU: &gt;35 days</w:t>
            </w:r>
          </w:p>
        </w:tc>
      </w:tr>
    </w:tbl>
    <w:p w14:paraId="1C08A6B5" w14:textId="77777777" w:rsidR="00FE7C6F" w:rsidRPr="0052573B" w:rsidRDefault="00FE7C6F" w:rsidP="00FE7C6F">
      <w:pPr>
        <w:spacing w:after="0" w:line="240" w:lineRule="auto"/>
        <w:rPr>
          <w:sz w:val="18"/>
          <w:szCs w:val="18"/>
        </w:rPr>
      </w:pPr>
      <w:r w:rsidRPr="0052573B">
        <w:rPr>
          <w:sz w:val="18"/>
          <w:szCs w:val="18"/>
        </w:rPr>
        <w:t xml:space="preserve">F: Female; ICU: Intensive Care Unit; LTC: Long-term condition; M; Male; P: Participant. </w:t>
      </w:r>
    </w:p>
    <w:p w14:paraId="6FA09E76" w14:textId="7FEC01A9" w:rsidR="00FE7C6F" w:rsidRPr="0052573B" w:rsidRDefault="00FE7C6F" w:rsidP="00FE7C6F">
      <w:pPr>
        <w:spacing w:after="0" w:line="240" w:lineRule="auto"/>
        <w:rPr>
          <w:sz w:val="18"/>
          <w:szCs w:val="18"/>
        </w:rPr>
      </w:pPr>
      <w:r w:rsidRPr="0052573B">
        <w:rPr>
          <w:sz w:val="18"/>
          <w:szCs w:val="18"/>
        </w:rPr>
        <w:lastRenderedPageBreak/>
        <w:t xml:space="preserve">* To protect confidentiality, some patient demographics are reported in overarching groups (e.g., health conditions, employment, social network characteristics). </w:t>
      </w:r>
    </w:p>
    <w:p w14:paraId="2C8A96A4" w14:textId="5BC1CB6C" w:rsidR="00FE7C6F" w:rsidRPr="0052573B" w:rsidRDefault="00FE7C6F" w:rsidP="004943D4">
      <w:pPr>
        <w:pStyle w:val="EndNoteBibliography"/>
        <w:spacing w:after="0" w:line="360" w:lineRule="auto"/>
        <w:rPr>
          <w:rFonts w:asciiTheme="minorHAnsi" w:hAnsiTheme="minorHAnsi" w:cstheme="minorHAnsi"/>
          <w:lang w:val="en-GB"/>
        </w:rPr>
      </w:pPr>
    </w:p>
    <w:p w14:paraId="4CE0D2F3"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54C2C25C"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7B962AF5"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18CFBCA9"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39FFA43A"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45FFE5AE"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7B1AB8E0"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0E82E339"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7CE77768"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6EB4D79A" w14:textId="77777777" w:rsidR="009D697D" w:rsidRPr="0052573B" w:rsidRDefault="009D697D" w:rsidP="004943D4">
      <w:pPr>
        <w:pStyle w:val="EndNoteBibliography"/>
        <w:spacing w:after="0" w:line="360" w:lineRule="auto"/>
        <w:rPr>
          <w:rFonts w:asciiTheme="minorHAnsi" w:hAnsiTheme="minorHAnsi" w:cstheme="minorHAnsi"/>
          <w:b/>
          <w:bCs/>
          <w:lang w:val="en-GB"/>
        </w:rPr>
      </w:pPr>
    </w:p>
    <w:p w14:paraId="0C677EED" w14:textId="56DCC66B" w:rsidR="00C21780" w:rsidRPr="0052573B" w:rsidRDefault="00FE7C6F" w:rsidP="004943D4">
      <w:pPr>
        <w:pStyle w:val="EndNoteBibliography"/>
        <w:spacing w:after="0" w:line="360" w:lineRule="auto"/>
        <w:rPr>
          <w:rFonts w:asciiTheme="minorHAnsi" w:hAnsiTheme="minorHAnsi" w:cstheme="minorHAnsi"/>
          <w:b/>
          <w:bCs/>
          <w:lang w:val="en-GB"/>
        </w:rPr>
      </w:pPr>
      <w:r w:rsidRPr="0052573B">
        <w:rPr>
          <w:rFonts w:asciiTheme="minorHAnsi" w:hAnsiTheme="minorHAnsi" w:cstheme="minorHAnsi"/>
          <w:b/>
          <w:bCs/>
          <w:lang w:val="en-GB"/>
        </w:rPr>
        <w:t xml:space="preserve">Figure Legends </w:t>
      </w:r>
    </w:p>
    <w:p w14:paraId="1EB26098" w14:textId="2CEFC440" w:rsidR="00FE7C6F" w:rsidRPr="0052573B" w:rsidRDefault="00FE7C6F" w:rsidP="00FE7C6F">
      <w:r w:rsidRPr="0052573B">
        <w:t>Figure 1: Themes</w:t>
      </w:r>
      <w:r w:rsidR="00626B08" w:rsidRPr="0052573B">
        <w:t xml:space="preserve"> and subthemes</w:t>
      </w:r>
    </w:p>
    <w:p w14:paraId="3C3069C1" w14:textId="77777777" w:rsidR="00FE7C6F" w:rsidRDefault="00FE7C6F" w:rsidP="00FE7C6F">
      <w:pPr>
        <w:jc w:val="center"/>
      </w:pPr>
      <w:r w:rsidRPr="0052573B">
        <w:rPr>
          <w:noProof/>
        </w:rPr>
        <w:drawing>
          <wp:inline distT="0" distB="0" distL="0" distR="0" wp14:anchorId="2855F658" wp14:editId="04D850A9">
            <wp:extent cx="4619812" cy="2436495"/>
            <wp:effectExtent l="0" t="0" r="9525"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4631445" cy="2442631"/>
                    </a:xfrm>
                    <a:prstGeom prst="rect">
                      <a:avLst/>
                    </a:prstGeom>
                  </pic:spPr>
                </pic:pic>
              </a:graphicData>
            </a:graphic>
          </wp:inline>
        </w:drawing>
      </w:r>
    </w:p>
    <w:p w14:paraId="26477724" w14:textId="77777777" w:rsidR="00FE7C6F" w:rsidRPr="004943D4" w:rsidRDefault="00FE7C6F" w:rsidP="004943D4">
      <w:pPr>
        <w:pStyle w:val="EndNoteBibliography"/>
        <w:spacing w:after="0" w:line="360" w:lineRule="auto"/>
        <w:rPr>
          <w:rFonts w:asciiTheme="minorHAnsi" w:hAnsiTheme="minorHAnsi" w:cstheme="minorHAnsi"/>
          <w:lang w:val="en-GB"/>
        </w:rPr>
      </w:pPr>
    </w:p>
    <w:sectPr w:rsidR="00FE7C6F" w:rsidRPr="004943D4" w:rsidSect="00AA41AB">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77DB" w14:textId="77777777" w:rsidR="00556CD7" w:rsidRDefault="00556CD7" w:rsidP="00CE7FAA">
      <w:pPr>
        <w:spacing w:after="0" w:line="240" w:lineRule="auto"/>
      </w:pPr>
      <w:r>
        <w:separator/>
      </w:r>
    </w:p>
  </w:endnote>
  <w:endnote w:type="continuationSeparator" w:id="0">
    <w:p w14:paraId="2B74C298" w14:textId="77777777" w:rsidR="00556CD7" w:rsidRDefault="00556CD7" w:rsidP="00CE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02661"/>
      <w:docPartObj>
        <w:docPartGallery w:val="Page Numbers (Bottom of Page)"/>
        <w:docPartUnique/>
      </w:docPartObj>
    </w:sdtPr>
    <w:sdtEndPr>
      <w:rPr>
        <w:noProof/>
      </w:rPr>
    </w:sdtEndPr>
    <w:sdtContent>
      <w:p w14:paraId="6D68088D" w14:textId="14D43FA2" w:rsidR="00F7473E" w:rsidRDefault="00F7473E">
        <w:pPr>
          <w:pStyle w:val="Footer"/>
          <w:jc w:val="right"/>
        </w:pPr>
        <w:r>
          <w:fldChar w:fldCharType="begin"/>
        </w:r>
        <w:r>
          <w:instrText xml:space="preserve"> PAGE   \* MERGEFORMAT </w:instrText>
        </w:r>
        <w:r>
          <w:fldChar w:fldCharType="separate"/>
        </w:r>
        <w:r w:rsidR="00EC4A97">
          <w:rPr>
            <w:noProof/>
          </w:rPr>
          <w:t>7</w:t>
        </w:r>
        <w:r>
          <w:rPr>
            <w:noProof/>
          </w:rPr>
          <w:fldChar w:fldCharType="end"/>
        </w:r>
      </w:p>
    </w:sdtContent>
  </w:sdt>
  <w:p w14:paraId="4B1CEB9A" w14:textId="77FBD0C5" w:rsidR="00F7473E" w:rsidRDefault="004943D4">
    <w:pPr>
      <w:pStyle w:val="Footer"/>
    </w:pPr>
    <w:r>
      <w:t xml:space="preserve">Manuscript NICC version </w:t>
    </w:r>
    <w:r w:rsidR="007E60A6">
      <w:t>2</w:t>
    </w:r>
    <w:r>
      <w:t xml:space="preserve"> </w:t>
    </w:r>
    <w:r w:rsidR="00344F8F">
      <w:t>16 June</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EFC7" w14:textId="77777777" w:rsidR="00556CD7" w:rsidRDefault="00556CD7" w:rsidP="00CE7FAA">
      <w:pPr>
        <w:spacing w:after="0" w:line="240" w:lineRule="auto"/>
      </w:pPr>
      <w:r>
        <w:separator/>
      </w:r>
    </w:p>
  </w:footnote>
  <w:footnote w:type="continuationSeparator" w:id="0">
    <w:p w14:paraId="1FE596DB" w14:textId="77777777" w:rsidR="00556CD7" w:rsidRDefault="00556CD7" w:rsidP="00CE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ABD"/>
    <w:multiLevelType w:val="hybridMultilevel"/>
    <w:tmpl w:val="56D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F4C"/>
    <w:multiLevelType w:val="hybridMultilevel"/>
    <w:tmpl w:val="18AE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A0784"/>
    <w:multiLevelType w:val="hybridMultilevel"/>
    <w:tmpl w:val="A60C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915A1"/>
    <w:multiLevelType w:val="multilevel"/>
    <w:tmpl w:val="EBD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E5801"/>
    <w:multiLevelType w:val="hybridMultilevel"/>
    <w:tmpl w:val="BA6C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A2C03"/>
    <w:multiLevelType w:val="hybridMultilevel"/>
    <w:tmpl w:val="5BFC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B0574"/>
    <w:multiLevelType w:val="hybridMultilevel"/>
    <w:tmpl w:val="CC84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87636"/>
    <w:multiLevelType w:val="multilevel"/>
    <w:tmpl w:val="986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6421C"/>
    <w:multiLevelType w:val="hybridMultilevel"/>
    <w:tmpl w:val="16368FA2"/>
    <w:lvl w:ilvl="0" w:tplc="A2144F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E5521C"/>
    <w:multiLevelType w:val="hybridMultilevel"/>
    <w:tmpl w:val="6026F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379E5"/>
    <w:multiLevelType w:val="hybridMultilevel"/>
    <w:tmpl w:val="42BC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87474"/>
    <w:multiLevelType w:val="hybridMultilevel"/>
    <w:tmpl w:val="B00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E00E9"/>
    <w:multiLevelType w:val="hybridMultilevel"/>
    <w:tmpl w:val="233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06700"/>
    <w:multiLevelType w:val="hybridMultilevel"/>
    <w:tmpl w:val="716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A1929"/>
    <w:multiLevelType w:val="hybridMultilevel"/>
    <w:tmpl w:val="5A029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C64AB"/>
    <w:multiLevelType w:val="hybridMultilevel"/>
    <w:tmpl w:val="00F8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C53ED"/>
    <w:multiLevelType w:val="hybridMultilevel"/>
    <w:tmpl w:val="3590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F111A"/>
    <w:multiLevelType w:val="hybridMultilevel"/>
    <w:tmpl w:val="917E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D6695"/>
    <w:multiLevelType w:val="hybridMultilevel"/>
    <w:tmpl w:val="7D129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B17E8B"/>
    <w:multiLevelType w:val="hybridMultilevel"/>
    <w:tmpl w:val="C9A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5358F"/>
    <w:multiLevelType w:val="hybridMultilevel"/>
    <w:tmpl w:val="89F05C3E"/>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52E08"/>
    <w:multiLevelType w:val="hybridMultilevel"/>
    <w:tmpl w:val="421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C3209"/>
    <w:multiLevelType w:val="hybridMultilevel"/>
    <w:tmpl w:val="9D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17DEC"/>
    <w:multiLevelType w:val="hybridMultilevel"/>
    <w:tmpl w:val="17B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B5552"/>
    <w:multiLevelType w:val="hybridMultilevel"/>
    <w:tmpl w:val="FF8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607161">
    <w:abstractNumId w:val="8"/>
  </w:num>
  <w:num w:numId="2" w16cid:durableId="1973897451">
    <w:abstractNumId w:val="10"/>
  </w:num>
  <w:num w:numId="3" w16cid:durableId="473520727">
    <w:abstractNumId w:val="17"/>
  </w:num>
  <w:num w:numId="4" w16cid:durableId="2069496435">
    <w:abstractNumId w:val="18"/>
  </w:num>
  <w:num w:numId="5" w16cid:durableId="793908267">
    <w:abstractNumId w:val="13"/>
  </w:num>
  <w:num w:numId="6" w16cid:durableId="2012221061">
    <w:abstractNumId w:val="5"/>
  </w:num>
  <w:num w:numId="7" w16cid:durableId="1425298864">
    <w:abstractNumId w:val="16"/>
  </w:num>
  <w:num w:numId="8" w16cid:durableId="1798525236">
    <w:abstractNumId w:val="19"/>
  </w:num>
  <w:num w:numId="9" w16cid:durableId="1062290043">
    <w:abstractNumId w:val="24"/>
  </w:num>
  <w:num w:numId="10" w16cid:durableId="1005127460">
    <w:abstractNumId w:val="0"/>
  </w:num>
  <w:num w:numId="11" w16cid:durableId="1069228371">
    <w:abstractNumId w:val="22"/>
  </w:num>
  <w:num w:numId="12" w16cid:durableId="1275674175">
    <w:abstractNumId w:val="23"/>
  </w:num>
  <w:num w:numId="13" w16cid:durableId="2115128744">
    <w:abstractNumId w:val="6"/>
  </w:num>
  <w:num w:numId="14" w16cid:durableId="2018000140">
    <w:abstractNumId w:val="11"/>
  </w:num>
  <w:num w:numId="15" w16cid:durableId="167328378">
    <w:abstractNumId w:val="15"/>
  </w:num>
  <w:num w:numId="16" w16cid:durableId="1789543509">
    <w:abstractNumId w:val="21"/>
  </w:num>
  <w:num w:numId="17" w16cid:durableId="124857419">
    <w:abstractNumId w:val="1"/>
  </w:num>
  <w:num w:numId="18" w16cid:durableId="1188828726">
    <w:abstractNumId w:val="20"/>
  </w:num>
  <w:num w:numId="19" w16cid:durableId="694307810">
    <w:abstractNumId w:val="14"/>
  </w:num>
  <w:num w:numId="20" w16cid:durableId="726224415">
    <w:abstractNumId w:val="4"/>
  </w:num>
  <w:num w:numId="21" w16cid:durableId="1766412834">
    <w:abstractNumId w:val="2"/>
  </w:num>
  <w:num w:numId="22" w16cid:durableId="1120295883">
    <w:abstractNumId w:val="7"/>
  </w:num>
  <w:num w:numId="23" w16cid:durableId="66072266">
    <w:abstractNumId w:val="3"/>
  </w:num>
  <w:num w:numId="24" w16cid:durableId="483663368">
    <w:abstractNumId w:val="12"/>
  </w:num>
  <w:num w:numId="25" w16cid:durableId="1891107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52"/>
    <w:rsid w:val="000001FA"/>
    <w:rsid w:val="00004720"/>
    <w:rsid w:val="00006747"/>
    <w:rsid w:val="00011748"/>
    <w:rsid w:val="00025E99"/>
    <w:rsid w:val="00027114"/>
    <w:rsid w:val="00030FDD"/>
    <w:rsid w:val="00032104"/>
    <w:rsid w:val="00035F31"/>
    <w:rsid w:val="0003669C"/>
    <w:rsid w:val="00036D8C"/>
    <w:rsid w:val="000446A8"/>
    <w:rsid w:val="00051E0C"/>
    <w:rsid w:val="00052DE8"/>
    <w:rsid w:val="000534F5"/>
    <w:rsid w:val="00053E88"/>
    <w:rsid w:val="000549A6"/>
    <w:rsid w:val="00061022"/>
    <w:rsid w:val="00063166"/>
    <w:rsid w:val="0007053D"/>
    <w:rsid w:val="00072CD9"/>
    <w:rsid w:val="00076A33"/>
    <w:rsid w:val="00076F1E"/>
    <w:rsid w:val="000922C0"/>
    <w:rsid w:val="000A3561"/>
    <w:rsid w:val="000A5C5C"/>
    <w:rsid w:val="000B14F3"/>
    <w:rsid w:val="000B1C7C"/>
    <w:rsid w:val="000B66DD"/>
    <w:rsid w:val="000C504A"/>
    <w:rsid w:val="000D5C9F"/>
    <w:rsid w:val="000D6A44"/>
    <w:rsid w:val="000E58CB"/>
    <w:rsid w:val="000F3612"/>
    <w:rsid w:val="000F7CE6"/>
    <w:rsid w:val="001246B4"/>
    <w:rsid w:val="00125611"/>
    <w:rsid w:val="00126F7D"/>
    <w:rsid w:val="001353B3"/>
    <w:rsid w:val="00146A08"/>
    <w:rsid w:val="001539CC"/>
    <w:rsid w:val="001551EE"/>
    <w:rsid w:val="00155E4B"/>
    <w:rsid w:val="00166CD8"/>
    <w:rsid w:val="00173400"/>
    <w:rsid w:val="00173FE8"/>
    <w:rsid w:val="00184EEB"/>
    <w:rsid w:val="00184F07"/>
    <w:rsid w:val="00187B1D"/>
    <w:rsid w:val="00196B15"/>
    <w:rsid w:val="001B16BC"/>
    <w:rsid w:val="001C268F"/>
    <w:rsid w:val="001C5812"/>
    <w:rsid w:val="001C6484"/>
    <w:rsid w:val="001D3B53"/>
    <w:rsid w:val="001D440B"/>
    <w:rsid w:val="00212764"/>
    <w:rsid w:val="002161A7"/>
    <w:rsid w:val="00227E90"/>
    <w:rsid w:val="00232776"/>
    <w:rsid w:val="002328C3"/>
    <w:rsid w:val="0023430E"/>
    <w:rsid w:val="00236057"/>
    <w:rsid w:val="002450A1"/>
    <w:rsid w:val="00247A7E"/>
    <w:rsid w:val="00252D48"/>
    <w:rsid w:val="00275841"/>
    <w:rsid w:val="0028611A"/>
    <w:rsid w:val="002A02F4"/>
    <w:rsid w:val="002A1640"/>
    <w:rsid w:val="002B652C"/>
    <w:rsid w:val="002B704F"/>
    <w:rsid w:val="002C7208"/>
    <w:rsid w:val="002D50C4"/>
    <w:rsid w:val="002D6267"/>
    <w:rsid w:val="002E0A01"/>
    <w:rsid w:val="002E6818"/>
    <w:rsid w:val="002F34A8"/>
    <w:rsid w:val="002F4CD1"/>
    <w:rsid w:val="00310A6D"/>
    <w:rsid w:val="003132AD"/>
    <w:rsid w:val="00320EC6"/>
    <w:rsid w:val="00322990"/>
    <w:rsid w:val="0032365F"/>
    <w:rsid w:val="0032682F"/>
    <w:rsid w:val="0032768C"/>
    <w:rsid w:val="00327F94"/>
    <w:rsid w:val="00344F8F"/>
    <w:rsid w:val="00347B4D"/>
    <w:rsid w:val="00356AF2"/>
    <w:rsid w:val="00361CB0"/>
    <w:rsid w:val="003721EF"/>
    <w:rsid w:val="00374582"/>
    <w:rsid w:val="00382661"/>
    <w:rsid w:val="00387748"/>
    <w:rsid w:val="00393A04"/>
    <w:rsid w:val="00394FEB"/>
    <w:rsid w:val="00396B1A"/>
    <w:rsid w:val="003A31B4"/>
    <w:rsid w:val="003C7CD2"/>
    <w:rsid w:val="003E2C99"/>
    <w:rsid w:val="003E2D71"/>
    <w:rsid w:val="003E4CFF"/>
    <w:rsid w:val="003F2B91"/>
    <w:rsid w:val="003F2D34"/>
    <w:rsid w:val="004018F7"/>
    <w:rsid w:val="00405D18"/>
    <w:rsid w:val="0040649D"/>
    <w:rsid w:val="00413C62"/>
    <w:rsid w:val="00421D3A"/>
    <w:rsid w:val="0043240F"/>
    <w:rsid w:val="0043592D"/>
    <w:rsid w:val="00437531"/>
    <w:rsid w:val="004420BB"/>
    <w:rsid w:val="00484505"/>
    <w:rsid w:val="00485FBB"/>
    <w:rsid w:val="0049156F"/>
    <w:rsid w:val="00494209"/>
    <w:rsid w:val="004943D4"/>
    <w:rsid w:val="004A200B"/>
    <w:rsid w:val="004A3C71"/>
    <w:rsid w:val="004A4EC2"/>
    <w:rsid w:val="004B1C96"/>
    <w:rsid w:val="004B6989"/>
    <w:rsid w:val="004C00F3"/>
    <w:rsid w:val="004C6372"/>
    <w:rsid w:val="004D760C"/>
    <w:rsid w:val="004E263A"/>
    <w:rsid w:val="004E283B"/>
    <w:rsid w:val="004F54B1"/>
    <w:rsid w:val="00504A33"/>
    <w:rsid w:val="0052573B"/>
    <w:rsid w:val="00530C4B"/>
    <w:rsid w:val="00535CA8"/>
    <w:rsid w:val="005427E9"/>
    <w:rsid w:val="00545510"/>
    <w:rsid w:val="00547456"/>
    <w:rsid w:val="005565FB"/>
    <w:rsid w:val="00556CD7"/>
    <w:rsid w:val="00561721"/>
    <w:rsid w:val="005830E2"/>
    <w:rsid w:val="005A0221"/>
    <w:rsid w:val="005A2D04"/>
    <w:rsid w:val="005B171C"/>
    <w:rsid w:val="005B78BE"/>
    <w:rsid w:val="005C3388"/>
    <w:rsid w:val="005C41EF"/>
    <w:rsid w:val="005C456F"/>
    <w:rsid w:val="005C5E61"/>
    <w:rsid w:val="005C7F8E"/>
    <w:rsid w:val="005E09E4"/>
    <w:rsid w:val="005E32F9"/>
    <w:rsid w:val="005E3A98"/>
    <w:rsid w:val="005F12E5"/>
    <w:rsid w:val="005F3D90"/>
    <w:rsid w:val="00600C6A"/>
    <w:rsid w:val="006044D2"/>
    <w:rsid w:val="00626B08"/>
    <w:rsid w:val="00630DB6"/>
    <w:rsid w:val="00633438"/>
    <w:rsid w:val="00654E27"/>
    <w:rsid w:val="0067047E"/>
    <w:rsid w:val="0067120F"/>
    <w:rsid w:val="00676209"/>
    <w:rsid w:val="006820EC"/>
    <w:rsid w:val="0068554C"/>
    <w:rsid w:val="006871AC"/>
    <w:rsid w:val="00690B58"/>
    <w:rsid w:val="00695227"/>
    <w:rsid w:val="006A1978"/>
    <w:rsid w:val="006A4BD6"/>
    <w:rsid w:val="006D53B6"/>
    <w:rsid w:val="006D603C"/>
    <w:rsid w:val="006E4A29"/>
    <w:rsid w:val="006E4AC3"/>
    <w:rsid w:val="006F5B88"/>
    <w:rsid w:val="00710040"/>
    <w:rsid w:val="00722778"/>
    <w:rsid w:val="007302F6"/>
    <w:rsid w:val="00732461"/>
    <w:rsid w:val="00735F66"/>
    <w:rsid w:val="0073602C"/>
    <w:rsid w:val="00744883"/>
    <w:rsid w:val="007460D5"/>
    <w:rsid w:val="007476AE"/>
    <w:rsid w:val="007569D8"/>
    <w:rsid w:val="00764418"/>
    <w:rsid w:val="00766584"/>
    <w:rsid w:val="00766D7D"/>
    <w:rsid w:val="00776867"/>
    <w:rsid w:val="00787865"/>
    <w:rsid w:val="007938E6"/>
    <w:rsid w:val="00794278"/>
    <w:rsid w:val="007A3FEE"/>
    <w:rsid w:val="007B19C7"/>
    <w:rsid w:val="007B509D"/>
    <w:rsid w:val="007C1452"/>
    <w:rsid w:val="007C1B7F"/>
    <w:rsid w:val="007C69D8"/>
    <w:rsid w:val="007D1335"/>
    <w:rsid w:val="007E189B"/>
    <w:rsid w:val="007E5EAE"/>
    <w:rsid w:val="007E60A6"/>
    <w:rsid w:val="007F429E"/>
    <w:rsid w:val="007F63B1"/>
    <w:rsid w:val="00805564"/>
    <w:rsid w:val="00820D1E"/>
    <w:rsid w:val="008455F8"/>
    <w:rsid w:val="00845BEE"/>
    <w:rsid w:val="00854477"/>
    <w:rsid w:val="0085762B"/>
    <w:rsid w:val="008729DA"/>
    <w:rsid w:val="00884B3D"/>
    <w:rsid w:val="008923FC"/>
    <w:rsid w:val="0089295D"/>
    <w:rsid w:val="00895B85"/>
    <w:rsid w:val="008A28CF"/>
    <w:rsid w:val="008B0984"/>
    <w:rsid w:val="008B1784"/>
    <w:rsid w:val="008B3E9B"/>
    <w:rsid w:val="008B7C68"/>
    <w:rsid w:val="008D1BE5"/>
    <w:rsid w:val="008D2133"/>
    <w:rsid w:val="008D453C"/>
    <w:rsid w:val="008E137E"/>
    <w:rsid w:val="008E23F1"/>
    <w:rsid w:val="008E7CC2"/>
    <w:rsid w:val="0090609C"/>
    <w:rsid w:val="009112C7"/>
    <w:rsid w:val="00913C9B"/>
    <w:rsid w:val="00920DC0"/>
    <w:rsid w:val="00922FFE"/>
    <w:rsid w:val="0092731D"/>
    <w:rsid w:val="00930B7F"/>
    <w:rsid w:val="00937BEB"/>
    <w:rsid w:val="0094178A"/>
    <w:rsid w:val="00942B07"/>
    <w:rsid w:val="00944A90"/>
    <w:rsid w:val="0094751A"/>
    <w:rsid w:val="009513FC"/>
    <w:rsid w:val="00953038"/>
    <w:rsid w:val="00973552"/>
    <w:rsid w:val="00975E2B"/>
    <w:rsid w:val="00977084"/>
    <w:rsid w:val="00983266"/>
    <w:rsid w:val="00991288"/>
    <w:rsid w:val="00997FE5"/>
    <w:rsid w:val="009A25C6"/>
    <w:rsid w:val="009A3B59"/>
    <w:rsid w:val="009A7E84"/>
    <w:rsid w:val="009B60C2"/>
    <w:rsid w:val="009C1B6B"/>
    <w:rsid w:val="009D0717"/>
    <w:rsid w:val="009D3B09"/>
    <w:rsid w:val="009D697D"/>
    <w:rsid w:val="009E1306"/>
    <w:rsid w:val="009E3284"/>
    <w:rsid w:val="009E4877"/>
    <w:rsid w:val="009E605F"/>
    <w:rsid w:val="009E7187"/>
    <w:rsid w:val="009F37FD"/>
    <w:rsid w:val="009F4FC5"/>
    <w:rsid w:val="009F76CC"/>
    <w:rsid w:val="00A06858"/>
    <w:rsid w:val="00A26B27"/>
    <w:rsid w:val="00A40F53"/>
    <w:rsid w:val="00A452ED"/>
    <w:rsid w:val="00A62D52"/>
    <w:rsid w:val="00A67719"/>
    <w:rsid w:val="00A678B0"/>
    <w:rsid w:val="00A70252"/>
    <w:rsid w:val="00A82C6F"/>
    <w:rsid w:val="00A868CD"/>
    <w:rsid w:val="00A87363"/>
    <w:rsid w:val="00A903EE"/>
    <w:rsid w:val="00A918F4"/>
    <w:rsid w:val="00A966B8"/>
    <w:rsid w:val="00AA41AB"/>
    <w:rsid w:val="00AA5F42"/>
    <w:rsid w:val="00AB14D1"/>
    <w:rsid w:val="00AB36EB"/>
    <w:rsid w:val="00AC737C"/>
    <w:rsid w:val="00AD0F32"/>
    <w:rsid w:val="00AE08CE"/>
    <w:rsid w:val="00AE3E33"/>
    <w:rsid w:val="00AF48C5"/>
    <w:rsid w:val="00AF490A"/>
    <w:rsid w:val="00B0068F"/>
    <w:rsid w:val="00B07127"/>
    <w:rsid w:val="00B238DB"/>
    <w:rsid w:val="00B24D3E"/>
    <w:rsid w:val="00B30E56"/>
    <w:rsid w:val="00B3484E"/>
    <w:rsid w:val="00B3702E"/>
    <w:rsid w:val="00B400B2"/>
    <w:rsid w:val="00B4781E"/>
    <w:rsid w:val="00B54BD5"/>
    <w:rsid w:val="00B72B2F"/>
    <w:rsid w:val="00B73482"/>
    <w:rsid w:val="00B76012"/>
    <w:rsid w:val="00B81BE8"/>
    <w:rsid w:val="00B93DE0"/>
    <w:rsid w:val="00B96EDC"/>
    <w:rsid w:val="00BA2395"/>
    <w:rsid w:val="00BB2FD3"/>
    <w:rsid w:val="00BC21D9"/>
    <w:rsid w:val="00BC3AA2"/>
    <w:rsid w:val="00BC60BE"/>
    <w:rsid w:val="00BE397D"/>
    <w:rsid w:val="00BF0B4E"/>
    <w:rsid w:val="00BF4290"/>
    <w:rsid w:val="00BF467E"/>
    <w:rsid w:val="00C158EE"/>
    <w:rsid w:val="00C15E8B"/>
    <w:rsid w:val="00C21780"/>
    <w:rsid w:val="00C37114"/>
    <w:rsid w:val="00C50EA8"/>
    <w:rsid w:val="00C51153"/>
    <w:rsid w:val="00C5588D"/>
    <w:rsid w:val="00C70ADB"/>
    <w:rsid w:val="00C70F60"/>
    <w:rsid w:val="00C7419F"/>
    <w:rsid w:val="00C74FF9"/>
    <w:rsid w:val="00C75C9A"/>
    <w:rsid w:val="00C85F7F"/>
    <w:rsid w:val="00C90479"/>
    <w:rsid w:val="00C968FD"/>
    <w:rsid w:val="00CB06EE"/>
    <w:rsid w:val="00CB47EF"/>
    <w:rsid w:val="00CC1859"/>
    <w:rsid w:val="00CC3BD9"/>
    <w:rsid w:val="00CC6A72"/>
    <w:rsid w:val="00CE55E5"/>
    <w:rsid w:val="00CE7626"/>
    <w:rsid w:val="00CE7FAA"/>
    <w:rsid w:val="00CF70AB"/>
    <w:rsid w:val="00D0649F"/>
    <w:rsid w:val="00D06C9D"/>
    <w:rsid w:val="00D0777F"/>
    <w:rsid w:val="00D0797A"/>
    <w:rsid w:val="00D07B2B"/>
    <w:rsid w:val="00D13096"/>
    <w:rsid w:val="00D20296"/>
    <w:rsid w:val="00D21BE6"/>
    <w:rsid w:val="00D24FD0"/>
    <w:rsid w:val="00D350E5"/>
    <w:rsid w:val="00D35DA5"/>
    <w:rsid w:val="00D41889"/>
    <w:rsid w:val="00D47073"/>
    <w:rsid w:val="00D55F7F"/>
    <w:rsid w:val="00D63FD5"/>
    <w:rsid w:val="00D6766E"/>
    <w:rsid w:val="00D743F2"/>
    <w:rsid w:val="00D77C7F"/>
    <w:rsid w:val="00D812BE"/>
    <w:rsid w:val="00D93629"/>
    <w:rsid w:val="00D93C2F"/>
    <w:rsid w:val="00D948A2"/>
    <w:rsid w:val="00D97729"/>
    <w:rsid w:val="00DA53F0"/>
    <w:rsid w:val="00DB3483"/>
    <w:rsid w:val="00DB398F"/>
    <w:rsid w:val="00DB49E0"/>
    <w:rsid w:val="00DC023E"/>
    <w:rsid w:val="00DC2570"/>
    <w:rsid w:val="00DC5FE5"/>
    <w:rsid w:val="00DD128E"/>
    <w:rsid w:val="00DD34D6"/>
    <w:rsid w:val="00DD3724"/>
    <w:rsid w:val="00DE0371"/>
    <w:rsid w:val="00DE4A27"/>
    <w:rsid w:val="00DE6D1F"/>
    <w:rsid w:val="00DE6F31"/>
    <w:rsid w:val="00DF399A"/>
    <w:rsid w:val="00DF4019"/>
    <w:rsid w:val="00E00C98"/>
    <w:rsid w:val="00E0387D"/>
    <w:rsid w:val="00E1207F"/>
    <w:rsid w:val="00E13476"/>
    <w:rsid w:val="00E22574"/>
    <w:rsid w:val="00E324D6"/>
    <w:rsid w:val="00E403D4"/>
    <w:rsid w:val="00E4162D"/>
    <w:rsid w:val="00E62DF8"/>
    <w:rsid w:val="00E65D14"/>
    <w:rsid w:val="00E66F55"/>
    <w:rsid w:val="00E6794B"/>
    <w:rsid w:val="00E91BE7"/>
    <w:rsid w:val="00EA24E4"/>
    <w:rsid w:val="00EB6D95"/>
    <w:rsid w:val="00EC4A97"/>
    <w:rsid w:val="00ED0B0C"/>
    <w:rsid w:val="00ED5429"/>
    <w:rsid w:val="00EE385E"/>
    <w:rsid w:val="00EE6AE7"/>
    <w:rsid w:val="00EF55A2"/>
    <w:rsid w:val="00EF56F4"/>
    <w:rsid w:val="00EF571C"/>
    <w:rsid w:val="00F02965"/>
    <w:rsid w:val="00F1444E"/>
    <w:rsid w:val="00F24508"/>
    <w:rsid w:val="00F257D5"/>
    <w:rsid w:val="00F42563"/>
    <w:rsid w:val="00F7227F"/>
    <w:rsid w:val="00F73B16"/>
    <w:rsid w:val="00F7473E"/>
    <w:rsid w:val="00F80A1E"/>
    <w:rsid w:val="00F82B50"/>
    <w:rsid w:val="00F8463F"/>
    <w:rsid w:val="00F84773"/>
    <w:rsid w:val="00F93B41"/>
    <w:rsid w:val="00F963FC"/>
    <w:rsid w:val="00F97949"/>
    <w:rsid w:val="00FA7A41"/>
    <w:rsid w:val="00FB5035"/>
    <w:rsid w:val="00FB690E"/>
    <w:rsid w:val="00FB6DC8"/>
    <w:rsid w:val="00FC45AF"/>
    <w:rsid w:val="00FC7D3F"/>
    <w:rsid w:val="00FD1C8F"/>
    <w:rsid w:val="00FE5599"/>
    <w:rsid w:val="00FE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571A"/>
  <w15:docId w15:val="{56BD5672-E175-49C5-9099-4DCC5E37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52"/>
    <w:pPr>
      <w:ind w:left="720"/>
      <w:contextualSpacing/>
    </w:pPr>
  </w:style>
  <w:style w:type="character" w:styleId="Hyperlink">
    <w:name w:val="Hyperlink"/>
    <w:basedOn w:val="DefaultParagraphFont"/>
    <w:uiPriority w:val="99"/>
    <w:unhideWhenUsed/>
    <w:rsid w:val="008729DA"/>
    <w:rPr>
      <w:color w:val="0563C1" w:themeColor="hyperlink"/>
      <w:u w:val="single"/>
    </w:rPr>
  </w:style>
  <w:style w:type="paragraph" w:styleId="Header">
    <w:name w:val="header"/>
    <w:basedOn w:val="Normal"/>
    <w:link w:val="HeaderChar"/>
    <w:uiPriority w:val="99"/>
    <w:unhideWhenUsed/>
    <w:rsid w:val="00CE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AA"/>
  </w:style>
  <w:style w:type="paragraph" w:styleId="Footer">
    <w:name w:val="footer"/>
    <w:basedOn w:val="Normal"/>
    <w:link w:val="FooterChar"/>
    <w:uiPriority w:val="99"/>
    <w:unhideWhenUsed/>
    <w:rsid w:val="00CE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AA"/>
  </w:style>
  <w:style w:type="character" w:styleId="CommentReference">
    <w:name w:val="annotation reference"/>
    <w:basedOn w:val="DefaultParagraphFont"/>
    <w:uiPriority w:val="99"/>
    <w:semiHidden/>
    <w:unhideWhenUsed/>
    <w:rsid w:val="005C7F8E"/>
    <w:rPr>
      <w:sz w:val="16"/>
      <w:szCs w:val="16"/>
    </w:rPr>
  </w:style>
  <w:style w:type="paragraph" w:styleId="CommentText">
    <w:name w:val="annotation text"/>
    <w:basedOn w:val="Normal"/>
    <w:link w:val="CommentTextChar"/>
    <w:uiPriority w:val="99"/>
    <w:semiHidden/>
    <w:unhideWhenUsed/>
    <w:rsid w:val="005C7F8E"/>
    <w:pPr>
      <w:spacing w:line="240" w:lineRule="auto"/>
    </w:pPr>
    <w:rPr>
      <w:sz w:val="20"/>
      <w:szCs w:val="20"/>
    </w:rPr>
  </w:style>
  <w:style w:type="character" w:customStyle="1" w:styleId="CommentTextChar">
    <w:name w:val="Comment Text Char"/>
    <w:basedOn w:val="DefaultParagraphFont"/>
    <w:link w:val="CommentText"/>
    <w:uiPriority w:val="99"/>
    <w:semiHidden/>
    <w:rsid w:val="005C7F8E"/>
    <w:rPr>
      <w:sz w:val="20"/>
      <w:szCs w:val="20"/>
    </w:rPr>
  </w:style>
  <w:style w:type="paragraph" w:styleId="CommentSubject">
    <w:name w:val="annotation subject"/>
    <w:basedOn w:val="CommentText"/>
    <w:next w:val="CommentText"/>
    <w:link w:val="CommentSubjectChar"/>
    <w:uiPriority w:val="99"/>
    <w:semiHidden/>
    <w:unhideWhenUsed/>
    <w:rsid w:val="005C7F8E"/>
    <w:rPr>
      <w:b/>
      <w:bCs/>
    </w:rPr>
  </w:style>
  <w:style w:type="character" w:customStyle="1" w:styleId="CommentSubjectChar">
    <w:name w:val="Comment Subject Char"/>
    <w:basedOn w:val="CommentTextChar"/>
    <w:link w:val="CommentSubject"/>
    <w:uiPriority w:val="99"/>
    <w:semiHidden/>
    <w:rsid w:val="005C7F8E"/>
    <w:rPr>
      <w:b/>
      <w:bCs/>
      <w:sz w:val="20"/>
      <w:szCs w:val="20"/>
    </w:rPr>
  </w:style>
  <w:style w:type="paragraph" w:styleId="BalloonText">
    <w:name w:val="Balloon Text"/>
    <w:basedOn w:val="Normal"/>
    <w:link w:val="BalloonTextChar"/>
    <w:uiPriority w:val="99"/>
    <w:semiHidden/>
    <w:unhideWhenUsed/>
    <w:rsid w:val="005C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40B"/>
    <w:rPr>
      <w:color w:val="605E5C"/>
      <w:shd w:val="clear" w:color="auto" w:fill="E1DFDD"/>
    </w:rPr>
  </w:style>
  <w:style w:type="paragraph" w:customStyle="1" w:styleId="EndNoteBibliography">
    <w:name w:val="EndNote Bibliography"/>
    <w:basedOn w:val="Normal"/>
    <w:link w:val="EndNoteBibliographyChar"/>
    <w:rsid w:val="000C504A"/>
    <w:pPr>
      <w:spacing w:line="240" w:lineRule="auto"/>
    </w:pPr>
    <w:rPr>
      <w:rFonts w:ascii="Calibri" w:eastAsia="Calibri" w:hAnsi="Calibri" w:cs="Calibri"/>
      <w:noProof/>
      <w:lang w:val="en-US"/>
    </w:rPr>
  </w:style>
  <w:style w:type="character" w:customStyle="1" w:styleId="EndNoteBibliographyChar">
    <w:name w:val="EndNote Bibliography Char"/>
    <w:basedOn w:val="DefaultParagraphFont"/>
    <w:link w:val="EndNoteBibliography"/>
    <w:rsid w:val="000C504A"/>
    <w:rPr>
      <w:rFonts w:ascii="Calibri" w:eastAsia="Calibri" w:hAnsi="Calibri" w:cs="Calibri"/>
      <w:noProof/>
      <w:lang w:val="en-US"/>
    </w:rPr>
  </w:style>
  <w:style w:type="character" w:customStyle="1" w:styleId="apple-converted-space">
    <w:name w:val="apple-converted-space"/>
    <w:basedOn w:val="DefaultParagraphFont"/>
    <w:rsid w:val="000C504A"/>
  </w:style>
  <w:style w:type="paragraph" w:styleId="NormalWeb">
    <w:name w:val="Normal (Web)"/>
    <w:basedOn w:val="Normal"/>
    <w:uiPriority w:val="99"/>
    <w:unhideWhenUsed/>
    <w:rsid w:val="000C50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1BE8"/>
    <w:rPr>
      <w:color w:val="605E5C"/>
      <w:shd w:val="clear" w:color="auto" w:fill="E1DFDD"/>
    </w:rPr>
  </w:style>
  <w:style w:type="table" w:styleId="TableGrid">
    <w:name w:val="Table Grid"/>
    <w:basedOn w:val="TableNormal"/>
    <w:uiPriority w:val="39"/>
    <w:rsid w:val="0058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3FC"/>
    <w:rPr>
      <w:color w:val="954F72" w:themeColor="followedHyperlink"/>
      <w:u w:val="single"/>
    </w:rPr>
  </w:style>
  <w:style w:type="paragraph" w:customStyle="1" w:styleId="paragraph">
    <w:name w:val="paragraph"/>
    <w:basedOn w:val="Normal"/>
    <w:rsid w:val="009B60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0C2"/>
  </w:style>
  <w:style w:type="character" w:customStyle="1" w:styleId="eop">
    <w:name w:val="eop"/>
    <w:basedOn w:val="DefaultParagraphFont"/>
    <w:rsid w:val="009B60C2"/>
  </w:style>
  <w:style w:type="character" w:customStyle="1" w:styleId="tabchar">
    <w:name w:val="tabchar"/>
    <w:basedOn w:val="DefaultParagraphFont"/>
    <w:rsid w:val="009B60C2"/>
  </w:style>
  <w:style w:type="character" w:styleId="LineNumber">
    <w:name w:val="line number"/>
    <w:basedOn w:val="DefaultParagraphFont"/>
    <w:uiPriority w:val="99"/>
    <w:semiHidden/>
    <w:unhideWhenUsed/>
    <w:rsid w:val="007C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2275">
      <w:bodyDiv w:val="1"/>
      <w:marLeft w:val="0"/>
      <w:marRight w:val="0"/>
      <w:marTop w:val="0"/>
      <w:marBottom w:val="0"/>
      <w:divBdr>
        <w:top w:val="none" w:sz="0" w:space="0" w:color="auto"/>
        <w:left w:val="none" w:sz="0" w:space="0" w:color="auto"/>
        <w:bottom w:val="none" w:sz="0" w:space="0" w:color="auto"/>
        <w:right w:val="none" w:sz="0" w:space="0" w:color="auto"/>
      </w:divBdr>
    </w:div>
    <w:div w:id="415253411">
      <w:bodyDiv w:val="1"/>
      <w:marLeft w:val="0"/>
      <w:marRight w:val="0"/>
      <w:marTop w:val="0"/>
      <w:marBottom w:val="0"/>
      <w:divBdr>
        <w:top w:val="none" w:sz="0" w:space="0" w:color="auto"/>
        <w:left w:val="none" w:sz="0" w:space="0" w:color="auto"/>
        <w:bottom w:val="none" w:sz="0" w:space="0" w:color="auto"/>
        <w:right w:val="none" w:sz="0" w:space="0" w:color="auto"/>
      </w:divBdr>
    </w:div>
    <w:div w:id="1017775357">
      <w:bodyDiv w:val="1"/>
      <w:marLeft w:val="0"/>
      <w:marRight w:val="0"/>
      <w:marTop w:val="0"/>
      <w:marBottom w:val="0"/>
      <w:divBdr>
        <w:top w:val="none" w:sz="0" w:space="0" w:color="auto"/>
        <w:left w:val="none" w:sz="0" w:space="0" w:color="auto"/>
        <w:bottom w:val="none" w:sz="0" w:space="0" w:color="auto"/>
        <w:right w:val="none" w:sz="0" w:space="0" w:color="auto"/>
      </w:divBdr>
      <w:divsChild>
        <w:div w:id="60174887">
          <w:marLeft w:val="0"/>
          <w:marRight w:val="0"/>
          <w:marTop w:val="0"/>
          <w:marBottom w:val="0"/>
          <w:divBdr>
            <w:top w:val="none" w:sz="0" w:space="0" w:color="auto"/>
            <w:left w:val="none" w:sz="0" w:space="0" w:color="auto"/>
            <w:bottom w:val="none" w:sz="0" w:space="0" w:color="auto"/>
            <w:right w:val="none" w:sz="0" w:space="0" w:color="auto"/>
          </w:divBdr>
          <w:divsChild>
            <w:div w:id="1183085736">
              <w:marLeft w:val="0"/>
              <w:marRight w:val="0"/>
              <w:marTop w:val="0"/>
              <w:marBottom w:val="0"/>
              <w:divBdr>
                <w:top w:val="none" w:sz="0" w:space="0" w:color="auto"/>
                <w:left w:val="none" w:sz="0" w:space="0" w:color="auto"/>
                <w:bottom w:val="none" w:sz="0" w:space="0" w:color="auto"/>
                <w:right w:val="none" w:sz="0" w:space="0" w:color="auto"/>
              </w:divBdr>
            </w:div>
            <w:div w:id="1523591281">
              <w:marLeft w:val="0"/>
              <w:marRight w:val="0"/>
              <w:marTop w:val="0"/>
              <w:marBottom w:val="0"/>
              <w:divBdr>
                <w:top w:val="none" w:sz="0" w:space="0" w:color="auto"/>
                <w:left w:val="none" w:sz="0" w:space="0" w:color="auto"/>
                <w:bottom w:val="none" w:sz="0" w:space="0" w:color="auto"/>
                <w:right w:val="none" w:sz="0" w:space="0" w:color="auto"/>
              </w:divBdr>
            </w:div>
          </w:divsChild>
        </w:div>
        <w:div w:id="973556716">
          <w:marLeft w:val="0"/>
          <w:marRight w:val="0"/>
          <w:marTop w:val="0"/>
          <w:marBottom w:val="0"/>
          <w:divBdr>
            <w:top w:val="none" w:sz="0" w:space="0" w:color="auto"/>
            <w:left w:val="none" w:sz="0" w:space="0" w:color="auto"/>
            <w:bottom w:val="none" w:sz="0" w:space="0" w:color="auto"/>
            <w:right w:val="none" w:sz="0" w:space="0" w:color="auto"/>
          </w:divBdr>
          <w:divsChild>
            <w:div w:id="7623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6155">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922250762">
      <w:bodyDiv w:val="1"/>
      <w:marLeft w:val="0"/>
      <w:marRight w:val="0"/>
      <w:marTop w:val="0"/>
      <w:marBottom w:val="0"/>
      <w:divBdr>
        <w:top w:val="none" w:sz="0" w:space="0" w:color="auto"/>
        <w:left w:val="none" w:sz="0" w:space="0" w:color="auto"/>
        <w:bottom w:val="none" w:sz="0" w:space="0" w:color="auto"/>
        <w:right w:val="none" w:sz="0" w:space="0" w:color="auto"/>
      </w:divBdr>
    </w:div>
    <w:div w:id="2098087204">
      <w:bodyDiv w:val="1"/>
      <w:marLeft w:val="0"/>
      <w:marRight w:val="0"/>
      <w:marTop w:val="0"/>
      <w:marBottom w:val="0"/>
      <w:divBdr>
        <w:top w:val="none" w:sz="0" w:space="0" w:color="auto"/>
        <w:left w:val="none" w:sz="0" w:space="0" w:color="auto"/>
        <w:bottom w:val="none" w:sz="0" w:space="0" w:color="auto"/>
        <w:right w:val="none" w:sz="0" w:space="0" w:color="auto"/>
      </w:divBdr>
      <w:divsChild>
        <w:div w:id="94524733">
          <w:marLeft w:val="0"/>
          <w:marRight w:val="0"/>
          <w:marTop w:val="0"/>
          <w:marBottom w:val="0"/>
          <w:divBdr>
            <w:top w:val="none" w:sz="0" w:space="0" w:color="auto"/>
            <w:left w:val="none" w:sz="0" w:space="0" w:color="auto"/>
            <w:bottom w:val="none" w:sz="0" w:space="0" w:color="auto"/>
            <w:right w:val="none" w:sz="0" w:space="0" w:color="auto"/>
          </w:divBdr>
        </w:div>
        <w:div w:id="375739653">
          <w:marLeft w:val="0"/>
          <w:marRight w:val="0"/>
          <w:marTop w:val="0"/>
          <w:marBottom w:val="0"/>
          <w:divBdr>
            <w:top w:val="none" w:sz="0" w:space="0" w:color="auto"/>
            <w:left w:val="none" w:sz="0" w:space="0" w:color="auto"/>
            <w:bottom w:val="none" w:sz="0" w:space="0" w:color="auto"/>
            <w:right w:val="none" w:sz="0" w:space="0" w:color="auto"/>
          </w:divBdr>
        </w:div>
        <w:div w:id="467434751">
          <w:marLeft w:val="0"/>
          <w:marRight w:val="0"/>
          <w:marTop w:val="0"/>
          <w:marBottom w:val="0"/>
          <w:divBdr>
            <w:top w:val="none" w:sz="0" w:space="0" w:color="auto"/>
            <w:left w:val="none" w:sz="0" w:space="0" w:color="auto"/>
            <w:bottom w:val="none" w:sz="0" w:space="0" w:color="auto"/>
            <w:right w:val="none" w:sz="0" w:space="0" w:color="auto"/>
          </w:divBdr>
        </w:div>
        <w:div w:id="492644028">
          <w:marLeft w:val="0"/>
          <w:marRight w:val="0"/>
          <w:marTop w:val="0"/>
          <w:marBottom w:val="0"/>
          <w:divBdr>
            <w:top w:val="none" w:sz="0" w:space="0" w:color="auto"/>
            <w:left w:val="none" w:sz="0" w:space="0" w:color="auto"/>
            <w:bottom w:val="none" w:sz="0" w:space="0" w:color="auto"/>
            <w:right w:val="none" w:sz="0" w:space="0" w:color="auto"/>
          </w:divBdr>
        </w:div>
        <w:div w:id="645816608">
          <w:marLeft w:val="0"/>
          <w:marRight w:val="0"/>
          <w:marTop w:val="0"/>
          <w:marBottom w:val="0"/>
          <w:divBdr>
            <w:top w:val="none" w:sz="0" w:space="0" w:color="auto"/>
            <w:left w:val="none" w:sz="0" w:space="0" w:color="auto"/>
            <w:bottom w:val="none" w:sz="0" w:space="0" w:color="auto"/>
            <w:right w:val="none" w:sz="0" w:space="0" w:color="auto"/>
          </w:divBdr>
        </w:div>
        <w:div w:id="817191704">
          <w:marLeft w:val="0"/>
          <w:marRight w:val="0"/>
          <w:marTop w:val="0"/>
          <w:marBottom w:val="0"/>
          <w:divBdr>
            <w:top w:val="none" w:sz="0" w:space="0" w:color="auto"/>
            <w:left w:val="none" w:sz="0" w:space="0" w:color="auto"/>
            <w:bottom w:val="none" w:sz="0" w:space="0" w:color="auto"/>
            <w:right w:val="none" w:sz="0" w:space="0" w:color="auto"/>
          </w:divBdr>
        </w:div>
        <w:div w:id="919408411">
          <w:marLeft w:val="0"/>
          <w:marRight w:val="0"/>
          <w:marTop w:val="0"/>
          <w:marBottom w:val="0"/>
          <w:divBdr>
            <w:top w:val="none" w:sz="0" w:space="0" w:color="auto"/>
            <w:left w:val="none" w:sz="0" w:space="0" w:color="auto"/>
            <w:bottom w:val="none" w:sz="0" w:space="0" w:color="auto"/>
            <w:right w:val="none" w:sz="0" w:space="0" w:color="auto"/>
          </w:divBdr>
        </w:div>
        <w:div w:id="974338963">
          <w:marLeft w:val="0"/>
          <w:marRight w:val="0"/>
          <w:marTop w:val="0"/>
          <w:marBottom w:val="0"/>
          <w:divBdr>
            <w:top w:val="none" w:sz="0" w:space="0" w:color="auto"/>
            <w:left w:val="none" w:sz="0" w:space="0" w:color="auto"/>
            <w:bottom w:val="none" w:sz="0" w:space="0" w:color="auto"/>
            <w:right w:val="none" w:sz="0" w:space="0" w:color="auto"/>
          </w:divBdr>
        </w:div>
        <w:div w:id="1119642201">
          <w:marLeft w:val="0"/>
          <w:marRight w:val="0"/>
          <w:marTop w:val="0"/>
          <w:marBottom w:val="0"/>
          <w:divBdr>
            <w:top w:val="none" w:sz="0" w:space="0" w:color="auto"/>
            <w:left w:val="none" w:sz="0" w:space="0" w:color="auto"/>
            <w:bottom w:val="none" w:sz="0" w:space="0" w:color="auto"/>
            <w:right w:val="none" w:sz="0" w:space="0" w:color="auto"/>
          </w:divBdr>
        </w:div>
        <w:div w:id="1178034968">
          <w:marLeft w:val="0"/>
          <w:marRight w:val="0"/>
          <w:marTop w:val="0"/>
          <w:marBottom w:val="0"/>
          <w:divBdr>
            <w:top w:val="none" w:sz="0" w:space="0" w:color="auto"/>
            <w:left w:val="none" w:sz="0" w:space="0" w:color="auto"/>
            <w:bottom w:val="none" w:sz="0" w:space="0" w:color="auto"/>
            <w:right w:val="none" w:sz="0" w:space="0" w:color="auto"/>
          </w:divBdr>
        </w:div>
        <w:div w:id="1386638498">
          <w:marLeft w:val="0"/>
          <w:marRight w:val="0"/>
          <w:marTop w:val="0"/>
          <w:marBottom w:val="0"/>
          <w:divBdr>
            <w:top w:val="none" w:sz="0" w:space="0" w:color="auto"/>
            <w:left w:val="none" w:sz="0" w:space="0" w:color="auto"/>
            <w:bottom w:val="none" w:sz="0" w:space="0" w:color="auto"/>
            <w:right w:val="none" w:sz="0" w:space="0" w:color="auto"/>
          </w:divBdr>
        </w:div>
        <w:div w:id="1434089907">
          <w:marLeft w:val="0"/>
          <w:marRight w:val="0"/>
          <w:marTop w:val="0"/>
          <w:marBottom w:val="0"/>
          <w:divBdr>
            <w:top w:val="none" w:sz="0" w:space="0" w:color="auto"/>
            <w:left w:val="none" w:sz="0" w:space="0" w:color="auto"/>
            <w:bottom w:val="none" w:sz="0" w:space="0" w:color="auto"/>
            <w:right w:val="none" w:sz="0" w:space="0" w:color="auto"/>
          </w:divBdr>
        </w:div>
        <w:div w:id="1917863222">
          <w:marLeft w:val="0"/>
          <w:marRight w:val="0"/>
          <w:marTop w:val="0"/>
          <w:marBottom w:val="0"/>
          <w:divBdr>
            <w:top w:val="none" w:sz="0" w:space="0" w:color="auto"/>
            <w:left w:val="none" w:sz="0" w:space="0" w:color="auto"/>
            <w:bottom w:val="none" w:sz="0" w:space="0" w:color="auto"/>
            <w:right w:val="none" w:sz="0" w:space="0" w:color="auto"/>
          </w:divBdr>
        </w:div>
        <w:div w:id="1926451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bja.2021.03.005" TargetMode="External"/><Relationship Id="rId18" Type="http://schemas.openxmlformats.org/officeDocument/2006/relationships/hyperlink" Target="https://www.ficm.ac.uk/sites/default/files/ficm_rehab_provisional_guidance.pdf"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dx.doi.org/10.1136/eb-2015-102054" TargetMode="External"/><Relationship Id="rId7" Type="http://schemas.openxmlformats.org/officeDocument/2006/relationships/webSettings" Target="webSettings.xml"/><Relationship Id="rId12" Type="http://schemas.openxmlformats.org/officeDocument/2006/relationships/hyperlink" Target="https://www.thisinstitute.cam.ac.uk/research-projects/covid-19-intensive-care-patient-experiences/" TargetMode="External"/><Relationship Id="rId17" Type="http://schemas.openxmlformats.org/officeDocument/2006/relationships/hyperlink" Target="https://ficm.ac.uk/criticalfutures/life-after-critical-illness" TargetMode="External"/><Relationship Id="rId25" Type="http://schemas.openxmlformats.org/officeDocument/2006/relationships/hyperlink" Target="https://www.ncbi.nlm.nih.gov/pmc/articles/PMC4862344/" TargetMode="External"/><Relationship Id="rId2" Type="http://schemas.openxmlformats.org/officeDocument/2006/relationships/customXml" Target="../customXml/item2.xml"/><Relationship Id="rId16" Type="http://schemas.openxmlformats.org/officeDocument/2006/relationships/hyperlink" Target="https://doi.org/10.1111/scs.12177" TargetMode="External"/><Relationship Id="rId20" Type="http://schemas.openxmlformats.org/officeDocument/2006/relationships/hyperlink" Target="https://doi.org/10.1177/08903344198309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our-work/care-navigation" TargetMode="External"/><Relationship Id="rId24" Type="http://schemas.openxmlformats.org/officeDocument/2006/relationships/hyperlink" Target="https://doi.org/10.3399/bjgp16X688045" TargetMode="External"/><Relationship Id="rId5" Type="http://schemas.openxmlformats.org/officeDocument/2006/relationships/styles" Target="styles.xml"/><Relationship Id="rId15" Type="http://schemas.openxmlformats.org/officeDocument/2006/relationships/hyperlink" Target="https://doi.org/10.1101/2022.01.11.22269045" TargetMode="External"/><Relationship Id="rId23" Type="http://schemas.openxmlformats.org/officeDocument/2006/relationships/hyperlink" Target="https://doi.org/10.1111/jan.14995" TargetMode="External"/><Relationship Id="rId28" Type="http://schemas.openxmlformats.org/officeDocument/2006/relationships/footer" Target="footer1.xml"/><Relationship Id="rId10" Type="http://schemas.openxmlformats.org/officeDocument/2006/relationships/hyperlink" Target="https://www.maudsleybrc.nihr.ac.uk/research/covid-19-studies/" TargetMode="External"/><Relationship Id="rId19" Type="http://schemas.openxmlformats.org/officeDocument/2006/relationships/hyperlink" Target="https://www.ons.gov.uk/peoplepopulationandcommunity/healthandsocialcare/conditionsanddiseases/datasets/coronaviruscovid19infectionsurveydat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16/S2213-2600(21)00318-0" TargetMode="External"/><Relationship Id="rId22" Type="http://schemas.openxmlformats.org/officeDocument/2006/relationships/hyperlink" Target="https://doi.org/10.1038/s41572-020-0201-1" TargetMode="External"/><Relationship Id="rId27" Type="http://schemas.openxmlformats.org/officeDocument/2006/relationships/image" Target="media/image2.sv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4AB3E46F8D245BB4DECF1EE83CFE3" ma:contentTypeVersion="2" ma:contentTypeDescription="Create a new document." ma:contentTypeScope="" ma:versionID="b444145e816b4377c6afe87b88b7d5ae">
  <xsd:schema xmlns:xsd="http://www.w3.org/2001/XMLSchema" xmlns:xs="http://www.w3.org/2001/XMLSchema" xmlns:p="http://schemas.microsoft.com/office/2006/metadata/properties" xmlns:ns2="641b47e6-3542-4763-a4b2-7a510efa0f8f" targetNamespace="http://schemas.microsoft.com/office/2006/metadata/properties" ma:root="true" ma:fieldsID="8de2f6547a1363f87e04d23f64981936" ns2:_="">
    <xsd:import namespace="641b47e6-3542-4763-a4b2-7a510efa0f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47e6-3542-4763-a4b2-7a510efa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BD6C4-D9DC-4778-B1FE-43E35BB9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47e6-3542-4763-a4b2-7a510efa0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66272-A3F3-4680-A5AA-7C00A366B215}">
  <ds:schemaRefs>
    <ds:schemaRef ds:uri="http://schemas.microsoft.com/sharepoint/v3/contenttype/forms"/>
  </ds:schemaRefs>
</ds:datastoreItem>
</file>

<file path=customXml/itemProps3.xml><?xml version="1.0" encoding="utf-8"?>
<ds:datastoreItem xmlns:ds="http://schemas.openxmlformats.org/officeDocument/2006/customXml" ds:itemID="{8A033B11-7EC3-4ED3-AD37-5FE6E97A49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 Suzanne</dc:creator>
  <cp:keywords/>
  <dc:description/>
  <cp:lastModifiedBy>Bench, Suzanne</cp:lastModifiedBy>
  <cp:revision>3</cp:revision>
  <dcterms:created xsi:type="dcterms:W3CDTF">2022-11-25T13:45:00Z</dcterms:created>
  <dcterms:modified xsi:type="dcterms:W3CDTF">2022-11-25T13:45:00Z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0x01010041D4AB3E46F8D245BB4DECF1EE83CFE3</vt:lpwstr>
  </property>
</Properties>
</file>