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57B5" w14:textId="77777777" w:rsidR="00646749" w:rsidRDefault="00646749" w:rsidP="001400BF">
      <w:pPr>
        <w:pStyle w:val="xmsonormal"/>
        <w:shd w:val="clear" w:color="auto" w:fill="FFFFFF"/>
        <w:spacing w:before="0" w:beforeAutospacing="0" w:after="0" w:afterAutospacing="0" w:line="480" w:lineRule="auto"/>
        <w:rPr>
          <w:rFonts w:ascii="Calibri" w:hAnsi="Calibri" w:cs="Calibri"/>
          <w:b/>
          <w:bCs/>
          <w:color w:val="242424"/>
          <w:sz w:val="22"/>
          <w:szCs w:val="22"/>
        </w:rPr>
      </w:pPr>
    </w:p>
    <w:p w14:paraId="583D9B44" w14:textId="77777777" w:rsidR="00646749" w:rsidRDefault="00646749" w:rsidP="00646749">
      <w:pPr>
        <w:spacing w:line="480" w:lineRule="auto"/>
      </w:pPr>
      <w:r w:rsidRPr="003D0C94">
        <w:rPr>
          <w:b/>
          <w:bCs/>
        </w:rPr>
        <w:t>Title</w:t>
      </w:r>
      <w:r>
        <w:t xml:space="preserve">:  Wellbeing and Lifestyle in Transplantation (WALT): a qualitative study of health communication and self-care. </w:t>
      </w:r>
    </w:p>
    <w:p w14:paraId="4E7A580B" w14:textId="77777777" w:rsidR="00646749" w:rsidRDefault="00646749" w:rsidP="00646749">
      <w:pPr>
        <w:spacing w:line="480" w:lineRule="auto"/>
      </w:pPr>
    </w:p>
    <w:p w14:paraId="46907DC1" w14:textId="77777777" w:rsidR="00646749" w:rsidRDefault="00646749" w:rsidP="00646749">
      <w:pPr>
        <w:spacing w:line="480" w:lineRule="auto"/>
      </w:pPr>
      <w:r w:rsidRPr="003D0C94">
        <w:rPr>
          <w:b/>
          <w:bCs/>
        </w:rPr>
        <w:t>Authors</w:t>
      </w:r>
      <w:r>
        <w:t>:  Lina R Johansson; Shone Surendran; Helen Croker; Swetal Dronsfield; Louise Goff; James Hutchinson; Nicola Thomas; Michelle Willicombe; Athina Belsi</w:t>
      </w:r>
    </w:p>
    <w:p w14:paraId="3805F966" w14:textId="77777777" w:rsidR="00646749" w:rsidRDefault="00646749" w:rsidP="001400BF">
      <w:pPr>
        <w:pStyle w:val="xmsonormal"/>
        <w:shd w:val="clear" w:color="auto" w:fill="FFFFFF"/>
        <w:spacing w:before="0" w:beforeAutospacing="0" w:after="0" w:afterAutospacing="0" w:line="480" w:lineRule="auto"/>
        <w:rPr>
          <w:rFonts w:ascii="Calibri" w:hAnsi="Calibri" w:cs="Calibri"/>
          <w:b/>
          <w:bCs/>
          <w:color w:val="242424"/>
          <w:sz w:val="22"/>
          <w:szCs w:val="22"/>
        </w:rPr>
      </w:pPr>
    </w:p>
    <w:p w14:paraId="3EFB3B2F" w14:textId="0B93969F" w:rsidR="00EC62D8" w:rsidRDefault="00EC62D8" w:rsidP="001400BF">
      <w:pPr>
        <w:pStyle w:val="xmsonormal"/>
        <w:shd w:val="clear" w:color="auto" w:fill="FFFFFF"/>
        <w:spacing w:before="0" w:beforeAutospacing="0" w:after="0" w:afterAutospacing="0" w:line="480" w:lineRule="auto"/>
        <w:rPr>
          <w:rFonts w:ascii="Calibri" w:hAnsi="Calibri" w:cs="Calibri"/>
          <w:b/>
          <w:bCs/>
          <w:color w:val="242424"/>
          <w:sz w:val="22"/>
          <w:szCs w:val="22"/>
        </w:rPr>
      </w:pPr>
      <w:r>
        <w:rPr>
          <w:rFonts w:ascii="Calibri" w:hAnsi="Calibri" w:cs="Calibri"/>
          <w:b/>
          <w:bCs/>
          <w:color w:val="242424"/>
          <w:sz w:val="22"/>
          <w:szCs w:val="22"/>
        </w:rPr>
        <w:t>Abstract</w:t>
      </w:r>
    </w:p>
    <w:p w14:paraId="7910521F" w14:textId="77777777" w:rsidR="00FC05E5" w:rsidRDefault="00FC05E5" w:rsidP="001400BF">
      <w:pPr>
        <w:pStyle w:val="xmsonormal"/>
        <w:shd w:val="clear" w:color="auto" w:fill="FFFFFF"/>
        <w:spacing w:before="0" w:beforeAutospacing="0" w:after="0" w:afterAutospacing="0" w:line="480" w:lineRule="auto"/>
        <w:rPr>
          <w:rFonts w:ascii="Calibri" w:hAnsi="Calibri" w:cs="Calibri"/>
          <w:color w:val="242424"/>
          <w:sz w:val="22"/>
          <w:szCs w:val="22"/>
        </w:rPr>
      </w:pPr>
    </w:p>
    <w:p w14:paraId="471A61C6" w14:textId="6E39DEDD" w:rsidR="00EC62D8" w:rsidRDefault="00EC62D8" w:rsidP="001400BF">
      <w:pPr>
        <w:pStyle w:val="xmsonormal"/>
        <w:shd w:val="clear" w:color="auto" w:fill="FFFFFF"/>
        <w:spacing w:before="0" w:beforeAutospacing="0" w:after="0" w:afterAutospacing="0" w:line="480" w:lineRule="auto"/>
        <w:rPr>
          <w:rFonts w:ascii="Calibri" w:hAnsi="Calibri" w:cs="Calibri"/>
          <w:color w:val="242424"/>
          <w:sz w:val="22"/>
          <w:szCs w:val="22"/>
        </w:rPr>
      </w:pPr>
      <w:r>
        <w:rPr>
          <w:rFonts w:ascii="Calibri" w:hAnsi="Calibri" w:cs="Calibri"/>
          <w:b/>
          <w:bCs/>
          <w:color w:val="242424"/>
          <w:sz w:val="22"/>
          <w:szCs w:val="22"/>
        </w:rPr>
        <w:t>Background</w:t>
      </w:r>
      <w:r>
        <w:rPr>
          <w:rFonts w:ascii="Calibri" w:hAnsi="Calibri" w:cs="Calibri"/>
          <w:color w:val="242424"/>
          <w:sz w:val="22"/>
          <w:szCs w:val="22"/>
        </w:rPr>
        <w:t xml:space="preserve">: Lifestyle impacts the health of kidney transplant recipients (KTRs) who are at risk of weight gain, post transplantation Diabetes Mellitus and dyslipidaemia.  Self-care is key to adapting lifestyle </w:t>
      </w:r>
      <w:r w:rsidR="00F06982">
        <w:rPr>
          <w:rFonts w:ascii="Calibri" w:hAnsi="Calibri" w:cs="Calibri"/>
          <w:color w:val="242424"/>
          <w:sz w:val="22"/>
          <w:szCs w:val="22"/>
        </w:rPr>
        <w:t>for health</w:t>
      </w:r>
      <w:r>
        <w:rPr>
          <w:rFonts w:ascii="Calibri" w:hAnsi="Calibri" w:cs="Calibri"/>
          <w:color w:val="242424"/>
          <w:sz w:val="22"/>
          <w:szCs w:val="22"/>
        </w:rPr>
        <w:t>.</w:t>
      </w:r>
    </w:p>
    <w:p w14:paraId="2D8C8BCC" w14:textId="77777777" w:rsidR="00196D10" w:rsidRDefault="00196D10" w:rsidP="001400BF">
      <w:pPr>
        <w:pStyle w:val="xmsonormal"/>
        <w:shd w:val="clear" w:color="auto" w:fill="FFFFFF"/>
        <w:spacing w:before="0" w:beforeAutospacing="0" w:after="0" w:afterAutospacing="0" w:line="480" w:lineRule="auto"/>
        <w:rPr>
          <w:rFonts w:ascii="Calibri" w:hAnsi="Calibri" w:cs="Calibri"/>
          <w:color w:val="242424"/>
          <w:sz w:val="22"/>
          <w:szCs w:val="22"/>
        </w:rPr>
      </w:pPr>
    </w:p>
    <w:p w14:paraId="5A25D1C1" w14:textId="01790EE1" w:rsidR="00EC62D8" w:rsidRDefault="00EC62D8" w:rsidP="001400BF">
      <w:pPr>
        <w:pStyle w:val="xmsonormal"/>
        <w:shd w:val="clear" w:color="auto" w:fill="FFFFFF"/>
        <w:spacing w:before="0" w:beforeAutospacing="0" w:after="0" w:afterAutospacing="0" w:line="480" w:lineRule="auto"/>
        <w:rPr>
          <w:rFonts w:ascii="Calibri" w:hAnsi="Calibri" w:cs="Calibri"/>
          <w:color w:val="242424"/>
          <w:sz w:val="22"/>
          <w:szCs w:val="22"/>
        </w:rPr>
      </w:pPr>
      <w:r>
        <w:rPr>
          <w:rFonts w:ascii="Calibri" w:hAnsi="Calibri" w:cs="Calibri"/>
          <w:b/>
          <w:bCs/>
          <w:color w:val="242424"/>
          <w:sz w:val="22"/>
          <w:szCs w:val="22"/>
        </w:rPr>
        <w:t>Aims: </w:t>
      </w:r>
      <w:r>
        <w:rPr>
          <w:rFonts w:ascii="Calibri" w:hAnsi="Calibri" w:cs="Calibri"/>
          <w:color w:val="242424"/>
          <w:sz w:val="22"/>
          <w:szCs w:val="22"/>
        </w:rPr>
        <w:t xml:space="preserve">To understand how KTRs cope with and adapt their lifestyles post-transplant and exploring </w:t>
      </w:r>
      <w:r w:rsidR="00195E0C">
        <w:rPr>
          <w:rFonts w:ascii="Calibri" w:hAnsi="Calibri" w:cs="Calibri"/>
          <w:color w:val="242424"/>
          <w:sz w:val="22"/>
          <w:szCs w:val="22"/>
        </w:rPr>
        <w:t>self-care</w:t>
      </w:r>
      <w:r>
        <w:rPr>
          <w:rFonts w:ascii="Calibri" w:hAnsi="Calibri" w:cs="Calibri"/>
          <w:color w:val="242424"/>
          <w:sz w:val="22"/>
          <w:szCs w:val="22"/>
        </w:rPr>
        <w:t xml:space="preserve"> support by health care professionals (HCPs) and significant others. </w:t>
      </w:r>
    </w:p>
    <w:p w14:paraId="21CC57C3" w14:textId="77777777" w:rsidR="00196D10" w:rsidRDefault="00196D10" w:rsidP="001400BF">
      <w:pPr>
        <w:pStyle w:val="xmsonormal"/>
        <w:shd w:val="clear" w:color="auto" w:fill="FFFFFF"/>
        <w:spacing w:before="0" w:beforeAutospacing="0" w:after="0" w:afterAutospacing="0" w:line="480" w:lineRule="auto"/>
        <w:rPr>
          <w:rFonts w:ascii="Calibri" w:hAnsi="Calibri" w:cs="Calibri"/>
          <w:color w:val="242424"/>
          <w:sz w:val="22"/>
          <w:szCs w:val="22"/>
        </w:rPr>
      </w:pPr>
    </w:p>
    <w:p w14:paraId="77ECB75F" w14:textId="71705623" w:rsidR="00EC62D8" w:rsidRDefault="00EC62D8" w:rsidP="001400BF">
      <w:pPr>
        <w:pStyle w:val="xmsonormal"/>
        <w:shd w:val="clear" w:color="auto" w:fill="FFFFFF"/>
        <w:spacing w:before="0" w:beforeAutospacing="0" w:after="0" w:afterAutospacing="0" w:line="480" w:lineRule="auto"/>
        <w:rPr>
          <w:rFonts w:ascii="Calibri" w:hAnsi="Calibri" w:cs="Calibri"/>
          <w:color w:val="242424"/>
          <w:sz w:val="22"/>
          <w:szCs w:val="22"/>
        </w:rPr>
      </w:pPr>
      <w:r>
        <w:rPr>
          <w:rFonts w:ascii="Calibri" w:hAnsi="Calibri" w:cs="Calibri"/>
          <w:b/>
          <w:bCs/>
          <w:color w:val="242424"/>
          <w:sz w:val="22"/>
          <w:szCs w:val="22"/>
        </w:rPr>
        <w:t>Methods: </w:t>
      </w:r>
      <w:r w:rsidR="00A8594B">
        <w:rPr>
          <w:rFonts w:ascii="Calibri" w:hAnsi="Calibri" w:cs="Calibri"/>
          <w:color w:val="242424"/>
          <w:sz w:val="22"/>
          <w:szCs w:val="22"/>
        </w:rPr>
        <w:t>Focus groups</w:t>
      </w:r>
      <w:r w:rsidR="008006C9">
        <w:rPr>
          <w:rFonts w:ascii="Calibri" w:hAnsi="Calibri" w:cs="Calibri"/>
          <w:color w:val="242424"/>
          <w:sz w:val="22"/>
          <w:szCs w:val="22"/>
        </w:rPr>
        <w:t xml:space="preserve"> and s</w:t>
      </w:r>
      <w:r>
        <w:rPr>
          <w:rFonts w:ascii="Calibri" w:hAnsi="Calibri" w:cs="Calibri"/>
          <w:color w:val="242424"/>
          <w:sz w:val="22"/>
          <w:szCs w:val="22"/>
        </w:rPr>
        <w:t xml:space="preserve">emi-structured interviews with </w:t>
      </w:r>
      <w:r w:rsidR="00BD5075">
        <w:rPr>
          <w:rFonts w:ascii="Calibri" w:hAnsi="Calibri" w:cs="Calibri"/>
          <w:color w:val="242424"/>
          <w:sz w:val="22"/>
          <w:szCs w:val="22"/>
        </w:rPr>
        <w:t>recipients</w:t>
      </w:r>
      <w:r w:rsidR="00950C0A">
        <w:rPr>
          <w:rFonts w:ascii="Calibri" w:hAnsi="Calibri" w:cs="Calibri"/>
          <w:color w:val="242424"/>
          <w:sz w:val="22"/>
          <w:szCs w:val="22"/>
        </w:rPr>
        <w:t xml:space="preserve"> who had been </w:t>
      </w:r>
      <w:r w:rsidR="00BD5075">
        <w:rPr>
          <w:rFonts w:ascii="Calibri" w:hAnsi="Calibri" w:cs="Calibri"/>
          <w:color w:val="242424"/>
          <w:sz w:val="22"/>
          <w:szCs w:val="22"/>
        </w:rPr>
        <w:t>transplant</w:t>
      </w:r>
      <w:r w:rsidR="00950C0A">
        <w:rPr>
          <w:rFonts w:ascii="Calibri" w:hAnsi="Calibri" w:cs="Calibri"/>
          <w:color w:val="242424"/>
          <w:sz w:val="22"/>
          <w:szCs w:val="22"/>
        </w:rPr>
        <w:t xml:space="preserve">ed </w:t>
      </w:r>
      <w:r>
        <w:rPr>
          <w:rFonts w:ascii="Calibri" w:hAnsi="Calibri" w:cs="Calibri"/>
          <w:color w:val="242424"/>
          <w:sz w:val="22"/>
          <w:szCs w:val="22"/>
        </w:rPr>
        <w:t xml:space="preserve">≥ 6 months, their significant others and health care professionals, from one UK transplant centre. </w:t>
      </w:r>
      <w:r w:rsidR="00086F35">
        <w:rPr>
          <w:rFonts w:ascii="Calibri" w:hAnsi="Calibri" w:cs="Calibri"/>
          <w:color w:val="242424"/>
          <w:sz w:val="22"/>
          <w:szCs w:val="22"/>
        </w:rPr>
        <w:t>P</w:t>
      </w:r>
      <w:r>
        <w:rPr>
          <w:rFonts w:ascii="Calibri" w:hAnsi="Calibri" w:cs="Calibri"/>
          <w:color w:val="242424"/>
          <w:sz w:val="22"/>
          <w:szCs w:val="22"/>
        </w:rPr>
        <w:t xml:space="preserve">urposive sampling </w:t>
      </w:r>
      <w:r w:rsidR="000221DE">
        <w:rPr>
          <w:rFonts w:ascii="Calibri" w:hAnsi="Calibri" w:cs="Calibri"/>
          <w:color w:val="242424"/>
          <w:sz w:val="22"/>
          <w:szCs w:val="22"/>
        </w:rPr>
        <w:t>ensured</w:t>
      </w:r>
      <w:r w:rsidR="003D2231">
        <w:rPr>
          <w:rFonts w:ascii="Calibri" w:hAnsi="Calibri" w:cs="Calibri"/>
          <w:color w:val="242424"/>
          <w:sz w:val="22"/>
          <w:szCs w:val="22"/>
        </w:rPr>
        <w:t xml:space="preserve"> both a</w:t>
      </w:r>
      <w:r w:rsidR="000221DE">
        <w:rPr>
          <w:rFonts w:ascii="Calibri" w:hAnsi="Calibri" w:cs="Calibri"/>
          <w:color w:val="242424"/>
          <w:sz w:val="22"/>
          <w:szCs w:val="22"/>
        </w:rPr>
        <w:t xml:space="preserve"> diversity of </w:t>
      </w:r>
      <w:r w:rsidR="001C6815">
        <w:rPr>
          <w:rFonts w:ascii="Calibri" w:hAnsi="Calibri" w:cs="Calibri"/>
          <w:color w:val="242424"/>
          <w:sz w:val="22"/>
          <w:szCs w:val="22"/>
        </w:rPr>
        <w:t>KTRs and a range of professional</w:t>
      </w:r>
      <w:r w:rsidR="003E14AD">
        <w:rPr>
          <w:rFonts w:ascii="Calibri" w:hAnsi="Calibri" w:cs="Calibri"/>
          <w:color w:val="242424"/>
          <w:sz w:val="22"/>
          <w:szCs w:val="22"/>
        </w:rPr>
        <w:t>s</w:t>
      </w:r>
      <w:r w:rsidR="001C6815">
        <w:rPr>
          <w:rFonts w:ascii="Calibri" w:hAnsi="Calibri" w:cs="Calibri"/>
          <w:color w:val="242424"/>
          <w:sz w:val="22"/>
          <w:szCs w:val="22"/>
        </w:rPr>
        <w:t xml:space="preserve"> participating, </w:t>
      </w:r>
      <w:r>
        <w:rPr>
          <w:rFonts w:ascii="Calibri" w:hAnsi="Calibri" w:cs="Calibri"/>
          <w:color w:val="242424"/>
          <w:sz w:val="22"/>
          <w:szCs w:val="22"/>
        </w:rPr>
        <w:t>with data analysed using thematic</w:t>
      </w:r>
      <w:r w:rsidR="003E14AD">
        <w:rPr>
          <w:rFonts w:ascii="Calibri" w:hAnsi="Calibri" w:cs="Calibri"/>
          <w:color w:val="242424"/>
          <w:sz w:val="22"/>
          <w:szCs w:val="22"/>
        </w:rPr>
        <w:t xml:space="preserve"> framework</w:t>
      </w:r>
      <w:r>
        <w:rPr>
          <w:rFonts w:ascii="Calibri" w:hAnsi="Calibri" w:cs="Calibri"/>
          <w:color w:val="242424"/>
          <w:sz w:val="22"/>
          <w:szCs w:val="22"/>
        </w:rPr>
        <w:t xml:space="preserve"> analysis.</w:t>
      </w:r>
    </w:p>
    <w:p w14:paraId="010F9FB7" w14:textId="77777777" w:rsidR="00196D10" w:rsidRDefault="00196D10" w:rsidP="001400BF">
      <w:pPr>
        <w:pStyle w:val="xmsonormal"/>
        <w:shd w:val="clear" w:color="auto" w:fill="FFFFFF"/>
        <w:spacing w:before="0" w:beforeAutospacing="0" w:after="0" w:afterAutospacing="0" w:line="480" w:lineRule="auto"/>
        <w:rPr>
          <w:rFonts w:ascii="Calibri" w:hAnsi="Calibri" w:cs="Calibri"/>
          <w:color w:val="242424"/>
          <w:sz w:val="22"/>
          <w:szCs w:val="22"/>
        </w:rPr>
      </w:pPr>
    </w:p>
    <w:p w14:paraId="4F43A4AE" w14:textId="60BD5202" w:rsidR="00EC62D8" w:rsidRDefault="00EC62D8" w:rsidP="001400BF">
      <w:pPr>
        <w:pStyle w:val="xmsonormal"/>
        <w:shd w:val="clear" w:color="auto" w:fill="FFFFFF"/>
        <w:spacing w:before="0" w:beforeAutospacing="0" w:after="0" w:afterAutospacing="0" w:line="480" w:lineRule="auto"/>
        <w:rPr>
          <w:rFonts w:ascii="Calibri" w:hAnsi="Calibri" w:cs="Calibri"/>
          <w:color w:val="242424"/>
          <w:sz w:val="22"/>
          <w:szCs w:val="22"/>
        </w:rPr>
      </w:pPr>
      <w:r>
        <w:rPr>
          <w:rFonts w:ascii="Calibri" w:hAnsi="Calibri" w:cs="Calibri"/>
          <w:b/>
          <w:bCs/>
          <w:color w:val="242424"/>
          <w:sz w:val="22"/>
          <w:szCs w:val="22"/>
        </w:rPr>
        <w:t>Findings: </w:t>
      </w:r>
      <w:r>
        <w:rPr>
          <w:rFonts w:ascii="Calibri" w:hAnsi="Calibri" w:cs="Calibri"/>
          <w:color w:val="242424"/>
          <w:sz w:val="22"/>
          <w:szCs w:val="22"/>
        </w:rPr>
        <w:t xml:space="preserve">Thirty-three participants were involved in one of </w:t>
      </w:r>
      <w:r w:rsidR="00042DE1">
        <w:rPr>
          <w:rFonts w:ascii="Calibri" w:hAnsi="Calibri" w:cs="Calibri"/>
          <w:color w:val="242424"/>
          <w:sz w:val="22"/>
          <w:szCs w:val="22"/>
        </w:rPr>
        <w:t>five</w:t>
      </w:r>
      <w:r>
        <w:rPr>
          <w:rFonts w:ascii="Calibri" w:hAnsi="Calibri" w:cs="Calibri"/>
          <w:color w:val="242424"/>
          <w:sz w:val="22"/>
          <w:szCs w:val="22"/>
        </w:rPr>
        <w:t xml:space="preserve"> focus groups or 15 one-to-one interviews. The themes of </w:t>
      </w:r>
      <w:r w:rsidR="003D5EE4">
        <w:rPr>
          <w:rFonts w:ascii="Calibri" w:hAnsi="Calibri" w:cs="Calibri"/>
          <w:color w:val="242424"/>
          <w:sz w:val="22"/>
          <w:szCs w:val="22"/>
        </w:rPr>
        <w:t xml:space="preserve">effective health </w:t>
      </w:r>
      <w:r>
        <w:rPr>
          <w:rFonts w:ascii="Calibri" w:hAnsi="Calibri" w:cs="Calibri"/>
          <w:color w:val="242424"/>
          <w:sz w:val="22"/>
          <w:szCs w:val="22"/>
        </w:rPr>
        <w:t>communicati</w:t>
      </w:r>
      <w:r w:rsidR="00413A92">
        <w:rPr>
          <w:rFonts w:ascii="Calibri" w:hAnsi="Calibri" w:cs="Calibri"/>
          <w:color w:val="242424"/>
          <w:sz w:val="22"/>
          <w:szCs w:val="22"/>
        </w:rPr>
        <w:t xml:space="preserve">ve interactions </w:t>
      </w:r>
      <w:r>
        <w:rPr>
          <w:rFonts w:ascii="Calibri" w:hAnsi="Calibri" w:cs="Calibri"/>
          <w:color w:val="242424"/>
          <w:sz w:val="22"/>
          <w:szCs w:val="22"/>
        </w:rPr>
        <w:t>and health literacy were found to be integral to developing self-care.</w:t>
      </w:r>
    </w:p>
    <w:p w14:paraId="6A1A18CA" w14:textId="77777777" w:rsidR="00196D10" w:rsidRDefault="00196D10" w:rsidP="001400BF">
      <w:pPr>
        <w:pStyle w:val="xmsonormal"/>
        <w:shd w:val="clear" w:color="auto" w:fill="FFFFFF"/>
        <w:spacing w:before="0" w:beforeAutospacing="0" w:after="0" w:afterAutospacing="0" w:line="480" w:lineRule="auto"/>
        <w:rPr>
          <w:rFonts w:ascii="Calibri" w:hAnsi="Calibri" w:cs="Calibri"/>
          <w:color w:val="242424"/>
          <w:sz w:val="22"/>
          <w:szCs w:val="22"/>
        </w:rPr>
      </w:pPr>
    </w:p>
    <w:p w14:paraId="71119A13" w14:textId="7FFCE6A4" w:rsidR="00EC62D8" w:rsidRDefault="00EC62D8" w:rsidP="001400BF">
      <w:pPr>
        <w:pStyle w:val="xmsonormal"/>
        <w:shd w:val="clear" w:color="auto" w:fill="FFFFFF"/>
        <w:spacing w:before="0" w:beforeAutospacing="0" w:after="0" w:afterAutospacing="0" w:line="480" w:lineRule="auto"/>
        <w:rPr>
          <w:rFonts w:ascii="Calibri" w:hAnsi="Calibri" w:cs="Calibri"/>
          <w:color w:val="242424"/>
          <w:sz w:val="22"/>
          <w:szCs w:val="22"/>
        </w:rPr>
      </w:pPr>
      <w:r>
        <w:rPr>
          <w:rFonts w:ascii="Calibri" w:hAnsi="Calibri" w:cs="Calibri"/>
          <w:b/>
          <w:bCs/>
          <w:color w:val="242424"/>
          <w:sz w:val="22"/>
          <w:szCs w:val="22"/>
        </w:rPr>
        <w:lastRenderedPageBreak/>
        <w:t>Conclusion: </w:t>
      </w:r>
      <w:r>
        <w:rPr>
          <w:rFonts w:ascii="Calibri" w:hAnsi="Calibri" w:cs="Calibri"/>
          <w:color w:val="242424"/>
          <w:sz w:val="22"/>
          <w:szCs w:val="22"/>
        </w:rPr>
        <w:t xml:space="preserve">Supporting lifestyle post-transplant involves building self-care through </w:t>
      </w:r>
      <w:r w:rsidR="00413A92">
        <w:rPr>
          <w:rFonts w:ascii="Calibri" w:hAnsi="Calibri" w:cs="Calibri"/>
          <w:color w:val="242424"/>
          <w:sz w:val="22"/>
          <w:szCs w:val="22"/>
        </w:rPr>
        <w:t>effective</w:t>
      </w:r>
      <w:r>
        <w:rPr>
          <w:rFonts w:ascii="Calibri" w:hAnsi="Calibri" w:cs="Calibri"/>
          <w:color w:val="242424"/>
          <w:sz w:val="22"/>
          <w:szCs w:val="22"/>
        </w:rPr>
        <w:t xml:space="preserve"> </w:t>
      </w:r>
      <w:r w:rsidR="00FE5F41">
        <w:rPr>
          <w:rFonts w:ascii="Calibri" w:hAnsi="Calibri" w:cs="Calibri"/>
          <w:color w:val="242424"/>
          <w:sz w:val="22"/>
          <w:szCs w:val="22"/>
        </w:rPr>
        <w:t xml:space="preserve">health </w:t>
      </w:r>
      <w:r>
        <w:rPr>
          <w:rFonts w:ascii="Calibri" w:hAnsi="Calibri" w:cs="Calibri"/>
          <w:color w:val="242424"/>
          <w:sz w:val="22"/>
          <w:szCs w:val="22"/>
        </w:rPr>
        <w:t>communication and health literacy. </w:t>
      </w:r>
    </w:p>
    <w:p w14:paraId="4B50B633" w14:textId="77777777" w:rsidR="00EC62D8" w:rsidRDefault="00EC62D8" w:rsidP="001400BF">
      <w:pPr>
        <w:pStyle w:val="xmsonormal"/>
        <w:shd w:val="clear" w:color="auto" w:fill="FFFFFF"/>
        <w:spacing w:before="0" w:beforeAutospacing="0" w:after="0" w:afterAutospacing="0" w:line="480" w:lineRule="auto"/>
        <w:rPr>
          <w:rFonts w:ascii="Calibri" w:hAnsi="Calibri" w:cs="Calibri"/>
          <w:color w:val="242424"/>
          <w:sz w:val="22"/>
          <w:szCs w:val="22"/>
        </w:rPr>
      </w:pPr>
      <w:r>
        <w:rPr>
          <w:rFonts w:ascii="Calibri" w:hAnsi="Calibri" w:cs="Calibri"/>
          <w:color w:val="242424"/>
          <w:sz w:val="22"/>
          <w:szCs w:val="22"/>
        </w:rPr>
        <w:t> </w:t>
      </w:r>
    </w:p>
    <w:p w14:paraId="02134537" w14:textId="77777777" w:rsidR="0063366D" w:rsidRDefault="0063366D" w:rsidP="001400BF">
      <w:pPr>
        <w:spacing w:line="480" w:lineRule="auto"/>
      </w:pPr>
    </w:p>
    <w:p w14:paraId="6B9E1B50" w14:textId="64029D91" w:rsidR="00637550" w:rsidRPr="003A1345" w:rsidRDefault="00637550" w:rsidP="001400BF">
      <w:pPr>
        <w:spacing w:line="480" w:lineRule="auto"/>
      </w:pPr>
      <w:r w:rsidRPr="0063366D">
        <w:rPr>
          <w:b/>
          <w:bCs/>
        </w:rPr>
        <w:t>Keywords</w:t>
      </w:r>
      <w:r w:rsidR="002A72F7">
        <w:rPr>
          <w:b/>
          <w:bCs/>
        </w:rPr>
        <w:t>:</w:t>
      </w:r>
      <w:r w:rsidR="003A1345">
        <w:t xml:space="preserve"> self-care, communication, lifestyle</w:t>
      </w:r>
      <w:r w:rsidR="00E22BF4">
        <w:t xml:space="preserve">, health literacy, </w:t>
      </w:r>
      <w:r w:rsidR="005D6545">
        <w:t>kidney, transplant</w:t>
      </w:r>
    </w:p>
    <w:p w14:paraId="27B1D7C3" w14:textId="3D06C68F" w:rsidR="00637550" w:rsidRDefault="00637550" w:rsidP="001400BF">
      <w:pPr>
        <w:spacing w:line="480" w:lineRule="auto"/>
      </w:pPr>
    </w:p>
    <w:p w14:paraId="5B8AFA2C" w14:textId="77777777" w:rsidR="005D6545" w:rsidRDefault="005D6545" w:rsidP="001400BF">
      <w:pPr>
        <w:spacing w:line="480" w:lineRule="auto"/>
      </w:pPr>
    </w:p>
    <w:p w14:paraId="7F9EBC5B" w14:textId="07ACDF15" w:rsidR="00E22BF4" w:rsidRDefault="00E22BF4" w:rsidP="001400BF">
      <w:pPr>
        <w:spacing w:line="480" w:lineRule="auto"/>
      </w:pPr>
    </w:p>
    <w:p w14:paraId="49C93733" w14:textId="77777777" w:rsidR="00E73579" w:rsidRDefault="00E73579" w:rsidP="001400BF">
      <w:pPr>
        <w:spacing w:line="480" w:lineRule="auto"/>
        <w:rPr>
          <w:b/>
          <w:bCs/>
        </w:rPr>
      </w:pPr>
    </w:p>
    <w:p w14:paraId="03590B7F" w14:textId="77777777" w:rsidR="00E73579" w:rsidRDefault="00E73579" w:rsidP="001400BF">
      <w:pPr>
        <w:spacing w:line="480" w:lineRule="auto"/>
        <w:rPr>
          <w:b/>
          <w:bCs/>
        </w:rPr>
      </w:pPr>
    </w:p>
    <w:p w14:paraId="55D16C21" w14:textId="77777777" w:rsidR="00413A92" w:rsidRDefault="00413A92" w:rsidP="001400BF">
      <w:pPr>
        <w:spacing w:line="480" w:lineRule="auto"/>
        <w:rPr>
          <w:b/>
          <w:bCs/>
        </w:rPr>
      </w:pPr>
    </w:p>
    <w:p w14:paraId="2AD494D0" w14:textId="77777777" w:rsidR="00413A92" w:rsidRDefault="00413A92" w:rsidP="001400BF">
      <w:pPr>
        <w:spacing w:line="480" w:lineRule="auto"/>
        <w:rPr>
          <w:b/>
          <w:bCs/>
        </w:rPr>
      </w:pPr>
    </w:p>
    <w:p w14:paraId="7F5DB919" w14:textId="77777777" w:rsidR="00413A92" w:rsidRDefault="00413A92" w:rsidP="001400BF">
      <w:pPr>
        <w:spacing w:line="480" w:lineRule="auto"/>
        <w:rPr>
          <w:b/>
          <w:bCs/>
        </w:rPr>
      </w:pPr>
    </w:p>
    <w:p w14:paraId="246D94F5" w14:textId="77777777" w:rsidR="00413A92" w:rsidRDefault="00413A92" w:rsidP="001400BF">
      <w:pPr>
        <w:spacing w:line="480" w:lineRule="auto"/>
        <w:rPr>
          <w:b/>
          <w:bCs/>
        </w:rPr>
      </w:pPr>
    </w:p>
    <w:p w14:paraId="40ED75E5" w14:textId="77777777" w:rsidR="00413A92" w:rsidRDefault="00413A92" w:rsidP="001400BF">
      <w:pPr>
        <w:spacing w:line="480" w:lineRule="auto"/>
        <w:rPr>
          <w:b/>
          <w:bCs/>
        </w:rPr>
      </w:pPr>
    </w:p>
    <w:p w14:paraId="1089DEE6" w14:textId="77777777" w:rsidR="00413A92" w:rsidRDefault="00413A92" w:rsidP="001400BF">
      <w:pPr>
        <w:spacing w:line="480" w:lineRule="auto"/>
        <w:rPr>
          <w:b/>
          <w:bCs/>
        </w:rPr>
      </w:pPr>
    </w:p>
    <w:p w14:paraId="6621CA43" w14:textId="77777777" w:rsidR="00413A92" w:rsidRDefault="00413A92" w:rsidP="001400BF">
      <w:pPr>
        <w:spacing w:line="480" w:lineRule="auto"/>
        <w:rPr>
          <w:b/>
          <w:bCs/>
        </w:rPr>
      </w:pPr>
    </w:p>
    <w:p w14:paraId="32CECE66" w14:textId="77777777" w:rsidR="00413A92" w:rsidRDefault="00413A92" w:rsidP="001400BF">
      <w:pPr>
        <w:spacing w:line="480" w:lineRule="auto"/>
        <w:rPr>
          <w:b/>
          <w:bCs/>
        </w:rPr>
      </w:pPr>
    </w:p>
    <w:p w14:paraId="5DDFB48F" w14:textId="77777777" w:rsidR="00646749" w:rsidRDefault="00646749" w:rsidP="001400BF">
      <w:pPr>
        <w:spacing w:line="480" w:lineRule="auto"/>
        <w:rPr>
          <w:b/>
          <w:bCs/>
        </w:rPr>
      </w:pPr>
    </w:p>
    <w:p w14:paraId="36E1E859" w14:textId="77777777" w:rsidR="00646749" w:rsidRDefault="00646749" w:rsidP="001400BF">
      <w:pPr>
        <w:spacing w:line="480" w:lineRule="auto"/>
        <w:rPr>
          <w:b/>
          <w:bCs/>
        </w:rPr>
      </w:pPr>
    </w:p>
    <w:p w14:paraId="4C139C0A" w14:textId="77777777" w:rsidR="00646749" w:rsidRDefault="00646749" w:rsidP="001400BF">
      <w:pPr>
        <w:spacing w:line="480" w:lineRule="auto"/>
        <w:rPr>
          <w:b/>
          <w:bCs/>
        </w:rPr>
      </w:pPr>
    </w:p>
    <w:p w14:paraId="0DF6CB06" w14:textId="139B68E4" w:rsidR="00E22BF4" w:rsidRDefault="00E22BF4" w:rsidP="001400BF">
      <w:pPr>
        <w:spacing w:line="480" w:lineRule="auto"/>
        <w:rPr>
          <w:b/>
          <w:bCs/>
        </w:rPr>
      </w:pPr>
      <w:r w:rsidRPr="00E22BF4">
        <w:rPr>
          <w:b/>
          <w:bCs/>
        </w:rPr>
        <w:lastRenderedPageBreak/>
        <w:t>Introduction</w:t>
      </w:r>
    </w:p>
    <w:p w14:paraId="2F033CB9" w14:textId="2653DA88" w:rsidR="00711194" w:rsidRPr="00245614" w:rsidRDefault="00D227C2" w:rsidP="001400BF">
      <w:pPr>
        <w:spacing w:line="480" w:lineRule="auto"/>
      </w:pPr>
      <w:r>
        <w:t>Self</w:t>
      </w:r>
      <w:r w:rsidR="00BB041D">
        <w:t xml:space="preserve">-care </w:t>
      </w:r>
      <w:r>
        <w:t xml:space="preserve">is </w:t>
      </w:r>
      <w:r w:rsidR="00C72911">
        <w:t xml:space="preserve">high </w:t>
      </w:r>
      <w:r w:rsidR="00F113A6">
        <w:t>on the NHS care policy agenda</w:t>
      </w:r>
      <w:r>
        <w:t xml:space="preserve"> as highlighted</w:t>
      </w:r>
      <w:r w:rsidR="00BB041D">
        <w:t xml:space="preserve"> with</w:t>
      </w:r>
      <w:r>
        <w:t>in</w:t>
      </w:r>
      <w:r w:rsidR="00BB041D">
        <w:t xml:space="preserve"> the NHS Long Term Plan</w:t>
      </w:r>
      <w:r w:rsidR="00F113A6">
        <w:t xml:space="preserve"> </w:t>
      </w:r>
      <w:r w:rsidR="00B9780A">
        <w:fldChar w:fldCharType="begin"/>
      </w:r>
      <w:r w:rsidR="00363FB3">
        <w:instrText xml:space="preserve"> ADDIN ZOTERO_ITEM CSL_CITATION {"citationID":"f3BeTvGV","properties":{"formattedCitation":"(NHS, 2019)","plainCitation":"(NHS, 2019)","noteIndex":0},"citationItems":[{"id":257,"uris":["http://zotero.org/groups/4507553/items/6VXRMR5E"],"itemData":{"id":257,"type":"report","language":"en","source":"Zotero","title":"The NHS Long Term Plan","URL":"https://www.longtermplan.nhs.uk/wp-content/uploads/2019/08/nhs-long-term-plan-version-1.2.pdf","author":[{"family":"NHS","given":""}],"accessed":{"date-parts":[["2022",1,4]]},"issued":{"date-parts":[["2019"]]}}}],"schema":"https://github.com/citation-style-language/schema/raw/master/csl-citation.json"} </w:instrText>
      </w:r>
      <w:r w:rsidR="00B9780A">
        <w:fldChar w:fldCharType="separate"/>
      </w:r>
      <w:r w:rsidR="00363FB3" w:rsidRPr="00363FB3">
        <w:rPr>
          <w:rFonts w:ascii="Calibri" w:hAnsi="Calibri" w:cs="Calibri"/>
        </w:rPr>
        <w:t>(NHS, 2019)</w:t>
      </w:r>
      <w:r w:rsidR="00B9780A">
        <w:fldChar w:fldCharType="end"/>
      </w:r>
      <w:r w:rsidR="00992542">
        <w:t xml:space="preserve">.  </w:t>
      </w:r>
      <w:r w:rsidR="00E00444">
        <w:t>The WHO’s definition of self-care i</w:t>
      </w:r>
      <w:r w:rsidR="00124F77">
        <w:t xml:space="preserve">s </w:t>
      </w:r>
      <w:r w:rsidR="00E00444">
        <w:t>“the ability of individuals, families and communities to promote their own health, prevent disease, maintain health, and to cope with illness and disability with or without the support of a health worker</w:t>
      </w:r>
      <w:r w:rsidR="005D4EDA">
        <w:t xml:space="preserve"> </w:t>
      </w:r>
      <w:r w:rsidR="005471A2">
        <w:fldChar w:fldCharType="begin"/>
      </w:r>
      <w:r w:rsidR="005471A2">
        <w:instrText xml:space="preserve"> ADDIN ZOTERO_ITEM CSL_CITATION {"citationID":"qeF55INn","properties":{"formattedCitation":"(WHO Guidelines Review Committee, Sexual and Reproductive Health and Research, 2021)","plainCitation":"(WHO Guidelines Review Committee, Sexual and Reproductive Health and Research, 2021)","noteIndex":0},"citationItems":[{"id":540,"uris":["http://zotero.org/groups/4507553/items/ZN6WBEG3"],"itemData":{"id":540,"type":"report","language":"en","number":"ISBN: 978 92 4 003090 9","page":"186","title":"WHO Guideline on self-care interventions for health and well-being","URL":"https://www.who.int/publications-detail-redirect/9789240030909","author":[{"family":"WHO Guidelines Review Committee, Sexual and Reproductive Health and Research","given":""}],"accessed":{"date-parts":[["2022",1,4]]},"issued":{"date-parts":[["2021"]]}}}],"schema":"https://github.com/citation-style-language/schema/raw/master/csl-citation.json"} </w:instrText>
      </w:r>
      <w:r w:rsidR="005471A2">
        <w:fldChar w:fldCharType="separate"/>
      </w:r>
      <w:r w:rsidR="005471A2" w:rsidRPr="005471A2">
        <w:rPr>
          <w:rFonts w:ascii="Calibri" w:hAnsi="Calibri" w:cs="Calibri"/>
        </w:rPr>
        <w:t>(WHO Guidelines Review Committee, Sexual and Reproductive Health and Research, 2021)</w:t>
      </w:r>
      <w:r w:rsidR="005471A2">
        <w:fldChar w:fldCharType="end"/>
      </w:r>
      <w:r w:rsidR="00E00444">
        <w:t xml:space="preserve">.  </w:t>
      </w:r>
      <w:r w:rsidR="00BB041D">
        <w:t xml:space="preserve">In renal transplantation, capacity and ability to </w:t>
      </w:r>
      <w:r w:rsidR="00992542">
        <w:t xml:space="preserve">undertake </w:t>
      </w:r>
      <w:r w:rsidR="00BB041D">
        <w:t xml:space="preserve">self-care is critical to wellbeing and lifestyle.  </w:t>
      </w:r>
      <w:r w:rsidR="00401CA0">
        <w:rPr>
          <w:rFonts w:cstheme="minorHAnsi"/>
        </w:rPr>
        <w:t xml:space="preserve">Renal transplantation is a </w:t>
      </w:r>
      <w:r w:rsidR="00401CA0" w:rsidRPr="007B08CB">
        <w:rPr>
          <w:rFonts w:cstheme="minorHAnsi"/>
        </w:rPr>
        <w:t xml:space="preserve">sudden </w:t>
      </w:r>
      <w:r w:rsidR="00401CA0">
        <w:rPr>
          <w:rFonts w:cstheme="minorHAnsi"/>
        </w:rPr>
        <w:t>life changing event</w:t>
      </w:r>
      <w:r w:rsidR="003D05C9">
        <w:rPr>
          <w:rFonts w:cstheme="minorHAnsi"/>
        </w:rPr>
        <w:t xml:space="preserve"> and </w:t>
      </w:r>
      <w:r w:rsidR="003D05C9">
        <w:t>t</w:t>
      </w:r>
      <w:r w:rsidR="00BB041D">
        <w:t xml:space="preserve">ransplant recipients are at risk of </w:t>
      </w:r>
      <w:r w:rsidR="003E4126">
        <w:t xml:space="preserve">kidney </w:t>
      </w:r>
      <w:r w:rsidR="00BB041D">
        <w:t xml:space="preserve">rejection if complex medication regimens are not adhered to. They are </w:t>
      </w:r>
      <w:r w:rsidR="004A2F27">
        <w:t xml:space="preserve">also </w:t>
      </w:r>
      <w:r w:rsidR="00BB041D">
        <w:t>vulnerable to weight gain, Diabetes</w:t>
      </w:r>
      <w:r w:rsidR="00FA00F1">
        <w:t xml:space="preserve"> Mellitus post transplantation</w:t>
      </w:r>
      <w:r w:rsidR="00BB041D">
        <w:t xml:space="preserve"> and dyslipidaemia, especially if lifestyle </w:t>
      </w:r>
      <w:r w:rsidR="00DF0B1C">
        <w:t xml:space="preserve">is not adapted </w:t>
      </w:r>
      <w:r w:rsidR="009F6BEE">
        <w:t>for life post-transplantation</w:t>
      </w:r>
      <w:r w:rsidR="00BB041D">
        <w:t>.  Self-care to support lifestyle after transplantation, is therefore important to individuals, their significant others and to the health service.</w:t>
      </w:r>
    </w:p>
    <w:p w14:paraId="390BE4E3" w14:textId="28B7E5D9" w:rsidR="00B77EA7" w:rsidRDefault="00917528" w:rsidP="001400BF">
      <w:pPr>
        <w:spacing w:line="480" w:lineRule="auto"/>
      </w:pPr>
      <w:r>
        <w:rPr>
          <w:rFonts w:eastAsia="Times New Roman"/>
        </w:rPr>
        <w:t xml:space="preserve">Self-care is a complex concept influenced by intrapersonal, interpersonal, institutional and environmental factors and conceptually it is linked with health literacy.  </w:t>
      </w:r>
      <w:r w:rsidR="0046705E">
        <w:rPr>
          <w:rFonts w:eastAsia="Times New Roman"/>
        </w:rPr>
        <w:t>Health literacy</w:t>
      </w:r>
      <w:r w:rsidR="00143BE8" w:rsidRPr="006503DC">
        <w:t xml:space="preserve"> ‘entails people’s knowledge, motivation and competences to access, understand, appraise and apply health information in order to make judgements and take decisions in every- day life concerning health care, disease prevention and health promotion to maintain or improve quality of life during the life course.</w:t>
      </w:r>
      <w:r w:rsidR="00143BE8">
        <w:t xml:space="preserve">’ </w:t>
      </w:r>
      <w:r w:rsidR="002A2F04">
        <w:fldChar w:fldCharType="begin"/>
      </w:r>
      <w:r w:rsidR="002A2F04">
        <w:instrText xml:space="preserve"> ADDIN ZOTERO_ITEM CSL_CITATION {"citationID":"eTKgjWXi","properties":{"formattedCitation":"(Kickbusch et al., 2013)","plainCitation":"(Kickbusch et al., 2013)","noteIndex":0},"citationItems":[{"id":1331,"uris":["http://zotero.org/groups/4507553/items/KZQHW2YY"],"itemData":{"id":1331,"type":"book","abstract":"As societies grow more complex, and people are increasingly bombarded with health information and misinformation, health literacy becomes essential. People with strong health literacy skills enjoy better health and well-being, while those with weaker skills tend to engage in riskier behaviour and have poorer health. With evidence from the recent European Health Literacy Survey, this report identifies practical and effective ways public health and other sector authorities and advocates can strengthen health literacy in a variety of settings, including educational settings, workplaces, marketplaces, health systems.--","call-number":"RA773.74 .H43 2013","collection-title":"The solid facts","event-place":"Copenhagen","ISBN":"978-92-890-0015-4","language":"en","note":"OCLC: ocn859196415","number-of-pages":"73","publisher":"WHO Regional Office for Europe","publisher-place":"Copenhagen","source":"Library of Congress ISBN","title":"Health literacy: the solid facts","title-short":"Health literacy","editor":[{"family":"Kickbusch","given":"Ilona"},{"family":"Pelikan","given":"Jürgen M."},{"family":"Apfel","given":"Franklin"},{"family":"Tsouros","given":"Agis D."},{"family":"World Health Organization","given":""}],"issued":{"date-parts":[["2013"]]}}}],"schema":"https://github.com/citation-style-language/schema/raw/master/csl-citation.json"} </w:instrText>
      </w:r>
      <w:r w:rsidR="002A2F04">
        <w:fldChar w:fldCharType="separate"/>
      </w:r>
      <w:r w:rsidR="002A2F04" w:rsidRPr="002A2F04">
        <w:rPr>
          <w:rFonts w:ascii="Calibri" w:hAnsi="Calibri" w:cs="Calibri"/>
        </w:rPr>
        <w:t>(Kickbusch et al., 2013)</w:t>
      </w:r>
      <w:r w:rsidR="002A2F04">
        <w:fldChar w:fldCharType="end"/>
      </w:r>
      <w:r w:rsidR="00143BE8">
        <w:t xml:space="preserve">. </w:t>
      </w:r>
      <w:r w:rsidR="002A0C73">
        <w:t xml:space="preserve"> Therefore</w:t>
      </w:r>
      <w:r w:rsidR="002927E7">
        <w:t>,</w:t>
      </w:r>
      <w:r w:rsidR="002A0C73">
        <w:t xml:space="preserve"> </w:t>
      </w:r>
      <w:r w:rsidR="0021099C">
        <w:t>encouraging</w:t>
      </w:r>
      <w:r w:rsidR="006258DF">
        <w:t xml:space="preserve"> lifestyles that are beneficial for health post-transplant will</w:t>
      </w:r>
      <w:r w:rsidR="0021099C">
        <w:t xml:space="preserve"> </w:t>
      </w:r>
      <w:r w:rsidR="006258DF">
        <w:t xml:space="preserve">involve </w:t>
      </w:r>
      <w:r w:rsidR="00C54542">
        <w:t>understanding</w:t>
      </w:r>
      <w:r w:rsidR="000B6DF0">
        <w:t xml:space="preserve"> health literacy</w:t>
      </w:r>
      <w:r w:rsidR="00E36141">
        <w:t xml:space="preserve"> skills</w:t>
      </w:r>
      <w:r w:rsidR="00277105">
        <w:t xml:space="preserve"> in KTRs and health communication</w:t>
      </w:r>
      <w:r w:rsidR="00433735">
        <w:t xml:space="preserve"> skills</w:t>
      </w:r>
      <w:r w:rsidR="00277105">
        <w:t xml:space="preserve"> </w:t>
      </w:r>
      <w:r w:rsidR="00433735">
        <w:t>of</w:t>
      </w:r>
      <w:r w:rsidR="00277105">
        <w:t xml:space="preserve"> professionals</w:t>
      </w:r>
      <w:r w:rsidR="000B6DF0">
        <w:t xml:space="preserve"> </w:t>
      </w:r>
      <w:r w:rsidR="00181A06">
        <w:t>in supporting</w:t>
      </w:r>
      <w:r w:rsidR="000B6DF0">
        <w:t xml:space="preserve"> self-care </w:t>
      </w:r>
      <w:r w:rsidR="00181A06">
        <w:t xml:space="preserve">and health outcomes. </w:t>
      </w:r>
      <w:r w:rsidR="0021099C">
        <w:t xml:space="preserve">  </w:t>
      </w:r>
    </w:p>
    <w:p w14:paraId="1BC3C6A6" w14:textId="61159350" w:rsidR="00245614" w:rsidRDefault="00281876" w:rsidP="001400BF">
      <w:pPr>
        <w:spacing w:line="480" w:lineRule="auto"/>
        <w:rPr>
          <w:rFonts w:eastAsia="Times New Roman"/>
        </w:rPr>
      </w:pPr>
      <w:r>
        <w:rPr>
          <w:rFonts w:eastAsia="Times New Roman"/>
        </w:rPr>
        <w:t xml:space="preserve">The complexity of </w:t>
      </w:r>
      <w:r w:rsidR="002048EE">
        <w:rPr>
          <w:rFonts w:eastAsia="Times New Roman"/>
        </w:rPr>
        <w:t xml:space="preserve">understanding </w:t>
      </w:r>
      <w:r>
        <w:rPr>
          <w:rFonts w:eastAsia="Times New Roman"/>
        </w:rPr>
        <w:t>self-care</w:t>
      </w:r>
      <w:r w:rsidR="002048EE">
        <w:rPr>
          <w:rFonts w:eastAsia="Times New Roman"/>
        </w:rPr>
        <w:t xml:space="preserve">, </w:t>
      </w:r>
      <w:r>
        <w:rPr>
          <w:rFonts w:eastAsia="Times New Roman"/>
        </w:rPr>
        <w:t>health literacy</w:t>
      </w:r>
      <w:r w:rsidR="002048EE">
        <w:rPr>
          <w:rFonts w:eastAsia="Times New Roman"/>
        </w:rPr>
        <w:t xml:space="preserve"> and health communication</w:t>
      </w:r>
      <w:r>
        <w:rPr>
          <w:rFonts w:eastAsia="Times New Roman"/>
        </w:rPr>
        <w:t xml:space="preserve"> </w:t>
      </w:r>
      <w:proofErr w:type="gramStart"/>
      <w:r>
        <w:rPr>
          <w:rFonts w:eastAsia="Times New Roman"/>
        </w:rPr>
        <w:t>makes</w:t>
      </w:r>
      <w:proofErr w:type="gramEnd"/>
      <w:r>
        <w:rPr>
          <w:rFonts w:eastAsia="Times New Roman"/>
        </w:rPr>
        <w:t xml:space="preserve"> i</w:t>
      </w:r>
      <w:r w:rsidR="00D63943">
        <w:rPr>
          <w:rFonts w:eastAsia="Times New Roman"/>
        </w:rPr>
        <w:t>t</w:t>
      </w:r>
      <w:r w:rsidR="00D72FBA">
        <w:rPr>
          <w:rFonts w:eastAsia="Times New Roman"/>
        </w:rPr>
        <w:t xml:space="preserve"> </w:t>
      </w:r>
      <w:r w:rsidR="00245614">
        <w:rPr>
          <w:rFonts w:eastAsia="Times New Roman"/>
        </w:rPr>
        <w:t xml:space="preserve">challenging </w:t>
      </w:r>
      <w:r w:rsidR="00FD1679">
        <w:rPr>
          <w:rFonts w:eastAsia="Times New Roman"/>
        </w:rPr>
        <w:t>to know how best</w:t>
      </w:r>
      <w:r w:rsidR="002C7BDB">
        <w:rPr>
          <w:rFonts w:eastAsia="Times New Roman"/>
        </w:rPr>
        <w:t xml:space="preserve"> to</w:t>
      </w:r>
      <w:r w:rsidR="00245614">
        <w:rPr>
          <w:rFonts w:eastAsia="Times New Roman"/>
        </w:rPr>
        <w:t xml:space="preserve"> </w:t>
      </w:r>
      <w:r w:rsidR="00D72FBA">
        <w:rPr>
          <w:rFonts w:eastAsia="Times New Roman"/>
        </w:rPr>
        <w:t>support</w:t>
      </w:r>
      <w:r w:rsidR="00245614">
        <w:rPr>
          <w:rFonts w:eastAsia="Times New Roman"/>
        </w:rPr>
        <w:t xml:space="preserve"> </w:t>
      </w:r>
      <w:r>
        <w:rPr>
          <w:rFonts w:eastAsia="Times New Roman"/>
        </w:rPr>
        <w:t>these</w:t>
      </w:r>
      <w:r w:rsidR="00344624">
        <w:rPr>
          <w:rFonts w:eastAsia="Times New Roman"/>
        </w:rPr>
        <w:t xml:space="preserve"> practices in </w:t>
      </w:r>
      <w:r w:rsidR="00E11E8C">
        <w:rPr>
          <w:rFonts w:eastAsia="Times New Roman"/>
        </w:rPr>
        <w:t xml:space="preserve">people with </w:t>
      </w:r>
      <w:r w:rsidR="004535E2">
        <w:rPr>
          <w:rFonts w:eastAsia="Times New Roman"/>
        </w:rPr>
        <w:t xml:space="preserve">long term </w:t>
      </w:r>
      <w:r w:rsidR="00E11E8C">
        <w:rPr>
          <w:rFonts w:eastAsia="Times New Roman"/>
        </w:rPr>
        <w:t>health conditions</w:t>
      </w:r>
      <w:r w:rsidR="00563430">
        <w:rPr>
          <w:rFonts w:eastAsia="Times New Roman"/>
        </w:rPr>
        <w:t xml:space="preserve"> such as those with a kidney transplant</w:t>
      </w:r>
      <w:r w:rsidR="00E41996">
        <w:rPr>
          <w:rFonts w:eastAsia="Times New Roman"/>
        </w:rPr>
        <w:t>.</w:t>
      </w:r>
      <w:r w:rsidR="001678FC">
        <w:rPr>
          <w:rFonts w:eastAsia="Times New Roman"/>
        </w:rPr>
        <w:t xml:space="preserve">  </w:t>
      </w:r>
      <w:r w:rsidR="00661D9D">
        <w:t>Our research adopts a qualitative approach to engaging stakeholder perspectives</w:t>
      </w:r>
      <w:r w:rsidR="00273E6C">
        <w:t xml:space="preserve"> </w:t>
      </w:r>
      <w:r w:rsidR="00661D9D">
        <w:t xml:space="preserve">that gives </w:t>
      </w:r>
      <w:r w:rsidR="0015185B">
        <w:t xml:space="preserve">voice to KTRs, their significant others and practitioners. </w:t>
      </w:r>
      <w:r w:rsidR="0015185B">
        <w:rPr>
          <w:rFonts w:eastAsia="Times New Roman"/>
        </w:rPr>
        <w:t xml:space="preserve"> </w:t>
      </w:r>
      <w:r w:rsidR="00401A44">
        <w:rPr>
          <w:rFonts w:eastAsia="Times New Roman"/>
        </w:rPr>
        <w:t xml:space="preserve">The aim of this qualitative research </w:t>
      </w:r>
      <w:r w:rsidR="0000042F">
        <w:rPr>
          <w:rFonts w:eastAsia="Times New Roman"/>
        </w:rPr>
        <w:t>is</w:t>
      </w:r>
      <w:r w:rsidR="00401A44">
        <w:rPr>
          <w:rFonts w:eastAsia="Times New Roman"/>
        </w:rPr>
        <w:t xml:space="preserve"> to </w:t>
      </w:r>
      <w:r w:rsidR="0000042F">
        <w:rPr>
          <w:rFonts w:ascii="Calibri" w:hAnsi="Calibri" w:cs="Calibri"/>
          <w:color w:val="242424"/>
        </w:rPr>
        <w:t>understand how KTRs cope with and adapt their lifestyles post-</w:t>
      </w:r>
      <w:r w:rsidR="0000042F">
        <w:rPr>
          <w:rFonts w:ascii="Calibri" w:hAnsi="Calibri" w:cs="Calibri"/>
          <w:color w:val="242424"/>
        </w:rPr>
        <w:lastRenderedPageBreak/>
        <w:t xml:space="preserve">transplant and to explore </w:t>
      </w:r>
      <w:r w:rsidR="006E4B6D">
        <w:rPr>
          <w:rFonts w:ascii="Calibri" w:hAnsi="Calibri" w:cs="Calibri"/>
          <w:color w:val="242424"/>
        </w:rPr>
        <w:t xml:space="preserve">how self-care </w:t>
      </w:r>
      <w:r w:rsidR="00E7428F">
        <w:rPr>
          <w:rFonts w:ascii="Calibri" w:hAnsi="Calibri" w:cs="Calibri"/>
          <w:color w:val="242424"/>
        </w:rPr>
        <w:t xml:space="preserve">support </w:t>
      </w:r>
      <w:r w:rsidR="006E4B6D">
        <w:rPr>
          <w:rFonts w:ascii="Calibri" w:hAnsi="Calibri" w:cs="Calibri"/>
          <w:color w:val="242424"/>
        </w:rPr>
        <w:t>is delivered</w:t>
      </w:r>
      <w:r w:rsidR="005C2B69">
        <w:rPr>
          <w:rFonts w:ascii="Calibri" w:hAnsi="Calibri" w:cs="Calibri"/>
          <w:color w:val="242424"/>
        </w:rPr>
        <w:t xml:space="preserve"> </w:t>
      </w:r>
      <w:r w:rsidR="0000042F">
        <w:rPr>
          <w:rFonts w:ascii="Calibri" w:hAnsi="Calibri" w:cs="Calibri"/>
          <w:color w:val="242424"/>
        </w:rPr>
        <w:t>by health care professionals (HCPs) and significant others</w:t>
      </w:r>
      <w:r w:rsidR="00E7428F">
        <w:rPr>
          <w:rFonts w:ascii="Calibri" w:hAnsi="Calibri" w:cs="Calibri"/>
          <w:color w:val="242424"/>
        </w:rPr>
        <w:t xml:space="preserve"> </w:t>
      </w:r>
      <w:r w:rsidR="007876F6">
        <w:rPr>
          <w:rFonts w:ascii="Calibri" w:hAnsi="Calibri" w:cs="Calibri"/>
          <w:color w:val="242424"/>
        </w:rPr>
        <w:t>and the impact of this</w:t>
      </w:r>
      <w:r w:rsidR="005C2B69">
        <w:rPr>
          <w:rFonts w:ascii="Calibri" w:hAnsi="Calibri" w:cs="Calibri"/>
          <w:color w:val="242424"/>
        </w:rPr>
        <w:t>.</w:t>
      </w:r>
      <w:r w:rsidR="006D1878">
        <w:rPr>
          <w:rFonts w:ascii="Calibri" w:hAnsi="Calibri" w:cs="Calibri"/>
          <w:color w:val="242424"/>
        </w:rPr>
        <w:t xml:space="preserve"> </w:t>
      </w:r>
    </w:p>
    <w:p w14:paraId="4622BEC7" w14:textId="77777777" w:rsidR="00401A44" w:rsidRDefault="00401A44" w:rsidP="001400BF">
      <w:pPr>
        <w:spacing w:line="480" w:lineRule="auto"/>
        <w:rPr>
          <w:rFonts w:eastAsia="Times New Roman"/>
        </w:rPr>
      </w:pPr>
    </w:p>
    <w:p w14:paraId="0DFE5FFD" w14:textId="74D16215" w:rsidR="00A03A23" w:rsidRPr="00A03A23" w:rsidRDefault="00A03A23" w:rsidP="001400BF">
      <w:pPr>
        <w:spacing w:line="480" w:lineRule="auto"/>
        <w:rPr>
          <w:rFonts w:eastAsia="Times New Roman"/>
          <w:b/>
          <w:bCs/>
        </w:rPr>
      </w:pPr>
      <w:r w:rsidRPr="00A03A23">
        <w:rPr>
          <w:rFonts w:eastAsia="Times New Roman"/>
          <w:b/>
          <w:bCs/>
        </w:rPr>
        <w:t>Methodology</w:t>
      </w:r>
    </w:p>
    <w:p w14:paraId="4A034805" w14:textId="565EEB31" w:rsidR="00517778" w:rsidRPr="00517778" w:rsidRDefault="00250306" w:rsidP="001400BF">
      <w:pPr>
        <w:spacing w:line="480" w:lineRule="auto"/>
      </w:pPr>
      <w:r>
        <w:t>This qualitative research is based on focus groups and semi-structured interviews</w:t>
      </w:r>
      <w:r w:rsidR="005252DD">
        <w:t xml:space="preserve"> involving 33 participants in total</w:t>
      </w:r>
      <w:r w:rsidR="009D6E4F">
        <w:t>.</w:t>
      </w:r>
      <w:r>
        <w:t xml:space="preserve"> </w:t>
      </w:r>
      <w:r w:rsidR="00C221F3">
        <w:t xml:space="preserve"> </w:t>
      </w:r>
      <w:r w:rsidR="0026615C">
        <w:t>F</w:t>
      </w:r>
      <w:r w:rsidR="00C221F3">
        <w:t>ive</w:t>
      </w:r>
      <w:r w:rsidR="009D6E4F">
        <w:t xml:space="preserve"> focus group</w:t>
      </w:r>
      <w:r w:rsidR="00C221F3">
        <w:t>s</w:t>
      </w:r>
      <w:r w:rsidR="009D6E4F">
        <w:t xml:space="preserve"> </w:t>
      </w:r>
      <w:r w:rsidR="00C221F3">
        <w:t>were</w:t>
      </w:r>
      <w:r w:rsidR="009D6E4F">
        <w:t xml:space="preserve"> conducted</w:t>
      </w:r>
      <w:r w:rsidR="00C221F3">
        <w:t xml:space="preserve">, four of which were </w:t>
      </w:r>
      <w:r w:rsidR="00CE3E3B">
        <w:t>undertaken</w:t>
      </w:r>
      <w:r w:rsidR="00C221F3">
        <w:t xml:space="preserve"> with KTRs and one with healthcare professionals. </w:t>
      </w:r>
      <w:r w:rsidR="009D6E4F">
        <w:t xml:space="preserve"> </w:t>
      </w:r>
      <w:r w:rsidR="004E74C1">
        <w:t>Fifteen</w:t>
      </w:r>
      <w:r w:rsidR="004B51B5">
        <w:t xml:space="preserve"> semi-structured interviews were run</w:t>
      </w:r>
      <w:r w:rsidR="00FB0E08">
        <w:t xml:space="preserve"> with</w:t>
      </w:r>
      <w:r w:rsidR="00060599">
        <w:t xml:space="preserve">: </w:t>
      </w:r>
      <w:r w:rsidR="00D72288">
        <w:t>5</w:t>
      </w:r>
      <w:r w:rsidR="00060599">
        <w:t xml:space="preserve"> KTRs, </w:t>
      </w:r>
      <w:r w:rsidR="00D72288">
        <w:t>7</w:t>
      </w:r>
      <w:r w:rsidR="00060599">
        <w:t xml:space="preserve"> healthcare professionals and </w:t>
      </w:r>
      <w:r w:rsidR="00D72288">
        <w:t>3</w:t>
      </w:r>
      <w:r w:rsidR="004E74C1">
        <w:t xml:space="preserve"> significant others. </w:t>
      </w:r>
      <w:r w:rsidR="0055309F">
        <w:t xml:space="preserve">The healthcare professionals who took part were: </w:t>
      </w:r>
      <w:r w:rsidR="0040376D">
        <w:t>4</w:t>
      </w:r>
      <w:r w:rsidR="0055309F">
        <w:t xml:space="preserve"> nephrologists, </w:t>
      </w:r>
      <w:r w:rsidR="0040376D">
        <w:t>3</w:t>
      </w:r>
      <w:r w:rsidR="0055309F">
        <w:t xml:space="preserve"> nurses, </w:t>
      </w:r>
      <w:r w:rsidR="00F878D2">
        <w:t xml:space="preserve">2 allied health professionals </w:t>
      </w:r>
      <w:r w:rsidR="0055309F">
        <w:t xml:space="preserve">and a transplant surgeon.  </w:t>
      </w:r>
      <w:r w:rsidR="004E74C1">
        <w:t xml:space="preserve">Further details of participants can be found in Table 1. </w:t>
      </w:r>
    </w:p>
    <w:p w14:paraId="6411C3EA" w14:textId="235CAE2B" w:rsidR="00D74D30" w:rsidRDefault="00D74D30" w:rsidP="001400BF">
      <w:pPr>
        <w:spacing w:line="480" w:lineRule="auto"/>
      </w:pPr>
      <w:r>
        <w:t xml:space="preserve">The study was undertaken </w:t>
      </w:r>
      <w:r w:rsidR="004E4CFE">
        <w:t xml:space="preserve">between </w:t>
      </w:r>
      <w:r w:rsidR="00F2286D">
        <w:t>June</w:t>
      </w:r>
      <w:r w:rsidR="00524229">
        <w:t xml:space="preserve"> and December 2021 </w:t>
      </w:r>
      <w:r w:rsidR="003065EC">
        <w:t>within</w:t>
      </w:r>
      <w:r>
        <w:t xml:space="preserve"> a large renal transplant centre in London UK, which performs approximately 210 renal transplants per year </w:t>
      </w:r>
      <w:r w:rsidR="00B26968">
        <w:fldChar w:fldCharType="begin"/>
      </w:r>
      <w:r w:rsidR="00B26968">
        <w:instrText xml:space="preserve"> ADDIN ZOTERO_ITEM CSL_CITATION {"citationID":"Tt1BkAFK","properties":{"formattedCitation":"(NHS Blood and Transplant, 2022)","plainCitation":"(NHS Blood and Transplant, 2022)","noteIndex":0},"citationItems":[{"id":1333,"uris":["http://zotero.org/groups/4507553/items/K8DP4SRF"],"itemData":{"id":1333,"type":"report","page":"170","title":"Organ and Tissue Donation and Transplantation activity report 2021-2022","author":[{"family":"NHS Blood and Transplant","given":""}],"issued":{"date-parts":[["2022"]]}}}],"schema":"https://github.com/citation-style-language/schema/raw/master/csl-citation.json"} </w:instrText>
      </w:r>
      <w:r w:rsidR="00B26968">
        <w:fldChar w:fldCharType="separate"/>
      </w:r>
      <w:r w:rsidR="00B26968" w:rsidRPr="00B26968">
        <w:rPr>
          <w:rFonts w:ascii="Calibri" w:hAnsi="Calibri" w:cs="Calibri"/>
        </w:rPr>
        <w:t>(NHS Blood and Transplant, 2022)</w:t>
      </w:r>
      <w:r w:rsidR="00B26968">
        <w:fldChar w:fldCharType="end"/>
      </w:r>
      <w:r>
        <w:t xml:space="preserve">, and </w:t>
      </w:r>
      <w:r w:rsidR="00524229">
        <w:t>provides clinical care</w:t>
      </w:r>
      <w:r>
        <w:t xml:space="preserve"> </w:t>
      </w:r>
      <w:r w:rsidR="00524229">
        <w:t>to</w:t>
      </w:r>
      <w:r>
        <w:t xml:space="preserve"> over 2000 KTRs, 50% of whom are from a range of ethnic backgrounds other than White European </w:t>
      </w:r>
      <w:r w:rsidR="005A3CB0">
        <w:fldChar w:fldCharType="begin"/>
      </w:r>
      <w:r w:rsidR="002049D0">
        <w:instrText xml:space="preserve"> ADDIN ZOTERO_ITEM CSL_CITATION {"citationID":"pt3WRYXA","properties":{"formattedCitation":"(UK Renal Registry, 2022)","plainCitation":"(UK Renal Registry, 2022)","noteIndex":0},"citationItems":[{"id":1334,"uris":["http://zotero.org/groups/4507553/items/SXVEBPV4"],"itemData":{"id":1334,"type":"report","event-place":"Bristol, UK","publisher-place":"Bristol, UK","title":"UK Renal Registry 24th Annual Report– data to 31/12/2020","author":[{"family":"UK Renal Registry","given":""}],"issued":{"date-parts":[["2022"]]}}}],"schema":"https://github.com/citation-style-language/schema/raw/master/csl-citation.json"} </w:instrText>
      </w:r>
      <w:r w:rsidR="005A3CB0">
        <w:fldChar w:fldCharType="separate"/>
      </w:r>
      <w:r w:rsidR="002049D0" w:rsidRPr="002049D0">
        <w:rPr>
          <w:rFonts w:ascii="Calibri" w:hAnsi="Calibri" w:cs="Calibri"/>
        </w:rPr>
        <w:t>(UK Renal Registry, 2022)</w:t>
      </w:r>
      <w:r w:rsidR="005A3CB0">
        <w:fldChar w:fldCharType="end"/>
      </w:r>
      <w:r>
        <w:t xml:space="preserve">.  </w:t>
      </w:r>
    </w:p>
    <w:p w14:paraId="308FB06B" w14:textId="21731334" w:rsidR="00D45335" w:rsidRDefault="00BB5934" w:rsidP="001400BF">
      <w:pPr>
        <w:spacing w:line="480" w:lineRule="auto"/>
      </w:pPr>
      <w:r>
        <w:t>Participation was either within a focus group or a single one-to-one interview</w:t>
      </w:r>
      <w:r w:rsidR="00A85957">
        <w:t xml:space="preserve"> </w:t>
      </w:r>
      <w:r w:rsidR="00013824">
        <w:t>as opted by the participant</w:t>
      </w:r>
      <w:r>
        <w:t xml:space="preserve">. </w:t>
      </w:r>
      <w:r w:rsidR="00D45335">
        <w:t xml:space="preserve">During this period, COVID-19 was prevalent which </w:t>
      </w:r>
      <w:r w:rsidR="00F937F7">
        <w:t>ethically dictated</w:t>
      </w:r>
      <w:r w:rsidR="00D45335">
        <w:t xml:space="preserve"> </w:t>
      </w:r>
      <w:r w:rsidR="00F937F7">
        <w:t>that</w:t>
      </w:r>
      <w:r w:rsidR="00653AB6">
        <w:t xml:space="preserve"> the </w:t>
      </w:r>
      <w:r w:rsidR="00F937F7">
        <w:t xml:space="preserve">interviews were </w:t>
      </w:r>
      <w:r w:rsidR="00B5127A">
        <w:t>conducted</w:t>
      </w:r>
      <w:r w:rsidR="008F3A19">
        <w:t xml:space="preserve"> with safety as a primary consideration</w:t>
      </w:r>
      <w:r w:rsidR="00B5127A">
        <w:t>. Therefore</w:t>
      </w:r>
      <w:r w:rsidR="00F64CD2">
        <w:t>,</w:t>
      </w:r>
      <w:r w:rsidR="00F937F7">
        <w:t xml:space="preserve"> </w:t>
      </w:r>
      <w:r w:rsidR="00D45335">
        <w:t xml:space="preserve">all focus groups </w:t>
      </w:r>
      <w:r w:rsidR="00B5127A">
        <w:t xml:space="preserve">were </w:t>
      </w:r>
      <w:r w:rsidR="00D45335">
        <w:t xml:space="preserve">conducted online through video conferencing </w:t>
      </w:r>
      <w:r w:rsidR="00A15DCC">
        <w:t>whereas</w:t>
      </w:r>
      <w:r w:rsidR="00D45335">
        <w:t xml:space="preserve"> one-to-one interviews</w:t>
      </w:r>
      <w:r w:rsidR="00E16CD2">
        <w:t xml:space="preserve"> were</w:t>
      </w:r>
      <w:r w:rsidR="00D45335">
        <w:t xml:space="preserve"> conducted through online video conferencing </w:t>
      </w:r>
      <w:r w:rsidR="00A15DCC">
        <w:t xml:space="preserve">and </w:t>
      </w:r>
      <w:r w:rsidR="00D45335">
        <w:t>telephone (</w:t>
      </w:r>
      <w:r w:rsidR="0069465C">
        <w:t xml:space="preserve">as per </w:t>
      </w:r>
      <w:r w:rsidR="00D45335">
        <w:t>participant choice).</w:t>
      </w:r>
      <w:r w:rsidR="00F75C58">
        <w:t xml:space="preserve"> </w:t>
      </w:r>
    </w:p>
    <w:p w14:paraId="4039CCC8" w14:textId="2477AAC6" w:rsidR="00A239F0" w:rsidRDefault="009850AF" w:rsidP="001400BF">
      <w:pPr>
        <w:spacing w:line="480" w:lineRule="auto"/>
      </w:pPr>
      <w:r>
        <w:t>P</w:t>
      </w:r>
      <w:r w:rsidR="004E7BC4">
        <w:t xml:space="preserve">urposive sampling </w:t>
      </w:r>
      <w:r w:rsidR="00B8163E">
        <w:t>ensured</w:t>
      </w:r>
      <w:r w:rsidR="004705F9">
        <w:t xml:space="preserve"> </w:t>
      </w:r>
      <w:r w:rsidR="004F4459">
        <w:t xml:space="preserve">a </w:t>
      </w:r>
      <w:r w:rsidR="00B62F8F">
        <w:t xml:space="preserve">diversity of </w:t>
      </w:r>
      <w:r w:rsidR="005E541E">
        <w:t xml:space="preserve">KTR </w:t>
      </w:r>
      <w:r w:rsidR="00B62F8F">
        <w:t>participants</w:t>
      </w:r>
      <w:r w:rsidR="004F4459">
        <w:t xml:space="preserve"> (</w:t>
      </w:r>
      <w:r w:rsidR="00BB6A63">
        <w:t>by</w:t>
      </w:r>
      <w:r w:rsidR="00230F5A">
        <w:t xml:space="preserve"> </w:t>
      </w:r>
      <w:r w:rsidR="004F4459">
        <w:t xml:space="preserve">age, gender, </w:t>
      </w:r>
      <w:r w:rsidR="00320CC8">
        <w:t>socio-economic status, ethnic background, education level, duration of transplant</w:t>
      </w:r>
      <w:r w:rsidR="004917EF">
        <w:t>, history of</w:t>
      </w:r>
      <w:r w:rsidR="009A0753">
        <w:t xml:space="preserve"> previous </w:t>
      </w:r>
      <w:r w:rsidR="004917EF">
        <w:t>transplantation</w:t>
      </w:r>
      <w:r w:rsidR="003E5550">
        <w:t>, employment status</w:t>
      </w:r>
      <w:r w:rsidR="004917EF">
        <w:t>)</w:t>
      </w:r>
      <w:r w:rsidR="00B62F8F">
        <w:t xml:space="preserve"> </w:t>
      </w:r>
      <w:r w:rsidR="00C77AB9">
        <w:t>to capture a</w:t>
      </w:r>
      <w:r w:rsidR="00617DDC">
        <w:t xml:space="preserve"> range of </w:t>
      </w:r>
      <w:r w:rsidR="00B62F8F">
        <w:t xml:space="preserve">experiences. </w:t>
      </w:r>
      <w:r w:rsidR="007E1B0B">
        <w:t>The KTR participants were recruited from the renal transplant clinic</w:t>
      </w:r>
      <w:r w:rsidR="000863C0">
        <w:t xml:space="preserve"> and had been</w:t>
      </w:r>
      <w:r w:rsidR="007E1B0B">
        <w:t xml:space="preserve"> transplanted for at least 6 months.</w:t>
      </w:r>
      <w:r w:rsidR="007A1D0B">
        <w:t xml:space="preserve"> </w:t>
      </w:r>
    </w:p>
    <w:p w14:paraId="13E30535" w14:textId="49B40E71" w:rsidR="00F62D42" w:rsidRDefault="00BA08FC" w:rsidP="001400BF">
      <w:pPr>
        <w:spacing w:line="480" w:lineRule="auto"/>
      </w:pPr>
      <w:r>
        <w:lastRenderedPageBreak/>
        <w:t>H</w:t>
      </w:r>
      <w:r w:rsidR="00F62D42">
        <w:t>ealthcare professionals was</w:t>
      </w:r>
      <w:r w:rsidR="00873AB5">
        <w:t xml:space="preserve"> </w:t>
      </w:r>
      <w:r>
        <w:t>also</w:t>
      </w:r>
      <w:r w:rsidR="00873AB5">
        <w:t xml:space="preserve"> </w:t>
      </w:r>
      <w:r>
        <w:t>recruited</w:t>
      </w:r>
      <w:r w:rsidR="00F62D42">
        <w:t xml:space="preserve"> </w:t>
      </w:r>
      <w:r w:rsidR="00873AB5">
        <w:t>using</w:t>
      </w:r>
      <w:r w:rsidR="00F62D42">
        <w:t xml:space="preserve"> purposive sampling</w:t>
      </w:r>
      <w:r w:rsidR="00D72F23">
        <w:t xml:space="preserve"> </w:t>
      </w:r>
      <w:r w:rsidR="00987495">
        <w:t>reflecting a</w:t>
      </w:r>
      <w:r w:rsidR="00F62D42">
        <w:t xml:space="preserve"> range of profession</w:t>
      </w:r>
      <w:r w:rsidR="00987495">
        <w:t>al</w:t>
      </w:r>
      <w:r w:rsidR="00FC45DA">
        <w:t xml:space="preserve"> </w:t>
      </w:r>
      <w:r w:rsidR="00987495">
        <w:t>experience working</w:t>
      </w:r>
      <w:r w:rsidR="00F66D8C">
        <w:t xml:space="preserve"> with KTRs </w:t>
      </w:r>
      <w:r w:rsidR="005B2492">
        <w:t>in the transplant centre</w:t>
      </w:r>
      <w:r w:rsidR="00507CA3">
        <w:t>.</w:t>
      </w:r>
    </w:p>
    <w:p w14:paraId="55414169" w14:textId="25D859EC" w:rsidR="00AC609B" w:rsidRDefault="00EF26D0" w:rsidP="001400BF">
      <w:pPr>
        <w:spacing w:line="480" w:lineRule="auto"/>
      </w:pPr>
      <w:r>
        <w:t>In contrast, r</w:t>
      </w:r>
      <w:r w:rsidR="00AC609B">
        <w:t xml:space="preserve">ecruitment of significant others </w:t>
      </w:r>
      <w:r>
        <w:t>involved</w:t>
      </w:r>
      <w:r w:rsidR="00E01E95">
        <w:t xml:space="preserve"> snowball sampling</w:t>
      </w:r>
      <w:r w:rsidR="00361473">
        <w:t xml:space="preserve">, </w:t>
      </w:r>
      <w:r w:rsidR="006C57F8">
        <w:t>drawing on</w:t>
      </w:r>
      <w:r w:rsidR="00E01E95">
        <w:t xml:space="preserve"> referral</w:t>
      </w:r>
      <w:r w:rsidR="00883EAD">
        <w:t xml:space="preserve">s </w:t>
      </w:r>
      <w:r w:rsidR="003548FF">
        <w:t xml:space="preserve">from </w:t>
      </w:r>
      <w:r w:rsidR="006C57F8">
        <w:t xml:space="preserve">participant </w:t>
      </w:r>
      <w:r w:rsidR="00E01E95">
        <w:t>KTRs</w:t>
      </w:r>
      <w:r w:rsidR="00AD5C98">
        <w:t xml:space="preserve">. Due to the small sample size, all </w:t>
      </w:r>
      <w:r w:rsidR="003F7782">
        <w:t>participated in</w:t>
      </w:r>
      <w:r w:rsidR="00AD5C98">
        <w:t xml:space="preserve"> one-to-one interviews.  </w:t>
      </w:r>
    </w:p>
    <w:p w14:paraId="0FA602FE" w14:textId="728D58DC" w:rsidR="005F2F79" w:rsidRDefault="0023340D" w:rsidP="001400BF">
      <w:pPr>
        <w:spacing w:line="480" w:lineRule="auto"/>
      </w:pPr>
      <w:r>
        <w:t xml:space="preserve">The </w:t>
      </w:r>
      <w:r w:rsidR="00471CF8">
        <w:t xml:space="preserve">focus groups and </w:t>
      </w:r>
      <w:r>
        <w:t>interviews</w:t>
      </w:r>
      <w:r w:rsidR="00471CF8">
        <w:t xml:space="preserve"> were conducted by three of the authors: AB, SS, L</w:t>
      </w:r>
      <w:r w:rsidR="003F4523">
        <w:t>R</w:t>
      </w:r>
      <w:r w:rsidR="00471CF8">
        <w:t xml:space="preserve">J. </w:t>
      </w:r>
      <w:r>
        <w:t xml:space="preserve"> </w:t>
      </w:r>
      <w:r w:rsidR="00EA095C">
        <w:t xml:space="preserve">Prior to the focus groups and interviews, all participants were informed </w:t>
      </w:r>
      <w:r w:rsidR="00E753E4">
        <w:t>of the research aims and the nature of the project. Participants</w:t>
      </w:r>
      <w:r w:rsidR="00466592">
        <w:t xml:space="preserve"> gave their consent for </w:t>
      </w:r>
      <w:r w:rsidR="00C83323">
        <w:t xml:space="preserve">focus groups and interviews to be audio recorded.  </w:t>
      </w:r>
      <w:r w:rsidR="005700CE">
        <w:t xml:space="preserve">The focus group and interview recordings were </w:t>
      </w:r>
      <w:r w:rsidR="007B40C4">
        <w:t xml:space="preserve">professionally </w:t>
      </w:r>
      <w:r w:rsidR="005700CE">
        <w:t xml:space="preserve">transcribed and the data were subjected </w:t>
      </w:r>
      <w:r w:rsidR="0096527B">
        <w:t xml:space="preserve">to </w:t>
      </w:r>
      <w:r w:rsidR="005700CE">
        <w:t>thematic frame</w:t>
      </w:r>
      <w:r w:rsidR="007B40C4">
        <w:t>work analysis using NVIVO data analysis software programme.</w:t>
      </w:r>
      <w:r w:rsidR="00EE0FDB">
        <w:t xml:space="preserve">  </w:t>
      </w:r>
      <w:r w:rsidR="00A33039">
        <w:t xml:space="preserve">The data analysis of all the transcripts involved a close reading and </w:t>
      </w:r>
      <w:r w:rsidR="00FD24FA">
        <w:t>a line</w:t>
      </w:r>
      <w:r w:rsidR="003551A3">
        <w:t>-</w:t>
      </w:r>
      <w:r w:rsidR="00FD24FA">
        <w:t>by</w:t>
      </w:r>
      <w:r w:rsidR="003551A3">
        <w:t>-</w:t>
      </w:r>
      <w:r w:rsidR="00FD24FA">
        <w:t>line analysis</w:t>
      </w:r>
      <w:r w:rsidR="00AA0BFC">
        <w:t xml:space="preserve">. </w:t>
      </w:r>
      <w:r w:rsidR="00F0651F">
        <w:t>Keywords, phrases and text were coded and subsequently and iteratively refined and grouped into</w:t>
      </w:r>
      <w:r w:rsidR="00DC1067">
        <w:t xml:space="preserve"> appropriate themes </w:t>
      </w:r>
      <w:r w:rsidR="006F6BAA">
        <w:fldChar w:fldCharType="begin"/>
      </w:r>
      <w:r w:rsidR="006F6BAA">
        <w:instrText xml:space="preserve"> ADDIN ZOTERO_ITEM CSL_CITATION {"citationID":"5kveiAF3","properties":{"formattedCitation":"(Braun &amp; Clarke, 2006)","plainCitation":"(Braun &amp; Clarke, 2006)","noteIndex":0},"citationItems":[{"id":1335,"uris":["http://zotero.org/groups/4507553/items/3I8GW7LT"],"itemData":{"id":1335,"type":"article-journal","abstract":"Thematic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psychology.","container-title":"Qualitative Research in Psychology","DOI":"10.1191/1478088706qp063oa","ISSN":"1478-0887","issue":"2","note":"publisher: Routledge\n_eprint: https://www.tandfonline.com/doi/pdf/10.1191/1478088706qp063oa","page":"77-101","source":"Taylor and Francis+NEJM","title":"Using thematic analysis in psychology","volume":"3","author":[{"family":"Braun","given":"Virginia"},{"family":"Clarke","given":"Victoria"}],"issued":{"date-parts":[["2006",1,1]]}}}],"schema":"https://github.com/citation-style-language/schema/raw/master/csl-citation.json"} </w:instrText>
      </w:r>
      <w:r w:rsidR="006F6BAA">
        <w:fldChar w:fldCharType="separate"/>
      </w:r>
      <w:r w:rsidR="006F6BAA" w:rsidRPr="006F6BAA">
        <w:rPr>
          <w:rFonts w:ascii="Calibri" w:hAnsi="Calibri" w:cs="Calibri"/>
        </w:rPr>
        <w:t>(Braun &amp; Clarke, 2006)</w:t>
      </w:r>
      <w:r w:rsidR="006F6BAA">
        <w:fldChar w:fldCharType="end"/>
      </w:r>
      <w:r w:rsidR="00DC1067">
        <w:t xml:space="preserve">. The framework analysis </w:t>
      </w:r>
      <w:r w:rsidR="00E244B8">
        <w:fldChar w:fldCharType="begin"/>
      </w:r>
      <w:r w:rsidR="00E244B8">
        <w:instrText xml:space="preserve"> ADDIN ZOTERO_ITEM CSL_CITATION {"citationID":"nRe3yBZW","properties":{"formattedCitation":"(Spencer et al., 2003)","plainCitation":"(Spencer et al., 2003)","noteIndex":0},"citationItems":[{"id":1338,"uris":["http://zotero.org/groups/4507553/items/PJSX5SHX"],"itemData":{"id":1338,"type":"report","event-place":"London, UK","language":"en","page":"170","publisher":"Cabinet Office, Government Chief Social Researcher’s Office, Strategy Unit","publisher-place":"London, UK","source":"Zotero","title":"Quality in Qualitative Evaluation: A framework for assessing research evidence.","author":[{"family":"Spencer","given":"Liz"},{"family":"Ritchie","given":"Jane"},{"family":"Lewis","given":"Jane"},{"family":"Dillon","given":"Lucy"}],"issued":{"date-parts":[["2003"]]}}}],"schema":"https://github.com/citation-style-language/schema/raw/master/csl-citation.json"} </w:instrText>
      </w:r>
      <w:r w:rsidR="00E244B8">
        <w:fldChar w:fldCharType="separate"/>
      </w:r>
      <w:r w:rsidR="00E244B8" w:rsidRPr="00E244B8">
        <w:rPr>
          <w:rFonts w:ascii="Calibri" w:hAnsi="Calibri" w:cs="Calibri"/>
        </w:rPr>
        <w:t>(Spencer et al., 2003)</w:t>
      </w:r>
      <w:r w:rsidR="00E244B8">
        <w:fldChar w:fldCharType="end"/>
      </w:r>
      <w:r w:rsidR="00415917">
        <w:t xml:space="preserve"> </w:t>
      </w:r>
      <w:r w:rsidR="00DC1067">
        <w:t xml:space="preserve">allowed us to reframe </w:t>
      </w:r>
      <w:r w:rsidR="005F2C6E">
        <w:t xml:space="preserve">the </w:t>
      </w:r>
      <w:r w:rsidR="00DC1067">
        <w:t xml:space="preserve">themes </w:t>
      </w:r>
      <w:r w:rsidR="0030233C">
        <w:t xml:space="preserve">to provide additional context </w:t>
      </w:r>
      <w:r w:rsidR="008C30E0">
        <w:t xml:space="preserve">relative to </w:t>
      </w:r>
      <w:r w:rsidR="00C31E8C">
        <w:t xml:space="preserve">the </w:t>
      </w:r>
      <w:r w:rsidR="001E725E">
        <w:t>participant</w:t>
      </w:r>
      <w:r w:rsidR="00C31E8C">
        <w:t>’s role in kidney transplan</w:t>
      </w:r>
      <w:r w:rsidR="00550EB8">
        <w:t>tation and self-care</w:t>
      </w:r>
      <w:r w:rsidR="00FE1371">
        <w:t xml:space="preserve"> </w:t>
      </w:r>
      <w:r w:rsidR="00C31E8C">
        <w:t xml:space="preserve">. </w:t>
      </w:r>
    </w:p>
    <w:p w14:paraId="3C03C13A" w14:textId="30591077" w:rsidR="0026615C" w:rsidRDefault="0026615C" w:rsidP="001400BF">
      <w:pPr>
        <w:spacing w:line="480" w:lineRule="auto"/>
      </w:pPr>
      <w:r>
        <w:t xml:space="preserve">Table 1: </w:t>
      </w:r>
      <w:r w:rsidR="0060404F">
        <w:t>Methods and p</w:t>
      </w:r>
      <w:r w:rsidR="009142A0">
        <w:t>articipant</w:t>
      </w:r>
      <w:r w:rsidR="0060404F">
        <w:t xml:space="preserve"> </w:t>
      </w:r>
      <w:r w:rsidR="009142A0">
        <w:t>demographics</w:t>
      </w:r>
    </w:p>
    <w:tbl>
      <w:tblPr>
        <w:tblStyle w:val="TableGrid"/>
        <w:tblW w:w="0" w:type="auto"/>
        <w:tblLook w:val="04A0" w:firstRow="1" w:lastRow="0" w:firstColumn="1" w:lastColumn="0" w:noHBand="0" w:noVBand="1"/>
      </w:tblPr>
      <w:tblGrid>
        <w:gridCol w:w="2547"/>
        <w:gridCol w:w="2126"/>
        <w:gridCol w:w="2126"/>
        <w:gridCol w:w="2217"/>
      </w:tblGrid>
      <w:tr w:rsidR="0026615C" w14:paraId="655314BD" w14:textId="77777777" w:rsidTr="001D341D">
        <w:tc>
          <w:tcPr>
            <w:tcW w:w="2547" w:type="dxa"/>
          </w:tcPr>
          <w:p w14:paraId="0E457E79" w14:textId="77777777" w:rsidR="0026615C" w:rsidRDefault="0026615C" w:rsidP="001400BF">
            <w:pPr>
              <w:spacing w:line="480" w:lineRule="auto"/>
              <w:rPr>
                <w:b/>
                <w:bCs/>
              </w:rPr>
            </w:pPr>
          </w:p>
        </w:tc>
        <w:tc>
          <w:tcPr>
            <w:tcW w:w="2126" w:type="dxa"/>
          </w:tcPr>
          <w:p w14:paraId="1B1199CA" w14:textId="77777777" w:rsidR="0026615C" w:rsidRDefault="0026615C" w:rsidP="001400BF">
            <w:pPr>
              <w:spacing w:line="480" w:lineRule="auto"/>
              <w:rPr>
                <w:b/>
                <w:bCs/>
              </w:rPr>
            </w:pPr>
            <w:r>
              <w:rPr>
                <w:b/>
                <w:bCs/>
              </w:rPr>
              <w:t xml:space="preserve">Kidney Transplant Recipients </w:t>
            </w:r>
          </w:p>
        </w:tc>
        <w:tc>
          <w:tcPr>
            <w:tcW w:w="2126" w:type="dxa"/>
          </w:tcPr>
          <w:p w14:paraId="0D459CD9" w14:textId="77777777" w:rsidR="0026615C" w:rsidRDefault="0026615C" w:rsidP="001400BF">
            <w:pPr>
              <w:spacing w:line="480" w:lineRule="auto"/>
              <w:rPr>
                <w:b/>
                <w:bCs/>
              </w:rPr>
            </w:pPr>
            <w:r>
              <w:rPr>
                <w:b/>
                <w:bCs/>
              </w:rPr>
              <w:t xml:space="preserve">Healthcare Professionals </w:t>
            </w:r>
          </w:p>
        </w:tc>
        <w:tc>
          <w:tcPr>
            <w:tcW w:w="2217" w:type="dxa"/>
          </w:tcPr>
          <w:p w14:paraId="429EE8BB" w14:textId="77777777" w:rsidR="0026615C" w:rsidRDefault="0026615C" w:rsidP="001400BF">
            <w:pPr>
              <w:spacing w:line="480" w:lineRule="auto"/>
              <w:rPr>
                <w:b/>
                <w:bCs/>
              </w:rPr>
            </w:pPr>
            <w:r>
              <w:rPr>
                <w:b/>
                <w:bCs/>
              </w:rPr>
              <w:t>Significant others</w:t>
            </w:r>
          </w:p>
        </w:tc>
      </w:tr>
      <w:tr w:rsidR="0026615C" w14:paraId="35AACD13" w14:textId="77777777" w:rsidTr="001D341D">
        <w:tc>
          <w:tcPr>
            <w:tcW w:w="2547" w:type="dxa"/>
          </w:tcPr>
          <w:p w14:paraId="3F4F8973" w14:textId="77777777" w:rsidR="0026615C" w:rsidRDefault="0026615C" w:rsidP="001400BF">
            <w:pPr>
              <w:spacing w:line="480" w:lineRule="auto"/>
              <w:rPr>
                <w:b/>
                <w:bCs/>
              </w:rPr>
            </w:pPr>
            <w:r>
              <w:rPr>
                <w:b/>
                <w:bCs/>
              </w:rPr>
              <w:t>n</w:t>
            </w:r>
          </w:p>
        </w:tc>
        <w:tc>
          <w:tcPr>
            <w:tcW w:w="2126" w:type="dxa"/>
          </w:tcPr>
          <w:p w14:paraId="6958E51B" w14:textId="77777777" w:rsidR="0026615C" w:rsidRPr="005B4207" w:rsidRDefault="0026615C" w:rsidP="001400BF">
            <w:pPr>
              <w:spacing w:line="480" w:lineRule="auto"/>
            </w:pPr>
            <w:r w:rsidRPr="005B4207">
              <w:t>20</w:t>
            </w:r>
          </w:p>
        </w:tc>
        <w:tc>
          <w:tcPr>
            <w:tcW w:w="2126" w:type="dxa"/>
          </w:tcPr>
          <w:p w14:paraId="125A1EF8" w14:textId="77777777" w:rsidR="0026615C" w:rsidRPr="005B4207" w:rsidRDefault="0026615C" w:rsidP="001400BF">
            <w:pPr>
              <w:spacing w:line="480" w:lineRule="auto"/>
            </w:pPr>
            <w:r w:rsidRPr="005B4207">
              <w:t>10</w:t>
            </w:r>
          </w:p>
        </w:tc>
        <w:tc>
          <w:tcPr>
            <w:tcW w:w="2217" w:type="dxa"/>
          </w:tcPr>
          <w:p w14:paraId="2662C1A0" w14:textId="77777777" w:rsidR="0026615C" w:rsidRPr="005B4207" w:rsidRDefault="0026615C" w:rsidP="001400BF">
            <w:pPr>
              <w:spacing w:line="480" w:lineRule="auto"/>
            </w:pPr>
            <w:r w:rsidRPr="005B4207">
              <w:t>3</w:t>
            </w:r>
          </w:p>
        </w:tc>
      </w:tr>
      <w:tr w:rsidR="0026615C" w14:paraId="79ACF136" w14:textId="77777777" w:rsidTr="001D341D">
        <w:tc>
          <w:tcPr>
            <w:tcW w:w="2547" w:type="dxa"/>
          </w:tcPr>
          <w:p w14:paraId="748A2359" w14:textId="4F20590D" w:rsidR="0026615C" w:rsidRDefault="0026615C" w:rsidP="001400BF">
            <w:pPr>
              <w:spacing w:line="480" w:lineRule="auto"/>
              <w:rPr>
                <w:b/>
                <w:bCs/>
              </w:rPr>
            </w:pPr>
            <w:r>
              <w:rPr>
                <w:b/>
                <w:bCs/>
              </w:rPr>
              <w:t>Focus groups</w:t>
            </w:r>
            <w:r w:rsidR="00F37CC5">
              <w:rPr>
                <w:b/>
                <w:bCs/>
              </w:rPr>
              <w:t>, n</w:t>
            </w:r>
          </w:p>
        </w:tc>
        <w:tc>
          <w:tcPr>
            <w:tcW w:w="2126" w:type="dxa"/>
          </w:tcPr>
          <w:p w14:paraId="727AF82D" w14:textId="77777777" w:rsidR="0026615C" w:rsidRPr="005B4207" w:rsidRDefault="0026615C" w:rsidP="001400BF">
            <w:pPr>
              <w:spacing w:line="480" w:lineRule="auto"/>
            </w:pPr>
            <w:r w:rsidRPr="005B4207">
              <w:t>4</w:t>
            </w:r>
          </w:p>
        </w:tc>
        <w:tc>
          <w:tcPr>
            <w:tcW w:w="2126" w:type="dxa"/>
          </w:tcPr>
          <w:p w14:paraId="728FD772" w14:textId="77777777" w:rsidR="0026615C" w:rsidRPr="005B4207" w:rsidRDefault="0026615C" w:rsidP="001400BF">
            <w:pPr>
              <w:spacing w:line="480" w:lineRule="auto"/>
            </w:pPr>
            <w:r w:rsidRPr="005B4207">
              <w:t>1</w:t>
            </w:r>
          </w:p>
        </w:tc>
        <w:tc>
          <w:tcPr>
            <w:tcW w:w="2217" w:type="dxa"/>
          </w:tcPr>
          <w:p w14:paraId="13492F6C" w14:textId="77777777" w:rsidR="0026615C" w:rsidRPr="005B4207" w:rsidRDefault="0026615C" w:rsidP="001400BF">
            <w:pPr>
              <w:spacing w:line="480" w:lineRule="auto"/>
            </w:pPr>
            <w:r w:rsidRPr="005B4207">
              <w:t>0</w:t>
            </w:r>
          </w:p>
        </w:tc>
      </w:tr>
      <w:tr w:rsidR="0026615C" w14:paraId="3B887268" w14:textId="77777777" w:rsidTr="001D341D">
        <w:tc>
          <w:tcPr>
            <w:tcW w:w="2547" w:type="dxa"/>
          </w:tcPr>
          <w:p w14:paraId="7AAEA08C" w14:textId="5318BB2A" w:rsidR="0026615C" w:rsidRDefault="0026615C" w:rsidP="001400BF">
            <w:pPr>
              <w:spacing w:line="480" w:lineRule="auto"/>
              <w:rPr>
                <w:b/>
                <w:bCs/>
              </w:rPr>
            </w:pPr>
            <w:r>
              <w:rPr>
                <w:b/>
                <w:bCs/>
              </w:rPr>
              <w:t>One-2-one interviews</w:t>
            </w:r>
            <w:r w:rsidR="00F37CC5">
              <w:rPr>
                <w:b/>
                <w:bCs/>
              </w:rPr>
              <w:t>,</w:t>
            </w:r>
            <w:r w:rsidR="00997363">
              <w:rPr>
                <w:b/>
                <w:bCs/>
              </w:rPr>
              <w:t xml:space="preserve"> n</w:t>
            </w:r>
          </w:p>
        </w:tc>
        <w:tc>
          <w:tcPr>
            <w:tcW w:w="2126" w:type="dxa"/>
          </w:tcPr>
          <w:p w14:paraId="1852057C" w14:textId="77777777" w:rsidR="0026615C" w:rsidRPr="005B4207" w:rsidRDefault="0026615C" w:rsidP="001400BF">
            <w:pPr>
              <w:spacing w:line="480" w:lineRule="auto"/>
            </w:pPr>
            <w:r w:rsidRPr="005B4207">
              <w:t>5</w:t>
            </w:r>
          </w:p>
        </w:tc>
        <w:tc>
          <w:tcPr>
            <w:tcW w:w="2126" w:type="dxa"/>
          </w:tcPr>
          <w:p w14:paraId="1DA92BCF" w14:textId="77777777" w:rsidR="0026615C" w:rsidRPr="005B4207" w:rsidRDefault="0026615C" w:rsidP="001400BF">
            <w:pPr>
              <w:spacing w:line="480" w:lineRule="auto"/>
            </w:pPr>
            <w:r w:rsidRPr="005B4207">
              <w:t>7</w:t>
            </w:r>
          </w:p>
        </w:tc>
        <w:tc>
          <w:tcPr>
            <w:tcW w:w="2217" w:type="dxa"/>
          </w:tcPr>
          <w:p w14:paraId="7E025BCB" w14:textId="77777777" w:rsidR="0026615C" w:rsidRPr="005B4207" w:rsidRDefault="0026615C" w:rsidP="001400BF">
            <w:pPr>
              <w:spacing w:line="480" w:lineRule="auto"/>
            </w:pPr>
            <w:r w:rsidRPr="005B4207">
              <w:t>3</w:t>
            </w:r>
          </w:p>
        </w:tc>
      </w:tr>
      <w:tr w:rsidR="0026615C" w14:paraId="42414801" w14:textId="77777777" w:rsidTr="001D341D">
        <w:tc>
          <w:tcPr>
            <w:tcW w:w="2547" w:type="dxa"/>
          </w:tcPr>
          <w:p w14:paraId="7C99DCC4" w14:textId="77777777" w:rsidR="0026615C" w:rsidRDefault="0026615C" w:rsidP="001400BF">
            <w:pPr>
              <w:spacing w:line="480" w:lineRule="auto"/>
              <w:rPr>
                <w:b/>
                <w:bCs/>
              </w:rPr>
            </w:pPr>
            <w:r>
              <w:rPr>
                <w:b/>
                <w:bCs/>
              </w:rPr>
              <w:t>Females, %</w:t>
            </w:r>
          </w:p>
        </w:tc>
        <w:tc>
          <w:tcPr>
            <w:tcW w:w="2126" w:type="dxa"/>
          </w:tcPr>
          <w:p w14:paraId="35B73501" w14:textId="77777777" w:rsidR="0026615C" w:rsidRPr="005B4207" w:rsidRDefault="0026615C" w:rsidP="001400BF">
            <w:pPr>
              <w:spacing w:line="480" w:lineRule="auto"/>
            </w:pPr>
            <w:r w:rsidRPr="005B4207">
              <w:t>55</w:t>
            </w:r>
          </w:p>
        </w:tc>
        <w:tc>
          <w:tcPr>
            <w:tcW w:w="2126" w:type="dxa"/>
          </w:tcPr>
          <w:p w14:paraId="50792D1F" w14:textId="77777777" w:rsidR="0026615C" w:rsidRPr="005B4207" w:rsidRDefault="0026615C" w:rsidP="001400BF">
            <w:pPr>
              <w:spacing w:line="480" w:lineRule="auto"/>
            </w:pPr>
            <w:r w:rsidRPr="005B4207">
              <w:t>80</w:t>
            </w:r>
          </w:p>
        </w:tc>
        <w:tc>
          <w:tcPr>
            <w:tcW w:w="2217" w:type="dxa"/>
          </w:tcPr>
          <w:p w14:paraId="53C4DC39" w14:textId="77777777" w:rsidR="0026615C" w:rsidRPr="005B4207" w:rsidRDefault="0026615C" w:rsidP="001400BF">
            <w:pPr>
              <w:spacing w:line="480" w:lineRule="auto"/>
            </w:pPr>
            <w:r w:rsidRPr="005B4207">
              <w:t>100</w:t>
            </w:r>
          </w:p>
        </w:tc>
      </w:tr>
      <w:tr w:rsidR="0026615C" w14:paraId="38988B48" w14:textId="77777777" w:rsidTr="001D341D">
        <w:tc>
          <w:tcPr>
            <w:tcW w:w="2547" w:type="dxa"/>
          </w:tcPr>
          <w:p w14:paraId="5D742B46" w14:textId="77777777" w:rsidR="0026615C" w:rsidRDefault="0026615C" w:rsidP="001400BF">
            <w:pPr>
              <w:spacing w:line="480" w:lineRule="auto"/>
              <w:rPr>
                <w:b/>
                <w:bCs/>
              </w:rPr>
            </w:pPr>
            <w:r>
              <w:rPr>
                <w:b/>
                <w:bCs/>
              </w:rPr>
              <w:t>Age range, years</w:t>
            </w:r>
          </w:p>
        </w:tc>
        <w:tc>
          <w:tcPr>
            <w:tcW w:w="2126" w:type="dxa"/>
          </w:tcPr>
          <w:p w14:paraId="4CACFF42" w14:textId="77777777" w:rsidR="0026615C" w:rsidRPr="005B4207" w:rsidRDefault="0026615C" w:rsidP="001400BF">
            <w:pPr>
              <w:spacing w:line="480" w:lineRule="auto"/>
            </w:pPr>
            <w:r w:rsidRPr="005B4207">
              <w:t>33-73</w:t>
            </w:r>
          </w:p>
        </w:tc>
        <w:tc>
          <w:tcPr>
            <w:tcW w:w="2126" w:type="dxa"/>
          </w:tcPr>
          <w:p w14:paraId="23C97739" w14:textId="77777777" w:rsidR="0026615C" w:rsidRPr="005B4207" w:rsidRDefault="0026615C" w:rsidP="001400BF">
            <w:pPr>
              <w:spacing w:line="480" w:lineRule="auto"/>
            </w:pPr>
            <w:r w:rsidRPr="005B4207">
              <w:t>-</w:t>
            </w:r>
          </w:p>
        </w:tc>
        <w:tc>
          <w:tcPr>
            <w:tcW w:w="2217" w:type="dxa"/>
          </w:tcPr>
          <w:p w14:paraId="02EF7CEF" w14:textId="77777777" w:rsidR="0026615C" w:rsidRPr="005B4207" w:rsidRDefault="0026615C" w:rsidP="001400BF">
            <w:pPr>
              <w:spacing w:line="480" w:lineRule="auto"/>
            </w:pPr>
            <w:r w:rsidRPr="005B4207">
              <w:t>-</w:t>
            </w:r>
          </w:p>
        </w:tc>
      </w:tr>
      <w:tr w:rsidR="0026615C" w14:paraId="6FA8C3CE" w14:textId="77777777" w:rsidTr="001D341D">
        <w:tc>
          <w:tcPr>
            <w:tcW w:w="2547" w:type="dxa"/>
          </w:tcPr>
          <w:p w14:paraId="4F241450" w14:textId="77777777" w:rsidR="0026615C" w:rsidRDefault="0026615C" w:rsidP="001400BF">
            <w:pPr>
              <w:spacing w:line="480" w:lineRule="auto"/>
              <w:rPr>
                <w:b/>
                <w:bCs/>
              </w:rPr>
            </w:pPr>
            <w:r>
              <w:rPr>
                <w:b/>
                <w:bCs/>
              </w:rPr>
              <w:t>Non-white ethnic background, %</w:t>
            </w:r>
          </w:p>
        </w:tc>
        <w:tc>
          <w:tcPr>
            <w:tcW w:w="2126" w:type="dxa"/>
          </w:tcPr>
          <w:p w14:paraId="362C12A9" w14:textId="77777777" w:rsidR="0026615C" w:rsidRPr="005B4207" w:rsidRDefault="0026615C" w:rsidP="001400BF">
            <w:pPr>
              <w:spacing w:line="480" w:lineRule="auto"/>
            </w:pPr>
            <w:r w:rsidRPr="005B4207">
              <w:t>40</w:t>
            </w:r>
          </w:p>
        </w:tc>
        <w:tc>
          <w:tcPr>
            <w:tcW w:w="2126" w:type="dxa"/>
          </w:tcPr>
          <w:p w14:paraId="53D4AFD1" w14:textId="77777777" w:rsidR="0026615C" w:rsidRPr="005B4207" w:rsidRDefault="0026615C" w:rsidP="001400BF">
            <w:pPr>
              <w:spacing w:line="480" w:lineRule="auto"/>
            </w:pPr>
            <w:r w:rsidRPr="005B4207">
              <w:t>10</w:t>
            </w:r>
          </w:p>
        </w:tc>
        <w:tc>
          <w:tcPr>
            <w:tcW w:w="2217" w:type="dxa"/>
          </w:tcPr>
          <w:p w14:paraId="2169B746" w14:textId="77777777" w:rsidR="0026615C" w:rsidRPr="005B4207" w:rsidRDefault="0026615C" w:rsidP="001400BF">
            <w:pPr>
              <w:spacing w:line="480" w:lineRule="auto"/>
            </w:pPr>
            <w:r w:rsidRPr="005B4207">
              <w:t>0</w:t>
            </w:r>
          </w:p>
        </w:tc>
      </w:tr>
    </w:tbl>
    <w:p w14:paraId="4F30DFDF" w14:textId="77777777" w:rsidR="007337C2" w:rsidRDefault="007337C2" w:rsidP="001400BF">
      <w:pPr>
        <w:spacing w:line="480" w:lineRule="auto"/>
        <w:rPr>
          <w:b/>
          <w:bCs/>
        </w:rPr>
      </w:pPr>
    </w:p>
    <w:p w14:paraId="0A68A7E1" w14:textId="08DE3200" w:rsidR="00151823" w:rsidRPr="00151823" w:rsidRDefault="00151823" w:rsidP="001400BF">
      <w:pPr>
        <w:spacing w:line="480" w:lineRule="auto"/>
        <w:rPr>
          <w:b/>
          <w:bCs/>
        </w:rPr>
      </w:pPr>
      <w:r w:rsidRPr="00151823">
        <w:rPr>
          <w:b/>
          <w:bCs/>
        </w:rPr>
        <w:lastRenderedPageBreak/>
        <w:t>Findings</w:t>
      </w:r>
    </w:p>
    <w:p w14:paraId="7765A531" w14:textId="4846E028" w:rsidR="00E4447B" w:rsidRDefault="00885112" w:rsidP="001400BF">
      <w:pPr>
        <w:spacing w:line="480" w:lineRule="auto"/>
      </w:pPr>
      <w:r>
        <w:t xml:space="preserve">In this section we consider </w:t>
      </w:r>
      <w:r w:rsidR="00CA29E3">
        <w:t>the</w:t>
      </w:r>
      <w:r>
        <w:t xml:space="preserve"> main topics</w:t>
      </w:r>
      <w:r w:rsidR="00CA29E3">
        <w:t xml:space="preserve"> of </w:t>
      </w:r>
      <w:r w:rsidR="00EF351C">
        <w:t>health literacy and health communication</w:t>
      </w:r>
      <w:r w:rsidR="007B7CC7">
        <w:t xml:space="preserve"> in developing self-care</w:t>
      </w:r>
      <w:r>
        <w:t xml:space="preserve"> </w:t>
      </w:r>
      <w:r w:rsidR="00521FCF">
        <w:t>which</w:t>
      </w:r>
      <w:r w:rsidR="004957E0">
        <w:t xml:space="preserve"> correspond</w:t>
      </w:r>
      <w:r w:rsidR="00521FCF">
        <w:t>s</w:t>
      </w:r>
      <w:r w:rsidR="004957E0">
        <w:t xml:space="preserve"> with major themes emerging from our analysis of the data.  </w:t>
      </w:r>
      <w:r w:rsidR="008328C8">
        <w:t>The</w:t>
      </w:r>
      <w:r w:rsidR="00B21A3E">
        <w:t xml:space="preserve"> </w:t>
      </w:r>
      <w:r w:rsidR="00E14973">
        <w:t xml:space="preserve">emerging </w:t>
      </w:r>
      <w:r w:rsidR="008C6ECA">
        <w:t>themes</w:t>
      </w:r>
      <w:r w:rsidR="00060DF9">
        <w:t xml:space="preserve"> consider</w:t>
      </w:r>
      <w:r w:rsidR="00123DE1">
        <w:t xml:space="preserve"> </w:t>
      </w:r>
      <w:r w:rsidR="002635A9">
        <w:t>KTRs</w:t>
      </w:r>
      <w:r w:rsidR="003E7CAA">
        <w:t xml:space="preserve"> and healthcare </w:t>
      </w:r>
      <w:r w:rsidR="00702F49">
        <w:t>professionals’</w:t>
      </w:r>
      <w:r w:rsidR="002635A9">
        <w:t xml:space="preserve"> perspectives</w:t>
      </w:r>
      <w:r w:rsidR="001E4B0A">
        <w:t xml:space="preserve"> o</w:t>
      </w:r>
      <w:r w:rsidR="00B91F8D">
        <w:t xml:space="preserve">f </w:t>
      </w:r>
      <w:r w:rsidR="0024326E">
        <w:t xml:space="preserve">the barriers and drivers to </w:t>
      </w:r>
      <w:r w:rsidR="00757DC6">
        <w:t>effective health communication and literacy</w:t>
      </w:r>
      <w:r w:rsidR="00A80D55">
        <w:t>.</w:t>
      </w:r>
    </w:p>
    <w:p w14:paraId="41FF998A" w14:textId="0A717A04" w:rsidR="00E4447B" w:rsidRDefault="009D0354" w:rsidP="001400BF">
      <w:pPr>
        <w:spacing w:line="480" w:lineRule="auto"/>
        <w:rPr>
          <w:i/>
          <w:iCs/>
        </w:rPr>
      </w:pPr>
      <w:r>
        <w:rPr>
          <w:i/>
          <w:iCs/>
        </w:rPr>
        <w:t>KTRs perc</w:t>
      </w:r>
      <w:r w:rsidR="003E7CAA">
        <w:rPr>
          <w:i/>
          <w:iCs/>
        </w:rPr>
        <w:t>eived b</w:t>
      </w:r>
      <w:r w:rsidR="00E4447B" w:rsidRPr="009C3EE7">
        <w:rPr>
          <w:i/>
          <w:iCs/>
        </w:rPr>
        <w:t>arriers</w:t>
      </w:r>
      <w:r w:rsidR="00E80265">
        <w:rPr>
          <w:i/>
          <w:iCs/>
        </w:rPr>
        <w:t xml:space="preserve"> to </w:t>
      </w:r>
      <w:r w:rsidR="00A464F1">
        <w:rPr>
          <w:i/>
          <w:iCs/>
        </w:rPr>
        <w:t>effective health communication</w:t>
      </w:r>
      <w:r w:rsidR="00D02302">
        <w:rPr>
          <w:i/>
          <w:iCs/>
        </w:rPr>
        <w:t xml:space="preserve"> </w:t>
      </w:r>
      <w:r w:rsidR="00595554">
        <w:rPr>
          <w:i/>
          <w:iCs/>
        </w:rPr>
        <w:t xml:space="preserve">and literacy </w:t>
      </w:r>
      <w:r w:rsidR="00D02302">
        <w:rPr>
          <w:i/>
          <w:iCs/>
        </w:rPr>
        <w:t>for self-care</w:t>
      </w:r>
    </w:p>
    <w:p w14:paraId="5B2CC6DC" w14:textId="130564EE" w:rsidR="004D0722" w:rsidRPr="00D73A06" w:rsidRDefault="00680082" w:rsidP="001400BF">
      <w:pPr>
        <w:spacing w:line="480" w:lineRule="auto"/>
      </w:pPr>
      <w:r>
        <w:t>Simple i</w:t>
      </w:r>
      <w:r w:rsidR="00D73A06" w:rsidRPr="00D73A06">
        <w:t xml:space="preserve">nformation </w:t>
      </w:r>
      <w:r w:rsidR="009A29E5">
        <w:t xml:space="preserve">provision </w:t>
      </w:r>
      <w:r w:rsidR="00D73A06" w:rsidRPr="00D73A06">
        <w:t xml:space="preserve">doesn’t </w:t>
      </w:r>
      <w:r w:rsidR="009463F7">
        <w:t xml:space="preserve">always </w:t>
      </w:r>
      <w:r w:rsidR="00D73A06" w:rsidRPr="00D73A06">
        <w:t xml:space="preserve">translate into </w:t>
      </w:r>
      <w:r w:rsidR="00527F95">
        <w:t xml:space="preserve">following guidance in </w:t>
      </w:r>
      <w:r w:rsidR="009463F7">
        <w:t>KTR’s</w:t>
      </w:r>
      <w:r w:rsidR="00D73A06" w:rsidRPr="00D73A06">
        <w:t xml:space="preserve"> everyday lives</w:t>
      </w:r>
      <w:r w:rsidR="00527F95">
        <w:t xml:space="preserve">. </w:t>
      </w:r>
      <w:r w:rsidR="00B34999">
        <w:t>This was expressed by Joe in speaking to the nature of advice patients receive in post</w:t>
      </w:r>
      <w:r w:rsidR="007841E6">
        <w:t xml:space="preserve">-transplant clinics. </w:t>
      </w:r>
      <w:r w:rsidR="00527F95">
        <w:t xml:space="preserve"> </w:t>
      </w:r>
    </w:p>
    <w:p w14:paraId="39A5E9BD" w14:textId="16C26E98" w:rsidR="00907F08" w:rsidRDefault="00907F08" w:rsidP="001400BF">
      <w:pPr>
        <w:spacing w:line="480" w:lineRule="auto"/>
        <w:ind w:left="720"/>
        <w:rPr>
          <w:i/>
          <w:iCs/>
        </w:rPr>
      </w:pPr>
      <w:r w:rsidRPr="00907F08">
        <w:rPr>
          <w:i/>
          <w:iCs/>
        </w:rPr>
        <w:t>“</w:t>
      </w:r>
      <w:r w:rsidR="00680082" w:rsidRPr="007841E6">
        <w:rPr>
          <w:i/>
          <w:iCs/>
        </w:rPr>
        <w:t xml:space="preserve">It’s all well and good having advice but I don’t think it works. Most people will listen to the advice, they’ll go </w:t>
      </w:r>
      <w:proofErr w:type="gramStart"/>
      <w:r w:rsidR="00680082" w:rsidRPr="007841E6">
        <w:rPr>
          <w:i/>
          <w:iCs/>
        </w:rPr>
        <w:t>away</w:t>
      </w:r>
      <w:proofErr w:type="gramEnd"/>
      <w:r w:rsidR="00680082" w:rsidRPr="007841E6">
        <w:rPr>
          <w:i/>
          <w:iCs/>
        </w:rPr>
        <w:t xml:space="preserve"> and they’ll do nothing, or they’ll feel really inspired for a very short period of time and then they just give it up. And it looks great on paper but it just doesn’t work</w:t>
      </w:r>
      <w:r w:rsidRPr="00907F08">
        <w:rPr>
          <w:i/>
          <w:iCs/>
        </w:rPr>
        <w:t>”</w:t>
      </w:r>
      <w:r w:rsidR="0045293E" w:rsidRPr="007841E6">
        <w:rPr>
          <w:i/>
          <w:iCs/>
        </w:rPr>
        <w:t xml:space="preserve"> </w:t>
      </w:r>
      <w:r w:rsidR="0045293E" w:rsidRPr="00EF2D7B">
        <w:t xml:space="preserve">Joe, </w:t>
      </w:r>
      <w:r w:rsidR="003D17BC" w:rsidRPr="00EF2D7B">
        <w:t>51 years</w:t>
      </w:r>
      <w:r w:rsidR="0010390C">
        <w:t xml:space="preserve"> old</w:t>
      </w:r>
      <w:r w:rsidR="003D17BC" w:rsidRPr="00EF2D7B">
        <w:t>.</w:t>
      </w:r>
      <w:r w:rsidR="003D17BC" w:rsidRPr="007841E6">
        <w:rPr>
          <w:i/>
          <w:iCs/>
        </w:rPr>
        <w:t xml:space="preserve"> </w:t>
      </w:r>
    </w:p>
    <w:p w14:paraId="3C198992" w14:textId="65857F14" w:rsidR="008B63CD" w:rsidRPr="00213EFE" w:rsidRDefault="00D72629" w:rsidP="001400BF">
      <w:pPr>
        <w:spacing w:line="480" w:lineRule="auto"/>
      </w:pPr>
      <w:r>
        <w:t xml:space="preserve">Information provision needs to be accompanied by reasonings that make sense to the recipient to lead to effective understanding and an ability to follow the advice </w:t>
      </w:r>
      <w:r w:rsidR="00367111">
        <w:t xml:space="preserve">as </w:t>
      </w:r>
      <w:r w:rsidR="00CD4824">
        <w:t xml:space="preserve">stated </w:t>
      </w:r>
      <w:r>
        <w:t>by Anjali</w:t>
      </w:r>
      <w:r w:rsidR="00367111">
        <w:t xml:space="preserve"> below. </w:t>
      </w:r>
    </w:p>
    <w:p w14:paraId="64658265" w14:textId="5C7351D5" w:rsidR="008B63CD" w:rsidRDefault="008B63CD" w:rsidP="001400BF">
      <w:pPr>
        <w:spacing w:line="480" w:lineRule="auto"/>
        <w:ind w:left="720"/>
        <w:rPr>
          <w:i/>
          <w:iCs/>
        </w:rPr>
      </w:pPr>
      <w:r w:rsidRPr="008B63CD">
        <w:rPr>
          <w:i/>
          <w:iCs/>
        </w:rPr>
        <w:t>“You should be faced with, you know, the problems you have and they should be communicated, and then how you deal with those problems it should be key and then really explained why those things matter. It’s not just about something on a sheet, make sure you don’t do this, don’t do, it should be explained so there’s a real understanding”.</w:t>
      </w:r>
    </w:p>
    <w:p w14:paraId="6020C655" w14:textId="5AA38E44" w:rsidR="008B63CD" w:rsidRDefault="00213EFE" w:rsidP="001400BF">
      <w:pPr>
        <w:spacing w:line="480" w:lineRule="auto"/>
        <w:ind w:left="720"/>
      </w:pPr>
      <w:r w:rsidRPr="00213EFE">
        <w:t>Anjali, 53 years old</w:t>
      </w:r>
    </w:p>
    <w:p w14:paraId="4F95B419" w14:textId="2A3ACA6C" w:rsidR="00367111" w:rsidRPr="00213EFE" w:rsidRDefault="0041743A" w:rsidP="001400BF">
      <w:pPr>
        <w:spacing w:line="480" w:lineRule="auto"/>
      </w:pPr>
      <w:r>
        <w:t xml:space="preserve">Anjali </w:t>
      </w:r>
      <w:r w:rsidR="00663359">
        <w:t xml:space="preserve">exemplifies </w:t>
      </w:r>
      <w:r>
        <w:t xml:space="preserve">the </w:t>
      </w:r>
      <w:r w:rsidR="005B5C6A">
        <w:t>challenges patients face</w:t>
      </w:r>
      <w:r>
        <w:t xml:space="preserve"> </w:t>
      </w:r>
      <w:r w:rsidR="005B5C6A">
        <w:t>in</w:t>
      </w:r>
      <w:r>
        <w:t xml:space="preserve"> accessing </w:t>
      </w:r>
      <w:r w:rsidR="005A67D9">
        <w:t>lifestyle</w:t>
      </w:r>
      <w:r>
        <w:t xml:space="preserve"> advice </w:t>
      </w:r>
      <w:r w:rsidR="0006582D">
        <w:t xml:space="preserve">by giving </w:t>
      </w:r>
      <w:r w:rsidR="00663359">
        <w:t>an example</w:t>
      </w:r>
      <w:r w:rsidR="000A10E9">
        <w:t xml:space="preserve"> </w:t>
      </w:r>
      <w:r w:rsidR="0006582D">
        <w:t>of</w:t>
      </w:r>
      <w:r w:rsidR="00382771">
        <w:t xml:space="preserve"> her </w:t>
      </w:r>
      <w:r w:rsidR="004862D5">
        <w:t>experience</w:t>
      </w:r>
      <w:r w:rsidR="00382771">
        <w:t xml:space="preserve"> with a health professional during a post-transplant consultation.  </w:t>
      </w:r>
    </w:p>
    <w:p w14:paraId="7D5E4D0F" w14:textId="77777777" w:rsidR="00FA007E" w:rsidRDefault="002B5C81" w:rsidP="001400BF">
      <w:pPr>
        <w:spacing w:line="480" w:lineRule="auto"/>
        <w:ind w:left="720"/>
        <w:rPr>
          <w:i/>
          <w:iCs/>
        </w:rPr>
      </w:pPr>
      <w:r>
        <w:rPr>
          <w:i/>
          <w:iCs/>
        </w:rPr>
        <w:lastRenderedPageBreak/>
        <w:t>“</w:t>
      </w:r>
      <w:r w:rsidR="00BE6C49" w:rsidRPr="00BE6C49">
        <w:rPr>
          <w:i/>
          <w:iCs/>
        </w:rPr>
        <w:t xml:space="preserve">I did ask </w:t>
      </w:r>
      <w:r w:rsidR="00DE77BE">
        <w:rPr>
          <w:i/>
          <w:iCs/>
        </w:rPr>
        <w:t>C</w:t>
      </w:r>
      <w:r w:rsidR="00BE6C49" w:rsidRPr="00BE6C49">
        <w:rPr>
          <w:i/>
          <w:iCs/>
        </w:rPr>
        <w:t>onsultant</w:t>
      </w:r>
      <w:r w:rsidR="00751017">
        <w:rPr>
          <w:i/>
          <w:iCs/>
        </w:rPr>
        <w:t>,</w:t>
      </w:r>
      <w:r w:rsidR="00DE77BE">
        <w:rPr>
          <w:i/>
          <w:iCs/>
        </w:rPr>
        <w:t xml:space="preserve"> </w:t>
      </w:r>
      <w:r w:rsidR="00751017">
        <w:rPr>
          <w:i/>
          <w:iCs/>
        </w:rPr>
        <w:t>…</w:t>
      </w:r>
      <w:r w:rsidR="00BE6C49" w:rsidRPr="00BE6C49">
        <w:rPr>
          <w:i/>
          <w:iCs/>
        </w:rPr>
        <w:t xml:space="preserve">when I could start running after the transplant because I thought that’s quite physical and I didn’t want to obviously damage anything and his answer was “just walk”. He didn’t say “don’t run and this is the reason you shouldn’t run”, just said “walk for 45 minutes, that should be enough for you”. So that’s what I did, I didn’t question him further </w:t>
      </w:r>
      <w:r w:rsidR="00F65299">
        <w:rPr>
          <w:i/>
          <w:iCs/>
        </w:rPr>
        <w:t>..</w:t>
      </w:r>
      <w:r w:rsidR="00BE6C49" w:rsidRPr="00BE6C49">
        <w:rPr>
          <w:i/>
          <w:iCs/>
        </w:rPr>
        <w:t xml:space="preserve">. And when I got home I </w:t>
      </w:r>
      <w:proofErr w:type="gramStart"/>
      <w:r w:rsidR="00BE6C49" w:rsidRPr="00BE6C49">
        <w:rPr>
          <w:i/>
          <w:iCs/>
        </w:rPr>
        <w:t>said</w:t>
      </w:r>
      <w:proofErr w:type="gramEnd"/>
      <w:r w:rsidR="00BE6C49" w:rsidRPr="00BE6C49">
        <w:rPr>
          <w:i/>
          <w:iCs/>
        </w:rPr>
        <w:t xml:space="preserve"> “oh why didn’t he answer my question?” You feel quite rude to be asking, you know, something the doctor’s told you and then you’re going “oh but why can’t you do it?” It’s like you’re questioning their profession basically, you know. So I didn’t ask the question, looked on the internet, got some ideas but wasn’t still sure because everyone was saying a different thing. But I didn’t get any advice other than me asking that question to a consultant, “when can I start running or can I start running now?”</w:t>
      </w:r>
      <w:r w:rsidR="00CC4F67">
        <w:rPr>
          <w:i/>
          <w:iCs/>
        </w:rPr>
        <w:t xml:space="preserve"> </w:t>
      </w:r>
    </w:p>
    <w:p w14:paraId="150E67A4" w14:textId="7E938B92" w:rsidR="00BE6C49" w:rsidRDefault="00CC4F67" w:rsidP="001400BF">
      <w:pPr>
        <w:spacing w:line="480" w:lineRule="auto"/>
        <w:ind w:left="720"/>
      </w:pPr>
      <w:r w:rsidRPr="00CC4F67">
        <w:t>Anjali, 53 years</w:t>
      </w:r>
      <w:r w:rsidR="0010390C">
        <w:t xml:space="preserve"> old.</w:t>
      </w:r>
    </w:p>
    <w:p w14:paraId="40475288" w14:textId="327EBE17" w:rsidR="00EC70CF" w:rsidRDefault="00F9620B" w:rsidP="001400BF">
      <w:pPr>
        <w:spacing w:line="480" w:lineRule="auto"/>
      </w:pPr>
      <w:r>
        <w:t xml:space="preserve">Anjali illustrates </w:t>
      </w:r>
      <w:r w:rsidR="00D108FD">
        <w:t>how</w:t>
      </w:r>
      <w:r w:rsidR="004862D5">
        <w:t xml:space="preserve"> </w:t>
      </w:r>
      <w:r w:rsidR="003B4C94">
        <w:t xml:space="preserve">this </w:t>
      </w:r>
      <w:r w:rsidR="004862D5">
        <w:t>patient-professional communication</w:t>
      </w:r>
      <w:r>
        <w:t xml:space="preserve"> </w:t>
      </w:r>
      <w:r w:rsidR="00243006">
        <w:t>neither</w:t>
      </w:r>
      <w:r w:rsidR="00D108FD">
        <w:t xml:space="preserve"> attend</w:t>
      </w:r>
      <w:r w:rsidR="00243006">
        <w:t>s</w:t>
      </w:r>
      <w:r w:rsidR="00D108FD">
        <w:t xml:space="preserve"> to patient</w:t>
      </w:r>
      <w:r>
        <w:t xml:space="preserve"> reasoning</w:t>
      </w:r>
      <w:r w:rsidR="00732B9E">
        <w:t xml:space="preserve"> </w:t>
      </w:r>
      <w:r w:rsidR="00243006">
        <w:t>nor</w:t>
      </w:r>
      <w:r w:rsidR="00732B9E">
        <w:t xml:space="preserve"> acknowledg</w:t>
      </w:r>
      <w:r w:rsidR="00243006">
        <w:t>es</w:t>
      </w:r>
      <w:r w:rsidR="00732B9E">
        <w:t xml:space="preserve"> their questions as</w:t>
      </w:r>
      <w:r w:rsidR="00091F2A">
        <w:t xml:space="preserve"> significant</w:t>
      </w:r>
      <w:r w:rsidR="00243006">
        <w:t>,</w:t>
      </w:r>
      <w:r w:rsidR="000E2638">
        <w:t xml:space="preserve"> </w:t>
      </w:r>
      <w:r w:rsidR="00243006">
        <w:t xml:space="preserve">subsequently </w:t>
      </w:r>
      <w:r w:rsidR="004A050F">
        <w:t>exclud</w:t>
      </w:r>
      <w:r w:rsidR="00A3032E">
        <w:t xml:space="preserve">ing </w:t>
      </w:r>
      <w:r w:rsidR="00081CD6">
        <w:t>her</w:t>
      </w:r>
      <w:r w:rsidR="004A050F">
        <w:t xml:space="preserve"> from the interaction</w:t>
      </w:r>
      <w:r w:rsidR="005F1E39">
        <w:t xml:space="preserve">, serving </w:t>
      </w:r>
      <w:r w:rsidR="00A3032E">
        <w:t>to</w:t>
      </w:r>
      <w:r w:rsidR="00B022C1">
        <w:t xml:space="preserve"> </w:t>
      </w:r>
      <w:r w:rsidR="00A3032E">
        <w:t>reinforce</w:t>
      </w:r>
      <w:r w:rsidR="00B022C1">
        <w:t xml:space="preserve"> a lack of understanding.  </w:t>
      </w:r>
      <w:r w:rsidR="000E2638">
        <w:t xml:space="preserve">The professional here </w:t>
      </w:r>
      <w:r w:rsidR="00E87703">
        <w:t>fails</w:t>
      </w:r>
      <w:r w:rsidR="000E2638">
        <w:t xml:space="preserve"> to capitalise on an opportunity to engage and develop</w:t>
      </w:r>
      <w:r w:rsidR="00081CD6">
        <w:t xml:space="preserve"> </w:t>
      </w:r>
      <w:r w:rsidR="005F1E39">
        <w:t>Anjali’s</w:t>
      </w:r>
      <w:r w:rsidR="000E2638">
        <w:t xml:space="preserve"> </w:t>
      </w:r>
      <w:r w:rsidR="00081CD6">
        <w:t>health</w:t>
      </w:r>
      <w:r w:rsidR="000E2638">
        <w:t xml:space="preserve"> literacy</w:t>
      </w:r>
      <w:r w:rsidR="000D1829">
        <w:t xml:space="preserve"> and capacity to self-care. </w:t>
      </w:r>
    </w:p>
    <w:p w14:paraId="5C5F9FD8" w14:textId="77777777" w:rsidR="003E7CAA" w:rsidRDefault="003E7CAA" w:rsidP="001400BF">
      <w:pPr>
        <w:spacing w:line="480" w:lineRule="auto"/>
        <w:rPr>
          <w:i/>
          <w:iCs/>
        </w:rPr>
      </w:pPr>
    </w:p>
    <w:p w14:paraId="13FDB0AF" w14:textId="087F8BAD" w:rsidR="00D108FD" w:rsidRDefault="003E7CAA" w:rsidP="001400BF">
      <w:pPr>
        <w:spacing w:line="480" w:lineRule="auto"/>
        <w:rPr>
          <w:i/>
          <w:iCs/>
        </w:rPr>
      </w:pPr>
      <w:r>
        <w:rPr>
          <w:i/>
          <w:iCs/>
        </w:rPr>
        <w:t xml:space="preserve">Healthcare professional </w:t>
      </w:r>
      <w:r w:rsidR="00C118A2">
        <w:rPr>
          <w:i/>
          <w:iCs/>
        </w:rPr>
        <w:t>possible</w:t>
      </w:r>
      <w:r>
        <w:rPr>
          <w:i/>
          <w:iCs/>
        </w:rPr>
        <w:t xml:space="preserve"> </w:t>
      </w:r>
      <w:r w:rsidR="00C118A2">
        <w:rPr>
          <w:i/>
          <w:iCs/>
        </w:rPr>
        <w:t>drivers</w:t>
      </w:r>
      <w:r>
        <w:rPr>
          <w:i/>
          <w:iCs/>
        </w:rPr>
        <w:t xml:space="preserve"> to effective health communication and literacy for self-care</w:t>
      </w:r>
    </w:p>
    <w:p w14:paraId="201E155C" w14:textId="2F2EAD75" w:rsidR="007D4A98" w:rsidRPr="007D4A98" w:rsidRDefault="00D9556F" w:rsidP="001400BF">
      <w:pPr>
        <w:spacing w:line="480" w:lineRule="auto"/>
      </w:pPr>
      <w:r>
        <w:t>From a</w:t>
      </w:r>
      <w:r w:rsidR="00DE593E">
        <w:t xml:space="preserve"> h</w:t>
      </w:r>
      <w:r w:rsidR="00952384">
        <w:t>ealthcare professional</w:t>
      </w:r>
      <w:r>
        <w:t xml:space="preserve"> perspective, a transplant nurse</w:t>
      </w:r>
      <w:r w:rsidR="00952384">
        <w:t xml:space="preserve"> recognise</w:t>
      </w:r>
      <w:r>
        <w:t>s</w:t>
      </w:r>
      <w:r w:rsidR="00952384">
        <w:t xml:space="preserve"> </w:t>
      </w:r>
      <w:r w:rsidR="00071CC0">
        <w:t>how</w:t>
      </w:r>
      <w:r w:rsidR="00952384">
        <w:t xml:space="preserve"> </w:t>
      </w:r>
      <w:r w:rsidR="005612C7">
        <w:t>information</w:t>
      </w:r>
      <w:r w:rsidR="00952384">
        <w:t xml:space="preserve"> and </w:t>
      </w:r>
      <w:r w:rsidR="00793B79">
        <w:t xml:space="preserve">medical </w:t>
      </w:r>
      <w:r w:rsidR="00952384">
        <w:t>advice are not themselves</w:t>
      </w:r>
      <w:r w:rsidR="00071CC0">
        <w:t xml:space="preserve"> sufficient</w:t>
      </w:r>
      <w:r w:rsidR="00952384">
        <w:t xml:space="preserve"> </w:t>
      </w:r>
      <w:r w:rsidR="00071CC0">
        <w:t>for</w:t>
      </w:r>
      <w:r w:rsidR="00952384">
        <w:t xml:space="preserve"> developing health literacy and understanding. </w:t>
      </w:r>
      <w:r w:rsidR="00BB56D9">
        <w:t>The transplant nurse</w:t>
      </w:r>
      <w:r w:rsidR="00793B79">
        <w:t xml:space="preserve"> goes onto express </w:t>
      </w:r>
      <w:r w:rsidR="00E54E3E">
        <w:t>how a</w:t>
      </w:r>
      <w:r w:rsidR="00793B79">
        <w:t xml:space="preserve"> deeper engagement </w:t>
      </w:r>
      <w:r w:rsidR="00E54E3E">
        <w:t>with</w:t>
      </w:r>
      <w:r w:rsidR="00793B79">
        <w:t xml:space="preserve"> </w:t>
      </w:r>
      <w:r w:rsidR="00E54E3E">
        <w:t xml:space="preserve">the recipient’s </w:t>
      </w:r>
      <w:r w:rsidR="00793B79">
        <w:t>own understanding and assumptions</w:t>
      </w:r>
      <w:r w:rsidR="00E54E3E">
        <w:t xml:space="preserve"> are </w:t>
      </w:r>
      <w:r w:rsidR="00153F04">
        <w:t>needed</w:t>
      </w:r>
      <w:r w:rsidR="00E72E63">
        <w:t xml:space="preserve"> to enhance </w:t>
      </w:r>
      <w:r w:rsidR="00111ADA">
        <w:t>their health literacy</w:t>
      </w:r>
      <w:r w:rsidR="00786329">
        <w:t xml:space="preserve">. She </w:t>
      </w:r>
      <w:r w:rsidR="00F809AD">
        <w:t>assert</w:t>
      </w:r>
      <w:r w:rsidR="007F3BE5">
        <w:t>s</w:t>
      </w:r>
      <w:r w:rsidR="00F809AD">
        <w:t>:</w:t>
      </w:r>
      <w:r w:rsidR="00793B79">
        <w:t xml:space="preserve">  </w:t>
      </w:r>
    </w:p>
    <w:p w14:paraId="518F7B71" w14:textId="403AD9D7" w:rsidR="007D4A98" w:rsidRPr="007D4A98" w:rsidRDefault="007D4A98" w:rsidP="001400BF">
      <w:pPr>
        <w:spacing w:line="480" w:lineRule="auto"/>
        <w:ind w:left="720"/>
        <w:rPr>
          <w:i/>
          <w:iCs/>
        </w:rPr>
      </w:pPr>
      <w:r w:rsidRPr="007D4A98">
        <w:rPr>
          <w:i/>
          <w:iCs/>
        </w:rPr>
        <w:t xml:space="preserve">Okay, so there is this is a word that I use a lot in clinic and it kind of surprises patients, is they feel that the transplant will </w:t>
      </w:r>
      <w:r w:rsidRPr="009E3704">
        <w:rPr>
          <w:i/>
          <w:iCs/>
          <w:u w:val="single"/>
        </w:rPr>
        <w:t>cure</w:t>
      </w:r>
      <w:r w:rsidRPr="007D4A98">
        <w:rPr>
          <w:i/>
          <w:iCs/>
        </w:rPr>
        <w:t xml:space="preserve"> their kidney disease and I tend to tell them this is just a </w:t>
      </w:r>
      <w:r w:rsidRPr="009E3704">
        <w:rPr>
          <w:i/>
          <w:iCs/>
          <w:u w:val="single"/>
        </w:rPr>
        <w:t>treatment</w:t>
      </w:r>
      <w:r w:rsidRPr="007D4A98">
        <w:rPr>
          <w:i/>
          <w:iCs/>
        </w:rPr>
        <w:t xml:space="preserve"> for kidney disease, it’s not a cure and that changes completely the mindset </w:t>
      </w:r>
      <w:r w:rsidRPr="007D4A98">
        <w:rPr>
          <w:i/>
          <w:iCs/>
        </w:rPr>
        <w:lastRenderedPageBreak/>
        <w:t>because the expectation was I’m going to be cured, I don’t have to come to hospital anymore, everything will be solved and... Yeah. – Transplant Nurse</w:t>
      </w:r>
      <w:r w:rsidR="00952384">
        <w:rPr>
          <w:i/>
          <w:iCs/>
        </w:rPr>
        <w:t xml:space="preserve"> (emphasis added)</w:t>
      </w:r>
    </w:p>
    <w:p w14:paraId="1A376F29" w14:textId="1F8C96A1" w:rsidR="003C4C7B" w:rsidRDefault="003C4C7B" w:rsidP="001400BF">
      <w:pPr>
        <w:spacing w:line="480" w:lineRule="auto"/>
      </w:pPr>
    </w:p>
    <w:p w14:paraId="6F7B6A2A" w14:textId="1EA97869" w:rsidR="005B02A8" w:rsidRDefault="005B02A8" w:rsidP="001400BF">
      <w:pPr>
        <w:spacing w:line="480" w:lineRule="auto"/>
      </w:pPr>
      <w:r>
        <w:t>From a healthcare</w:t>
      </w:r>
      <w:r w:rsidR="00695393">
        <w:t xml:space="preserve"> professional</w:t>
      </w:r>
      <w:r>
        <w:t xml:space="preserve"> perspective, </w:t>
      </w:r>
      <w:r w:rsidR="00CC71D5">
        <w:t xml:space="preserve">health </w:t>
      </w:r>
      <w:r>
        <w:t xml:space="preserve">communication </w:t>
      </w:r>
      <w:r w:rsidR="00CC71D5">
        <w:t>involves</w:t>
      </w:r>
      <w:r w:rsidR="00047A14">
        <w:t xml:space="preserve"> </w:t>
      </w:r>
      <w:r w:rsidR="00636D23">
        <w:t>having</w:t>
      </w:r>
      <w:r w:rsidR="00047A14">
        <w:t xml:space="preserve"> an awareness and sensitivity </w:t>
      </w:r>
      <w:r w:rsidR="00A932A5">
        <w:t xml:space="preserve">to </w:t>
      </w:r>
      <w:r w:rsidR="00FD068B">
        <w:t>patient’s questions and perceptions</w:t>
      </w:r>
      <w:r w:rsidR="007E35A1">
        <w:t xml:space="preserve">, while being </w:t>
      </w:r>
      <w:r w:rsidR="002679AC">
        <w:t>responsive</w:t>
      </w:r>
      <w:r w:rsidR="00A932A5">
        <w:t xml:space="preserve"> </w:t>
      </w:r>
      <w:r w:rsidR="002679AC">
        <w:t>to</w:t>
      </w:r>
      <w:r w:rsidR="00A932A5">
        <w:t xml:space="preserve"> </w:t>
      </w:r>
      <w:r w:rsidR="00856DBA">
        <w:t xml:space="preserve">the </w:t>
      </w:r>
      <w:r w:rsidR="002679AC">
        <w:t>recipient’s</w:t>
      </w:r>
      <w:r w:rsidR="00A932A5">
        <w:t xml:space="preserve"> </w:t>
      </w:r>
      <w:r w:rsidR="00856DBA">
        <w:t xml:space="preserve">needs and </w:t>
      </w:r>
      <w:r w:rsidR="00A932A5">
        <w:t>experience</w:t>
      </w:r>
      <w:r w:rsidR="007722B7">
        <w:t xml:space="preserve">s.  </w:t>
      </w:r>
    </w:p>
    <w:p w14:paraId="5A3B90AB" w14:textId="77777777" w:rsidR="009E2F5F" w:rsidRPr="009E2F5F" w:rsidRDefault="009E2F5F" w:rsidP="001400BF">
      <w:pPr>
        <w:spacing w:line="480" w:lineRule="auto"/>
        <w:ind w:left="720"/>
        <w:rPr>
          <w:i/>
          <w:iCs/>
        </w:rPr>
      </w:pPr>
      <w:r w:rsidRPr="009E2F5F">
        <w:rPr>
          <w:i/>
          <w:iCs/>
        </w:rPr>
        <w:t xml:space="preserve">“In terms of lifestyle, again, you know, giving them not only skills, most of them probably will have the skills, but maybe the support, and explain to them, to go through things, give them time to explain why they need to look after their health, why is exercise good, why is diet good, how you can help them with that, you know, by having other healthcare professionals. So, yeah, I mean, I don’t know in terms of skills, I think it all comes down to communication and how you make them try, in the simplest way, and tailor it according to patients, to gain, let them trust in you and be convinced that what we’re advising them is actually the right thing for them in the long-term or in their best interests, I guess.” Nephrologist </w:t>
      </w:r>
    </w:p>
    <w:p w14:paraId="1073E13E" w14:textId="159A90D6" w:rsidR="009E2F5F" w:rsidRDefault="009E2F5F" w:rsidP="001400BF">
      <w:pPr>
        <w:spacing w:line="480" w:lineRule="auto"/>
      </w:pPr>
    </w:p>
    <w:p w14:paraId="65B31464" w14:textId="52AE9D4D" w:rsidR="000164DB" w:rsidRPr="00D76A57" w:rsidRDefault="00052C39" w:rsidP="001400BF">
      <w:pPr>
        <w:spacing w:line="480" w:lineRule="auto"/>
      </w:pPr>
      <w:r>
        <w:t xml:space="preserve">Health communication </w:t>
      </w:r>
      <w:r w:rsidR="00FB6FB1">
        <w:t xml:space="preserve">and clinical advice supporting </w:t>
      </w:r>
      <w:r w:rsidR="00EB4274">
        <w:t xml:space="preserve">lifestyle choices and </w:t>
      </w:r>
      <w:r w:rsidR="00FB6FB1">
        <w:t xml:space="preserve">self-care is </w:t>
      </w:r>
      <w:r w:rsidR="003C0BD9">
        <w:t>determined by</w:t>
      </w:r>
      <w:r w:rsidR="00FB6FB1">
        <w:t xml:space="preserve"> the quality of the interaction that provides the </w:t>
      </w:r>
      <w:r w:rsidR="003C0BD9">
        <w:t>recipient</w:t>
      </w:r>
      <w:r w:rsidR="00FB6FB1">
        <w:t xml:space="preserve"> with the understanding and reasons</w:t>
      </w:r>
      <w:r w:rsidR="008656A0">
        <w:t xml:space="preserve"> that justify how the advice is relevant </w:t>
      </w:r>
      <w:r w:rsidR="00416BF7">
        <w:t>to their day</w:t>
      </w:r>
      <w:r w:rsidR="008656A0">
        <w:t>-</w:t>
      </w:r>
      <w:r w:rsidR="00416BF7">
        <w:t>to</w:t>
      </w:r>
      <w:r w:rsidR="008656A0">
        <w:t>-</w:t>
      </w:r>
      <w:r w:rsidR="00416BF7">
        <w:t xml:space="preserve">day life. </w:t>
      </w:r>
      <w:r w:rsidR="000B7595">
        <w:t>Healthcare professionals in</w:t>
      </w:r>
      <w:r w:rsidR="00416BF7">
        <w:t xml:space="preserve"> communicating with </w:t>
      </w:r>
      <w:r w:rsidR="008656A0">
        <w:t>recipients</w:t>
      </w:r>
      <w:r w:rsidR="000B7595">
        <w:t xml:space="preserve">, </w:t>
      </w:r>
      <w:r w:rsidR="005E0D6D">
        <w:t>sensitive</w:t>
      </w:r>
      <w:r w:rsidR="000B7595">
        <w:t xml:space="preserve"> </w:t>
      </w:r>
      <w:r w:rsidR="004B7AB1">
        <w:t>to their individual experiences</w:t>
      </w:r>
      <w:r w:rsidR="00CD71D7">
        <w:t>, can better</w:t>
      </w:r>
      <w:r w:rsidR="001F6D26">
        <w:t xml:space="preserve"> support recipient </w:t>
      </w:r>
      <w:r w:rsidR="00504C08">
        <w:t xml:space="preserve">health literacy </w:t>
      </w:r>
      <w:r w:rsidR="001F6D26">
        <w:t>and</w:t>
      </w:r>
      <w:r w:rsidR="00504C08">
        <w:t xml:space="preserve"> </w:t>
      </w:r>
      <w:r w:rsidR="00CD71D7">
        <w:t xml:space="preserve">capacity for </w:t>
      </w:r>
      <w:r w:rsidR="00504C08">
        <w:t xml:space="preserve">self-care.  </w:t>
      </w:r>
      <w:r w:rsidR="00416BF7">
        <w:t xml:space="preserve"> </w:t>
      </w:r>
    </w:p>
    <w:p w14:paraId="586C4C74" w14:textId="7AECE92A" w:rsidR="0056110C" w:rsidRDefault="0056110C" w:rsidP="001400BF">
      <w:pPr>
        <w:spacing w:line="480" w:lineRule="auto"/>
        <w:rPr>
          <w:b/>
          <w:bCs/>
        </w:rPr>
      </w:pPr>
    </w:p>
    <w:p w14:paraId="6DB9D8EE" w14:textId="24529958" w:rsidR="00613AE7" w:rsidRPr="0056110C" w:rsidRDefault="00761286" w:rsidP="001400BF">
      <w:pPr>
        <w:spacing w:line="480" w:lineRule="auto"/>
        <w:rPr>
          <w:b/>
          <w:bCs/>
        </w:rPr>
      </w:pPr>
      <w:r>
        <w:rPr>
          <w:b/>
          <w:bCs/>
        </w:rPr>
        <w:t>Discussion</w:t>
      </w:r>
    </w:p>
    <w:p w14:paraId="6F4BEBB5" w14:textId="45347E44" w:rsidR="00613AE7" w:rsidRDefault="001556E0" w:rsidP="001400BF">
      <w:pPr>
        <w:spacing w:line="480" w:lineRule="auto"/>
      </w:pPr>
      <w:r w:rsidRPr="000A109A">
        <w:t xml:space="preserve">The analysis has identified some key themes that contribute to barriers and drivers in effective communication and interaction with kidney </w:t>
      </w:r>
      <w:r w:rsidR="00117442">
        <w:t xml:space="preserve">transplant </w:t>
      </w:r>
      <w:r w:rsidRPr="000A109A">
        <w:t xml:space="preserve">recipients and their ability and responsibility </w:t>
      </w:r>
      <w:r w:rsidRPr="000A109A">
        <w:lastRenderedPageBreak/>
        <w:t>for self-care.</w:t>
      </w:r>
      <w:r w:rsidR="00117442">
        <w:t xml:space="preserve"> </w:t>
      </w:r>
      <w:r w:rsidR="0052165E">
        <w:t>C</w:t>
      </w:r>
      <w:r w:rsidR="00FA1E26">
        <w:t>linical</w:t>
      </w:r>
      <w:r w:rsidR="000A109A" w:rsidRPr="000A109A">
        <w:t xml:space="preserve"> </w:t>
      </w:r>
      <w:r w:rsidR="00CC3BF7">
        <w:t>advice</w:t>
      </w:r>
      <w:r w:rsidR="000A109A" w:rsidRPr="000A109A">
        <w:t xml:space="preserve"> extends beyond </w:t>
      </w:r>
      <w:r w:rsidR="00FA1E26">
        <w:t>communicating information</w:t>
      </w:r>
      <w:r w:rsidR="000A109A" w:rsidRPr="000A109A">
        <w:t xml:space="preserve">. It involves a process of </w:t>
      </w:r>
      <w:r w:rsidR="001809C9">
        <w:t xml:space="preserve">communicating </w:t>
      </w:r>
      <w:r w:rsidR="000A109A" w:rsidRPr="000A109A">
        <w:t>with recipients with care</w:t>
      </w:r>
      <w:r w:rsidR="00A565DF">
        <w:t xml:space="preserve"> and respect</w:t>
      </w:r>
      <w:r w:rsidR="000A109A" w:rsidRPr="000A109A">
        <w:t xml:space="preserve">, </w:t>
      </w:r>
      <w:r w:rsidR="00162FC5">
        <w:t xml:space="preserve">encouraging </w:t>
      </w:r>
      <w:r w:rsidR="00A75068">
        <w:t>interaction</w:t>
      </w:r>
      <w:r w:rsidR="00162FC5">
        <w:t>s</w:t>
      </w:r>
      <w:r w:rsidR="000A109A" w:rsidRPr="000A109A">
        <w:t xml:space="preserve"> that </w:t>
      </w:r>
      <w:r w:rsidR="00A75068">
        <w:t>aim at</w:t>
      </w:r>
      <w:r w:rsidR="000A109A" w:rsidRPr="000A109A">
        <w:t xml:space="preserve"> developing a </w:t>
      </w:r>
      <w:r w:rsidR="00162FC5">
        <w:t xml:space="preserve">relevant and </w:t>
      </w:r>
      <w:r w:rsidR="000A109A" w:rsidRPr="000A109A">
        <w:t>meaningful understanding o</w:t>
      </w:r>
      <w:r w:rsidR="00162FC5">
        <w:t xml:space="preserve">f clinical </w:t>
      </w:r>
      <w:r w:rsidR="000A109A" w:rsidRPr="000A109A">
        <w:t xml:space="preserve">advice </w:t>
      </w:r>
      <w:r w:rsidR="00912572">
        <w:t>by relating to KTRs day-to-day experience and lifestyle choices</w:t>
      </w:r>
      <w:r w:rsidR="000A109A" w:rsidRPr="000A109A">
        <w:t>.</w:t>
      </w:r>
      <w:r w:rsidR="00B157C6">
        <w:t xml:space="preserve">  </w:t>
      </w:r>
      <w:r w:rsidR="00A368A4">
        <w:t>Health communication not only involves h</w:t>
      </w:r>
      <w:r w:rsidR="0056097D">
        <w:t>ealthcare professionals talking</w:t>
      </w:r>
      <w:r w:rsidR="00B157C6" w:rsidRPr="000A109A">
        <w:t xml:space="preserve"> to </w:t>
      </w:r>
      <w:r w:rsidR="00A368A4">
        <w:t>KTRs</w:t>
      </w:r>
      <w:r w:rsidR="00B157C6" w:rsidRPr="000A109A">
        <w:t xml:space="preserve"> but working together with them in partnership</w:t>
      </w:r>
      <w:r w:rsidR="0056097D">
        <w:t xml:space="preserve">, </w:t>
      </w:r>
      <w:r w:rsidR="00B157C6" w:rsidRPr="000A109A">
        <w:t>as part of the ongoing health and well-being journey.</w:t>
      </w:r>
      <w:r w:rsidR="00DE1383">
        <w:t xml:space="preserve"> </w:t>
      </w:r>
      <w:r w:rsidR="00CC752C">
        <w:t xml:space="preserve"> The literature supports </w:t>
      </w:r>
      <w:r w:rsidR="00C27FEB">
        <w:t xml:space="preserve">the role of health literacy in self-management in chronic </w:t>
      </w:r>
      <w:r w:rsidR="009352B5">
        <w:t>kidney disease</w:t>
      </w:r>
      <w:r w:rsidR="00134E5C">
        <w:t>, in particular communicative health literacy</w:t>
      </w:r>
      <w:r w:rsidR="00EE6743">
        <w:t xml:space="preserve"> </w:t>
      </w:r>
      <w:r w:rsidR="000F2183">
        <w:fldChar w:fldCharType="begin"/>
      </w:r>
      <w:r w:rsidR="000F2183">
        <w:instrText xml:space="preserve"> ADDIN ZOTERO_ITEM CSL_CITATION {"citationID":"0iuzj3Ph","properties":{"formattedCitation":"(Heijmans et al., 2015)","plainCitation":"(Heijmans et al., 2015)","noteIndex":0},"citationItems":[{"id":1320,"uris":["http://zotero.org/groups/4507553/items/A3GDNPV6"],"itemData":{"id":1320,"type":"article-journal","abstract":"Objective: To provide insight into the level of health literacy among chronic disease patients in the Netherlands, to identify subgroups with low literacy and to examine the associations between health literacy and self-management.\nMethods: Self-report questionnaires were sent to a nationwide sample of 1.341 chronic disease patients. The Dutch Functional Communicative and Critical Health Literacy scale (FCCHL), the Partners in Health scale (PIH) and Perceived Efﬁcacy in Patient–Doctor Interactions (PEPPI-5) were used to assess health literacy and aspects of self-management.\nResults: In general, health literacy skills were good. A higher age, lower education, lower income, multimorbidity and/or functional limitations were associated with lower levels of health literacy. Communicative and critical health literacy were related to some aspects of self-management but not to all. Functional health literacy was less important.\nConclusion: Communicative and critical health literacy play a role in successful self-management of chronic disease but the impact differs by context. Health literacy levels vary according to sociodemographic and disease characteristics of patients.","container-title":"Patient Education and Counseling","DOI":"10.1016/j.pec.2014.10.006","ISSN":"07383991","issue":"1","journalAbbreviation":"Patient Education and Counseling","language":"en","page":"41-48","source":"DOI.org (Crossref)","title":"Functional, communicative and critical health literacy of chronic disease patients and their importance for self-management","volume":"98","author":[{"family":"Heijmans","given":"Monique"},{"family":"Waverijn","given":"Geeke"},{"family":"Rademakers","given":"Jany"},{"family":"Vaart","given":"Rosalie","non-dropping-particle":"van der"},{"family":"Rijken","given":"Mieke"}],"issued":{"date-parts":[["2015",1]]}}}],"schema":"https://github.com/citation-style-language/schema/raw/master/csl-citation.json"} </w:instrText>
      </w:r>
      <w:r w:rsidR="000F2183">
        <w:fldChar w:fldCharType="separate"/>
      </w:r>
      <w:r w:rsidR="000F2183" w:rsidRPr="000F2183">
        <w:rPr>
          <w:rFonts w:ascii="Calibri" w:hAnsi="Calibri" w:cs="Calibri"/>
        </w:rPr>
        <w:t>(Heijmans et al., 2015)</w:t>
      </w:r>
      <w:r w:rsidR="000F2183">
        <w:fldChar w:fldCharType="end"/>
      </w:r>
      <w:r w:rsidR="00AA5C32">
        <w:t xml:space="preserve">. </w:t>
      </w:r>
      <w:r w:rsidR="00CC752C">
        <w:t xml:space="preserve"> </w:t>
      </w:r>
      <w:r w:rsidR="003B2D4D">
        <w:t xml:space="preserve">A recent longitudinal qualitative study </w:t>
      </w:r>
      <w:r w:rsidR="00BD6E67">
        <w:t xml:space="preserve">in people struggling </w:t>
      </w:r>
      <w:r w:rsidR="00A72AC6">
        <w:t xml:space="preserve">to self-manage their type 2 diabetes showed that </w:t>
      </w:r>
      <w:r w:rsidR="0024514D">
        <w:t xml:space="preserve">the </w:t>
      </w:r>
      <w:r w:rsidR="007D43CF">
        <w:t xml:space="preserve">level of health literacy for undertaking treatment and monitoring (e.g. taking medications and checking blood glucose levels) </w:t>
      </w:r>
      <w:r w:rsidR="006137FE">
        <w:t>was mostly at the functional</w:t>
      </w:r>
      <w:r w:rsidR="002D6B78">
        <w:t xml:space="preserve"> (basic)</w:t>
      </w:r>
      <w:r w:rsidR="006137FE">
        <w:t xml:space="preserve"> health literacy level</w:t>
      </w:r>
      <w:r w:rsidR="007C6924">
        <w:t xml:space="preserve"> where</w:t>
      </w:r>
      <w:r w:rsidR="00E47AD9">
        <w:t>as</w:t>
      </w:r>
      <w:r w:rsidR="007C6924">
        <w:t xml:space="preserve"> </w:t>
      </w:r>
      <w:r w:rsidR="00E47AD9">
        <w:t>a more advanced level of health literacy (</w:t>
      </w:r>
      <w:r w:rsidR="00380D8B">
        <w:t>communicative) was seen for lifestyle related issues such as diet and exercise</w:t>
      </w:r>
      <w:r w:rsidR="00C70B13">
        <w:t xml:space="preserve"> </w:t>
      </w:r>
      <w:r w:rsidR="00C70B13">
        <w:fldChar w:fldCharType="begin"/>
      </w:r>
      <w:r w:rsidR="00C70B13">
        <w:instrText xml:space="preserve"> ADDIN ZOTERO_ITEM CSL_CITATION {"citationID":"MsZHsO3L","properties":{"formattedCitation":"(Debussche et al., 2022)","plainCitation":"(Debussche et al., 2022)","noteIndex":0},"citationItems":[{"id":1345,"uris":["http://zotero.org/groups/4507553/items/6DPVJWNA"],"itemData":{"id":1345,"type":"article-journal","abstract":"Objectives Considering health literacy needs is a key component of health services responsiveness to diabetes self-management among vulnerable individuals. The purpose of this qualitative study was to provide a detailed analysis of the health literacy of people with type 2 diabetes in relation to their daily self-care practices.\nDesign Nested qualitative study in the ERMIES randomised controlled trial testing a 2-year structured care in type 2 diabetes. First round of semidirected interviews at the beginning of the trial with thematic analysis of content. Second round at the completion with directed interviews guided by the first round’s themes together with Health Literacy Questionnaire.\nSettings Interviews conducted at home.\nParticipants Forty-four (31 females/13 males, 30–79 years, glycated haemoglobin (HbA1c)≥7.5%) consecutive participants out of 100 recruited in the ERMIES trial from 4 diabetology outpatient settings (Reunion Island). Forty-two respondents to the second round interviews.\nResults Three poles structured into eight themes characterised practices in context: health knowledge, disease management, expertise and social support. The relationships of participants in each of the eight themes were differentiated, ranging from functional to interactive and critical. Treatment and follow-up were essentially functional, while diet and exercise remained more interactive. Social support and relationship to health professionals were important determinants of disease management.\nConclusions Treatment management and disease monitoring remain primarily the job of health professionals, as opposed to diet, physical activity and social support being part of ordinary practice. Decision-making, as a shared social task, as well as resources for participation in health services, should be considered for relevant interventions in type 2 diabetes.\nTrial registration number NCT01425866.","container-title":"BMJ Open","DOI":"10.1136/bmjopen-2020-046759","ISSN":"2044-6055, 2044-6055","issue":"6","language":"en","license":"© Author(s) (or their employer(s)) 2022.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Diabetes and endocrinology\nPMID: 35701054","page":"e046759","source":"bmjopen.bmj.com","title":"Health literacy in context: struggling to self-manage diabetes – a longitudinal qualitative study","title-short":"Health literacy in context","volume":"12","author":[{"family":"Debussche","given":"Xavier"},{"family":"Balcou-Debussche","given":"Maryvette"},{"family":"Ballet","given":"Delphine"},{"family":"Caroupin-Soupoutevin","given":"Jessica"}],"issued":{"date-parts":[["2022",6,1]]}}}],"schema":"https://github.com/citation-style-language/schema/raw/master/csl-citation.json"} </w:instrText>
      </w:r>
      <w:r w:rsidR="00C70B13">
        <w:fldChar w:fldCharType="separate"/>
      </w:r>
      <w:r w:rsidR="00C70B13" w:rsidRPr="00C70B13">
        <w:rPr>
          <w:rFonts w:ascii="Calibri" w:hAnsi="Calibri" w:cs="Calibri"/>
        </w:rPr>
        <w:t>(Debussche et al., 2022)</w:t>
      </w:r>
      <w:r w:rsidR="00C70B13">
        <w:fldChar w:fldCharType="end"/>
      </w:r>
      <w:r w:rsidR="00590B35">
        <w:t xml:space="preserve">. </w:t>
      </w:r>
      <w:r w:rsidR="00380D8B">
        <w:t xml:space="preserve">  </w:t>
      </w:r>
      <w:r w:rsidR="00A84672">
        <w:t xml:space="preserve">An enlightening commentary by </w:t>
      </w:r>
      <w:r w:rsidR="00E23E42">
        <w:t xml:space="preserve">van der Heide et al </w:t>
      </w:r>
      <w:r w:rsidR="002A7479">
        <w:t>discusses</w:t>
      </w:r>
      <w:r w:rsidR="000A40D5">
        <w:t xml:space="preserve"> how health literacy </w:t>
      </w:r>
      <w:r w:rsidR="004117FE">
        <w:t xml:space="preserve">should be reframed from an individual </w:t>
      </w:r>
      <w:r w:rsidR="00BA0429">
        <w:t>attribute to one that is d</w:t>
      </w:r>
      <w:r w:rsidR="0084000B">
        <w:t>ependent on the interaction</w:t>
      </w:r>
      <w:r w:rsidR="00986263">
        <w:t>s (e.g. health communication)</w:t>
      </w:r>
      <w:r w:rsidR="0084000B">
        <w:t xml:space="preserve"> with healthcare </w:t>
      </w:r>
      <w:r w:rsidR="00986263">
        <w:t>professionals and the healthcare service</w:t>
      </w:r>
      <w:r w:rsidR="0065465D">
        <w:t xml:space="preserve"> </w:t>
      </w:r>
      <w:r w:rsidR="0065465D">
        <w:fldChar w:fldCharType="begin"/>
      </w:r>
      <w:r w:rsidR="0065465D">
        <w:instrText xml:space="preserve"> ADDIN ZOTERO_ITEM CSL_CITATION {"citationID":"G5B8cKNl","properties":{"formattedCitation":"(van der Heide et al., 2018)","plainCitation":"(van der Heide et al., 2018)","noteIndex":0},"citationItems":[{"id":511,"uris":["http://zotero.org/groups/4507553/items/C7IQ7GFQ"],"itemData":{"id":511,"type":"article-journal","abstract":"Health literacy plays a crucial role in chronic disease management. To comprehensively manage chronic conditions on a daily basis, individuals must be able to assess, understand, evaluate, and use health information. Several key publications emphasize that health literacy is not merely a matter of individual skills but that it is highly dependent on the accessibility of health-care systems, the communication skills of health-care professionals, and the level of complexity of the health information. However, the literature indicates that health literacy is mainly framed and measured as an individual attribute in research. Focusing health literacy research solely on the individual, rather than also including the health-care context, limits our understanding of the type of actions that should be undertaken to facilitate a person's access to and understanding, evaluation and use of health information. This commentary highlights the importance of interpreting the concept of health literacy as a dynamic construct that emerges from the interaction between patients/citizens and health-care systems, organizations, and professionals. This approach has the potential to fill a gap in our understanding of the link between health literacy and chronic disease management. Such an understanding would facilitate the development of comprehensive health literacy measurement instruments and interventions to enhance health literacy. (C) 2018 Elsevier Inc. All rights reserved.","container-title":"Journal of Clinical Epidemiology","DOI":"10.1016/j.jclinepi.2018.05.010","ISSN":"0895-4356","journalAbbreviation":"J. Clin. Epidemiol.","language":"English","note":"publisher-place: New York\npublisher: Elsevier Science Inc\nWOS:000444662400016","page":"134-138","source":"Web of Science Nextgen","title":"Health literacy in chronic disease management: a matter of interaction","title-short":"Health literacy in chronic disease management","volume":"102","author":[{"family":"Heide","given":"Iris","non-dropping-particle":"van der"},{"family":"Poureslami","given":"Iraj"},{"family":"Mitic","given":"Wayne"},{"family":"Shum","given":"Jessica"},{"family":"Rootman","given":"Irving"},{"family":"FitzGerald","given":"J. Mark"}],"issued":{"date-parts":[["2018",10]]}}}],"schema":"https://github.com/citation-style-language/schema/raw/master/csl-citation.json"} </w:instrText>
      </w:r>
      <w:r w:rsidR="0065465D">
        <w:fldChar w:fldCharType="separate"/>
      </w:r>
      <w:r w:rsidR="0065465D" w:rsidRPr="00E23E42">
        <w:rPr>
          <w:rFonts w:ascii="Calibri" w:hAnsi="Calibri" w:cs="Calibri"/>
        </w:rPr>
        <w:t>(van der Heide et al., 2018)</w:t>
      </w:r>
      <w:r w:rsidR="0065465D">
        <w:fldChar w:fldCharType="end"/>
      </w:r>
      <w:r w:rsidR="00986263">
        <w:t xml:space="preserve">.  </w:t>
      </w:r>
      <w:r w:rsidR="0065465D">
        <w:t>Our</w:t>
      </w:r>
      <w:r w:rsidR="00986263">
        <w:t xml:space="preserve"> study illustrates how </w:t>
      </w:r>
      <w:r w:rsidR="004945BD">
        <w:t xml:space="preserve">development of health literacy is dependent on </w:t>
      </w:r>
      <w:r w:rsidR="0065465D">
        <w:t xml:space="preserve">health communication </w:t>
      </w:r>
      <w:r w:rsidR="001E7CB6">
        <w:t>impact</w:t>
      </w:r>
      <w:r w:rsidR="0003559B">
        <w:t>ing</w:t>
      </w:r>
      <w:r w:rsidR="0065465D">
        <w:t xml:space="preserve"> self-care</w:t>
      </w:r>
      <w:r w:rsidR="00053AD4">
        <w:t xml:space="preserve">, which is particularly relevant in the context of </w:t>
      </w:r>
      <w:r w:rsidR="003103E9">
        <w:t xml:space="preserve">adapting lifestyle. </w:t>
      </w:r>
      <w:r w:rsidR="00D514DE">
        <w:t>For example, we showed that w</w:t>
      </w:r>
      <w:r w:rsidR="0052165E" w:rsidRPr="000A109A">
        <w:t>h</w:t>
      </w:r>
      <w:r w:rsidR="00A32B8D">
        <w:t xml:space="preserve">en on the receiving end of healthcare </w:t>
      </w:r>
      <w:r w:rsidR="009D7809">
        <w:t>communication</w:t>
      </w:r>
      <w:r w:rsidR="00A32B8D">
        <w:t>, a KTR</w:t>
      </w:r>
      <w:r w:rsidR="0052165E" w:rsidRPr="000A109A">
        <w:t xml:space="preserve"> </w:t>
      </w:r>
      <w:r w:rsidR="000B313E">
        <w:t>spoke</w:t>
      </w:r>
      <w:r w:rsidR="0052165E" w:rsidRPr="000A109A">
        <w:t xml:space="preserve"> of </w:t>
      </w:r>
      <w:r w:rsidR="000B313E">
        <w:t>how they were</w:t>
      </w:r>
      <w:r w:rsidR="00840341">
        <w:t xml:space="preserve"> </w:t>
      </w:r>
      <w:r w:rsidR="005037AB">
        <w:t xml:space="preserve">excluded from a meaningful interaction which would support their ability to </w:t>
      </w:r>
      <w:r w:rsidR="00FA6BBF">
        <w:t>change their</w:t>
      </w:r>
      <w:r w:rsidR="0062179C">
        <w:t xml:space="preserve"> lifestyle and</w:t>
      </w:r>
      <w:r w:rsidR="00FA6BBF">
        <w:t xml:space="preserve"> </w:t>
      </w:r>
      <w:r w:rsidR="002F7A5A">
        <w:t>further develop</w:t>
      </w:r>
      <w:r w:rsidR="00FA6BBF">
        <w:t xml:space="preserve"> </w:t>
      </w:r>
      <w:r w:rsidR="0062179C">
        <w:t xml:space="preserve">self-care. </w:t>
      </w:r>
      <w:r w:rsidR="0052165E" w:rsidRPr="000A109A">
        <w:t xml:space="preserve"> </w:t>
      </w:r>
      <w:r w:rsidR="002F7A5A">
        <w:t>O</w:t>
      </w:r>
      <w:r w:rsidR="0052165E" w:rsidRPr="000A109A">
        <w:t>n the professional</w:t>
      </w:r>
      <w:r w:rsidR="002F7A5A">
        <w:t xml:space="preserve"> side,</w:t>
      </w:r>
      <w:r w:rsidR="009D7809">
        <w:t xml:space="preserve"> however,</w:t>
      </w:r>
      <w:r w:rsidR="0052165E" w:rsidRPr="000A109A">
        <w:t xml:space="preserve"> there is recognition that information and advice</w:t>
      </w:r>
      <w:r w:rsidR="009D7809">
        <w:t xml:space="preserve"> alone</w:t>
      </w:r>
      <w:r w:rsidR="0052165E" w:rsidRPr="000A109A">
        <w:t xml:space="preserve"> are insufficient for </w:t>
      </w:r>
      <w:r w:rsidR="000B313E">
        <w:t>KTRs to</w:t>
      </w:r>
      <w:r w:rsidR="00895BFE">
        <w:t xml:space="preserve"> develop self-care</w:t>
      </w:r>
      <w:r w:rsidR="000A109A" w:rsidRPr="000A109A">
        <w:t xml:space="preserve">. </w:t>
      </w:r>
    </w:p>
    <w:p w14:paraId="1F64FC17" w14:textId="2E875F4D" w:rsidR="002F0C7F" w:rsidRPr="00457264" w:rsidRDefault="002F0C7F" w:rsidP="001400BF">
      <w:pPr>
        <w:spacing w:line="480" w:lineRule="auto"/>
        <w:rPr>
          <w:b/>
          <w:bCs/>
        </w:rPr>
      </w:pPr>
      <w:r w:rsidRPr="00457264">
        <w:rPr>
          <w:b/>
          <w:bCs/>
        </w:rPr>
        <w:t>Conclusion and research</w:t>
      </w:r>
      <w:r w:rsidR="00457264">
        <w:rPr>
          <w:b/>
          <w:bCs/>
        </w:rPr>
        <w:t xml:space="preserve"> implications</w:t>
      </w:r>
    </w:p>
    <w:p w14:paraId="7D5AD76E" w14:textId="27A8E5E5" w:rsidR="00C41F2C" w:rsidRDefault="002F0C7F" w:rsidP="001400BF">
      <w:pPr>
        <w:spacing w:line="480" w:lineRule="auto"/>
      </w:pPr>
      <w:r w:rsidRPr="000A109A">
        <w:t xml:space="preserve">The analysis has identified some key themes that contribute to barriers and drivers in effective communication and interaction with kidney </w:t>
      </w:r>
      <w:r>
        <w:t xml:space="preserve">transplant </w:t>
      </w:r>
      <w:r w:rsidRPr="000A109A">
        <w:t>recipients and their ability and responsibility for self-care.</w:t>
      </w:r>
      <w:r>
        <w:t xml:space="preserve"> </w:t>
      </w:r>
      <w:r w:rsidR="007453EB">
        <w:t xml:space="preserve">Our </w:t>
      </w:r>
      <w:r w:rsidR="00415A76">
        <w:t>aim</w:t>
      </w:r>
      <w:r w:rsidR="007453EB">
        <w:t xml:space="preserve">, given the understanding and appreciation of the complexity of </w:t>
      </w:r>
      <w:r w:rsidR="00443379">
        <w:t xml:space="preserve">health </w:t>
      </w:r>
      <w:r w:rsidR="00443379">
        <w:lastRenderedPageBreak/>
        <w:t>communication and self-care</w:t>
      </w:r>
      <w:r w:rsidR="007453EB">
        <w:t>, is to redress the dearth of</w:t>
      </w:r>
      <w:r w:rsidR="00247D65">
        <w:t xml:space="preserve"> qualitative</w:t>
      </w:r>
      <w:r w:rsidR="007453EB">
        <w:t xml:space="preserve"> research studies that </w:t>
      </w:r>
      <w:r w:rsidR="00247D65">
        <w:t>place emphasis on patient experience</w:t>
      </w:r>
      <w:r w:rsidR="003010CE">
        <w:t xml:space="preserve"> and their support networks</w:t>
      </w:r>
      <w:r w:rsidR="007453EB">
        <w:t xml:space="preserve"> in</w:t>
      </w:r>
      <w:r w:rsidR="003010CE">
        <w:t xml:space="preserve"> building</w:t>
      </w:r>
      <w:r w:rsidR="007453EB">
        <w:t xml:space="preserve"> a richer picture of the challenges and possible solutions with</w:t>
      </w:r>
      <w:r w:rsidR="00A761F8">
        <w:t>in</w:t>
      </w:r>
      <w:r w:rsidR="007453EB">
        <w:t xml:space="preserve"> healthcare, interactions and resources</w:t>
      </w:r>
      <w:r w:rsidR="00BF1545">
        <w:t xml:space="preserve"> to improve self-care</w:t>
      </w:r>
      <w:r w:rsidR="007453EB">
        <w:t xml:space="preserve">.  </w:t>
      </w:r>
      <w:r w:rsidR="00BD4C60">
        <w:t xml:space="preserve">The analysis presented here offers merely a snapshot of our findings that </w:t>
      </w:r>
      <w:r w:rsidR="00543766">
        <w:t>illuminates the critical role healthcare communication and health literacy play in developing KTR’s capacities to self-care</w:t>
      </w:r>
      <w:r w:rsidR="00BD4C60">
        <w:t xml:space="preserve">.  </w:t>
      </w:r>
      <w:r w:rsidR="00092637">
        <w:t>A</w:t>
      </w:r>
      <w:r w:rsidR="00A30BC6">
        <w:t xml:space="preserve"> </w:t>
      </w:r>
      <w:r w:rsidR="009C74E1">
        <w:t>broader analys</w:t>
      </w:r>
      <w:r w:rsidR="000D0D3D">
        <w:t>i</w:t>
      </w:r>
      <w:r w:rsidR="009C74E1">
        <w:t xml:space="preserve">s has been developed within the project </w:t>
      </w:r>
      <w:r w:rsidR="00A40E1C">
        <w:t>XX</w:t>
      </w:r>
      <w:r w:rsidR="009C74E1">
        <w:t xml:space="preserve"> which </w:t>
      </w:r>
      <w:r w:rsidR="00092637">
        <w:t xml:space="preserve">explores and examines </w:t>
      </w:r>
      <w:r w:rsidR="009C74E1">
        <w:t xml:space="preserve">these issues </w:t>
      </w:r>
      <w:r w:rsidR="005261AD">
        <w:t xml:space="preserve">in relation to other stakeholders </w:t>
      </w:r>
      <w:r w:rsidR="005115F9">
        <w:t>(significant others)</w:t>
      </w:r>
      <w:r w:rsidR="002A6678">
        <w:t xml:space="preserve"> and inter-relations between healthcare interactions, lifestyle choices and patient education</w:t>
      </w:r>
      <w:r w:rsidR="00335099">
        <w:t>. These</w:t>
      </w:r>
      <w:r w:rsidR="002A6678">
        <w:t xml:space="preserve"> will be reported in forthcoming publications</w:t>
      </w:r>
      <w:r w:rsidR="005261AD">
        <w:t xml:space="preserve">. </w:t>
      </w:r>
    </w:p>
    <w:p w14:paraId="2F23A684" w14:textId="77777777" w:rsidR="00E97147" w:rsidRDefault="00E97147" w:rsidP="001400BF">
      <w:pPr>
        <w:spacing w:line="480" w:lineRule="auto"/>
      </w:pPr>
    </w:p>
    <w:p w14:paraId="76F40CA2" w14:textId="55A4D246" w:rsidR="008D15C0" w:rsidRPr="00E97147" w:rsidRDefault="00E97147" w:rsidP="001400BF">
      <w:pPr>
        <w:spacing w:line="480" w:lineRule="auto"/>
        <w:rPr>
          <w:b/>
          <w:bCs/>
        </w:rPr>
      </w:pPr>
      <w:r w:rsidRPr="00E97147">
        <w:rPr>
          <w:b/>
          <w:bCs/>
        </w:rPr>
        <w:t>References</w:t>
      </w:r>
    </w:p>
    <w:p w14:paraId="61051EDE" w14:textId="77777777" w:rsidR="00E23E42" w:rsidRPr="00E23E42" w:rsidRDefault="00E97147" w:rsidP="001400BF">
      <w:pPr>
        <w:pStyle w:val="Bibliography"/>
        <w:rPr>
          <w:rFonts w:ascii="Calibri" w:hAnsi="Calibri" w:cs="Calibri"/>
        </w:rPr>
      </w:pPr>
      <w:r>
        <w:fldChar w:fldCharType="begin"/>
      </w:r>
      <w:r w:rsidR="002049D0">
        <w:instrText xml:space="preserve"> ADDIN ZOTERO_BIBL {"uncited":[],"omitted":[],"custom":[]} CSL_BIBLIOGRAPHY </w:instrText>
      </w:r>
      <w:r>
        <w:fldChar w:fldCharType="separate"/>
      </w:r>
      <w:r w:rsidR="00E23E42" w:rsidRPr="00E23E42">
        <w:rPr>
          <w:rFonts w:ascii="Calibri" w:hAnsi="Calibri" w:cs="Calibri"/>
        </w:rPr>
        <w:t xml:space="preserve">Braun, V., &amp; Clarke, V. (2006). Using thematic analysis in psychology. </w:t>
      </w:r>
      <w:r w:rsidR="00E23E42" w:rsidRPr="00E23E42">
        <w:rPr>
          <w:rFonts w:ascii="Calibri" w:hAnsi="Calibri" w:cs="Calibri"/>
          <w:i/>
          <w:iCs/>
        </w:rPr>
        <w:t>Qualitative Research in Psychology</w:t>
      </w:r>
      <w:r w:rsidR="00E23E42" w:rsidRPr="00E23E42">
        <w:rPr>
          <w:rFonts w:ascii="Calibri" w:hAnsi="Calibri" w:cs="Calibri"/>
        </w:rPr>
        <w:t xml:space="preserve">, </w:t>
      </w:r>
      <w:r w:rsidR="00E23E42" w:rsidRPr="00E23E42">
        <w:rPr>
          <w:rFonts w:ascii="Calibri" w:hAnsi="Calibri" w:cs="Calibri"/>
          <w:i/>
          <w:iCs/>
        </w:rPr>
        <w:t>3</w:t>
      </w:r>
      <w:r w:rsidR="00E23E42" w:rsidRPr="00E23E42">
        <w:rPr>
          <w:rFonts w:ascii="Calibri" w:hAnsi="Calibri" w:cs="Calibri"/>
        </w:rPr>
        <w:t>(2), 77–101. https://doi.org/10.1191/1478088706qp063oa</w:t>
      </w:r>
    </w:p>
    <w:p w14:paraId="1C7E1580" w14:textId="77777777" w:rsidR="00E23E42" w:rsidRPr="00E23E42" w:rsidRDefault="00E23E42" w:rsidP="001400BF">
      <w:pPr>
        <w:pStyle w:val="Bibliography"/>
        <w:rPr>
          <w:rFonts w:ascii="Calibri" w:hAnsi="Calibri" w:cs="Calibri"/>
        </w:rPr>
      </w:pPr>
      <w:r w:rsidRPr="00E23E42">
        <w:rPr>
          <w:rFonts w:ascii="Calibri" w:hAnsi="Calibri" w:cs="Calibri"/>
        </w:rPr>
        <w:t xml:space="preserve">Debussche, X., Balcou-Debussche, M., Ballet, D., &amp; Caroupin-Soupoutevin, J. (2022). Health literacy in context: Struggling to self-manage diabetes – a longitudinal qualitative study. </w:t>
      </w:r>
      <w:r w:rsidRPr="00E23E42">
        <w:rPr>
          <w:rFonts w:ascii="Calibri" w:hAnsi="Calibri" w:cs="Calibri"/>
          <w:i/>
          <w:iCs/>
        </w:rPr>
        <w:t>BMJ Open</w:t>
      </w:r>
      <w:r w:rsidRPr="00E23E42">
        <w:rPr>
          <w:rFonts w:ascii="Calibri" w:hAnsi="Calibri" w:cs="Calibri"/>
        </w:rPr>
        <w:t xml:space="preserve">, </w:t>
      </w:r>
      <w:r w:rsidRPr="00E23E42">
        <w:rPr>
          <w:rFonts w:ascii="Calibri" w:hAnsi="Calibri" w:cs="Calibri"/>
          <w:i/>
          <w:iCs/>
        </w:rPr>
        <w:t>12</w:t>
      </w:r>
      <w:r w:rsidRPr="00E23E42">
        <w:rPr>
          <w:rFonts w:ascii="Calibri" w:hAnsi="Calibri" w:cs="Calibri"/>
        </w:rPr>
        <w:t>(6), e046759. https://doi.org/10.1136/bmjopen-2020-046759</w:t>
      </w:r>
    </w:p>
    <w:p w14:paraId="2C0B83BA" w14:textId="77777777" w:rsidR="00E23E42" w:rsidRPr="00E23E42" w:rsidRDefault="00E23E42" w:rsidP="001400BF">
      <w:pPr>
        <w:pStyle w:val="Bibliography"/>
        <w:rPr>
          <w:rFonts w:ascii="Calibri" w:hAnsi="Calibri" w:cs="Calibri"/>
        </w:rPr>
      </w:pPr>
      <w:r w:rsidRPr="00E23E42">
        <w:rPr>
          <w:rFonts w:ascii="Calibri" w:hAnsi="Calibri" w:cs="Calibri"/>
        </w:rPr>
        <w:t xml:space="preserve">Heijmans, M., Waverijn, G., Rademakers, J., van der Vaart, R., &amp; Rijken, M. (2015). Functional, communicative and critical health literacy of chronic disease patients and their importance for self-management. </w:t>
      </w:r>
      <w:r w:rsidRPr="00E23E42">
        <w:rPr>
          <w:rFonts w:ascii="Calibri" w:hAnsi="Calibri" w:cs="Calibri"/>
          <w:i/>
          <w:iCs/>
        </w:rPr>
        <w:t>Patient Education and Counseling</w:t>
      </w:r>
      <w:r w:rsidRPr="00E23E42">
        <w:rPr>
          <w:rFonts w:ascii="Calibri" w:hAnsi="Calibri" w:cs="Calibri"/>
        </w:rPr>
        <w:t xml:space="preserve">, </w:t>
      </w:r>
      <w:r w:rsidRPr="00E23E42">
        <w:rPr>
          <w:rFonts w:ascii="Calibri" w:hAnsi="Calibri" w:cs="Calibri"/>
          <w:i/>
          <w:iCs/>
        </w:rPr>
        <w:t>98</w:t>
      </w:r>
      <w:r w:rsidRPr="00E23E42">
        <w:rPr>
          <w:rFonts w:ascii="Calibri" w:hAnsi="Calibri" w:cs="Calibri"/>
        </w:rPr>
        <w:t>(1), 41–48. https://doi.org/10.1016/j.pec.2014.10.006</w:t>
      </w:r>
    </w:p>
    <w:p w14:paraId="50C94133" w14:textId="77777777" w:rsidR="00E23E42" w:rsidRPr="00E23E42" w:rsidRDefault="00E23E42" w:rsidP="001400BF">
      <w:pPr>
        <w:pStyle w:val="Bibliography"/>
        <w:rPr>
          <w:rFonts w:ascii="Calibri" w:hAnsi="Calibri" w:cs="Calibri"/>
        </w:rPr>
      </w:pPr>
      <w:r w:rsidRPr="00E23E42">
        <w:rPr>
          <w:rFonts w:ascii="Calibri" w:hAnsi="Calibri" w:cs="Calibri"/>
        </w:rPr>
        <w:t xml:space="preserve">Kickbusch, I., Pelikan, J. M., Apfel, F., Tsouros, A. D., &amp; World Health Organization (Eds.). (2013). </w:t>
      </w:r>
      <w:r w:rsidRPr="00E23E42">
        <w:rPr>
          <w:rFonts w:ascii="Calibri" w:hAnsi="Calibri" w:cs="Calibri"/>
          <w:i/>
          <w:iCs/>
        </w:rPr>
        <w:t>Health literacy: The solid facts</w:t>
      </w:r>
      <w:r w:rsidRPr="00E23E42">
        <w:rPr>
          <w:rFonts w:ascii="Calibri" w:hAnsi="Calibri" w:cs="Calibri"/>
        </w:rPr>
        <w:t>. WHO Regional Office for Europe.</w:t>
      </w:r>
    </w:p>
    <w:p w14:paraId="53D71812" w14:textId="77777777" w:rsidR="00E23E42" w:rsidRPr="00E23E42" w:rsidRDefault="00E23E42" w:rsidP="001400BF">
      <w:pPr>
        <w:pStyle w:val="Bibliography"/>
        <w:rPr>
          <w:rFonts w:ascii="Calibri" w:hAnsi="Calibri" w:cs="Calibri"/>
        </w:rPr>
      </w:pPr>
      <w:r w:rsidRPr="00E23E42">
        <w:rPr>
          <w:rFonts w:ascii="Calibri" w:hAnsi="Calibri" w:cs="Calibri"/>
        </w:rPr>
        <w:t xml:space="preserve">NHS. (2019). </w:t>
      </w:r>
      <w:r w:rsidRPr="00E23E42">
        <w:rPr>
          <w:rFonts w:ascii="Calibri" w:hAnsi="Calibri" w:cs="Calibri"/>
          <w:i/>
          <w:iCs/>
        </w:rPr>
        <w:t>The NHS Long Term Plan</w:t>
      </w:r>
      <w:r w:rsidRPr="00E23E42">
        <w:rPr>
          <w:rFonts w:ascii="Calibri" w:hAnsi="Calibri" w:cs="Calibri"/>
        </w:rPr>
        <w:t>. https://www.longtermplan.nhs.uk/wp-content/uploads/2019/08/nhs-long-term-plan-version-1.2.pdf</w:t>
      </w:r>
    </w:p>
    <w:p w14:paraId="7DC33C82" w14:textId="77777777" w:rsidR="00E23E42" w:rsidRPr="00E23E42" w:rsidRDefault="00E23E42" w:rsidP="001400BF">
      <w:pPr>
        <w:pStyle w:val="Bibliography"/>
        <w:rPr>
          <w:rFonts w:ascii="Calibri" w:hAnsi="Calibri" w:cs="Calibri"/>
        </w:rPr>
      </w:pPr>
      <w:r w:rsidRPr="00E23E42">
        <w:rPr>
          <w:rFonts w:ascii="Calibri" w:hAnsi="Calibri" w:cs="Calibri"/>
        </w:rPr>
        <w:lastRenderedPageBreak/>
        <w:t xml:space="preserve">NHS Blood and Transplant. (2022). </w:t>
      </w:r>
      <w:r w:rsidRPr="00E23E42">
        <w:rPr>
          <w:rFonts w:ascii="Calibri" w:hAnsi="Calibri" w:cs="Calibri"/>
          <w:i/>
          <w:iCs/>
        </w:rPr>
        <w:t>Organ and Tissue Donation and Transplantation activity report 2021-2022</w:t>
      </w:r>
      <w:r w:rsidRPr="00E23E42">
        <w:rPr>
          <w:rFonts w:ascii="Calibri" w:hAnsi="Calibri" w:cs="Calibri"/>
        </w:rPr>
        <w:t xml:space="preserve"> (p. 170).</w:t>
      </w:r>
    </w:p>
    <w:p w14:paraId="45F53C7D" w14:textId="77777777" w:rsidR="00E23E42" w:rsidRPr="00E23E42" w:rsidRDefault="00E23E42" w:rsidP="001400BF">
      <w:pPr>
        <w:pStyle w:val="Bibliography"/>
        <w:rPr>
          <w:rFonts w:ascii="Calibri" w:hAnsi="Calibri" w:cs="Calibri"/>
        </w:rPr>
      </w:pPr>
      <w:r w:rsidRPr="00E23E42">
        <w:rPr>
          <w:rFonts w:ascii="Calibri" w:hAnsi="Calibri" w:cs="Calibri"/>
        </w:rPr>
        <w:t xml:space="preserve">Spencer, L., Ritchie, J., Lewis, J., &amp; Dillon, L. (2003). </w:t>
      </w:r>
      <w:r w:rsidRPr="00E23E42">
        <w:rPr>
          <w:rFonts w:ascii="Calibri" w:hAnsi="Calibri" w:cs="Calibri"/>
          <w:i/>
          <w:iCs/>
        </w:rPr>
        <w:t>Quality in Qualitative Evaluation: A framework for assessing research evidence.</w:t>
      </w:r>
      <w:r w:rsidRPr="00E23E42">
        <w:rPr>
          <w:rFonts w:ascii="Calibri" w:hAnsi="Calibri" w:cs="Calibri"/>
        </w:rPr>
        <w:t xml:space="preserve"> (p. 170). Cabinet Office, Government Chief Social Researcher’s Office, Strategy Unit.</w:t>
      </w:r>
    </w:p>
    <w:p w14:paraId="6C1E6B96" w14:textId="77777777" w:rsidR="00E23E42" w:rsidRPr="00E23E42" w:rsidRDefault="00E23E42" w:rsidP="001400BF">
      <w:pPr>
        <w:pStyle w:val="Bibliography"/>
        <w:rPr>
          <w:rFonts w:ascii="Calibri" w:hAnsi="Calibri" w:cs="Calibri"/>
        </w:rPr>
      </w:pPr>
      <w:r w:rsidRPr="00E23E42">
        <w:rPr>
          <w:rFonts w:ascii="Calibri" w:hAnsi="Calibri" w:cs="Calibri"/>
        </w:rPr>
        <w:t xml:space="preserve">UK Renal Registry. (2022). </w:t>
      </w:r>
      <w:r w:rsidRPr="00E23E42">
        <w:rPr>
          <w:rFonts w:ascii="Calibri" w:hAnsi="Calibri" w:cs="Calibri"/>
          <w:i/>
          <w:iCs/>
        </w:rPr>
        <w:t>UK Renal Registry 24th Annual Report– data to 31/12/2020</w:t>
      </w:r>
      <w:r w:rsidRPr="00E23E42">
        <w:rPr>
          <w:rFonts w:ascii="Calibri" w:hAnsi="Calibri" w:cs="Calibri"/>
        </w:rPr>
        <w:t>.</w:t>
      </w:r>
    </w:p>
    <w:p w14:paraId="66125413" w14:textId="77777777" w:rsidR="00E23E42" w:rsidRPr="00E23E42" w:rsidRDefault="00E23E42" w:rsidP="001400BF">
      <w:pPr>
        <w:pStyle w:val="Bibliography"/>
        <w:rPr>
          <w:rFonts w:ascii="Calibri" w:hAnsi="Calibri" w:cs="Calibri"/>
        </w:rPr>
      </w:pPr>
      <w:r w:rsidRPr="00E23E42">
        <w:rPr>
          <w:rFonts w:ascii="Calibri" w:hAnsi="Calibri" w:cs="Calibri"/>
        </w:rPr>
        <w:t xml:space="preserve">van der Heide, I., Poureslami, I., Mitic, W., Shum, J., Rootman, I., &amp; FitzGerald, J. M. (2018). Health literacy in chronic disease management: A matter of interaction. </w:t>
      </w:r>
      <w:r w:rsidRPr="00E23E42">
        <w:rPr>
          <w:rFonts w:ascii="Calibri" w:hAnsi="Calibri" w:cs="Calibri"/>
          <w:i/>
          <w:iCs/>
        </w:rPr>
        <w:t>Journal of Clinical Epidemiology</w:t>
      </w:r>
      <w:r w:rsidRPr="00E23E42">
        <w:rPr>
          <w:rFonts w:ascii="Calibri" w:hAnsi="Calibri" w:cs="Calibri"/>
        </w:rPr>
        <w:t xml:space="preserve">, </w:t>
      </w:r>
      <w:r w:rsidRPr="00E23E42">
        <w:rPr>
          <w:rFonts w:ascii="Calibri" w:hAnsi="Calibri" w:cs="Calibri"/>
          <w:i/>
          <w:iCs/>
        </w:rPr>
        <w:t>102</w:t>
      </w:r>
      <w:r w:rsidRPr="00E23E42">
        <w:rPr>
          <w:rFonts w:ascii="Calibri" w:hAnsi="Calibri" w:cs="Calibri"/>
        </w:rPr>
        <w:t>, 134–138. https://doi.org/10.1016/j.jclinepi.2018.05.010</w:t>
      </w:r>
    </w:p>
    <w:p w14:paraId="68303D09" w14:textId="77777777" w:rsidR="00E23E42" w:rsidRPr="00E23E42" w:rsidRDefault="00E23E42" w:rsidP="001400BF">
      <w:pPr>
        <w:pStyle w:val="Bibliography"/>
        <w:rPr>
          <w:rFonts w:ascii="Calibri" w:hAnsi="Calibri" w:cs="Calibri"/>
        </w:rPr>
      </w:pPr>
      <w:r w:rsidRPr="00E23E42">
        <w:rPr>
          <w:rFonts w:ascii="Calibri" w:hAnsi="Calibri" w:cs="Calibri"/>
        </w:rPr>
        <w:t xml:space="preserve">WHO Guidelines Review Committee, Sexual and Reproductive Health and Research. (2021). </w:t>
      </w:r>
      <w:r w:rsidRPr="00E23E42">
        <w:rPr>
          <w:rFonts w:ascii="Calibri" w:hAnsi="Calibri" w:cs="Calibri"/>
          <w:i/>
          <w:iCs/>
        </w:rPr>
        <w:t>WHO Guideline on self-care interventions for health and well-being</w:t>
      </w:r>
      <w:r w:rsidRPr="00E23E42">
        <w:rPr>
          <w:rFonts w:ascii="Calibri" w:hAnsi="Calibri" w:cs="Calibri"/>
        </w:rPr>
        <w:t xml:space="preserve"> (ISBN: 978 92 4 003090 9; p. 186). https://www.who.int/publications-detail-redirect/9789240030909</w:t>
      </w:r>
    </w:p>
    <w:p w14:paraId="7641FCBB" w14:textId="25870E58" w:rsidR="00B635F5" w:rsidRDefault="00E97147" w:rsidP="001400BF">
      <w:pPr>
        <w:spacing w:line="480" w:lineRule="auto"/>
      </w:pPr>
      <w:r>
        <w:fldChar w:fldCharType="end"/>
      </w:r>
    </w:p>
    <w:p w14:paraId="216260F3" w14:textId="77777777" w:rsidR="00B635F5" w:rsidRDefault="00B635F5" w:rsidP="001400BF">
      <w:pPr>
        <w:spacing w:line="480" w:lineRule="auto"/>
      </w:pPr>
    </w:p>
    <w:p w14:paraId="562E0791" w14:textId="77777777" w:rsidR="00B635F5" w:rsidRDefault="00B635F5" w:rsidP="001400BF">
      <w:pPr>
        <w:spacing w:line="480" w:lineRule="auto"/>
      </w:pPr>
    </w:p>
    <w:p w14:paraId="2B1FC09E" w14:textId="77777777" w:rsidR="00B635F5" w:rsidRPr="00B635F5" w:rsidRDefault="00B635F5" w:rsidP="001400BF">
      <w:pPr>
        <w:spacing w:line="480" w:lineRule="auto"/>
        <w:rPr>
          <w:b/>
          <w:bCs/>
        </w:rPr>
      </w:pPr>
    </w:p>
    <w:p w14:paraId="22A775FE" w14:textId="77777777" w:rsidR="00B635F5" w:rsidRDefault="00B635F5" w:rsidP="001400BF">
      <w:pPr>
        <w:spacing w:line="480" w:lineRule="auto"/>
      </w:pPr>
    </w:p>
    <w:p w14:paraId="51DF7C0F" w14:textId="05A72C1D" w:rsidR="00517919" w:rsidRDefault="00517919" w:rsidP="001400BF">
      <w:pPr>
        <w:spacing w:line="480" w:lineRule="auto"/>
      </w:pPr>
    </w:p>
    <w:p w14:paraId="7953F93F" w14:textId="258DE63E" w:rsidR="00517919" w:rsidRDefault="00517919" w:rsidP="001400BF">
      <w:pPr>
        <w:spacing w:line="480" w:lineRule="auto"/>
      </w:pPr>
    </w:p>
    <w:p w14:paraId="4B53E0FE" w14:textId="77777777" w:rsidR="00517919" w:rsidRPr="002C5931" w:rsidRDefault="00517919" w:rsidP="001400BF">
      <w:pPr>
        <w:spacing w:line="480" w:lineRule="auto"/>
      </w:pPr>
    </w:p>
    <w:sectPr w:rsidR="00517919" w:rsidRPr="002C59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67FA" w14:textId="77777777" w:rsidR="003A4B2E" w:rsidRDefault="003A4B2E" w:rsidP="002A6ABC">
      <w:pPr>
        <w:spacing w:after="0" w:line="240" w:lineRule="auto"/>
      </w:pPr>
      <w:r>
        <w:separator/>
      </w:r>
    </w:p>
  </w:endnote>
  <w:endnote w:type="continuationSeparator" w:id="0">
    <w:p w14:paraId="7CC8FD3F" w14:textId="77777777" w:rsidR="003A4B2E" w:rsidRDefault="003A4B2E" w:rsidP="002A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580362"/>
      <w:docPartObj>
        <w:docPartGallery w:val="Page Numbers (Bottom of Page)"/>
        <w:docPartUnique/>
      </w:docPartObj>
    </w:sdtPr>
    <w:sdtEndPr>
      <w:rPr>
        <w:noProof/>
      </w:rPr>
    </w:sdtEndPr>
    <w:sdtContent>
      <w:p w14:paraId="6B447205" w14:textId="4634ED6E" w:rsidR="00413A92" w:rsidRDefault="00413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1A1AB" w14:textId="77777777" w:rsidR="002A6ABC" w:rsidRDefault="002A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28CC" w14:textId="77777777" w:rsidR="003A4B2E" w:rsidRDefault="003A4B2E" w:rsidP="002A6ABC">
      <w:pPr>
        <w:spacing w:after="0" w:line="240" w:lineRule="auto"/>
      </w:pPr>
      <w:r>
        <w:separator/>
      </w:r>
    </w:p>
  </w:footnote>
  <w:footnote w:type="continuationSeparator" w:id="0">
    <w:p w14:paraId="2030F216" w14:textId="77777777" w:rsidR="003A4B2E" w:rsidRDefault="003A4B2E" w:rsidP="002A6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2BC"/>
    <w:multiLevelType w:val="hybridMultilevel"/>
    <w:tmpl w:val="D7BA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8565A"/>
    <w:multiLevelType w:val="hybridMultilevel"/>
    <w:tmpl w:val="F1CCA646"/>
    <w:lvl w:ilvl="0" w:tplc="65D4E9CE">
      <w:start w:val="1"/>
      <w:numFmt w:val="bullet"/>
      <w:lvlText w:val="o"/>
      <w:lvlJc w:val="left"/>
      <w:pPr>
        <w:tabs>
          <w:tab w:val="num" w:pos="720"/>
        </w:tabs>
        <w:ind w:left="720" w:hanging="360"/>
      </w:pPr>
      <w:rPr>
        <w:rFonts w:ascii="Courier New" w:hAnsi="Courier New" w:hint="default"/>
      </w:rPr>
    </w:lvl>
    <w:lvl w:ilvl="1" w:tplc="2520B548">
      <w:start w:val="1"/>
      <w:numFmt w:val="bullet"/>
      <w:lvlText w:val="o"/>
      <w:lvlJc w:val="left"/>
      <w:pPr>
        <w:tabs>
          <w:tab w:val="num" w:pos="1440"/>
        </w:tabs>
        <w:ind w:left="1440" w:hanging="360"/>
      </w:pPr>
      <w:rPr>
        <w:rFonts w:ascii="Courier New" w:hAnsi="Courier New" w:hint="default"/>
      </w:rPr>
    </w:lvl>
    <w:lvl w:ilvl="2" w:tplc="F7BC8782" w:tentative="1">
      <w:start w:val="1"/>
      <w:numFmt w:val="bullet"/>
      <w:lvlText w:val="o"/>
      <w:lvlJc w:val="left"/>
      <w:pPr>
        <w:tabs>
          <w:tab w:val="num" w:pos="2160"/>
        </w:tabs>
        <w:ind w:left="2160" w:hanging="360"/>
      </w:pPr>
      <w:rPr>
        <w:rFonts w:ascii="Courier New" w:hAnsi="Courier New" w:hint="default"/>
      </w:rPr>
    </w:lvl>
    <w:lvl w:ilvl="3" w:tplc="1B1C5E98" w:tentative="1">
      <w:start w:val="1"/>
      <w:numFmt w:val="bullet"/>
      <w:lvlText w:val="o"/>
      <w:lvlJc w:val="left"/>
      <w:pPr>
        <w:tabs>
          <w:tab w:val="num" w:pos="2880"/>
        </w:tabs>
        <w:ind w:left="2880" w:hanging="360"/>
      </w:pPr>
      <w:rPr>
        <w:rFonts w:ascii="Courier New" w:hAnsi="Courier New" w:hint="default"/>
      </w:rPr>
    </w:lvl>
    <w:lvl w:ilvl="4" w:tplc="6C706D50" w:tentative="1">
      <w:start w:val="1"/>
      <w:numFmt w:val="bullet"/>
      <w:lvlText w:val="o"/>
      <w:lvlJc w:val="left"/>
      <w:pPr>
        <w:tabs>
          <w:tab w:val="num" w:pos="3600"/>
        </w:tabs>
        <w:ind w:left="3600" w:hanging="360"/>
      </w:pPr>
      <w:rPr>
        <w:rFonts w:ascii="Courier New" w:hAnsi="Courier New" w:hint="default"/>
      </w:rPr>
    </w:lvl>
    <w:lvl w:ilvl="5" w:tplc="FCF4E2DA" w:tentative="1">
      <w:start w:val="1"/>
      <w:numFmt w:val="bullet"/>
      <w:lvlText w:val="o"/>
      <w:lvlJc w:val="left"/>
      <w:pPr>
        <w:tabs>
          <w:tab w:val="num" w:pos="4320"/>
        </w:tabs>
        <w:ind w:left="4320" w:hanging="360"/>
      </w:pPr>
      <w:rPr>
        <w:rFonts w:ascii="Courier New" w:hAnsi="Courier New" w:hint="default"/>
      </w:rPr>
    </w:lvl>
    <w:lvl w:ilvl="6" w:tplc="4A540E96" w:tentative="1">
      <w:start w:val="1"/>
      <w:numFmt w:val="bullet"/>
      <w:lvlText w:val="o"/>
      <w:lvlJc w:val="left"/>
      <w:pPr>
        <w:tabs>
          <w:tab w:val="num" w:pos="5040"/>
        </w:tabs>
        <w:ind w:left="5040" w:hanging="360"/>
      </w:pPr>
      <w:rPr>
        <w:rFonts w:ascii="Courier New" w:hAnsi="Courier New" w:hint="default"/>
      </w:rPr>
    </w:lvl>
    <w:lvl w:ilvl="7" w:tplc="DC80C32C" w:tentative="1">
      <w:start w:val="1"/>
      <w:numFmt w:val="bullet"/>
      <w:lvlText w:val="o"/>
      <w:lvlJc w:val="left"/>
      <w:pPr>
        <w:tabs>
          <w:tab w:val="num" w:pos="5760"/>
        </w:tabs>
        <w:ind w:left="5760" w:hanging="360"/>
      </w:pPr>
      <w:rPr>
        <w:rFonts w:ascii="Courier New" w:hAnsi="Courier New" w:hint="default"/>
      </w:rPr>
    </w:lvl>
    <w:lvl w:ilvl="8" w:tplc="15D4CA92" w:tentative="1">
      <w:start w:val="1"/>
      <w:numFmt w:val="bullet"/>
      <w:lvlText w:val="o"/>
      <w:lvlJc w:val="left"/>
      <w:pPr>
        <w:tabs>
          <w:tab w:val="num" w:pos="6480"/>
        </w:tabs>
        <w:ind w:left="6480" w:hanging="360"/>
      </w:pPr>
      <w:rPr>
        <w:rFonts w:ascii="Courier New" w:hAnsi="Courier New" w:hint="default"/>
      </w:rPr>
    </w:lvl>
  </w:abstractNum>
  <w:num w:numId="1" w16cid:durableId="1450078472">
    <w:abstractNumId w:val="1"/>
  </w:num>
  <w:num w:numId="2" w16cid:durableId="48490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4A"/>
    <w:rsid w:val="0000042F"/>
    <w:rsid w:val="000060AE"/>
    <w:rsid w:val="00013824"/>
    <w:rsid w:val="000164DB"/>
    <w:rsid w:val="000221DE"/>
    <w:rsid w:val="0003559B"/>
    <w:rsid w:val="00042DE1"/>
    <w:rsid w:val="0004322D"/>
    <w:rsid w:val="00045E15"/>
    <w:rsid w:val="00047A14"/>
    <w:rsid w:val="000503BE"/>
    <w:rsid w:val="00050CC9"/>
    <w:rsid w:val="0005185B"/>
    <w:rsid w:val="00052C39"/>
    <w:rsid w:val="00053AD4"/>
    <w:rsid w:val="0005657A"/>
    <w:rsid w:val="00060599"/>
    <w:rsid w:val="00060DF9"/>
    <w:rsid w:val="0006148A"/>
    <w:rsid w:val="0006582D"/>
    <w:rsid w:val="00065DEF"/>
    <w:rsid w:val="00067899"/>
    <w:rsid w:val="00070EE6"/>
    <w:rsid w:val="00071CC0"/>
    <w:rsid w:val="000771C9"/>
    <w:rsid w:val="00081CD6"/>
    <w:rsid w:val="000863C0"/>
    <w:rsid w:val="00086F35"/>
    <w:rsid w:val="00091772"/>
    <w:rsid w:val="0009195E"/>
    <w:rsid w:val="00091F2A"/>
    <w:rsid w:val="00092637"/>
    <w:rsid w:val="00093ACF"/>
    <w:rsid w:val="000A109A"/>
    <w:rsid w:val="000A10E9"/>
    <w:rsid w:val="000A40D5"/>
    <w:rsid w:val="000B313E"/>
    <w:rsid w:val="000B6DF0"/>
    <w:rsid w:val="000B7595"/>
    <w:rsid w:val="000C1BD8"/>
    <w:rsid w:val="000C294A"/>
    <w:rsid w:val="000D0D3D"/>
    <w:rsid w:val="000D1829"/>
    <w:rsid w:val="000D394E"/>
    <w:rsid w:val="000D5DC8"/>
    <w:rsid w:val="000E2638"/>
    <w:rsid w:val="000E37E4"/>
    <w:rsid w:val="000E6106"/>
    <w:rsid w:val="000F0953"/>
    <w:rsid w:val="000F0DBE"/>
    <w:rsid w:val="000F2183"/>
    <w:rsid w:val="000F797D"/>
    <w:rsid w:val="00102001"/>
    <w:rsid w:val="0010390C"/>
    <w:rsid w:val="00111ADA"/>
    <w:rsid w:val="00112836"/>
    <w:rsid w:val="00117442"/>
    <w:rsid w:val="001175FA"/>
    <w:rsid w:val="00123DE1"/>
    <w:rsid w:val="00124707"/>
    <w:rsid w:val="00124F77"/>
    <w:rsid w:val="00134E5C"/>
    <w:rsid w:val="001400BF"/>
    <w:rsid w:val="00143BE8"/>
    <w:rsid w:val="00146A67"/>
    <w:rsid w:val="00151823"/>
    <w:rsid w:val="0015185B"/>
    <w:rsid w:val="00152DD7"/>
    <w:rsid w:val="00152F6B"/>
    <w:rsid w:val="00153E4C"/>
    <w:rsid w:val="00153F04"/>
    <w:rsid w:val="001556E0"/>
    <w:rsid w:val="00162FC5"/>
    <w:rsid w:val="001678FC"/>
    <w:rsid w:val="001734DA"/>
    <w:rsid w:val="001809C9"/>
    <w:rsid w:val="00181A06"/>
    <w:rsid w:val="00192DC5"/>
    <w:rsid w:val="00194D4A"/>
    <w:rsid w:val="00195E0C"/>
    <w:rsid w:val="00196D10"/>
    <w:rsid w:val="001A1FE8"/>
    <w:rsid w:val="001B4804"/>
    <w:rsid w:val="001C6815"/>
    <w:rsid w:val="001C6C33"/>
    <w:rsid w:val="001C77AB"/>
    <w:rsid w:val="001D177F"/>
    <w:rsid w:val="001D2756"/>
    <w:rsid w:val="001D341D"/>
    <w:rsid w:val="001D6AE5"/>
    <w:rsid w:val="001E4B0A"/>
    <w:rsid w:val="001E5D3B"/>
    <w:rsid w:val="001E725E"/>
    <w:rsid w:val="001E7CB6"/>
    <w:rsid w:val="001F00D5"/>
    <w:rsid w:val="001F5750"/>
    <w:rsid w:val="001F6A9F"/>
    <w:rsid w:val="001F6D26"/>
    <w:rsid w:val="002048EE"/>
    <w:rsid w:val="002049D0"/>
    <w:rsid w:val="00206344"/>
    <w:rsid w:val="002074FF"/>
    <w:rsid w:val="0021099C"/>
    <w:rsid w:val="00213EFE"/>
    <w:rsid w:val="00216400"/>
    <w:rsid w:val="00217A84"/>
    <w:rsid w:val="0022580B"/>
    <w:rsid w:val="002305F2"/>
    <w:rsid w:val="00230F5A"/>
    <w:rsid w:val="0023340D"/>
    <w:rsid w:val="00243006"/>
    <w:rsid w:val="0024326E"/>
    <w:rsid w:val="0024514D"/>
    <w:rsid w:val="00245614"/>
    <w:rsid w:val="00247D65"/>
    <w:rsid w:val="00250306"/>
    <w:rsid w:val="00253B89"/>
    <w:rsid w:val="002607E5"/>
    <w:rsid w:val="002635A9"/>
    <w:rsid w:val="00264FF7"/>
    <w:rsid w:val="0026615C"/>
    <w:rsid w:val="002679AC"/>
    <w:rsid w:val="00273E6C"/>
    <w:rsid w:val="00274233"/>
    <w:rsid w:val="00277105"/>
    <w:rsid w:val="00281306"/>
    <w:rsid w:val="00281876"/>
    <w:rsid w:val="00281EDB"/>
    <w:rsid w:val="00284218"/>
    <w:rsid w:val="00291C9D"/>
    <w:rsid w:val="002927E7"/>
    <w:rsid w:val="002A0C73"/>
    <w:rsid w:val="002A1AF2"/>
    <w:rsid w:val="002A2F04"/>
    <w:rsid w:val="002A440B"/>
    <w:rsid w:val="002A6678"/>
    <w:rsid w:val="002A6ABC"/>
    <w:rsid w:val="002A6C61"/>
    <w:rsid w:val="002A72F7"/>
    <w:rsid w:val="002A7479"/>
    <w:rsid w:val="002A7FD5"/>
    <w:rsid w:val="002B5C81"/>
    <w:rsid w:val="002B5D44"/>
    <w:rsid w:val="002C5931"/>
    <w:rsid w:val="002C7BDB"/>
    <w:rsid w:val="002D1769"/>
    <w:rsid w:val="002D609B"/>
    <w:rsid w:val="002D6B78"/>
    <w:rsid w:val="002D70C1"/>
    <w:rsid w:val="002E0235"/>
    <w:rsid w:val="002E1F67"/>
    <w:rsid w:val="002E553F"/>
    <w:rsid w:val="002F0C7F"/>
    <w:rsid w:val="002F3635"/>
    <w:rsid w:val="002F7A5A"/>
    <w:rsid w:val="003010CE"/>
    <w:rsid w:val="0030233C"/>
    <w:rsid w:val="0030414A"/>
    <w:rsid w:val="00304478"/>
    <w:rsid w:val="003049EB"/>
    <w:rsid w:val="003065EC"/>
    <w:rsid w:val="003103E9"/>
    <w:rsid w:val="00311443"/>
    <w:rsid w:val="00312288"/>
    <w:rsid w:val="00313BAD"/>
    <w:rsid w:val="00313CE1"/>
    <w:rsid w:val="00320CC8"/>
    <w:rsid w:val="003236E8"/>
    <w:rsid w:val="00327920"/>
    <w:rsid w:val="00335099"/>
    <w:rsid w:val="00344624"/>
    <w:rsid w:val="003548FF"/>
    <w:rsid w:val="003551A3"/>
    <w:rsid w:val="00356CD5"/>
    <w:rsid w:val="00361473"/>
    <w:rsid w:val="00363345"/>
    <w:rsid w:val="00363FB3"/>
    <w:rsid w:val="00365BA3"/>
    <w:rsid w:val="00367111"/>
    <w:rsid w:val="00372D8A"/>
    <w:rsid w:val="00380D8B"/>
    <w:rsid w:val="00382771"/>
    <w:rsid w:val="0038574E"/>
    <w:rsid w:val="00386EF0"/>
    <w:rsid w:val="003964F2"/>
    <w:rsid w:val="003A1345"/>
    <w:rsid w:val="003A1EB3"/>
    <w:rsid w:val="003A4B2E"/>
    <w:rsid w:val="003B0625"/>
    <w:rsid w:val="003B2D4D"/>
    <w:rsid w:val="003B4C94"/>
    <w:rsid w:val="003B503D"/>
    <w:rsid w:val="003B7518"/>
    <w:rsid w:val="003C0067"/>
    <w:rsid w:val="003C0BD9"/>
    <w:rsid w:val="003C4C7B"/>
    <w:rsid w:val="003C696A"/>
    <w:rsid w:val="003D05C9"/>
    <w:rsid w:val="003D17BC"/>
    <w:rsid w:val="003D2231"/>
    <w:rsid w:val="003D5EE4"/>
    <w:rsid w:val="003D6032"/>
    <w:rsid w:val="003E14AD"/>
    <w:rsid w:val="003E2C60"/>
    <w:rsid w:val="003E4126"/>
    <w:rsid w:val="003E5550"/>
    <w:rsid w:val="003E7CAA"/>
    <w:rsid w:val="003F4523"/>
    <w:rsid w:val="003F7782"/>
    <w:rsid w:val="00401A44"/>
    <w:rsid w:val="00401CA0"/>
    <w:rsid w:val="004034BA"/>
    <w:rsid w:val="0040376D"/>
    <w:rsid w:val="004037C8"/>
    <w:rsid w:val="004117FE"/>
    <w:rsid w:val="00413A92"/>
    <w:rsid w:val="00415917"/>
    <w:rsid w:val="00415A76"/>
    <w:rsid w:val="00415C76"/>
    <w:rsid w:val="00416847"/>
    <w:rsid w:val="00416BF7"/>
    <w:rsid w:val="0041743A"/>
    <w:rsid w:val="00422767"/>
    <w:rsid w:val="00422EAF"/>
    <w:rsid w:val="00426D7E"/>
    <w:rsid w:val="00433735"/>
    <w:rsid w:val="00442AFD"/>
    <w:rsid w:val="00443379"/>
    <w:rsid w:val="0045293E"/>
    <w:rsid w:val="0045329F"/>
    <w:rsid w:val="004535E2"/>
    <w:rsid w:val="00453FDE"/>
    <w:rsid w:val="00457264"/>
    <w:rsid w:val="00462A71"/>
    <w:rsid w:val="00466592"/>
    <w:rsid w:val="0046705E"/>
    <w:rsid w:val="004705F9"/>
    <w:rsid w:val="00471CF8"/>
    <w:rsid w:val="004862D5"/>
    <w:rsid w:val="004917EF"/>
    <w:rsid w:val="004945BD"/>
    <w:rsid w:val="00494DF9"/>
    <w:rsid w:val="004957E0"/>
    <w:rsid w:val="004A050F"/>
    <w:rsid w:val="004A2F27"/>
    <w:rsid w:val="004A7D96"/>
    <w:rsid w:val="004B51B5"/>
    <w:rsid w:val="004B7AB1"/>
    <w:rsid w:val="004C23A7"/>
    <w:rsid w:val="004D0722"/>
    <w:rsid w:val="004D3C13"/>
    <w:rsid w:val="004D6CB3"/>
    <w:rsid w:val="004D6D26"/>
    <w:rsid w:val="004E0D84"/>
    <w:rsid w:val="004E2E02"/>
    <w:rsid w:val="004E4CFE"/>
    <w:rsid w:val="004E5BE4"/>
    <w:rsid w:val="004E7312"/>
    <w:rsid w:val="004E74C1"/>
    <w:rsid w:val="004E7BC4"/>
    <w:rsid w:val="004F3E6E"/>
    <w:rsid w:val="004F4459"/>
    <w:rsid w:val="004F59EC"/>
    <w:rsid w:val="005037AB"/>
    <w:rsid w:val="0050446D"/>
    <w:rsid w:val="00504C08"/>
    <w:rsid w:val="005053F0"/>
    <w:rsid w:val="00507CA3"/>
    <w:rsid w:val="00510D0B"/>
    <w:rsid w:val="005115F9"/>
    <w:rsid w:val="00517778"/>
    <w:rsid w:val="00517919"/>
    <w:rsid w:val="0052165E"/>
    <w:rsid w:val="00521FCF"/>
    <w:rsid w:val="00523AE1"/>
    <w:rsid w:val="00524229"/>
    <w:rsid w:val="00525232"/>
    <w:rsid w:val="005252DD"/>
    <w:rsid w:val="005261AD"/>
    <w:rsid w:val="005274D4"/>
    <w:rsid w:val="00527F95"/>
    <w:rsid w:val="0053486E"/>
    <w:rsid w:val="00536D98"/>
    <w:rsid w:val="00542031"/>
    <w:rsid w:val="00543766"/>
    <w:rsid w:val="00544B91"/>
    <w:rsid w:val="005461CA"/>
    <w:rsid w:val="005471A2"/>
    <w:rsid w:val="00550EB8"/>
    <w:rsid w:val="0055309F"/>
    <w:rsid w:val="0056097D"/>
    <w:rsid w:val="0056110C"/>
    <w:rsid w:val="005612C7"/>
    <w:rsid w:val="00563430"/>
    <w:rsid w:val="00564B5E"/>
    <w:rsid w:val="00565AD6"/>
    <w:rsid w:val="005700CE"/>
    <w:rsid w:val="005735D8"/>
    <w:rsid w:val="00573A5D"/>
    <w:rsid w:val="005842CF"/>
    <w:rsid w:val="00590B35"/>
    <w:rsid w:val="00595554"/>
    <w:rsid w:val="005A3CB0"/>
    <w:rsid w:val="005A67D9"/>
    <w:rsid w:val="005B02A8"/>
    <w:rsid w:val="005B2492"/>
    <w:rsid w:val="005B4207"/>
    <w:rsid w:val="005B5C6A"/>
    <w:rsid w:val="005B7F91"/>
    <w:rsid w:val="005C2B69"/>
    <w:rsid w:val="005D4EDA"/>
    <w:rsid w:val="005D6545"/>
    <w:rsid w:val="005E0D6D"/>
    <w:rsid w:val="005E17D5"/>
    <w:rsid w:val="005E3E1F"/>
    <w:rsid w:val="005E505B"/>
    <w:rsid w:val="005E541E"/>
    <w:rsid w:val="005F1E39"/>
    <w:rsid w:val="005F2C6E"/>
    <w:rsid w:val="005F2F79"/>
    <w:rsid w:val="005F5D23"/>
    <w:rsid w:val="0060404F"/>
    <w:rsid w:val="006137FE"/>
    <w:rsid w:val="00613AE7"/>
    <w:rsid w:val="00617DDC"/>
    <w:rsid w:val="0062179C"/>
    <w:rsid w:val="0062494E"/>
    <w:rsid w:val="006258DF"/>
    <w:rsid w:val="0063366D"/>
    <w:rsid w:val="0063401F"/>
    <w:rsid w:val="0063628C"/>
    <w:rsid w:val="00636D23"/>
    <w:rsid w:val="00637550"/>
    <w:rsid w:val="00646749"/>
    <w:rsid w:val="00650E43"/>
    <w:rsid w:val="00653AB6"/>
    <w:rsid w:val="00653D5D"/>
    <w:rsid w:val="0065465D"/>
    <w:rsid w:val="00655412"/>
    <w:rsid w:val="00661D9D"/>
    <w:rsid w:val="00663359"/>
    <w:rsid w:val="006734AC"/>
    <w:rsid w:val="00675DD9"/>
    <w:rsid w:val="00680082"/>
    <w:rsid w:val="00691D16"/>
    <w:rsid w:val="0069465C"/>
    <w:rsid w:val="00695393"/>
    <w:rsid w:val="00696B16"/>
    <w:rsid w:val="006A70F6"/>
    <w:rsid w:val="006B04CC"/>
    <w:rsid w:val="006C1E0D"/>
    <w:rsid w:val="006C5052"/>
    <w:rsid w:val="006C57F8"/>
    <w:rsid w:val="006D123D"/>
    <w:rsid w:val="006D1878"/>
    <w:rsid w:val="006D77D2"/>
    <w:rsid w:val="006E4B6D"/>
    <w:rsid w:val="006F15A0"/>
    <w:rsid w:val="006F6BAA"/>
    <w:rsid w:val="006F754D"/>
    <w:rsid w:val="007015BD"/>
    <w:rsid w:val="00701B83"/>
    <w:rsid w:val="00701E52"/>
    <w:rsid w:val="00702F49"/>
    <w:rsid w:val="00711194"/>
    <w:rsid w:val="00732B9E"/>
    <w:rsid w:val="007337C2"/>
    <w:rsid w:val="00733A55"/>
    <w:rsid w:val="00743C80"/>
    <w:rsid w:val="007453EB"/>
    <w:rsid w:val="00751017"/>
    <w:rsid w:val="00751D2D"/>
    <w:rsid w:val="00757DC6"/>
    <w:rsid w:val="00761286"/>
    <w:rsid w:val="007722B7"/>
    <w:rsid w:val="007841E6"/>
    <w:rsid w:val="00786329"/>
    <w:rsid w:val="007876F6"/>
    <w:rsid w:val="00793B79"/>
    <w:rsid w:val="0079568B"/>
    <w:rsid w:val="00796638"/>
    <w:rsid w:val="0079747F"/>
    <w:rsid w:val="00797CAA"/>
    <w:rsid w:val="007A13B6"/>
    <w:rsid w:val="007A1D0B"/>
    <w:rsid w:val="007B40C4"/>
    <w:rsid w:val="007B7CC7"/>
    <w:rsid w:val="007C5B98"/>
    <w:rsid w:val="007C6924"/>
    <w:rsid w:val="007D43CF"/>
    <w:rsid w:val="007D4A98"/>
    <w:rsid w:val="007D7965"/>
    <w:rsid w:val="007D7D4F"/>
    <w:rsid w:val="007E1B0B"/>
    <w:rsid w:val="007E2DF2"/>
    <w:rsid w:val="007E35A1"/>
    <w:rsid w:val="007E5031"/>
    <w:rsid w:val="007F2471"/>
    <w:rsid w:val="007F3BE5"/>
    <w:rsid w:val="008006C9"/>
    <w:rsid w:val="00803F6C"/>
    <w:rsid w:val="00805912"/>
    <w:rsid w:val="008117B1"/>
    <w:rsid w:val="008121EA"/>
    <w:rsid w:val="008151D5"/>
    <w:rsid w:val="00815709"/>
    <w:rsid w:val="00815C92"/>
    <w:rsid w:val="00827DF8"/>
    <w:rsid w:val="008328C8"/>
    <w:rsid w:val="00833177"/>
    <w:rsid w:val="0084000B"/>
    <w:rsid w:val="00840341"/>
    <w:rsid w:val="00853D42"/>
    <w:rsid w:val="00856DBA"/>
    <w:rsid w:val="00863868"/>
    <w:rsid w:val="008656A0"/>
    <w:rsid w:val="00867BF3"/>
    <w:rsid w:val="00873AB5"/>
    <w:rsid w:val="008751C9"/>
    <w:rsid w:val="00883EAD"/>
    <w:rsid w:val="008845B7"/>
    <w:rsid w:val="00885112"/>
    <w:rsid w:val="00893564"/>
    <w:rsid w:val="00895BFE"/>
    <w:rsid w:val="008A1B8C"/>
    <w:rsid w:val="008A1D34"/>
    <w:rsid w:val="008A2B08"/>
    <w:rsid w:val="008A653B"/>
    <w:rsid w:val="008B63CD"/>
    <w:rsid w:val="008B6A50"/>
    <w:rsid w:val="008C30E0"/>
    <w:rsid w:val="008C5E60"/>
    <w:rsid w:val="008C6ECA"/>
    <w:rsid w:val="008C6FCD"/>
    <w:rsid w:val="008D15C0"/>
    <w:rsid w:val="008D2305"/>
    <w:rsid w:val="008D5DA2"/>
    <w:rsid w:val="008E4AD4"/>
    <w:rsid w:val="008E7668"/>
    <w:rsid w:val="008F0D5C"/>
    <w:rsid w:val="008F3A19"/>
    <w:rsid w:val="008F5DCE"/>
    <w:rsid w:val="00905C0D"/>
    <w:rsid w:val="009067D8"/>
    <w:rsid w:val="00907F08"/>
    <w:rsid w:val="00912572"/>
    <w:rsid w:val="009142A0"/>
    <w:rsid w:val="00917528"/>
    <w:rsid w:val="00933351"/>
    <w:rsid w:val="009352B5"/>
    <w:rsid w:val="009446FE"/>
    <w:rsid w:val="009463F7"/>
    <w:rsid w:val="00947F53"/>
    <w:rsid w:val="00950C0A"/>
    <w:rsid w:val="00952384"/>
    <w:rsid w:val="0096527B"/>
    <w:rsid w:val="00977BF7"/>
    <w:rsid w:val="009850AF"/>
    <w:rsid w:val="00986263"/>
    <w:rsid w:val="00987495"/>
    <w:rsid w:val="00992542"/>
    <w:rsid w:val="00997363"/>
    <w:rsid w:val="009A0753"/>
    <w:rsid w:val="009A213A"/>
    <w:rsid w:val="009A29E5"/>
    <w:rsid w:val="009A59DD"/>
    <w:rsid w:val="009C0430"/>
    <w:rsid w:val="009C3EE7"/>
    <w:rsid w:val="009C74E1"/>
    <w:rsid w:val="009D0354"/>
    <w:rsid w:val="009D0F2C"/>
    <w:rsid w:val="009D5A1E"/>
    <w:rsid w:val="009D6E4F"/>
    <w:rsid w:val="009D7809"/>
    <w:rsid w:val="009E2F5F"/>
    <w:rsid w:val="009E3704"/>
    <w:rsid w:val="009F2164"/>
    <w:rsid w:val="009F6BEE"/>
    <w:rsid w:val="00A03A23"/>
    <w:rsid w:val="00A15DCC"/>
    <w:rsid w:val="00A239F0"/>
    <w:rsid w:val="00A24291"/>
    <w:rsid w:val="00A26D5A"/>
    <w:rsid w:val="00A277F5"/>
    <w:rsid w:val="00A3032E"/>
    <w:rsid w:val="00A30BC6"/>
    <w:rsid w:val="00A32B8D"/>
    <w:rsid w:val="00A33039"/>
    <w:rsid w:val="00A368A4"/>
    <w:rsid w:val="00A40E1C"/>
    <w:rsid w:val="00A4246D"/>
    <w:rsid w:val="00A464F1"/>
    <w:rsid w:val="00A519B9"/>
    <w:rsid w:val="00A53D38"/>
    <w:rsid w:val="00A5404A"/>
    <w:rsid w:val="00A5418B"/>
    <w:rsid w:val="00A565DF"/>
    <w:rsid w:val="00A604F9"/>
    <w:rsid w:val="00A61D9B"/>
    <w:rsid w:val="00A61E95"/>
    <w:rsid w:val="00A626A2"/>
    <w:rsid w:val="00A72AC6"/>
    <w:rsid w:val="00A75068"/>
    <w:rsid w:val="00A754D6"/>
    <w:rsid w:val="00A761F8"/>
    <w:rsid w:val="00A80889"/>
    <w:rsid w:val="00A80D55"/>
    <w:rsid w:val="00A83B1B"/>
    <w:rsid w:val="00A84672"/>
    <w:rsid w:val="00A8594B"/>
    <w:rsid w:val="00A85957"/>
    <w:rsid w:val="00A905E1"/>
    <w:rsid w:val="00A923AA"/>
    <w:rsid w:val="00A932A5"/>
    <w:rsid w:val="00AA0BFC"/>
    <w:rsid w:val="00AA2EA9"/>
    <w:rsid w:val="00AA5C32"/>
    <w:rsid w:val="00AB5A5B"/>
    <w:rsid w:val="00AC39C5"/>
    <w:rsid w:val="00AC609B"/>
    <w:rsid w:val="00AD1244"/>
    <w:rsid w:val="00AD38F0"/>
    <w:rsid w:val="00AD5C98"/>
    <w:rsid w:val="00AD64EA"/>
    <w:rsid w:val="00AD791B"/>
    <w:rsid w:val="00AE1314"/>
    <w:rsid w:val="00AE16FF"/>
    <w:rsid w:val="00AF03AA"/>
    <w:rsid w:val="00AF1332"/>
    <w:rsid w:val="00AF449A"/>
    <w:rsid w:val="00B022C1"/>
    <w:rsid w:val="00B112E1"/>
    <w:rsid w:val="00B157C6"/>
    <w:rsid w:val="00B16EBD"/>
    <w:rsid w:val="00B21A3E"/>
    <w:rsid w:val="00B26968"/>
    <w:rsid w:val="00B33DC8"/>
    <w:rsid w:val="00B34999"/>
    <w:rsid w:val="00B3714F"/>
    <w:rsid w:val="00B5127A"/>
    <w:rsid w:val="00B54C6E"/>
    <w:rsid w:val="00B6028B"/>
    <w:rsid w:val="00B62F8F"/>
    <w:rsid w:val="00B635F5"/>
    <w:rsid w:val="00B6621F"/>
    <w:rsid w:val="00B66B73"/>
    <w:rsid w:val="00B77EA7"/>
    <w:rsid w:val="00B8064A"/>
    <w:rsid w:val="00B8163E"/>
    <w:rsid w:val="00B91F8D"/>
    <w:rsid w:val="00B9780A"/>
    <w:rsid w:val="00BA0429"/>
    <w:rsid w:val="00BA08FC"/>
    <w:rsid w:val="00BA14D1"/>
    <w:rsid w:val="00BA7E92"/>
    <w:rsid w:val="00BB041D"/>
    <w:rsid w:val="00BB14F4"/>
    <w:rsid w:val="00BB56D9"/>
    <w:rsid w:val="00BB5934"/>
    <w:rsid w:val="00BB614F"/>
    <w:rsid w:val="00BB6559"/>
    <w:rsid w:val="00BB6A63"/>
    <w:rsid w:val="00BC31CF"/>
    <w:rsid w:val="00BC335A"/>
    <w:rsid w:val="00BC3C06"/>
    <w:rsid w:val="00BD2595"/>
    <w:rsid w:val="00BD3269"/>
    <w:rsid w:val="00BD4C60"/>
    <w:rsid w:val="00BD5075"/>
    <w:rsid w:val="00BD66F6"/>
    <w:rsid w:val="00BD6E67"/>
    <w:rsid w:val="00BD7519"/>
    <w:rsid w:val="00BD7637"/>
    <w:rsid w:val="00BE2BAA"/>
    <w:rsid w:val="00BE6C49"/>
    <w:rsid w:val="00BF1545"/>
    <w:rsid w:val="00BF796A"/>
    <w:rsid w:val="00C04CEA"/>
    <w:rsid w:val="00C06301"/>
    <w:rsid w:val="00C073ED"/>
    <w:rsid w:val="00C118A2"/>
    <w:rsid w:val="00C13880"/>
    <w:rsid w:val="00C21BA6"/>
    <w:rsid w:val="00C221F3"/>
    <w:rsid w:val="00C2613D"/>
    <w:rsid w:val="00C27FEB"/>
    <w:rsid w:val="00C31E8C"/>
    <w:rsid w:val="00C41F2C"/>
    <w:rsid w:val="00C44BAB"/>
    <w:rsid w:val="00C51025"/>
    <w:rsid w:val="00C54542"/>
    <w:rsid w:val="00C56BE6"/>
    <w:rsid w:val="00C5704A"/>
    <w:rsid w:val="00C60A0D"/>
    <w:rsid w:val="00C70B13"/>
    <w:rsid w:val="00C72911"/>
    <w:rsid w:val="00C766F5"/>
    <w:rsid w:val="00C77AB9"/>
    <w:rsid w:val="00C83323"/>
    <w:rsid w:val="00C84FF2"/>
    <w:rsid w:val="00C957F2"/>
    <w:rsid w:val="00CA21DD"/>
    <w:rsid w:val="00CA29E3"/>
    <w:rsid w:val="00CB30CB"/>
    <w:rsid w:val="00CB49D4"/>
    <w:rsid w:val="00CC33D5"/>
    <w:rsid w:val="00CC3BF7"/>
    <w:rsid w:val="00CC4F67"/>
    <w:rsid w:val="00CC6DF9"/>
    <w:rsid w:val="00CC71D5"/>
    <w:rsid w:val="00CC752C"/>
    <w:rsid w:val="00CD4824"/>
    <w:rsid w:val="00CD5C0E"/>
    <w:rsid w:val="00CD71D7"/>
    <w:rsid w:val="00CE2D25"/>
    <w:rsid w:val="00CE3E3B"/>
    <w:rsid w:val="00CF3B55"/>
    <w:rsid w:val="00D02302"/>
    <w:rsid w:val="00D02D66"/>
    <w:rsid w:val="00D058C5"/>
    <w:rsid w:val="00D108FD"/>
    <w:rsid w:val="00D13807"/>
    <w:rsid w:val="00D20776"/>
    <w:rsid w:val="00D209A6"/>
    <w:rsid w:val="00D21722"/>
    <w:rsid w:val="00D227C2"/>
    <w:rsid w:val="00D23CCA"/>
    <w:rsid w:val="00D33625"/>
    <w:rsid w:val="00D436A1"/>
    <w:rsid w:val="00D436FB"/>
    <w:rsid w:val="00D45335"/>
    <w:rsid w:val="00D50DD8"/>
    <w:rsid w:val="00D514DE"/>
    <w:rsid w:val="00D5446C"/>
    <w:rsid w:val="00D57CE4"/>
    <w:rsid w:val="00D61E5D"/>
    <w:rsid w:val="00D62426"/>
    <w:rsid w:val="00D63943"/>
    <w:rsid w:val="00D72288"/>
    <w:rsid w:val="00D72629"/>
    <w:rsid w:val="00D72F23"/>
    <w:rsid w:val="00D72FBA"/>
    <w:rsid w:val="00D73A06"/>
    <w:rsid w:val="00D74D30"/>
    <w:rsid w:val="00D76A57"/>
    <w:rsid w:val="00D844A5"/>
    <w:rsid w:val="00D845AF"/>
    <w:rsid w:val="00D9556F"/>
    <w:rsid w:val="00DA28D9"/>
    <w:rsid w:val="00DA3587"/>
    <w:rsid w:val="00DB3F15"/>
    <w:rsid w:val="00DC1067"/>
    <w:rsid w:val="00DD2CDD"/>
    <w:rsid w:val="00DE1383"/>
    <w:rsid w:val="00DE33FC"/>
    <w:rsid w:val="00DE593E"/>
    <w:rsid w:val="00DE68C6"/>
    <w:rsid w:val="00DE77BE"/>
    <w:rsid w:val="00DF0B1C"/>
    <w:rsid w:val="00DF1BD7"/>
    <w:rsid w:val="00DF2E99"/>
    <w:rsid w:val="00DF55A7"/>
    <w:rsid w:val="00E00444"/>
    <w:rsid w:val="00E01E95"/>
    <w:rsid w:val="00E031E1"/>
    <w:rsid w:val="00E11E8C"/>
    <w:rsid w:val="00E14973"/>
    <w:rsid w:val="00E16CD2"/>
    <w:rsid w:val="00E22BF4"/>
    <w:rsid w:val="00E23E42"/>
    <w:rsid w:val="00E244B8"/>
    <w:rsid w:val="00E31517"/>
    <w:rsid w:val="00E353F8"/>
    <w:rsid w:val="00E36141"/>
    <w:rsid w:val="00E41996"/>
    <w:rsid w:val="00E4447B"/>
    <w:rsid w:val="00E44F22"/>
    <w:rsid w:val="00E47AD9"/>
    <w:rsid w:val="00E50FF4"/>
    <w:rsid w:val="00E54E3E"/>
    <w:rsid w:val="00E6445E"/>
    <w:rsid w:val="00E711CD"/>
    <w:rsid w:val="00E71C70"/>
    <w:rsid w:val="00E72051"/>
    <w:rsid w:val="00E72E63"/>
    <w:rsid w:val="00E73579"/>
    <w:rsid w:val="00E7428F"/>
    <w:rsid w:val="00E753E4"/>
    <w:rsid w:val="00E80265"/>
    <w:rsid w:val="00E864B9"/>
    <w:rsid w:val="00E87703"/>
    <w:rsid w:val="00E97147"/>
    <w:rsid w:val="00EA095C"/>
    <w:rsid w:val="00EB4274"/>
    <w:rsid w:val="00EC002E"/>
    <w:rsid w:val="00EC1DB4"/>
    <w:rsid w:val="00EC2B6C"/>
    <w:rsid w:val="00EC5A91"/>
    <w:rsid w:val="00EC62D8"/>
    <w:rsid w:val="00EC68B1"/>
    <w:rsid w:val="00EC70CF"/>
    <w:rsid w:val="00EE0FDB"/>
    <w:rsid w:val="00EE4F1E"/>
    <w:rsid w:val="00EE6737"/>
    <w:rsid w:val="00EE6743"/>
    <w:rsid w:val="00EF26D0"/>
    <w:rsid w:val="00EF2D7B"/>
    <w:rsid w:val="00EF351C"/>
    <w:rsid w:val="00EF749D"/>
    <w:rsid w:val="00EF7BBE"/>
    <w:rsid w:val="00F007CE"/>
    <w:rsid w:val="00F0651F"/>
    <w:rsid w:val="00F067AF"/>
    <w:rsid w:val="00F06982"/>
    <w:rsid w:val="00F113A6"/>
    <w:rsid w:val="00F1647B"/>
    <w:rsid w:val="00F16751"/>
    <w:rsid w:val="00F2286D"/>
    <w:rsid w:val="00F24B9B"/>
    <w:rsid w:val="00F261A8"/>
    <w:rsid w:val="00F36E34"/>
    <w:rsid w:val="00F37CC5"/>
    <w:rsid w:val="00F413A7"/>
    <w:rsid w:val="00F42252"/>
    <w:rsid w:val="00F56D0E"/>
    <w:rsid w:val="00F62A0C"/>
    <w:rsid w:val="00F62D42"/>
    <w:rsid w:val="00F64CD2"/>
    <w:rsid w:val="00F65299"/>
    <w:rsid w:val="00F66D8C"/>
    <w:rsid w:val="00F75C58"/>
    <w:rsid w:val="00F809AD"/>
    <w:rsid w:val="00F878D2"/>
    <w:rsid w:val="00F935F8"/>
    <w:rsid w:val="00F937F7"/>
    <w:rsid w:val="00F9620B"/>
    <w:rsid w:val="00FA007E"/>
    <w:rsid w:val="00FA00F1"/>
    <w:rsid w:val="00FA1E26"/>
    <w:rsid w:val="00FA4E0E"/>
    <w:rsid w:val="00FA6BBF"/>
    <w:rsid w:val="00FB0E08"/>
    <w:rsid w:val="00FB207C"/>
    <w:rsid w:val="00FB3513"/>
    <w:rsid w:val="00FB525A"/>
    <w:rsid w:val="00FB5326"/>
    <w:rsid w:val="00FB6FB1"/>
    <w:rsid w:val="00FC05E5"/>
    <w:rsid w:val="00FC2032"/>
    <w:rsid w:val="00FC45DA"/>
    <w:rsid w:val="00FD068B"/>
    <w:rsid w:val="00FD1679"/>
    <w:rsid w:val="00FD24FA"/>
    <w:rsid w:val="00FD45CC"/>
    <w:rsid w:val="00FD7746"/>
    <w:rsid w:val="00FE1371"/>
    <w:rsid w:val="00FE45A3"/>
    <w:rsid w:val="00FE5F41"/>
    <w:rsid w:val="00FF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2159"/>
  <w15:chartTrackingRefBased/>
  <w15:docId w15:val="{44A00BDD-1C39-4A52-8075-6422065E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6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11194"/>
  </w:style>
  <w:style w:type="character" w:styleId="Hyperlink">
    <w:name w:val="Hyperlink"/>
    <w:basedOn w:val="DefaultParagraphFont"/>
    <w:uiPriority w:val="99"/>
    <w:unhideWhenUsed/>
    <w:rsid w:val="00517919"/>
    <w:rPr>
      <w:color w:val="0563C1" w:themeColor="hyperlink"/>
      <w:u w:val="single"/>
    </w:rPr>
  </w:style>
  <w:style w:type="character" w:styleId="UnresolvedMention">
    <w:name w:val="Unresolved Mention"/>
    <w:basedOn w:val="DefaultParagraphFont"/>
    <w:uiPriority w:val="99"/>
    <w:semiHidden/>
    <w:unhideWhenUsed/>
    <w:rsid w:val="00517919"/>
    <w:rPr>
      <w:color w:val="605E5C"/>
      <w:shd w:val="clear" w:color="auto" w:fill="E1DFDD"/>
    </w:rPr>
  </w:style>
  <w:style w:type="paragraph" w:styleId="ListParagraph">
    <w:name w:val="List Paragraph"/>
    <w:basedOn w:val="Normal"/>
    <w:uiPriority w:val="34"/>
    <w:qFormat/>
    <w:rsid w:val="00517919"/>
    <w:pPr>
      <w:ind w:left="720"/>
      <w:contextualSpacing/>
    </w:pPr>
  </w:style>
  <w:style w:type="paragraph" w:styleId="Header">
    <w:name w:val="header"/>
    <w:basedOn w:val="Normal"/>
    <w:link w:val="HeaderChar"/>
    <w:uiPriority w:val="99"/>
    <w:unhideWhenUsed/>
    <w:rsid w:val="002A6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BC"/>
  </w:style>
  <w:style w:type="paragraph" w:styleId="Footer">
    <w:name w:val="footer"/>
    <w:basedOn w:val="Normal"/>
    <w:link w:val="FooterChar"/>
    <w:uiPriority w:val="99"/>
    <w:unhideWhenUsed/>
    <w:rsid w:val="002A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ABC"/>
  </w:style>
  <w:style w:type="character" w:styleId="CommentReference">
    <w:name w:val="annotation reference"/>
    <w:basedOn w:val="DefaultParagraphFont"/>
    <w:uiPriority w:val="99"/>
    <w:semiHidden/>
    <w:unhideWhenUsed/>
    <w:rsid w:val="002A7FD5"/>
    <w:rPr>
      <w:sz w:val="16"/>
      <w:szCs w:val="16"/>
    </w:rPr>
  </w:style>
  <w:style w:type="paragraph" w:styleId="CommentText">
    <w:name w:val="annotation text"/>
    <w:basedOn w:val="Normal"/>
    <w:link w:val="CommentTextChar"/>
    <w:uiPriority w:val="99"/>
    <w:semiHidden/>
    <w:unhideWhenUsed/>
    <w:rsid w:val="002A7FD5"/>
    <w:pPr>
      <w:spacing w:line="240" w:lineRule="auto"/>
    </w:pPr>
    <w:rPr>
      <w:sz w:val="20"/>
      <w:szCs w:val="20"/>
    </w:rPr>
  </w:style>
  <w:style w:type="character" w:customStyle="1" w:styleId="CommentTextChar">
    <w:name w:val="Comment Text Char"/>
    <w:basedOn w:val="DefaultParagraphFont"/>
    <w:link w:val="CommentText"/>
    <w:uiPriority w:val="99"/>
    <w:semiHidden/>
    <w:rsid w:val="002A7FD5"/>
    <w:rPr>
      <w:sz w:val="20"/>
      <w:szCs w:val="20"/>
    </w:rPr>
  </w:style>
  <w:style w:type="paragraph" w:styleId="CommentSubject">
    <w:name w:val="annotation subject"/>
    <w:basedOn w:val="CommentText"/>
    <w:next w:val="CommentText"/>
    <w:link w:val="CommentSubjectChar"/>
    <w:uiPriority w:val="99"/>
    <w:semiHidden/>
    <w:unhideWhenUsed/>
    <w:rsid w:val="002A7FD5"/>
    <w:rPr>
      <w:b/>
      <w:bCs/>
    </w:rPr>
  </w:style>
  <w:style w:type="character" w:customStyle="1" w:styleId="CommentSubjectChar">
    <w:name w:val="Comment Subject Char"/>
    <w:basedOn w:val="CommentTextChar"/>
    <w:link w:val="CommentSubject"/>
    <w:uiPriority w:val="99"/>
    <w:semiHidden/>
    <w:rsid w:val="002A7FD5"/>
    <w:rPr>
      <w:b/>
      <w:bCs/>
      <w:sz w:val="20"/>
      <w:szCs w:val="20"/>
    </w:rPr>
  </w:style>
  <w:style w:type="table" w:styleId="TableGrid">
    <w:name w:val="Table Grid"/>
    <w:basedOn w:val="TableNormal"/>
    <w:uiPriority w:val="39"/>
    <w:rsid w:val="004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9714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296">
      <w:bodyDiv w:val="1"/>
      <w:marLeft w:val="0"/>
      <w:marRight w:val="0"/>
      <w:marTop w:val="0"/>
      <w:marBottom w:val="0"/>
      <w:divBdr>
        <w:top w:val="none" w:sz="0" w:space="0" w:color="auto"/>
        <w:left w:val="none" w:sz="0" w:space="0" w:color="auto"/>
        <w:bottom w:val="none" w:sz="0" w:space="0" w:color="auto"/>
        <w:right w:val="none" w:sz="0" w:space="0" w:color="auto"/>
      </w:divBdr>
    </w:div>
    <w:div w:id="168301557">
      <w:bodyDiv w:val="1"/>
      <w:marLeft w:val="0"/>
      <w:marRight w:val="0"/>
      <w:marTop w:val="0"/>
      <w:marBottom w:val="0"/>
      <w:divBdr>
        <w:top w:val="none" w:sz="0" w:space="0" w:color="auto"/>
        <w:left w:val="none" w:sz="0" w:space="0" w:color="auto"/>
        <w:bottom w:val="none" w:sz="0" w:space="0" w:color="auto"/>
        <w:right w:val="none" w:sz="0" w:space="0" w:color="auto"/>
      </w:divBdr>
    </w:div>
    <w:div w:id="653028299">
      <w:bodyDiv w:val="1"/>
      <w:marLeft w:val="0"/>
      <w:marRight w:val="0"/>
      <w:marTop w:val="0"/>
      <w:marBottom w:val="0"/>
      <w:divBdr>
        <w:top w:val="none" w:sz="0" w:space="0" w:color="auto"/>
        <w:left w:val="none" w:sz="0" w:space="0" w:color="auto"/>
        <w:bottom w:val="none" w:sz="0" w:space="0" w:color="auto"/>
        <w:right w:val="none" w:sz="0" w:space="0" w:color="auto"/>
      </w:divBdr>
    </w:div>
    <w:div w:id="1094279547">
      <w:bodyDiv w:val="1"/>
      <w:marLeft w:val="0"/>
      <w:marRight w:val="0"/>
      <w:marTop w:val="0"/>
      <w:marBottom w:val="0"/>
      <w:divBdr>
        <w:top w:val="none" w:sz="0" w:space="0" w:color="auto"/>
        <w:left w:val="none" w:sz="0" w:space="0" w:color="auto"/>
        <w:bottom w:val="none" w:sz="0" w:space="0" w:color="auto"/>
        <w:right w:val="none" w:sz="0" w:space="0" w:color="auto"/>
      </w:divBdr>
      <w:divsChild>
        <w:div w:id="768819948">
          <w:marLeft w:val="1166"/>
          <w:marRight w:val="0"/>
          <w:marTop w:val="100"/>
          <w:marBottom w:val="0"/>
          <w:divBdr>
            <w:top w:val="none" w:sz="0" w:space="0" w:color="auto"/>
            <w:left w:val="none" w:sz="0" w:space="0" w:color="auto"/>
            <w:bottom w:val="none" w:sz="0" w:space="0" w:color="auto"/>
            <w:right w:val="none" w:sz="0" w:space="0" w:color="auto"/>
          </w:divBdr>
        </w:div>
        <w:div w:id="1629503966">
          <w:marLeft w:val="1166"/>
          <w:marRight w:val="0"/>
          <w:marTop w:val="100"/>
          <w:marBottom w:val="0"/>
          <w:divBdr>
            <w:top w:val="none" w:sz="0" w:space="0" w:color="auto"/>
            <w:left w:val="none" w:sz="0" w:space="0" w:color="auto"/>
            <w:bottom w:val="none" w:sz="0" w:space="0" w:color="auto"/>
            <w:right w:val="none" w:sz="0" w:space="0" w:color="auto"/>
          </w:divBdr>
        </w:div>
        <w:div w:id="1743139785">
          <w:marLeft w:val="1166"/>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5010</Words>
  <Characters>28562</Characters>
  <Application>Microsoft Office Word</Application>
  <DocSecurity>0</DocSecurity>
  <Lines>238</Lines>
  <Paragraphs>67</Paragraphs>
  <ScaleCrop>false</ScaleCrop>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Lina R</dc:creator>
  <cp:keywords/>
  <dc:description/>
  <cp:lastModifiedBy>Nicola Thomas</cp:lastModifiedBy>
  <cp:revision>2</cp:revision>
  <dcterms:created xsi:type="dcterms:W3CDTF">2022-12-12T08:23:00Z</dcterms:created>
  <dcterms:modified xsi:type="dcterms:W3CDTF">2022-12-12T08:23:00Z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id="VpIN1nAa"/&gt;&lt;style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